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6A98D" w14:textId="29064F99" w:rsidR="00D15122" w:rsidRPr="00D6167B" w:rsidRDefault="009B0756" w:rsidP="007608DF">
      <w:pPr>
        <w:widowControl/>
        <w:ind w:left="1440" w:firstLine="720"/>
        <w:jc w:val="both"/>
        <w:rPr>
          <w:rFonts w:ascii="Times New Roman" w:eastAsia="Times New Roman" w:hAnsi="Times New Roman"/>
          <w:b/>
          <w:u w:val="single"/>
          <w:lang w:val="hr-HR"/>
        </w:rPr>
      </w:pPr>
      <w:bookmarkStart w:id="0" w:name="SUMMARY_OF_PRODUCT_CHARACTERISTICS"/>
      <w:bookmarkEnd w:id="0"/>
      <w:r w:rsidRPr="00D6167B">
        <w:rPr>
          <w:rFonts w:ascii="Times New Roman" w:hAnsi="Times New Roman"/>
          <w:b/>
          <w:u w:val="single"/>
          <w:lang w:val="hr-HR"/>
        </w:rPr>
        <w:t>SAŽETAK KARAKTERISTIKA</w:t>
      </w:r>
      <w:r w:rsidR="00FD5EC3" w:rsidRPr="00D6167B">
        <w:rPr>
          <w:rFonts w:ascii="Times New Roman" w:hAnsi="Times New Roman"/>
          <w:b/>
          <w:u w:val="single"/>
          <w:lang w:val="hr-HR"/>
        </w:rPr>
        <w:t xml:space="preserve"> </w:t>
      </w:r>
      <w:r w:rsidRPr="00D6167B">
        <w:rPr>
          <w:rFonts w:ascii="Times New Roman" w:hAnsi="Times New Roman"/>
          <w:b/>
          <w:u w:val="single"/>
          <w:lang w:val="hr-HR"/>
        </w:rPr>
        <w:t>LIJEKA</w:t>
      </w:r>
    </w:p>
    <w:p w14:paraId="64A375B7" w14:textId="77777777" w:rsidR="00E65554" w:rsidRPr="00D6167B" w:rsidRDefault="00E65554" w:rsidP="007608DF">
      <w:pPr>
        <w:pStyle w:val="ListParagraph"/>
        <w:widowControl/>
        <w:jc w:val="both"/>
        <w:rPr>
          <w:rFonts w:ascii="Times New Roman" w:eastAsia="Times New Roman" w:hAnsi="Times New Roman"/>
          <w:b/>
          <w:lang w:val="hr-HR"/>
        </w:rPr>
      </w:pPr>
    </w:p>
    <w:p w14:paraId="732C200C" w14:textId="77777777" w:rsidR="000442DA" w:rsidRPr="00D6167B" w:rsidRDefault="000442DA" w:rsidP="007608DF">
      <w:pPr>
        <w:pStyle w:val="ListParagraph"/>
        <w:widowControl/>
        <w:jc w:val="both"/>
        <w:rPr>
          <w:rFonts w:ascii="Times New Roman" w:eastAsia="Times New Roman" w:hAnsi="Times New Roman"/>
          <w:b/>
          <w:lang w:val="hr-HR"/>
        </w:rPr>
      </w:pPr>
    </w:p>
    <w:p w14:paraId="7ED66FDB" w14:textId="77777777" w:rsidR="0092587E" w:rsidRPr="00D6167B" w:rsidRDefault="0092587E" w:rsidP="007608DF">
      <w:pPr>
        <w:keepNext/>
        <w:widowControl/>
        <w:jc w:val="both"/>
        <w:rPr>
          <w:rFonts w:ascii="Times New Roman" w:hAnsi="Times New Roman"/>
          <w:b/>
          <w:lang w:val="hr-HR"/>
        </w:rPr>
      </w:pPr>
      <w:r w:rsidRPr="00D6167B">
        <w:rPr>
          <w:rFonts w:ascii="Times New Roman" w:hAnsi="Times New Roman"/>
          <w:b/>
          <w:lang w:val="hr-HR"/>
        </w:rPr>
        <w:t>1.</w:t>
      </w:r>
      <w:r w:rsidRPr="00D6167B">
        <w:rPr>
          <w:rFonts w:ascii="Times New Roman" w:hAnsi="Times New Roman"/>
          <w:b/>
          <w:lang w:val="hr-HR"/>
        </w:rPr>
        <w:tab/>
        <w:t>NAZIV LIJEKA</w:t>
      </w:r>
    </w:p>
    <w:p w14:paraId="038E1C5F" w14:textId="77777777" w:rsidR="00D15122" w:rsidRPr="00D6167B" w:rsidRDefault="00D15122" w:rsidP="007608DF">
      <w:pPr>
        <w:keepNext/>
        <w:widowControl/>
        <w:jc w:val="both"/>
        <w:rPr>
          <w:rFonts w:ascii="Times New Roman" w:eastAsia="Times New Roman" w:hAnsi="Times New Roman"/>
          <w:bCs/>
          <w:sz w:val="21"/>
          <w:szCs w:val="21"/>
          <w:lang w:val="hr-HR"/>
        </w:rPr>
      </w:pPr>
    </w:p>
    <w:p w14:paraId="7DE32D11" w14:textId="66BB190C" w:rsidR="00D15122" w:rsidRPr="001C6C97" w:rsidRDefault="00760F57" w:rsidP="007608DF">
      <w:pPr>
        <w:pStyle w:val="BodyText"/>
        <w:keepNext/>
        <w:widowControl/>
        <w:ind w:left="0"/>
        <w:jc w:val="both"/>
        <w:rPr>
          <w:lang w:val="hr-HR"/>
        </w:rPr>
      </w:pPr>
      <w:r w:rsidRPr="001C6C97">
        <w:rPr>
          <w:lang w:val="hr-HR"/>
        </w:rPr>
        <w:t>Zirabev</w:t>
      </w:r>
      <w:r w:rsidR="00F446E1" w:rsidRPr="001C6C97">
        <w:rPr>
          <w:lang w:val="hr-HR"/>
        </w:rPr>
        <w:t>,</w:t>
      </w:r>
      <w:r w:rsidRPr="001C6C97">
        <w:rPr>
          <w:lang w:val="hr-HR"/>
        </w:rPr>
        <w:t xml:space="preserve"> 25 mg/ml</w:t>
      </w:r>
      <w:r w:rsidR="00F446E1" w:rsidRPr="001C6C97">
        <w:rPr>
          <w:lang w:val="hr-HR"/>
        </w:rPr>
        <w:t>,</w:t>
      </w:r>
      <w:r w:rsidRPr="001C6C97">
        <w:rPr>
          <w:lang w:val="hr-HR"/>
        </w:rPr>
        <w:t xml:space="preserve"> ko</w:t>
      </w:r>
      <w:r w:rsidR="001C6C97" w:rsidRPr="001C6C97">
        <w:rPr>
          <w:lang w:val="hr-HR"/>
        </w:rPr>
        <w:t>ncentrat za rastvor za infuziju</w:t>
      </w:r>
    </w:p>
    <w:p w14:paraId="0F44ED19" w14:textId="77777777" w:rsidR="00760F57" w:rsidRPr="00D6167B" w:rsidRDefault="00760F57" w:rsidP="007608DF">
      <w:pPr>
        <w:widowControl/>
        <w:jc w:val="both"/>
        <w:rPr>
          <w:rFonts w:ascii="Times New Roman" w:eastAsia="Times New Roman" w:hAnsi="Times New Roman"/>
          <w:lang w:val="hr-HR"/>
        </w:rPr>
      </w:pPr>
    </w:p>
    <w:p w14:paraId="62489EBD" w14:textId="77777777" w:rsidR="00D15122" w:rsidRPr="00D6167B" w:rsidRDefault="00DD2627" w:rsidP="007608DF">
      <w:pPr>
        <w:pStyle w:val="BodyText"/>
        <w:widowControl/>
        <w:ind w:left="0"/>
        <w:jc w:val="both"/>
        <w:rPr>
          <w:lang w:val="hr-HR"/>
        </w:rPr>
      </w:pPr>
      <w:r w:rsidRPr="00D6167B">
        <w:rPr>
          <w:lang w:val="hr-HR"/>
        </w:rPr>
        <w:t>INN: bevacizumab</w:t>
      </w:r>
    </w:p>
    <w:p w14:paraId="16FE9D84" w14:textId="34DB7DCB" w:rsidR="00DD2627" w:rsidRDefault="00DD2627" w:rsidP="007608DF">
      <w:pPr>
        <w:tabs>
          <w:tab w:val="left" w:pos="7920"/>
        </w:tabs>
        <w:jc w:val="both"/>
        <w:rPr>
          <w:lang w:val="hr-HR"/>
        </w:rPr>
      </w:pPr>
    </w:p>
    <w:p w14:paraId="63759CE6" w14:textId="77777777" w:rsidR="001C6C97" w:rsidRPr="00D6167B" w:rsidRDefault="001C6C97" w:rsidP="007608DF">
      <w:pPr>
        <w:tabs>
          <w:tab w:val="left" w:pos="7920"/>
        </w:tabs>
        <w:jc w:val="both"/>
        <w:rPr>
          <w:lang w:val="hr-HR"/>
        </w:rPr>
      </w:pPr>
    </w:p>
    <w:p w14:paraId="40ED9729" w14:textId="77777777" w:rsidR="00D15122" w:rsidRPr="00D6167B" w:rsidRDefault="00435CC3" w:rsidP="007608DF">
      <w:pPr>
        <w:keepNext/>
        <w:widowControl/>
        <w:jc w:val="both"/>
        <w:rPr>
          <w:rFonts w:ascii="Times New Roman" w:hAnsi="Times New Roman"/>
          <w:b/>
          <w:bCs/>
          <w:lang w:val="hr-HR"/>
        </w:rPr>
      </w:pPr>
      <w:r w:rsidRPr="00D6167B">
        <w:rPr>
          <w:rFonts w:ascii="Times New Roman" w:hAnsi="Times New Roman"/>
          <w:b/>
          <w:lang w:val="hr-HR"/>
        </w:rPr>
        <w:t>2.</w:t>
      </w:r>
      <w:r w:rsidRPr="00D6167B">
        <w:rPr>
          <w:rFonts w:ascii="Times New Roman" w:hAnsi="Times New Roman"/>
          <w:b/>
          <w:lang w:val="hr-HR"/>
        </w:rPr>
        <w:tab/>
        <w:t>KVALITATIVNI I KVANTITATIVNI SASTAV</w:t>
      </w:r>
    </w:p>
    <w:p w14:paraId="75CCE14C" w14:textId="77777777" w:rsidR="00D15122" w:rsidRPr="00D6167B" w:rsidRDefault="00D15122" w:rsidP="007608DF">
      <w:pPr>
        <w:keepNext/>
        <w:widowControl/>
        <w:jc w:val="both"/>
        <w:rPr>
          <w:rFonts w:ascii="Times New Roman" w:eastAsia="Times New Roman" w:hAnsi="Times New Roman"/>
          <w:bCs/>
          <w:lang w:val="hr-HR"/>
        </w:rPr>
      </w:pPr>
    </w:p>
    <w:p w14:paraId="4FEC25E8" w14:textId="77777777" w:rsidR="00BD460C" w:rsidRPr="00D6167B" w:rsidRDefault="009B0756" w:rsidP="007608DF">
      <w:pPr>
        <w:pStyle w:val="BodyText"/>
        <w:keepNext/>
        <w:widowControl/>
        <w:ind w:left="0"/>
        <w:jc w:val="both"/>
        <w:rPr>
          <w:lang w:val="hr-HR"/>
        </w:rPr>
      </w:pPr>
      <w:r w:rsidRPr="00D6167B">
        <w:rPr>
          <w:lang w:val="hr-HR"/>
        </w:rPr>
        <w:t xml:space="preserve">Svaki ml koncentrata sadrži 25 mg bevacizumaba*. </w:t>
      </w:r>
    </w:p>
    <w:p w14:paraId="31771484" w14:textId="77777777" w:rsidR="00D15122" w:rsidRPr="00D6167B" w:rsidRDefault="009B0756" w:rsidP="007608DF">
      <w:pPr>
        <w:pStyle w:val="BodyText"/>
        <w:widowControl/>
        <w:ind w:left="0"/>
        <w:jc w:val="both"/>
        <w:rPr>
          <w:lang w:val="hr-HR"/>
        </w:rPr>
      </w:pPr>
      <w:r w:rsidRPr="00D6167B">
        <w:rPr>
          <w:lang w:val="hr-HR"/>
        </w:rPr>
        <w:t>Svaka bočica od 4 ml sadrži 100 mg bevacizumaba.</w:t>
      </w:r>
    </w:p>
    <w:p w14:paraId="405AE09F" w14:textId="77777777" w:rsidR="00D15122" w:rsidRPr="00D6167B" w:rsidRDefault="009B0756" w:rsidP="007608DF">
      <w:pPr>
        <w:pStyle w:val="BodyText"/>
        <w:widowControl/>
        <w:ind w:left="0"/>
        <w:jc w:val="both"/>
        <w:rPr>
          <w:lang w:val="hr-HR"/>
        </w:rPr>
      </w:pPr>
      <w:r w:rsidRPr="00D6167B">
        <w:rPr>
          <w:lang w:val="hr-HR"/>
        </w:rPr>
        <w:t>Svaka bočica od 16 ml sadrži 400 mg bevacizumaba.</w:t>
      </w:r>
    </w:p>
    <w:p w14:paraId="79681757" w14:textId="67B212D2" w:rsidR="00D15122" w:rsidRPr="00D6167B" w:rsidRDefault="009B0756" w:rsidP="007608DF">
      <w:pPr>
        <w:pStyle w:val="BodyText"/>
        <w:widowControl/>
        <w:ind w:left="0"/>
        <w:jc w:val="both"/>
        <w:rPr>
          <w:lang w:val="hr-HR"/>
        </w:rPr>
      </w:pPr>
      <w:r w:rsidRPr="00D6167B">
        <w:rPr>
          <w:lang w:val="hr-HR"/>
        </w:rPr>
        <w:t xml:space="preserve">Informacije o razrijeđivanju i drugim preporukama za rukovanje </w:t>
      </w:r>
      <w:r w:rsidR="00DD3255">
        <w:rPr>
          <w:lang w:val="hr-HR"/>
        </w:rPr>
        <w:t xml:space="preserve">lijekom </w:t>
      </w:r>
      <w:r w:rsidRPr="00D6167B">
        <w:rPr>
          <w:lang w:val="hr-HR"/>
        </w:rPr>
        <w:t xml:space="preserve">potražite u </w:t>
      </w:r>
      <w:r w:rsidR="00B92E27">
        <w:rPr>
          <w:lang w:val="hr-HR"/>
        </w:rPr>
        <w:t>dijel</w:t>
      </w:r>
      <w:r w:rsidR="00B92E27" w:rsidRPr="00D6167B">
        <w:rPr>
          <w:lang w:val="hr-HR"/>
        </w:rPr>
        <w:t xml:space="preserve">u </w:t>
      </w:r>
      <w:r w:rsidRPr="00D6167B">
        <w:rPr>
          <w:lang w:val="hr-HR"/>
        </w:rPr>
        <w:t>6.6.</w:t>
      </w:r>
    </w:p>
    <w:p w14:paraId="29544DCE" w14:textId="77777777" w:rsidR="00D15122" w:rsidRPr="00D6167B" w:rsidRDefault="00D15122" w:rsidP="007608DF">
      <w:pPr>
        <w:pStyle w:val="BodyText"/>
        <w:widowControl/>
        <w:ind w:left="0"/>
        <w:jc w:val="both"/>
        <w:rPr>
          <w:lang w:val="hr-HR"/>
        </w:rPr>
      </w:pPr>
    </w:p>
    <w:p w14:paraId="2239B294" w14:textId="13C56BBD" w:rsidR="00D15122" w:rsidRPr="00D6167B" w:rsidRDefault="009B0756" w:rsidP="007608DF">
      <w:pPr>
        <w:pStyle w:val="BodyText"/>
        <w:widowControl/>
        <w:ind w:left="0"/>
        <w:jc w:val="both"/>
        <w:rPr>
          <w:lang w:val="hr-HR"/>
        </w:rPr>
      </w:pPr>
      <w:r w:rsidRPr="00D6167B">
        <w:rPr>
          <w:lang w:val="hr-HR"/>
        </w:rPr>
        <w:t>*Bevacizumab je rekombinantno humanizovano monoklonsko antitijelo proizvedeno putem DNK tehnologije na ćelijama jajnika kinesk</w:t>
      </w:r>
      <w:r w:rsidR="00DD3255">
        <w:rPr>
          <w:lang w:val="hr-HR"/>
        </w:rPr>
        <w:t>og</w:t>
      </w:r>
      <w:r w:rsidRPr="00D6167B">
        <w:rPr>
          <w:lang w:val="hr-HR"/>
        </w:rPr>
        <w:t xml:space="preserve"> hrčka.</w:t>
      </w:r>
    </w:p>
    <w:p w14:paraId="1A8489F8" w14:textId="77777777" w:rsidR="00D15122" w:rsidRPr="00D6167B" w:rsidRDefault="00D15122" w:rsidP="007608DF">
      <w:pPr>
        <w:pStyle w:val="BodyText"/>
        <w:widowControl/>
        <w:ind w:left="0"/>
        <w:jc w:val="both"/>
        <w:rPr>
          <w:lang w:val="hr-HR"/>
        </w:rPr>
      </w:pPr>
    </w:p>
    <w:p w14:paraId="69ADBD64" w14:textId="77777777" w:rsidR="00A1373A" w:rsidRPr="00D6167B" w:rsidRDefault="00A1373A" w:rsidP="007608DF">
      <w:pPr>
        <w:pStyle w:val="BodyText"/>
        <w:ind w:left="0"/>
        <w:jc w:val="both"/>
        <w:rPr>
          <w:u w:val="single"/>
          <w:lang w:val="hr-HR"/>
        </w:rPr>
      </w:pPr>
      <w:r w:rsidRPr="00D6167B">
        <w:rPr>
          <w:u w:val="single"/>
          <w:lang w:val="hr-HR"/>
        </w:rPr>
        <w:t>Pomoćna supstanca sa poznatim dejstvom</w:t>
      </w:r>
    </w:p>
    <w:p w14:paraId="49479E69" w14:textId="77777777" w:rsidR="00A1373A" w:rsidRPr="00D6167B" w:rsidRDefault="00A1373A" w:rsidP="007608DF">
      <w:pPr>
        <w:pStyle w:val="BodyText"/>
        <w:ind w:left="0"/>
        <w:jc w:val="both"/>
        <w:rPr>
          <w:lang w:val="hr-HR"/>
        </w:rPr>
      </w:pPr>
    </w:p>
    <w:p w14:paraId="5B95105D" w14:textId="77777777" w:rsidR="00A1373A" w:rsidRPr="00D6167B" w:rsidRDefault="00A1373A" w:rsidP="007608DF">
      <w:pPr>
        <w:pStyle w:val="BodyText"/>
        <w:ind w:left="0"/>
        <w:jc w:val="both"/>
        <w:rPr>
          <w:lang w:val="hr-HR"/>
        </w:rPr>
      </w:pPr>
      <w:r w:rsidRPr="00D6167B">
        <w:rPr>
          <w:lang w:val="hr-HR"/>
        </w:rPr>
        <w:t>Svaka bočica od 4 ml sadrži 3,0 mg natrijuma.</w:t>
      </w:r>
    </w:p>
    <w:p w14:paraId="00A1A10C" w14:textId="77777777" w:rsidR="00A1373A" w:rsidRPr="00D6167B" w:rsidRDefault="00A1373A" w:rsidP="007608DF">
      <w:pPr>
        <w:pStyle w:val="BodyText"/>
        <w:ind w:left="0"/>
        <w:jc w:val="both"/>
        <w:rPr>
          <w:lang w:val="hr-HR"/>
        </w:rPr>
      </w:pPr>
      <w:r w:rsidRPr="00D6167B">
        <w:rPr>
          <w:lang w:val="hr-HR"/>
        </w:rPr>
        <w:t>Svaka bočica od 16 ml sadrži 12,1 mg natrijuma.</w:t>
      </w:r>
    </w:p>
    <w:p w14:paraId="53ABF3FE" w14:textId="77777777" w:rsidR="00A1373A" w:rsidRPr="00D6167B" w:rsidRDefault="00A1373A" w:rsidP="007608DF">
      <w:pPr>
        <w:pStyle w:val="BodyText"/>
        <w:ind w:left="0"/>
        <w:jc w:val="both"/>
        <w:rPr>
          <w:lang w:val="hr-HR"/>
        </w:rPr>
      </w:pPr>
    </w:p>
    <w:p w14:paraId="06BC3EAE" w14:textId="77777777" w:rsidR="00D15122" w:rsidRPr="00D6167B" w:rsidRDefault="00D61197" w:rsidP="007608DF">
      <w:pPr>
        <w:pStyle w:val="BodyText"/>
        <w:widowControl/>
        <w:ind w:left="0"/>
        <w:jc w:val="both"/>
        <w:rPr>
          <w:lang w:val="hr-HR"/>
        </w:rPr>
      </w:pPr>
      <w:r w:rsidRPr="00D6167B">
        <w:rPr>
          <w:lang w:val="sr-Latn-CS"/>
        </w:rPr>
        <w:t>Za spisak svih ekscipijenasa, pogledati dio 6.1.</w:t>
      </w:r>
    </w:p>
    <w:p w14:paraId="7EBD4B42" w14:textId="77777777" w:rsidR="00D15122" w:rsidRPr="00D6167B" w:rsidRDefault="00D15122" w:rsidP="007608DF">
      <w:pPr>
        <w:pStyle w:val="BodyText"/>
        <w:widowControl/>
        <w:ind w:left="0"/>
        <w:jc w:val="both"/>
        <w:rPr>
          <w:lang w:val="hr-HR"/>
        </w:rPr>
      </w:pPr>
    </w:p>
    <w:p w14:paraId="3EFD3011" w14:textId="77777777" w:rsidR="00D15122" w:rsidRPr="00D6167B" w:rsidRDefault="00D15122" w:rsidP="007608DF">
      <w:pPr>
        <w:pStyle w:val="BodyText"/>
        <w:widowControl/>
        <w:ind w:left="0"/>
        <w:jc w:val="both"/>
        <w:rPr>
          <w:lang w:val="hr-HR"/>
        </w:rPr>
      </w:pPr>
    </w:p>
    <w:p w14:paraId="1229D737" w14:textId="77777777" w:rsidR="00D15122" w:rsidRPr="00D6167B" w:rsidRDefault="00435CC3" w:rsidP="007608DF">
      <w:pPr>
        <w:keepNext/>
        <w:widowControl/>
        <w:jc w:val="both"/>
        <w:rPr>
          <w:rFonts w:ascii="Times New Roman" w:hAnsi="Times New Roman"/>
          <w:b/>
          <w:lang w:val="hr-HR"/>
        </w:rPr>
      </w:pPr>
      <w:r w:rsidRPr="00D6167B">
        <w:rPr>
          <w:rFonts w:ascii="Times New Roman" w:hAnsi="Times New Roman"/>
          <w:b/>
          <w:lang w:val="hr-HR"/>
        </w:rPr>
        <w:t>3.</w:t>
      </w:r>
      <w:r w:rsidRPr="00D6167B">
        <w:rPr>
          <w:rFonts w:ascii="Times New Roman" w:hAnsi="Times New Roman"/>
          <w:b/>
          <w:lang w:val="hr-HR"/>
        </w:rPr>
        <w:tab/>
        <w:t>FARMACEUTSKI OBLIK</w:t>
      </w:r>
    </w:p>
    <w:p w14:paraId="6A32270E" w14:textId="77777777" w:rsidR="00D15122" w:rsidRPr="00D6167B" w:rsidRDefault="00D15122" w:rsidP="007608DF">
      <w:pPr>
        <w:pStyle w:val="BodyText"/>
        <w:keepNext/>
        <w:widowControl/>
        <w:ind w:left="0"/>
        <w:jc w:val="both"/>
        <w:rPr>
          <w:lang w:val="hr-HR"/>
        </w:rPr>
      </w:pPr>
    </w:p>
    <w:p w14:paraId="21112844" w14:textId="77777777" w:rsidR="00D15122" w:rsidRPr="00D6167B" w:rsidRDefault="009B0756" w:rsidP="007608DF">
      <w:pPr>
        <w:pStyle w:val="BodyText"/>
        <w:keepNext/>
        <w:widowControl/>
        <w:ind w:left="0"/>
        <w:jc w:val="both"/>
        <w:rPr>
          <w:lang w:val="hr-HR"/>
        </w:rPr>
      </w:pPr>
      <w:r w:rsidRPr="00D6167B">
        <w:rPr>
          <w:lang w:val="hr-HR"/>
        </w:rPr>
        <w:t>Koncentrat za rastvor za infuziju (sterilni koncentrat).</w:t>
      </w:r>
    </w:p>
    <w:p w14:paraId="2A428CED" w14:textId="77777777" w:rsidR="00D15122" w:rsidRPr="00D6167B" w:rsidRDefault="00D15122" w:rsidP="007608DF">
      <w:pPr>
        <w:pStyle w:val="BodyText"/>
        <w:widowControl/>
        <w:ind w:left="0"/>
        <w:jc w:val="both"/>
        <w:rPr>
          <w:lang w:val="hr-HR"/>
        </w:rPr>
      </w:pPr>
    </w:p>
    <w:p w14:paraId="562519DE" w14:textId="2E699885" w:rsidR="00D15122" w:rsidRPr="00D6167B" w:rsidRDefault="00DD3255" w:rsidP="007608DF">
      <w:pPr>
        <w:pStyle w:val="BodyText"/>
        <w:widowControl/>
        <w:ind w:left="0"/>
        <w:jc w:val="both"/>
        <w:rPr>
          <w:lang w:val="hr-HR"/>
        </w:rPr>
      </w:pPr>
      <w:r>
        <w:rPr>
          <w:lang w:val="hr-HR"/>
        </w:rPr>
        <w:t>Bistra</w:t>
      </w:r>
      <w:r w:rsidR="009B0756" w:rsidRPr="00D6167B">
        <w:rPr>
          <w:lang w:val="hr-HR"/>
        </w:rPr>
        <w:t xml:space="preserve"> do blago opalescentna bezbojna do </w:t>
      </w:r>
      <w:r>
        <w:rPr>
          <w:lang w:val="hr-HR"/>
        </w:rPr>
        <w:t>blijedo</w:t>
      </w:r>
      <w:r w:rsidR="009B0756" w:rsidRPr="00D6167B">
        <w:rPr>
          <w:lang w:val="hr-HR"/>
        </w:rPr>
        <w:t>smeđa tečnost.</w:t>
      </w:r>
    </w:p>
    <w:p w14:paraId="685E3535" w14:textId="77777777" w:rsidR="00D15122" w:rsidRPr="00D6167B" w:rsidRDefault="00D15122" w:rsidP="007608DF">
      <w:pPr>
        <w:pStyle w:val="BodyText"/>
        <w:widowControl/>
        <w:ind w:left="0"/>
        <w:jc w:val="both"/>
        <w:rPr>
          <w:lang w:val="hr-HR"/>
        </w:rPr>
      </w:pPr>
    </w:p>
    <w:p w14:paraId="012C311D" w14:textId="77777777" w:rsidR="00185E97" w:rsidRPr="00D6167B" w:rsidRDefault="00185E97" w:rsidP="007608DF">
      <w:pPr>
        <w:pStyle w:val="BodyText"/>
        <w:widowControl/>
        <w:ind w:left="0"/>
        <w:jc w:val="both"/>
        <w:rPr>
          <w:lang w:val="hr-HR"/>
        </w:rPr>
      </w:pPr>
    </w:p>
    <w:p w14:paraId="1764C682" w14:textId="77777777" w:rsidR="00D15122" w:rsidRPr="00D6167B" w:rsidRDefault="00435CC3" w:rsidP="007608DF">
      <w:pPr>
        <w:pStyle w:val="Heading1"/>
        <w:keepNext/>
        <w:widowControl/>
        <w:tabs>
          <w:tab w:val="left" w:pos="685"/>
        </w:tabs>
        <w:ind w:left="-684" w:firstLine="684"/>
        <w:jc w:val="both"/>
        <w:rPr>
          <w:bCs w:val="0"/>
          <w:lang w:val="hr-HR"/>
        </w:rPr>
      </w:pPr>
      <w:r w:rsidRPr="00D6167B">
        <w:rPr>
          <w:lang w:val="hr-HR"/>
        </w:rPr>
        <w:t>4.</w:t>
      </w:r>
      <w:r w:rsidRPr="00D6167B">
        <w:rPr>
          <w:lang w:val="hr-HR"/>
        </w:rPr>
        <w:tab/>
        <w:t>KLINIČKI PODACI</w:t>
      </w:r>
    </w:p>
    <w:p w14:paraId="102019B6" w14:textId="77777777" w:rsidR="00D15122" w:rsidRPr="00D6167B" w:rsidRDefault="00D15122" w:rsidP="007608DF">
      <w:pPr>
        <w:keepNext/>
        <w:widowControl/>
        <w:jc w:val="both"/>
        <w:rPr>
          <w:rFonts w:ascii="Times New Roman" w:eastAsia="Times New Roman" w:hAnsi="Times New Roman"/>
          <w:bCs/>
          <w:lang w:val="hr-HR"/>
        </w:rPr>
      </w:pPr>
    </w:p>
    <w:p w14:paraId="3A8707BD" w14:textId="77777777" w:rsidR="00D15122" w:rsidRPr="00D6167B" w:rsidRDefault="003E4A60" w:rsidP="007608DF">
      <w:pPr>
        <w:keepNext/>
        <w:widowControl/>
        <w:tabs>
          <w:tab w:val="left" w:pos="685"/>
        </w:tabs>
        <w:jc w:val="both"/>
        <w:rPr>
          <w:rFonts w:ascii="Times New Roman" w:eastAsia="Times New Roman" w:hAnsi="Times New Roman"/>
          <w:b/>
          <w:lang w:val="hr-HR"/>
        </w:rPr>
      </w:pPr>
      <w:r w:rsidRPr="00D6167B">
        <w:rPr>
          <w:rFonts w:ascii="Times New Roman" w:hAnsi="Times New Roman"/>
          <w:b/>
          <w:lang w:val="hr-HR"/>
        </w:rPr>
        <w:t>4.1</w:t>
      </w:r>
      <w:r w:rsidRPr="00D6167B">
        <w:rPr>
          <w:rFonts w:ascii="Times New Roman" w:hAnsi="Times New Roman"/>
          <w:b/>
          <w:lang w:val="hr-HR"/>
        </w:rPr>
        <w:tab/>
        <w:t>Terapijske indikacije</w:t>
      </w:r>
    </w:p>
    <w:p w14:paraId="6940AAB9" w14:textId="77777777" w:rsidR="00D15122" w:rsidRPr="00D6167B" w:rsidRDefault="00D15122" w:rsidP="007608DF">
      <w:pPr>
        <w:keepNext/>
        <w:widowControl/>
        <w:jc w:val="both"/>
        <w:rPr>
          <w:rFonts w:ascii="Times New Roman" w:eastAsia="Times New Roman" w:hAnsi="Times New Roman"/>
          <w:bCs/>
          <w:lang w:val="hr-HR"/>
        </w:rPr>
      </w:pPr>
    </w:p>
    <w:p w14:paraId="70E26142" w14:textId="77777777" w:rsidR="00D15122" w:rsidRPr="00D6167B" w:rsidRDefault="006B62DB" w:rsidP="007608DF">
      <w:pPr>
        <w:pStyle w:val="BodyText"/>
        <w:keepNext/>
        <w:widowControl/>
        <w:ind w:left="0"/>
        <w:jc w:val="both"/>
        <w:rPr>
          <w:lang w:val="hr-HR"/>
        </w:rPr>
      </w:pPr>
      <w:r w:rsidRPr="00D6167B">
        <w:rPr>
          <w:lang w:val="hr-HR"/>
        </w:rPr>
        <w:t xml:space="preserve">Lijek </w:t>
      </w:r>
      <w:r w:rsidR="00760F57" w:rsidRPr="00D6167B">
        <w:rPr>
          <w:lang w:val="hr-HR"/>
        </w:rPr>
        <w:t>Zirabev</w:t>
      </w:r>
      <w:r w:rsidR="005A5D66" w:rsidRPr="00D6167B">
        <w:rPr>
          <w:lang w:val="hr-HR"/>
        </w:rPr>
        <w:t xml:space="preserve"> </w:t>
      </w:r>
      <w:r w:rsidR="00760F57" w:rsidRPr="00D6167B">
        <w:rPr>
          <w:lang w:val="hr-HR"/>
        </w:rPr>
        <w:t>u kombinaciji sa hemoterapijom zasnovanom na fluoropirimidinu indikovan je za liječenje odraslih pacijenata sa metastatskim karcinomom kolona ili rektuma.</w:t>
      </w:r>
    </w:p>
    <w:p w14:paraId="37BA09F4" w14:textId="77777777" w:rsidR="00D15122" w:rsidRPr="00D6167B" w:rsidRDefault="00D15122" w:rsidP="007608DF">
      <w:pPr>
        <w:widowControl/>
        <w:jc w:val="both"/>
        <w:rPr>
          <w:rFonts w:ascii="Times New Roman" w:eastAsia="Times New Roman" w:hAnsi="Times New Roman"/>
          <w:lang w:val="hr-HR"/>
        </w:rPr>
      </w:pPr>
    </w:p>
    <w:p w14:paraId="771C9B8C" w14:textId="3588F9F3" w:rsidR="00D15122" w:rsidRPr="00D6167B" w:rsidRDefault="006B62DB" w:rsidP="007608DF">
      <w:pPr>
        <w:pStyle w:val="BodyText"/>
        <w:widowControl/>
        <w:ind w:left="0"/>
        <w:jc w:val="both"/>
        <w:rPr>
          <w:lang w:val="hr-HR"/>
        </w:rPr>
      </w:pPr>
      <w:r w:rsidRPr="00D6167B">
        <w:rPr>
          <w:lang w:val="hr-HR"/>
        </w:rPr>
        <w:t xml:space="preserve">Lijek </w:t>
      </w:r>
      <w:r w:rsidR="00760F57" w:rsidRPr="00D6167B">
        <w:rPr>
          <w:lang w:val="hr-HR"/>
        </w:rPr>
        <w:t>Zirabev u kombinaciji sa paklitakselom indikovan je kao prva linija liječenja odraslih pacijenata sa metastatskim karcinomom dojke. Da biste dobili dodatne informacije o statusu receptora 2 humanog epidermalnog faktora rasta (</w:t>
      </w:r>
      <w:r w:rsidR="00AA4419" w:rsidRPr="00C106C9">
        <w:rPr>
          <w:lang w:val="hr-HR"/>
        </w:rPr>
        <w:t xml:space="preserve">engl. </w:t>
      </w:r>
      <w:r w:rsidR="00AA4419" w:rsidRPr="00C106C9">
        <w:rPr>
          <w:i/>
          <w:lang w:val="hr-HR"/>
        </w:rPr>
        <w:t>human epidermal growth factor receptor 2,</w:t>
      </w:r>
      <w:r w:rsidR="00AA4419">
        <w:rPr>
          <w:lang w:val="hr-HR"/>
        </w:rPr>
        <w:t xml:space="preserve"> </w:t>
      </w:r>
      <w:r w:rsidR="00760F57" w:rsidRPr="00D6167B">
        <w:rPr>
          <w:lang w:val="hr-HR"/>
        </w:rPr>
        <w:t xml:space="preserve">HER2) </w:t>
      </w:r>
      <w:r w:rsidR="00B92E27">
        <w:rPr>
          <w:lang w:val="hr-HR"/>
        </w:rPr>
        <w:t>(</w:t>
      </w:r>
      <w:r w:rsidR="00760F57" w:rsidRPr="00D6167B">
        <w:rPr>
          <w:lang w:val="hr-HR"/>
        </w:rPr>
        <w:t xml:space="preserve">pogledajte </w:t>
      </w:r>
      <w:r w:rsidR="0047366E" w:rsidRPr="00D6167B">
        <w:rPr>
          <w:lang w:val="hr-HR"/>
        </w:rPr>
        <w:t xml:space="preserve">dio </w:t>
      </w:r>
      <w:r w:rsidR="00760F57" w:rsidRPr="00D6167B">
        <w:rPr>
          <w:lang w:val="hr-HR"/>
        </w:rPr>
        <w:t>5.1</w:t>
      </w:r>
      <w:r w:rsidR="00B92E27">
        <w:rPr>
          <w:lang w:val="hr-HR"/>
        </w:rPr>
        <w:t>)</w:t>
      </w:r>
      <w:r w:rsidR="00760F57" w:rsidRPr="00D6167B">
        <w:rPr>
          <w:lang w:val="hr-HR"/>
        </w:rPr>
        <w:t>.</w:t>
      </w:r>
    </w:p>
    <w:p w14:paraId="1F8835C2" w14:textId="77777777" w:rsidR="00D15122" w:rsidRPr="00D6167B" w:rsidRDefault="00D15122" w:rsidP="007608DF">
      <w:pPr>
        <w:widowControl/>
        <w:jc w:val="both"/>
        <w:rPr>
          <w:rFonts w:ascii="Times New Roman" w:eastAsia="Times New Roman" w:hAnsi="Times New Roman"/>
          <w:lang w:val="hr-HR"/>
        </w:rPr>
      </w:pPr>
    </w:p>
    <w:p w14:paraId="47831C88" w14:textId="77777777" w:rsidR="002E30F6" w:rsidRPr="00D6167B" w:rsidRDefault="006B62DB" w:rsidP="007608DF">
      <w:pPr>
        <w:pStyle w:val="BodyText"/>
        <w:widowControl/>
        <w:ind w:left="0"/>
        <w:jc w:val="both"/>
        <w:rPr>
          <w:lang w:val="hr-HR"/>
        </w:rPr>
      </w:pPr>
      <w:r w:rsidRPr="00D6167B">
        <w:rPr>
          <w:lang w:val="hr-HR"/>
        </w:rPr>
        <w:t xml:space="preserve">Lijek </w:t>
      </w:r>
      <w:r w:rsidR="002E30F6" w:rsidRPr="00D6167B">
        <w:rPr>
          <w:lang w:val="hr-HR"/>
        </w:rPr>
        <w:t>Zirabev u kombinaciji sa kapecitabinom indikovan je kao prva linija liječenja odraslih pacijenata sa metastatskim karcinomom dojke kod kojih se liječenje pomoću drugih opcija hemoterapije, uključujući taksane ili antracikline, ne smatra prikladnim. Pacijente koji su primili režime koji obuhvataju taksan i antracikline u vidu adjuvantne terapije u prethodnih 12 m</w:t>
      </w:r>
      <w:r w:rsidR="0047366E" w:rsidRPr="00D6167B">
        <w:rPr>
          <w:lang w:val="hr-HR"/>
        </w:rPr>
        <w:t>j</w:t>
      </w:r>
      <w:r w:rsidR="002E30F6" w:rsidRPr="00D6167B">
        <w:rPr>
          <w:lang w:val="hr-HR"/>
        </w:rPr>
        <w:t xml:space="preserve">eseci trebalo bi isključiti iz liječenja lijekom Zirabev u kombinaciji sa kapecitabinom. Da biste dobili dodatne informacije o HER2, pogledajte </w:t>
      </w:r>
      <w:r w:rsidR="0047366E" w:rsidRPr="00D6167B">
        <w:rPr>
          <w:lang w:val="hr-HR"/>
        </w:rPr>
        <w:t xml:space="preserve">dio </w:t>
      </w:r>
      <w:r w:rsidR="002E30F6" w:rsidRPr="00D6167B">
        <w:rPr>
          <w:lang w:val="hr-HR"/>
        </w:rPr>
        <w:t>5.1.</w:t>
      </w:r>
    </w:p>
    <w:p w14:paraId="0BEA6B12" w14:textId="77777777" w:rsidR="002E30F6" w:rsidRPr="00D6167B" w:rsidRDefault="002E30F6" w:rsidP="007608DF">
      <w:pPr>
        <w:widowControl/>
        <w:jc w:val="both"/>
        <w:rPr>
          <w:rFonts w:ascii="Times New Roman" w:eastAsia="Times New Roman" w:hAnsi="Times New Roman"/>
          <w:lang w:val="hr-HR"/>
        </w:rPr>
      </w:pPr>
    </w:p>
    <w:p w14:paraId="3B1A46F7" w14:textId="77777777" w:rsidR="00D15122" w:rsidRPr="00D6167B" w:rsidRDefault="001D3BCE" w:rsidP="007608DF">
      <w:pPr>
        <w:pStyle w:val="BodyText"/>
        <w:widowControl/>
        <w:ind w:left="0"/>
        <w:jc w:val="both"/>
        <w:rPr>
          <w:lang w:val="hr-HR"/>
        </w:rPr>
      </w:pPr>
      <w:r w:rsidRPr="00D6167B">
        <w:rPr>
          <w:lang w:val="hr-HR"/>
        </w:rPr>
        <w:t xml:space="preserve">Lijek </w:t>
      </w:r>
      <w:r w:rsidR="00760F57" w:rsidRPr="00D6167B">
        <w:rPr>
          <w:lang w:val="hr-HR"/>
        </w:rPr>
        <w:t xml:space="preserve">Zirabev kao dodatak hemoterapiji zasnovanoj na </w:t>
      </w:r>
      <w:r w:rsidR="009B607A" w:rsidRPr="00D6167B">
        <w:rPr>
          <w:lang w:val="hr-HR"/>
        </w:rPr>
        <w:t xml:space="preserve">jedinjenjima platine </w:t>
      </w:r>
      <w:r w:rsidR="00760F57" w:rsidRPr="00D6167B">
        <w:rPr>
          <w:lang w:val="hr-HR"/>
        </w:rPr>
        <w:t>indikovan je kao prva linija</w:t>
      </w:r>
      <w:r w:rsidR="009B607A" w:rsidRPr="00D6167B">
        <w:rPr>
          <w:lang w:val="hr-HR"/>
        </w:rPr>
        <w:t xml:space="preserve"> terapije kod </w:t>
      </w:r>
      <w:r w:rsidR="00760F57" w:rsidRPr="00D6167B">
        <w:rPr>
          <w:lang w:val="hr-HR"/>
        </w:rPr>
        <w:t>odraslih pacijenata sa neresektabilnim uznapredovalim metastatskim ili rekurentnim karcinomom pluća koji nije mikrokarcinom i čija histologija ne obuhvata pretežno skvamozne ćelije.</w:t>
      </w:r>
    </w:p>
    <w:p w14:paraId="7A2138C2" w14:textId="77777777" w:rsidR="00AA0298" w:rsidRPr="00D6167B" w:rsidRDefault="00AA0298" w:rsidP="007608DF">
      <w:pPr>
        <w:pStyle w:val="BodyText"/>
        <w:widowControl/>
        <w:ind w:left="0"/>
        <w:jc w:val="both"/>
        <w:rPr>
          <w:lang w:val="hr-HR"/>
        </w:rPr>
      </w:pPr>
    </w:p>
    <w:p w14:paraId="678B722B" w14:textId="77777777" w:rsidR="00AA0298" w:rsidRPr="00D6167B" w:rsidRDefault="009B607A" w:rsidP="007608DF">
      <w:pPr>
        <w:pStyle w:val="BodyText"/>
        <w:widowControl/>
        <w:ind w:left="0"/>
        <w:jc w:val="both"/>
        <w:rPr>
          <w:lang w:val="hr-HR"/>
        </w:rPr>
      </w:pPr>
      <w:r w:rsidRPr="00D6167B">
        <w:rPr>
          <w:lang w:val="hr-HR"/>
        </w:rPr>
        <w:t xml:space="preserve">Lijek </w:t>
      </w:r>
      <w:r w:rsidR="006A5C86" w:rsidRPr="00D6167B">
        <w:rPr>
          <w:lang w:val="hr-HR"/>
        </w:rPr>
        <w:t>Zirabev</w:t>
      </w:r>
      <w:r w:rsidRPr="00D6167B">
        <w:rPr>
          <w:lang w:val="hr-HR"/>
        </w:rPr>
        <w:t>,</w:t>
      </w:r>
      <w:r w:rsidR="006A5C86" w:rsidRPr="00D6167B">
        <w:rPr>
          <w:lang w:val="hr-HR"/>
        </w:rPr>
        <w:t xml:space="preserve"> u kombinaciji sa erlotinibom</w:t>
      </w:r>
      <w:r w:rsidRPr="00D6167B">
        <w:rPr>
          <w:lang w:val="hr-HR"/>
        </w:rPr>
        <w:t>,</w:t>
      </w:r>
      <w:r w:rsidR="006A5C86" w:rsidRPr="00D6167B">
        <w:rPr>
          <w:lang w:val="hr-HR"/>
        </w:rPr>
        <w:t xml:space="preserve"> indikovan je kao prva linija liječenja odraslih pacijenata sa neresektabilnim uznapredovalim metastatskim ili rekurentnim karcinomom pluća koji nije mikrokarcinom i ne obuhvata skvamozne ćelije sa mutacijama koje aktiviraju receptor epidermalnog faktora rasta (EGFR) (pogledajte </w:t>
      </w:r>
      <w:r w:rsidR="0047366E" w:rsidRPr="00D6167B">
        <w:rPr>
          <w:lang w:val="hr-HR"/>
        </w:rPr>
        <w:t xml:space="preserve">dio </w:t>
      </w:r>
      <w:r w:rsidR="006A5C86" w:rsidRPr="00D6167B">
        <w:rPr>
          <w:lang w:val="hr-HR"/>
        </w:rPr>
        <w:t>5.1).</w:t>
      </w:r>
    </w:p>
    <w:p w14:paraId="6BA7DA06" w14:textId="77777777" w:rsidR="00D15122" w:rsidRPr="00D6167B" w:rsidRDefault="00D15122" w:rsidP="007608DF">
      <w:pPr>
        <w:widowControl/>
        <w:jc w:val="both"/>
        <w:rPr>
          <w:rFonts w:ascii="Times New Roman" w:eastAsia="Times New Roman" w:hAnsi="Times New Roman"/>
          <w:lang w:val="hr-HR"/>
        </w:rPr>
      </w:pPr>
    </w:p>
    <w:p w14:paraId="2164026E" w14:textId="77777777" w:rsidR="00D15122" w:rsidRPr="00D6167B" w:rsidRDefault="009B607A" w:rsidP="007608DF">
      <w:pPr>
        <w:pStyle w:val="BodyText"/>
        <w:widowControl/>
        <w:ind w:left="0"/>
        <w:jc w:val="both"/>
        <w:rPr>
          <w:lang w:val="hr-HR"/>
        </w:rPr>
      </w:pPr>
      <w:r w:rsidRPr="00D6167B">
        <w:rPr>
          <w:lang w:val="hr-HR"/>
        </w:rPr>
        <w:t xml:space="preserve">Lijek </w:t>
      </w:r>
      <w:r w:rsidR="00760F57" w:rsidRPr="00D6167B">
        <w:rPr>
          <w:lang w:val="hr-HR"/>
        </w:rPr>
        <w:t>Zirabev u kombinaciji sa interferonom alfa-2a indikovan je kao prva linija</w:t>
      </w:r>
      <w:r w:rsidRPr="00D6167B">
        <w:rPr>
          <w:lang w:val="hr-HR"/>
        </w:rPr>
        <w:t xml:space="preserve"> terapije kod </w:t>
      </w:r>
      <w:r w:rsidR="00760F57" w:rsidRPr="00D6167B">
        <w:rPr>
          <w:lang w:val="hr-HR"/>
        </w:rPr>
        <w:t>odraslih pacijenata sa uznapredovalim i/ili metastatskim karcinomom renalnih ćelija.</w:t>
      </w:r>
    </w:p>
    <w:p w14:paraId="14BDFF52" w14:textId="77777777" w:rsidR="002E30F6" w:rsidRPr="00D6167B" w:rsidRDefault="002E30F6" w:rsidP="007608DF">
      <w:pPr>
        <w:pStyle w:val="BodyText"/>
        <w:widowControl/>
        <w:ind w:left="0" w:right="176"/>
        <w:jc w:val="both"/>
        <w:rPr>
          <w:lang w:val="hr-HR"/>
        </w:rPr>
      </w:pPr>
    </w:p>
    <w:p w14:paraId="57F89998" w14:textId="77777777" w:rsidR="002E30F6" w:rsidRPr="00D6167B" w:rsidRDefault="009B607A" w:rsidP="007608DF">
      <w:pPr>
        <w:pStyle w:val="BodyText"/>
        <w:widowControl/>
        <w:ind w:left="0"/>
        <w:jc w:val="both"/>
        <w:rPr>
          <w:lang w:val="hr-HR"/>
        </w:rPr>
      </w:pPr>
      <w:r w:rsidRPr="00D6167B">
        <w:rPr>
          <w:lang w:val="hr-HR"/>
        </w:rPr>
        <w:t xml:space="preserve">Lijek </w:t>
      </w:r>
      <w:r w:rsidR="002E30F6" w:rsidRPr="00D6167B">
        <w:rPr>
          <w:lang w:val="hr-HR"/>
        </w:rPr>
        <w:t>Zirabev</w:t>
      </w:r>
      <w:r w:rsidRPr="00D6167B">
        <w:rPr>
          <w:lang w:val="hr-HR"/>
        </w:rPr>
        <w:t>,</w:t>
      </w:r>
      <w:r w:rsidR="002E30F6" w:rsidRPr="00D6167B">
        <w:rPr>
          <w:lang w:val="hr-HR"/>
        </w:rPr>
        <w:t xml:space="preserve"> u kombinaciji sa karboplatinom i paklitakselom</w:t>
      </w:r>
      <w:r w:rsidRPr="00D6167B">
        <w:rPr>
          <w:lang w:val="hr-HR"/>
        </w:rPr>
        <w:t>,</w:t>
      </w:r>
      <w:r w:rsidR="002E30F6" w:rsidRPr="00D6167B">
        <w:rPr>
          <w:lang w:val="hr-HR"/>
        </w:rPr>
        <w:t xml:space="preserve"> indikovan je kao prva linija</w:t>
      </w:r>
      <w:r w:rsidRPr="00D6167B">
        <w:rPr>
          <w:lang w:val="hr-HR"/>
        </w:rPr>
        <w:t xml:space="preserve"> terapije kod</w:t>
      </w:r>
      <w:r w:rsidR="002E30F6" w:rsidRPr="00D6167B">
        <w:rPr>
          <w:lang w:val="hr-HR"/>
        </w:rPr>
        <w:t xml:space="preserve"> odraslih pacijenata sa uznapredovalim (stadijumi III B, III C i IV prema Međunarodnoj federaciji za ginekologiju i akušerstvo (FIGO)) epitelnim karcinomom jajnika, jajovoda ili primarnim peritonealnim karcinomom (pogledajte </w:t>
      </w:r>
      <w:r w:rsidR="0047366E" w:rsidRPr="00D6167B">
        <w:rPr>
          <w:lang w:val="hr-HR"/>
        </w:rPr>
        <w:t xml:space="preserve">dio </w:t>
      </w:r>
      <w:r w:rsidR="002E30F6" w:rsidRPr="00D6167B">
        <w:rPr>
          <w:lang w:val="hr-HR"/>
        </w:rPr>
        <w:t>5.1).</w:t>
      </w:r>
    </w:p>
    <w:p w14:paraId="77294DE2" w14:textId="77777777" w:rsidR="002E30F6" w:rsidRPr="00D6167B" w:rsidRDefault="002E30F6" w:rsidP="007608DF">
      <w:pPr>
        <w:pStyle w:val="BodyText"/>
        <w:widowControl/>
        <w:ind w:left="0"/>
        <w:jc w:val="both"/>
        <w:rPr>
          <w:lang w:val="hr-HR"/>
        </w:rPr>
      </w:pPr>
    </w:p>
    <w:p w14:paraId="069DC600" w14:textId="77777777" w:rsidR="002E30F6" w:rsidRPr="00D6167B" w:rsidRDefault="009B607A" w:rsidP="007608DF">
      <w:pPr>
        <w:pStyle w:val="BodyText"/>
        <w:widowControl/>
        <w:ind w:left="0"/>
        <w:jc w:val="both"/>
        <w:rPr>
          <w:lang w:val="hr-HR"/>
        </w:rPr>
      </w:pPr>
      <w:r w:rsidRPr="00D6167B">
        <w:rPr>
          <w:lang w:val="hr-HR"/>
        </w:rPr>
        <w:t xml:space="preserve">Lijek </w:t>
      </w:r>
      <w:r w:rsidR="002E30F6" w:rsidRPr="00D6167B">
        <w:rPr>
          <w:lang w:val="hr-HR"/>
        </w:rPr>
        <w:t>Zirabev u kombinaciji sa karboplatinom i gemcitabinom ili u kombinaciji sa karboplatinom i paklitakselom indikovan je za liječenje odraslih pacijenata koji imaju prvo pojavljivanje epitelnog karcinoma jajnika, jajovoda ili primarnog peritonealnog karcinoma koji je osjetljiv na platinu, a koji nijesu prethodno primali terapiju bevacizumabom ili drugim VEGF inhibitorima, odnosno agensima koji ciljaju VEGF receptore.</w:t>
      </w:r>
    </w:p>
    <w:p w14:paraId="6DC19AE1" w14:textId="77777777" w:rsidR="002E30F6" w:rsidRPr="00D6167B" w:rsidRDefault="002E30F6" w:rsidP="007608DF">
      <w:pPr>
        <w:pStyle w:val="BodyText"/>
        <w:widowControl/>
        <w:ind w:left="0"/>
        <w:jc w:val="both"/>
        <w:rPr>
          <w:lang w:val="hr-HR"/>
        </w:rPr>
      </w:pPr>
    </w:p>
    <w:p w14:paraId="375FA260" w14:textId="77777777" w:rsidR="00D15122" w:rsidRPr="00D6167B" w:rsidRDefault="009B607A" w:rsidP="007608DF">
      <w:pPr>
        <w:widowControl/>
        <w:jc w:val="both"/>
        <w:rPr>
          <w:rFonts w:ascii="Times New Roman" w:hAnsi="Times New Roman"/>
          <w:lang w:val="hr-HR"/>
        </w:rPr>
      </w:pPr>
      <w:r w:rsidRPr="00D6167B">
        <w:rPr>
          <w:rFonts w:ascii="Times New Roman" w:hAnsi="Times New Roman"/>
          <w:lang w:val="hr-HR"/>
        </w:rPr>
        <w:t xml:space="preserve">Lijek </w:t>
      </w:r>
      <w:r w:rsidR="002E30F6" w:rsidRPr="00D6167B">
        <w:rPr>
          <w:rFonts w:ascii="Times New Roman" w:hAnsi="Times New Roman"/>
          <w:lang w:val="hr-HR"/>
        </w:rPr>
        <w:t>Zirabev u kombinaciji sa paklitakselom, topotekanom ili pegilisanim lipozomalnim doksorubicinom indikovan je za liječenje odraslih pacijen</w:t>
      </w:r>
      <w:r w:rsidRPr="00D6167B">
        <w:rPr>
          <w:rFonts w:ascii="Times New Roman" w:hAnsi="Times New Roman"/>
          <w:lang w:val="hr-HR"/>
        </w:rPr>
        <w:t xml:space="preserve">tkinja </w:t>
      </w:r>
      <w:r w:rsidR="002E30F6" w:rsidRPr="00D6167B">
        <w:rPr>
          <w:rFonts w:ascii="Times New Roman" w:hAnsi="Times New Roman"/>
          <w:lang w:val="hr-HR"/>
        </w:rPr>
        <w:t xml:space="preserve">koji imaju rekurentni epitelni karcinom jajnika, jajovoda ili primarni peritonealni karcinom koji je rezistentan na platinu, a koji nijesu prethodno primali terapiju bevacizumabom ili drugim VEGF inhibitorima, odnosno agensima koji ciljaju VEGF receptore (pogledajte </w:t>
      </w:r>
      <w:r w:rsidR="0047366E" w:rsidRPr="00D6167B">
        <w:rPr>
          <w:rFonts w:ascii="Times New Roman" w:hAnsi="Times New Roman"/>
          <w:lang w:val="hr-HR"/>
        </w:rPr>
        <w:t xml:space="preserve">dio </w:t>
      </w:r>
      <w:r w:rsidR="002E30F6" w:rsidRPr="00D6167B">
        <w:rPr>
          <w:rFonts w:ascii="Times New Roman" w:hAnsi="Times New Roman"/>
          <w:lang w:val="hr-HR"/>
        </w:rPr>
        <w:t>5.1).</w:t>
      </w:r>
    </w:p>
    <w:p w14:paraId="6AE5016F" w14:textId="77777777" w:rsidR="002E30F6" w:rsidRPr="00D6167B" w:rsidRDefault="002E30F6" w:rsidP="007608DF">
      <w:pPr>
        <w:widowControl/>
        <w:jc w:val="both"/>
        <w:rPr>
          <w:rFonts w:ascii="Times New Roman" w:eastAsia="Times New Roman" w:hAnsi="Times New Roman"/>
          <w:lang w:val="hr-HR"/>
        </w:rPr>
      </w:pPr>
    </w:p>
    <w:p w14:paraId="6E74E0E1" w14:textId="77777777" w:rsidR="00D15122" w:rsidRPr="00D6167B" w:rsidRDefault="009B607A" w:rsidP="007608DF">
      <w:pPr>
        <w:pStyle w:val="BodyText"/>
        <w:widowControl/>
        <w:ind w:left="0"/>
        <w:jc w:val="both"/>
        <w:rPr>
          <w:lang w:val="hr-HR"/>
        </w:rPr>
      </w:pPr>
      <w:r w:rsidRPr="00D6167B">
        <w:rPr>
          <w:lang w:val="hr-HR"/>
        </w:rPr>
        <w:t xml:space="preserve">Lijek </w:t>
      </w:r>
      <w:r w:rsidR="00760F57" w:rsidRPr="00D6167B">
        <w:rPr>
          <w:lang w:val="hr-HR"/>
        </w:rPr>
        <w:t>Zirabev u kombinaciji sa paklitakselom i cisplatinom ili</w:t>
      </w:r>
      <w:r w:rsidRPr="00D6167B">
        <w:rPr>
          <w:lang w:val="hr-HR"/>
        </w:rPr>
        <w:t xml:space="preserve">, </w:t>
      </w:r>
      <w:r w:rsidR="00760F57" w:rsidRPr="00D6167B">
        <w:rPr>
          <w:lang w:val="hr-HR"/>
        </w:rPr>
        <w:t>alternativno</w:t>
      </w:r>
      <w:r w:rsidRPr="00D6167B">
        <w:rPr>
          <w:lang w:val="hr-HR"/>
        </w:rPr>
        <w:t>,</w:t>
      </w:r>
      <w:r w:rsidR="00760F57" w:rsidRPr="00D6167B">
        <w:rPr>
          <w:lang w:val="hr-HR"/>
        </w:rPr>
        <w:t xml:space="preserve"> sa paklitakselom i topotekanom kod pacijenata koji ne mogu da primaju terapiju platinom</w:t>
      </w:r>
      <w:r w:rsidRPr="00D6167B">
        <w:rPr>
          <w:lang w:val="hr-HR"/>
        </w:rPr>
        <w:t>,</w:t>
      </w:r>
      <w:r w:rsidR="00760F57" w:rsidRPr="00D6167B">
        <w:rPr>
          <w:lang w:val="hr-HR"/>
        </w:rPr>
        <w:t xml:space="preserve"> indikovan je za liječenje odraslih pacije</w:t>
      </w:r>
      <w:r w:rsidRPr="00D6167B">
        <w:rPr>
          <w:lang w:val="hr-HR"/>
        </w:rPr>
        <w:t>ntkinja</w:t>
      </w:r>
      <w:r w:rsidR="00760F57" w:rsidRPr="00D6167B">
        <w:rPr>
          <w:lang w:val="hr-HR"/>
        </w:rPr>
        <w:t xml:space="preserve"> sa upornim, rekurentnim ili metastatskim karcinomom cerviksa (pogledajte </w:t>
      </w:r>
      <w:r w:rsidR="00B738E2" w:rsidRPr="00D6167B">
        <w:rPr>
          <w:lang w:val="hr-HR"/>
        </w:rPr>
        <w:t xml:space="preserve">dio </w:t>
      </w:r>
      <w:r w:rsidR="00760F57" w:rsidRPr="00D6167B">
        <w:rPr>
          <w:lang w:val="hr-HR"/>
        </w:rPr>
        <w:t>5.1).</w:t>
      </w:r>
    </w:p>
    <w:p w14:paraId="14E404C3" w14:textId="77777777" w:rsidR="00D15122" w:rsidRPr="00D6167B" w:rsidRDefault="00D15122" w:rsidP="007608DF">
      <w:pPr>
        <w:widowControl/>
        <w:jc w:val="both"/>
        <w:rPr>
          <w:rFonts w:ascii="Times New Roman" w:eastAsia="Times New Roman" w:hAnsi="Times New Roman"/>
          <w:lang w:val="hr-HR"/>
        </w:rPr>
      </w:pPr>
    </w:p>
    <w:p w14:paraId="0A976B69" w14:textId="77777777" w:rsidR="00D15122" w:rsidRPr="00D6167B" w:rsidRDefault="003E4A60" w:rsidP="007608DF">
      <w:pPr>
        <w:pStyle w:val="Heading1"/>
        <w:widowControl/>
        <w:tabs>
          <w:tab w:val="left" w:pos="685"/>
        </w:tabs>
        <w:ind w:left="0"/>
        <w:jc w:val="both"/>
        <w:rPr>
          <w:bCs w:val="0"/>
          <w:lang w:val="hr-HR"/>
        </w:rPr>
      </w:pPr>
      <w:r w:rsidRPr="00D6167B">
        <w:rPr>
          <w:lang w:val="hr-HR"/>
        </w:rPr>
        <w:t>4.2</w:t>
      </w:r>
      <w:r w:rsidRPr="00D6167B">
        <w:rPr>
          <w:lang w:val="hr-HR"/>
        </w:rPr>
        <w:tab/>
        <w:t>Doziranje i način primjene</w:t>
      </w:r>
    </w:p>
    <w:p w14:paraId="6E0041F4" w14:textId="77777777" w:rsidR="00D15122" w:rsidRPr="00D6167B" w:rsidRDefault="00D15122" w:rsidP="007608DF">
      <w:pPr>
        <w:widowControl/>
        <w:jc w:val="both"/>
        <w:rPr>
          <w:rFonts w:ascii="Times New Roman" w:eastAsia="Times New Roman" w:hAnsi="Times New Roman"/>
          <w:bCs/>
          <w:lang w:val="hr-HR"/>
        </w:rPr>
      </w:pPr>
    </w:p>
    <w:p w14:paraId="1AEF314B" w14:textId="0C50A032" w:rsidR="00D15122" w:rsidRPr="00D6167B" w:rsidRDefault="009B607A" w:rsidP="007608DF">
      <w:pPr>
        <w:pStyle w:val="BodyText"/>
        <w:widowControl/>
        <w:ind w:left="0" w:right="203"/>
        <w:jc w:val="both"/>
        <w:rPr>
          <w:lang w:val="hr-HR"/>
        </w:rPr>
      </w:pPr>
      <w:r w:rsidRPr="00D6167B">
        <w:rPr>
          <w:lang w:val="hr-HR"/>
        </w:rPr>
        <w:t xml:space="preserve">Lijek </w:t>
      </w:r>
      <w:r w:rsidR="00760F57" w:rsidRPr="00D6167B">
        <w:rPr>
          <w:lang w:val="hr-HR"/>
        </w:rPr>
        <w:t>Zirabev mora da se primjenjuje pod nadzorom ljekara koji ima iskustva sa korišćenjem antineoplastični</w:t>
      </w:r>
      <w:r w:rsidRPr="00D6167B">
        <w:rPr>
          <w:lang w:val="hr-HR"/>
        </w:rPr>
        <w:t>h ljekova.</w:t>
      </w:r>
    </w:p>
    <w:p w14:paraId="6542C344" w14:textId="77777777" w:rsidR="00D15122" w:rsidRPr="00D6167B" w:rsidRDefault="00D15122" w:rsidP="007608DF">
      <w:pPr>
        <w:widowControl/>
        <w:jc w:val="both"/>
        <w:rPr>
          <w:rFonts w:ascii="Times New Roman" w:eastAsia="Times New Roman" w:hAnsi="Times New Roman"/>
          <w:lang w:val="hr-HR"/>
        </w:rPr>
      </w:pPr>
    </w:p>
    <w:p w14:paraId="4D49EA4F" w14:textId="77777777" w:rsidR="00D15122" w:rsidRPr="00D6167B" w:rsidRDefault="009B0756" w:rsidP="007608DF">
      <w:pPr>
        <w:pStyle w:val="BodyText"/>
        <w:keepNext/>
        <w:widowControl/>
        <w:ind w:left="0"/>
        <w:jc w:val="both"/>
        <w:rPr>
          <w:lang w:val="hr-HR"/>
        </w:rPr>
      </w:pPr>
      <w:r w:rsidRPr="00D6167B">
        <w:rPr>
          <w:u w:val="single" w:color="000000"/>
          <w:lang w:val="hr-HR"/>
        </w:rPr>
        <w:t>Doziranje</w:t>
      </w:r>
    </w:p>
    <w:p w14:paraId="27AEB40A" w14:textId="77777777" w:rsidR="00D15122" w:rsidRPr="00D6167B" w:rsidRDefault="00D15122" w:rsidP="007608DF">
      <w:pPr>
        <w:keepNext/>
        <w:widowControl/>
        <w:jc w:val="both"/>
        <w:rPr>
          <w:rFonts w:ascii="Times New Roman" w:eastAsia="Times New Roman" w:hAnsi="Times New Roman"/>
          <w:lang w:val="hr-HR"/>
        </w:rPr>
      </w:pPr>
    </w:p>
    <w:p w14:paraId="743DA737"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Metastatski karcinom kolona ili rektuma (mCRC)</w:t>
      </w:r>
    </w:p>
    <w:p w14:paraId="7C44E309" w14:textId="77777777" w:rsidR="00D15122" w:rsidRPr="00D6167B" w:rsidRDefault="00D15122" w:rsidP="007608DF">
      <w:pPr>
        <w:keepNext/>
        <w:widowControl/>
        <w:jc w:val="both"/>
        <w:rPr>
          <w:rFonts w:ascii="Times New Roman" w:eastAsia="Times New Roman" w:hAnsi="Times New Roman"/>
          <w:i/>
          <w:lang w:val="hr-HR"/>
        </w:rPr>
      </w:pPr>
    </w:p>
    <w:p w14:paraId="79C6CC6C" w14:textId="77777777" w:rsidR="00D15122" w:rsidRPr="00D6167B" w:rsidRDefault="009B0756" w:rsidP="007608DF">
      <w:pPr>
        <w:pStyle w:val="BodyText"/>
        <w:keepNext/>
        <w:widowControl/>
        <w:ind w:left="0"/>
        <w:jc w:val="both"/>
        <w:rPr>
          <w:lang w:val="hr-HR"/>
        </w:rPr>
      </w:pPr>
      <w:r w:rsidRPr="00D6167B">
        <w:rPr>
          <w:lang w:val="hr-HR"/>
        </w:rPr>
        <w:t xml:space="preserve">Preporučena doza lijeka Zirabev, primjenjenog u obliku intravenske infuzije, iznosi ili 5 mg/kg ili 10 mg/kg tjelesne mase jednom na </w:t>
      </w:r>
      <w:r w:rsidRPr="00D6167B">
        <w:rPr>
          <w:u w:val="single" w:color="000000"/>
          <w:lang w:val="hr-HR"/>
        </w:rPr>
        <w:t xml:space="preserve">svake 2 nedjelje </w:t>
      </w:r>
      <w:r w:rsidRPr="00D6167B">
        <w:rPr>
          <w:lang w:val="hr-HR"/>
        </w:rPr>
        <w:t xml:space="preserve">ili 7,5 mg/kg ili 15 mg/kg tjelesne mase jednom na </w:t>
      </w:r>
      <w:r w:rsidRPr="00D6167B">
        <w:rPr>
          <w:u w:val="single" w:color="000000"/>
          <w:lang w:val="hr-HR"/>
        </w:rPr>
        <w:t>svake 3 nedjelje.</w:t>
      </w:r>
    </w:p>
    <w:p w14:paraId="5A9D4AB0" w14:textId="77777777" w:rsidR="00203535" w:rsidRPr="00D6167B" w:rsidRDefault="00203535" w:rsidP="007608DF">
      <w:pPr>
        <w:pStyle w:val="BodyText"/>
        <w:widowControl/>
        <w:ind w:left="0" w:right="203"/>
        <w:jc w:val="both"/>
        <w:rPr>
          <w:lang w:val="hr-HR"/>
        </w:rPr>
      </w:pPr>
    </w:p>
    <w:p w14:paraId="5F471ABA" w14:textId="77777777" w:rsidR="00D15122" w:rsidRPr="00D6167B" w:rsidRDefault="009B0756" w:rsidP="007608DF">
      <w:pPr>
        <w:pStyle w:val="BodyText"/>
        <w:widowControl/>
        <w:ind w:left="0" w:right="203"/>
        <w:jc w:val="both"/>
        <w:rPr>
          <w:lang w:val="hr-HR"/>
        </w:rPr>
      </w:pPr>
      <w:r w:rsidRPr="00D6167B">
        <w:rPr>
          <w:lang w:val="hr-HR"/>
        </w:rPr>
        <w:t>Preporučuje se da se liječenje nastavi sve do progresije osnovne bolesti ili do neprihvatljive toksičnosti.</w:t>
      </w:r>
    </w:p>
    <w:p w14:paraId="45D934C6" w14:textId="77777777" w:rsidR="00D15122" w:rsidRPr="00D6167B" w:rsidRDefault="00D15122" w:rsidP="007608DF">
      <w:pPr>
        <w:widowControl/>
        <w:jc w:val="both"/>
        <w:rPr>
          <w:rFonts w:ascii="Times New Roman" w:eastAsia="Times New Roman" w:hAnsi="Times New Roman"/>
          <w:lang w:val="hr-HR"/>
        </w:rPr>
      </w:pPr>
    </w:p>
    <w:p w14:paraId="38CA7CA7"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Metastatski karcinom dojke (mBC)</w:t>
      </w:r>
    </w:p>
    <w:p w14:paraId="4B1CDBA6" w14:textId="77777777" w:rsidR="00D15122" w:rsidRPr="00D6167B" w:rsidRDefault="00D15122" w:rsidP="007608DF">
      <w:pPr>
        <w:keepNext/>
        <w:widowControl/>
        <w:jc w:val="both"/>
        <w:rPr>
          <w:rFonts w:ascii="Times New Roman" w:eastAsia="Times New Roman" w:hAnsi="Times New Roman"/>
          <w:lang w:val="hr-HR"/>
        </w:rPr>
      </w:pPr>
    </w:p>
    <w:p w14:paraId="2D234600" w14:textId="77777777" w:rsidR="00D15122" w:rsidRPr="00D6167B" w:rsidRDefault="009B0756" w:rsidP="007608DF">
      <w:pPr>
        <w:pStyle w:val="BodyText"/>
        <w:keepNext/>
        <w:widowControl/>
        <w:ind w:left="0" w:right="68"/>
        <w:jc w:val="both"/>
        <w:rPr>
          <w:lang w:val="hr-HR"/>
        </w:rPr>
      </w:pPr>
      <w:r w:rsidRPr="00D6167B">
        <w:rPr>
          <w:lang w:val="hr-HR"/>
        </w:rPr>
        <w:t>Preporučena doza lijeka Zirabev iznosi 10 mg/kg tjelesne mase jednom na svake 2 nedjelje ili 15 mg/kg tjelesne mase jednom na svake 3 nedjelje, u obliku intravenske infuzije.</w:t>
      </w:r>
    </w:p>
    <w:p w14:paraId="3D41278C" w14:textId="77777777" w:rsidR="00203535" w:rsidRPr="00D6167B" w:rsidRDefault="00203535" w:rsidP="007608DF">
      <w:pPr>
        <w:pStyle w:val="BodyText"/>
        <w:widowControl/>
        <w:ind w:left="0" w:right="203"/>
        <w:jc w:val="both"/>
        <w:rPr>
          <w:lang w:val="hr-HR"/>
        </w:rPr>
      </w:pPr>
    </w:p>
    <w:p w14:paraId="0796EC85" w14:textId="77777777" w:rsidR="00D15122" w:rsidRPr="00D6167B" w:rsidRDefault="009B0756" w:rsidP="007608DF">
      <w:pPr>
        <w:pStyle w:val="BodyText"/>
        <w:widowControl/>
        <w:ind w:left="0" w:right="203"/>
        <w:jc w:val="both"/>
        <w:rPr>
          <w:lang w:val="hr-HR"/>
        </w:rPr>
      </w:pPr>
      <w:r w:rsidRPr="00D6167B">
        <w:rPr>
          <w:lang w:val="hr-HR"/>
        </w:rPr>
        <w:t>Preporučuje se da se liječenje nastavi sve do progresije osnovne bolesti ili do neprihvatljive toksičnosti.</w:t>
      </w:r>
    </w:p>
    <w:p w14:paraId="43FC68CF" w14:textId="77777777" w:rsidR="00185752" w:rsidRPr="00D6167B" w:rsidRDefault="009B0756" w:rsidP="007608DF">
      <w:pPr>
        <w:keepNext/>
        <w:widowControl/>
        <w:jc w:val="both"/>
        <w:rPr>
          <w:rFonts w:ascii="Times New Roman" w:hAnsi="Times New Roman"/>
          <w:i/>
          <w:u w:val="single" w:color="000000"/>
          <w:lang w:val="hr-HR"/>
        </w:rPr>
      </w:pPr>
      <w:r w:rsidRPr="00D6167B">
        <w:rPr>
          <w:rFonts w:ascii="Times New Roman" w:hAnsi="Times New Roman"/>
          <w:i/>
          <w:u w:val="single" w:color="000000"/>
          <w:lang w:val="hr-HR"/>
        </w:rPr>
        <w:lastRenderedPageBreak/>
        <w:t xml:space="preserve">Karcinom </w:t>
      </w:r>
      <w:r w:rsidR="00185752" w:rsidRPr="00D6167B">
        <w:rPr>
          <w:rFonts w:ascii="Times New Roman" w:hAnsi="Times New Roman"/>
          <w:i/>
          <w:u w:val="single" w:color="000000"/>
        </w:rPr>
        <w:t>pluća nemalih ćelija (engl. non-small cell lung cancer, NSCLC)</w:t>
      </w:r>
      <w:r w:rsidR="00185752" w:rsidRPr="00D6167B" w:rsidDel="00185752">
        <w:rPr>
          <w:rFonts w:ascii="Times New Roman" w:hAnsi="Times New Roman"/>
          <w:i/>
          <w:u w:val="single" w:color="000000"/>
          <w:lang w:val="hr-HR"/>
        </w:rPr>
        <w:t xml:space="preserve"> </w:t>
      </w:r>
    </w:p>
    <w:p w14:paraId="454D9368" w14:textId="77777777" w:rsidR="00D15122" w:rsidRPr="00D6167B" w:rsidRDefault="00D15122" w:rsidP="007608DF">
      <w:pPr>
        <w:keepNext/>
        <w:widowControl/>
        <w:jc w:val="both"/>
        <w:rPr>
          <w:rFonts w:ascii="Times New Roman" w:eastAsia="Times New Roman" w:hAnsi="Times New Roman"/>
          <w:lang w:val="hr-HR"/>
        </w:rPr>
      </w:pPr>
    </w:p>
    <w:p w14:paraId="4C1CDE30" w14:textId="77777777" w:rsidR="00D15122" w:rsidRPr="00D6167B" w:rsidRDefault="009B0756" w:rsidP="007608DF">
      <w:pPr>
        <w:keepNext/>
        <w:widowControl/>
        <w:jc w:val="both"/>
        <w:rPr>
          <w:rFonts w:ascii="Times New Roman" w:hAnsi="Times New Roman"/>
          <w:i/>
          <w:lang w:val="hr-HR"/>
        </w:rPr>
      </w:pPr>
      <w:r w:rsidRPr="00D6167B">
        <w:rPr>
          <w:rFonts w:ascii="Times New Roman" w:hAnsi="Times New Roman"/>
          <w:i/>
          <w:lang w:val="hr-HR"/>
        </w:rPr>
        <w:t xml:space="preserve">Prva linija </w:t>
      </w:r>
      <w:r w:rsidR="00185752" w:rsidRPr="00D6167B">
        <w:rPr>
          <w:rFonts w:ascii="Times New Roman" w:hAnsi="Times New Roman"/>
          <w:i/>
          <w:lang w:val="hr-HR"/>
        </w:rPr>
        <w:t>terapije</w:t>
      </w:r>
      <w:r w:rsidR="00430924" w:rsidRPr="00D6167B">
        <w:rPr>
          <w:rFonts w:ascii="Times New Roman" w:hAnsi="Times New Roman"/>
          <w:i/>
          <w:lang w:val="hr-HR"/>
        </w:rPr>
        <w:t xml:space="preserve"> neskvamoznog</w:t>
      </w:r>
      <w:r w:rsidRPr="00D6167B">
        <w:rPr>
          <w:rFonts w:ascii="Times New Roman" w:hAnsi="Times New Roman"/>
          <w:i/>
          <w:lang w:val="hr-HR"/>
        </w:rPr>
        <w:t xml:space="preserve"> NSCLC</w:t>
      </w:r>
      <w:r w:rsidR="00430924" w:rsidRPr="00D6167B">
        <w:rPr>
          <w:rFonts w:ascii="Times New Roman" w:hAnsi="Times New Roman"/>
          <w:i/>
          <w:lang w:val="hr-HR"/>
        </w:rPr>
        <w:t xml:space="preserve">-a </w:t>
      </w:r>
      <w:r w:rsidRPr="00D6167B">
        <w:rPr>
          <w:rFonts w:ascii="Times New Roman" w:hAnsi="Times New Roman"/>
          <w:i/>
          <w:lang w:val="hr-HR"/>
        </w:rPr>
        <w:t>u kombinaciji sa hemoterapijom zasnovano</w:t>
      </w:r>
      <w:r w:rsidR="00430924" w:rsidRPr="00D6167B">
        <w:rPr>
          <w:rFonts w:ascii="Times New Roman" w:hAnsi="Times New Roman"/>
          <w:i/>
          <w:lang w:val="hr-HR"/>
        </w:rPr>
        <w:t>j</w:t>
      </w:r>
      <w:r w:rsidRPr="00D6167B">
        <w:rPr>
          <w:rFonts w:ascii="Times New Roman" w:hAnsi="Times New Roman"/>
          <w:i/>
          <w:lang w:val="hr-HR"/>
        </w:rPr>
        <w:t xml:space="preserve"> na platini.</w:t>
      </w:r>
    </w:p>
    <w:p w14:paraId="0A84B660" w14:textId="77777777" w:rsidR="00D15122" w:rsidRPr="00D6167B" w:rsidRDefault="00D15122" w:rsidP="007608DF">
      <w:pPr>
        <w:keepNext/>
        <w:widowControl/>
        <w:jc w:val="both"/>
        <w:rPr>
          <w:rFonts w:ascii="Times New Roman" w:eastAsia="Times New Roman" w:hAnsi="Times New Roman"/>
          <w:lang w:val="hr-HR"/>
        </w:rPr>
      </w:pPr>
    </w:p>
    <w:p w14:paraId="205539AC" w14:textId="77777777" w:rsidR="00D15122" w:rsidRPr="00D6167B" w:rsidRDefault="00430924" w:rsidP="007608DF">
      <w:pPr>
        <w:pStyle w:val="BodyText"/>
        <w:keepNext/>
        <w:widowControl/>
        <w:ind w:left="0" w:right="203"/>
        <w:jc w:val="both"/>
        <w:rPr>
          <w:lang w:val="hr-HR"/>
        </w:rPr>
      </w:pPr>
      <w:r w:rsidRPr="00D6167B">
        <w:rPr>
          <w:lang w:val="hr-HR"/>
        </w:rPr>
        <w:t xml:space="preserve">Lijek </w:t>
      </w:r>
      <w:r w:rsidR="00760F57" w:rsidRPr="00D6167B">
        <w:rPr>
          <w:lang w:val="hr-HR"/>
        </w:rPr>
        <w:t>Zirabev se primjenjuje kao dodatak hemoterapiji zasnovanoj na platini tokom najviše 6 ciklus</w:t>
      </w:r>
      <w:r w:rsidRPr="00D6167B">
        <w:rPr>
          <w:lang w:val="hr-HR"/>
        </w:rPr>
        <w:t>a terapije</w:t>
      </w:r>
      <w:r w:rsidR="00760F57" w:rsidRPr="00D6167B">
        <w:rPr>
          <w:lang w:val="hr-HR"/>
        </w:rPr>
        <w:t>, posl</w:t>
      </w:r>
      <w:r w:rsidR="00EA7D3C" w:rsidRPr="00D6167B">
        <w:rPr>
          <w:lang w:val="hr-HR"/>
        </w:rPr>
        <w:t>i</w:t>
      </w:r>
      <w:r w:rsidR="00760F57" w:rsidRPr="00D6167B">
        <w:rPr>
          <w:lang w:val="hr-HR"/>
        </w:rPr>
        <w:t>je čega slijedi primjena lijeka Zirabev kao jedinog agensa sve do progresije bolesti.</w:t>
      </w:r>
    </w:p>
    <w:p w14:paraId="00924930" w14:textId="77777777" w:rsidR="00203535" w:rsidRPr="00D6167B" w:rsidRDefault="00203535" w:rsidP="007608DF">
      <w:pPr>
        <w:pStyle w:val="BodyText"/>
        <w:widowControl/>
        <w:ind w:left="0" w:right="203"/>
        <w:jc w:val="both"/>
        <w:rPr>
          <w:lang w:val="hr-HR"/>
        </w:rPr>
      </w:pPr>
    </w:p>
    <w:p w14:paraId="070E77C7" w14:textId="77777777" w:rsidR="00D15122" w:rsidRPr="00D6167B" w:rsidRDefault="009B0756" w:rsidP="007608DF">
      <w:pPr>
        <w:pStyle w:val="BodyText"/>
        <w:widowControl/>
        <w:ind w:left="0" w:right="203"/>
        <w:jc w:val="both"/>
        <w:rPr>
          <w:lang w:val="hr-HR"/>
        </w:rPr>
      </w:pPr>
      <w:r w:rsidRPr="00D6167B">
        <w:rPr>
          <w:lang w:val="hr-HR"/>
        </w:rPr>
        <w:t>Preporučena doza lijeka Zirabev iznosi 7,5 mg/kg ili 15 mg/kg tjelesne mase</w:t>
      </w:r>
      <w:r w:rsidR="00430924" w:rsidRPr="00D6167B">
        <w:rPr>
          <w:lang w:val="hr-HR"/>
        </w:rPr>
        <w:t>,</w:t>
      </w:r>
      <w:r w:rsidRPr="00D6167B">
        <w:rPr>
          <w:lang w:val="hr-HR"/>
        </w:rPr>
        <w:t xml:space="preserve"> jednom na svake 3 nedjelje, u obliku intravenske infuzije.</w:t>
      </w:r>
    </w:p>
    <w:p w14:paraId="5115CFC1" w14:textId="77777777" w:rsidR="00D524A6" w:rsidRPr="00D6167B" w:rsidRDefault="00D524A6" w:rsidP="007608DF">
      <w:pPr>
        <w:pStyle w:val="BodyText"/>
        <w:widowControl/>
        <w:ind w:left="0" w:right="216"/>
        <w:jc w:val="both"/>
        <w:rPr>
          <w:lang w:val="hr-HR"/>
        </w:rPr>
      </w:pPr>
    </w:p>
    <w:p w14:paraId="4CD008E0" w14:textId="77777777" w:rsidR="00D15122" w:rsidRPr="00D6167B" w:rsidRDefault="009B0756" w:rsidP="007608DF">
      <w:pPr>
        <w:pStyle w:val="BodyText"/>
        <w:widowControl/>
        <w:ind w:left="0" w:right="216"/>
        <w:jc w:val="both"/>
        <w:rPr>
          <w:lang w:val="hr-HR"/>
        </w:rPr>
      </w:pPr>
      <w:r w:rsidRPr="00D6167B">
        <w:rPr>
          <w:lang w:val="hr-HR"/>
        </w:rPr>
        <w:t xml:space="preserve">Kliničke prednosti kod pacijenata koji imaju NSCLC dokazana je i sa dozama od 7,5 mg/kg i 15 mg/kg (pogledajte </w:t>
      </w:r>
      <w:r w:rsidR="00B738E2" w:rsidRPr="00D6167B">
        <w:rPr>
          <w:lang w:val="hr-HR"/>
        </w:rPr>
        <w:t xml:space="preserve">dio </w:t>
      </w:r>
      <w:r w:rsidRPr="00D6167B">
        <w:rPr>
          <w:lang w:val="hr-HR"/>
        </w:rPr>
        <w:t>5.1).</w:t>
      </w:r>
    </w:p>
    <w:p w14:paraId="63F14ECB" w14:textId="77777777" w:rsidR="00203535" w:rsidRPr="00D6167B" w:rsidRDefault="00203535" w:rsidP="007608DF">
      <w:pPr>
        <w:pStyle w:val="BodyText"/>
        <w:widowControl/>
        <w:ind w:left="0" w:right="203"/>
        <w:jc w:val="both"/>
        <w:rPr>
          <w:lang w:val="hr-HR"/>
        </w:rPr>
      </w:pPr>
    </w:p>
    <w:p w14:paraId="3B689E48" w14:textId="77777777" w:rsidR="00D15122" w:rsidRPr="00D6167B" w:rsidRDefault="009B0756" w:rsidP="007608DF">
      <w:pPr>
        <w:pStyle w:val="BodyText"/>
        <w:widowControl/>
        <w:ind w:left="0"/>
        <w:jc w:val="both"/>
        <w:rPr>
          <w:lang w:val="hr-HR"/>
        </w:rPr>
      </w:pPr>
      <w:r w:rsidRPr="00D6167B">
        <w:rPr>
          <w:lang w:val="hr-HR"/>
        </w:rPr>
        <w:t>Preporučuje se da se liječenje nastavi sve do progresije osnovne bolesti ili do neprihvatljive toksičnosti.</w:t>
      </w:r>
    </w:p>
    <w:p w14:paraId="378D1682" w14:textId="77777777" w:rsidR="00D15122" w:rsidRPr="00D6167B" w:rsidRDefault="00D15122" w:rsidP="007608DF">
      <w:pPr>
        <w:widowControl/>
        <w:jc w:val="both"/>
        <w:rPr>
          <w:rFonts w:ascii="Times New Roman" w:eastAsia="Times New Roman" w:hAnsi="Times New Roman"/>
          <w:lang w:val="hr-HR"/>
        </w:rPr>
      </w:pPr>
    </w:p>
    <w:p w14:paraId="3AA557B6" w14:textId="77777777" w:rsidR="006A5C86" w:rsidRPr="00D37692" w:rsidRDefault="006A5C86" w:rsidP="007608DF">
      <w:pPr>
        <w:widowControl/>
        <w:autoSpaceDE w:val="0"/>
        <w:autoSpaceDN w:val="0"/>
        <w:adjustRightInd w:val="0"/>
        <w:jc w:val="both"/>
        <w:rPr>
          <w:rFonts w:ascii="Times New Roman" w:hAnsi="Times New Roman"/>
          <w:i/>
          <w:lang w:val="hr-HR"/>
        </w:rPr>
      </w:pPr>
      <w:r w:rsidRPr="00D37692">
        <w:rPr>
          <w:rFonts w:ascii="Times New Roman" w:hAnsi="Times New Roman"/>
          <w:i/>
          <w:lang w:val="hr-HR"/>
        </w:rPr>
        <w:t xml:space="preserve">Prva linija liječenja </w:t>
      </w:r>
      <w:r w:rsidR="00430924" w:rsidRPr="00D37692">
        <w:rPr>
          <w:rFonts w:ascii="Times New Roman" w:hAnsi="Times New Roman"/>
          <w:i/>
          <w:lang w:val="hr-HR"/>
        </w:rPr>
        <w:t xml:space="preserve">neskvamoznog </w:t>
      </w:r>
      <w:r w:rsidRPr="00D37692">
        <w:rPr>
          <w:rFonts w:ascii="Times New Roman" w:hAnsi="Times New Roman"/>
          <w:i/>
          <w:lang w:val="hr-HR"/>
        </w:rPr>
        <w:t>NSCLC</w:t>
      </w:r>
      <w:r w:rsidR="00430924" w:rsidRPr="00D37692">
        <w:rPr>
          <w:rFonts w:ascii="Times New Roman" w:hAnsi="Times New Roman"/>
          <w:i/>
          <w:lang w:val="hr-HR"/>
        </w:rPr>
        <w:t>-a</w:t>
      </w:r>
      <w:r w:rsidRPr="00D37692">
        <w:rPr>
          <w:rFonts w:ascii="Times New Roman" w:hAnsi="Times New Roman"/>
          <w:i/>
          <w:lang w:val="hr-HR"/>
        </w:rPr>
        <w:t xml:space="preserve"> </w:t>
      </w:r>
      <w:r w:rsidR="00430924" w:rsidRPr="00D37692">
        <w:rPr>
          <w:rFonts w:ascii="Times New Roman" w:hAnsi="Times New Roman"/>
          <w:i/>
        </w:rPr>
        <w:t>sa aktivirajućim mutacijama EGFR-a u kombinaciji s erlotinibom</w:t>
      </w:r>
      <w:r w:rsidR="00430924" w:rsidRPr="00D37692" w:rsidDel="00430924">
        <w:rPr>
          <w:rFonts w:ascii="Times New Roman" w:hAnsi="Times New Roman"/>
          <w:i/>
          <w:lang w:val="hr-HR"/>
        </w:rPr>
        <w:t xml:space="preserve"> </w:t>
      </w:r>
    </w:p>
    <w:p w14:paraId="7422BCD4" w14:textId="77777777" w:rsidR="006A5C86" w:rsidRPr="00D37692" w:rsidRDefault="006A5C86" w:rsidP="007608DF">
      <w:pPr>
        <w:widowControl/>
        <w:autoSpaceDE w:val="0"/>
        <w:autoSpaceDN w:val="0"/>
        <w:adjustRightInd w:val="0"/>
        <w:jc w:val="both"/>
        <w:rPr>
          <w:rFonts w:ascii="Times New Roman" w:hAnsi="Times New Roman"/>
          <w:lang w:val="hr-HR"/>
        </w:rPr>
      </w:pPr>
    </w:p>
    <w:p w14:paraId="73B2F771" w14:textId="77777777" w:rsidR="006A5C86" w:rsidRPr="00D37692" w:rsidRDefault="006A5C86" w:rsidP="007608DF">
      <w:pPr>
        <w:keepNext/>
        <w:keepLines/>
        <w:widowControl/>
        <w:jc w:val="both"/>
        <w:rPr>
          <w:rFonts w:ascii="Times New Roman" w:hAnsi="Times New Roman"/>
          <w:lang w:val="hr-HR"/>
        </w:rPr>
      </w:pPr>
      <w:r w:rsidRPr="00D37692">
        <w:rPr>
          <w:rFonts w:ascii="Times New Roman" w:hAnsi="Times New Roman"/>
          <w:lang w:val="hr-HR"/>
        </w:rPr>
        <w:t>Testiranje mutiranja EGFR mora da se obavi prije početka liječenja kombinacijom l</w:t>
      </w:r>
      <w:r w:rsidR="00430924" w:rsidRPr="00D37692">
        <w:rPr>
          <w:rFonts w:ascii="Times New Roman" w:hAnsi="Times New Roman"/>
          <w:lang w:val="hr-HR"/>
        </w:rPr>
        <w:t xml:space="preserve">ijeka </w:t>
      </w:r>
      <w:r w:rsidRPr="00D37692">
        <w:rPr>
          <w:rFonts w:ascii="Times New Roman" w:hAnsi="Times New Roman"/>
          <w:lang w:val="hr-HR"/>
        </w:rPr>
        <w:t>Zirabev i erlotinib</w:t>
      </w:r>
      <w:r w:rsidR="00430924" w:rsidRPr="00D37692">
        <w:rPr>
          <w:rFonts w:ascii="Times New Roman" w:hAnsi="Times New Roman"/>
          <w:lang w:val="hr-HR"/>
        </w:rPr>
        <w:t>a</w:t>
      </w:r>
      <w:r w:rsidRPr="00D37692">
        <w:rPr>
          <w:rFonts w:ascii="Times New Roman" w:hAnsi="Times New Roman"/>
          <w:lang w:val="hr-HR"/>
        </w:rPr>
        <w:t>. Važno je da se odabere dobro</w:t>
      </w:r>
      <w:r w:rsidR="00430924" w:rsidRPr="00D37692">
        <w:rPr>
          <w:rFonts w:ascii="Times New Roman" w:hAnsi="Times New Roman"/>
          <w:lang w:val="hr-HR"/>
        </w:rPr>
        <w:t xml:space="preserve"> validirana</w:t>
      </w:r>
      <w:r w:rsidRPr="00D37692">
        <w:rPr>
          <w:rFonts w:ascii="Times New Roman" w:hAnsi="Times New Roman"/>
          <w:lang w:val="hr-HR"/>
        </w:rPr>
        <w:t xml:space="preserve"> i </w:t>
      </w:r>
      <w:r w:rsidR="00430924" w:rsidRPr="00D37692">
        <w:rPr>
          <w:rFonts w:ascii="Times New Roman" w:hAnsi="Times New Roman"/>
          <w:lang w:val="hr-HR"/>
        </w:rPr>
        <w:t>pouzdana</w:t>
      </w:r>
      <w:r w:rsidRPr="00D37692">
        <w:rPr>
          <w:rFonts w:ascii="Times New Roman" w:hAnsi="Times New Roman"/>
          <w:lang w:val="hr-HR"/>
        </w:rPr>
        <w:t xml:space="preserve"> metodologija kako bi se izbjegle lažno negativn</w:t>
      </w:r>
      <w:r w:rsidR="00430924" w:rsidRPr="00D37692">
        <w:rPr>
          <w:rFonts w:ascii="Times New Roman" w:hAnsi="Times New Roman"/>
          <w:lang w:val="hr-HR"/>
        </w:rPr>
        <w:t>a</w:t>
      </w:r>
      <w:r w:rsidRPr="00D37692">
        <w:rPr>
          <w:rFonts w:ascii="Times New Roman" w:hAnsi="Times New Roman"/>
          <w:lang w:val="hr-HR"/>
        </w:rPr>
        <w:t xml:space="preserve"> ili lažno pozitivn</w:t>
      </w:r>
      <w:r w:rsidR="00430924" w:rsidRPr="00D37692">
        <w:rPr>
          <w:rFonts w:ascii="Times New Roman" w:hAnsi="Times New Roman"/>
          <w:lang w:val="hr-HR"/>
        </w:rPr>
        <w:t>a određivanja</w:t>
      </w:r>
      <w:r w:rsidRPr="00D37692">
        <w:rPr>
          <w:rFonts w:ascii="Times New Roman" w:hAnsi="Times New Roman"/>
          <w:lang w:val="hr-HR"/>
        </w:rPr>
        <w:t>.</w:t>
      </w:r>
    </w:p>
    <w:p w14:paraId="33CB8F94" w14:textId="77777777" w:rsidR="006A5C86" w:rsidRPr="00D37692" w:rsidRDefault="006A5C86" w:rsidP="007608DF">
      <w:pPr>
        <w:keepNext/>
        <w:keepLines/>
        <w:widowControl/>
        <w:jc w:val="both"/>
        <w:rPr>
          <w:rFonts w:ascii="Times New Roman" w:hAnsi="Times New Roman"/>
          <w:lang w:val="hr-HR"/>
        </w:rPr>
      </w:pPr>
    </w:p>
    <w:p w14:paraId="234FFF67" w14:textId="77777777" w:rsidR="006A5C86" w:rsidRPr="00D37692" w:rsidRDefault="006A5C8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Preporučena doza lijeka Zirabev kada se koristi kao dodatak erlotinibu iznosi 15 mg/kg tjelesne mase jednom na svake 3 nedjelje, u obliku intravenske infuzije.</w:t>
      </w:r>
    </w:p>
    <w:p w14:paraId="4F05D5B4" w14:textId="77777777" w:rsidR="006A5C86" w:rsidRPr="00D37692" w:rsidRDefault="006A5C86" w:rsidP="007608DF">
      <w:pPr>
        <w:widowControl/>
        <w:autoSpaceDE w:val="0"/>
        <w:autoSpaceDN w:val="0"/>
        <w:adjustRightInd w:val="0"/>
        <w:jc w:val="both"/>
        <w:rPr>
          <w:rFonts w:ascii="Times New Roman" w:hAnsi="Times New Roman"/>
          <w:lang w:val="hr-HR"/>
        </w:rPr>
      </w:pPr>
    </w:p>
    <w:p w14:paraId="2DE43894" w14:textId="77777777" w:rsidR="006A5C86" w:rsidRPr="00D37692" w:rsidRDefault="006A5C8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Preporučuje se da se liječenje lijekom Zirabev pored erlotiniba nastavi sve do progresije bolesti.</w:t>
      </w:r>
    </w:p>
    <w:p w14:paraId="275B459B" w14:textId="77777777" w:rsidR="006A5C86" w:rsidRPr="00D37692" w:rsidRDefault="006A5C86" w:rsidP="007608DF">
      <w:pPr>
        <w:widowControl/>
        <w:autoSpaceDE w:val="0"/>
        <w:autoSpaceDN w:val="0"/>
        <w:adjustRightInd w:val="0"/>
        <w:jc w:val="both"/>
        <w:rPr>
          <w:rFonts w:ascii="Times New Roman" w:hAnsi="Times New Roman"/>
          <w:lang w:val="hr-HR"/>
        </w:rPr>
      </w:pPr>
    </w:p>
    <w:p w14:paraId="738A1BDB" w14:textId="77777777" w:rsidR="00FA4109" w:rsidRPr="00D37692" w:rsidRDefault="006A5C86" w:rsidP="007608DF">
      <w:pPr>
        <w:keepNext/>
        <w:keepLines/>
        <w:widowControl/>
        <w:jc w:val="both"/>
        <w:rPr>
          <w:rFonts w:ascii="Times New Roman" w:hAnsi="Times New Roman"/>
          <w:lang w:val="hr-HR"/>
        </w:rPr>
      </w:pPr>
      <w:r w:rsidRPr="00D37692">
        <w:rPr>
          <w:rFonts w:ascii="Times New Roman" w:hAnsi="Times New Roman"/>
          <w:lang w:val="hr-HR"/>
        </w:rPr>
        <w:t xml:space="preserve">Informacije o doziranju i načinu primjene erlotiniba potražite u </w:t>
      </w:r>
      <w:r w:rsidR="00FA4109" w:rsidRPr="00D37692">
        <w:rPr>
          <w:rFonts w:ascii="Times New Roman" w:hAnsi="Times New Roman"/>
          <w:lang w:val="hr-HR"/>
        </w:rPr>
        <w:t xml:space="preserve">Uputstvu za lijek erlotinib. </w:t>
      </w:r>
    </w:p>
    <w:p w14:paraId="145B8484" w14:textId="77777777" w:rsidR="006A5C86" w:rsidRPr="00D37692" w:rsidRDefault="006A5C86" w:rsidP="007608DF">
      <w:pPr>
        <w:keepNext/>
        <w:keepLines/>
        <w:widowControl/>
        <w:jc w:val="both"/>
        <w:rPr>
          <w:rFonts w:ascii="Times New Roman" w:hAnsi="Times New Roman"/>
          <w:lang w:val="hr-HR"/>
        </w:rPr>
      </w:pPr>
    </w:p>
    <w:p w14:paraId="15F77B6C" w14:textId="77777777" w:rsidR="00D15122" w:rsidRPr="00D6167B" w:rsidRDefault="009B0756" w:rsidP="007608DF">
      <w:pPr>
        <w:keepNext/>
        <w:keepLines/>
        <w:widowControl/>
        <w:jc w:val="both"/>
        <w:rPr>
          <w:rFonts w:ascii="Times New Roman" w:eastAsia="Times New Roman" w:hAnsi="Times New Roman"/>
          <w:i/>
          <w:lang w:val="hr-HR"/>
        </w:rPr>
      </w:pPr>
      <w:r w:rsidRPr="00D6167B">
        <w:rPr>
          <w:rFonts w:ascii="Times New Roman" w:hAnsi="Times New Roman"/>
          <w:i/>
          <w:u w:val="single" w:color="000000"/>
          <w:lang w:val="hr-HR"/>
        </w:rPr>
        <w:t>Uznapredovali i/ili metastatski karcinom renalnih ćelija (mRCC)</w:t>
      </w:r>
    </w:p>
    <w:p w14:paraId="52468BF1" w14:textId="77777777" w:rsidR="00D15122" w:rsidRPr="00D6167B" w:rsidRDefault="00D15122" w:rsidP="007608DF">
      <w:pPr>
        <w:keepNext/>
        <w:keepLines/>
        <w:widowControl/>
        <w:jc w:val="both"/>
        <w:rPr>
          <w:rFonts w:ascii="Times New Roman" w:eastAsia="Times New Roman" w:hAnsi="Times New Roman"/>
          <w:lang w:val="hr-HR"/>
        </w:rPr>
      </w:pPr>
    </w:p>
    <w:p w14:paraId="77736EBE" w14:textId="77777777" w:rsidR="00D15122" w:rsidRPr="00D6167B" w:rsidRDefault="009B0756" w:rsidP="007608DF">
      <w:pPr>
        <w:pStyle w:val="BodyText"/>
        <w:keepNext/>
        <w:keepLines/>
        <w:widowControl/>
        <w:ind w:left="0"/>
        <w:jc w:val="both"/>
        <w:rPr>
          <w:lang w:val="hr-HR"/>
        </w:rPr>
      </w:pPr>
      <w:r w:rsidRPr="00D6167B">
        <w:rPr>
          <w:lang w:val="hr-HR"/>
        </w:rPr>
        <w:t>Preporučena doza lijeka Zirabev iznosi 10 mg/kg tjelesne mase jednom na svake 2 nedjelje, u obliku intravenske infuzije.</w:t>
      </w:r>
    </w:p>
    <w:p w14:paraId="226C7931" w14:textId="77777777" w:rsidR="00203535" w:rsidRPr="00D6167B" w:rsidRDefault="00203535" w:rsidP="007608DF">
      <w:pPr>
        <w:pStyle w:val="BodyText"/>
        <w:widowControl/>
        <w:ind w:left="0"/>
        <w:jc w:val="both"/>
        <w:rPr>
          <w:lang w:val="hr-HR"/>
        </w:rPr>
      </w:pPr>
    </w:p>
    <w:p w14:paraId="3672248B" w14:textId="77777777" w:rsidR="00D15122" w:rsidRPr="00D6167B" w:rsidRDefault="009B0756" w:rsidP="007608DF">
      <w:pPr>
        <w:pStyle w:val="BodyText"/>
        <w:widowControl/>
        <w:ind w:left="0"/>
        <w:jc w:val="both"/>
        <w:rPr>
          <w:lang w:val="hr-HR"/>
        </w:rPr>
      </w:pPr>
      <w:r w:rsidRPr="00D6167B">
        <w:rPr>
          <w:lang w:val="hr-HR"/>
        </w:rPr>
        <w:t>Preporučuje se da se liječenje nastavi sve do progresije osnovne bolesti ili do neprihvatljive toksičnosti.</w:t>
      </w:r>
    </w:p>
    <w:p w14:paraId="53F0B6DF" w14:textId="77777777" w:rsidR="002E30F6" w:rsidRPr="00D6167B" w:rsidRDefault="002E30F6" w:rsidP="007608DF">
      <w:pPr>
        <w:widowControl/>
        <w:jc w:val="both"/>
        <w:rPr>
          <w:rFonts w:ascii="Times New Roman" w:eastAsia="Times New Roman" w:hAnsi="Times New Roman"/>
          <w:lang w:val="hr-HR"/>
        </w:rPr>
      </w:pPr>
    </w:p>
    <w:p w14:paraId="54A462B3" w14:textId="77777777" w:rsidR="002E30F6" w:rsidRPr="00D37692" w:rsidRDefault="002E30F6" w:rsidP="007608DF">
      <w:pPr>
        <w:widowControl/>
        <w:autoSpaceDE w:val="0"/>
        <w:autoSpaceDN w:val="0"/>
        <w:adjustRightInd w:val="0"/>
        <w:jc w:val="both"/>
        <w:rPr>
          <w:rFonts w:ascii="Times New Roman" w:hAnsi="Times New Roman"/>
          <w:u w:val="single"/>
          <w:lang w:val="hr-HR"/>
        </w:rPr>
      </w:pPr>
      <w:r w:rsidRPr="00D37692">
        <w:rPr>
          <w:rFonts w:ascii="Times New Roman" w:hAnsi="Times New Roman"/>
          <w:i/>
          <w:u w:val="single"/>
          <w:lang w:val="hr-HR"/>
        </w:rPr>
        <w:t xml:space="preserve">Epitelni karcinom jajnika, jajovoda ili primarni peritonealni karcinom </w:t>
      </w:r>
    </w:p>
    <w:p w14:paraId="416B5720" w14:textId="77777777" w:rsidR="002E30F6" w:rsidRPr="00D37692" w:rsidRDefault="002E30F6" w:rsidP="007608DF">
      <w:pPr>
        <w:widowControl/>
        <w:autoSpaceDE w:val="0"/>
        <w:autoSpaceDN w:val="0"/>
        <w:adjustRightInd w:val="0"/>
        <w:jc w:val="both"/>
        <w:rPr>
          <w:rFonts w:ascii="Times New Roman" w:hAnsi="Times New Roman"/>
          <w:i/>
          <w:lang w:val="hr-HR"/>
        </w:rPr>
      </w:pPr>
    </w:p>
    <w:p w14:paraId="4DFA4842"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Prva linija</w:t>
      </w:r>
      <w:r w:rsidR="00E96893" w:rsidRPr="00D37692">
        <w:rPr>
          <w:rFonts w:ascii="Times New Roman" w:hAnsi="Times New Roman"/>
          <w:i/>
          <w:lang w:val="hr-HR"/>
        </w:rPr>
        <w:t xml:space="preserve"> terapije</w:t>
      </w:r>
      <w:r w:rsidRPr="00D37692">
        <w:rPr>
          <w:rFonts w:ascii="Times New Roman" w:hAnsi="Times New Roman"/>
          <w:i/>
          <w:lang w:val="hr-HR"/>
        </w:rPr>
        <w:t xml:space="preserve">: </w:t>
      </w:r>
      <w:r w:rsidR="00E96893" w:rsidRPr="00D37692">
        <w:rPr>
          <w:rFonts w:ascii="Times New Roman" w:hAnsi="Times New Roman"/>
          <w:lang w:val="hr-HR"/>
        </w:rPr>
        <w:t>Lijek</w:t>
      </w:r>
      <w:r w:rsidR="00E96893" w:rsidRPr="00D37692">
        <w:rPr>
          <w:rFonts w:ascii="Times New Roman" w:hAnsi="Times New Roman"/>
          <w:i/>
          <w:lang w:val="hr-HR"/>
        </w:rPr>
        <w:t xml:space="preserve"> </w:t>
      </w:r>
      <w:r w:rsidRPr="00D37692">
        <w:rPr>
          <w:rFonts w:ascii="Times New Roman" w:hAnsi="Times New Roman"/>
          <w:lang w:val="hr-HR"/>
        </w:rPr>
        <w:t>Zirabev se primjenjuje kao dodatak karboplatinu i paklitakselu tokom najviše 6 ciklusa liječenja, posl</w:t>
      </w:r>
      <w:r w:rsidR="00A9151E" w:rsidRPr="00D37692">
        <w:rPr>
          <w:rFonts w:ascii="Times New Roman" w:hAnsi="Times New Roman"/>
          <w:lang w:val="hr-HR"/>
        </w:rPr>
        <w:t>i</w:t>
      </w:r>
      <w:r w:rsidRPr="00D37692">
        <w:rPr>
          <w:rFonts w:ascii="Times New Roman" w:hAnsi="Times New Roman"/>
          <w:lang w:val="hr-HR"/>
        </w:rPr>
        <w:t xml:space="preserve">je čega slijedi primjena lijeka Zirabev kao jedinog agensa sve do progresije bolesti ili najviše 15 mjeseci ili do neprihvatljive toksičnosti, šta god da prvo nastupi. </w:t>
      </w:r>
    </w:p>
    <w:p w14:paraId="15B2D975" w14:textId="77777777" w:rsidR="00501312" w:rsidRPr="00D37692" w:rsidRDefault="00501312" w:rsidP="007608DF">
      <w:pPr>
        <w:widowControl/>
        <w:autoSpaceDE w:val="0"/>
        <w:autoSpaceDN w:val="0"/>
        <w:adjustRightInd w:val="0"/>
        <w:jc w:val="both"/>
        <w:rPr>
          <w:rFonts w:ascii="Times New Roman" w:hAnsi="Times New Roman"/>
          <w:lang w:val="hr-HR"/>
        </w:rPr>
      </w:pPr>
    </w:p>
    <w:p w14:paraId="094D09F1"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Preporučena doza lijeka Zirabev iznosi 15 mg/kg tjelesne mase</w:t>
      </w:r>
      <w:r w:rsidR="00E96893" w:rsidRPr="00D37692">
        <w:rPr>
          <w:rFonts w:ascii="Times New Roman" w:hAnsi="Times New Roman"/>
          <w:lang w:val="hr-HR"/>
        </w:rPr>
        <w:t>,</w:t>
      </w:r>
      <w:r w:rsidRPr="00D37692">
        <w:rPr>
          <w:rFonts w:ascii="Times New Roman" w:hAnsi="Times New Roman"/>
          <w:lang w:val="hr-HR"/>
        </w:rPr>
        <w:t xml:space="preserve"> jednom na svake 3 nedjelje, u obliku intravenske infuzije. </w:t>
      </w:r>
    </w:p>
    <w:p w14:paraId="6B830B02" w14:textId="77777777" w:rsidR="002E30F6" w:rsidRPr="00D37692" w:rsidRDefault="002E30F6" w:rsidP="007608DF">
      <w:pPr>
        <w:widowControl/>
        <w:autoSpaceDE w:val="0"/>
        <w:autoSpaceDN w:val="0"/>
        <w:adjustRightInd w:val="0"/>
        <w:jc w:val="both"/>
        <w:rPr>
          <w:rFonts w:ascii="Times New Roman" w:hAnsi="Times New Roman"/>
          <w:i/>
          <w:lang w:val="hr-HR"/>
        </w:rPr>
      </w:pPr>
    </w:p>
    <w:p w14:paraId="1D4A4F3A"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 xml:space="preserve">Liječenje rekurentnog oboljenja osjetljivog na platinu: </w:t>
      </w:r>
      <w:r w:rsidR="00E96893" w:rsidRPr="00D37692">
        <w:rPr>
          <w:rFonts w:ascii="Times New Roman" w:hAnsi="Times New Roman"/>
          <w:lang w:val="hr-HR"/>
        </w:rPr>
        <w:t xml:space="preserve">Lijek </w:t>
      </w:r>
      <w:r w:rsidRPr="00D37692">
        <w:rPr>
          <w:rFonts w:ascii="Times New Roman" w:hAnsi="Times New Roman"/>
          <w:lang w:val="hr-HR"/>
        </w:rPr>
        <w:t>Zirabev se primjenjuje ili u kombinaciji sa karboplatinom i gemcitabinom tokom 6 ciklusa, a najviše tokom 10 ciklusa ili u kombinaciji sa karboplatinom i paklitakselom tokom 6 ciklusa, a najviše tokom 8 ciklusa, posl</w:t>
      </w:r>
      <w:r w:rsidR="005A2F27" w:rsidRPr="00D37692">
        <w:rPr>
          <w:rFonts w:ascii="Times New Roman" w:hAnsi="Times New Roman"/>
          <w:lang w:val="hr-HR"/>
        </w:rPr>
        <w:t>i</w:t>
      </w:r>
      <w:r w:rsidRPr="00D37692">
        <w:rPr>
          <w:rFonts w:ascii="Times New Roman" w:hAnsi="Times New Roman"/>
          <w:lang w:val="hr-HR"/>
        </w:rPr>
        <w:t xml:space="preserve">je čega slijedi primjena lijeka Zirabev kao jedinog agensa sve do progresije bolesti. Preporučena doza lijeka Zirabev iznosi 15 mg/kg tjelesne mase jednom na svake 3 nedjelje, u obliku intravenske infuzije. </w:t>
      </w:r>
    </w:p>
    <w:p w14:paraId="46CE3584" w14:textId="77777777" w:rsidR="002E30F6" w:rsidRPr="00D37692" w:rsidRDefault="002E30F6" w:rsidP="007608DF">
      <w:pPr>
        <w:widowControl/>
        <w:jc w:val="both"/>
        <w:rPr>
          <w:rFonts w:ascii="Times New Roman" w:hAnsi="Times New Roman"/>
          <w:i/>
          <w:lang w:val="hr-HR"/>
        </w:rPr>
      </w:pPr>
    </w:p>
    <w:p w14:paraId="6FE7F3CC" w14:textId="220B0D5C" w:rsidR="002E30F6" w:rsidRPr="00D37692" w:rsidRDefault="002E30F6" w:rsidP="007608DF">
      <w:pPr>
        <w:widowControl/>
        <w:jc w:val="both"/>
        <w:rPr>
          <w:rFonts w:ascii="Times New Roman" w:hAnsi="Times New Roman"/>
          <w:lang w:val="hr-HR"/>
        </w:rPr>
      </w:pPr>
      <w:r w:rsidRPr="00D37692">
        <w:rPr>
          <w:rFonts w:ascii="Times New Roman" w:hAnsi="Times New Roman"/>
          <w:i/>
          <w:lang w:val="hr-HR"/>
        </w:rPr>
        <w:t xml:space="preserve">Liječenje rekurentnog oboljenja otpornog na platinu: </w:t>
      </w:r>
      <w:r w:rsidR="00E96893" w:rsidRPr="00D37692">
        <w:rPr>
          <w:rFonts w:ascii="Times New Roman" w:hAnsi="Times New Roman"/>
          <w:lang w:val="hr-HR"/>
        </w:rPr>
        <w:t>Lijek</w:t>
      </w:r>
      <w:r w:rsidR="00E96893" w:rsidRPr="00D37692">
        <w:rPr>
          <w:rFonts w:ascii="Times New Roman" w:hAnsi="Times New Roman"/>
          <w:i/>
          <w:lang w:val="hr-HR"/>
        </w:rPr>
        <w:t xml:space="preserve"> </w:t>
      </w:r>
      <w:r w:rsidRPr="00D37692">
        <w:rPr>
          <w:rFonts w:ascii="Times New Roman" w:hAnsi="Times New Roman"/>
          <w:lang w:val="hr-HR"/>
        </w:rPr>
        <w:t xml:space="preserve">Zirabev se primjenjuje u kombinaciji sa jednim od sljedećih agenasa – paklitakselom, topotekanom </w:t>
      </w:r>
      <w:r w:rsidR="00E96893" w:rsidRPr="00D6167B">
        <w:rPr>
          <w:rFonts w:ascii="Times New Roman" w:hAnsi="Times New Roman"/>
        </w:rPr>
        <w:t>(</w:t>
      </w:r>
      <w:r w:rsidR="00E96893" w:rsidRPr="00D37692">
        <w:rPr>
          <w:rFonts w:ascii="Times New Roman" w:hAnsi="Times New Roman"/>
        </w:rPr>
        <w:t>primijenjenim jednom nedjeljno</w:t>
      </w:r>
      <w:r w:rsidRPr="00D37692">
        <w:rPr>
          <w:rFonts w:ascii="Times New Roman" w:hAnsi="Times New Roman"/>
          <w:lang w:val="hr-HR"/>
        </w:rPr>
        <w:t>) ili pegilisanim lipozomalnim doksorubicinom. Preporučena doza lijeka Zirabev iznosi 10 mg/kg tjelesne mase</w:t>
      </w:r>
      <w:r w:rsidR="00E96893" w:rsidRPr="00D37692">
        <w:rPr>
          <w:rFonts w:ascii="Times New Roman" w:hAnsi="Times New Roman"/>
          <w:lang w:val="hr-HR"/>
        </w:rPr>
        <w:t>,</w:t>
      </w:r>
      <w:r w:rsidRPr="00D37692">
        <w:rPr>
          <w:rFonts w:ascii="Times New Roman" w:hAnsi="Times New Roman"/>
          <w:lang w:val="hr-HR"/>
        </w:rPr>
        <w:t xml:space="preserve"> jednom na svake 2 nedjelje, u obliku intravenske infuzije. Kada se </w:t>
      </w:r>
      <w:r w:rsidR="00E96893" w:rsidRPr="00D37692">
        <w:rPr>
          <w:rFonts w:ascii="Times New Roman" w:hAnsi="Times New Roman"/>
          <w:lang w:val="hr-HR"/>
        </w:rPr>
        <w:t xml:space="preserve">lijek </w:t>
      </w:r>
      <w:r w:rsidRPr="00D37692">
        <w:rPr>
          <w:rFonts w:ascii="Times New Roman" w:hAnsi="Times New Roman"/>
          <w:lang w:val="hr-HR"/>
        </w:rPr>
        <w:t xml:space="preserve">Zirabev primjenjuje u kombinaciji sa topotekanom (daje se </w:t>
      </w:r>
      <w:r w:rsidR="00E96893" w:rsidRPr="00D37692">
        <w:rPr>
          <w:rFonts w:ascii="Times New Roman" w:hAnsi="Times New Roman"/>
          <w:lang w:val="hr-HR"/>
        </w:rPr>
        <w:t>od 1. do 5. dana</w:t>
      </w:r>
      <w:r w:rsidRPr="00D37692">
        <w:rPr>
          <w:rFonts w:ascii="Times New Roman" w:hAnsi="Times New Roman"/>
          <w:lang w:val="hr-HR"/>
        </w:rPr>
        <w:t>, svake 3 nedjelje), preporučena doza lijeka Zirabev iznosi 15 mg/kg tjelesne mase</w:t>
      </w:r>
      <w:r w:rsidR="00E96893" w:rsidRPr="00D37692">
        <w:rPr>
          <w:rFonts w:ascii="Times New Roman" w:hAnsi="Times New Roman"/>
          <w:lang w:val="hr-HR"/>
        </w:rPr>
        <w:t>,</w:t>
      </w:r>
      <w:r w:rsidRPr="00D37692">
        <w:rPr>
          <w:rFonts w:ascii="Times New Roman" w:hAnsi="Times New Roman"/>
          <w:lang w:val="hr-HR"/>
        </w:rPr>
        <w:t xml:space="preserve"> jednom na svake 3 nedjelje, u obliku intravenske infuzije. Preporučuje </w:t>
      </w:r>
      <w:r w:rsidRPr="00D37692">
        <w:rPr>
          <w:rFonts w:ascii="Times New Roman" w:hAnsi="Times New Roman"/>
          <w:lang w:val="hr-HR"/>
        </w:rPr>
        <w:lastRenderedPageBreak/>
        <w:t xml:space="preserve">se da se liječenje nastavi sve do progresije bolesti ili do neprihvatljive toksičnosti (pogledajte </w:t>
      </w:r>
      <w:r w:rsidR="00B738E2" w:rsidRPr="00D37692">
        <w:rPr>
          <w:rFonts w:ascii="Times New Roman" w:hAnsi="Times New Roman"/>
          <w:lang w:val="hr-HR"/>
        </w:rPr>
        <w:t>dio </w:t>
      </w:r>
      <w:r w:rsidRPr="00D37692">
        <w:rPr>
          <w:rFonts w:ascii="Times New Roman" w:hAnsi="Times New Roman"/>
          <w:lang w:val="hr-HR"/>
        </w:rPr>
        <w:t>5.1, studija MO22224).</w:t>
      </w:r>
    </w:p>
    <w:p w14:paraId="3080DA10" w14:textId="77777777" w:rsidR="00D15122" w:rsidRPr="00D6167B" w:rsidRDefault="00D15122" w:rsidP="007608DF">
      <w:pPr>
        <w:widowControl/>
        <w:jc w:val="both"/>
        <w:rPr>
          <w:rFonts w:ascii="Times New Roman" w:eastAsia="Times New Roman" w:hAnsi="Times New Roman"/>
          <w:lang w:val="hr-HR"/>
        </w:rPr>
      </w:pPr>
    </w:p>
    <w:p w14:paraId="5A3A6284"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Karcinom cerviksa</w:t>
      </w:r>
    </w:p>
    <w:p w14:paraId="0CE23F78" w14:textId="77777777" w:rsidR="00D15122" w:rsidRPr="00D6167B" w:rsidRDefault="00D15122" w:rsidP="007608DF">
      <w:pPr>
        <w:keepNext/>
        <w:widowControl/>
        <w:jc w:val="both"/>
        <w:rPr>
          <w:rFonts w:ascii="Times New Roman" w:eastAsia="Times New Roman" w:hAnsi="Times New Roman"/>
          <w:lang w:val="hr-HR"/>
        </w:rPr>
      </w:pPr>
    </w:p>
    <w:p w14:paraId="5EA98614" w14:textId="77777777" w:rsidR="00D15122" w:rsidRPr="00D6167B" w:rsidRDefault="00E96893" w:rsidP="007608DF">
      <w:pPr>
        <w:pStyle w:val="BodyText"/>
        <w:keepNext/>
        <w:widowControl/>
        <w:ind w:left="0"/>
        <w:jc w:val="both"/>
        <w:rPr>
          <w:lang w:val="hr-HR"/>
        </w:rPr>
      </w:pPr>
      <w:r w:rsidRPr="00D6167B">
        <w:rPr>
          <w:lang w:val="hr-HR"/>
        </w:rPr>
        <w:t xml:space="preserve">Lijek </w:t>
      </w:r>
      <w:r w:rsidR="00760F57" w:rsidRPr="00D6167B">
        <w:rPr>
          <w:lang w:val="hr-HR"/>
        </w:rPr>
        <w:t>Zirabev se primjenjuje u kombinaciji sa jednim od sljedećih režima hemoterapije: paklitaksel i cisplatin ili paklitaksel i topotekan.</w:t>
      </w:r>
    </w:p>
    <w:p w14:paraId="2889A2E8" w14:textId="77777777" w:rsidR="00203535" w:rsidRPr="00D6167B" w:rsidRDefault="00203535" w:rsidP="007608DF">
      <w:pPr>
        <w:pStyle w:val="BodyText"/>
        <w:widowControl/>
        <w:ind w:left="0"/>
        <w:jc w:val="both"/>
        <w:rPr>
          <w:lang w:val="hr-HR"/>
        </w:rPr>
      </w:pPr>
    </w:p>
    <w:p w14:paraId="433B5880" w14:textId="77777777" w:rsidR="00D15122" w:rsidRPr="00D6167B" w:rsidRDefault="009B0756" w:rsidP="007608DF">
      <w:pPr>
        <w:pStyle w:val="BodyText"/>
        <w:widowControl/>
        <w:ind w:left="0"/>
        <w:jc w:val="both"/>
        <w:rPr>
          <w:lang w:val="hr-HR"/>
        </w:rPr>
      </w:pPr>
      <w:r w:rsidRPr="00D6167B">
        <w:rPr>
          <w:lang w:val="hr-HR"/>
        </w:rPr>
        <w:t>Preporučena doza lijeka Zirabev iznosi 15 mg/kg tjelesne mase</w:t>
      </w:r>
      <w:r w:rsidR="00E96893" w:rsidRPr="00D6167B">
        <w:rPr>
          <w:lang w:val="hr-HR"/>
        </w:rPr>
        <w:t>,</w:t>
      </w:r>
      <w:r w:rsidRPr="00D6167B">
        <w:rPr>
          <w:lang w:val="hr-HR"/>
        </w:rPr>
        <w:t xml:space="preserve"> jednom na svake 3 nedjelje, u obliku intravenske infuzije.</w:t>
      </w:r>
    </w:p>
    <w:p w14:paraId="56BF0582" w14:textId="77777777" w:rsidR="00203535" w:rsidRPr="00D6167B" w:rsidRDefault="00203535" w:rsidP="007608DF">
      <w:pPr>
        <w:pStyle w:val="BodyText"/>
        <w:widowControl/>
        <w:ind w:left="0"/>
        <w:jc w:val="both"/>
        <w:rPr>
          <w:lang w:val="hr-HR"/>
        </w:rPr>
      </w:pPr>
    </w:p>
    <w:p w14:paraId="7943325A" w14:textId="77777777" w:rsidR="00D15122" w:rsidRPr="00D6167B" w:rsidRDefault="009B0756" w:rsidP="007608DF">
      <w:pPr>
        <w:pStyle w:val="BodyText"/>
        <w:widowControl/>
        <w:ind w:left="0"/>
        <w:jc w:val="both"/>
        <w:rPr>
          <w:lang w:val="hr-HR"/>
        </w:rPr>
      </w:pPr>
      <w:r w:rsidRPr="00D6167B">
        <w:rPr>
          <w:lang w:val="hr-HR"/>
        </w:rPr>
        <w:t xml:space="preserve">Preporučuje se da se liječenje nastavi sve do progresije osnovne bolesti ili do neprihvatljive toksičnosti (pogledajte </w:t>
      </w:r>
      <w:r w:rsidR="00EA7D3C" w:rsidRPr="00D6167B">
        <w:rPr>
          <w:lang w:val="hr-HR"/>
        </w:rPr>
        <w:t xml:space="preserve">dio </w:t>
      </w:r>
      <w:r w:rsidRPr="00D6167B">
        <w:rPr>
          <w:lang w:val="hr-HR"/>
        </w:rPr>
        <w:t>5.1).</w:t>
      </w:r>
    </w:p>
    <w:p w14:paraId="21EF96A4" w14:textId="77777777" w:rsidR="00D15122" w:rsidRPr="00D6167B" w:rsidRDefault="00D15122" w:rsidP="007608DF">
      <w:pPr>
        <w:widowControl/>
        <w:jc w:val="both"/>
        <w:rPr>
          <w:rFonts w:ascii="Times New Roman" w:eastAsia="Times New Roman" w:hAnsi="Times New Roman"/>
          <w:lang w:val="hr-HR"/>
        </w:rPr>
      </w:pPr>
    </w:p>
    <w:p w14:paraId="7F72D370"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Posebne populacije</w:t>
      </w:r>
    </w:p>
    <w:p w14:paraId="732662ED" w14:textId="77777777" w:rsidR="00D15122" w:rsidRPr="00D6167B" w:rsidRDefault="00D15122" w:rsidP="007608DF">
      <w:pPr>
        <w:keepNext/>
        <w:widowControl/>
        <w:jc w:val="both"/>
        <w:rPr>
          <w:rFonts w:ascii="Times New Roman" w:eastAsia="Times New Roman" w:hAnsi="Times New Roman"/>
          <w:lang w:val="hr-HR"/>
        </w:rPr>
      </w:pPr>
    </w:p>
    <w:p w14:paraId="22AE0606" w14:textId="77777777" w:rsidR="00BD460C" w:rsidRPr="00D6167B" w:rsidRDefault="009B0756" w:rsidP="007608DF">
      <w:pPr>
        <w:keepNext/>
        <w:widowControl/>
        <w:jc w:val="both"/>
        <w:rPr>
          <w:rFonts w:ascii="Times New Roman" w:hAnsi="Times New Roman"/>
          <w:lang w:val="hr-HR"/>
        </w:rPr>
      </w:pPr>
      <w:r w:rsidRPr="00D6167B">
        <w:rPr>
          <w:rFonts w:ascii="Times New Roman" w:hAnsi="Times New Roman"/>
          <w:i/>
          <w:lang w:val="hr-HR"/>
        </w:rPr>
        <w:t>Stariji pacijenti</w:t>
      </w:r>
    </w:p>
    <w:p w14:paraId="0929EBA0" w14:textId="77777777" w:rsidR="00D15122" w:rsidRPr="00D6167B" w:rsidRDefault="009B0756" w:rsidP="007608DF">
      <w:pPr>
        <w:widowControl/>
        <w:jc w:val="both"/>
        <w:rPr>
          <w:rFonts w:ascii="Times New Roman" w:eastAsia="Times New Roman" w:hAnsi="Times New Roman"/>
          <w:lang w:val="hr-HR"/>
        </w:rPr>
      </w:pPr>
      <w:r w:rsidRPr="00D6167B">
        <w:rPr>
          <w:rFonts w:ascii="Times New Roman" w:hAnsi="Times New Roman"/>
          <w:lang w:val="hr-HR"/>
        </w:rPr>
        <w:t>Nije potrebno prilagođavati dozu za pacijente sa ≥ 65 godina starosti.</w:t>
      </w:r>
    </w:p>
    <w:p w14:paraId="28410BA1" w14:textId="77777777" w:rsidR="00D15122" w:rsidRPr="00D6167B" w:rsidRDefault="00D15122" w:rsidP="007608DF">
      <w:pPr>
        <w:widowControl/>
        <w:jc w:val="both"/>
        <w:rPr>
          <w:rFonts w:ascii="Times New Roman" w:eastAsia="Times New Roman" w:hAnsi="Times New Roman"/>
          <w:lang w:val="hr-HR"/>
        </w:rPr>
      </w:pPr>
    </w:p>
    <w:p w14:paraId="6267E34C" w14:textId="77777777" w:rsidR="00BD460C" w:rsidRPr="00D6167B" w:rsidRDefault="009B0756" w:rsidP="007608DF">
      <w:pPr>
        <w:keepNext/>
        <w:widowControl/>
        <w:jc w:val="both"/>
        <w:rPr>
          <w:rFonts w:ascii="Times New Roman" w:hAnsi="Times New Roman"/>
          <w:lang w:val="hr-HR"/>
        </w:rPr>
      </w:pPr>
      <w:r w:rsidRPr="00D6167B">
        <w:rPr>
          <w:rFonts w:ascii="Times New Roman" w:hAnsi="Times New Roman"/>
          <w:i/>
          <w:lang w:val="hr-HR"/>
        </w:rPr>
        <w:t>Pacijenti sa oštećenjem funkcije bubrega</w:t>
      </w:r>
    </w:p>
    <w:p w14:paraId="4687C336" w14:textId="77777777"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lang w:val="hr-HR"/>
        </w:rPr>
        <w:t xml:space="preserve">Efikasnost i bezbjednost nijesu ispitivane kod pacijenata sa oštećenjem funkcije bubrega (pogledajte </w:t>
      </w:r>
      <w:r w:rsidR="00B738E2" w:rsidRPr="00D6167B">
        <w:rPr>
          <w:rFonts w:ascii="Times New Roman" w:hAnsi="Times New Roman"/>
          <w:lang w:val="hr-HR"/>
        </w:rPr>
        <w:t xml:space="preserve">dio </w:t>
      </w:r>
      <w:r w:rsidRPr="00D6167B">
        <w:rPr>
          <w:rFonts w:ascii="Times New Roman" w:hAnsi="Times New Roman"/>
          <w:lang w:val="hr-HR"/>
        </w:rPr>
        <w:t>5.2).</w:t>
      </w:r>
    </w:p>
    <w:p w14:paraId="6158B7F8" w14:textId="77777777" w:rsidR="00D15122" w:rsidRPr="00D6167B" w:rsidRDefault="00D15122" w:rsidP="007608DF">
      <w:pPr>
        <w:widowControl/>
        <w:jc w:val="both"/>
        <w:rPr>
          <w:rFonts w:ascii="Times New Roman" w:eastAsia="Times New Roman" w:hAnsi="Times New Roman"/>
          <w:lang w:val="hr-HR"/>
        </w:rPr>
      </w:pPr>
    </w:p>
    <w:p w14:paraId="23969EA1" w14:textId="77777777" w:rsidR="00BD460C" w:rsidRPr="00D6167B" w:rsidRDefault="009B0756" w:rsidP="007608DF">
      <w:pPr>
        <w:keepNext/>
        <w:widowControl/>
        <w:jc w:val="both"/>
        <w:rPr>
          <w:rFonts w:ascii="Times New Roman" w:hAnsi="Times New Roman"/>
          <w:lang w:val="hr-HR"/>
        </w:rPr>
      </w:pPr>
      <w:r w:rsidRPr="00D6167B">
        <w:rPr>
          <w:rFonts w:ascii="Times New Roman" w:hAnsi="Times New Roman"/>
          <w:i/>
          <w:lang w:val="hr-HR"/>
        </w:rPr>
        <w:t>Pacijenti sa oštećenjem funkcije jetre</w:t>
      </w:r>
    </w:p>
    <w:p w14:paraId="645051CA" w14:textId="77777777"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lang w:val="hr-HR"/>
        </w:rPr>
        <w:t xml:space="preserve">Efikasnost i bezbjednost nijesu ispitivane kod pacijenata sa oštećenjem funkcije jetre (pogledajte </w:t>
      </w:r>
      <w:r w:rsidR="00B738E2" w:rsidRPr="00D6167B">
        <w:rPr>
          <w:rFonts w:ascii="Times New Roman" w:hAnsi="Times New Roman"/>
          <w:lang w:val="hr-HR"/>
        </w:rPr>
        <w:t xml:space="preserve">dio </w:t>
      </w:r>
      <w:r w:rsidRPr="00D6167B">
        <w:rPr>
          <w:rFonts w:ascii="Times New Roman" w:hAnsi="Times New Roman"/>
          <w:lang w:val="hr-HR"/>
        </w:rPr>
        <w:t>5.2).</w:t>
      </w:r>
    </w:p>
    <w:p w14:paraId="785EA146" w14:textId="77777777" w:rsidR="006F7CE5" w:rsidRPr="00D37692" w:rsidRDefault="006F7CE5" w:rsidP="007608DF">
      <w:pPr>
        <w:widowControl/>
        <w:jc w:val="both"/>
        <w:rPr>
          <w:rFonts w:ascii="Times New Roman" w:hAnsi="Times New Roman"/>
          <w:i/>
          <w:u w:val="single" w:color="000000"/>
          <w:lang w:val="hr-HR"/>
        </w:rPr>
      </w:pPr>
    </w:p>
    <w:p w14:paraId="615DF409" w14:textId="77777777" w:rsidR="00D15122" w:rsidRPr="00D37692" w:rsidRDefault="009B0756" w:rsidP="007608DF">
      <w:pPr>
        <w:pStyle w:val="BodyText"/>
        <w:keepNext/>
        <w:widowControl/>
        <w:ind w:left="0"/>
        <w:jc w:val="both"/>
        <w:rPr>
          <w:i/>
          <w:u w:val="single" w:color="000000"/>
          <w:lang w:val="hr-HR"/>
        </w:rPr>
      </w:pPr>
      <w:r w:rsidRPr="00D37692">
        <w:rPr>
          <w:i/>
          <w:u w:val="single" w:color="000000"/>
          <w:lang w:val="hr-HR"/>
        </w:rPr>
        <w:t>Pedijatrijska populacija</w:t>
      </w:r>
    </w:p>
    <w:p w14:paraId="6C67F5FA" w14:textId="77777777" w:rsidR="00D15122" w:rsidRPr="00D6167B" w:rsidRDefault="00D15122" w:rsidP="007608DF">
      <w:pPr>
        <w:keepNext/>
        <w:widowControl/>
        <w:jc w:val="both"/>
        <w:rPr>
          <w:rFonts w:ascii="Times New Roman" w:eastAsia="Times New Roman" w:hAnsi="Times New Roman"/>
          <w:lang w:val="hr-HR"/>
        </w:rPr>
      </w:pPr>
    </w:p>
    <w:p w14:paraId="6B54698F" w14:textId="77777777" w:rsidR="00D15122" w:rsidRPr="00D6167B" w:rsidRDefault="009B0756" w:rsidP="007608DF">
      <w:pPr>
        <w:pStyle w:val="BodyText"/>
        <w:keepNext/>
        <w:widowControl/>
        <w:ind w:left="0"/>
        <w:jc w:val="both"/>
        <w:rPr>
          <w:lang w:val="hr-HR"/>
        </w:rPr>
      </w:pPr>
      <w:r w:rsidRPr="00D6167B">
        <w:rPr>
          <w:lang w:val="hr-HR"/>
        </w:rPr>
        <w:t xml:space="preserve">Bezbjednost i efikasnost bevacizumaba nijesu utvrđene kod djece mlađe od 18 godina. Trenutno dostupni podaci su opisani u </w:t>
      </w:r>
      <w:r w:rsidR="00B738E2" w:rsidRPr="00D6167B">
        <w:rPr>
          <w:lang w:val="hr-HR"/>
        </w:rPr>
        <w:t xml:space="preserve">dijelovima </w:t>
      </w:r>
      <w:r w:rsidRPr="00D6167B">
        <w:rPr>
          <w:lang w:val="hr-HR"/>
        </w:rPr>
        <w:t>4.8, 5.1 i 5.2, ali nije moguće dati preporuke o doziranju.</w:t>
      </w:r>
    </w:p>
    <w:p w14:paraId="206288F7" w14:textId="77777777" w:rsidR="00D15122" w:rsidRPr="00D6167B" w:rsidRDefault="00D15122" w:rsidP="007608DF">
      <w:pPr>
        <w:widowControl/>
        <w:jc w:val="both"/>
        <w:rPr>
          <w:rFonts w:ascii="Times New Roman" w:eastAsia="Times New Roman" w:hAnsi="Times New Roman"/>
          <w:lang w:val="hr-HR"/>
        </w:rPr>
      </w:pPr>
    </w:p>
    <w:p w14:paraId="7F2D2280" w14:textId="77777777" w:rsidR="00D15122" w:rsidRPr="00D6167B" w:rsidRDefault="009B0756" w:rsidP="007608DF">
      <w:pPr>
        <w:pStyle w:val="BodyText"/>
        <w:widowControl/>
        <w:ind w:left="0"/>
        <w:jc w:val="both"/>
        <w:rPr>
          <w:lang w:val="hr-HR"/>
        </w:rPr>
      </w:pPr>
      <w:r w:rsidRPr="00D6167B">
        <w:rPr>
          <w:lang w:val="hr-HR"/>
        </w:rPr>
        <w:t>Ne postoji relevantna upotreba bevacizumaba kod pedijatrijske populacije kada su indikacije vezane za liječenje karcinoma kolona, rektuma, dojke, pluća, jajnika, jajovoda, peritoneuma, cerviksa i bubrega.</w:t>
      </w:r>
    </w:p>
    <w:p w14:paraId="0191803D" w14:textId="77777777" w:rsidR="00D15122" w:rsidRPr="00D6167B" w:rsidRDefault="00D15122" w:rsidP="007608DF">
      <w:pPr>
        <w:widowControl/>
        <w:jc w:val="both"/>
        <w:rPr>
          <w:rFonts w:ascii="Times New Roman" w:eastAsia="Times New Roman" w:hAnsi="Times New Roman"/>
          <w:lang w:val="hr-HR"/>
        </w:rPr>
      </w:pPr>
    </w:p>
    <w:p w14:paraId="45F161D3" w14:textId="77777777" w:rsidR="00D15122" w:rsidRPr="00D6167B" w:rsidRDefault="009B0756" w:rsidP="007608DF">
      <w:pPr>
        <w:pStyle w:val="BodyText"/>
        <w:keepNext/>
        <w:widowControl/>
        <w:ind w:left="0"/>
        <w:jc w:val="both"/>
        <w:rPr>
          <w:lang w:val="hr-HR"/>
        </w:rPr>
      </w:pPr>
      <w:r w:rsidRPr="00D6167B">
        <w:rPr>
          <w:u w:val="single" w:color="000000"/>
          <w:lang w:val="hr-HR"/>
        </w:rPr>
        <w:t>Način primjene</w:t>
      </w:r>
    </w:p>
    <w:p w14:paraId="5842C84C" w14:textId="77777777" w:rsidR="00D15122" w:rsidRPr="00D6167B" w:rsidRDefault="00D15122" w:rsidP="007608DF">
      <w:pPr>
        <w:keepNext/>
        <w:widowControl/>
        <w:jc w:val="both"/>
        <w:rPr>
          <w:rFonts w:ascii="Times New Roman" w:eastAsia="Times New Roman" w:hAnsi="Times New Roman"/>
          <w:lang w:val="hr-HR"/>
        </w:rPr>
      </w:pPr>
    </w:p>
    <w:p w14:paraId="150AFF74" w14:textId="77777777" w:rsidR="00D15122" w:rsidRPr="00D6167B" w:rsidRDefault="00760F57" w:rsidP="007608DF">
      <w:pPr>
        <w:pStyle w:val="BodyText"/>
        <w:keepNext/>
        <w:widowControl/>
        <w:ind w:left="0"/>
        <w:jc w:val="both"/>
        <w:rPr>
          <w:lang w:val="hr-HR"/>
        </w:rPr>
      </w:pPr>
      <w:r w:rsidRPr="00D6167B">
        <w:rPr>
          <w:lang w:val="hr-HR"/>
        </w:rPr>
        <w:t>Lijek Zirabev je namijenjen za intravensku primjenu. Prva doza treba da se isporučuje tokom 90 minuta u obliku intravenske infuzije. Ako pacijent dobro podnese prvu infuziju, sljedeća infuzija može da se primjenjuje u periodu od 60 minuta. Ako pacijent dobro podnese infuziju od 60 minuta, sve naredne infuzije mogu da se primjenjuju u periodu od 30 minuta.</w:t>
      </w:r>
    </w:p>
    <w:p w14:paraId="61F6B192" w14:textId="77777777" w:rsidR="00BD460C" w:rsidRPr="00D6167B" w:rsidRDefault="00BD460C" w:rsidP="007608DF">
      <w:pPr>
        <w:widowControl/>
        <w:jc w:val="both"/>
        <w:rPr>
          <w:rFonts w:ascii="Times New Roman" w:eastAsia="Times New Roman" w:hAnsi="Times New Roman"/>
          <w:lang w:val="hr-HR"/>
        </w:rPr>
      </w:pPr>
    </w:p>
    <w:p w14:paraId="5007233A" w14:textId="77777777" w:rsidR="00D15122" w:rsidRPr="00D6167B" w:rsidRDefault="009B0756" w:rsidP="007608DF">
      <w:pPr>
        <w:pStyle w:val="BodyText"/>
        <w:widowControl/>
        <w:ind w:left="0"/>
        <w:jc w:val="both"/>
        <w:rPr>
          <w:lang w:val="hr-HR"/>
        </w:rPr>
      </w:pPr>
      <w:r w:rsidRPr="00D6167B">
        <w:rPr>
          <w:lang w:val="hr-HR"/>
        </w:rPr>
        <w:t>Ne smije da se primjenjuje kao intravenska injekcija ili bolus.</w:t>
      </w:r>
    </w:p>
    <w:p w14:paraId="3CDF4535" w14:textId="77777777" w:rsidR="00D15122" w:rsidRPr="00D6167B" w:rsidRDefault="00D15122" w:rsidP="007608DF">
      <w:pPr>
        <w:widowControl/>
        <w:jc w:val="both"/>
        <w:rPr>
          <w:rFonts w:ascii="Times New Roman" w:eastAsia="Times New Roman" w:hAnsi="Times New Roman"/>
          <w:lang w:val="hr-HR"/>
        </w:rPr>
      </w:pPr>
    </w:p>
    <w:p w14:paraId="5C6ED3A0" w14:textId="62E9BC30" w:rsidR="00D15122" w:rsidRPr="00D6167B" w:rsidRDefault="009B0756" w:rsidP="007608DF">
      <w:pPr>
        <w:pStyle w:val="BodyText"/>
        <w:widowControl/>
        <w:ind w:left="0"/>
        <w:jc w:val="both"/>
        <w:rPr>
          <w:lang w:val="hr-HR"/>
        </w:rPr>
      </w:pPr>
      <w:r w:rsidRPr="00D6167B">
        <w:rPr>
          <w:lang w:val="hr-HR"/>
        </w:rPr>
        <w:t>Ne preporučuje se smanjivanje doze zbog neželjenih reakcija. Ako je tako indikovano, terapija treba ili da se trajno prekine ili da se privremeno obustavi, kao što je opisa</w:t>
      </w:r>
      <w:r w:rsidR="00B92E27">
        <w:rPr>
          <w:lang w:val="hr-HR"/>
        </w:rPr>
        <w:t>n</w:t>
      </w:r>
      <w:r w:rsidRPr="00D6167B">
        <w:rPr>
          <w:lang w:val="hr-HR"/>
        </w:rPr>
        <w:t xml:space="preserve">o u </w:t>
      </w:r>
      <w:r w:rsidR="00B92E27">
        <w:rPr>
          <w:lang w:val="hr-HR"/>
        </w:rPr>
        <w:t>dijel</w:t>
      </w:r>
      <w:r w:rsidR="00B92E27" w:rsidRPr="00D6167B">
        <w:rPr>
          <w:lang w:val="hr-HR"/>
        </w:rPr>
        <w:t xml:space="preserve">u </w:t>
      </w:r>
      <w:r w:rsidRPr="00D6167B">
        <w:rPr>
          <w:lang w:val="hr-HR"/>
        </w:rPr>
        <w:t>4.4.</w:t>
      </w:r>
    </w:p>
    <w:p w14:paraId="22B98502" w14:textId="77777777" w:rsidR="00D15122" w:rsidRPr="00D6167B" w:rsidRDefault="00D15122" w:rsidP="007608DF">
      <w:pPr>
        <w:widowControl/>
        <w:jc w:val="both"/>
        <w:rPr>
          <w:rFonts w:ascii="Times New Roman" w:eastAsia="Times New Roman" w:hAnsi="Times New Roman"/>
          <w:lang w:val="hr-HR"/>
        </w:rPr>
      </w:pPr>
    </w:p>
    <w:p w14:paraId="42305613"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Mjere opreza koje je potrebno preduzeti prije rukovanja lijekom ili njegove primjene</w:t>
      </w:r>
    </w:p>
    <w:p w14:paraId="5362E128" w14:textId="77777777" w:rsidR="00D15122" w:rsidRPr="00D6167B" w:rsidRDefault="00D15122" w:rsidP="007608DF">
      <w:pPr>
        <w:keepNext/>
        <w:widowControl/>
        <w:jc w:val="both"/>
        <w:rPr>
          <w:rFonts w:ascii="Times New Roman" w:eastAsia="Times New Roman" w:hAnsi="Times New Roman"/>
          <w:lang w:val="hr-HR"/>
        </w:rPr>
      </w:pPr>
    </w:p>
    <w:p w14:paraId="13649599" w14:textId="77777777" w:rsidR="00D15122" w:rsidRPr="00D6167B" w:rsidRDefault="009B0756" w:rsidP="007608DF">
      <w:pPr>
        <w:pStyle w:val="BodyText"/>
        <w:keepNext/>
        <w:widowControl/>
        <w:ind w:left="0"/>
        <w:jc w:val="both"/>
        <w:rPr>
          <w:lang w:val="hr-HR"/>
        </w:rPr>
      </w:pPr>
      <w:r w:rsidRPr="00D6167B">
        <w:rPr>
          <w:lang w:val="hr-HR"/>
        </w:rPr>
        <w:t xml:space="preserve">Uputstva o razblaživanju lijeka prije primjene pogledajte u </w:t>
      </w:r>
      <w:r w:rsidR="00A9151E" w:rsidRPr="00D6167B">
        <w:rPr>
          <w:lang w:val="hr-HR"/>
        </w:rPr>
        <w:t>dijelu </w:t>
      </w:r>
      <w:r w:rsidRPr="00D6167B">
        <w:rPr>
          <w:lang w:val="hr-HR"/>
        </w:rPr>
        <w:t xml:space="preserve">6.6. Infuzije lijeka Zirabev ne smiju da se primjenjuju ili miješaju sa rastvorima glukoze. Ovaj lijek se ne smije miješati s drugim ljekovima, osim sa onima koji su navedeni u </w:t>
      </w:r>
      <w:r w:rsidR="00B738E2" w:rsidRPr="00D6167B">
        <w:rPr>
          <w:lang w:val="hr-HR"/>
        </w:rPr>
        <w:t>dijelu </w:t>
      </w:r>
      <w:r w:rsidRPr="00D6167B">
        <w:rPr>
          <w:lang w:val="hr-HR"/>
        </w:rPr>
        <w:t>6.6.</w:t>
      </w:r>
    </w:p>
    <w:p w14:paraId="14CBCECC" w14:textId="77777777" w:rsidR="00D15122" w:rsidRPr="00D6167B" w:rsidRDefault="00D15122" w:rsidP="007608DF">
      <w:pPr>
        <w:widowControl/>
        <w:jc w:val="both"/>
        <w:rPr>
          <w:rFonts w:ascii="Times New Roman" w:eastAsia="Times New Roman" w:hAnsi="Times New Roman"/>
          <w:lang w:val="hr-HR"/>
        </w:rPr>
      </w:pPr>
    </w:p>
    <w:p w14:paraId="69C93522"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lastRenderedPageBreak/>
        <w:t>4.3</w:t>
      </w:r>
      <w:r w:rsidRPr="00D6167B">
        <w:rPr>
          <w:lang w:val="hr-HR"/>
        </w:rPr>
        <w:tab/>
        <w:t>Kontraindikacije</w:t>
      </w:r>
    </w:p>
    <w:p w14:paraId="67084F10" w14:textId="77777777" w:rsidR="00D15122" w:rsidRPr="00D6167B" w:rsidRDefault="00D15122" w:rsidP="007608DF">
      <w:pPr>
        <w:keepNext/>
        <w:widowControl/>
        <w:jc w:val="both"/>
        <w:rPr>
          <w:rFonts w:ascii="Times New Roman" w:eastAsia="Times New Roman" w:hAnsi="Times New Roman"/>
          <w:bCs/>
          <w:lang w:val="hr-HR"/>
        </w:rPr>
      </w:pPr>
    </w:p>
    <w:p w14:paraId="44CE005D" w14:textId="77777777" w:rsidR="00D15122" w:rsidRPr="00D6167B" w:rsidRDefault="009B0756" w:rsidP="007608DF">
      <w:pPr>
        <w:pStyle w:val="BodyText"/>
        <w:keepNext/>
        <w:widowControl/>
        <w:numPr>
          <w:ilvl w:val="0"/>
          <w:numId w:val="31"/>
        </w:numPr>
        <w:ind w:left="562" w:hanging="562"/>
        <w:jc w:val="both"/>
        <w:rPr>
          <w:lang w:val="hr-HR"/>
        </w:rPr>
      </w:pPr>
      <w:r w:rsidRPr="00D6167B">
        <w:rPr>
          <w:lang w:val="hr-HR"/>
        </w:rPr>
        <w:t xml:space="preserve">Preosjetljivost na aktivnu supstancu ili neku od pomoćnih supstanci navedenih u </w:t>
      </w:r>
      <w:r w:rsidR="00A9151E" w:rsidRPr="00D6167B">
        <w:rPr>
          <w:lang w:val="hr-HR"/>
        </w:rPr>
        <w:t xml:space="preserve">dijelu </w:t>
      </w:r>
      <w:r w:rsidRPr="00D6167B">
        <w:rPr>
          <w:lang w:val="hr-HR"/>
        </w:rPr>
        <w:t>6.1.</w:t>
      </w:r>
    </w:p>
    <w:p w14:paraId="2DF0CAAD" w14:textId="77777777" w:rsidR="00D15122" w:rsidRPr="00D6167B" w:rsidRDefault="009B0756" w:rsidP="007608DF">
      <w:pPr>
        <w:pStyle w:val="BodyText"/>
        <w:widowControl/>
        <w:numPr>
          <w:ilvl w:val="0"/>
          <w:numId w:val="31"/>
        </w:numPr>
        <w:ind w:left="562" w:hanging="562"/>
        <w:jc w:val="both"/>
        <w:rPr>
          <w:lang w:val="hr-HR"/>
        </w:rPr>
      </w:pPr>
      <w:r w:rsidRPr="00D6167B">
        <w:rPr>
          <w:lang w:val="hr-HR"/>
        </w:rPr>
        <w:t>Preosjetljivost na proizvode od ćelija jajnika kineskog hrčka ili na druga rekombinantna humana ili humanizovana antitijela.</w:t>
      </w:r>
    </w:p>
    <w:p w14:paraId="099C0EFD" w14:textId="77777777" w:rsidR="00D15122" w:rsidRPr="00D6167B" w:rsidRDefault="009B0756" w:rsidP="007608DF">
      <w:pPr>
        <w:pStyle w:val="BodyText"/>
        <w:widowControl/>
        <w:numPr>
          <w:ilvl w:val="0"/>
          <w:numId w:val="31"/>
        </w:numPr>
        <w:ind w:left="562" w:hanging="562"/>
        <w:jc w:val="both"/>
        <w:rPr>
          <w:lang w:val="hr-HR"/>
        </w:rPr>
      </w:pPr>
      <w:r w:rsidRPr="00D6167B">
        <w:rPr>
          <w:lang w:val="hr-HR"/>
        </w:rPr>
        <w:t xml:space="preserve">Trudnoća (pogledajte </w:t>
      </w:r>
      <w:r w:rsidR="00B738E2" w:rsidRPr="00D6167B">
        <w:rPr>
          <w:lang w:val="hr-HR"/>
        </w:rPr>
        <w:t xml:space="preserve">dio </w:t>
      </w:r>
      <w:r w:rsidRPr="00D6167B">
        <w:rPr>
          <w:lang w:val="hr-HR"/>
        </w:rPr>
        <w:t>4.6).</w:t>
      </w:r>
    </w:p>
    <w:p w14:paraId="42F7C5F8" w14:textId="77777777" w:rsidR="00D15122" w:rsidRPr="00D6167B" w:rsidRDefault="00D15122" w:rsidP="007608DF">
      <w:pPr>
        <w:widowControl/>
        <w:jc w:val="both"/>
        <w:rPr>
          <w:rFonts w:ascii="Times New Roman" w:eastAsia="Times New Roman" w:hAnsi="Times New Roman"/>
          <w:lang w:val="hr-HR"/>
        </w:rPr>
      </w:pPr>
    </w:p>
    <w:p w14:paraId="36728E91" w14:textId="77777777" w:rsidR="00D15122" w:rsidRPr="00D6167B" w:rsidRDefault="003E4A60" w:rsidP="007608DF">
      <w:pPr>
        <w:pStyle w:val="Heading1"/>
        <w:keepNext/>
        <w:widowControl/>
        <w:tabs>
          <w:tab w:val="left" w:pos="685"/>
        </w:tabs>
        <w:ind w:left="0"/>
        <w:jc w:val="both"/>
        <w:rPr>
          <w:lang w:val="hr-HR"/>
        </w:rPr>
      </w:pPr>
      <w:r w:rsidRPr="00D6167B">
        <w:rPr>
          <w:lang w:val="hr-HR"/>
        </w:rPr>
        <w:t>4.4</w:t>
      </w:r>
      <w:r w:rsidRPr="00D6167B">
        <w:rPr>
          <w:lang w:val="hr-HR"/>
        </w:rPr>
        <w:tab/>
        <w:t>Posebna upozorenja i mjere opreza pri upotrebi lijeka</w:t>
      </w:r>
    </w:p>
    <w:p w14:paraId="63D4117D" w14:textId="77777777" w:rsidR="00D15122" w:rsidRPr="00D6167B" w:rsidRDefault="00D15122" w:rsidP="007608DF">
      <w:pPr>
        <w:keepNext/>
        <w:widowControl/>
        <w:jc w:val="both"/>
        <w:rPr>
          <w:rFonts w:ascii="Times New Roman" w:eastAsia="Times New Roman" w:hAnsi="Times New Roman"/>
          <w:bCs/>
          <w:lang w:val="hr-HR"/>
        </w:rPr>
      </w:pPr>
    </w:p>
    <w:p w14:paraId="59AFC6D2" w14:textId="77777777" w:rsidR="00511685" w:rsidRPr="00D6167B" w:rsidRDefault="00511685" w:rsidP="00D37692">
      <w:pPr>
        <w:pStyle w:val="a"/>
        <w:keepNext/>
        <w:widowControl/>
        <w:jc w:val="both"/>
        <w:rPr>
          <w:rFonts w:ascii="Times New Roman" w:eastAsia="Times New Roman" w:hAnsi="Times New Roman"/>
          <w:u w:val="single"/>
          <w:lang w:val="hr-HR"/>
        </w:rPr>
      </w:pPr>
      <w:r w:rsidRPr="00D6167B">
        <w:rPr>
          <w:rFonts w:ascii="Times New Roman" w:hAnsi="Times New Roman"/>
          <w:sz w:val="22"/>
          <w:u w:val="single"/>
          <w:lang w:val="hr-HR"/>
        </w:rPr>
        <w:t>Sljedljivost</w:t>
      </w:r>
    </w:p>
    <w:p w14:paraId="476B3B08" w14:textId="77777777" w:rsidR="00171273" w:rsidRPr="00D6167B" w:rsidRDefault="00171273" w:rsidP="007608DF">
      <w:pPr>
        <w:pStyle w:val="CommentText"/>
        <w:keepNext/>
        <w:widowControl/>
        <w:jc w:val="both"/>
        <w:rPr>
          <w:rFonts w:ascii="Times New Roman" w:eastAsia="Times New Roman" w:hAnsi="Times New Roman"/>
          <w:i/>
          <w:sz w:val="22"/>
          <w:szCs w:val="22"/>
          <w:lang w:val="hr-HR"/>
        </w:rPr>
      </w:pPr>
    </w:p>
    <w:p w14:paraId="77C48C74" w14:textId="77777777" w:rsidR="00D15122" w:rsidRPr="00D6167B" w:rsidRDefault="009B0756" w:rsidP="007608DF">
      <w:pPr>
        <w:pStyle w:val="BodyText"/>
        <w:widowControl/>
        <w:ind w:left="0"/>
        <w:jc w:val="both"/>
        <w:rPr>
          <w:lang w:val="hr-HR"/>
        </w:rPr>
      </w:pPr>
      <w:r w:rsidRPr="00D6167B">
        <w:rPr>
          <w:lang w:val="hr-HR"/>
        </w:rPr>
        <w:t>Kako bi se poboljšala sljedljivost bioloških ljekova, potrebno je da se jasno evidentiraju naziv i broj serije prim</w:t>
      </w:r>
      <w:r w:rsidR="00783666" w:rsidRPr="00D6167B">
        <w:rPr>
          <w:lang w:val="hr-HR"/>
        </w:rPr>
        <w:t>i</w:t>
      </w:r>
      <w:r w:rsidRPr="00D6167B">
        <w:rPr>
          <w:lang w:val="hr-HR"/>
        </w:rPr>
        <w:t>jenjenog lijeka.</w:t>
      </w:r>
    </w:p>
    <w:p w14:paraId="4A4D2338" w14:textId="77777777" w:rsidR="00D15122" w:rsidRPr="00D6167B" w:rsidRDefault="00D15122" w:rsidP="007608DF">
      <w:pPr>
        <w:widowControl/>
        <w:jc w:val="both"/>
        <w:rPr>
          <w:rFonts w:ascii="Times New Roman" w:eastAsia="Times New Roman" w:hAnsi="Times New Roman"/>
          <w:lang w:val="hr-HR"/>
        </w:rPr>
      </w:pPr>
    </w:p>
    <w:p w14:paraId="0C4CF689"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 xml:space="preserve">Gastrointestinalne (GI) perforacije i fistule (pogledajte </w:t>
      </w:r>
      <w:r w:rsidR="00B738E2" w:rsidRPr="00D6167B">
        <w:rPr>
          <w:rFonts w:ascii="Times New Roman" w:hAnsi="Times New Roman"/>
          <w:u w:val="single"/>
          <w:lang w:val="hr-HR"/>
        </w:rPr>
        <w:t xml:space="preserve">dio </w:t>
      </w:r>
      <w:r w:rsidRPr="00D6167B">
        <w:rPr>
          <w:rFonts w:ascii="Times New Roman" w:hAnsi="Times New Roman"/>
          <w:u w:val="single"/>
          <w:lang w:val="hr-HR"/>
        </w:rPr>
        <w:t>4.8)</w:t>
      </w:r>
    </w:p>
    <w:p w14:paraId="7F9A9B6A"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694933CE" w14:textId="77777777" w:rsidR="00D15122" w:rsidRPr="00D6167B" w:rsidRDefault="009B0756" w:rsidP="007608DF">
      <w:pPr>
        <w:pStyle w:val="BodyText"/>
        <w:widowControl/>
        <w:ind w:left="0"/>
        <w:jc w:val="both"/>
        <w:rPr>
          <w:lang w:val="hr-HR"/>
        </w:rPr>
      </w:pPr>
      <w:r w:rsidRPr="00D6167B">
        <w:rPr>
          <w:lang w:val="hr-HR"/>
        </w:rPr>
        <w:t>Pacijenti mogu da imaju povećan rizik od razvoja gastrointestinalne perforacije i perforacije žučne kese kada se liječe bevacizumabom. Upalni proces unutar abdomena može biti faktor rizika za gastrointestinalne perforacije kod pacijenata sa metastatskim karcinomom kolona ili rektuma, prema tome, potrebno je prim</w:t>
      </w:r>
      <w:r w:rsidR="00783666" w:rsidRPr="00D6167B">
        <w:rPr>
          <w:lang w:val="hr-HR"/>
        </w:rPr>
        <w:t>i</w:t>
      </w:r>
      <w:r w:rsidRPr="00D6167B">
        <w:rPr>
          <w:lang w:val="hr-HR"/>
        </w:rPr>
        <w:t>jeniti mjere opreza kada se liječe ovi pacijenti. Prethodno zračenje predstavlja rizik za GI peforaciju kod pacijenata koji se bevacizumabom liječe od upornog, rekurentnog ili metastatskog karcinoma cerviksa, a svi pacijenti sa GI perforacijom imali su istoriju prethodnog zračenja. Terapija mora trajno da se obustavi kod pacijenata kod kojih se razvije gastrointestinalna perforacija.</w:t>
      </w:r>
    </w:p>
    <w:p w14:paraId="3855613E" w14:textId="77777777" w:rsidR="00D15122" w:rsidRPr="00D6167B" w:rsidRDefault="00D15122" w:rsidP="007608DF">
      <w:pPr>
        <w:widowControl/>
        <w:jc w:val="both"/>
        <w:rPr>
          <w:rFonts w:ascii="Times New Roman" w:eastAsia="Times New Roman" w:hAnsi="Times New Roman"/>
          <w:lang w:val="hr-HR"/>
        </w:rPr>
      </w:pPr>
    </w:p>
    <w:p w14:paraId="3E806795"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GI-vaginalne fistule u studiji GOG-0240</w:t>
      </w:r>
    </w:p>
    <w:p w14:paraId="5F1293B9" w14:textId="77777777" w:rsidR="001F1228" w:rsidRPr="00D6167B" w:rsidRDefault="001F1228" w:rsidP="007608DF">
      <w:pPr>
        <w:keepNext/>
        <w:widowControl/>
        <w:spacing w:line="252" w:lineRule="exact"/>
        <w:jc w:val="both"/>
        <w:rPr>
          <w:rFonts w:ascii="Times New Roman" w:eastAsia="Times New Roman" w:hAnsi="Times New Roman"/>
          <w:i/>
          <w:lang w:val="hr-HR"/>
        </w:rPr>
      </w:pPr>
    </w:p>
    <w:p w14:paraId="66B9FCD1" w14:textId="77777777" w:rsidR="00D15122" w:rsidRPr="00D6167B" w:rsidRDefault="009B0756" w:rsidP="007608DF">
      <w:pPr>
        <w:pStyle w:val="BodyText"/>
        <w:widowControl/>
        <w:ind w:left="0"/>
        <w:jc w:val="both"/>
        <w:rPr>
          <w:lang w:val="hr-HR"/>
        </w:rPr>
      </w:pPr>
      <w:r w:rsidRPr="00D6167B">
        <w:rPr>
          <w:lang w:val="hr-HR"/>
        </w:rPr>
        <w:t>Pacijen</w:t>
      </w:r>
      <w:r w:rsidR="0084404F" w:rsidRPr="00D6167B">
        <w:rPr>
          <w:lang w:val="hr-HR"/>
        </w:rPr>
        <w:t xml:space="preserve">tkinje </w:t>
      </w:r>
      <w:r w:rsidRPr="00D6167B">
        <w:rPr>
          <w:lang w:val="hr-HR"/>
        </w:rPr>
        <w:t>koj</w:t>
      </w:r>
      <w:r w:rsidR="0084404F" w:rsidRPr="00D6167B">
        <w:rPr>
          <w:lang w:val="hr-HR"/>
        </w:rPr>
        <w:t>e</w:t>
      </w:r>
      <w:r w:rsidRPr="00D6167B">
        <w:rPr>
          <w:lang w:val="hr-HR"/>
        </w:rPr>
        <w:t xml:space="preserve"> se bevacizumabom liječe od upornog, rekurentnog ili metastatskog karcinoma cerviksa imaju povišen rizik od fistula između vagine i bilo kojeg dijela GI trakta (gastrintestinalno-vaginalne fistule). Pethodno zračenje je značajan faktor rizika za razvoj GI-vaginalnih fistula, a svi pacijenti sa GI-vaginalnim fistulama imali su istoriju prethodnog zračenja. Rekurentnost karcinoma u polju prethodnog zračenja predstavlja dodatni važan faktor rizika za razvoj GI-vaginalnih fistula.</w:t>
      </w:r>
    </w:p>
    <w:p w14:paraId="0824CB40" w14:textId="77777777" w:rsidR="004666BE" w:rsidRPr="00D6167B" w:rsidRDefault="004666BE" w:rsidP="007608DF">
      <w:pPr>
        <w:widowControl/>
        <w:jc w:val="both"/>
        <w:rPr>
          <w:rFonts w:ascii="Times New Roman" w:hAnsi="Times New Roman"/>
          <w:lang w:val="hr-HR"/>
        </w:rPr>
      </w:pPr>
    </w:p>
    <w:p w14:paraId="06960A41"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Fistule van GI trakta (pogledajte </w:t>
      </w:r>
      <w:r w:rsidR="00B738E2" w:rsidRPr="00D6167B">
        <w:rPr>
          <w:rFonts w:ascii="Times New Roman" w:hAnsi="Times New Roman"/>
          <w:u w:val="single"/>
          <w:lang w:val="hr-HR"/>
        </w:rPr>
        <w:t xml:space="preserve">dio </w:t>
      </w:r>
      <w:r w:rsidRPr="00D6167B">
        <w:rPr>
          <w:rFonts w:ascii="Times New Roman" w:hAnsi="Times New Roman"/>
          <w:u w:val="single"/>
          <w:lang w:val="hr-HR"/>
        </w:rPr>
        <w:t>4.8).</w:t>
      </w:r>
    </w:p>
    <w:p w14:paraId="45141556" w14:textId="77777777" w:rsidR="001C3EE2" w:rsidRPr="00D6167B" w:rsidRDefault="001C3EE2" w:rsidP="007608DF">
      <w:pPr>
        <w:keepNext/>
        <w:widowControl/>
        <w:jc w:val="both"/>
        <w:rPr>
          <w:rFonts w:ascii="Times New Roman" w:eastAsia="Times New Roman" w:hAnsi="Times New Roman"/>
          <w:lang w:val="hr-HR"/>
        </w:rPr>
      </w:pPr>
    </w:p>
    <w:p w14:paraId="2E836726" w14:textId="7C1460D7" w:rsidR="00D15122" w:rsidRPr="00D6167B" w:rsidRDefault="009B0756" w:rsidP="007608DF">
      <w:pPr>
        <w:pStyle w:val="BodyText"/>
        <w:widowControl/>
        <w:ind w:left="0"/>
        <w:jc w:val="both"/>
        <w:rPr>
          <w:lang w:val="hr-HR"/>
        </w:rPr>
      </w:pPr>
      <w:r w:rsidRPr="00D6167B">
        <w:rPr>
          <w:lang w:val="hr-HR"/>
        </w:rPr>
        <w:t xml:space="preserve">Pacijenti mogu da imaju povećan rizik od razvoja fistula kada se liječe bevacizumabom. Trajno obustavite primjenu lijeka Zirabev kod pacijenata sa traheoezofagealnom (TE) fistulom ili bilo kojom fistulom gradusa 4 </w:t>
      </w:r>
      <w:r w:rsidR="00ED2AB3">
        <w:rPr>
          <w:lang w:val="hr-HR"/>
        </w:rPr>
        <w:t xml:space="preserve">prema </w:t>
      </w:r>
      <w:r w:rsidRPr="00D37692">
        <w:rPr>
          <w:i/>
          <w:lang w:val="hr-HR"/>
        </w:rPr>
        <w:t>US National Cancer Institute-Common Terminology Criteria for Adverse Events</w:t>
      </w:r>
      <w:r w:rsidRPr="00D6167B">
        <w:rPr>
          <w:lang w:val="hr-HR"/>
        </w:rPr>
        <w:t xml:space="preserve"> (NCI</w:t>
      </w:r>
      <w:r w:rsidRPr="00D6167B">
        <w:rPr>
          <w:lang w:val="hr-HR"/>
        </w:rPr>
        <w:noBreakHyphen/>
        <w:t xml:space="preserve">CTCAE v.3). O nastavljanju upotrebe bevacizumaba kod pacijenata sa drugim fistulama dostupna je ograničena količina informacija. </w:t>
      </w:r>
    </w:p>
    <w:p w14:paraId="0218EDA8" w14:textId="77777777" w:rsidR="00203535" w:rsidRPr="00D6167B" w:rsidRDefault="00203535" w:rsidP="007608DF">
      <w:pPr>
        <w:pStyle w:val="BodyText"/>
        <w:widowControl/>
        <w:ind w:left="0"/>
        <w:jc w:val="both"/>
        <w:rPr>
          <w:lang w:val="hr-HR"/>
        </w:rPr>
      </w:pPr>
    </w:p>
    <w:p w14:paraId="1161F923" w14:textId="77777777" w:rsidR="00D15122" w:rsidRPr="00D6167B" w:rsidRDefault="009B0756" w:rsidP="007608DF">
      <w:pPr>
        <w:pStyle w:val="BodyText"/>
        <w:widowControl/>
        <w:ind w:left="0"/>
        <w:jc w:val="both"/>
        <w:rPr>
          <w:lang w:val="hr-HR"/>
        </w:rPr>
      </w:pPr>
      <w:r w:rsidRPr="00D6167B">
        <w:rPr>
          <w:lang w:val="hr-HR"/>
        </w:rPr>
        <w:t>U slučaju da se interne fistule pojave van gastrointestinalnog trakta, potrebno je razmotriti prekid korišćenja lijeka Zirabev.</w:t>
      </w:r>
    </w:p>
    <w:p w14:paraId="769F628B" w14:textId="77777777" w:rsidR="00D15122" w:rsidRPr="00D6167B" w:rsidRDefault="00D15122" w:rsidP="007608DF">
      <w:pPr>
        <w:widowControl/>
        <w:jc w:val="both"/>
        <w:rPr>
          <w:rFonts w:ascii="Times New Roman" w:eastAsia="Times New Roman" w:hAnsi="Times New Roman"/>
          <w:lang w:val="hr-HR"/>
        </w:rPr>
      </w:pPr>
    </w:p>
    <w:p w14:paraId="5B94737E"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 xml:space="preserve">Komplikacije pri zarastanju rana (pogledajte </w:t>
      </w:r>
      <w:r w:rsidR="00B738E2" w:rsidRPr="00D6167B">
        <w:rPr>
          <w:rFonts w:ascii="Times New Roman" w:hAnsi="Times New Roman"/>
          <w:u w:val="single"/>
          <w:lang w:val="hr-HR"/>
        </w:rPr>
        <w:t xml:space="preserve">dio </w:t>
      </w:r>
      <w:r w:rsidRPr="00D6167B">
        <w:rPr>
          <w:rFonts w:ascii="Times New Roman" w:hAnsi="Times New Roman"/>
          <w:u w:val="single"/>
          <w:lang w:val="hr-HR"/>
        </w:rPr>
        <w:t>4.8).</w:t>
      </w:r>
    </w:p>
    <w:p w14:paraId="691F927F"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7B43F749" w14:textId="77777777" w:rsidR="00D15122" w:rsidRPr="00D6167B" w:rsidRDefault="00007842" w:rsidP="007608DF">
      <w:pPr>
        <w:pStyle w:val="BodyText"/>
        <w:widowControl/>
        <w:ind w:left="0"/>
        <w:jc w:val="both"/>
        <w:rPr>
          <w:lang w:val="hr-HR"/>
        </w:rPr>
      </w:pPr>
      <w:r w:rsidRPr="00D6167B">
        <w:rPr>
          <w:lang w:val="hr-HR"/>
        </w:rPr>
        <w:t>Bevacizumab može da ima negativan uticaj na proces zarastanja rana. Prijavljene su ozbiljne komplikacije sa zarastanjem rana, sa fatalnim ishodom, uključujući anastomotske komplikacije. Sa terapijom ne sm</w:t>
      </w:r>
      <w:r w:rsidR="00B738E2" w:rsidRPr="00D6167B">
        <w:rPr>
          <w:lang w:val="hr-HR"/>
        </w:rPr>
        <w:t>ij</w:t>
      </w:r>
      <w:r w:rsidRPr="00D6167B">
        <w:rPr>
          <w:lang w:val="hr-HR"/>
        </w:rPr>
        <w:t>e da se počne najmanje 28 dana nakon većeg hirurškog zahvata ili dok hirurška rana ne zaraste u potpunosti. Kod pacijenata kod kojih su se pojavile komplikacije sa zarastanjem rane tokom terapije liječenje treba da se obustavi sve dok rana potpuno ne zaraste. Terapija treba da se obustavi u slučaju elektivnog hirurškog zahvata.</w:t>
      </w:r>
    </w:p>
    <w:p w14:paraId="7972B3F6" w14:textId="77777777" w:rsidR="00D15122" w:rsidRPr="00D6167B" w:rsidRDefault="00D15122" w:rsidP="007608DF">
      <w:pPr>
        <w:widowControl/>
        <w:jc w:val="both"/>
        <w:rPr>
          <w:rFonts w:ascii="Times New Roman" w:eastAsia="Times New Roman" w:hAnsi="Times New Roman"/>
          <w:lang w:val="hr-HR"/>
        </w:rPr>
      </w:pPr>
    </w:p>
    <w:p w14:paraId="406EDBBA" w14:textId="77777777" w:rsidR="00D15122" w:rsidRPr="00D6167B" w:rsidRDefault="009B0756" w:rsidP="007608DF">
      <w:pPr>
        <w:pStyle w:val="BodyText"/>
        <w:widowControl/>
        <w:ind w:left="0"/>
        <w:jc w:val="both"/>
        <w:rPr>
          <w:lang w:val="hr-HR"/>
        </w:rPr>
      </w:pPr>
      <w:r w:rsidRPr="00D6167B">
        <w:rPr>
          <w:lang w:val="hr-HR"/>
        </w:rPr>
        <w:t xml:space="preserve">Nekrotizirajući fasciitis, uključujući smrtne slučajeve, rijetko je prijavljivan kod pacijenata koji su liječeni bevacizumabom. Ovo stanje je najčešće sekundarno u odnosu na komplikacije sa zarastanjem rana, gastrointestinalnu perforaciju ili formiranje fistula. Kod pacijenata kod kojih se razvije </w:t>
      </w:r>
      <w:r w:rsidRPr="00D6167B">
        <w:rPr>
          <w:lang w:val="hr-HR"/>
        </w:rPr>
        <w:lastRenderedPageBreak/>
        <w:t>nekrotizirajući fasciitis mora da se prekine terapija lijekom Zirabev i da se što prije počne sa primjenom odgovarajućeg liječenja.</w:t>
      </w:r>
    </w:p>
    <w:p w14:paraId="77F0560B" w14:textId="77777777" w:rsidR="00D15122" w:rsidRPr="00D6167B" w:rsidRDefault="00D15122" w:rsidP="007608DF">
      <w:pPr>
        <w:widowControl/>
        <w:jc w:val="both"/>
        <w:rPr>
          <w:rFonts w:ascii="Times New Roman" w:eastAsia="Times New Roman" w:hAnsi="Times New Roman"/>
          <w:lang w:val="hr-HR"/>
        </w:rPr>
      </w:pPr>
    </w:p>
    <w:p w14:paraId="5A21DE47"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 xml:space="preserve">Hipertenzija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6059346A"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593CB28E" w14:textId="77777777" w:rsidR="00D15122" w:rsidRPr="00D6167B" w:rsidRDefault="009B0756" w:rsidP="007608DF">
      <w:pPr>
        <w:pStyle w:val="BodyText"/>
        <w:widowControl/>
        <w:ind w:left="0"/>
        <w:jc w:val="both"/>
        <w:rPr>
          <w:lang w:val="hr-HR"/>
        </w:rPr>
      </w:pPr>
      <w:r w:rsidRPr="00D6167B">
        <w:rPr>
          <w:lang w:val="hr-HR"/>
        </w:rPr>
        <w:t>Veća incidencija hipertenzije prim</w:t>
      </w:r>
      <w:r w:rsidR="001054C9" w:rsidRPr="00D6167B">
        <w:rPr>
          <w:lang w:val="hr-HR"/>
        </w:rPr>
        <w:t>i</w:t>
      </w:r>
      <w:r w:rsidRPr="00D6167B">
        <w:rPr>
          <w:lang w:val="hr-HR"/>
        </w:rPr>
        <w:t xml:space="preserve">jećena je kod pacijenata liječenih bevacizumabom. Podaci o kliničkoj bezbjednosti ukazuju na to da incidencija hipertenzije najvjerovatnije zavisi od doze. Već postojeća hipertenzija mora adekvatno da se kontroliše prije početka </w:t>
      </w:r>
      <w:r w:rsidR="003A1667" w:rsidRPr="00D6167B">
        <w:rPr>
          <w:lang w:val="hr-HR"/>
        </w:rPr>
        <w:t xml:space="preserve">terapije </w:t>
      </w:r>
      <w:r w:rsidRPr="00D6167B">
        <w:rPr>
          <w:lang w:val="hr-HR"/>
        </w:rPr>
        <w:t>lijekom Zirabev. Ne postoje informacije o dejstvu bevacizumaba kod pacijenata sa nekontrolisanom hipertenzijom u trenutku početka terapije.</w:t>
      </w:r>
    </w:p>
    <w:p w14:paraId="089AC895" w14:textId="77777777" w:rsidR="00203535" w:rsidRPr="00D6167B" w:rsidRDefault="00203535" w:rsidP="007608DF">
      <w:pPr>
        <w:pStyle w:val="BodyText"/>
        <w:widowControl/>
        <w:ind w:left="0"/>
        <w:jc w:val="both"/>
        <w:rPr>
          <w:lang w:val="hr-HR"/>
        </w:rPr>
      </w:pPr>
    </w:p>
    <w:p w14:paraId="350DAB2F" w14:textId="77777777" w:rsidR="00D15122" w:rsidRPr="00D6167B" w:rsidRDefault="009B0756" w:rsidP="007608DF">
      <w:pPr>
        <w:pStyle w:val="BodyText"/>
        <w:widowControl/>
        <w:ind w:left="0"/>
        <w:jc w:val="both"/>
        <w:rPr>
          <w:lang w:val="hr-HR"/>
        </w:rPr>
      </w:pPr>
      <w:r w:rsidRPr="00D6167B">
        <w:rPr>
          <w:lang w:val="hr-HR"/>
        </w:rPr>
        <w:t>Praćenje krvnog pritiska se uopšteno preporučuje tokom terapije.</w:t>
      </w:r>
    </w:p>
    <w:p w14:paraId="686D069C" w14:textId="77777777" w:rsidR="00D15122" w:rsidRPr="00D6167B" w:rsidRDefault="00D15122" w:rsidP="007608DF">
      <w:pPr>
        <w:widowControl/>
        <w:jc w:val="both"/>
        <w:rPr>
          <w:rFonts w:ascii="Times New Roman" w:eastAsia="Times New Roman" w:hAnsi="Times New Roman"/>
          <w:lang w:val="hr-HR"/>
        </w:rPr>
      </w:pPr>
    </w:p>
    <w:p w14:paraId="39A37506" w14:textId="77777777" w:rsidR="00D15122" w:rsidRPr="00D6167B" w:rsidRDefault="009B0756" w:rsidP="007608DF">
      <w:pPr>
        <w:pStyle w:val="BodyText"/>
        <w:widowControl/>
        <w:ind w:left="0"/>
        <w:jc w:val="both"/>
        <w:rPr>
          <w:lang w:val="hr-HR"/>
        </w:rPr>
      </w:pPr>
      <w:r w:rsidRPr="00D6167B">
        <w:rPr>
          <w:lang w:val="hr-HR"/>
        </w:rPr>
        <w:t>Hipertenzija je u većini slučajeva adekvatno kontrolisana pomoću standard</w:t>
      </w:r>
      <w:r w:rsidR="003A1667" w:rsidRPr="00D6167B">
        <w:rPr>
          <w:lang w:val="hr-HR"/>
        </w:rPr>
        <w:t>ne terapije antihipertenzivima</w:t>
      </w:r>
      <w:r w:rsidRPr="00D6167B">
        <w:rPr>
          <w:lang w:val="hr-HR"/>
        </w:rPr>
        <w:t>, koj</w:t>
      </w:r>
      <w:r w:rsidR="001072D4" w:rsidRPr="00D6167B">
        <w:rPr>
          <w:lang w:val="hr-HR"/>
        </w:rPr>
        <w:t>a</w:t>
      </w:r>
      <w:r w:rsidRPr="00D6167B">
        <w:rPr>
          <w:lang w:val="hr-HR"/>
        </w:rPr>
        <w:t xml:space="preserve"> je pri</w:t>
      </w:r>
      <w:r w:rsidR="001072D4" w:rsidRPr="00D6167B">
        <w:rPr>
          <w:lang w:val="hr-HR"/>
        </w:rPr>
        <w:t xml:space="preserve">lagođena stanju pojedinačnog </w:t>
      </w:r>
      <w:r w:rsidRPr="00D6167B">
        <w:rPr>
          <w:lang w:val="hr-HR"/>
        </w:rPr>
        <w:t xml:space="preserve">pacijenta. Upotreba diuretika za </w:t>
      </w:r>
      <w:r w:rsidR="001072D4" w:rsidRPr="00D6167B">
        <w:rPr>
          <w:lang w:val="hr-HR"/>
        </w:rPr>
        <w:t xml:space="preserve">regulisanje hipertenzije </w:t>
      </w:r>
      <w:r w:rsidRPr="00D6167B">
        <w:rPr>
          <w:lang w:val="hr-HR"/>
        </w:rPr>
        <w:t xml:space="preserve">ne preporučuje se kod pacijenata koji primaju režim hemoterapije zasnovan na cisplatinu. </w:t>
      </w:r>
      <w:r w:rsidR="001072D4" w:rsidRPr="00D6167B">
        <w:rPr>
          <w:lang w:val="hr-HR"/>
        </w:rPr>
        <w:t xml:space="preserve">Primjena lijeka </w:t>
      </w:r>
      <w:r w:rsidRPr="00D6167B">
        <w:rPr>
          <w:lang w:val="hr-HR"/>
        </w:rPr>
        <w:t>Zirabev mora trajno da se obustavi ako medicinski značajna hipertenzija ne može adekvatno da se kontroliše terapijom za hipertenziju ili ako se kod pacijenta razviju hipertenzivna kriza ili hipertenzivna encefalopatija.</w:t>
      </w:r>
    </w:p>
    <w:p w14:paraId="4ECD45AA" w14:textId="77777777" w:rsidR="00D15122" w:rsidRPr="00D6167B" w:rsidRDefault="00D15122" w:rsidP="007608DF">
      <w:pPr>
        <w:widowControl/>
        <w:jc w:val="both"/>
        <w:rPr>
          <w:rFonts w:ascii="Times New Roman" w:eastAsia="Times New Roman" w:hAnsi="Times New Roman"/>
          <w:lang w:val="hr-HR"/>
        </w:rPr>
      </w:pPr>
    </w:p>
    <w:p w14:paraId="33F66679" w14:textId="77777777" w:rsidR="000950F0" w:rsidRPr="00D6167B" w:rsidRDefault="000950F0" w:rsidP="007608DF">
      <w:pPr>
        <w:pStyle w:val="BodyText"/>
        <w:keepNext/>
        <w:widowControl/>
        <w:ind w:left="0"/>
        <w:jc w:val="both"/>
        <w:rPr>
          <w:u w:val="single"/>
          <w:lang w:val="hr-HR"/>
        </w:rPr>
      </w:pPr>
      <w:r w:rsidRPr="00D6167B">
        <w:rPr>
          <w:u w:val="single"/>
          <w:lang w:val="hr-HR"/>
        </w:rPr>
        <w:t>Aneurizme i disekcije arterije</w:t>
      </w:r>
    </w:p>
    <w:p w14:paraId="0EC5F006" w14:textId="77777777" w:rsidR="000950F0" w:rsidRPr="00D6167B" w:rsidRDefault="000950F0" w:rsidP="007608DF">
      <w:pPr>
        <w:pStyle w:val="BodyText"/>
        <w:keepNext/>
        <w:widowControl/>
        <w:ind w:left="0"/>
        <w:jc w:val="both"/>
        <w:rPr>
          <w:lang w:val="hr-HR"/>
        </w:rPr>
      </w:pPr>
    </w:p>
    <w:p w14:paraId="5A95D545" w14:textId="34D40979" w:rsidR="000950F0" w:rsidRPr="00D6167B" w:rsidRDefault="000950F0" w:rsidP="007608DF">
      <w:pPr>
        <w:pStyle w:val="BodyText"/>
        <w:widowControl/>
        <w:ind w:left="0"/>
        <w:jc w:val="both"/>
        <w:rPr>
          <w:lang w:val="hr-HR"/>
        </w:rPr>
      </w:pPr>
      <w:r w:rsidRPr="00D6167B">
        <w:rPr>
          <w:lang w:val="hr-HR"/>
        </w:rPr>
        <w:t>Upotreba inhibitora VEGF putanje kod pacijenata sa hipertenzijom ili bez nje može</w:t>
      </w:r>
      <w:r w:rsidR="001072D4" w:rsidRPr="00D6167B">
        <w:rPr>
          <w:lang w:val="hr-HR"/>
        </w:rPr>
        <w:t xml:space="preserve"> izazvati</w:t>
      </w:r>
      <w:r w:rsidRPr="00D6167B">
        <w:rPr>
          <w:lang w:val="hr-HR"/>
        </w:rPr>
        <w:t xml:space="preserve"> formiranje aneurizmi i/ili disekcija arterije. Prije početka primjene lijeka Zirabev potrebno je da se rizik pažljivo razmotri kod pacijenata sa faktorima rizika kao što su hipertenzija i</w:t>
      </w:r>
      <w:r w:rsidR="001D14B2">
        <w:rPr>
          <w:lang w:val="hr-HR"/>
        </w:rPr>
        <w:t>li</w:t>
      </w:r>
      <w:r w:rsidRPr="00D6167B">
        <w:rPr>
          <w:lang w:val="hr-HR"/>
        </w:rPr>
        <w:t xml:space="preserve"> aneuriz</w:t>
      </w:r>
      <w:r w:rsidR="001D14B2">
        <w:rPr>
          <w:lang w:val="hr-HR"/>
        </w:rPr>
        <w:t>ama u anamnezi</w:t>
      </w:r>
      <w:r w:rsidRPr="00D6167B">
        <w:rPr>
          <w:lang w:val="hr-HR"/>
        </w:rPr>
        <w:t>.</w:t>
      </w:r>
    </w:p>
    <w:p w14:paraId="41238FA8" w14:textId="77777777" w:rsidR="000950F0" w:rsidRPr="00D6167B" w:rsidRDefault="000950F0" w:rsidP="007608DF">
      <w:pPr>
        <w:widowControl/>
        <w:jc w:val="both"/>
        <w:rPr>
          <w:rFonts w:ascii="Times New Roman" w:eastAsia="Times New Roman" w:hAnsi="Times New Roman"/>
          <w:lang w:val="hr-HR"/>
        </w:rPr>
      </w:pPr>
    </w:p>
    <w:p w14:paraId="0C4B06D6"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Sindrom posteriorne reverzibilne encefalopatije (PRES)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3551FB50" w14:textId="77777777" w:rsidR="001F1228" w:rsidRPr="00D6167B" w:rsidRDefault="001F1228" w:rsidP="007608DF">
      <w:pPr>
        <w:keepNext/>
        <w:widowControl/>
        <w:jc w:val="both"/>
        <w:rPr>
          <w:rFonts w:ascii="Times New Roman" w:eastAsia="Times New Roman" w:hAnsi="Times New Roman"/>
          <w:lang w:val="hr-HR"/>
        </w:rPr>
      </w:pPr>
    </w:p>
    <w:p w14:paraId="2522EF0D" w14:textId="23CB920A" w:rsidR="00D15122" w:rsidRPr="00D6167B" w:rsidRDefault="009B0756" w:rsidP="007608DF">
      <w:pPr>
        <w:pStyle w:val="BodyText"/>
        <w:widowControl/>
        <w:ind w:left="0"/>
        <w:jc w:val="both"/>
        <w:rPr>
          <w:lang w:val="hr-HR"/>
        </w:rPr>
      </w:pPr>
      <w:r w:rsidRPr="00D6167B">
        <w:rPr>
          <w:lang w:val="hr-HR"/>
        </w:rPr>
        <w:t xml:space="preserve">Prijavljeni su rijetki slučajevi </w:t>
      </w:r>
      <w:r w:rsidR="001072D4" w:rsidRPr="00D6167B">
        <w:rPr>
          <w:lang w:val="hr-HR"/>
        </w:rPr>
        <w:t>pojave znaka i simptoma koji su povezani  sa PRES sindromom</w:t>
      </w:r>
      <w:r w:rsidR="00CE2F22">
        <w:rPr>
          <w:lang w:val="hr-HR"/>
        </w:rPr>
        <w:t xml:space="preserve"> (</w:t>
      </w:r>
      <w:r w:rsidR="00CE2F22" w:rsidRPr="00C106C9">
        <w:rPr>
          <w:lang w:val="hr-HR"/>
        </w:rPr>
        <w:t xml:space="preserve">engl. </w:t>
      </w:r>
      <w:r w:rsidR="00CE2F22" w:rsidRPr="00C106C9">
        <w:rPr>
          <w:i/>
          <w:lang w:val="hr-HR"/>
        </w:rPr>
        <w:t>Posterior Reversible Encephalopathy Syndrome</w:t>
      </w:r>
      <w:r w:rsidR="00CE2F22" w:rsidRPr="00C106C9">
        <w:rPr>
          <w:lang w:val="hr-HR"/>
        </w:rPr>
        <w:t>, PRES)</w:t>
      </w:r>
      <w:r w:rsidR="001072D4" w:rsidRPr="00D6167B">
        <w:rPr>
          <w:lang w:val="hr-HR"/>
        </w:rPr>
        <w:t>, rijetkim neurološkim poremećajem koji može da se, između ostalih, manifestuje sljedećim znakovima i simptomima: napad</w:t>
      </w:r>
      <w:r w:rsidR="00CE2F22">
        <w:rPr>
          <w:lang w:val="hr-HR"/>
        </w:rPr>
        <w:t>ima</w:t>
      </w:r>
      <w:r w:rsidR="001072D4" w:rsidRPr="00D6167B">
        <w:rPr>
          <w:lang w:val="hr-HR"/>
        </w:rPr>
        <w:t>, glavobolj</w:t>
      </w:r>
      <w:r w:rsidR="00CE2F22">
        <w:rPr>
          <w:lang w:val="hr-HR"/>
        </w:rPr>
        <w:t>om</w:t>
      </w:r>
      <w:r w:rsidR="001072D4" w:rsidRPr="00D6167B">
        <w:rPr>
          <w:lang w:val="hr-HR"/>
        </w:rPr>
        <w:t>, izmijenjen</w:t>
      </w:r>
      <w:r w:rsidR="00CE2F22">
        <w:rPr>
          <w:lang w:val="hr-HR"/>
        </w:rPr>
        <w:t>im</w:t>
      </w:r>
      <w:r w:rsidR="001072D4" w:rsidRPr="00D6167B">
        <w:rPr>
          <w:lang w:val="hr-HR"/>
        </w:rPr>
        <w:t xml:space="preserve"> mentalni</w:t>
      </w:r>
      <w:r w:rsidR="00CE2F22">
        <w:rPr>
          <w:lang w:val="hr-HR"/>
        </w:rPr>
        <w:t>m</w:t>
      </w:r>
      <w:r w:rsidR="001072D4" w:rsidRPr="00D6167B">
        <w:rPr>
          <w:lang w:val="hr-HR"/>
        </w:rPr>
        <w:t xml:space="preserve"> status</w:t>
      </w:r>
      <w:r w:rsidR="00CE2F22">
        <w:rPr>
          <w:lang w:val="hr-HR"/>
        </w:rPr>
        <w:t>om</w:t>
      </w:r>
      <w:r w:rsidR="001072D4" w:rsidRPr="00D6167B">
        <w:rPr>
          <w:lang w:val="hr-HR"/>
        </w:rPr>
        <w:t xml:space="preserve">, </w:t>
      </w:r>
      <w:r w:rsidR="00CE2F22">
        <w:rPr>
          <w:lang w:val="hr-HR"/>
        </w:rPr>
        <w:t>poremećajem</w:t>
      </w:r>
      <w:r w:rsidR="001072D4" w:rsidRPr="00D6167B">
        <w:rPr>
          <w:lang w:val="hr-HR"/>
        </w:rPr>
        <w:t xml:space="preserve"> vid</w:t>
      </w:r>
      <w:r w:rsidR="00CE2F22">
        <w:rPr>
          <w:lang w:val="hr-HR"/>
        </w:rPr>
        <w:t>a</w:t>
      </w:r>
      <w:r w:rsidR="001072D4" w:rsidRPr="00D6167B">
        <w:rPr>
          <w:lang w:val="hr-HR"/>
        </w:rPr>
        <w:t xml:space="preserve"> ili kortikaln</w:t>
      </w:r>
      <w:r w:rsidR="00CE2F22">
        <w:rPr>
          <w:lang w:val="hr-HR"/>
        </w:rPr>
        <w:t>im</w:t>
      </w:r>
      <w:r w:rsidR="001072D4" w:rsidRPr="00D6167B">
        <w:rPr>
          <w:lang w:val="hr-HR"/>
        </w:rPr>
        <w:t xml:space="preserve"> sljepilo</w:t>
      </w:r>
      <w:r w:rsidR="00CE2F22">
        <w:rPr>
          <w:lang w:val="hr-HR"/>
        </w:rPr>
        <w:t>m</w:t>
      </w:r>
      <w:r w:rsidR="001072D4" w:rsidRPr="00D6167B">
        <w:rPr>
          <w:lang w:val="hr-HR"/>
        </w:rPr>
        <w:t>, sa pratećom hipertenzijom ili bez nje</w:t>
      </w:r>
      <w:r w:rsidRPr="00D6167B">
        <w:rPr>
          <w:lang w:val="hr-HR"/>
        </w:rPr>
        <w:t xml:space="preserve">. Dijagnoza PRES sindroma zahtijeva potvrdu </w:t>
      </w:r>
      <w:r w:rsidR="00244FD5" w:rsidRPr="00D6167B">
        <w:rPr>
          <w:lang w:val="hr-HR"/>
        </w:rPr>
        <w:t>sniman</w:t>
      </w:r>
      <w:r w:rsidR="00CE2F22">
        <w:rPr>
          <w:lang w:val="hr-HR"/>
        </w:rPr>
        <w:t>j</w:t>
      </w:r>
      <w:r w:rsidR="00244FD5" w:rsidRPr="00D6167B">
        <w:rPr>
          <w:lang w:val="hr-HR"/>
        </w:rPr>
        <w:t>em</w:t>
      </w:r>
      <w:r w:rsidRPr="00D6167B">
        <w:rPr>
          <w:lang w:val="hr-HR"/>
        </w:rPr>
        <w:t xml:space="preserve"> mozga, najbolje magnetnom rezonancom (MR). Kod pacijenata kod kojih se razvije PRES preporučuje se liječenje konkretnih simptoma, uključujući i kontrolu hipertenzije, zajedno sa prekidom </w:t>
      </w:r>
      <w:r w:rsidR="00244FD5" w:rsidRPr="00D6167B">
        <w:rPr>
          <w:lang w:val="hr-HR"/>
        </w:rPr>
        <w:t xml:space="preserve">terapije </w:t>
      </w:r>
      <w:r w:rsidRPr="00D6167B">
        <w:rPr>
          <w:lang w:val="hr-HR"/>
        </w:rPr>
        <w:t>lijekom Zirabev. Bezbjednost ponovnog pokretanja terapije bevacizumabom kod pacijenata koji su prethodno imali PRES nije poznata.</w:t>
      </w:r>
    </w:p>
    <w:p w14:paraId="48398809" w14:textId="77777777" w:rsidR="00D15122" w:rsidRPr="00D6167B" w:rsidRDefault="00D15122" w:rsidP="007608DF">
      <w:pPr>
        <w:widowControl/>
        <w:jc w:val="both"/>
        <w:rPr>
          <w:rFonts w:ascii="Times New Roman" w:eastAsia="Times New Roman" w:hAnsi="Times New Roman"/>
          <w:lang w:val="hr-HR"/>
        </w:rPr>
      </w:pPr>
    </w:p>
    <w:p w14:paraId="62249197"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Proteinurija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2FF24345" w14:textId="77777777" w:rsidR="001F1228" w:rsidRPr="00D6167B" w:rsidRDefault="001F1228" w:rsidP="007608DF">
      <w:pPr>
        <w:keepNext/>
        <w:widowControl/>
        <w:jc w:val="both"/>
        <w:rPr>
          <w:rFonts w:ascii="Times New Roman" w:eastAsia="Times New Roman" w:hAnsi="Times New Roman"/>
          <w:lang w:val="hr-HR"/>
        </w:rPr>
      </w:pPr>
    </w:p>
    <w:p w14:paraId="7C0B79BE" w14:textId="14C13580" w:rsidR="00D15122" w:rsidRPr="00D6167B" w:rsidRDefault="009B0756" w:rsidP="007608DF">
      <w:pPr>
        <w:pStyle w:val="BodyText"/>
        <w:widowControl/>
        <w:ind w:left="0"/>
        <w:jc w:val="both"/>
        <w:rPr>
          <w:lang w:val="hr-HR"/>
        </w:rPr>
      </w:pPr>
      <w:r w:rsidRPr="00D6167B">
        <w:rPr>
          <w:lang w:val="hr-HR"/>
        </w:rPr>
        <w:t xml:space="preserve">Pacijenti sa istorijom hipertenzije mogu da imaju povećan rizik od razvoja proteinurije kada se liječe bevacizumabom. Postoje dokazi koji ukazuju na to da proteinurija svakog gradusa (US National Cancer Institute- Common Terminology Criteria for Adverse Events [NCI-CTCAE v.3]) može da </w:t>
      </w:r>
      <w:r w:rsidR="00BE1157">
        <w:rPr>
          <w:lang w:val="hr-HR"/>
        </w:rPr>
        <w:t>zavisi od</w:t>
      </w:r>
      <w:r w:rsidRPr="00D6167B">
        <w:rPr>
          <w:lang w:val="hr-HR"/>
        </w:rPr>
        <w:t xml:space="preserve"> doz</w:t>
      </w:r>
      <w:r w:rsidR="00BE1157">
        <w:rPr>
          <w:lang w:val="hr-HR"/>
        </w:rPr>
        <w:t>e</w:t>
      </w:r>
      <w:r w:rsidRPr="00D6167B">
        <w:rPr>
          <w:lang w:val="hr-HR"/>
        </w:rPr>
        <w:t xml:space="preserve">. Preporučuje se </w:t>
      </w:r>
      <w:r w:rsidR="00BE1157">
        <w:rPr>
          <w:lang w:val="hr-HR"/>
        </w:rPr>
        <w:t>kontrola</w:t>
      </w:r>
      <w:r w:rsidR="00BE1157" w:rsidRPr="00D6167B">
        <w:rPr>
          <w:lang w:val="hr-HR"/>
        </w:rPr>
        <w:t xml:space="preserve"> </w:t>
      </w:r>
      <w:r w:rsidRPr="00D6167B">
        <w:rPr>
          <w:lang w:val="hr-HR"/>
        </w:rPr>
        <w:t>proteinurije analiz</w:t>
      </w:r>
      <w:r w:rsidR="00BE1157">
        <w:rPr>
          <w:lang w:val="hr-HR"/>
        </w:rPr>
        <w:t>om</w:t>
      </w:r>
      <w:r w:rsidRPr="00D6167B">
        <w:rPr>
          <w:lang w:val="hr-HR"/>
        </w:rPr>
        <w:t xml:space="preserve"> urina </w:t>
      </w:r>
      <w:r w:rsidR="00BE1157">
        <w:rPr>
          <w:lang w:val="hr-HR"/>
        </w:rPr>
        <w:t>pomoću test trakica</w:t>
      </w:r>
      <w:r w:rsidR="00BE1157" w:rsidRPr="00D6167B">
        <w:rPr>
          <w:lang w:val="hr-HR"/>
        </w:rPr>
        <w:t xml:space="preserve"> </w:t>
      </w:r>
      <w:r w:rsidRPr="00D6167B">
        <w:rPr>
          <w:lang w:val="hr-HR"/>
        </w:rPr>
        <w:t>prije započinjanja terapije i tokom nje. Proteinurija gradusa 4 (nefrotski sindrom) prim</w:t>
      </w:r>
      <w:r w:rsidR="001054C9" w:rsidRPr="00D6167B">
        <w:rPr>
          <w:lang w:val="hr-HR"/>
        </w:rPr>
        <w:t>i</w:t>
      </w:r>
      <w:r w:rsidRPr="00D6167B">
        <w:rPr>
          <w:lang w:val="hr-HR"/>
        </w:rPr>
        <w:t xml:space="preserve">jećena je kod </w:t>
      </w:r>
      <w:r w:rsidR="00BE1157">
        <w:rPr>
          <w:lang w:val="hr-HR"/>
        </w:rPr>
        <w:t>najviše</w:t>
      </w:r>
      <w:r w:rsidR="00BE1157" w:rsidRPr="00D6167B">
        <w:rPr>
          <w:lang w:val="hr-HR"/>
        </w:rPr>
        <w:t xml:space="preserve"> </w:t>
      </w:r>
      <w:r w:rsidRPr="00D6167B">
        <w:rPr>
          <w:lang w:val="hr-HR"/>
        </w:rPr>
        <w:t xml:space="preserve">1,4% pacijenata liječenih bevacizumabom. Terapija </w:t>
      </w:r>
      <w:r w:rsidR="00BE1157">
        <w:rPr>
          <w:lang w:val="hr-HR"/>
        </w:rPr>
        <w:t xml:space="preserve">se </w:t>
      </w:r>
      <w:r w:rsidRPr="00D6167B">
        <w:rPr>
          <w:lang w:val="hr-HR"/>
        </w:rPr>
        <w:t>mora trajno prekin</w:t>
      </w:r>
      <w:r w:rsidR="00BE1157">
        <w:rPr>
          <w:lang w:val="hr-HR"/>
        </w:rPr>
        <w:t>uti</w:t>
      </w:r>
      <w:r w:rsidRPr="00D6167B">
        <w:rPr>
          <w:lang w:val="hr-HR"/>
        </w:rPr>
        <w:t xml:space="preserve"> kod pacijenata kod kojih se razvije nefrotski sindrom (NCI-CTCAE v.3).</w:t>
      </w:r>
    </w:p>
    <w:p w14:paraId="5F4A5965" w14:textId="77777777" w:rsidR="00D15122" w:rsidRPr="00D6167B" w:rsidRDefault="00D15122" w:rsidP="007608DF">
      <w:pPr>
        <w:widowControl/>
        <w:jc w:val="both"/>
        <w:rPr>
          <w:rFonts w:ascii="Times New Roman" w:eastAsia="Times New Roman" w:hAnsi="Times New Roman"/>
          <w:lang w:val="hr-HR"/>
        </w:rPr>
      </w:pPr>
    </w:p>
    <w:p w14:paraId="42545CC5"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Arterijska tromboembolija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3977CCAE" w14:textId="77777777" w:rsidR="001F1228" w:rsidRPr="00D6167B" w:rsidRDefault="001F1228" w:rsidP="007608DF">
      <w:pPr>
        <w:keepNext/>
        <w:widowControl/>
        <w:jc w:val="both"/>
        <w:rPr>
          <w:rFonts w:ascii="Times New Roman" w:eastAsia="Times New Roman" w:hAnsi="Times New Roman"/>
          <w:lang w:val="hr-HR"/>
        </w:rPr>
      </w:pPr>
    </w:p>
    <w:p w14:paraId="43F40441" w14:textId="77777777" w:rsidR="00D15122" w:rsidRPr="00D6167B" w:rsidRDefault="009B0756" w:rsidP="007608DF">
      <w:pPr>
        <w:pStyle w:val="BodyText"/>
        <w:widowControl/>
        <w:ind w:left="0"/>
        <w:jc w:val="both"/>
        <w:rPr>
          <w:lang w:val="hr-HR"/>
        </w:rPr>
      </w:pPr>
      <w:r w:rsidRPr="00D6167B">
        <w:rPr>
          <w:lang w:val="hr-HR"/>
        </w:rPr>
        <w:t>U kliničkim ispitivanjima, incidencija arterijskih tromboembolijskih reakcija uključujući cerebrovaskularne akcidente (CVA događaje), tranzitorne ishemijske atake (TIA događaje) i infarkte miokarda (MI događaje) viša je kod pacijenata koji primaju bevacizumab u kombinaciji sa hemoterapijom u odnosu na one koji primaju samo hemoterapiju.</w:t>
      </w:r>
    </w:p>
    <w:p w14:paraId="035411AD" w14:textId="77777777" w:rsidR="00D15122" w:rsidRPr="00D6167B" w:rsidRDefault="00D15122" w:rsidP="007608DF">
      <w:pPr>
        <w:widowControl/>
        <w:jc w:val="both"/>
        <w:rPr>
          <w:rFonts w:ascii="Times New Roman" w:eastAsia="Times New Roman" w:hAnsi="Times New Roman"/>
          <w:lang w:val="hr-HR"/>
        </w:rPr>
      </w:pPr>
    </w:p>
    <w:p w14:paraId="4B36C814" w14:textId="77777777" w:rsidR="00D15122" w:rsidRPr="00D6167B" w:rsidRDefault="009B0756" w:rsidP="007608DF">
      <w:pPr>
        <w:pStyle w:val="BodyText"/>
        <w:widowControl/>
        <w:ind w:left="0"/>
        <w:jc w:val="both"/>
        <w:rPr>
          <w:lang w:val="hr-HR"/>
        </w:rPr>
      </w:pPr>
      <w:r w:rsidRPr="00D6167B">
        <w:rPr>
          <w:lang w:val="hr-HR"/>
        </w:rPr>
        <w:lastRenderedPageBreak/>
        <w:t>Pacijenti koji primaju bevacizumab uz hemoterapiju i koji imaju istoriju arterijskih tromboembolija, dijabetes ili su stariji od 65 godina imaju povišen rizik od razvoja arterijskih tromboembolijskih reakcija tokom terapije. Potrebno je preduzeti mjere opreza kada se ovi pacijenti liječe lijekom Zirabev.</w:t>
      </w:r>
    </w:p>
    <w:p w14:paraId="0FA683E2" w14:textId="77777777" w:rsidR="00D15122" w:rsidRPr="00D6167B" w:rsidRDefault="00D15122" w:rsidP="007608DF">
      <w:pPr>
        <w:widowControl/>
        <w:jc w:val="both"/>
        <w:rPr>
          <w:rFonts w:ascii="Times New Roman" w:eastAsia="Times New Roman" w:hAnsi="Times New Roman"/>
          <w:lang w:val="hr-HR"/>
        </w:rPr>
      </w:pPr>
    </w:p>
    <w:p w14:paraId="021E2CB4" w14:textId="532E37F4" w:rsidR="00D15122" w:rsidRPr="00D6167B" w:rsidRDefault="009B0756" w:rsidP="007608DF">
      <w:pPr>
        <w:pStyle w:val="BodyText"/>
        <w:widowControl/>
        <w:ind w:left="0"/>
        <w:jc w:val="both"/>
        <w:rPr>
          <w:lang w:val="hr-HR"/>
        </w:rPr>
      </w:pPr>
      <w:r w:rsidRPr="00D6167B">
        <w:rPr>
          <w:lang w:val="hr-HR"/>
        </w:rPr>
        <w:t xml:space="preserve">Terapija </w:t>
      </w:r>
      <w:r w:rsidR="00BE1157">
        <w:rPr>
          <w:lang w:val="hr-HR"/>
        </w:rPr>
        <w:t xml:space="preserve">se </w:t>
      </w:r>
      <w:r w:rsidRPr="00D6167B">
        <w:rPr>
          <w:lang w:val="hr-HR"/>
        </w:rPr>
        <w:t>mora trajno obustavi</w:t>
      </w:r>
      <w:r w:rsidR="00BE1157">
        <w:rPr>
          <w:lang w:val="hr-HR"/>
        </w:rPr>
        <w:t>ti</w:t>
      </w:r>
      <w:r w:rsidRPr="00D6167B">
        <w:rPr>
          <w:lang w:val="hr-HR"/>
        </w:rPr>
        <w:t xml:space="preserve"> kod pacijenata kod kojih se razviju arterijske tromboembolijske reakcije.</w:t>
      </w:r>
    </w:p>
    <w:p w14:paraId="5AA5A053" w14:textId="77777777" w:rsidR="00D15122" w:rsidRPr="00D6167B" w:rsidRDefault="00D15122" w:rsidP="007608DF">
      <w:pPr>
        <w:widowControl/>
        <w:jc w:val="both"/>
        <w:rPr>
          <w:rFonts w:ascii="Times New Roman" w:eastAsia="Times New Roman" w:hAnsi="Times New Roman"/>
          <w:lang w:val="hr-HR"/>
        </w:rPr>
      </w:pPr>
    </w:p>
    <w:p w14:paraId="1F046D11"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 xml:space="preserve">Venska tromboembolija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07D8F8A6"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29C7B91F" w14:textId="77777777" w:rsidR="00D15122" w:rsidRPr="00D6167B" w:rsidRDefault="009B0756" w:rsidP="007608DF">
      <w:pPr>
        <w:pStyle w:val="BodyText"/>
        <w:widowControl/>
        <w:ind w:left="0"/>
        <w:jc w:val="both"/>
        <w:rPr>
          <w:lang w:val="hr-HR"/>
        </w:rPr>
      </w:pPr>
      <w:r w:rsidRPr="00D6167B">
        <w:rPr>
          <w:lang w:val="hr-HR"/>
        </w:rPr>
        <w:t>Pacijenti mogu biti izloženi riziku od razvoja venskih tromboembolijskih reakcija, uključujući plućnu emboliju, kada se liječe bevacizumabom.</w:t>
      </w:r>
    </w:p>
    <w:p w14:paraId="6E15924E" w14:textId="77777777" w:rsidR="00203535" w:rsidRPr="00D6167B" w:rsidRDefault="00203535" w:rsidP="007608DF">
      <w:pPr>
        <w:pStyle w:val="BodyText"/>
        <w:widowControl/>
        <w:ind w:left="0"/>
        <w:jc w:val="both"/>
        <w:rPr>
          <w:lang w:val="hr-HR"/>
        </w:rPr>
      </w:pPr>
    </w:p>
    <w:p w14:paraId="4C9AB571" w14:textId="77777777" w:rsidR="00D15122" w:rsidRPr="00D6167B" w:rsidRDefault="009B0756" w:rsidP="007608DF">
      <w:pPr>
        <w:pStyle w:val="BodyText"/>
        <w:widowControl/>
        <w:ind w:left="0"/>
        <w:jc w:val="both"/>
        <w:rPr>
          <w:lang w:val="hr-HR"/>
        </w:rPr>
      </w:pPr>
      <w:r w:rsidRPr="00D6167B">
        <w:rPr>
          <w:lang w:val="hr-HR"/>
        </w:rPr>
        <w:t>Pacijen</w:t>
      </w:r>
      <w:r w:rsidR="008522C0" w:rsidRPr="00D6167B">
        <w:rPr>
          <w:lang w:val="hr-HR"/>
        </w:rPr>
        <w:t>tkinje koje</w:t>
      </w:r>
      <w:r w:rsidRPr="00D6167B">
        <w:rPr>
          <w:lang w:val="hr-HR"/>
        </w:rPr>
        <w:t xml:space="preserve"> se bevacizumabom u kombinaciji sa paklitakselom i cisplatinom liječe od upornog, rekurentnog ili metastatskog karcinoma cerviksa mogu da imaju povišen rizik od događaja venske tromboembolije.</w:t>
      </w:r>
    </w:p>
    <w:p w14:paraId="662F9AAC" w14:textId="77777777" w:rsidR="00203535" w:rsidRPr="00D6167B" w:rsidRDefault="00203535" w:rsidP="007608DF">
      <w:pPr>
        <w:pStyle w:val="BodyText"/>
        <w:widowControl/>
        <w:ind w:left="0"/>
        <w:jc w:val="both"/>
        <w:rPr>
          <w:lang w:val="hr-HR"/>
        </w:rPr>
      </w:pPr>
    </w:p>
    <w:p w14:paraId="4B4DA488" w14:textId="28ECF342" w:rsidR="00D15122" w:rsidRPr="00D6167B" w:rsidRDefault="00760F57" w:rsidP="007608DF">
      <w:pPr>
        <w:pStyle w:val="BodyText"/>
        <w:widowControl/>
        <w:ind w:left="0"/>
        <w:jc w:val="both"/>
        <w:rPr>
          <w:lang w:val="hr-HR"/>
        </w:rPr>
      </w:pPr>
      <w:r w:rsidRPr="00D6167B">
        <w:rPr>
          <w:lang w:val="hr-HR"/>
        </w:rPr>
        <w:t xml:space="preserve">Primjena lijeka Zirabev mora da se prekine kod pacijenata sa tromboembolijskim reakcijama koje ugrožavaju život (gradus 4), uključujući plućnu emboliju (NCI-CTCAE v.3). </w:t>
      </w:r>
      <w:r w:rsidR="00BE1157">
        <w:rPr>
          <w:lang w:val="hr-HR"/>
        </w:rPr>
        <w:t>P</w:t>
      </w:r>
      <w:r w:rsidRPr="00D6167B">
        <w:rPr>
          <w:lang w:val="hr-HR"/>
        </w:rPr>
        <w:t>acijenat</w:t>
      </w:r>
      <w:r w:rsidR="00BE1157">
        <w:rPr>
          <w:lang w:val="hr-HR"/>
        </w:rPr>
        <w:t>e</w:t>
      </w:r>
      <w:r w:rsidRPr="00D6167B">
        <w:rPr>
          <w:lang w:val="hr-HR"/>
        </w:rPr>
        <w:t xml:space="preserve"> </w:t>
      </w:r>
      <w:r w:rsidR="00BE1157">
        <w:rPr>
          <w:lang w:val="hr-HR"/>
        </w:rPr>
        <w:t>sa</w:t>
      </w:r>
      <w:r w:rsidR="00BE1157" w:rsidRPr="00D6167B">
        <w:rPr>
          <w:lang w:val="hr-HR"/>
        </w:rPr>
        <w:t xml:space="preserve"> </w:t>
      </w:r>
      <w:r w:rsidRPr="00D6167B">
        <w:rPr>
          <w:lang w:val="hr-HR"/>
        </w:rPr>
        <w:t>tromboembolijsk</w:t>
      </w:r>
      <w:r w:rsidR="00BE1157">
        <w:rPr>
          <w:lang w:val="hr-HR"/>
        </w:rPr>
        <w:t>im</w:t>
      </w:r>
      <w:r w:rsidRPr="00D6167B">
        <w:rPr>
          <w:lang w:val="hr-HR"/>
        </w:rPr>
        <w:t xml:space="preserve"> reakcij</w:t>
      </w:r>
      <w:r w:rsidR="00BE1157">
        <w:rPr>
          <w:lang w:val="hr-HR"/>
        </w:rPr>
        <w:t>ama</w:t>
      </w:r>
      <w:r w:rsidRPr="00D6167B">
        <w:rPr>
          <w:lang w:val="hr-HR"/>
        </w:rPr>
        <w:t xml:space="preserve"> </w:t>
      </w:r>
      <w:r w:rsidR="00BE1157">
        <w:rPr>
          <w:lang w:val="hr-HR"/>
        </w:rPr>
        <w:t xml:space="preserve">gradusa </w:t>
      </w:r>
      <w:r w:rsidRPr="00D6167B">
        <w:rPr>
          <w:lang w:val="hr-HR"/>
        </w:rPr>
        <w:t xml:space="preserve">≤  3 </w:t>
      </w:r>
      <w:r w:rsidR="00BE1157">
        <w:rPr>
          <w:lang w:val="hr-HR"/>
        </w:rPr>
        <w:t xml:space="preserve">treba </w:t>
      </w:r>
      <w:r w:rsidRPr="00D6167B">
        <w:rPr>
          <w:lang w:val="hr-HR"/>
        </w:rPr>
        <w:t>pažljivo prati</w:t>
      </w:r>
      <w:r w:rsidR="00BE1157">
        <w:rPr>
          <w:lang w:val="hr-HR"/>
        </w:rPr>
        <w:t>ti</w:t>
      </w:r>
      <w:r w:rsidRPr="00D6167B">
        <w:rPr>
          <w:lang w:val="hr-HR"/>
        </w:rPr>
        <w:t xml:space="preserve"> (NCI-CTCAE v.3).</w:t>
      </w:r>
    </w:p>
    <w:p w14:paraId="7CADCC65" w14:textId="77777777" w:rsidR="00D15122" w:rsidRPr="00D6167B" w:rsidRDefault="00D15122" w:rsidP="007608DF">
      <w:pPr>
        <w:widowControl/>
        <w:jc w:val="both"/>
        <w:rPr>
          <w:rFonts w:ascii="Times New Roman" w:eastAsia="Times New Roman" w:hAnsi="Times New Roman"/>
          <w:lang w:val="hr-HR"/>
        </w:rPr>
      </w:pPr>
    </w:p>
    <w:p w14:paraId="32873A79"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Krvarenje</w:t>
      </w:r>
    </w:p>
    <w:p w14:paraId="08DB107F" w14:textId="77777777" w:rsidR="001F1228" w:rsidRPr="00D6167B" w:rsidRDefault="001F1228" w:rsidP="007608DF">
      <w:pPr>
        <w:keepNext/>
        <w:widowControl/>
        <w:jc w:val="both"/>
        <w:rPr>
          <w:rFonts w:ascii="Times New Roman" w:eastAsia="Times New Roman" w:hAnsi="Times New Roman"/>
          <w:i/>
          <w:lang w:val="hr-HR"/>
        </w:rPr>
      </w:pPr>
    </w:p>
    <w:p w14:paraId="57149820" w14:textId="253D021F" w:rsidR="00D15122" w:rsidRPr="00D6167B" w:rsidRDefault="009B0756" w:rsidP="007608DF">
      <w:pPr>
        <w:pStyle w:val="BodyText"/>
        <w:widowControl/>
        <w:ind w:left="0"/>
        <w:jc w:val="both"/>
        <w:rPr>
          <w:lang w:val="hr-HR"/>
        </w:rPr>
      </w:pPr>
      <w:r w:rsidRPr="00D6167B">
        <w:rPr>
          <w:lang w:val="hr-HR"/>
        </w:rPr>
        <w:t xml:space="preserve">Pacijenti liječeni bevacizumabom imaju veći rizik od krvarenja, a posebno krvarenja </w:t>
      </w:r>
      <w:r w:rsidR="00C911C9">
        <w:rPr>
          <w:lang w:val="hr-HR"/>
        </w:rPr>
        <w:t>po</w:t>
      </w:r>
      <w:r w:rsidRPr="00D6167B">
        <w:rPr>
          <w:lang w:val="hr-HR"/>
        </w:rPr>
        <w:t xml:space="preserve">vezanog </w:t>
      </w:r>
      <w:r w:rsidR="00C911C9">
        <w:rPr>
          <w:lang w:val="hr-HR"/>
        </w:rPr>
        <w:t>s</w:t>
      </w:r>
      <w:r w:rsidRPr="00D6167B">
        <w:rPr>
          <w:lang w:val="hr-HR"/>
        </w:rPr>
        <w:t>a tumor</w:t>
      </w:r>
      <w:r w:rsidR="00C911C9">
        <w:rPr>
          <w:lang w:val="hr-HR"/>
        </w:rPr>
        <w:t>om</w:t>
      </w:r>
      <w:r w:rsidRPr="00D6167B">
        <w:rPr>
          <w:lang w:val="hr-HR"/>
        </w:rPr>
        <w:t xml:space="preserve">. Primjena lijeka Zirabev mora trajno da se prekine kod pacijenata koji imaju krvarenje gradusa 3 ili 4 tokom terapije lijekom Zirabev (NCI-CTCAE v.3) (pogledajte </w:t>
      </w:r>
      <w:r w:rsidR="00EA7D3C" w:rsidRPr="00D6167B">
        <w:rPr>
          <w:lang w:val="hr-HR"/>
        </w:rPr>
        <w:t xml:space="preserve">dio </w:t>
      </w:r>
      <w:r w:rsidRPr="00D6167B">
        <w:rPr>
          <w:lang w:val="hr-HR"/>
        </w:rPr>
        <w:t>4.8).</w:t>
      </w:r>
    </w:p>
    <w:p w14:paraId="4C1CE21C" w14:textId="77777777" w:rsidR="00D15122" w:rsidRPr="00D6167B" w:rsidRDefault="00D15122" w:rsidP="007608DF">
      <w:pPr>
        <w:widowControl/>
        <w:jc w:val="both"/>
        <w:rPr>
          <w:rFonts w:ascii="Times New Roman" w:eastAsia="Times New Roman" w:hAnsi="Times New Roman"/>
          <w:lang w:val="hr-HR"/>
        </w:rPr>
      </w:pPr>
    </w:p>
    <w:p w14:paraId="0B1B27E3" w14:textId="77777777" w:rsidR="00D15122" w:rsidRPr="00D6167B" w:rsidRDefault="009B0756" w:rsidP="007608DF">
      <w:pPr>
        <w:pStyle w:val="BodyText"/>
        <w:widowControl/>
        <w:ind w:left="0"/>
        <w:jc w:val="both"/>
        <w:rPr>
          <w:lang w:val="hr-HR"/>
        </w:rPr>
      </w:pPr>
      <w:r w:rsidRPr="00D6167B">
        <w:rPr>
          <w:lang w:val="hr-HR"/>
        </w:rPr>
        <w:t>Pacijenti sa nel</w:t>
      </w:r>
      <w:r w:rsidR="009750FE" w:rsidRPr="00D6167B">
        <w:rPr>
          <w:lang w:val="hr-HR"/>
        </w:rPr>
        <w:t>i</w:t>
      </w:r>
      <w:r w:rsidRPr="00D6167B">
        <w:rPr>
          <w:lang w:val="hr-HR"/>
        </w:rPr>
        <w:t xml:space="preserve">ječenim CNS metastazama redovno su izuzimani iz kliničkih ispitivanja sa bevacizumabom, na osnovu procedura snimanja ili znakova i simptoma. Prema tome, rizik od CNS krvarenja kod takvih pacijenata nije prospektivno procijenjen u randomizovanim kliničkim ispitivanjima (pogledajte </w:t>
      </w:r>
      <w:r w:rsidR="00EA7D3C" w:rsidRPr="00D6167B">
        <w:rPr>
          <w:lang w:val="hr-HR"/>
        </w:rPr>
        <w:t xml:space="preserve">dio </w:t>
      </w:r>
      <w:r w:rsidRPr="00D6167B">
        <w:rPr>
          <w:lang w:val="hr-HR"/>
        </w:rPr>
        <w:t>4.8). Stanje pacijenata mora da se prati kako bi se uočili znaci i simptomi CNS krvarenja, a liječenje lijekom Zirabev prekinulo u slučajevima intrakranijalnog krvarenja.</w:t>
      </w:r>
    </w:p>
    <w:p w14:paraId="2BD5EF88" w14:textId="77777777" w:rsidR="00D15122" w:rsidRPr="00D6167B" w:rsidRDefault="00D15122" w:rsidP="007608DF">
      <w:pPr>
        <w:widowControl/>
        <w:jc w:val="both"/>
        <w:rPr>
          <w:rFonts w:ascii="Times New Roman" w:eastAsia="Times New Roman" w:hAnsi="Times New Roman"/>
          <w:lang w:val="hr-HR"/>
        </w:rPr>
      </w:pPr>
    </w:p>
    <w:p w14:paraId="4952F37F" w14:textId="77777777" w:rsidR="00D15122" w:rsidRPr="00D6167B" w:rsidRDefault="009B0756" w:rsidP="007608DF">
      <w:pPr>
        <w:pStyle w:val="BodyText"/>
        <w:widowControl/>
        <w:ind w:left="0"/>
        <w:jc w:val="both"/>
        <w:rPr>
          <w:lang w:val="hr-HR"/>
        </w:rPr>
      </w:pPr>
      <w:r w:rsidRPr="00D6167B">
        <w:rPr>
          <w:lang w:val="hr-HR"/>
        </w:rPr>
        <w:t xml:space="preserve">Ne postoje informacije o bezbjednosnom profilu bevacizumaba kod pacijenata sa kongenitalnom hemoragijskom dijatezom, stečenom koagulopatijom ili kod pacijenata koji primaju kompletnu dozu antikoagulantnih ljekova za liječenje tromboembolije prije započinjanja liječenja bevacizumabom pošto su takvi pacijenti izuzeti iz kliničkih ispitivanja. Prema tome, potrebno je preduzeti mjere opreza prije započinjanja terapije </w:t>
      </w:r>
      <w:r w:rsidR="003518E6" w:rsidRPr="00D6167B">
        <w:rPr>
          <w:lang w:val="hr-HR"/>
        </w:rPr>
        <w:t xml:space="preserve">kod tih </w:t>
      </w:r>
      <w:r w:rsidRPr="00D6167B">
        <w:rPr>
          <w:lang w:val="hr-HR"/>
        </w:rPr>
        <w:t>pacijen</w:t>
      </w:r>
      <w:r w:rsidR="003518E6" w:rsidRPr="00D6167B">
        <w:rPr>
          <w:lang w:val="hr-HR"/>
        </w:rPr>
        <w:t>ata</w:t>
      </w:r>
      <w:r w:rsidRPr="00D6167B">
        <w:rPr>
          <w:lang w:val="hr-HR"/>
        </w:rPr>
        <w:t>. Međutim, pacijenti kod kojih se javila venska tromboza tokom terapije naizgled nijesu imali povišenu stopu krvarenja ili krvarenje gradusa 3 ili ozbiljnije kada su liječeni cijelom dozom varfarina i bevacizumaba istovremeno (NCI-CTCAE v.3).</w:t>
      </w:r>
    </w:p>
    <w:p w14:paraId="0E5426BB" w14:textId="77777777" w:rsidR="00B320FD" w:rsidRPr="00D6167B" w:rsidRDefault="00B320FD" w:rsidP="007608DF">
      <w:pPr>
        <w:widowControl/>
        <w:jc w:val="both"/>
        <w:rPr>
          <w:rFonts w:ascii="Times New Roman" w:eastAsia="Times New Roman" w:hAnsi="Times New Roman"/>
          <w:lang w:val="hr-HR"/>
        </w:rPr>
      </w:pPr>
    </w:p>
    <w:p w14:paraId="4D5E945F"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Plućno krvarenje/hemoptizija</w:t>
      </w:r>
    </w:p>
    <w:p w14:paraId="406EE271" w14:textId="77777777" w:rsidR="001F1228" w:rsidRPr="00D6167B" w:rsidRDefault="001F1228" w:rsidP="007608DF">
      <w:pPr>
        <w:keepNext/>
        <w:widowControl/>
        <w:spacing w:line="252" w:lineRule="exact"/>
        <w:jc w:val="both"/>
        <w:rPr>
          <w:rFonts w:ascii="Times New Roman" w:eastAsia="Times New Roman" w:hAnsi="Times New Roman"/>
          <w:i/>
          <w:lang w:val="hr-HR"/>
        </w:rPr>
      </w:pPr>
    </w:p>
    <w:p w14:paraId="78F1F266" w14:textId="30871C41" w:rsidR="00D15122" w:rsidRPr="00D6167B" w:rsidRDefault="009B0756" w:rsidP="007608DF">
      <w:pPr>
        <w:pStyle w:val="BodyText"/>
        <w:widowControl/>
        <w:ind w:left="0"/>
        <w:jc w:val="both"/>
        <w:rPr>
          <w:lang w:val="hr-HR"/>
        </w:rPr>
      </w:pPr>
      <w:r w:rsidRPr="00D6167B">
        <w:rPr>
          <w:lang w:val="hr-HR"/>
        </w:rPr>
        <w:t xml:space="preserve">Pacijenti koji imaju karcinom pluća koji nije mikrokarcinom i liječe se bevacizumabom mogu biti izloženi riziku od ozbiljnog, a u nekim slučajevima i fatalnog plućnog krvarenja/hemoptizije. Pacijenti koji su nedavno imali plućno krvarenje/hemoptiziju (&gt; 2,5 ml </w:t>
      </w:r>
      <w:r w:rsidR="00354CC3">
        <w:rPr>
          <w:lang w:val="hr-HR"/>
        </w:rPr>
        <w:t>svježe</w:t>
      </w:r>
      <w:r w:rsidR="00354CC3" w:rsidRPr="00D6167B">
        <w:rPr>
          <w:lang w:val="hr-HR"/>
        </w:rPr>
        <w:t xml:space="preserve"> </w:t>
      </w:r>
      <w:r w:rsidRPr="00D6167B">
        <w:rPr>
          <w:lang w:val="hr-HR"/>
        </w:rPr>
        <w:t>krvi) ne smiju se liječiti lijekom Zirabev.</w:t>
      </w:r>
    </w:p>
    <w:p w14:paraId="74ED1BBA" w14:textId="77777777" w:rsidR="00D15122" w:rsidRPr="00D6167B" w:rsidRDefault="00D15122" w:rsidP="007608DF">
      <w:pPr>
        <w:widowControl/>
        <w:jc w:val="both"/>
        <w:rPr>
          <w:rFonts w:ascii="Times New Roman" w:eastAsia="Times New Roman" w:hAnsi="Times New Roman"/>
          <w:lang w:val="hr-HR"/>
        </w:rPr>
      </w:pPr>
    </w:p>
    <w:p w14:paraId="474DA555" w14:textId="4A53BDE8"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Kongestivn</w:t>
      </w:r>
      <w:r w:rsidR="00354CC3">
        <w:rPr>
          <w:rFonts w:ascii="Times New Roman" w:hAnsi="Times New Roman"/>
          <w:u w:val="single"/>
          <w:lang w:val="hr-HR"/>
        </w:rPr>
        <w:t>a</w:t>
      </w:r>
      <w:r w:rsidRPr="00D6167B">
        <w:rPr>
          <w:rFonts w:ascii="Times New Roman" w:hAnsi="Times New Roman"/>
          <w:u w:val="single"/>
          <w:lang w:val="hr-HR"/>
        </w:rPr>
        <w:t xml:space="preserve"> </w:t>
      </w:r>
      <w:r w:rsidR="00354CC3">
        <w:rPr>
          <w:rFonts w:ascii="Times New Roman" w:hAnsi="Times New Roman"/>
          <w:u w:val="single"/>
          <w:lang w:val="hr-HR"/>
        </w:rPr>
        <w:t>srčana insuficijencija</w:t>
      </w:r>
      <w:r w:rsidRPr="00D6167B">
        <w:rPr>
          <w:rFonts w:ascii="Times New Roman" w:hAnsi="Times New Roman"/>
          <w:u w:val="single"/>
          <w:lang w:val="hr-HR"/>
        </w:rPr>
        <w:t xml:space="preserve"> (CHF)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08CC83FA"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28EFB5FC" w14:textId="09A95463" w:rsidR="00D15122" w:rsidRPr="00D6167B" w:rsidRDefault="009B0756" w:rsidP="007608DF">
      <w:pPr>
        <w:pStyle w:val="BodyText"/>
        <w:widowControl/>
        <w:ind w:left="0"/>
        <w:jc w:val="both"/>
        <w:rPr>
          <w:lang w:val="hr-HR"/>
        </w:rPr>
      </w:pPr>
      <w:r w:rsidRPr="00D6167B">
        <w:rPr>
          <w:lang w:val="hr-HR"/>
        </w:rPr>
        <w:t>Reakcije koje su u skladu sa CHF događajem prijavljene su u kliničkim ispitivanjima. Nalazi se kreću od asimptomatskog opadanja u ejekcionoj frakciji lijeve komore do simptomatskog CHF događaja, koji zahtijeva liječenje ili hospitalizaciju. Potrebno je preduzeti mjere opreza kada se lijekom Zirabev liječe pacijenti sa klinički značajnim kardiovaskularnim oboljenjem, kao što su postojeće oboljenje koronarne arterije ili sr</w:t>
      </w:r>
      <w:r w:rsidR="00896533">
        <w:rPr>
          <w:lang w:val="hr-HR"/>
        </w:rPr>
        <w:t>čane insuficijencije</w:t>
      </w:r>
      <w:r w:rsidRPr="00D6167B">
        <w:rPr>
          <w:lang w:val="hr-HR"/>
        </w:rPr>
        <w:t>.</w:t>
      </w:r>
    </w:p>
    <w:p w14:paraId="0F2545D0" w14:textId="77777777" w:rsidR="003F6DA1" w:rsidRPr="00D6167B" w:rsidRDefault="003F6DA1" w:rsidP="007608DF">
      <w:pPr>
        <w:widowControl/>
        <w:jc w:val="both"/>
        <w:rPr>
          <w:rFonts w:ascii="Times New Roman" w:eastAsia="Times New Roman" w:hAnsi="Times New Roman"/>
          <w:lang w:val="hr-HR"/>
        </w:rPr>
      </w:pPr>
    </w:p>
    <w:p w14:paraId="23F3F80F" w14:textId="40170B0B" w:rsidR="00D15122" w:rsidRPr="00D6167B" w:rsidRDefault="009B0756" w:rsidP="007608DF">
      <w:pPr>
        <w:pStyle w:val="BodyText"/>
        <w:widowControl/>
        <w:ind w:left="0"/>
        <w:jc w:val="both"/>
        <w:rPr>
          <w:lang w:val="hr-HR"/>
        </w:rPr>
      </w:pPr>
      <w:r w:rsidRPr="00D6167B">
        <w:rPr>
          <w:lang w:val="hr-HR"/>
        </w:rPr>
        <w:t>Većina pacijenata koja je doživjela CHF događaj imala je metastatski karcinom dojke i prethodno je bila liječena antraciklinima</w:t>
      </w:r>
      <w:r w:rsidR="00A44D11">
        <w:rPr>
          <w:lang w:val="hr-HR"/>
        </w:rPr>
        <w:t>,</w:t>
      </w:r>
      <w:r w:rsidRPr="00D6167B">
        <w:rPr>
          <w:lang w:val="hr-HR"/>
        </w:rPr>
        <w:t xml:space="preserve"> radioterapijom lijevog zida grudnog koša ili su bili prisutni drugi faktori za CHF.</w:t>
      </w:r>
    </w:p>
    <w:p w14:paraId="61801377" w14:textId="77777777" w:rsidR="00D15122" w:rsidRPr="00D6167B" w:rsidRDefault="00D15122" w:rsidP="007608DF">
      <w:pPr>
        <w:widowControl/>
        <w:jc w:val="both"/>
        <w:rPr>
          <w:rFonts w:ascii="Times New Roman" w:eastAsia="Times New Roman" w:hAnsi="Times New Roman"/>
          <w:lang w:val="hr-HR"/>
        </w:rPr>
      </w:pPr>
    </w:p>
    <w:p w14:paraId="0977A908" w14:textId="7F7C6DA3" w:rsidR="00D15122" w:rsidRPr="00D6167B" w:rsidRDefault="00E70EF3" w:rsidP="007608DF">
      <w:pPr>
        <w:pStyle w:val="BodyText"/>
        <w:widowControl/>
        <w:ind w:left="0"/>
        <w:jc w:val="both"/>
        <w:rPr>
          <w:lang w:val="hr-HR"/>
        </w:rPr>
      </w:pPr>
      <w:r w:rsidRPr="00D6167B">
        <w:rPr>
          <w:lang w:val="hr-HR"/>
        </w:rPr>
        <w:t>U</w:t>
      </w:r>
      <w:r w:rsidR="009B0756" w:rsidRPr="00D6167B">
        <w:rPr>
          <w:lang w:val="hr-HR"/>
        </w:rPr>
        <w:t xml:space="preserve"> studiji AVF3694g, </w:t>
      </w:r>
      <w:r w:rsidRPr="00D6167B">
        <w:rPr>
          <w:lang w:val="hr-HR"/>
        </w:rPr>
        <w:t xml:space="preserve">kod pacijenata liječenih </w:t>
      </w:r>
      <w:r w:rsidR="009B0756" w:rsidRPr="00D6167B">
        <w:rPr>
          <w:lang w:val="hr-HR"/>
        </w:rPr>
        <w:t xml:space="preserve">antraciklinima koji </w:t>
      </w:r>
      <w:r w:rsidR="00210655">
        <w:rPr>
          <w:lang w:val="hr-HR"/>
        </w:rPr>
        <w:t>ranije</w:t>
      </w:r>
      <w:r w:rsidR="009B0756" w:rsidRPr="00D6167B">
        <w:rPr>
          <w:lang w:val="hr-HR"/>
        </w:rPr>
        <w:t xml:space="preserve"> nijesu primali antracikline, nije prim</w:t>
      </w:r>
      <w:r w:rsidR="001054C9" w:rsidRPr="00D6167B">
        <w:rPr>
          <w:lang w:val="hr-HR"/>
        </w:rPr>
        <w:t>i</w:t>
      </w:r>
      <w:r w:rsidR="009B0756" w:rsidRPr="00D6167B">
        <w:rPr>
          <w:lang w:val="hr-HR"/>
        </w:rPr>
        <w:t xml:space="preserve">jećena veća incidencija CHF događaja svih gradusa kod grupe koja je dobijala antraciklin + bevacizumab u poređenju sa liječenjem samo antraciklinima. CHF reakcije gradusa 3 ili višeg gradusa donekle su bile češće kod pacijenata koji </w:t>
      </w:r>
      <w:r w:rsidR="00210655">
        <w:rPr>
          <w:lang w:val="hr-HR"/>
        </w:rPr>
        <w:t xml:space="preserve">su </w:t>
      </w:r>
      <w:r w:rsidR="009B0756" w:rsidRPr="00D6167B">
        <w:rPr>
          <w:lang w:val="hr-HR"/>
        </w:rPr>
        <w:t>prima</w:t>
      </w:r>
      <w:r w:rsidR="00210655">
        <w:rPr>
          <w:lang w:val="hr-HR"/>
        </w:rPr>
        <w:t>li</w:t>
      </w:r>
      <w:r w:rsidR="009B0756" w:rsidRPr="00D6167B">
        <w:rPr>
          <w:lang w:val="hr-HR"/>
        </w:rPr>
        <w:t xml:space="preserve"> bevacizumab u kombinaciji sa hemoterapijom nego kod pacijenata koji </w:t>
      </w:r>
      <w:r w:rsidR="00210655">
        <w:rPr>
          <w:lang w:val="hr-HR"/>
        </w:rPr>
        <w:t xml:space="preserve">su </w:t>
      </w:r>
      <w:r w:rsidR="009B0756" w:rsidRPr="00D6167B">
        <w:rPr>
          <w:lang w:val="hr-HR"/>
        </w:rPr>
        <w:t>prima</w:t>
      </w:r>
      <w:r w:rsidR="00210655">
        <w:rPr>
          <w:lang w:val="hr-HR"/>
        </w:rPr>
        <w:t>li</w:t>
      </w:r>
      <w:r w:rsidR="009B0756" w:rsidRPr="00D6167B">
        <w:rPr>
          <w:lang w:val="hr-HR"/>
        </w:rPr>
        <w:t xml:space="preserve"> samo hemoterapiju. To </w:t>
      </w:r>
      <w:r w:rsidR="00210655">
        <w:rPr>
          <w:lang w:val="hr-HR"/>
        </w:rPr>
        <w:t>se podudara</w:t>
      </w:r>
      <w:r w:rsidR="009B0756" w:rsidRPr="00D6167B">
        <w:rPr>
          <w:lang w:val="hr-HR"/>
        </w:rPr>
        <w:t xml:space="preserve"> sa </w:t>
      </w:r>
      <w:r w:rsidR="00210655">
        <w:rPr>
          <w:lang w:val="hr-HR"/>
        </w:rPr>
        <w:t xml:space="preserve">nalazima </w:t>
      </w:r>
      <w:r w:rsidR="009B0756" w:rsidRPr="00D6167B">
        <w:rPr>
          <w:lang w:val="hr-HR"/>
        </w:rPr>
        <w:t xml:space="preserve">pacijenata </w:t>
      </w:r>
      <w:r w:rsidR="00210655">
        <w:rPr>
          <w:lang w:val="hr-HR"/>
        </w:rPr>
        <w:t>iz</w:t>
      </w:r>
      <w:r w:rsidR="009B0756" w:rsidRPr="00D6167B">
        <w:rPr>
          <w:lang w:val="hr-HR"/>
        </w:rPr>
        <w:t xml:space="preserve"> drugi</w:t>
      </w:r>
      <w:r w:rsidR="00210655">
        <w:rPr>
          <w:lang w:val="hr-HR"/>
        </w:rPr>
        <w:t>h</w:t>
      </w:r>
      <w:r w:rsidR="009B0756" w:rsidRPr="00D6167B">
        <w:rPr>
          <w:lang w:val="hr-HR"/>
        </w:rPr>
        <w:t xml:space="preserve"> studija metastatskog karcinoma dojke koji nijesu istovremeno </w:t>
      </w:r>
      <w:r w:rsidR="00210655" w:rsidRPr="00D6167B">
        <w:rPr>
          <w:lang w:val="hr-HR"/>
        </w:rPr>
        <w:t>liječen</w:t>
      </w:r>
      <w:r w:rsidR="00210655">
        <w:rPr>
          <w:lang w:val="hr-HR"/>
        </w:rPr>
        <w:t xml:space="preserve">i </w:t>
      </w:r>
      <w:r w:rsidR="009B0756" w:rsidRPr="00D6167B">
        <w:rPr>
          <w:lang w:val="hr-HR"/>
        </w:rPr>
        <w:t>antraciklin</w:t>
      </w:r>
      <w:r w:rsidR="00210655">
        <w:rPr>
          <w:lang w:val="hr-HR"/>
        </w:rPr>
        <w:t>ima</w:t>
      </w:r>
      <w:r w:rsidR="009B0756" w:rsidRPr="00D6167B">
        <w:rPr>
          <w:lang w:val="hr-HR"/>
        </w:rPr>
        <w:t xml:space="preserve"> (NCI-CTCAE v.3) (pogledajte </w:t>
      </w:r>
      <w:r w:rsidR="00EA7D3C" w:rsidRPr="00D6167B">
        <w:rPr>
          <w:lang w:val="hr-HR"/>
        </w:rPr>
        <w:t xml:space="preserve">dio </w:t>
      </w:r>
      <w:r w:rsidR="009B0756" w:rsidRPr="00D6167B">
        <w:rPr>
          <w:lang w:val="hr-HR"/>
        </w:rPr>
        <w:t>4.8).</w:t>
      </w:r>
    </w:p>
    <w:p w14:paraId="4E9C417E" w14:textId="77777777" w:rsidR="00D15122" w:rsidRPr="00D6167B" w:rsidRDefault="00D15122" w:rsidP="007608DF">
      <w:pPr>
        <w:widowControl/>
        <w:jc w:val="both"/>
        <w:rPr>
          <w:rFonts w:ascii="Times New Roman" w:eastAsia="Times New Roman" w:hAnsi="Times New Roman"/>
          <w:lang w:val="hr-HR"/>
        </w:rPr>
      </w:pPr>
    </w:p>
    <w:p w14:paraId="5B895158"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 xml:space="preserve">Neutropenija i infekcije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3E027D41" w14:textId="77777777" w:rsidR="001F1228" w:rsidRPr="00D6167B" w:rsidRDefault="001F1228" w:rsidP="007608DF">
      <w:pPr>
        <w:keepNext/>
        <w:widowControl/>
        <w:spacing w:line="252" w:lineRule="exact"/>
        <w:jc w:val="both"/>
        <w:rPr>
          <w:rFonts w:ascii="Times New Roman" w:eastAsia="Times New Roman" w:hAnsi="Times New Roman"/>
          <w:lang w:val="hr-HR"/>
        </w:rPr>
      </w:pPr>
    </w:p>
    <w:p w14:paraId="008BE9C1" w14:textId="77777777" w:rsidR="00D15122" w:rsidRPr="00D6167B" w:rsidRDefault="009B0756" w:rsidP="007608DF">
      <w:pPr>
        <w:pStyle w:val="BodyText"/>
        <w:widowControl/>
        <w:ind w:left="0"/>
        <w:jc w:val="both"/>
        <w:rPr>
          <w:lang w:val="hr-HR"/>
        </w:rPr>
      </w:pPr>
      <w:r w:rsidRPr="00D6167B">
        <w:rPr>
          <w:lang w:val="hr-HR"/>
        </w:rPr>
        <w:t>Povećane stope ozbiljne neutropenije, febrilne neutropenije ili infekcije sa ozbiljnom neutropenijom ili bez nje (uključujući i neke smrtne slučajeve) prim</w:t>
      </w:r>
      <w:r w:rsidR="001054C9" w:rsidRPr="00D6167B">
        <w:rPr>
          <w:lang w:val="hr-HR"/>
        </w:rPr>
        <w:t>i</w:t>
      </w:r>
      <w:r w:rsidRPr="00D6167B">
        <w:rPr>
          <w:lang w:val="hr-HR"/>
        </w:rPr>
        <w:t>jećeni su kod pacijenata liječenih nekim mijelotoksičnim režimima hemoterapije sa dodatkom bevacizumaba u poređenju sa samom hemoterapijom. Ovo se uglavnom viđa u kombinaciji sa terapijama zasnovanim na platini ili taksanu pri liječenju NSCLC karcinoma, mBC i u kombinaciji sa paklitakselom i topotekanom kod upornog, rekurentnog ili metastatskog karcinoma cerviksa.</w:t>
      </w:r>
    </w:p>
    <w:p w14:paraId="12933B00" w14:textId="77777777" w:rsidR="00D15122" w:rsidRPr="00D6167B" w:rsidRDefault="00D15122" w:rsidP="007608DF">
      <w:pPr>
        <w:widowControl/>
        <w:jc w:val="both"/>
        <w:rPr>
          <w:rFonts w:ascii="Times New Roman" w:eastAsia="Times New Roman" w:hAnsi="Times New Roman"/>
          <w:lang w:val="hr-HR"/>
        </w:rPr>
      </w:pPr>
    </w:p>
    <w:p w14:paraId="354B3715" w14:textId="3897D443"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Reakcije preosjetljivosti</w:t>
      </w:r>
      <w:r w:rsidR="00E9084A">
        <w:rPr>
          <w:rFonts w:ascii="Times New Roman" w:hAnsi="Times New Roman"/>
          <w:u w:val="single"/>
          <w:lang w:val="hr-HR"/>
        </w:rPr>
        <w:t xml:space="preserve"> (uključujući anafilaktički šok)</w:t>
      </w:r>
      <w:r w:rsidRPr="00D6167B">
        <w:rPr>
          <w:rFonts w:ascii="Times New Roman" w:hAnsi="Times New Roman"/>
          <w:u w:val="single"/>
          <w:lang w:val="hr-HR"/>
        </w:rPr>
        <w:t xml:space="preserve">/reakcije na infuziju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218CFBEE" w14:textId="77777777" w:rsidR="001F1228" w:rsidRPr="00D6167B" w:rsidRDefault="001F1228" w:rsidP="007608DF">
      <w:pPr>
        <w:keepNext/>
        <w:widowControl/>
        <w:jc w:val="both"/>
        <w:rPr>
          <w:rFonts w:ascii="Times New Roman" w:eastAsia="Times New Roman" w:hAnsi="Times New Roman"/>
          <w:lang w:val="hr-HR"/>
        </w:rPr>
      </w:pPr>
    </w:p>
    <w:p w14:paraId="38A9ACBF" w14:textId="1A2D5086" w:rsidR="00D15122" w:rsidRPr="00D6167B" w:rsidRDefault="009B0756" w:rsidP="007608DF">
      <w:pPr>
        <w:pStyle w:val="BodyText"/>
        <w:widowControl/>
        <w:ind w:left="0"/>
        <w:jc w:val="both"/>
        <w:rPr>
          <w:lang w:val="hr-HR"/>
        </w:rPr>
      </w:pPr>
      <w:r w:rsidRPr="00D6167B">
        <w:rPr>
          <w:lang w:val="hr-HR"/>
        </w:rPr>
        <w:t>Pacijenti mogu biti izloženi riziku od razvoja reakcija za infuziju ili reakcija preosjetljivosti</w:t>
      </w:r>
      <w:r w:rsidR="00E9084A">
        <w:rPr>
          <w:lang w:val="hr-HR"/>
        </w:rPr>
        <w:t xml:space="preserve"> (uključujući anafilaktički šok)</w:t>
      </w:r>
      <w:r w:rsidRPr="00D6167B">
        <w:rPr>
          <w:lang w:val="hr-HR"/>
        </w:rPr>
        <w:t xml:space="preserve">. Preporučuje se pomno praćenje pacijenata tokom primjene bevacizumaba i nakon toga, kao što se očekuje </w:t>
      </w:r>
      <w:r w:rsidR="00364D4F">
        <w:rPr>
          <w:lang w:val="hr-HR"/>
        </w:rPr>
        <w:t>kod</w:t>
      </w:r>
      <w:r w:rsidRPr="00D6167B">
        <w:rPr>
          <w:lang w:val="hr-HR"/>
        </w:rPr>
        <w:t xml:space="preserve"> svak</w:t>
      </w:r>
      <w:r w:rsidR="00364D4F">
        <w:rPr>
          <w:lang w:val="hr-HR"/>
        </w:rPr>
        <w:t>e</w:t>
      </w:r>
      <w:r w:rsidRPr="00D6167B">
        <w:rPr>
          <w:lang w:val="hr-HR"/>
        </w:rPr>
        <w:t xml:space="preserve"> infuzij</w:t>
      </w:r>
      <w:r w:rsidR="00364D4F">
        <w:rPr>
          <w:lang w:val="hr-HR"/>
        </w:rPr>
        <w:t>ske primjene</w:t>
      </w:r>
      <w:r w:rsidRPr="00D6167B">
        <w:rPr>
          <w:lang w:val="hr-HR"/>
        </w:rPr>
        <w:t xml:space="preserve"> terap</w:t>
      </w:r>
      <w:r w:rsidR="00364D4F">
        <w:rPr>
          <w:lang w:val="hr-HR"/>
        </w:rPr>
        <w:t>ijskog</w:t>
      </w:r>
      <w:r w:rsidRPr="00D6167B">
        <w:rPr>
          <w:lang w:val="hr-HR"/>
        </w:rPr>
        <w:t xml:space="preserve"> humanizovanog monoklonskog antitijela. Ako dođe do reakcije, infuzija mora da se obustavi i moraju se prim</w:t>
      </w:r>
      <w:r w:rsidR="00364D4F">
        <w:rPr>
          <w:lang w:val="hr-HR"/>
        </w:rPr>
        <w:t xml:space="preserve">ijeniti </w:t>
      </w:r>
      <w:r w:rsidRPr="00D6167B">
        <w:rPr>
          <w:lang w:val="hr-HR"/>
        </w:rPr>
        <w:t xml:space="preserve">odgovarajuće medicinske terapije. Sistematska premedikacija nije </w:t>
      </w:r>
      <w:r w:rsidR="00364D4F">
        <w:rPr>
          <w:lang w:val="hr-HR"/>
        </w:rPr>
        <w:t>potrebna</w:t>
      </w:r>
      <w:r w:rsidRPr="00D6167B">
        <w:rPr>
          <w:lang w:val="hr-HR"/>
        </w:rPr>
        <w:t>.</w:t>
      </w:r>
    </w:p>
    <w:p w14:paraId="6054DDF5" w14:textId="77777777" w:rsidR="00D15122" w:rsidRPr="00D6167B" w:rsidRDefault="00D15122" w:rsidP="007608DF">
      <w:pPr>
        <w:widowControl/>
        <w:jc w:val="both"/>
        <w:rPr>
          <w:rFonts w:ascii="Times New Roman" w:eastAsia="Times New Roman" w:hAnsi="Times New Roman"/>
          <w:lang w:val="hr-HR"/>
        </w:rPr>
      </w:pPr>
    </w:p>
    <w:p w14:paraId="32D3FBF0"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Osteonekroza vilice (ONJ)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4.8)</w:t>
      </w:r>
    </w:p>
    <w:p w14:paraId="0974EA4D" w14:textId="77777777" w:rsidR="001F1228" w:rsidRPr="00D6167B" w:rsidRDefault="001F1228" w:rsidP="007608DF">
      <w:pPr>
        <w:keepNext/>
        <w:widowControl/>
        <w:jc w:val="both"/>
        <w:rPr>
          <w:rFonts w:ascii="Times New Roman" w:eastAsia="Times New Roman" w:hAnsi="Times New Roman"/>
          <w:lang w:val="hr-HR"/>
        </w:rPr>
      </w:pPr>
    </w:p>
    <w:p w14:paraId="654D43B8" w14:textId="66FC1800" w:rsidR="00D15122" w:rsidRPr="00D6167B" w:rsidRDefault="009B0756" w:rsidP="007608DF">
      <w:pPr>
        <w:pStyle w:val="BodyText"/>
        <w:widowControl/>
        <w:ind w:left="0"/>
        <w:jc w:val="both"/>
        <w:rPr>
          <w:lang w:val="hr-HR"/>
        </w:rPr>
      </w:pPr>
      <w:r w:rsidRPr="00D6167B">
        <w:rPr>
          <w:lang w:val="hr-HR"/>
        </w:rPr>
        <w:t xml:space="preserve">Slučajevi ONJ događaja prijavljeni su kod pacijenata sa karcinomom koji su liječeni bevacizumabom, a većina njih je prethodno ili istovremeno </w:t>
      </w:r>
      <w:r w:rsidR="00364D4F">
        <w:rPr>
          <w:lang w:val="hr-HR"/>
        </w:rPr>
        <w:t>primala</w:t>
      </w:r>
      <w:r w:rsidR="00364D4F" w:rsidRPr="00D6167B">
        <w:rPr>
          <w:lang w:val="hr-HR"/>
        </w:rPr>
        <w:t xml:space="preserve"> </w:t>
      </w:r>
      <w:r w:rsidRPr="00D6167B">
        <w:rPr>
          <w:lang w:val="hr-HR"/>
        </w:rPr>
        <w:t>intravensk</w:t>
      </w:r>
      <w:r w:rsidR="00364D4F">
        <w:rPr>
          <w:lang w:val="hr-HR"/>
        </w:rPr>
        <w:t>e</w:t>
      </w:r>
      <w:r w:rsidRPr="00D6167B">
        <w:rPr>
          <w:lang w:val="hr-HR"/>
        </w:rPr>
        <w:t xml:space="preserve"> bifosfonat</w:t>
      </w:r>
      <w:r w:rsidR="00364D4F">
        <w:rPr>
          <w:lang w:val="hr-HR"/>
        </w:rPr>
        <w:t>e</w:t>
      </w:r>
      <w:r w:rsidRPr="00D6167B">
        <w:rPr>
          <w:lang w:val="hr-HR"/>
        </w:rPr>
        <w:t xml:space="preserve">, za koje ONJ </w:t>
      </w:r>
      <w:r w:rsidR="00364D4F">
        <w:rPr>
          <w:lang w:val="hr-HR"/>
        </w:rPr>
        <w:t xml:space="preserve">predstavlje </w:t>
      </w:r>
      <w:r w:rsidRPr="00D6167B">
        <w:rPr>
          <w:lang w:val="hr-HR"/>
        </w:rPr>
        <w:t xml:space="preserve">poznati rizik. Potrebno je preduzeti mjere opreza kada se </w:t>
      </w:r>
      <w:r w:rsidR="00E70EF3" w:rsidRPr="00D6167B">
        <w:rPr>
          <w:lang w:val="hr-HR"/>
        </w:rPr>
        <w:t xml:space="preserve">lijek </w:t>
      </w:r>
      <w:r w:rsidRPr="00D6167B">
        <w:rPr>
          <w:lang w:val="hr-HR"/>
        </w:rPr>
        <w:t>Zirabev i intravenski bifosfonati primjenjuju istovremeno ili uzastopno.</w:t>
      </w:r>
    </w:p>
    <w:p w14:paraId="602BC913" w14:textId="77777777" w:rsidR="00203535" w:rsidRPr="00D6167B" w:rsidRDefault="00203535" w:rsidP="007608DF">
      <w:pPr>
        <w:pStyle w:val="BodyText"/>
        <w:widowControl/>
        <w:ind w:left="0"/>
        <w:jc w:val="both"/>
        <w:rPr>
          <w:lang w:val="hr-HR"/>
        </w:rPr>
      </w:pPr>
    </w:p>
    <w:p w14:paraId="0ACDD8F0" w14:textId="77777777" w:rsidR="00D15122" w:rsidRPr="00D6167B" w:rsidRDefault="009B0756" w:rsidP="007608DF">
      <w:pPr>
        <w:pStyle w:val="BodyText"/>
        <w:widowControl/>
        <w:ind w:left="0"/>
        <w:jc w:val="both"/>
        <w:rPr>
          <w:lang w:val="hr-HR"/>
        </w:rPr>
      </w:pPr>
      <w:r w:rsidRPr="00D6167B">
        <w:rPr>
          <w:lang w:val="hr-HR"/>
        </w:rPr>
        <w:t>I invazivni stomatološki zahvati su poznati faktor rizika. Stomatološki pregled i odgovarajuće preventivne stomatološke mjere moraju da se uzmu u razmatranje prije započinjanja liječenja lijekom Zirabev. Kod pacijenata koji su ranije primali ili trenutno primaju intravenske bifosfonate trebalo bi izbjegavati stomatološke zahvate ako je to moguće.</w:t>
      </w:r>
    </w:p>
    <w:p w14:paraId="16082C68" w14:textId="77777777" w:rsidR="00D15122" w:rsidRPr="00D6167B" w:rsidRDefault="00D15122" w:rsidP="007608DF">
      <w:pPr>
        <w:widowControl/>
        <w:jc w:val="both"/>
        <w:rPr>
          <w:rFonts w:ascii="Times New Roman" w:eastAsia="Times New Roman" w:hAnsi="Times New Roman"/>
          <w:lang w:val="hr-HR"/>
        </w:rPr>
      </w:pPr>
    </w:p>
    <w:p w14:paraId="529C549E"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Intravitrealna upotreba</w:t>
      </w:r>
    </w:p>
    <w:p w14:paraId="52670C23" w14:textId="77777777" w:rsidR="001F1228" w:rsidRPr="00D6167B" w:rsidRDefault="001F1228" w:rsidP="007608DF">
      <w:pPr>
        <w:keepNext/>
        <w:widowControl/>
        <w:jc w:val="both"/>
        <w:rPr>
          <w:rFonts w:ascii="Times New Roman" w:eastAsia="Times New Roman" w:hAnsi="Times New Roman"/>
          <w:i/>
          <w:lang w:val="hr-HR"/>
        </w:rPr>
      </w:pPr>
    </w:p>
    <w:p w14:paraId="56497347" w14:textId="77777777" w:rsidR="00D15122" w:rsidRPr="00D6167B" w:rsidRDefault="009C3226" w:rsidP="007608DF">
      <w:pPr>
        <w:pStyle w:val="BodyText"/>
        <w:widowControl/>
        <w:ind w:left="0"/>
        <w:jc w:val="both"/>
        <w:rPr>
          <w:lang w:val="hr-HR"/>
        </w:rPr>
      </w:pPr>
      <w:r w:rsidRPr="00D6167B">
        <w:rPr>
          <w:lang w:val="hr-HR"/>
        </w:rPr>
        <w:t xml:space="preserve">Lijek </w:t>
      </w:r>
      <w:r w:rsidR="00760F57" w:rsidRPr="00D6167B">
        <w:rPr>
          <w:lang w:val="hr-HR"/>
        </w:rPr>
        <w:t>Zirabev nije formulisan za intravitrealnu upotrebu.</w:t>
      </w:r>
    </w:p>
    <w:p w14:paraId="5AD85F74" w14:textId="77777777" w:rsidR="00D15122" w:rsidRPr="00D6167B" w:rsidRDefault="00D15122" w:rsidP="007608DF">
      <w:pPr>
        <w:widowControl/>
        <w:jc w:val="both"/>
        <w:rPr>
          <w:rFonts w:ascii="Times New Roman" w:eastAsia="Times New Roman" w:hAnsi="Times New Roman"/>
          <w:lang w:val="hr-HR"/>
        </w:rPr>
      </w:pPr>
    </w:p>
    <w:p w14:paraId="39D2DE3A"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Poremećaji oka</w:t>
      </w:r>
    </w:p>
    <w:p w14:paraId="69A41EED" w14:textId="77777777" w:rsidR="001F1228" w:rsidRPr="00D6167B" w:rsidRDefault="001F1228" w:rsidP="007608DF">
      <w:pPr>
        <w:keepNext/>
        <w:widowControl/>
        <w:spacing w:line="252" w:lineRule="exact"/>
        <w:jc w:val="both"/>
        <w:rPr>
          <w:rFonts w:ascii="Times New Roman" w:eastAsia="Times New Roman" w:hAnsi="Times New Roman"/>
          <w:i/>
          <w:lang w:val="hr-HR"/>
        </w:rPr>
      </w:pPr>
    </w:p>
    <w:p w14:paraId="58434B5A" w14:textId="5BD44B3D" w:rsidR="00D15122" w:rsidRPr="00D6167B" w:rsidRDefault="009B0756" w:rsidP="007608DF">
      <w:pPr>
        <w:pStyle w:val="BodyText"/>
        <w:widowControl/>
        <w:ind w:left="0"/>
        <w:jc w:val="both"/>
        <w:rPr>
          <w:lang w:val="hr-HR"/>
        </w:rPr>
      </w:pPr>
      <w:r w:rsidRPr="00D6167B">
        <w:rPr>
          <w:lang w:val="hr-HR"/>
        </w:rPr>
        <w:t xml:space="preserve">Pojedinačni slučajevi i </w:t>
      </w:r>
      <w:r w:rsidR="00364D4F">
        <w:rPr>
          <w:lang w:val="hr-HR"/>
        </w:rPr>
        <w:t>grupe</w:t>
      </w:r>
      <w:r w:rsidR="00364D4F" w:rsidRPr="00D6167B">
        <w:rPr>
          <w:lang w:val="hr-HR"/>
        </w:rPr>
        <w:t xml:space="preserve"> </w:t>
      </w:r>
      <w:r w:rsidRPr="00D6167B">
        <w:rPr>
          <w:lang w:val="hr-HR"/>
        </w:rPr>
        <w:t>ozbiljnih neželjenih reakcija oka prijavljeni su nakon neodobrene intravitrealne upotrebe bevacizumaba koji je dobijen iz bočica odobrenih za intravensku primjenu kod pacijenata sa karcinomom. Ove reakcije obuhvataju zarazni endoftalmitis, intraokularnu upalu poput sterilnog endoftalmitisa, uveitisa i vitritisa, odvajanje mrežnjače, c</w:t>
      </w:r>
      <w:r w:rsidR="00364D4F">
        <w:rPr>
          <w:lang w:val="hr-HR"/>
        </w:rPr>
        <w:t>ij</w:t>
      </w:r>
      <w:r w:rsidRPr="00D6167B">
        <w:rPr>
          <w:lang w:val="hr-HR"/>
        </w:rPr>
        <w:t xml:space="preserve">epanje pigmentiranog </w:t>
      </w:r>
      <w:r w:rsidR="00364D4F">
        <w:rPr>
          <w:lang w:val="hr-HR"/>
        </w:rPr>
        <w:t>epitela</w:t>
      </w:r>
      <w:r w:rsidR="00364D4F" w:rsidRPr="00D6167B">
        <w:rPr>
          <w:lang w:val="hr-HR"/>
        </w:rPr>
        <w:t xml:space="preserve"> </w:t>
      </w:r>
      <w:r w:rsidRPr="00D6167B">
        <w:rPr>
          <w:lang w:val="hr-HR"/>
        </w:rPr>
        <w:t>mrežnjače, pov</w:t>
      </w:r>
      <w:r w:rsidR="00364D4F">
        <w:rPr>
          <w:lang w:val="hr-HR"/>
        </w:rPr>
        <w:t>išen</w:t>
      </w:r>
      <w:r w:rsidRPr="00D6167B">
        <w:rPr>
          <w:lang w:val="hr-HR"/>
        </w:rPr>
        <w:t xml:space="preserve"> </w:t>
      </w:r>
      <w:r w:rsidR="00364D4F">
        <w:rPr>
          <w:lang w:val="hr-HR"/>
        </w:rPr>
        <w:t>očni</w:t>
      </w:r>
      <w:r w:rsidR="00364D4F" w:rsidRPr="00D6167B">
        <w:rPr>
          <w:lang w:val="hr-HR"/>
        </w:rPr>
        <w:t xml:space="preserve"> </w:t>
      </w:r>
      <w:r w:rsidRPr="00D6167B">
        <w:rPr>
          <w:lang w:val="hr-HR"/>
        </w:rPr>
        <w:t xml:space="preserve">pritisk, intraokularno krvarenje </w:t>
      </w:r>
      <w:r w:rsidR="00364D4F">
        <w:rPr>
          <w:lang w:val="hr-HR"/>
        </w:rPr>
        <w:t xml:space="preserve">poput vitrealnog </w:t>
      </w:r>
      <w:r w:rsidRPr="00D6167B">
        <w:rPr>
          <w:lang w:val="hr-HR"/>
        </w:rPr>
        <w:t>krvarenj</w:t>
      </w:r>
      <w:r w:rsidR="00727AB4">
        <w:rPr>
          <w:lang w:val="hr-HR"/>
        </w:rPr>
        <w:t xml:space="preserve">a ili krvarenja </w:t>
      </w:r>
      <w:r w:rsidRPr="00D6167B">
        <w:rPr>
          <w:lang w:val="hr-HR"/>
        </w:rPr>
        <w:t xml:space="preserve">mrežnjače ili </w:t>
      </w:r>
      <w:r w:rsidR="00727AB4">
        <w:rPr>
          <w:lang w:val="hr-HR"/>
        </w:rPr>
        <w:t>krvarenje konjuktive</w:t>
      </w:r>
      <w:r w:rsidRPr="00D6167B">
        <w:rPr>
          <w:lang w:val="hr-HR"/>
        </w:rPr>
        <w:t>. Neke od ovih reakcija su dovele do različitih stepena gubitka vida, uključujući i trajno sljepilo.</w:t>
      </w:r>
    </w:p>
    <w:p w14:paraId="28AEB30F" w14:textId="77777777" w:rsidR="00D15122" w:rsidRPr="00D6167B" w:rsidRDefault="00D15122" w:rsidP="007608DF">
      <w:pPr>
        <w:widowControl/>
        <w:jc w:val="both"/>
        <w:rPr>
          <w:rFonts w:ascii="Times New Roman" w:eastAsia="Times New Roman" w:hAnsi="Times New Roman"/>
          <w:lang w:val="hr-HR"/>
        </w:rPr>
      </w:pPr>
    </w:p>
    <w:p w14:paraId="5118077C"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Sistemska dejstva nakon intravitrealne upotrebe</w:t>
      </w:r>
    </w:p>
    <w:p w14:paraId="21E4135D" w14:textId="77777777" w:rsidR="001F1228" w:rsidRPr="00D6167B" w:rsidRDefault="001F1228" w:rsidP="007608DF">
      <w:pPr>
        <w:keepNext/>
        <w:widowControl/>
        <w:jc w:val="both"/>
        <w:rPr>
          <w:rFonts w:ascii="Times New Roman" w:eastAsia="Times New Roman" w:hAnsi="Times New Roman"/>
          <w:i/>
          <w:lang w:val="hr-HR"/>
        </w:rPr>
      </w:pPr>
    </w:p>
    <w:p w14:paraId="45C79F2A" w14:textId="00E2CE22" w:rsidR="00D15122" w:rsidRPr="00D6167B" w:rsidRDefault="009B0756" w:rsidP="007608DF">
      <w:pPr>
        <w:pStyle w:val="BodyText"/>
        <w:widowControl/>
        <w:ind w:left="0"/>
        <w:jc w:val="both"/>
        <w:rPr>
          <w:lang w:val="hr-HR"/>
        </w:rPr>
      </w:pPr>
      <w:r w:rsidRPr="00D6167B">
        <w:rPr>
          <w:lang w:val="hr-HR"/>
        </w:rPr>
        <w:t xml:space="preserve">Smanjenje koncentracije VEGF u cirkulaciji </w:t>
      </w:r>
      <w:r w:rsidR="00A51ACA">
        <w:rPr>
          <w:lang w:val="hr-HR"/>
        </w:rPr>
        <w:t>zabilježeno</w:t>
      </w:r>
      <w:r w:rsidR="00A51ACA" w:rsidRPr="00D6167B">
        <w:rPr>
          <w:lang w:val="hr-HR"/>
        </w:rPr>
        <w:t xml:space="preserve"> </w:t>
      </w:r>
      <w:r w:rsidRPr="00D6167B">
        <w:rPr>
          <w:lang w:val="hr-HR"/>
        </w:rPr>
        <w:t xml:space="preserve">je nakon intravitrealne terapije </w:t>
      </w:r>
      <w:r w:rsidR="00A51ACA">
        <w:rPr>
          <w:lang w:val="hr-HR"/>
        </w:rPr>
        <w:t xml:space="preserve">inhibitorima vaskularnog endotelnog faktora rasta </w:t>
      </w:r>
      <w:r w:rsidRPr="00D6167B">
        <w:rPr>
          <w:lang w:val="hr-HR"/>
        </w:rPr>
        <w:t xml:space="preserve">VEGF. Sistemske neželjene reakcije, uključujući neokularna </w:t>
      </w:r>
      <w:r w:rsidRPr="00D6167B">
        <w:rPr>
          <w:lang w:val="hr-HR"/>
        </w:rPr>
        <w:lastRenderedPageBreak/>
        <w:t>krvarenja i arterijske tromboembolijske reakcije, prijavljene su nakon intravitrealne injekcije inhibitora VEGF.</w:t>
      </w:r>
    </w:p>
    <w:p w14:paraId="1631F9EF" w14:textId="77777777" w:rsidR="00D15122" w:rsidRPr="00D6167B" w:rsidRDefault="00D15122" w:rsidP="007608DF">
      <w:pPr>
        <w:widowControl/>
        <w:jc w:val="both"/>
        <w:rPr>
          <w:rFonts w:ascii="Times New Roman" w:eastAsia="Times New Roman" w:hAnsi="Times New Roman"/>
          <w:lang w:val="hr-HR"/>
        </w:rPr>
      </w:pPr>
    </w:p>
    <w:p w14:paraId="164DF9FA"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Poremećaj rada jajnika/neplodnost</w:t>
      </w:r>
    </w:p>
    <w:p w14:paraId="487BAF7B" w14:textId="77777777" w:rsidR="001F1228" w:rsidRPr="00D6167B" w:rsidRDefault="001F1228" w:rsidP="007608DF">
      <w:pPr>
        <w:keepNext/>
        <w:widowControl/>
        <w:jc w:val="both"/>
        <w:rPr>
          <w:rFonts w:ascii="Times New Roman" w:eastAsia="Times New Roman" w:hAnsi="Times New Roman"/>
          <w:lang w:val="hr-HR"/>
        </w:rPr>
      </w:pPr>
    </w:p>
    <w:p w14:paraId="4C07DC59" w14:textId="180A9159" w:rsidR="00A1373A" w:rsidRPr="00D6167B" w:rsidRDefault="00007842" w:rsidP="007608DF">
      <w:pPr>
        <w:pStyle w:val="BodyText"/>
        <w:keepNext/>
        <w:ind w:left="0" w:right="285"/>
        <w:jc w:val="both"/>
        <w:rPr>
          <w:lang w:val="hr-HR"/>
        </w:rPr>
      </w:pPr>
      <w:r w:rsidRPr="00D6167B">
        <w:rPr>
          <w:lang w:val="hr-HR"/>
        </w:rPr>
        <w:t xml:space="preserve">Bevacizumab može da ima negativan uticaj na plodnost kod žena (pogledajte </w:t>
      </w:r>
      <w:r w:rsidR="00EA7D3C" w:rsidRPr="00D6167B">
        <w:rPr>
          <w:lang w:val="hr-HR"/>
        </w:rPr>
        <w:t xml:space="preserve">djelove </w:t>
      </w:r>
      <w:r w:rsidRPr="00D6167B">
        <w:rPr>
          <w:lang w:val="hr-HR"/>
        </w:rPr>
        <w:t xml:space="preserve">4.6 i 4.8). Zbog toga sa ženama koje bi mogle da rađaju mora da se razgovara o strategijama za očuvanje plodnosti prije započinjanja </w:t>
      </w:r>
      <w:r w:rsidR="00F10AF5" w:rsidRPr="00D6167B">
        <w:rPr>
          <w:lang w:val="hr-HR"/>
        </w:rPr>
        <w:t>terapije</w:t>
      </w:r>
      <w:r w:rsidRPr="00D6167B">
        <w:rPr>
          <w:lang w:val="hr-HR"/>
        </w:rPr>
        <w:t xml:space="preserve"> lijekom Zirabev. </w:t>
      </w:r>
    </w:p>
    <w:p w14:paraId="649D13ED" w14:textId="77777777" w:rsidR="00A1373A" w:rsidRPr="00D6167B" w:rsidRDefault="00A1373A" w:rsidP="007608DF">
      <w:pPr>
        <w:pStyle w:val="BodyText"/>
        <w:widowControl/>
        <w:ind w:left="0" w:right="285"/>
        <w:jc w:val="both"/>
        <w:rPr>
          <w:lang w:val="hr-HR"/>
        </w:rPr>
      </w:pPr>
    </w:p>
    <w:p w14:paraId="791263E1" w14:textId="77777777" w:rsidR="00A1373A" w:rsidRPr="00D6167B" w:rsidRDefault="00A1373A" w:rsidP="007608DF">
      <w:pPr>
        <w:pStyle w:val="BodyText"/>
        <w:keepNext/>
        <w:widowControl/>
        <w:ind w:left="0" w:right="285"/>
        <w:jc w:val="both"/>
        <w:rPr>
          <w:u w:val="single"/>
          <w:lang w:val="hr-HR"/>
        </w:rPr>
      </w:pPr>
      <w:r w:rsidRPr="00D6167B">
        <w:rPr>
          <w:u w:val="single"/>
          <w:lang w:val="hr-HR"/>
        </w:rPr>
        <w:t>Informacije o pomoćnim supstancama</w:t>
      </w:r>
    </w:p>
    <w:p w14:paraId="518EA772" w14:textId="77777777" w:rsidR="00D15122" w:rsidRPr="00D6167B" w:rsidRDefault="00D15122" w:rsidP="007608DF">
      <w:pPr>
        <w:pStyle w:val="BodyText"/>
        <w:keepNext/>
        <w:widowControl/>
        <w:ind w:left="0"/>
        <w:jc w:val="both"/>
        <w:rPr>
          <w:lang w:val="hr-HR"/>
        </w:rPr>
      </w:pPr>
    </w:p>
    <w:p w14:paraId="68BAB23A" w14:textId="77777777" w:rsidR="00A1373A" w:rsidRPr="00D6167B" w:rsidRDefault="00A1373A" w:rsidP="007608DF">
      <w:pPr>
        <w:pStyle w:val="CommentText"/>
        <w:widowControl/>
        <w:jc w:val="both"/>
        <w:rPr>
          <w:rFonts w:ascii="Times New Roman" w:eastAsia="Times New Roman" w:hAnsi="Times New Roman"/>
          <w:sz w:val="22"/>
          <w:szCs w:val="22"/>
          <w:lang w:val="hr-HR"/>
        </w:rPr>
      </w:pPr>
      <w:r w:rsidRPr="00D6167B">
        <w:rPr>
          <w:rFonts w:ascii="Times New Roman" w:hAnsi="Times New Roman"/>
          <w:sz w:val="22"/>
          <w:lang w:val="hr-HR"/>
        </w:rPr>
        <w:t>Ovaj medicinski proizvod sadrži 3,0 mg natrijuma po bočici od 4 ml, što je isto kao 0,15% preporučenog maksimalnog dnevnog unosa (RDI) prema SZO od 2 g natrijuma za odraslu osobu.</w:t>
      </w:r>
    </w:p>
    <w:p w14:paraId="5D5457E6" w14:textId="77777777" w:rsidR="00A1373A" w:rsidRPr="00D6167B" w:rsidRDefault="00A1373A" w:rsidP="007608DF">
      <w:pPr>
        <w:pStyle w:val="BodyText"/>
        <w:widowControl/>
        <w:ind w:left="0" w:right="288"/>
        <w:jc w:val="both"/>
        <w:rPr>
          <w:lang w:val="hr-HR"/>
        </w:rPr>
      </w:pPr>
    </w:p>
    <w:p w14:paraId="07BD03ED" w14:textId="77777777" w:rsidR="00A1373A" w:rsidRPr="00D6167B" w:rsidRDefault="00A1373A" w:rsidP="007608DF">
      <w:pPr>
        <w:pStyle w:val="BodyText"/>
        <w:widowControl/>
        <w:ind w:left="0" w:right="288"/>
        <w:jc w:val="both"/>
        <w:rPr>
          <w:lang w:val="hr-HR"/>
        </w:rPr>
      </w:pPr>
      <w:r w:rsidRPr="00D6167B">
        <w:rPr>
          <w:lang w:val="hr-HR"/>
        </w:rPr>
        <w:t>Ovaj medicinski proizvod sadrži 12,1 mg natrijuma po bočici od 16 ml, što je isto kao 0,61% preporučenog maksimalnog dnevnog unosa (RDI) prema SZO od 2 g natrijuma za odraslu osobu.</w:t>
      </w:r>
    </w:p>
    <w:p w14:paraId="794C47C0" w14:textId="77777777" w:rsidR="00674507" w:rsidRPr="00D6167B" w:rsidRDefault="00674507" w:rsidP="007608DF">
      <w:pPr>
        <w:widowControl/>
        <w:jc w:val="both"/>
        <w:rPr>
          <w:rFonts w:ascii="Times New Roman" w:eastAsia="Times New Roman" w:hAnsi="Times New Roman"/>
          <w:lang w:val="hr-HR"/>
        </w:rPr>
      </w:pPr>
    </w:p>
    <w:p w14:paraId="7E699AD7" w14:textId="77777777" w:rsidR="00D15122" w:rsidRPr="00D6167B" w:rsidRDefault="003E4A60" w:rsidP="007608DF">
      <w:pPr>
        <w:pStyle w:val="Heading1"/>
        <w:keepNext/>
        <w:widowControl/>
        <w:ind w:left="0"/>
        <w:jc w:val="both"/>
        <w:rPr>
          <w:bCs w:val="0"/>
          <w:lang w:val="hr-HR"/>
        </w:rPr>
      </w:pPr>
      <w:r w:rsidRPr="00D6167B">
        <w:rPr>
          <w:lang w:val="hr-HR"/>
        </w:rPr>
        <w:t>4.5</w:t>
      </w:r>
      <w:r w:rsidRPr="00D6167B">
        <w:rPr>
          <w:lang w:val="hr-HR"/>
        </w:rPr>
        <w:tab/>
        <w:t>Interakcije sa drugim ljekovima i druge vrste interakcija</w:t>
      </w:r>
    </w:p>
    <w:p w14:paraId="34662151" w14:textId="77777777" w:rsidR="00D15122" w:rsidRPr="00D6167B" w:rsidRDefault="00D15122" w:rsidP="007608DF">
      <w:pPr>
        <w:keepNext/>
        <w:widowControl/>
        <w:jc w:val="both"/>
        <w:rPr>
          <w:rFonts w:ascii="Times New Roman" w:eastAsia="Times New Roman" w:hAnsi="Times New Roman"/>
          <w:bCs/>
          <w:lang w:val="hr-HR"/>
        </w:rPr>
      </w:pPr>
    </w:p>
    <w:p w14:paraId="4D18F9F7"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Dejstvo antineoplastika na farmakokinetiku bevacizumaba</w:t>
      </w:r>
    </w:p>
    <w:p w14:paraId="523A54E4" w14:textId="77777777" w:rsidR="00C84218" w:rsidRPr="00D6167B" w:rsidRDefault="00C84218" w:rsidP="007608DF">
      <w:pPr>
        <w:keepNext/>
        <w:widowControl/>
        <w:jc w:val="both"/>
        <w:rPr>
          <w:rFonts w:ascii="Times New Roman" w:eastAsia="Times New Roman" w:hAnsi="Times New Roman"/>
          <w:i/>
          <w:lang w:val="hr-HR"/>
        </w:rPr>
      </w:pPr>
    </w:p>
    <w:p w14:paraId="22D798B4" w14:textId="77777777" w:rsidR="00D15122" w:rsidRPr="00D6167B" w:rsidRDefault="009B0756" w:rsidP="007608DF">
      <w:pPr>
        <w:pStyle w:val="BodyText"/>
        <w:widowControl/>
        <w:ind w:left="0"/>
        <w:jc w:val="both"/>
        <w:rPr>
          <w:lang w:val="hr-HR"/>
        </w:rPr>
      </w:pPr>
      <w:r w:rsidRPr="00D6167B">
        <w:rPr>
          <w:lang w:val="hr-HR"/>
        </w:rPr>
        <w:t>Nijesu prim</w:t>
      </w:r>
      <w:r w:rsidR="001054C9" w:rsidRPr="00D6167B">
        <w:rPr>
          <w:lang w:val="hr-HR"/>
        </w:rPr>
        <w:t>i</w:t>
      </w:r>
      <w:r w:rsidRPr="00D6167B">
        <w:rPr>
          <w:lang w:val="hr-HR"/>
        </w:rPr>
        <w:t>jećene klinički relevantne interakcije istovremeno primjenjivane hemoterapije na farmakokinetiku bevacizumaba na osnovu rezultata farmakokinetičke analize na populaciji. Ne postoje ni statistički značajne ni klinički relevantne razlike u klirensu bevacizumaba kod pacijenata koji primaju monoterapiju bevacizumabom u odnosu na pacijente koji primaju bevacizumab u kombinaciji sa interferonom alfa-2a, erlotinibom ili hemoterapijama (IFL, 5-FU/LV, karboplatin/paklitaksel, kapecitabin, doksorubicin ili cisplatin/gemcitabin).</w:t>
      </w:r>
    </w:p>
    <w:p w14:paraId="4409FE1E" w14:textId="77777777" w:rsidR="00D15122" w:rsidRPr="00D6167B" w:rsidRDefault="00D15122" w:rsidP="007608DF">
      <w:pPr>
        <w:widowControl/>
        <w:jc w:val="both"/>
        <w:rPr>
          <w:rFonts w:ascii="Times New Roman" w:eastAsia="Times New Roman" w:hAnsi="Times New Roman"/>
          <w:lang w:val="hr-HR"/>
        </w:rPr>
      </w:pPr>
    </w:p>
    <w:p w14:paraId="4E669EBD"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Dejstvo bevacizumaba na farmakokinetiku drugih antineoplastika</w:t>
      </w:r>
    </w:p>
    <w:p w14:paraId="51E48A55" w14:textId="77777777" w:rsidR="00C84218" w:rsidRPr="00D6167B" w:rsidRDefault="00C84218" w:rsidP="007608DF">
      <w:pPr>
        <w:keepNext/>
        <w:widowControl/>
        <w:jc w:val="both"/>
        <w:rPr>
          <w:rFonts w:ascii="Times New Roman" w:eastAsia="Times New Roman" w:hAnsi="Times New Roman"/>
          <w:i/>
          <w:lang w:val="hr-HR"/>
        </w:rPr>
      </w:pPr>
    </w:p>
    <w:p w14:paraId="479BB845" w14:textId="77777777" w:rsidR="00D15122" w:rsidRPr="00D6167B" w:rsidRDefault="009B0756" w:rsidP="007608DF">
      <w:pPr>
        <w:pStyle w:val="BodyText"/>
        <w:widowControl/>
        <w:ind w:left="0"/>
        <w:jc w:val="both"/>
        <w:rPr>
          <w:lang w:val="hr-HR"/>
        </w:rPr>
      </w:pPr>
      <w:r w:rsidRPr="00D6167B">
        <w:rPr>
          <w:lang w:val="hr-HR"/>
        </w:rPr>
        <w:t>Nije prim</w:t>
      </w:r>
      <w:r w:rsidR="001054C9" w:rsidRPr="00D6167B">
        <w:rPr>
          <w:lang w:val="hr-HR"/>
        </w:rPr>
        <w:t>i</w:t>
      </w:r>
      <w:r w:rsidRPr="00D6167B">
        <w:rPr>
          <w:lang w:val="hr-HR"/>
        </w:rPr>
        <w:t>jećena klinički relevantna interakcija bevacizumaba na farmakokinetiku istovremeno primjenjivanog interferona alfa 2a, erlotiniba (i njegovog aktivnog metabolita, OSI-420), niti na hemoterapije irinotekanom (i njegovim aktivnim metabolitom, SN38), kapecitabinom, oksaliplatinom (što se utvrđuje mjerenjem slobodne i ukupne platine) i cisplatinom. Nije moguće izvesti zaključke o uticaju bevacizumaba na farmakokinetiku gemcitabina.</w:t>
      </w:r>
    </w:p>
    <w:p w14:paraId="3BF8FD4B" w14:textId="77777777" w:rsidR="00D15122" w:rsidRPr="00D6167B" w:rsidRDefault="00D15122" w:rsidP="007608DF">
      <w:pPr>
        <w:widowControl/>
        <w:jc w:val="both"/>
        <w:rPr>
          <w:rFonts w:ascii="Times New Roman" w:eastAsia="Times New Roman" w:hAnsi="Times New Roman"/>
          <w:lang w:val="hr-HR"/>
        </w:rPr>
      </w:pPr>
    </w:p>
    <w:p w14:paraId="5A19F1FF"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Kombinacija bevacizumaba i sunitinib malata</w:t>
      </w:r>
    </w:p>
    <w:p w14:paraId="3065B5FB" w14:textId="77777777" w:rsidR="00C84218" w:rsidRPr="00D6167B" w:rsidRDefault="00C84218" w:rsidP="007608DF">
      <w:pPr>
        <w:keepNext/>
        <w:widowControl/>
        <w:spacing w:line="252" w:lineRule="exact"/>
        <w:jc w:val="both"/>
        <w:rPr>
          <w:rFonts w:ascii="Times New Roman" w:eastAsia="Times New Roman" w:hAnsi="Times New Roman"/>
          <w:lang w:val="hr-HR"/>
        </w:rPr>
      </w:pPr>
    </w:p>
    <w:p w14:paraId="490318B4" w14:textId="77777777" w:rsidR="00D15122" w:rsidRPr="00D6167B" w:rsidRDefault="009B0756" w:rsidP="007608DF">
      <w:pPr>
        <w:pStyle w:val="BodyText"/>
        <w:widowControl/>
        <w:ind w:left="0"/>
        <w:jc w:val="both"/>
        <w:rPr>
          <w:lang w:val="hr-HR"/>
        </w:rPr>
      </w:pPr>
      <w:r w:rsidRPr="00D6167B">
        <w:rPr>
          <w:lang w:val="hr-HR"/>
        </w:rPr>
        <w:t>U dva klinička ispitivanja metastatskog karcinoma ćelija bubrega, mikroangiopatska hemolitička anemija (MAHA) prijavljena je kod 7 od 19 pacijenata liječenih kombinacijom bevacizumaba (10 mg/kg na svake dvije nedjelje) i sunitinib malata (50 mg dnevno).</w:t>
      </w:r>
    </w:p>
    <w:p w14:paraId="16D785EA" w14:textId="77777777" w:rsidR="00D15122" w:rsidRPr="00D6167B" w:rsidRDefault="00D15122" w:rsidP="007608DF">
      <w:pPr>
        <w:widowControl/>
        <w:jc w:val="both"/>
        <w:rPr>
          <w:rFonts w:ascii="Times New Roman" w:eastAsia="Times New Roman" w:hAnsi="Times New Roman"/>
          <w:lang w:val="hr-HR"/>
        </w:rPr>
      </w:pPr>
    </w:p>
    <w:p w14:paraId="65391149" w14:textId="6876B023" w:rsidR="00D15122" w:rsidRPr="00D6167B" w:rsidRDefault="009B0756" w:rsidP="007608DF">
      <w:pPr>
        <w:pStyle w:val="BodyText"/>
        <w:widowControl/>
        <w:ind w:left="0"/>
        <w:jc w:val="both"/>
        <w:rPr>
          <w:lang w:val="hr-HR"/>
        </w:rPr>
      </w:pPr>
      <w:r w:rsidRPr="00D6167B">
        <w:rPr>
          <w:lang w:val="hr-HR"/>
        </w:rPr>
        <w:t>MAHA je hemolitički poremećaj koji može da se ispolji uz fragmentaciju crvenih zrnaca, anemiju i trombocitopeniju. Pored toga, kod nekih od ovih pacijenata su prim</w:t>
      </w:r>
      <w:r w:rsidR="001054C9" w:rsidRPr="00D6167B">
        <w:rPr>
          <w:lang w:val="hr-HR"/>
        </w:rPr>
        <w:t>i</w:t>
      </w:r>
      <w:r w:rsidRPr="00D6167B">
        <w:rPr>
          <w:lang w:val="hr-HR"/>
        </w:rPr>
        <w:t xml:space="preserve">jećeni hipertenzija (uključujući krize hipertenzije), povišen kreatinin i neurološki simptomi. Svi ovi nalazi su bivali poništeni nakon prekida uzimanja bevacizumaba i sunitinib malata (pogledajte djelove </w:t>
      </w:r>
      <w:r w:rsidRPr="00D6167B">
        <w:rPr>
          <w:i/>
          <w:lang w:val="hr-HR"/>
        </w:rPr>
        <w:t>Hipertenzija, Proteinurija, PRES</w:t>
      </w:r>
      <w:r w:rsidRPr="00D6167B">
        <w:rPr>
          <w:lang w:val="hr-HR"/>
        </w:rPr>
        <w:t xml:space="preserve"> u </w:t>
      </w:r>
      <w:r w:rsidR="00EA7D3C" w:rsidRPr="00D6167B">
        <w:rPr>
          <w:lang w:val="hr-HR"/>
        </w:rPr>
        <w:t xml:space="preserve">dijelu </w:t>
      </w:r>
      <w:r w:rsidRPr="00D6167B">
        <w:rPr>
          <w:lang w:val="hr-HR"/>
        </w:rPr>
        <w:t>4.4).</w:t>
      </w:r>
    </w:p>
    <w:p w14:paraId="59590EF6" w14:textId="77777777" w:rsidR="00D15122" w:rsidRPr="00D6167B" w:rsidRDefault="00D15122" w:rsidP="007608DF">
      <w:pPr>
        <w:widowControl/>
        <w:jc w:val="both"/>
        <w:rPr>
          <w:rFonts w:ascii="Times New Roman" w:eastAsia="Times New Roman" w:hAnsi="Times New Roman"/>
          <w:lang w:val="hr-HR"/>
        </w:rPr>
      </w:pPr>
    </w:p>
    <w:p w14:paraId="489FCD5B" w14:textId="2C502BE2"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 xml:space="preserve">Kombinacija sa terapijama zasnovanim na platini ili taksanu (pogledajte </w:t>
      </w:r>
      <w:r w:rsidR="00EA7D3C" w:rsidRPr="00D6167B">
        <w:rPr>
          <w:rFonts w:ascii="Times New Roman" w:hAnsi="Times New Roman"/>
          <w:u w:val="single"/>
          <w:lang w:val="hr-HR"/>
        </w:rPr>
        <w:t xml:space="preserve">djelove </w:t>
      </w:r>
      <w:r w:rsidRPr="00D6167B">
        <w:rPr>
          <w:rFonts w:ascii="Times New Roman" w:hAnsi="Times New Roman"/>
          <w:u w:val="single"/>
          <w:lang w:val="hr-HR"/>
        </w:rPr>
        <w:t>4.</w:t>
      </w:r>
      <w:r w:rsidR="001E4F20" w:rsidRPr="00D6167B">
        <w:rPr>
          <w:rFonts w:ascii="Times New Roman" w:hAnsi="Times New Roman"/>
          <w:u w:val="single"/>
          <w:lang w:val="hr-HR"/>
        </w:rPr>
        <w:t>4</w:t>
      </w:r>
      <w:r w:rsidRPr="00D6167B">
        <w:rPr>
          <w:rFonts w:ascii="Times New Roman" w:hAnsi="Times New Roman"/>
          <w:u w:val="single"/>
          <w:lang w:val="hr-HR"/>
        </w:rPr>
        <w:t xml:space="preserve"> i 4.8)</w:t>
      </w:r>
    </w:p>
    <w:p w14:paraId="3595FBAB" w14:textId="77777777" w:rsidR="00C84218" w:rsidRPr="00D6167B" w:rsidRDefault="00C84218" w:rsidP="007608DF">
      <w:pPr>
        <w:keepNext/>
        <w:widowControl/>
        <w:jc w:val="both"/>
        <w:rPr>
          <w:rFonts w:ascii="Times New Roman" w:eastAsia="Times New Roman" w:hAnsi="Times New Roman"/>
          <w:lang w:val="hr-HR"/>
        </w:rPr>
      </w:pPr>
    </w:p>
    <w:p w14:paraId="55E4A044" w14:textId="77777777" w:rsidR="00D15122" w:rsidRPr="00D6167B" w:rsidRDefault="009B0756" w:rsidP="007608DF">
      <w:pPr>
        <w:pStyle w:val="BodyText"/>
        <w:widowControl/>
        <w:ind w:left="0"/>
        <w:jc w:val="both"/>
        <w:rPr>
          <w:lang w:val="hr-HR"/>
        </w:rPr>
      </w:pPr>
      <w:r w:rsidRPr="00D6167B">
        <w:rPr>
          <w:lang w:val="hr-HR"/>
        </w:rPr>
        <w:t>Povećane stope ozbiljne neutropenije, febrilne neutropenije ili infekcije sa ozbiljnom neutropenijom ili bez nje (uključujući i neke smrtne slučajeve) prim</w:t>
      </w:r>
      <w:r w:rsidR="001054C9" w:rsidRPr="00D6167B">
        <w:rPr>
          <w:lang w:val="hr-HR"/>
        </w:rPr>
        <w:t>i</w:t>
      </w:r>
      <w:r w:rsidRPr="00D6167B">
        <w:rPr>
          <w:lang w:val="hr-HR"/>
        </w:rPr>
        <w:t>jećeni su uglavnom kod pacijenata liječenih terapijama zasnovanim na platini ili taksanu pri liječenju NSCLC i mBC karcinoma.</w:t>
      </w:r>
    </w:p>
    <w:p w14:paraId="3EE5460B" w14:textId="77777777" w:rsidR="00D15122" w:rsidRPr="00D6167B" w:rsidRDefault="00D15122" w:rsidP="007608DF">
      <w:pPr>
        <w:widowControl/>
        <w:jc w:val="both"/>
        <w:rPr>
          <w:rFonts w:ascii="Times New Roman" w:eastAsia="Times New Roman" w:hAnsi="Times New Roman"/>
          <w:lang w:val="hr-HR"/>
        </w:rPr>
      </w:pPr>
    </w:p>
    <w:p w14:paraId="7CBCD8B4"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Radioterapija</w:t>
      </w:r>
    </w:p>
    <w:p w14:paraId="73D260E2" w14:textId="77777777" w:rsidR="00C84218" w:rsidRPr="00D6167B" w:rsidRDefault="00C84218" w:rsidP="007608DF">
      <w:pPr>
        <w:keepNext/>
        <w:widowControl/>
        <w:spacing w:line="252" w:lineRule="exact"/>
        <w:jc w:val="both"/>
        <w:rPr>
          <w:rFonts w:ascii="Times New Roman" w:eastAsia="Times New Roman" w:hAnsi="Times New Roman"/>
          <w:i/>
          <w:lang w:val="hr-HR"/>
        </w:rPr>
      </w:pPr>
    </w:p>
    <w:p w14:paraId="68DBA2BA" w14:textId="77777777" w:rsidR="00D15122" w:rsidRPr="00D6167B" w:rsidRDefault="009B0756" w:rsidP="007608DF">
      <w:pPr>
        <w:pStyle w:val="BodyText"/>
        <w:widowControl/>
        <w:ind w:left="0"/>
        <w:jc w:val="both"/>
        <w:rPr>
          <w:lang w:val="hr-HR"/>
        </w:rPr>
      </w:pPr>
      <w:r w:rsidRPr="00D6167B">
        <w:rPr>
          <w:lang w:val="hr-HR"/>
        </w:rPr>
        <w:t>Bezbjednost i efikasnost istovremene primjene radioterapije i bevacizumaba nije ustanovljena.</w:t>
      </w:r>
    </w:p>
    <w:p w14:paraId="4CFEB7AD" w14:textId="77777777" w:rsidR="00D15122" w:rsidRPr="00D6167B" w:rsidRDefault="00D15122" w:rsidP="007608DF">
      <w:pPr>
        <w:widowControl/>
        <w:jc w:val="both"/>
        <w:rPr>
          <w:rFonts w:ascii="Times New Roman" w:eastAsia="Times New Roman" w:hAnsi="Times New Roman"/>
          <w:lang w:val="hr-HR"/>
        </w:rPr>
      </w:pPr>
    </w:p>
    <w:p w14:paraId="62D93639"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EGFR monoklonska antitijela u kombinaciji sa režimima hemoterapije sa bevacizumabom</w:t>
      </w:r>
    </w:p>
    <w:p w14:paraId="42020265" w14:textId="77777777" w:rsidR="00C84218" w:rsidRPr="00D6167B" w:rsidRDefault="00C84218" w:rsidP="007608DF">
      <w:pPr>
        <w:keepNext/>
        <w:widowControl/>
        <w:jc w:val="both"/>
        <w:rPr>
          <w:rFonts w:ascii="Times New Roman" w:eastAsia="Times New Roman" w:hAnsi="Times New Roman"/>
          <w:lang w:val="hr-HR"/>
        </w:rPr>
      </w:pPr>
    </w:p>
    <w:p w14:paraId="6222C6CA" w14:textId="542508CE" w:rsidR="00D15122" w:rsidRPr="00D6167B" w:rsidRDefault="009B0756" w:rsidP="007608DF">
      <w:pPr>
        <w:pStyle w:val="BodyText"/>
        <w:widowControl/>
        <w:ind w:left="0"/>
        <w:jc w:val="both"/>
        <w:rPr>
          <w:lang w:val="hr-HR"/>
        </w:rPr>
      </w:pPr>
      <w:r w:rsidRPr="00D6167B">
        <w:rPr>
          <w:lang w:val="hr-HR"/>
        </w:rPr>
        <w:t xml:space="preserve">Ispitivanja interakcija nijesu sprovedena. EGFR monoklonska antitijela ne smiju da se primjenjuju za liječenje mCRC karcinoma u kombinaciji sa hemoterapijom koja </w:t>
      </w:r>
      <w:r w:rsidR="001D3144">
        <w:rPr>
          <w:lang w:val="hr-HR"/>
        </w:rPr>
        <w:t>uključuje</w:t>
      </w:r>
      <w:r w:rsidR="001D3144" w:rsidRPr="00D6167B">
        <w:rPr>
          <w:lang w:val="hr-HR"/>
        </w:rPr>
        <w:t xml:space="preserve"> </w:t>
      </w:r>
      <w:r w:rsidRPr="00D6167B">
        <w:rPr>
          <w:lang w:val="hr-HR"/>
        </w:rPr>
        <w:t xml:space="preserve">bevacizumab. Rezultati iz randomizovanih studija faze III, PACCE i CAIRO-2, kod pacijenata </w:t>
      </w:r>
      <w:r w:rsidR="001D3144">
        <w:rPr>
          <w:lang w:val="hr-HR"/>
        </w:rPr>
        <w:t>sa</w:t>
      </w:r>
      <w:r w:rsidRPr="00D6167B">
        <w:rPr>
          <w:lang w:val="hr-HR"/>
        </w:rPr>
        <w:t xml:space="preserve"> mCRC ukazuju na to da je upotreba anti-EGFR monoklonskih antitijela panitumumaba i cetuksimaba, tim redom, u kombinaciji sa bevacizumabom </w:t>
      </w:r>
      <w:r w:rsidR="001D3144">
        <w:rPr>
          <w:lang w:val="hr-HR"/>
        </w:rPr>
        <w:t>i</w:t>
      </w:r>
      <w:r w:rsidRPr="00D6167B">
        <w:rPr>
          <w:lang w:val="hr-HR"/>
        </w:rPr>
        <w:t xml:space="preserve"> hemoterapij</w:t>
      </w:r>
      <w:r w:rsidR="001D3144">
        <w:rPr>
          <w:lang w:val="hr-HR"/>
        </w:rPr>
        <w:t>om</w:t>
      </w:r>
      <w:r w:rsidRPr="00D6167B">
        <w:rPr>
          <w:lang w:val="hr-HR"/>
        </w:rPr>
        <w:t xml:space="preserve"> povezana sa smanjenjem PFS i/ili OS, kao i sa pov</w:t>
      </w:r>
      <w:r w:rsidR="001D3144">
        <w:rPr>
          <w:lang w:val="hr-HR"/>
        </w:rPr>
        <w:t>ećanom</w:t>
      </w:r>
      <w:r w:rsidRPr="00D6167B">
        <w:rPr>
          <w:lang w:val="hr-HR"/>
        </w:rPr>
        <w:t xml:space="preserve"> toksičnošću u poređenju sa </w:t>
      </w:r>
      <w:r w:rsidR="001D3144">
        <w:rPr>
          <w:lang w:val="hr-HR"/>
        </w:rPr>
        <w:t>primjenom samo</w:t>
      </w:r>
      <w:r w:rsidR="001D3144" w:rsidRPr="00D6167B">
        <w:rPr>
          <w:lang w:val="hr-HR"/>
        </w:rPr>
        <w:t xml:space="preserve"> </w:t>
      </w:r>
      <w:r w:rsidRPr="00D6167B">
        <w:rPr>
          <w:lang w:val="hr-HR"/>
        </w:rPr>
        <w:t xml:space="preserve">bevacizumabom </w:t>
      </w:r>
      <w:r w:rsidR="001D3144">
        <w:rPr>
          <w:lang w:val="hr-HR"/>
        </w:rPr>
        <w:t>i</w:t>
      </w:r>
      <w:r w:rsidRPr="00D6167B">
        <w:rPr>
          <w:lang w:val="hr-HR"/>
        </w:rPr>
        <w:t xml:space="preserve"> hemoterapije.</w:t>
      </w:r>
    </w:p>
    <w:p w14:paraId="6B311503" w14:textId="77777777" w:rsidR="00D15122" w:rsidRPr="00D6167B" w:rsidRDefault="00D15122" w:rsidP="007608DF">
      <w:pPr>
        <w:widowControl/>
        <w:jc w:val="both"/>
        <w:rPr>
          <w:rFonts w:ascii="Times New Roman" w:eastAsia="Times New Roman" w:hAnsi="Times New Roman"/>
          <w:lang w:val="hr-HR"/>
        </w:rPr>
      </w:pPr>
    </w:p>
    <w:p w14:paraId="550007EE" w14:textId="77777777" w:rsidR="00D15122" w:rsidRPr="00D6167B" w:rsidRDefault="003E4A60" w:rsidP="007608DF">
      <w:pPr>
        <w:pStyle w:val="Heading1"/>
        <w:keepNext/>
        <w:widowControl/>
        <w:ind w:left="0"/>
        <w:jc w:val="both"/>
        <w:rPr>
          <w:bCs w:val="0"/>
          <w:lang w:val="hr-HR"/>
        </w:rPr>
      </w:pPr>
      <w:r w:rsidRPr="00D6167B">
        <w:rPr>
          <w:lang w:val="hr-HR"/>
        </w:rPr>
        <w:t>4.6</w:t>
      </w:r>
      <w:r w:rsidRPr="00D6167B">
        <w:rPr>
          <w:lang w:val="hr-HR"/>
        </w:rPr>
        <w:tab/>
        <w:t>Plodnost, trudnoća i dojenje</w:t>
      </w:r>
    </w:p>
    <w:p w14:paraId="7D3D0867" w14:textId="77777777" w:rsidR="00D15122" w:rsidRPr="00D6167B" w:rsidRDefault="00D15122" w:rsidP="007608DF">
      <w:pPr>
        <w:keepNext/>
        <w:widowControl/>
        <w:jc w:val="both"/>
        <w:rPr>
          <w:rFonts w:ascii="Times New Roman" w:eastAsia="Times New Roman" w:hAnsi="Times New Roman"/>
          <w:bCs/>
          <w:lang w:val="hr-HR"/>
        </w:rPr>
      </w:pPr>
    </w:p>
    <w:p w14:paraId="29785A8B"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u w:val="single"/>
          <w:lang w:val="hr-HR"/>
        </w:rPr>
        <w:t>Žene u reproduktivnom periodu</w:t>
      </w:r>
    </w:p>
    <w:p w14:paraId="09365B8B" w14:textId="77777777" w:rsidR="00BC0A13" w:rsidRPr="00D6167B" w:rsidRDefault="00BC0A13" w:rsidP="007608DF">
      <w:pPr>
        <w:keepNext/>
        <w:widowControl/>
        <w:jc w:val="both"/>
        <w:rPr>
          <w:rFonts w:ascii="Times New Roman" w:eastAsia="Times New Roman" w:hAnsi="Times New Roman"/>
          <w:lang w:val="hr-HR"/>
        </w:rPr>
      </w:pPr>
    </w:p>
    <w:p w14:paraId="05629D32" w14:textId="77777777" w:rsidR="00D15122" w:rsidRPr="00D6167B" w:rsidRDefault="009B0756" w:rsidP="007608DF">
      <w:pPr>
        <w:pStyle w:val="BodyText"/>
        <w:widowControl/>
        <w:ind w:left="0"/>
        <w:jc w:val="both"/>
        <w:rPr>
          <w:lang w:val="hr-HR"/>
        </w:rPr>
      </w:pPr>
      <w:r w:rsidRPr="00D6167B">
        <w:rPr>
          <w:lang w:val="hr-HR"/>
        </w:rPr>
        <w:t>Žene u reproduktivnom periodu moraju da koriste efikasnu kontracepciju tokom (i do 6 mjeseci nakon) liječenja.</w:t>
      </w:r>
    </w:p>
    <w:p w14:paraId="33353565" w14:textId="77777777" w:rsidR="00D15122" w:rsidRPr="00D6167B" w:rsidRDefault="00D15122" w:rsidP="007608DF">
      <w:pPr>
        <w:widowControl/>
        <w:jc w:val="both"/>
        <w:rPr>
          <w:rFonts w:ascii="Times New Roman" w:eastAsia="Times New Roman" w:hAnsi="Times New Roman"/>
          <w:lang w:val="hr-HR"/>
        </w:rPr>
      </w:pPr>
    </w:p>
    <w:p w14:paraId="1B4E404E"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Trudnoća</w:t>
      </w:r>
    </w:p>
    <w:p w14:paraId="2405B74C" w14:textId="77777777" w:rsidR="00BC0A13" w:rsidRPr="00D6167B" w:rsidRDefault="00BC0A13" w:rsidP="007608DF">
      <w:pPr>
        <w:keepNext/>
        <w:widowControl/>
        <w:spacing w:line="252" w:lineRule="exact"/>
        <w:jc w:val="both"/>
        <w:rPr>
          <w:rFonts w:ascii="Times New Roman" w:eastAsia="Times New Roman" w:hAnsi="Times New Roman"/>
          <w:i/>
          <w:lang w:val="hr-HR"/>
        </w:rPr>
      </w:pPr>
    </w:p>
    <w:p w14:paraId="0A55929D" w14:textId="19D1AEBB" w:rsidR="00D15122" w:rsidRPr="00D6167B" w:rsidRDefault="009B0756" w:rsidP="007608DF">
      <w:pPr>
        <w:pStyle w:val="BodyText"/>
        <w:widowControl/>
        <w:ind w:left="0"/>
        <w:jc w:val="both"/>
        <w:rPr>
          <w:lang w:val="hr-HR"/>
        </w:rPr>
      </w:pPr>
      <w:r w:rsidRPr="00D6167B">
        <w:rPr>
          <w:lang w:val="hr-HR"/>
        </w:rPr>
        <w:t>Nema podataka o primjeni bevacizumab</w:t>
      </w:r>
      <w:r w:rsidR="00EA626D" w:rsidRPr="00D6167B">
        <w:rPr>
          <w:lang w:val="hr-HR"/>
        </w:rPr>
        <w:t>a</w:t>
      </w:r>
      <w:r w:rsidRPr="00D6167B">
        <w:rPr>
          <w:lang w:val="hr-HR"/>
        </w:rPr>
        <w:t xml:space="preserve"> kod trudnica. Ispitivanja sa životinjama pokazala su reproduktivnu toksičnost uključujući malformacije (pogledajte </w:t>
      </w:r>
      <w:r w:rsidR="00EA7D3C" w:rsidRPr="00D6167B">
        <w:rPr>
          <w:lang w:val="hr-HR"/>
        </w:rPr>
        <w:t xml:space="preserve">dio </w:t>
      </w:r>
      <w:r w:rsidRPr="00D6167B">
        <w:rPr>
          <w:lang w:val="hr-HR"/>
        </w:rPr>
        <w:t xml:space="preserve">5.3). Poznato je da </w:t>
      </w:r>
      <w:r w:rsidR="00A47998">
        <w:rPr>
          <w:lang w:val="hr-HR"/>
        </w:rPr>
        <w:t xml:space="preserve">molekule </w:t>
      </w:r>
      <w:r w:rsidRPr="00D6167B">
        <w:rPr>
          <w:lang w:val="hr-HR"/>
        </w:rPr>
        <w:t>IgG mo</w:t>
      </w:r>
      <w:r w:rsidR="00A47998">
        <w:rPr>
          <w:lang w:val="hr-HR"/>
        </w:rPr>
        <w:t>gu</w:t>
      </w:r>
      <w:r w:rsidRPr="00D6167B">
        <w:rPr>
          <w:lang w:val="hr-HR"/>
        </w:rPr>
        <w:t xml:space="preserve"> da prođe kroz placentu, a pre</w:t>
      </w:r>
      <w:r w:rsidR="00A47998">
        <w:rPr>
          <w:lang w:val="hr-HR"/>
        </w:rPr>
        <w:t>tpostavlje se</w:t>
      </w:r>
      <w:r w:rsidRPr="00D6167B">
        <w:rPr>
          <w:lang w:val="hr-HR"/>
        </w:rPr>
        <w:t xml:space="preserve"> se da bevacizumab </w:t>
      </w:r>
      <w:r w:rsidR="00A47998">
        <w:rPr>
          <w:lang w:val="hr-HR"/>
        </w:rPr>
        <w:t xml:space="preserve">može </w:t>
      </w:r>
      <w:r w:rsidRPr="00D6167B">
        <w:rPr>
          <w:lang w:val="hr-HR"/>
        </w:rPr>
        <w:t xml:space="preserve">spriječiti angiogenezu u fetusu, pa se zato sumnja da </w:t>
      </w:r>
      <w:r w:rsidR="00A47998">
        <w:rPr>
          <w:lang w:val="hr-HR"/>
        </w:rPr>
        <w:t xml:space="preserve">bi mogao </w:t>
      </w:r>
      <w:r w:rsidRPr="00D6167B">
        <w:rPr>
          <w:lang w:val="hr-HR"/>
        </w:rPr>
        <w:t>izaziva</w:t>
      </w:r>
      <w:r w:rsidR="00A47998">
        <w:rPr>
          <w:lang w:val="hr-HR"/>
        </w:rPr>
        <w:t>ti</w:t>
      </w:r>
      <w:r w:rsidRPr="00D6167B">
        <w:rPr>
          <w:lang w:val="hr-HR"/>
        </w:rPr>
        <w:t xml:space="preserve"> </w:t>
      </w:r>
      <w:r w:rsidR="00A47998">
        <w:rPr>
          <w:lang w:val="hr-HR"/>
        </w:rPr>
        <w:t>teške</w:t>
      </w:r>
      <w:r w:rsidR="00A47998" w:rsidRPr="00D6167B">
        <w:rPr>
          <w:lang w:val="hr-HR"/>
        </w:rPr>
        <w:t xml:space="preserve"> </w:t>
      </w:r>
      <w:r w:rsidRPr="00D6167B">
        <w:rPr>
          <w:lang w:val="hr-HR"/>
        </w:rPr>
        <w:t xml:space="preserve">urođene mane kada se primjenjuje tokom trudnoće. </w:t>
      </w:r>
      <w:r w:rsidR="00EA626D" w:rsidRPr="00D6167B">
        <w:rPr>
          <w:lang w:val="hr-HR"/>
        </w:rPr>
        <w:t>N</w:t>
      </w:r>
      <w:r w:rsidRPr="00D6167B">
        <w:rPr>
          <w:lang w:val="hr-HR"/>
        </w:rPr>
        <w:t xml:space="preserve">akon stavljanja </w:t>
      </w:r>
      <w:r w:rsidR="001B5BB7" w:rsidRPr="00D6167B">
        <w:rPr>
          <w:lang w:val="hr-HR"/>
        </w:rPr>
        <w:t xml:space="preserve">lijeka </w:t>
      </w:r>
      <w:r w:rsidRPr="00D6167B">
        <w:rPr>
          <w:lang w:val="hr-HR"/>
        </w:rPr>
        <w:t>u promet prim</w:t>
      </w:r>
      <w:r w:rsidR="001054C9" w:rsidRPr="00D6167B">
        <w:rPr>
          <w:lang w:val="hr-HR"/>
        </w:rPr>
        <w:t>i</w:t>
      </w:r>
      <w:r w:rsidRPr="00D6167B">
        <w:rPr>
          <w:lang w:val="hr-HR"/>
        </w:rPr>
        <w:t>jećeni su slučajevi abnormalnosti fetus</w:t>
      </w:r>
      <w:r w:rsidR="00A47998">
        <w:rPr>
          <w:lang w:val="hr-HR"/>
        </w:rPr>
        <w:t>a</w:t>
      </w:r>
      <w:r w:rsidRPr="00D6167B">
        <w:rPr>
          <w:lang w:val="hr-HR"/>
        </w:rPr>
        <w:t xml:space="preserve"> kod žena koje su liječene samo bevacizumabom ili bevacizumabom u kombinaciji sa poznatim hemoterapijskim embriotoksinima (pogledajte </w:t>
      </w:r>
      <w:r w:rsidR="00EA7D3C" w:rsidRPr="00D6167B">
        <w:rPr>
          <w:lang w:val="hr-HR"/>
        </w:rPr>
        <w:t xml:space="preserve">dio </w:t>
      </w:r>
      <w:r w:rsidRPr="00D6167B">
        <w:rPr>
          <w:lang w:val="hr-HR"/>
        </w:rPr>
        <w:t xml:space="preserve">4.8). Bevacizumab je kontraindikovan u trudnoći (pogledajte </w:t>
      </w:r>
      <w:r w:rsidR="00EA7D3C" w:rsidRPr="00D6167B">
        <w:rPr>
          <w:lang w:val="hr-HR"/>
        </w:rPr>
        <w:t xml:space="preserve">dio </w:t>
      </w:r>
      <w:r w:rsidRPr="00D6167B">
        <w:rPr>
          <w:lang w:val="hr-HR"/>
        </w:rPr>
        <w:t>4.3).</w:t>
      </w:r>
    </w:p>
    <w:p w14:paraId="0FE646C3" w14:textId="77777777" w:rsidR="00D15122" w:rsidRPr="00D6167B" w:rsidRDefault="00D15122" w:rsidP="007608DF">
      <w:pPr>
        <w:widowControl/>
        <w:jc w:val="both"/>
        <w:rPr>
          <w:rFonts w:ascii="Times New Roman" w:eastAsia="Times New Roman" w:hAnsi="Times New Roman"/>
          <w:lang w:val="hr-HR"/>
        </w:rPr>
      </w:pPr>
    </w:p>
    <w:p w14:paraId="10356363" w14:textId="77777777" w:rsidR="00DD2627" w:rsidRPr="00D6167B" w:rsidRDefault="00DD2627" w:rsidP="007608DF">
      <w:pPr>
        <w:jc w:val="both"/>
        <w:rPr>
          <w:rFonts w:ascii="Times New Roman" w:hAnsi="Times New Roman"/>
          <w:u w:val="single"/>
          <w:lang w:val="hr-HR"/>
        </w:rPr>
      </w:pPr>
      <w:r w:rsidRPr="00D6167B">
        <w:rPr>
          <w:rFonts w:ascii="Times New Roman" w:hAnsi="Times New Roman"/>
          <w:u w:val="single"/>
          <w:lang w:val="hr-HR"/>
        </w:rPr>
        <w:t>Dojenje</w:t>
      </w:r>
    </w:p>
    <w:p w14:paraId="6B327772" w14:textId="77777777" w:rsidR="00BC0A13" w:rsidRPr="00D6167B" w:rsidRDefault="00BC0A13" w:rsidP="007608DF">
      <w:pPr>
        <w:keepNext/>
        <w:widowControl/>
        <w:spacing w:line="252" w:lineRule="exact"/>
        <w:jc w:val="both"/>
        <w:rPr>
          <w:rFonts w:ascii="Times New Roman" w:eastAsia="Times New Roman" w:hAnsi="Times New Roman"/>
          <w:i/>
          <w:lang w:val="hr-HR"/>
        </w:rPr>
      </w:pPr>
    </w:p>
    <w:p w14:paraId="0A1D503F" w14:textId="77777777" w:rsidR="00D15122" w:rsidRPr="00D6167B" w:rsidRDefault="009B0756" w:rsidP="007608DF">
      <w:pPr>
        <w:pStyle w:val="BodyText"/>
        <w:widowControl/>
        <w:ind w:left="0"/>
        <w:jc w:val="both"/>
        <w:rPr>
          <w:lang w:val="hr-HR"/>
        </w:rPr>
      </w:pPr>
      <w:r w:rsidRPr="00D6167B">
        <w:rPr>
          <w:lang w:val="hr-HR"/>
        </w:rPr>
        <w:t xml:space="preserve">Nije poznato da li se bevacizumab izlučuje u majčino mlijeko. Pošto se majčin IgG izlučuje u mlijeko, a bevacizumab bi mogao da naškodi rastu i razvoju djeteta (pogledajte </w:t>
      </w:r>
      <w:r w:rsidR="00EA7D3C" w:rsidRPr="00D6167B">
        <w:rPr>
          <w:lang w:val="hr-HR"/>
        </w:rPr>
        <w:t xml:space="preserve">dio </w:t>
      </w:r>
      <w:r w:rsidRPr="00D6167B">
        <w:rPr>
          <w:lang w:val="hr-HR"/>
        </w:rPr>
        <w:t>5.3), žene moraju da prekinu sa dojenjem tokom terapije i ne smiju da doje najmanje šest mjeseci nakon posljednje doze bevacizumaba.</w:t>
      </w:r>
    </w:p>
    <w:p w14:paraId="219C2FDE" w14:textId="77777777" w:rsidR="00226BE0" w:rsidRPr="00D6167B" w:rsidRDefault="00226BE0" w:rsidP="007608DF">
      <w:pPr>
        <w:pStyle w:val="BodyText"/>
        <w:widowControl/>
        <w:ind w:left="0"/>
        <w:jc w:val="both"/>
        <w:rPr>
          <w:lang w:val="hr-HR"/>
        </w:rPr>
      </w:pPr>
    </w:p>
    <w:p w14:paraId="7FE52D37"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u w:val="single"/>
          <w:lang w:val="hr-HR"/>
        </w:rPr>
        <w:t>Plodnost</w:t>
      </w:r>
    </w:p>
    <w:p w14:paraId="16048175" w14:textId="77777777" w:rsidR="00BC0A13" w:rsidRPr="00D6167B" w:rsidRDefault="00BC0A13" w:rsidP="007608DF">
      <w:pPr>
        <w:keepNext/>
        <w:widowControl/>
        <w:spacing w:line="252" w:lineRule="exact"/>
        <w:jc w:val="both"/>
        <w:rPr>
          <w:rFonts w:ascii="Times New Roman" w:eastAsia="Times New Roman" w:hAnsi="Times New Roman"/>
          <w:lang w:val="hr-HR"/>
        </w:rPr>
      </w:pPr>
    </w:p>
    <w:p w14:paraId="45E71D53" w14:textId="1C28EEBD" w:rsidR="00D15122" w:rsidRPr="00D6167B" w:rsidRDefault="009B0756" w:rsidP="007608DF">
      <w:pPr>
        <w:pStyle w:val="BodyText"/>
        <w:widowControl/>
        <w:ind w:left="0"/>
        <w:jc w:val="both"/>
        <w:rPr>
          <w:lang w:val="hr-HR"/>
        </w:rPr>
      </w:pPr>
      <w:r w:rsidRPr="00D6167B">
        <w:rPr>
          <w:lang w:val="hr-HR"/>
        </w:rPr>
        <w:t xml:space="preserve">Ponovljene studije o toksičnosti doze na životinjama pokazale su da je moguće da bevacizumab ima nepovoljno dejstvo na plodnost kod žena (pogledajte </w:t>
      </w:r>
      <w:r w:rsidR="00EA7D3C" w:rsidRPr="00D6167B">
        <w:rPr>
          <w:lang w:val="hr-HR"/>
        </w:rPr>
        <w:t xml:space="preserve">dio </w:t>
      </w:r>
      <w:r w:rsidRPr="00D6167B">
        <w:rPr>
          <w:lang w:val="hr-HR"/>
        </w:rPr>
        <w:t>5.3). U ispitivanj</w:t>
      </w:r>
      <w:r w:rsidR="008C6D63" w:rsidRPr="00D6167B">
        <w:rPr>
          <w:lang w:val="hr-HR"/>
        </w:rPr>
        <w:t>u</w:t>
      </w:r>
      <w:r w:rsidRPr="00D6167B">
        <w:rPr>
          <w:lang w:val="hr-HR"/>
        </w:rPr>
        <w:t xml:space="preserve"> faze III, pri adjuvantnom liječenju pacijenata sa karcinomom kolona, podstudija na ženama koje još nijesu ušle u menopauzu pokazala je veću incidenciju novih slučajeva poremećaja rada jajnika u grupi koja je primala bevacizumab u poređenju sa kontrolnom grupom. Nakon prestanka liječenja bevacizumabom funkcija jajnika se povratila kod većine pacijentkinja. </w:t>
      </w:r>
      <w:r w:rsidR="00A47998" w:rsidRPr="00D6167B">
        <w:rPr>
          <w:lang w:val="hr-HR"/>
        </w:rPr>
        <w:t>Dugo</w:t>
      </w:r>
      <w:r w:rsidR="00A47998">
        <w:rPr>
          <w:lang w:val="hr-HR"/>
        </w:rPr>
        <w:t>trajni</w:t>
      </w:r>
      <w:r w:rsidR="00A47998" w:rsidRPr="00D6167B">
        <w:rPr>
          <w:lang w:val="hr-HR"/>
        </w:rPr>
        <w:t xml:space="preserve"> </w:t>
      </w:r>
      <w:r w:rsidR="00A47998">
        <w:rPr>
          <w:lang w:val="hr-HR"/>
        </w:rPr>
        <w:t>efekti</w:t>
      </w:r>
      <w:r w:rsidR="00A47998" w:rsidRPr="00D6167B">
        <w:rPr>
          <w:lang w:val="hr-HR"/>
        </w:rPr>
        <w:t xml:space="preserve"> </w:t>
      </w:r>
      <w:r w:rsidRPr="00D6167B">
        <w:rPr>
          <w:lang w:val="hr-HR"/>
        </w:rPr>
        <w:t>liječenja bevacizumabom na plodnost nijesu poznata.</w:t>
      </w:r>
    </w:p>
    <w:p w14:paraId="4E5CDF5B" w14:textId="77777777" w:rsidR="00D15122" w:rsidRPr="00D6167B" w:rsidRDefault="00D15122" w:rsidP="007608DF">
      <w:pPr>
        <w:widowControl/>
        <w:jc w:val="both"/>
        <w:rPr>
          <w:rFonts w:ascii="Times New Roman" w:eastAsia="Times New Roman" w:hAnsi="Times New Roman"/>
          <w:lang w:val="hr-HR"/>
        </w:rPr>
      </w:pPr>
    </w:p>
    <w:p w14:paraId="5BF1769B" w14:textId="77777777" w:rsidR="00D15122" w:rsidRPr="00D6167B" w:rsidRDefault="003E4A60" w:rsidP="007608DF">
      <w:pPr>
        <w:pStyle w:val="Heading1"/>
        <w:keepNext/>
        <w:widowControl/>
        <w:ind w:left="0"/>
        <w:jc w:val="both"/>
        <w:rPr>
          <w:bCs w:val="0"/>
          <w:lang w:val="hr-HR"/>
        </w:rPr>
      </w:pPr>
      <w:r w:rsidRPr="00D6167B">
        <w:rPr>
          <w:lang w:val="hr-HR"/>
        </w:rPr>
        <w:t>4.7</w:t>
      </w:r>
      <w:r w:rsidRPr="00D6167B">
        <w:rPr>
          <w:lang w:val="hr-HR"/>
        </w:rPr>
        <w:tab/>
        <w:t>Uticaj na sposobnost upravljanja vozilima i rukovanje mašinama</w:t>
      </w:r>
    </w:p>
    <w:p w14:paraId="595FFC43" w14:textId="77777777" w:rsidR="00D15122" w:rsidRPr="00D6167B" w:rsidRDefault="00D15122" w:rsidP="007608DF">
      <w:pPr>
        <w:keepNext/>
        <w:widowControl/>
        <w:jc w:val="both"/>
        <w:rPr>
          <w:rFonts w:ascii="Times New Roman" w:eastAsia="Times New Roman" w:hAnsi="Times New Roman"/>
          <w:bCs/>
          <w:lang w:val="hr-HR"/>
        </w:rPr>
      </w:pPr>
    </w:p>
    <w:p w14:paraId="525D7C04" w14:textId="695B81FA" w:rsidR="00D15122" w:rsidRPr="00D6167B" w:rsidRDefault="00007842" w:rsidP="007608DF">
      <w:pPr>
        <w:pStyle w:val="BodyText"/>
        <w:widowControl/>
        <w:ind w:left="0"/>
        <w:jc w:val="both"/>
        <w:rPr>
          <w:lang w:val="hr-HR"/>
        </w:rPr>
      </w:pPr>
      <w:r w:rsidRPr="00D6167B">
        <w:rPr>
          <w:lang w:val="hr-HR"/>
        </w:rPr>
        <w:t xml:space="preserve">Bevacizumab nema uticaja ili ima zanemarljiv uticaj na upravljanje vozilima i rukovanje mašinama. Međutim, pospanost i sinkopa su prijavljeni uz upotrebu bevacizumaba (pogledajte tabelu 1 u </w:t>
      </w:r>
      <w:r w:rsidR="008C6D63" w:rsidRPr="00D6167B">
        <w:rPr>
          <w:lang w:val="hr-HR"/>
        </w:rPr>
        <w:t xml:space="preserve">dijelu </w:t>
      </w:r>
      <w:r w:rsidRPr="00D6167B">
        <w:rPr>
          <w:lang w:val="hr-HR"/>
        </w:rPr>
        <w:t>4.8). Ako pacijenti imaju simptome koji utiču na vid ili koncentraciju, odnosno na sposobnost da reaguju, treba i</w:t>
      </w:r>
      <w:r w:rsidR="000E6902">
        <w:rPr>
          <w:lang w:val="hr-HR"/>
        </w:rPr>
        <w:t>h</w:t>
      </w:r>
      <w:r w:rsidRPr="00D6167B">
        <w:rPr>
          <w:lang w:val="hr-HR"/>
        </w:rPr>
        <w:t xml:space="preserve"> posavjetovati da ne voze i da ne koriste mašine sve dok se ti simptomi ne povuku.</w:t>
      </w:r>
    </w:p>
    <w:p w14:paraId="676B91F2" w14:textId="77777777" w:rsidR="00D15122" w:rsidRPr="00D6167B" w:rsidRDefault="00D15122" w:rsidP="007608DF">
      <w:pPr>
        <w:widowControl/>
        <w:jc w:val="both"/>
        <w:rPr>
          <w:rFonts w:ascii="Times New Roman" w:eastAsia="Times New Roman" w:hAnsi="Times New Roman"/>
          <w:lang w:val="hr-HR"/>
        </w:rPr>
      </w:pPr>
    </w:p>
    <w:p w14:paraId="24CAF1B8"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lastRenderedPageBreak/>
        <w:t>4.8</w:t>
      </w:r>
      <w:r w:rsidRPr="00D6167B">
        <w:rPr>
          <w:lang w:val="hr-HR"/>
        </w:rPr>
        <w:tab/>
        <w:t>Neželjena dejstva</w:t>
      </w:r>
    </w:p>
    <w:p w14:paraId="18A7DC8A" w14:textId="77777777" w:rsidR="00D15122" w:rsidRPr="00D6167B" w:rsidRDefault="00D15122" w:rsidP="007608DF">
      <w:pPr>
        <w:keepNext/>
        <w:widowControl/>
        <w:jc w:val="both"/>
        <w:rPr>
          <w:rFonts w:ascii="Times New Roman" w:eastAsia="Times New Roman" w:hAnsi="Times New Roman"/>
          <w:bCs/>
          <w:lang w:val="hr-HR"/>
        </w:rPr>
      </w:pPr>
    </w:p>
    <w:p w14:paraId="7AC4528D" w14:textId="77777777" w:rsidR="00D15122" w:rsidRPr="00D6167B" w:rsidRDefault="009B0756" w:rsidP="007608DF">
      <w:pPr>
        <w:pStyle w:val="BodyText"/>
        <w:keepNext/>
        <w:widowControl/>
        <w:ind w:left="0"/>
        <w:jc w:val="both"/>
        <w:rPr>
          <w:lang w:val="hr-HR"/>
        </w:rPr>
      </w:pPr>
      <w:r w:rsidRPr="00D6167B">
        <w:rPr>
          <w:u w:val="single" w:color="000000"/>
          <w:lang w:val="hr-HR"/>
        </w:rPr>
        <w:t>Sažetak bezbjednosnog profila</w:t>
      </w:r>
    </w:p>
    <w:p w14:paraId="589FE2CF" w14:textId="77777777" w:rsidR="00D15122" w:rsidRPr="00D6167B" w:rsidRDefault="00D15122" w:rsidP="007608DF">
      <w:pPr>
        <w:keepNext/>
        <w:widowControl/>
        <w:jc w:val="both"/>
        <w:rPr>
          <w:rFonts w:ascii="Times New Roman" w:eastAsia="Times New Roman" w:hAnsi="Times New Roman"/>
          <w:lang w:val="hr-HR"/>
        </w:rPr>
      </w:pPr>
    </w:p>
    <w:p w14:paraId="08CCF525" w14:textId="77777777" w:rsidR="00D15122" w:rsidRPr="00D6167B" w:rsidRDefault="009B0756" w:rsidP="007608DF">
      <w:pPr>
        <w:pStyle w:val="BodyText"/>
        <w:widowControl/>
        <w:ind w:left="0"/>
        <w:jc w:val="both"/>
        <w:rPr>
          <w:lang w:val="hr-HR"/>
        </w:rPr>
      </w:pPr>
      <w:r w:rsidRPr="00D6167B">
        <w:rPr>
          <w:lang w:val="hr-HR"/>
        </w:rPr>
        <w:t>Opšti bezbjednosni profil bevacizumaba zasniva se na podacima dobijenim od preko 5.700 pacijenata sa raznim malignitetima, koji su najčešće liječeni bevacizumabom u kombinaciji sa hemoterapijom u kliničkim ispitivanjima.</w:t>
      </w:r>
    </w:p>
    <w:p w14:paraId="39E54D08" w14:textId="77777777" w:rsidR="00D15122" w:rsidRPr="00D6167B" w:rsidRDefault="00D15122" w:rsidP="007608DF">
      <w:pPr>
        <w:widowControl/>
        <w:jc w:val="both"/>
        <w:rPr>
          <w:rFonts w:ascii="Times New Roman" w:eastAsia="Times New Roman" w:hAnsi="Times New Roman"/>
          <w:lang w:val="hr-HR"/>
        </w:rPr>
      </w:pPr>
    </w:p>
    <w:p w14:paraId="2CC8F56A" w14:textId="77777777" w:rsidR="00D15122" w:rsidRPr="00D6167B" w:rsidRDefault="009B0756" w:rsidP="007608DF">
      <w:pPr>
        <w:pStyle w:val="BodyText"/>
        <w:widowControl/>
        <w:ind w:left="0"/>
        <w:jc w:val="both"/>
        <w:rPr>
          <w:lang w:val="hr-HR"/>
        </w:rPr>
      </w:pPr>
      <w:r w:rsidRPr="00D6167B">
        <w:rPr>
          <w:lang w:val="hr-HR"/>
        </w:rPr>
        <w:t>Najozbiljnije neželjene reakcije su:</w:t>
      </w:r>
    </w:p>
    <w:p w14:paraId="347B9E41" w14:textId="77777777" w:rsidR="00D15122" w:rsidRPr="00D6167B" w:rsidRDefault="00D15122" w:rsidP="007608DF">
      <w:pPr>
        <w:widowControl/>
        <w:jc w:val="both"/>
        <w:rPr>
          <w:rFonts w:ascii="Times New Roman" w:eastAsia="Times New Roman" w:hAnsi="Times New Roman"/>
          <w:lang w:val="hr-HR"/>
        </w:rPr>
      </w:pPr>
    </w:p>
    <w:p w14:paraId="0572E6AE" w14:textId="77777777" w:rsidR="00D15122" w:rsidRPr="00D6167B" w:rsidRDefault="009B0756" w:rsidP="007608DF">
      <w:pPr>
        <w:pStyle w:val="BodyText"/>
        <w:widowControl/>
        <w:numPr>
          <w:ilvl w:val="0"/>
          <w:numId w:val="26"/>
        </w:numPr>
        <w:tabs>
          <w:tab w:val="left" w:pos="685"/>
        </w:tabs>
        <w:spacing w:line="252" w:lineRule="exact"/>
        <w:jc w:val="both"/>
        <w:rPr>
          <w:lang w:val="hr-HR"/>
        </w:rPr>
      </w:pPr>
      <w:r w:rsidRPr="00D6167B">
        <w:rPr>
          <w:lang w:val="hr-HR"/>
        </w:rPr>
        <w:t xml:space="preserve">Gastrointestinalne perforacije (pogledajte </w:t>
      </w:r>
      <w:r w:rsidR="00EA7D3C" w:rsidRPr="00D6167B">
        <w:rPr>
          <w:lang w:val="hr-HR"/>
        </w:rPr>
        <w:t xml:space="preserve">dio </w:t>
      </w:r>
      <w:r w:rsidRPr="00D6167B">
        <w:rPr>
          <w:lang w:val="hr-HR"/>
        </w:rPr>
        <w:t>4.4).</w:t>
      </w:r>
    </w:p>
    <w:p w14:paraId="24084421" w14:textId="7696524C" w:rsidR="00D15122" w:rsidRPr="00D6167B" w:rsidRDefault="009B0756" w:rsidP="007608DF">
      <w:pPr>
        <w:pStyle w:val="BodyText"/>
        <w:widowControl/>
        <w:numPr>
          <w:ilvl w:val="0"/>
          <w:numId w:val="26"/>
        </w:numPr>
        <w:tabs>
          <w:tab w:val="left" w:pos="685"/>
        </w:tabs>
        <w:jc w:val="both"/>
        <w:rPr>
          <w:lang w:val="hr-HR"/>
        </w:rPr>
      </w:pPr>
      <w:r w:rsidRPr="00D6167B">
        <w:rPr>
          <w:lang w:val="hr-HR"/>
        </w:rPr>
        <w:t xml:space="preserve">Krvarenje, uključujući plućno krvarenje/hemoptiziju, što je češće kod pacijenata sa </w:t>
      </w:r>
      <w:r w:rsidR="005E1631">
        <w:rPr>
          <w:lang w:val="hr-HR"/>
        </w:rPr>
        <w:t xml:space="preserve">nemikrocelularnim </w:t>
      </w:r>
      <w:r w:rsidRPr="00D6167B">
        <w:rPr>
          <w:lang w:val="hr-HR"/>
        </w:rPr>
        <w:t xml:space="preserve">karcinomom pluća (pogledajte </w:t>
      </w:r>
      <w:r w:rsidR="00EA7D3C" w:rsidRPr="00D6167B">
        <w:rPr>
          <w:lang w:val="hr-HR"/>
        </w:rPr>
        <w:t xml:space="preserve">dio </w:t>
      </w:r>
      <w:r w:rsidRPr="00D6167B">
        <w:rPr>
          <w:lang w:val="hr-HR"/>
        </w:rPr>
        <w:t>4.4).</w:t>
      </w:r>
    </w:p>
    <w:p w14:paraId="6C2A7230" w14:textId="77777777" w:rsidR="00D15122" w:rsidRPr="00D6167B" w:rsidRDefault="009B0756" w:rsidP="007608DF">
      <w:pPr>
        <w:pStyle w:val="BodyText"/>
        <w:widowControl/>
        <w:numPr>
          <w:ilvl w:val="0"/>
          <w:numId w:val="26"/>
        </w:numPr>
        <w:tabs>
          <w:tab w:val="left" w:pos="685"/>
        </w:tabs>
        <w:jc w:val="both"/>
        <w:rPr>
          <w:lang w:val="hr-HR"/>
        </w:rPr>
      </w:pPr>
      <w:r w:rsidRPr="00D6167B">
        <w:rPr>
          <w:lang w:val="hr-HR"/>
        </w:rPr>
        <w:t xml:space="preserve">Arterijska tromboembolija (pogledajte </w:t>
      </w:r>
      <w:r w:rsidR="00EA7D3C" w:rsidRPr="00D6167B">
        <w:rPr>
          <w:lang w:val="hr-HR"/>
        </w:rPr>
        <w:t xml:space="preserve">dio </w:t>
      </w:r>
      <w:r w:rsidRPr="00D6167B">
        <w:rPr>
          <w:lang w:val="hr-HR"/>
        </w:rPr>
        <w:t>4.4).</w:t>
      </w:r>
    </w:p>
    <w:p w14:paraId="336B913A" w14:textId="77777777" w:rsidR="00D15122" w:rsidRPr="00D6167B" w:rsidRDefault="00D15122" w:rsidP="007608DF">
      <w:pPr>
        <w:widowControl/>
        <w:jc w:val="both"/>
        <w:rPr>
          <w:rFonts w:ascii="Times New Roman" w:eastAsia="Times New Roman" w:hAnsi="Times New Roman"/>
          <w:lang w:val="hr-HR"/>
        </w:rPr>
      </w:pPr>
    </w:p>
    <w:p w14:paraId="40AF263A" w14:textId="77777777" w:rsidR="00D15122" w:rsidRPr="00D6167B" w:rsidRDefault="009B0756" w:rsidP="007608DF">
      <w:pPr>
        <w:pStyle w:val="BodyText"/>
        <w:widowControl/>
        <w:ind w:left="0"/>
        <w:jc w:val="both"/>
        <w:rPr>
          <w:lang w:val="hr-HR"/>
        </w:rPr>
      </w:pPr>
      <w:r w:rsidRPr="00D6167B">
        <w:rPr>
          <w:lang w:val="hr-HR"/>
        </w:rPr>
        <w:t>Najčešće prim</w:t>
      </w:r>
      <w:r w:rsidR="001054C9" w:rsidRPr="00D6167B">
        <w:rPr>
          <w:lang w:val="hr-HR"/>
        </w:rPr>
        <w:t>i</w:t>
      </w:r>
      <w:r w:rsidRPr="00D6167B">
        <w:rPr>
          <w:lang w:val="hr-HR"/>
        </w:rPr>
        <w:t>jećene neželjene reakcije u svim kliničkim ispitivanjima kod pacijenata koji primaju bevacizumab bil</w:t>
      </w:r>
      <w:r w:rsidR="008C6D63" w:rsidRPr="00D6167B">
        <w:rPr>
          <w:lang w:val="hr-HR"/>
        </w:rPr>
        <w:t>e</w:t>
      </w:r>
      <w:r w:rsidRPr="00D6167B">
        <w:rPr>
          <w:lang w:val="hr-HR"/>
        </w:rPr>
        <w:t xml:space="preserve"> su hipertenzija, umor ili malaksalost, dijareja i bolovi u abdomenu.</w:t>
      </w:r>
    </w:p>
    <w:p w14:paraId="1A5A55D7" w14:textId="77777777" w:rsidR="00D15122" w:rsidRPr="00D6167B" w:rsidRDefault="00D15122" w:rsidP="007608DF">
      <w:pPr>
        <w:widowControl/>
        <w:jc w:val="both"/>
        <w:rPr>
          <w:rFonts w:ascii="Times New Roman" w:eastAsia="Times New Roman" w:hAnsi="Times New Roman"/>
          <w:lang w:val="hr-HR"/>
        </w:rPr>
      </w:pPr>
    </w:p>
    <w:p w14:paraId="169BD99F" w14:textId="77777777" w:rsidR="00D15122" w:rsidRPr="00D6167B" w:rsidRDefault="009B0756" w:rsidP="007608DF">
      <w:pPr>
        <w:pStyle w:val="BodyText"/>
        <w:widowControl/>
        <w:ind w:left="0"/>
        <w:jc w:val="both"/>
        <w:rPr>
          <w:lang w:val="hr-HR"/>
        </w:rPr>
      </w:pPr>
      <w:r w:rsidRPr="00D6167B">
        <w:rPr>
          <w:lang w:val="hr-HR"/>
        </w:rPr>
        <w:t>Analiza podataka o kliničkoj bezbjednosti ukazuje na to da pojava hipertenzije i proteinurije u okviru terapije bevacizumabom najvjerovatnije zavisi od doze.</w:t>
      </w:r>
    </w:p>
    <w:p w14:paraId="73F86B4C" w14:textId="77777777" w:rsidR="00D15122" w:rsidRPr="00D6167B" w:rsidRDefault="00D15122" w:rsidP="007608DF">
      <w:pPr>
        <w:widowControl/>
        <w:jc w:val="both"/>
        <w:rPr>
          <w:rFonts w:ascii="Times New Roman" w:eastAsia="Times New Roman" w:hAnsi="Times New Roman"/>
          <w:lang w:val="hr-HR"/>
        </w:rPr>
      </w:pPr>
    </w:p>
    <w:p w14:paraId="1C3927D7" w14:textId="77777777" w:rsidR="00D15122" w:rsidRPr="00D6167B" w:rsidRDefault="009B0756" w:rsidP="007608DF">
      <w:pPr>
        <w:pStyle w:val="BodyText"/>
        <w:keepNext/>
        <w:widowControl/>
        <w:ind w:left="0"/>
        <w:jc w:val="both"/>
        <w:rPr>
          <w:lang w:val="hr-HR"/>
        </w:rPr>
      </w:pPr>
      <w:r w:rsidRPr="00D6167B">
        <w:rPr>
          <w:u w:val="single" w:color="000000"/>
          <w:lang w:val="hr-HR"/>
        </w:rPr>
        <w:t>Tabelarni prikaz neželjenih reakcija</w:t>
      </w:r>
    </w:p>
    <w:p w14:paraId="57BA25DE" w14:textId="77777777" w:rsidR="00D15122" w:rsidRPr="00D6167B" w:rsidRDefault="00D15122" w:rsidP="007608DF">
      <w:pPr>
        <w:keepNext/>
        <w:widowControl/>
        <w:jc w:val="both"/>
        <w:rPr>
          <w:rFonts w:ascii="Times New Roman" w:eastAsia="Times New Roman" w:hAnsi="Times New Roman"/>
          <w:lang w:val="hr-HR"/>
        </w:rPr>
      </w:pPr>
    </w:p>
    <w:p w14:paraId="1B4B896C" w14:textId="3BE56045" w:rsidR="00D15122" w:rsidRPr="00D6167B" w:rsidRDefault="009B0756" w:rsidP="007608DF">
      <w:pPr>
        <w:pStyle w:val="BodyText"/>
        <w:widowControl/>
        <w:ind w:left="0"/>
        <w:jc w:val="both"/>
        <w:rPr>
          <w:lang w:val="hr-HR"/>
        </w:rPr>
      </w:pPr>
      <w:r w:rsidRPr="00D6167B">
        <w:rPr>
          <w:lang w:val="hr-HR"/>
        </w:rPr>
        <w:t xml:space="preserve">Neželjene reakcije navedene u ovom </w:t>
      </w:r>
      <w:r w:rsidR="00B92E27">
        <w:rPr>
          <w:lang w:val="hr-HR"/>
        </w:rPr>
        <w:t>dijel</w:t>
      </w:r>
      <w:r w:rsidR="00B92E27" w:rsidRPr="00D6167B">
        <w:rPr>
          <w:lang w:val="hr-HR"/>
        </w:rPr>
        <w:t xml:space="preserve">u </w:t>
      </w:r>
      <w:r w:rsidRPr="00D6167B">
        <w:rPr>
          <w:lang w:val="hr-HR"/>
        </w:rPr>
        <w:t>spadaju u sljedeće kategorije učestalosti: veoma česte (≥ 1/10), česte (≥ 1/100 do &lt; 1/10), povremene (≥ 1/1000 do &lt; 1/100), rijetke (≥ 1/10.000 do &lt; 1/1000), veoma rijetke (&lt; 1/10.000), nepoznate (ne mogu se procijeniti na osnovu postojećih podataka).</w:t>
      </w:r>
    </w:p>
    <w:p w14:paraId="3BE3AA8F" w14:textId="77777777" w:rsidR="00D15122" w:rsidRPr="00D6167B" w:rsidRDefault="00D15122" w:rsidP="007608DF">
      <w:pPr>
        <w:widowControl/>
        <w:jc w:val="both"/>
        <w:rPr>
          <w:rFonts w:ascii="Times New Roman" w:eastAsia="Times New Roman" w:hAnsi="Times New Roman"/>
          <w:lang w:val="hr-HR"/>
        </w:rPr>
      </w:pPr>
    </w:p>
    <w:p w14:paraId="2812FDE0" w14:textId="77777777" w:rsidR="00D15122" w:rsidRPr="00D6167B" w:rsidRDefault="009B0756" w:rsidP="007608DF">
      <w:pPr>
        <w:pStyle w:val="BodyText"/>
        <w:widowControl/>
        <w:ind w:left="0"/>
        <w:jc w:val="both"/>
        <w:rPr>
          <w:lang w:val="hr-HR"/>
        </w:rPr>
      </w:pPr>
      <w:r w:rsidRPr="00D6167B">
        <w:rPr>
          <w:lang w:val="hr-HR"/>
        </w:rPr>
        <w:t>U tabelama 1 i 2 su navedene neželjene reakcije povezane sa upotrebom bevacizumaba u kombinaciji sa različitim režimima hemoterapije za više indikacija, prema klasifikaciji organskih sistema MedDRA.</w:t>
      </w:r>
    </w:p>
    <w:p w14:paraId="7BA2509D" w14:textId="77777777" w:rsidR="00D15122" w:rsidRPr="00D6167B" w:rsidRDefault="00D15122" w:rsidP="007608DF">
      <w:pPr>
        <w:widowControl/>
        <w:jc w:val="both"/>
        <w:rPr>
          <w:rFonts w:ascii="Times New Roman" w:eastAsia="Times New Roman" w:hAnsi="Times New Roman"/>
          <w:lang w:val="hr-HR"/>
        </w:rPr>
      </w:pPr>
    </w:p>
    <w:p w14:paraId="1CFB99DD" w14:textId="77777777" w:rsidR="00D15122" w:rsidRPr="00D6167B" w:rsidRDefault="009B0756" w:rsidP="007608DF">
      <w:pPr>
        <w:pStyle w:val="BodyText"/>
        <w:keepNext/>
        <w:widowControl/>
        <w:ind w:left="0"/>
        <w:jc w:val="both"/>
        <w:rPr>
          <w:lang w:val="hr-HR"/>
        </w:rPr>
      </w:pPr>
      <w:r w:rsidRPr="00D6167B">
        <w:rPr>
          <w:lang w:val="hr-HR"/>
        </w:rPr>
        <w:t>U tabeli 1 su prema učestalosti navedene sve neželjene reakcije za koje je utvrđeno da imaju uzročnu vezu sa bevacizumabom putem:</w:t>
      </w:r>
    </w:p>
    <w:p w14:paraId="7B4A6C74" w14:textId="77777777" w:rsidR="00D15122" w:rsidRPr="00D6167B" w:rsidRDefault="009B0756" w:rsidP="007608DF">
      <w:pPr>
        <w:pStyle w:val="BodyText"/>
        <w:widowControl/>
        <w:numPr>
          <w:ilvl w:val="0"/>
          <w:numId w:val="30"/>
        </w:numPr>
        <w:ind w:left="562" w:hanging="562"/>
        <w:jc w:val="both"/>
        <w:rPr>
          <w:lang w:val="hr-HR"/>
        </w:rPr>
      </w:pPr>
      <w:r w:rsidRPr="00D6167B">
        <w:rPr>
          <w:lang w:val="hr-HR"/>
        </w:rPr>
        <w:t xml:space="preserve">komparativnih incidencija zabilježenih u različitim </w:t>
      </w:r>
      <w:r w:rsidR="00017976" w:rsidRPr="00D6167B">
        <w:rPr>
          <w:lang w:val="hr-HR"/>
        </w:rPr>
        <w:t xml:space="preserve">terapijskim grupama </w:t>
      </w:r>
      <w:r w:rsidRPr="00D6167B">
        <w:rPr>
          <w:lang w:val="hr-HR"/>
        </w:rPr>
        <w:t>kliničkog ispitivanja (uz najmanje 10% razlike u odnosu na kontroln</w:t>
      </w:r>
      <w:r w:rsidR="00017976" w:rsidRPr="00D6167B">
        <w:rPr>
          <w:lang w:val="hr-HR"/>
        </w:rPr>
        <w:t>u grupu</w:t>
      </w:r>
      <w:r w:rsidRPr="00D6167B">
        <w:rPr>
          <w:lang w:val="hr-HR"/>
        </w:rPr>
        <w:t xml:space="preserve"> za reakcije gradusa 1–5 prema NCI-CTCAE ili najmanje 2% razlike u odnosu na kontroln</w:t>
      </w:r>
      <w:r w:rsidR="00017976" w:rsidRPr="00D6167B">
        <w:rPr>
          <w:lang w:val="hr-HR"/>
        </w:rPr>
        <w:t>u</w:t>
      </w:r>
      <w:r w:rsidRPr="00D6167B">
        <w:rPr>
          <w:lang w:val="hr-HR"/>
        </w:rPr>
        <w:t xml:space="preserve"> </w:t>
      </w:r>
      <w:r w:rsidR="00017976" w:rsidRPr="00D6167B">
        <w:rPr>
          <w:lang w:val="hr-HR"/>
        </w:rPr>
        <w:t xml:space="preserve">grupu </w:t>
      </w:r>
      <w:r w:rsidRPr="00D6167B">
        <w:rPr>
          <w:lang w:val="hr-HR"/>
        </w:rPr>
        <w:t>za reakcije gradusa 3–5 prema NCI-CTCAE,</w:t>
      </w:r>
    </w:p>
    <w:p w14:paraId="712F8EAE" w14:textId="77777777" w:rsidR="00D15122" w:rsidRPr="00D6167B" w:rsidRDefault="009B0756" w:rsidP="007608DF">
      <w:pPr>
        <w:pStyle w:val="BodyText"/>
        <w:widowControl/>
        <w:numPr>
          <w:ilvl w:val="0"/>
          <w:numId w:val="25"/>
        </w:numPr>
        <w:ind w:left="562" w:hanging="562"/>
        <w:jc w:val="both"/>
        <w:rPr>
          <w:lang w:val="hr-HR"/>
        </w:rPr>
      </w:pPr>
      <w:r w:rsidRPr="00D6167B">
        <w:rPr>
          <w:lang w:val="hr-HR"/>
        </w:rPr>
        <w:t>bezbjednosnih studija nakon odobrenja,</w:t>
      </w:r>
    </w:p>
    <w:p w14:paraId="4881A2D2" w14:textId="77777777" w:rsidR="00D15122" w:rsidRPr="00D6167B" w:rsidRDefault="009B0756" w:rsidP="007608DF">
      <w:pPr>
        <w:pStyle w:val="BodyText"/>
        <w:widowControl/>
        <w:numPr>
          <w:ilvl w:val="0"/>
          <w:numId w:val="25"/>
        </w:numPr>
        <w:ind w:left="562" w:hanging="562"/>
        <w:jc w:val="both"/>
        <w:rPr>
          <w:lang w:val="hr-HR"/>
        </w:rPr>
      </w:pPr>
      <w:r w:rsidRPr="00D6167B">
        <w:rPr>
          <w:lang w:val="hr-HR"/>
        </w:rPr>
        <w:t>spontanog izvještavanja,</w:t>
      </w:r>
    </w:p>
    <w:p w14:paraId="305024A3" w14:textId="77777777" w:rsidR="00D15122" w:rsidRPr="00D6167B" w:rsidRDefault="009B0756" w:rsidP="007608DF">
      <w:pPr>
        <w:pStyle w:val="BodyText"/>
        <w:widowControl/>
        <w:numPr>
          <w:ilvl w:val="0"/>
          <w:numId w:val="25"/>
        </w:numPr>
        <w:ind w:left="562" w:hanging="562"/>
        <w:jc w:val="both"/>
        <w:rPr>
          <w:lang w:val="hr-HR"/>
        </w:rPr>
      </w:pPr>
      <w:r w:rsidRPr="00D6167B">
        <w:rPr>
          <w:lang w:val="hr-HR"/>
        </w:rPr>
        <w:t>epidemioloških studija/studija koje nijesu intervencijske ili su opservacione,</w:t>
      </w:r>
    </w:p>
    <w:p w14:paraId="0D9A4C99" w14:textId="77777777" w:rsidR="00D15122" w:rsidRPr="00D6167B" w:rsidRDefault="009B0756" w:rsidP="007608DF">
      <w:pPr>
        <w:pStyle w:val="BodyText"/>
        <w:widowControl/>
        <w:numPr>
          <w:ilvl w:val="0"/>
          <w:numId w:val="25"/>
        </w:numPr>
        <w:ind w:left="562" w:hanging="562"/>
        <w:jc w:val="both"/>
        <w:rPr>
          <w:sz w:val="21"/>
          <w:szCs w:val="21"/>
          <w:lang w:val="hr-HR"/>
        </w:rPr>
      </w:pPr>
      <w:r w:rsidRPr="00D6167B">
        <w:rPr>
          <w:lang w:val="hr-HR"/>
        </w:rPr>
        <w:t>ili putem procjene pojedinačnih izvještaja o slučajevima</w:t>
      </w:r>
      <w:r w:rsidRPr="00D6167B">
        <w:rPr>
          <w:sz w:val="21"/>
          <w:lang w:val="hr-HR"/>
        </w:rPr>
        <w:t xml:space="preserve">. </w:t>
      </w:r>
    </w:p>
    <w:p w14:paraId="737932B7" w14:textId="77777777" w:rsidR="00A37F62" w:rsidRPr="00D6167B" w:rsidRDefault="00A37F62" w:rsidP="007608DF">
      <w:pPr>
        <w:pStyle w:val="BodyText"/>
        <w:widowControl/>
        <w:ind w:left="0"/>
        <w:jc w:val="both"/>
        <w:rPr>
          <w:lang w:val="hr-HR"/>
        </w:rPr>
      </w:pPr>
    </w:p>
    <w:p w14:paraId="0B9B8BF9" w14:textId="77777777" w:rsidR="00D15122" w:rsidRPr="00D6167B" w:rsidRDefault="009B0756" w:rsidP="007608DF">
      <w:pPr>
        <w:pStyle w:val="BodyText"/>
        <w:widowControl/>
        <w:ind w:left="0"/>
        <w:jc w:val="both"/>
        <w:rPr>
          <w:lang w:val="hr-HR"/>
        </w:rPr>
      </w:pPr>
      <w:r w:rsidRPr="00D6167B">
        <w:rPr>
          <w:lang w:val="hr-HR"/>
        </w:rPr>
        <w:t>U tabeli 2 su navedene učestalosti ozbiljnih neželjenih reakcija. Ozbiljne reakcije se definišu kao neželjene reakcije sa najmanje 2% razlike u odnosu na kontroln</w:t>
      </w:r>
      <w:r w:rsidR="00017976" w:rsidRPr="00D6167B">
        <w:rPr>
          <w:lang w:val="hr-HR"/>
        </w:rPr>
        <w:t>u grupu</w:t>
      </w:r>
      <w:r w:rsidRPr="00D6167B">
        <w:rPr>
          <w:lang w:val="hr-HR"/>
        </w:rPr>
        <w:t xml:space="preserve"> u kliničkim studijama za reakcije gradusa 3–5 prema NCI</w:t>
      </w:r>
      <w:r w:rsidRPr="00D6167B">
        <w:rPr>
          <w:lang w:val="hr-HR"/>
        </w:rPr>
        <w:noBreakHyphen/>
        <w:t>CTCAE. U tabeli 2 su navedene i neželjene reakcije za koje</w:t>
      </w:r>
      <w:r w:rsidR="00795319" w:rsidRPr="00D6167B">
        <w:rPr>
          <w:lang w:val="hr-HR"/>
        </w:rPr>
        <w:t xml:space="preserve"> se </w:t>
      </w:r>
      <w:r w:rsidRPr="00D6167B">
        <w:rPr>
          <w:lang w:val="hr-HR"/>
        </w:rPr>
        <w:t xml:space="preserve"> smatra da su klinički bitne ili ozbiljne.</w:t>
      </w:r>
    </w:p>
    <w:p w14:paraId="69557BBD" w14:textId="77777777" w:rsidR="00CE2F53" w:rsidRPr="00D6167B" w:rsidRDefault="00CE2F53" w:rsidP="007608DF">
      <w:pPr>
        <w:widowControl/>
        <w:jc w:val="both"/>
        <w:rPr>
          <w:rFonts w:ascii="Times New Roman" w:eastAsia="Times New Roman" w:hAnsi="Times New Roman"/>
          <w:lang w:val="hr-HR"/>
        </w:rPr>
      </w:pPr>
    </w:p>
    <w:p w14:paraId="0F78E8EA" w14:textId="77777777" w:rsidR="00D15122" w:rsidRPr="00D6167B" w:rsidRDefault="009B0756" w:rsidP="007608DF">
      <w:pPr>
        <w:pStyle w:val="BodyText"/>
        <w:widowControl/>
        <w:ind w:left="0"/>
        <w:jc w:val="both"/>
        <w:rPr>
          <w:lang w:val="hr-HR"/>
        </w:rPr>
      </w:pPr>
      <w:r w:rsidRPr="00D6167B">
        <w:rPr>
          <w:lang w:val="hr-HR"/>
        </w:rPr>
        <w:t xml:space="preserve">Neželjene reakcije nakon stavljanja </w:t>
      </w:r>
      <w:r w:rsidR="001B5BB7" w:rsidRPr="00D6167B">
        <w:rPr>
          <w:lang w:val="hr-HR"/>
        </w:rPr>
        <w:t xml:space="preserve">lijeka </w:t>
      </w:r>
      <w:r w:rsidRPr="00D6167B">
        <w:rPr>
          <w:lang w:val="hr-HR"/>
        </w:rPr>
        <w:t xml:space="preserve">u promet navedene su i u tabeli 1 i u tabeli 2, tamo gdje je to primjenjivo. Detaljne informacije o ovim reakcijama nakon stavljanja </w:t>
      </w:r>
      <w:r w:rsidR="001B5BB7" w:rsidRPr="00D6167B">
        <w:rPr>
          <w:lang w:val="hr-HR"/>
        </w:rPr>
        <w:t xml:space="preserve">lijeka </w:t>
      </w:r>
      <w:r w:rsidRPr="00D6167B">
        <w:rPr>
          <w:lang w:val="hr-HR"/>
        </w:rPr>
        <w:t>u promet navedene su u tabeli 3.</w:t>
      </w:r>
    </w:p>
    <w:p w14:paraId="2C8C1806" w14:textId="77777777" w:rsidR="00D15122" w:rsidRPr="00D6167B" w:rsidRDefault="00D15122" w:rsidP="007608DF">
      <w:pPr>
        <w:widowControl/>
        <w:jc w:val="both"/>
        <w:rPr>
          <w:rFonts w:ascii="Times New Roman" w:eastAsia="Times New Roman" w:hAnsi="Times New Roman"/>
          <w:lang w:val="hr-HR"/>
        </w:rPr>
      </w:pPr>
    </w:p>
    <w:p w14:paraId="15826ECE" w14:textId="77777777" w:rsidR="00D15122" w:rsidRPr="00D6167B" w:rsidRDefault="009B0756" w:rsidP="007608DF">
      <w:pPr>
        <w:pStyle w:val="BodyText"/>
        <w:widowControl/>
        <w:ind w:left="0"/>
        <w:jc w:val="both"/>
        <w:rPr>
          <w:lang w:val="hr-HR"/>
        </w:rPr>
      </w:pPr>
      <w:r w:rsidRPr="00D6167B">
        <w:rPr>
          <w:lang w:val="hr-HR"/>
        </w:rPr>
        <w:t>Neželjene reakcije su dodate u odgovarajuću kategoriju učestalosti u tabelama u nastavku u skladu sa najvećom incidencijom prim</w:t>
      </w:r>
      <w:r w:rsidR="001054C9" w:rsidRPr="00D6167B">
        <w:rPr>
          <w:lang w:val="hr-HR"/>
        </w:rPr>
        <w:t>i</w:t>
      </w:r>
      <w:r w:rsidRPr="00D6167B">
        <w:rPr>
          <w:lang w:val="hr-HR"/>
        </w:rPr>
        <w:t>jećenom u bilo kojoj indikaciji.</w:t>
      </w:r>
    </w:p>
    <w:p w14:paraId="47E19965" w14:textId="77777777" w:rsidR="00634A4A" w:rsidRPr="00D6167B" w:rsidRDefault="00634A4A" w:rsidP="007608DF">
      <w:pPr>
        <w:pStyle w:val="BodyText"/>
        <w:widowControl/>
        <w:ind w:left="0"/>
        <w:jc w:val="both"/>
        <w:rPr>
          <w:lang w:val="hr-HR"/>
        </w:rPr>
      </w:pPr>
    </w:p>
    <w:p w14:paraId="34C69940" w14:textId="77777777" w:rsidR="00D15122" w:rsidRPr="00D6167B" w:rsidRDefault="009B0756" w:rsidP="007608DF">
      <w:pPr>
        <w:pStyle w:val="BodyText"/>
        <w:widowControl/>
        <w:ind w:left="0" w:hanging="1"/>
        <w:jc w:val="both"/>
        <w:rPr>
          <w:lang w:val="hr-HR"/>
        </w:rPr>
      </w:pPr>
      <w:r w:rsidRPr="00D6167B">
        <w:rPr>
          <w:lang w:val="hr-HR"/>
        </w:rPr>
        <w:t>U okviru svake kategorije učestalosti, neželjene reakcije su prikazane prema opadajućem stepenu ozbiljnosti.</w:t>
      </w:r>
    </w:p>
    <w:p w14:paraId="41F1F2C2" w14:textId="77777777" w:rsidR="00D15122" w:rsidRPr="00D6167B" w:rsidRDefault="00D15122" w:rsidP="007608DF">
      <w:pPr>
        <w:widowControl/>
        <w:jc w:val="both"/>
        <w:rPr>
          <w:rFonts w:ascii="Times New Roman" w:eastAsia="Times New Roman" w:hAnsi="Times New Roman"/>
          <w:lang w:val="hr-HR"/>
        </w:rPr>
      </w:pPr>
    </w:p>
    <w:p w14:paraId="79FAD364" w14:textId="77777777" w:rsidR="00D15122" w:rsidRPr="00D6167B" w:rsidRDefault="009B0756" w:rsidP="007608DF">
      <w:pPr>
        <w:pStyle w:val="BodyText"/>
        <w:widowControl/>
        <w:ind w:left="0"/>
        <w:jc w:val="both"/>
        <w:rPr>
          <w:lang w:val="hr-HR"/>
        </w:rPr>
      </w:pPr>
      <w:r w:rsidRPr="00D6167B">
        <w:rPr>
          <w:lang w:val="hr-HR"/>
        </w:rPr>
        <w:t xml:space="preserve">Neke od ovih neželjenih reakcija su reakcije koje se obično viđaju u hemoterapiji. Međutim, bevacizumab može da pogorša te reakcije kada se kombinuje sa agensima za hemoterapiju. Primjeri </w:t>
      </w:r>
      <w:r w:rsidRPr="00D6167B">
        <w:rPr>
          <w:lang w:val="hr-HR"/>
        </w:rPr>
        <w:lastRenderedPageBreak/>
        <w:t xml:space="preserve">obuhvataju sindrom palmarno-plantarne eritrodizestezije </w:t>
      </w:r>
      <w:r w:rsidR="00C67061" w:rsidRPr="00D6167B">
        <w:rPr>
          <w:lang w:val="hr-HR"/>
        </w:rPr>
        <w:t xml:space="preserve">kod primjene </w:t>
      </w:r>
      <w:r w:rsidRPr="00D6167B">
        <w:rPr>
          <w:lang w:val="hr-HR"/>
        </w:rPr>
        <w:t xml:space="preserve">sa pegilisanim lipozomalnim doksorubicinom ili kapecitabinom, perifernu senzornu neuropatiju </w:t>
      </w:r>
      <w:r w:rsidR="00C67061" w:rsidRPr="00D6167B">
        <w:rPr>
          <w:lang w:val="hr-HR"/>
        </w:rPr>
        <w:t xml:space="preserve">kod primjene </w:t>
      </w:r>
      <w:r w:rsidRPr="00D6167B">
        <w:rPr>
          <w:lang w:val="hr-HR"/>
        </w:rPr>
        <w:t xml:space="preserve">sa paklitakselom ili oksaliplatinom, poremećaje noktiju ili alopeciju </w:t>
      </w:r>
      <w:r w:rsidR="00C67061" w:rsidRPr="00D6167B">
        <w:rPr>
          <w:lang w:val="hr-HR"/>
        </w:rPr>
        <w:t xml:space="preserve">kod primjene </w:t>
      </w:r>
      <w:r w:rsidRPr="00D6167B">
        <w:rPr>
          <w:lang w:val="hr-HR"/>
        </w:rPr>
        <w:t xml:space="preserve">sa paklitakselom i paronihiju </w:t>
      </w:r>
      <w:r w:rsidR="00C67061" w:rsidRPr="00D6167B">
        <w:rPr>
          <w:lang w:val="hr-HR"/>
        </w:rPr>
        <w:t xml:space="preserve">u kombinaciji </w:t>
      </w:r>
      <w:r w:rsidRPr="00D6167B">
        <w:rPr>
          <w:lang w:val="hr-HR"/>
        </w:rPr>
        <w:t>sa erlotinibom.</w:t>
      </w:r>
    </w:p>
    <w:p w14:paraId="268C9825" w14:textId="77777777" w:rsidR="00D15122" w:rsidRPr="00D6167B" w:rsidRDefault="00D15122" w:rsidP="007608DF">
      <w:pPr>
        <w:widowControl/>
        <w:jc w:val="both"/>
        <w:rPr>
          <w:rFonts w:ascii="Times New Roman" w:eastAsia="Times New Roman" w:hAnsi="Times New Roman"/>
          <w:lang w:val="hr-HR"/>
        </w:rPr>
      </w:pPr>
    </w:p>
    <w:p w14:paraId="7AB57DCF" w14:textId="77777777" w:rsidR="00D15122" w:rsidRPr="00D6167B" w:rsidRDefault="002E590F" w:rsidP="007608DF">
      <w:pPr>
        <w:pStyle w:val="Heading1"/>
        <w:keepNext/>
        <w:widowControl/>
        <w:ind w:left="0"/>
        <w:jc w:val="both"/>
        <w:rPr>
          <w:bCs w:val="0"/>
          <w:lang w:val="hr-HR"/>
        </w:rPr>
      </w:pPr>
      <w:r w:rsidRPr="00D6167B">
        <w:rPr>
          <w:lang w:val="hr-HR"/>
        </w:rPr>
        <w:t>Tabela 1</w:t>
      </w:r>
      <w:r w:rsidRPr="00D6167B">
        <w:rPr>
          <w:lang w:val="hr-HR"/>
        </w:rPr>
        <w:tab/>
      </w:r>
      <w:r w:rsidRPr="00D6167B">
        <w:rPr>
          <w:lang w:val="hr-HR"/>
        </w:rPr>
        <w:tab/>
        <w:t>Neželjene reakcije prema učestalosti</w:t>
      </w:r>
    </w:p>
    <w:p w14:paraId="1FA85B26"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Layout w:type="fixed"/>
        <w:tblCellMar>
          <w:left w:w="115" w:type="dxa"/>
          <w:right w:w="115" w:type="dxa"/>
        </w:tblCellMar>
        <w:tblLook w:val="01E0" w:firstRow="1" w:lastRow="1" w:firstColumn="1" w:lastColumn="1" w:noHBand="0" w:noVBand="0"/>
      </w:tblPr>
      <w:tblGrid>
        <w:gridCol w:w="1660"/>
        <w:gridCol w:w="1495"/>
        <w:gridCol w:w="2058"/>
        <w:gridCol w:w="877"/>
        <w:gridCol w:w="1334"/>
        <w:gridCol w:w="832"/>
        <w:gridCol w:w="820"/>
      </w:tblGrid>
      <w:tr w:rsidR="00D15122" w:rsidRPr="00D6167B" w14:paraId="2D34BE2B" w14:textId="77777777" w:rsidTr="00934346">
        <w:trPr>
          <w:cantSplit/>
          <w:tblHeader/>
        </w:trPr>
        <w:tc>
          <w:tcPr>
            <w:tcW w:w="1660" w:type="dxa"/>
            <w:tcBorders>
              <w:top w:val="single" w:sz="5" w:space="0" w:color="000000"/>
              <w:left w:val="single" w:sz="5" w:space="0" w:color="000000"/>
              <w:bottom w:val="single" w:sz="5" w:space="0" w:color="000000"/>
              <w:right w:val="single" w:sz="5" w:space="0" w:color="000000"/>
            </w:tcBorders>
          </w:tcPr>
          <w:p w14:paraId="18BD787B" w14:textId="77777777" w:rsidR="00C97AED" w:rsidRPr="00D6167B" w:rsidRDefault="009B0756" w:rsidP="00D37692">
            <w:pPr>
              <w:pStyle w:val="Footer"/>
              <w:tabs>
                <w:tab w:val="clear" w:pos="4435"/>
                <w:tab w:val="clear" w:pos="8870"/>
              </w:tabs>
              <w:jc w:val="center"/>
              <w:rPr>
                <w:sz w:val="20"/>
                <w:lang w:val="hr-HR"/>
              </w:rPr>
            </w:pPr>
            <w:r w:rsidRPr="00D6167B">
              <w:rPr>
                <w:sz w:val="20"/>
                <w:lang w:val="hr-HR"/>
              </w:rPr>
              <w:t>Klasifikacija organskih</w:t>
            </w:r>
          </w:p>
          <w:p w14:paraId="37C3B896"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sistema</w:t>
            </w:r>
          </w:p>
        </w:tc>
        <w:tc>
          <w:tcPr>
            <w:tcW w:w="1495" w:type="dxa"/>
            <w:tcBorders>
              <w:top w:val="single" w:sz="5" w:space="0" w:color="000000"/>
              <w:left w:val="single" w:sz="5" w:space="0" w:color="000000"/>
              <w:bottom w:val="single" w:sz="5" w:space="0" w:color="000000"/>
              <w:right w:val="single" w:sz="5" w:space="0" w:color="000000"/>
            </w:tcBorders>
          </w:tcPr>
          <w:p w14:paraId="6A8D2B48"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Veoma često</w:t>
            </w:r>
          </w:p>
        </w:tc>
        <w:tc>
          <w:tcPr>
            <w:tcW w:w="2058" w:type="dxa"/>
            <w:tcBorders>
              <w:top w:val="single" w:sz="5" w:space="0" w:color="000000"/>
              <w:left w:val="single" w:sz="5" w:space="0" w:color="000000"/>
              <w:bottom w:val="single" w:sz="5" w:space="0" w:color="000000"/>
              <w:right w:val="single" w:sz="5" w:space="0" w:color="000000"/>
            </w:tcBorders>
          </w:tcPr>
          <w:p w14:paraId="44C24C5D"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Često</w:t>
            </w:r>
          </w:p>
        </w:tc>
        <w:tc>
          <w:tcPr>
            <w:tcW w:w="877" w:type="dxa"/>
            <w:tcBorders>
              <w:top w:val="single" w:sz="5" w:space="0" w:color="000000"/>
              <w:left w:val="single" w:sz="5" w:space="0" w:color="000000"/>
              <w:bottom w:val="single" w:sz="5" w:space="0" w:color="000000"/>
              <w:right w:val="single" w:sz="5" w:space="0" w:color="000000"/>
            </w:tcBorders>
          </w:tcPr>
          <w:p w14:paraId="6CF85224"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Povremeno</w:t>
            </w:r>
          </w:p>
        </w:tc>
        <w:tc>
          <w:tcPr>
            <w:tcW w:w="1334" w:type="dxa"/>
            <w:tcBorders>
              <w:top w:val="single" w:sz="5" w:space="0" w:color="000000"/>
              <w:left w:val="single" w:sz="5" w:space="0" w:color="000000"/>
              <w:bottom w:val="single" w:sz="5" w:space="0" w:color="000000"/>
              <w:right w:val="single" w:sz="5" w:space="0" w:color="000000"/>
            </w:tcBorders>
          </w:tcPr>
          <w:p w14:paraId="0D741E6D"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Rijetko</w:t>
            </w:r>
          </w:p>
        </w:tc>
        <w:tc>
          <w:tcPr>
            <w:tcW w:w="832" w:type="dxa"/>
            <w:tcBorders>
              <w:top w:val="single" w:sz="5" w:space="0" w:color="000000"/>
              <w:left w:val="single" w:sz="5" w:space="0" w:color="000000"/>
              <w:bottom w:val="single" w:sz="5" w:space="0" w:color="000000"/>
              <w:right w:val="single" w:sz="5" w:space="0" w:color="000000"/>
            </w:tcBorders>
          </w:tcPr>
          <w:p w14:paraId="3ABFEC14" w14:textId="77777777" w:rsidR="00D15122" w:rsidRPr="00D6167B" w:rsidRDefault="009B0756" w:rsidP="00D37692">
            <w:pPr>
              <w:pStyle w:val="Footer"/>
              <w:tabs>
                <w:tab w:val="clear" w:pos="4435"/>
                <w:tab w:val="clear" w:pos="8870"/>
              </w:tabs>
              <w:jc w:val="center"/>
              <w:rPr>
                <w:sz w:val="20"/>
                <w:lang w:val="hr-HR"/>
              </w:rPr>
            </w:pPr>
            <w:r w:rsidRPr="00D6167B">
              <w:rPr>
                <w:sz w:val="20"/>
                <w:lang w:val="hr-HR"/>
              </w:rPr>
              <w:t>Veoma rijetko</w:t>
            </w:r>
          </w:p>
        </w:tc>
        <w:tc>
          <w:tcPr>
            <w:tcW w:w="820" w:type="dxa"/>
            <w:tcBorders>
              <w:top w:val="single" w:sz="5" w:space="0" w:color="000000"/>
              <w:left w:val="single" w:sz="5" w:space="0" w:color="000000"/>
              <w:bottom w:val="single" w:sz="5" w:space="0" w:color="000000"/>
              <w:right w:val="single" w:sz="5" w:space="0" w:color="000000"/>
            </w:tcBorders>
          </w:tcPr>
          <w:p w14:paraId="6FD082BF" w14:textId="7FE01ED3" w:rsidR="00D15122" w:rsidRPr="00D6167B" w:rsidRDefault="00691C2C" w:rsidP="00D37692">
            <w:pPr>
              <w:pStyle w:val="Footer"/>
              <w:tabs>
                <w:tab w:val="clear" w:pos="4435"/>
                <w:tab w:val="clear" w:pos="8870"/>
              </w:tabs>
              <w:jc w:val="center"/>
              <w:rPr>
                <w:sz w:val="20"/>
                <w:lang w:val="hr-HR"/>
              </w:rPr>
            </w:pPr>
            <w:r>
              <w:rPr>
                <w:sz w:val="20"/>
                <w:lang w:val="hr-HR"/>
              </w:rPr>
              <w:t>Nepoznata učestalost</w:t>
            </w:r>
          </w:p>
        </w:tc>
      </w:tr>
      <w:tr w:rsidR="00D15122" w:rsidRPr="00D6167B" w14:paraId="3BCAD275"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5B7036EF" w14:textId="77777777" w:rsidR="00D15122" w:rsidRPr="00D6167B" w:rsidRDefault="009B0756" w:rsidP="00D37692">
            <w:pPr>
              <w:pStyle w:val="TableText"/>
              <w:rPr>
                <w:rFonts w:cs="Times New Roman"/>
                <w:lang w:val="hr-HR"/>
              </w:rPr>
            </w:pPr>
            <w:r w:rsidRPr="00D6167B">
              <w:rPr>
                <w:lang w:val="hr-HR"/>
              </w:rPr>
              <w:t>Infekcije i infestacije</w:t>
            </w:r>
          </w:p>
        </w:tc>
        <w:tc>
          <w:tcPr>
            <w:tcW w:w="1495" w:type="dxa"/>
            <w:tcBorders>
              <w:top w:val="single" w:sz="5" w:space="0" w:color="000000"/>
              <w:left w:val="single" w:sz="5" w:space="0" w:color="000000"/>
              <w:bottom w:val="single" w:sz="5" w:space="0" w:color="000000"/>
              <w:right w:val="single" w:sz="5" w:space="0" w:color="000000"/>
            </w:tcBorders>
          </w:tcPr>
          <w:p w14:paraId="7AF85B51" w14:textId="77777777" w:rsidR="00D15122" w:rsidRPr="00D6167B" w:rsidRDefault="00D15122" w:rsidP="007608DF">
            <w:pPr>
              <w:pStyle w:val="TableText"/>
              <w:jc w:val="both"/>
              <w:rPr>
                <w:rFonts w:cs="Times New Roman"/>
                <w:lang w:val="hr-HR"/>
              </w:rPr>
            </w:pPr>
          </w:p>
        </w:tc>
        <w:tc>
          <w:tcPr>
            <w:tcW w:w="2058" w:type="dxa"/>
            <w:tcBorders>
              <w:top w:val="single" w:sz="5" w:space="0" w:color="000000"/>
              <w:left w:val="single" w:sz="5" w:space="0" w:color="000000"/>
              <w:bottom w:val="single" w:sz="5" w:space="0" w:color="000000"/>
              <w:right w:val="single" w:sz="5" w:space="0" w:color="000000"/>
            </w:tcBorders>
          </w:tcPr>
          <w:p w14:paraId="24D4333B" w14:textId="77777777" w:rsidR="00D15122" w:rsidRPr="00D6167B" w:rsidRDefault="009B0756" w:rsidP="00D37692">
            <w:pPr>
              <w:pStyle w:val="TableText"/>
              <w:rPr>
                <w:rFonts w:cs="Times New Roman"/>
                <w:lang w:val="hr-HR"/>
              </w:rPr>
            </w:pPr>
            <w:r w:rsidRPr="00D6167B">
              <w:rPr>
                <w:lang w:val="hr-HR"/>
              </w:rPr>
              <w:t>Sepsa, apsces</w:t>
            </w:r>
            <w:r w:rsidRPr="00D6167B">
              <w:rPr>
                <w:vertAlign w:val="superscript"/>
                <w:lang w:val="hr-HR"/>
              </w:rPr>
              <w:t>b,d</w:t>
            </w:r>
            <w:r w:rsidRPr="00D6167B">
              <w:rPr>
                <w:lang w:val="hr-HR"/>
              </w:rPr>
              <w:t>, celulitis, infekcija, infekcija urinarnog trakta</w:t>
            </w:r>
          </w:p>
        </w:tc>
        <w:tc>
          <w:tcPr>
            <w:tcW w:w="877" w:type="dxa"/>
            <w:tcBorders>
              <w:top w:val="single" w:sz="5" w:space="0" w:color="000000"/>
              <w:left w:val="single" w:sz="5" w:space="0" w:color="000000"/>
              <w:bottom w:val="single" w:sz="5" w:space="0" w:color="000000"/>
              <w:right w:val="single" w:sz="5" w:space="0" w:color="000000"/>
            </w:tcBorders>
          </w:tcPr>
          <w:p w14:paraId="7BBE1B32"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47265948" w14:textId="77777777" w:rsidR="00D15122" w:rsidRPr="00D6167B" w:rsidRDefault="009B0756" w:rsidP="00D37692">
            <w:pPr>
              <w:pStyle w:val="Footer"/>
              <w:tabs>
                <w:tab w:val="clear" w:pos="4435"/>
                <w:tab w:val="clear" w:pos="8870"/>
              </w:tabs>
              <w:rPr>
                <w:sz w:val="20"/>
                <w:lang w:val="hr-HR"/>
              </w:rPr>
            </w:pPr>
            <w:r w:rsidRPr="00D6167B">
              <w:rPr>
                <w:sz w:val="20"/>
                <w:lang w:val="hr-HR"/>
              </w:rPr>
              <w:t>Nekrotizirajući fasciitis</w:t>
            </w:r>
            <w:r w:rsidRPr="00D6167B">
              <w:rPr>
                <w:sz w:val="20"/>
                <w:vertAlign w:val="superscript"/>
                <w:lang w:val="hr-HR"/>
              </w:rPr>
              <w:t>a</w:t>
            </w:r>
          </w:p>
        </w:tc>
        <w:tc>
          <w:tcPr>
            <w:tcW w:w="832" w:type="dxa"/>
            <w:tcBorders>
              <w:top w:val="single" w:sz="5" w:space="0" w:color="000000"/>
              <w:left w:val="single" w:sz="5" w:space="0" w:color="000000"/>
              <w:bottom w:val="single" w:sz="5" w:space="0" w:color="000000"/>
              <w:right w:val="single" w:sz="5" w:space="0" w:color="000000"/>
            </w:tcBorders>
          </w:tcPr>
          <w:p w14:paraId="253BEC69"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06E9360A"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3EB25260"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6EF8AE83"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krvi i limfnog sistema</w:t>
            </w:r>
          </w:p>
        </w:tc>
        <w:tc>
          <w:tcPr>
            <w:tcW w:w="1495" w:type="dxa"/>
            <w:tcBorders>
              <w:top w:val="single" w:sz="5" w:space="0" w:color="000000"/>
              <w:left w:val="single" w:sz="5" w:space="0" w:color="000000"/>
              <w:bottom w:val="single" w:sz="5" w:space="0" w:color="000000"/>
              <w:right w:val="single" w:sz="5" w:space="0" w:color="000000"/>
            </w:tcBorders>
          </w:tcPr>
          <w:p w14:paraId="554BD9E4" w14:textId="77777777" w:rsidR="00D15122" w:rsidRPr="00D6167B" w:rsidRDefault="009B0756" w:rsidP="00D37692">
            <w:pPr>
              <w:pStyle w:val="Footer"/>
              <w:tabs>
                <w:tab w:val="clear" w:pos="4435"/>
                <w:tab w:val="clear" w:pos="8870"/>
              </w:tabs>
              <w:rPr>
                <w:sz w:val="20"/>
                <w:lang w:val="hr-HR"/>
              </w:rPr>
            </w:pPr>
            <w:r w:rsidRPr="00D6167B">
              <w:rPr>
                <w:sz w:val="20"/>
                <w:lang w:val="hr-HR"/>
              </w:rPr>
              <w:t>Febrilna neutropenija, leukopenija, neutropenija</w:t>
            </w:r>
            <w:r w:rsidRPr="00D6167B">
              <w:rPr>
                <w:sz w:val="20"/>
                <w:vertAlign w:val="superscript"/>
                <w:lang w:val="hr-HR"/>
              </w:rPr>
              <w:t>b</w:t>
            </w:r>
            <w:r w:rsidRPr="00D6167B">
              <w:rPr>
                <w:sz w:val="20"/>
                <w:lang w:val="hr-HR"/>
              </w:rPr>
              <w:t>, trombocitopenija</w:t>
            </w:r>
          </w:p>
        </w:tc>
        <w:tc>
          <w:tcPr>
            <w:tcW w:w="2058" w:type="dxa"/>
            <w:tcBorders>
              <w:top w:val="single" w:sz="5" w:space="0" w:color="000000"/>
              <w:left w:val="single" w:sz="5" w:space="0" w:color="000000"/>
              <w:bottom w:val="single" w:sz="5" w:space="0" w:color="000000"/>
              <w:right w:val="single" w:sz="5" w:space="0" w:color="000000"/>
            </w:tcBorders>
          </w:tcPr>
          <w:p w14:paraId="59F2D4DF" w14:textId="77777777" w:rsidR="00D15122" w:rsidRPr="00D6167B" w:rsidRDefault="009B0756" w:rsidP="00D37692">
            <w:pPr>
              <w:pStyle w:val="Footer"/>
              <w:tabs>
                <w:tab w:val="clear" w:pos="4435"/>
                <w:tab w:val="clear" w:pos="8870"/>
              </w:tabs>
              <w:rPr>
                <w:sz w:val="20"/>
                <w:lang w:val="hr-HR"/>
              </w:rPr>
            </w:pPr>
            <w:r w:rsidRPr="00D6167B">
              <w:rPr>
                <w:sz w:val="20"/>
                <w:lang w:val="hr-HR"/>
              </w:rPr>
              <w:t>Anemija, limfopenija</w:t>
            </w:r>
          </w:p>
        </w:tc>
        <w:tc>
          <w:tcPr>
            <w:tcW w:w="877" w:type="dxa"/>
            <w:tcBorders>
              <w:top w:val="single" w:sz="5" w:space="0" w:color="000000"/>
              <w:left w:val="single" w:sz="5" w:space="0" w:color="000000"/>
              <w:bottom w:val="single" w:sz="5" w:space="0" w:color="000000"/>
              <w:right w:val="single" w:sz="5" w:space="0" w:color="000000"/>
            </w:tcBorders>
          </w:tcPr>
          <w:p w14:paraId="53DD4F12"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6C2F3A21"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6AD606F6"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2FD5F8B0"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1B4648F6"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5A0F0FEE"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imunog sistema</w:t>
            </w:r>
          </w:p>
        </w:tc>
        <w:tc>
          <w:tcPr>
            <w:tcW w:w="1495" w:type="dxa"/>
            <w:tcBorders>
              <w:top w:val="single" w:sz="5" w:space="0" w:color="000000"/>
              <w:left w:val="single" w:sz="5" w:space="0" w:color="000000"/>
              <w:bottom w:val="single" w:sz="5" w:space="0" w:color="000000"/>
              <w:right w:val="single" w:sz="5" w:space="0" w:color="000000"/>
            </w:tcBorders>
          </w:tcPr>
          <w:p w14:paraId="0EE2FC40" w14:textId="77777777" w:rsidR="00D15122" w:rsidRPr="00D6167B" w:rsidRDefault="00D15122" w:rsidP="00D37692">
            <w:pPr>
              <w:pStyle w:val="Footer"/>
              <w:tabs>
                <w:tab w:val="clear" w:pos="4435"/>
                <w:tab w:val="clear" w:pos="8870"/>
              </w:tabs>
              <w:rPr>
                <w:sz w:val="20"/>
                <w:lang w:val="hr-HR"/>
              </w:rPr>
            </w:pPr>
          </w:p>
        </w:tc>
        <w:tc>
          <w:tcPr>
            <w:tcW w:w="2058" w:type="dxa"/>
            <w:tcBorders>
              <w:top w:val="single" w:sz="5" w:space="0" w:color="000000"/>
              <w:left w:val="single" w:sz="5" w:space="0" w:color="000000"/>
              <w:bottom w:val="single" w:sz="5" w:space="0" w:color="000000"/>
              <w:right w:val="single" w:sz="5" w:space="0" w:color="000000"/>
            </w:tcBorders>
          </w:tcPr>
          <w:p w14:paraId="34F3CE1C" w14:textId="77777777" w:rsidR="00D15122" w:rsidRPr="00D6167B" w:rsidRDefault="009B0756" w:rsidP="00D37692">
            <w:pPr>
              <w:pStyle w:val="Footer"/>
              <w:tabs>
                <w:tab w:val="clear" w:pos="4435"/>
                <w:tab w:val="clear" w:pos="8870"/>
              </w:tabs>
              <w:rPr>
                <w:sz w:val="20"/>
                <w:lang w:val="hr-HR"/>
              </w:rPr>
            </w:pPr>
            <w:r w:rsidRPr="00D6167B">
              <w:rPr>
                <w:sz w:val="20"/>
                <w:lang w:val="hr-HR"/>
              </w:rPr>
              <w:t>Preosjetljivost, reakcije na infuziju</w:t>
            </w:r>
            <w:r w:rsidRPr="00D6167B">
              <w:rPr>
                <w:sz w:val="20"/>
                <w:vertAlign w:val="superscript"/>
                <w:lang w:val="hr-HR"/>
              </w:rPr>
              <w:t>a,b,d</w:t>
            </w:r>
          </w:p>
        </w:tc>
        <w:tc>
          <w:tcPr>
            <w:tcW w:w="877" w:type="dxa"/>
            <w:tcBorders>
              <w:top w:val="single" w:sz="5" w:space="0" w:color="000000"/>
              <w:left w:val="single" w:sz="5" w:space="0" w:color="000000"/>
              <w:bottom w:val="single" w:sz="5" w:space="0" w:color="000000"/>
              <w:right w:val="single" w:sz="5" w:space="0" w:color="000000"/>
            </w:tcBorders>
          </w:tcPr>
          <w:p w14:paraId="0836DE1E"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3BF3E57D" w14:textId="6B41B6E9" w:rsidR="00D15122" w:rsidRPr="00AF514D" w:rsidRDefault="00820A37" w:rsidP="00A72B6B">
            <w:pPr>
              <w:pStyle w:val="Footer"/>
              <w:tabs>
                <w:tab w:val="clear" w:pos="4435"/>
                <w:tab w:val="clear" w:pos="8870"/>
              </w:tabs>
              <w:rPr>
                <w:sz w:val="20"/>
                <w:lang w:val="hr-HR"/>
              </w:rPr>
            </w:pPr>
            <w:r w:rsidRPr="00AF514D">
              <w:rPr>
                <w:sz w:val="20"/>
                <w:lang w:val="hr-HR"/>
              </w:rPr>
              <w:t>Anafilaktički šok</w:t>
            </w:r>
            <w:r w:rsidR="00A72B6B" w:rsidRPr="00A72B6B">
              <w:rPr>
                <w:sz w:val="20"/>
                <w:vertAlign w:val="superscript"/>
                <w:lang w:val="hr-HR"/>
              </w:rPr>
              <w:t>a,d</w:t>
            </w:r>
          </w:p>
        </w:tc>
        <w:tc>
          <w:tcPr>
            <w:tcW w:w="832" w:type="dxa"/>
            <w:tcBorders>
              <w:top w:val="single" w:sz="5" w:space="0" w:color="000000"/>
              <w:left w:val="single" w:sz="5" w:space="0" w:color="000000"/>
              <w:bottom w:val="single" w:sz="5" w:space="0" w:color="000000"/>
              <w:right w:val="single" w:sz="5" w:space="0" w:color="000000"/>
            </w:tcBorders>
          </w:tcPr>
          <w:p w14:paraId="16B7B5EB"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20CAB31E"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7BDED2A7"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7269CEA5"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metabolizma i ishrane</w:t>
            </w:r>
          </w:p>
        </w:tc>
        <w:tc>
          <w:tcPr>
            <w:tcW w:w="1495" w:type="dxa"/>
            <w:tcBorders>
              <w:top w:val="single" w:sz="5" w:space="0" w:color="000000"/>
              <w:left w:val="single" w:sz="5" w:space="0" w:color="000000"/>
              <w:bottom w:val="single" w:sz="5" w:space="0" w:color="000000"/>
              <w:right w:val="single" w:sz="5" w:space="0" w:color="000000"/>
            </w:tcBorders>
          </w:tcPr>
          <w:p w14:paraId="60298281" w14:textId="540B702C" w:rsidR="00D15122" w:rsidRPr="00D6167B" w:rsidRDefault="009B0756" w:rsidP="00D37692">
            <w:pPr>
              <w:pStyle w:val="Footer"/>
              <w:tabs>
                <w:tab w:val="clear" w:pos="4435"/>
                <w:tab w:val="clear" w:pos="8870"/>
              </w:tabs>
              <w:rPr>
                <w:sz w:val="20"/>
                <w:lang w:val="hr-HR"/>
              </w:rPr>
            </w:pPr>
            <w:r w:rsidRPr="00D6167B">
              <w:rPr>
                <w:sz w:val="20"/>
                <w:lang w:val="hr-HR"/>
              </w:rPr>
              <w:t>Anoreksija, hipomagnez</w:t>
            </w:r>
            <w:r w:rsidR="0057493C">
              <w:rPr>
                <w:sz w:val="20"/>
                <w:lang w:val="hr-HR"/>
              </w:rPr>
              <w:t>ij</w:t>
            </w:r>
            <w:r w:rsidRPr="00D6167B">
              <w:rPr>
                <w:sz w:val="20"/>
                <w:lang w:val="hr-HR"/>
              </w:rPr>
              <w:t>emija, hiponatr</w:t>
            </w:r>
            <w:r w:rsidR="0057493C">
              <w:rPr>
                <w:sz w:val="20"/>
                <w:lang w:val="hr-HR"/>
              </w:rPr>
              <w:t>ij</w:t>
            </w:r>
            <w:r w:rsidRPr="00D6167B">
              <w:rPr>
                <w:sz w:val="20"/>
                <w:lang w:val="hr-HR"/>
              </w:rPr>
              <w:t>emija</w:t>
            </w:r>
          </w:p>
        </w:tc>
        <w:tc>
          <w:tcPr>
            <w:tcW w:w="2058" w:type="dxa"/>
            <w:tcBorders>
              <w:top w:val="single" w:sz="5" w:space="0" w:color="000000"/>
              <w:left w:val="single" w:sz="5" w:space="0" w:color="000000"/>
              <w:bottom w:val="single" w:sz="5" w:space="0" w:color="000000"/>
              <w:right w:val="single" w:sz="5" w:space="0" w:color="000000"/>
            </w:tcBorders>
          </w:tcPr>
          <w:p w14:paraId="338084BA" w14:textId="77777777" w:rsidR="00D15122" w:rsidRPr="00D6167B" w:rsidRDefault="009B0756" w:rsidP="00D37692">
            <w:pPr>
              <w:pStyle w:val="Footer"/>
              <w:tabs>
                <w:tab w:val="clear" w:pos="4435"/>
                <w:tab w:val="clear" w:pos="8870"/>
              </w:tabs>
              <w:rPr>
                <w:sz w:val="20"/>
                <w:lang w:val="hr-HR"/>
              </w:rPr>
            </w:pPr>
            <w:r w:rsidRPr="00D6167B">
              <w:rPr>
                <w:sz w:val="20"/>
                <w:lang w:val="hr-HR"/>
              </w:rPr>
              <w:t>Dehidrataci</w:t>
            </w:r>
            <w:r w:rsidR="0057493C">
              <w:rPr>
                <w:sz w:val="20"/>
                <w:lang w:val="hr-HR"/>
              </w:rPr>
              <w:t>j</w:t>
            </w:r>
            <w:r w:rsidRPr="00D6167B">
              <w:rPr>
                <w:sz w:val="20"/>
                <w:lang w:val="hr-HR"/>
              </w:rPr>
              <w:t>a</w:t>
            </w:r>
          </w:p>
        </w:tc>
        <w:tc>
          <w:tcPr>
            <w:tcW w:w="877" w:type="dxa"/>
            <w:tcBorders>
              <w:top w:val="single" w:sz="5" w:space="0" w:color="000000"/>
              <w:left w:val="single" w:sz="5" w:space="0" w:color="000000"/>
              <w:bottom w:val="single" w:sz="5" w:space="0" w:color="000000"/>
              <w:right w:val="single" w:sz="5" w:space="0" w:color="000000"/>
            </w:tcBorders>
          </w:tcPr>
          <w:p w14:paraId="6470A2B1"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501E594F"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375512F4"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55C4D9A8"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084624A9"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2E443B98"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nervnog sistema</w:t>
            </w:r>
          </w:p>
        </w:tc>
        <w:tc>
          <w:tcPr>
            <w:tcW w:w="1495" w:type="dxa"/>
            <w:tcBorders>
              <w:top w:val="single" w:sz="5" w:space="0" w:color="000000"/>
              <w:left w:val="single" w:sz="5" w:space="0" w:color="000000"/>
              <w:bottom w:val="single" w:sz="5" w:space="0" w:color="000000"/>
              <w:right w:val="single" w:sz="5" w:space="0" w:color="000000"/>
            </w:tcBorders>
          </w:tcPr>
          <w:p w14:paraId="0AAEF17E" w14:textId="77777777" w:rsidR="00D15122" w:rsidRPr="00D6167B" w:rsidRDefault="009B0756" w:rsidP="00D37692">
            <w:pPr>
              <w:pStyle w:val="Footer"/>
              <w:tabs>
                <w:tab w:val="clear" w:pos="4435"/>
                <w:tab w:val="clear" w:pos="8870"/>
              </w:tabs>
              <w:rPr>
                <w:sz w:val="20"/>
                <w:lang w:val="hr-HR"/>
              </w:rPr>
            </w:pPr>
            <w:r w:rsidRPr="00D6167B">
              <w:rPr>
                <w:sz w:val="20"/>
                <w:lang w:val="hr-HR"/>
              </w:rPr>
              <w:t>Periferna senzorna neuropatija</w:t>
            </w:r>
            <w:r w:rsidRPr="00D6167B">
              <w:rPr>
                <w:sz w:val="20"/>
                <w:vertAlign w:val="superscript"/>
                <w:lang w:val="hr-HR"/>
              </w:rPr>
              <w:t>b</w:t>
            </w:r>
            <w:r w:rsidRPr="00D6167B">
              <w:rPr>
                <w:sz w:val="20"/>
                <w:lang w:val="hr-HR"/>
              </w:rPr>
              <w:t>, dizartrija, glavobolja, disgeuzija</w:t>
            </w:r>
          </w:p>
        </w:tc>
        <w:tc>
          <w:tcPr>
            <w:tcW w:w="2058" w:type="dxa"/>
            <w:tcBorders>
              <w:top w:val="single" w:sz="5" w:space="0" w:color="000000"/>
              <w:left w:val="single" w:sz="5" w:space="0" w:color="000000"/>
              <w:bottom w:val="single" w:sz="5" w:space="0" w:color="000000"/>
              <w:right w:val="single" w:sz="5" w:space="0" w:color="000000"/>
            </w:tcBorders>
          </w:tcPr>
          <w:p w14:paraId="747315E2" w14:textId="77777777" w:rsidR="00D15122" w:rsidRPr="00D6167B" w:rsidRDefault="009B0756" w:rsidP="00D37692">
            <w:pPr>
              <w:pStyle w:val="Footer"/>
              <w:tabs>
                <w:tab w:val="clear" w:pos="4435"/>
                <w:tab w:val="clear" w:pos="8870"/>
              </w:tabs>
              <w:rPr>
                <w:sz w:val="20"/>
                <w:lang w:val="hr-HR"/>
              </w:rPr>
            </w:pPr>
            <w:r w:rsidRPr="00D6167B">
              <w:rPr>
                <w:sz w:val="20"/>
                <w:lang w:val="hr-HR"/>
              </w:rPr>
              <w:t>Cerebrovaskularni akcident, sinkopa, pospanost</w:t>
            </w:r>
          </w:p>
        </w:tc>
        <w:tc>
          <w:tcPr>
            <w:tcW w:w="877" w:type="dxa"/>
            <w:tcBorders>
              <w:top w:val="single" w:sz="5" w:space="0" w:color="000000"/>
              <w:left w:val="single" w:sz="5" w:space="0" w:color="000000"/>
              <w:bottom w:val="single" w:sz="5" w:space="0" w:color="000000"/>
              <w:right w:val="single" w:sz="5" w:space="0" w:color="000000"/>
            </w:tcBorders>
          </w:tcPr>
          <w:p w14:paraId="7E1B7842"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7EE1713C" w14:textId="77777777" w:rsidR="00D15122" w:rsidRPr="00D6167B" w:rsidRDefault="009B0756" w:rsidP="00D37692">
            <w:pPr>
              <w:pStyle w:val="Footer"/>
              <w:tabs>
                <w:tab w:val="clear" w:pos="4435"/>
                <w:tab w:val="clear" w:pos="8870"/>
              </w:tabs>
              <w:rPr>
                <w:sz w:val="20"/>
                <w:lang w:val="hr-HR"/>
              </w:rPr>
            </w:pPr>
            <w:r w:rsidRPr="00D6167B">
              <w:rPr>
                <w:sz w:val="20"/>
                <w:lang w:val="hr-HR"/>
              </w:rPr>
              <w:t>Sindrom posteriorne reverzibilne encefalopatije</w:t>
            </w:r>
            <w:r w:rsidRPr="00D6167B">
              <w:rPr>
                <w:sz w:val="20"/>
                <w:vertAlign w:val="superscript"/>
                <w:lang w:val="hr-HR"/>
              </w:rPr>
              <w:t>a,b,d</w:t>
            </w:r>
          </w:p>
        </w:tc>
        <w:tc>
          <w:tcPr>
            <w:tcW w:w="832" w:type="dxa"/>
            <w:tcBorders>
              <w:top w:val="single" w:sz="5" w:space="0" w:color="000000"/>
              <w:left w:val="single" w:sz="5" w:space="0" w:color="000000"/>
              <w:bottom w:val="single" w:sz="5" w:space="0" w:color="000000"/>
              <w:right w:val="single" w:sz="5" w:space="0" w:color="000000"/>
            </w:tcBorders>
          </w:tcPr>
          <w:p w14:paraId="29C21557" w14:textId="77777777" w:rsidR="00D15122" w:rsidRPr="00D6167B" w:rsidRDefault="009B0756" w:rsidP="00D37692">
            <w:pPr>
              <w:pStyle w:val="Footer"/>
              <w:tabs>
                <w:tab w:val="clear" w:pos="4435"/>
                <w:tab w:val="clear" w:pos="8870"/>
              </w:tabs>
              <w:rPr>
                <w:sz w:val="20"/>
                <w:lang w:val="hr-HR"/>
              </w:rPr>
            </w:pPr>
            <w:r w:rsidRPr="00D6167B">
              <w:rPr>
                <w:sz w:val="20"/>
                <w:lang w:val="hr-HR"/>
              </w:rPr>
              <w:t>Hipertenzivna encefalopatija</w:t>
            </w:r>
            <w:r w:rsidRPr="00D6167B">
              <w:rPr>
                <w:sz w:val="20"/>
                <w:vertAlign w:val="superscript"/>
                <w:lang w:val="hr-HR"/>
              </w:rPr>
              <w:t>a</w:t>
            </w:r>
          </w:p>
        </w:tc>
        <w:tc>
          <w:tcPr>
            <w:tcW w:w="820" w:type="dxa"/>
            <w:tcBorders>
              <w:top w:val="single" w:sz="5" w:space="0" w:color="000000"/>
              <w:left w:val="single" w:sz="5" w:space="0" w:color="000000"/>
              <w:bottom w:val="single" w:sz="5" w:space="0" w:color="000000"/>
              <w:right w:val="single" w:sz="5" w:space="0" w:color="000000"/>
            </w:tcBorders>
          </w:tcPr>
          <w:p w14:paraId="15B97EE7"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7B349528" w14:textId="77777777" w:rsidTr="00934346">
        <w:trPr>
          <w:cantSplit/>
        </w:trPr>
        <w:tc>
          <w:tcPr>
            <w:tcW w:w="1660" w:type="dxa"/>
            <w:tcBorders>
              <w:top w:val="single" w:sz="5" w:space="0" w:color="000000"/>
              <w:left w:val="single" w:sz="5" w:space="0" w:color="000000"/>
              <w:bottom w:val="single" w:sz="4" w:space="0" w:color="000000"/>
              <w:right w:val="single" w:sz="5" w:space="0" w:color="000000"/>
            </w:tcBorders>
          </w:tcPr>
          <w:p w14:paraId="05F9187A"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oka</w:t>
            </w:r>
          </w:p>
        </w:tc>
        <w:tc>
          <w:tcPr>
            <w:tcW w:w="1495" w:type="dxa"/>
            <w:tcBorders>
              <w:top w:val="single" w:sz="5" w:space="0" w:color="000000"/>
              <w:left w:val="single" w:sz="5" w:space="0" w:color="000000"/>
              <w:bottom w:val="single" w:sz="4" w:space="0" w:color="000000"/>
              <w:right w:val="single" w:sz="5" w:space="0" w:color="000000"/>
            </w:tcBorders>
          </w:tcPr>
          <w:p w14:paraId="402CB2D3"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 na nivou oka, pojačano suzenje</w:t>
            </w:r>
          </w:p>
        </w:tc>
        <w:tc>
          <w:tcPr>
            <w:tcW w:w="2058" w:type="dxa"/>
            <w:tcBorders>
              <w:top w:val="single" w:sz="5" w:space="0" w:color="000000"/>
              <w:left w:val="single" w:sz="5" w:space="0" w:color="000000"/>
              <w:bottom w:val="single" w:sz="4" w:space="0" w:color="000000"/>
              <w:right w:val="single" w:sz="5" w:space="0" w:color="000000"/>
            </w:tcBorders>
          </w:tcPr>
          <w:p w14:paraId="0DD50C77" w14:textId="77777777" w:rsidR="00D15122" w:rsidRPr="00D6167B" w:rsidRDefault="00D15122" w:rsidP="00D37692">
            <w:pPr>
              <w:pStyle w:val="Footer"/>
              <w:tabs>
                <w:tab w:val="clear" w:pos="4435"/>
                <w:tab w:val="clear" w:pos="8870"/>
              </w:tabs>
              <w:rPr>
                <w:sz w:val="20"/>
                <w:lang w:val="hr-HR"/>
              </w:rPr>
            </w:pPr>
          </w:p>
        </w:tc>
        <w:tc>
          <w:tcPr>
            <w:tcW w:w="877" w:type="dxa"/>
            <w:tcBorders>
              <w:top w:val="single" w:sz="5" w:space="0" w:color="000000"/>
              <w:left w:val="single" w:sz="5" w:space="0" w:color="000000"/>
              <w:bottom w:val="single" w:sz="4" w:space="0" w:color="000000"/>
              <w:right w:val="single" w:sz="5" w:space="0" w:color="000000"/>
            </w:tcBorders>
          </w:tcPr>
          <w:p w14:paraId="414BF378"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4" w:space="0" w:color="000000"/>
              <w:right w:val="single" w:sz="5" w:space="0" w:color="000000"/>
            </w:tcBorders>
          </w:tcPr>
          <w:p w14:paraId="19C80BF4"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4" w:space="0" w:color="000000"/>
              <w:right w:val="single" w:sz="5" w:space="0" w:color="000000"/>
            </w:tcBorders>
          </w:tcPr>
          <w:p w14:paraId="2A7F3C73"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4" w:space="0" w:color="000000"/>
              <w:right w:val="single" w:sz="5" w:space="0" w:color="000000"/>
            </w:tcBorders>
          </w:tcPr>
          <w:p w14:paraId="6E3ED314"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4AD7C97D" w14:textId="77777777" w:rsidTr="00934346">
        <w:trPr>
          <w:cantSplit/>
        </w:trPr>
        <w:tc>
          <w:tcPr>
            <w:tcW w:w="1660" w:type="dxa"/>
            <w:tcBorders>
              <w:top w:val="single" w:sz="4" w:space="0" w:color="000000"/>
              <w:left w:val="single" w:sz="4" w:space="0" w:color="000000"/>
              <w:bottom w:val="single" w:sz="4" w:space="0" w:color="000000"/>
              <w:right w:val="single" w:sz="4" w:space="0" w:color="000000"/>
            </w:tcBorders>
          </w:tcPr>
          <w:p w14:paraId="2B4B1924" w14:textId="77777777" w:rsidR="00D15122" w:rsidRPr="00D6167B" w:rsidRDefault="009B0756" w:rsidP="00D37692">
            <w:pPr>
              <w:pStyle w:val="Footer"/>
              <w:tabs>
                <w:tab w:val="clear" w:pos="4435"/>
                <w:tab w:val="clear" w:pos="8870"/>
              </w:tabs>
              <w:rPr>
                <w:sz w:val="20"/>
                <w:lang w:val="hr-HR"/>
              </w:rPr>
            </w:pPr>
            <w:r w:rsidRPr="00D6167B">
              <w:rPr>
                <w:sz w:val="20"/>
                <w:lang w:val="hr-HR"/>
              </w:rPr>
              <w:t>Srčani poremećaji</w:t>
            </w:r>
          </w:p>
        </w:tc>
        <w:tc>
          <w:tcPr>
            <w:tcW w:w="1495" w:type="dxa"/>
            <w:tcBorders>
              <w:top w:val="single" w:sz="4" w:space="0" w:color="000000"/>
              <w:left w:val="single" w:sz="4" w:space="0" w:color="000000"/>
              <w:bottom w:val="single" w:sz="4" w:space="0" w:color="000000"/>
              <w:right w:val="single" w:sz="4" w:space="0" w:color="000000"/>
            </w:tcBorders>
          </w:tcPr>
          <w:p w14:paraId="7B104C6C" w14:textId="77777777" w:rsidR="00D15122" w:rsidRPr="00D6167B" w:rsidRDefault="00D15122" w:rsidP="00D37692">
            <w:pPr>
              <w:pStyle w:val="Footer"/>
              <w:tabs>
                <w:tab w:val="clear" w:pos="4435"/>
                <w:tab w:val="clear" w:pos="8870"/>
              </w:tabs>
              <w:rPr>
                <w:sz w:val="20"/>
                <w:lang w:val="hr-HR"/>
              </w:rPr>
            </w:pPr>
          </w:p>
        </w:tc>
        <w:tc>
          <w:tcPr>
            <w:tcW w:w="2058" w:type="dxa"/>
            <w:tcBorders>
              <w:top w:val="single" w:sz="4" w:space="0" w:color="000000"/>
              <w:left w:val="single" w:sz="4" w:space="0" w:color="000000"/>
              <w:bottom w:val="single" w:sz="4" w:space="0" w:color="000000"/>
              <w:right w:val="single" w:sz="4" w:space="0" w:color="000000"/>
            </w:tcBorders>
          </w:tcPr>
          <w:p w14:paraId="3B50BCFA" w14:textId="77777777" w:rsidR="00D15122" w:rsidRPr="00D6167B" w:rsidRDefault="009B0756" w:rsidP="00D37692">
            <w:pPr>
              <w:pStyle w:val="Footer"/>
              <w:tabs>
                <w:tab w:val="clear" w:pos="4435"/>
                <w:tab w:val="clear" w:pos="8870"/>
              </w:tabs>
              <w:rPr>
                <w:sz w:val="20"/>
                <w:lang w:val="hr-HR"/>
              </w:rPr>
            </w:pPr>
            <w:r w:rsidRPr="00D6167B">
              <w:rPr>
                <w:sz w:val="20"/>
                <w:lang w:val="hr-HR"/>
              </w:rPr>
              <w:t>Kongesti</w:t>
            </w:r>
            <w:r w:rsidR="0004738F" w:rsidRPr="00D6167B">
              <w:rPr>
                <w:sz w:val="20"/>
                <w:lang w:val="hr-HR"/>
              </w:rPr>
              <w:t>vna srčana insuficijencija</w:t>
            </w:r>
            <w:r w:rsidRPr="00D6167B">
              <w:rPr>
                <w:sz w:val="20"/>
                <w:vertAlign w:val="superscript"/>
                <w:lang w:val="hr-HR"/>
              </w:rPr>
              <w:t>b,d</w:t>
            </w:r>
            <w:r w:rsidRPr="00D6167B">
              <w:rPr>
                <w:sz w:val="20"/>
                <w:lang w:val="hr-HR"/>
              </w:rPr>
              <w:t>, supraventrikularna tahikardija</w:t>
            </w:r>
          </w:p>
        </w:tc>
        <w:tc>
          <w:tcPr>
            <w:tcW w:w="877" w:type="dxa"/>
            <w:tcBorders>
              <w:top w:val="single" w:sz="4" w:space="0" w:color="000000"/>
              <w:left w:val="single" w:sz="4" w:space="0" w:color="000000"/>
              <w:bottom w:val="single" w:sz="4" w:space="0" w:color="000000"/>
              <w:right w:val="single" w:sz="4" w:space="0" w:color="000000"/>
            </w:tcBorders>
          </w:tcPr>
          <w:p w14:paraId="236E9279"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4" w:space="0" w:color="000000"/>
              <w:left w:val="single" w:sz="4" w:space="0" w:color="000000"/>
              <w:bottom w:val="single" w:sz="4" w:space="0" w:color="000000"/>
              <w:right w:val="single" w:sz="4" w:space="0" w:color="000000"/>
            </w:tcBorders>
          </w:tcPr>
          <w:p w14:paraId="63F5E2A7"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4" w:space="0" w:color="000000"/>
              <w:left w:val="single" w:sz="4" w:space="0" w:color="000000"/>
              <w:bottom w:val="single" w:sz="4" w:space="0" w:color="000000"/>
              <w:right w:val="single" w:sz="4" w:space="0" w:color="000000"/>
            </w:tcBorders>
          </w:tcPr>
          <w:p w14:paraId="6B05116F"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4" w:space="0" w:color="000000"/>
              <w:left w:val="single" w:sz="4" w:space="0" w:color="000000"/>
              <w:bottom w:val="single" w:sz="4" w:space="0" w:color="000000"/>
              <w:right w:val="single" w:sz="4" w:space="0" w:color="000000"/>
            </w:tcBorders>
          </w:tcPr>
          <w:p w14:paraId="3C7AB753"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020AB3E9" w14:textId="77777777" w:rsidTr="00934346">
        <w:trPr>
          <w:cantSplit/>
        </w:trPr>
        <w:tc>
          <w:tcPr>
            <w:tcW w:w="1660" w:type="dxa"/>
            <w:tcBorders>
              <w:top w:val="single" w:sz="4" w:space="0" w:color="000000"/>
              <w:left w:val="single" w:sz="5" w:space="0" w:color="000000"/>
              <w:bottom w:val="single" w:sz="5" w:space="0" w:color="000000"/>
              <w:right w:val="single" w:sz="5" w:space="0" w:color="000000"/>
            </w:tcBorders>
          </w:tcPr>
          <w:p w14:paraId="53598E2F" w14:textId="77777777" w:rsidR="00D15122" w:rsidRPr="00D6167B" w:rsidRDefault="009B0756" w:rsidP="00D37692">
            <w:pPr>
              <w:pStyle w:val="TableText"/>
              <w:ind w:right="-180"/>
              <w:rPr>
                <w:rFonts w:cs="Times New Roman"/>
                <w:lang w:val="hr-HR"/>
              </w:rPr>
            </w:pPr>
            <w:r w:rsidRPr="00D6167B">
              <w:rPr>
                <w:lang w:val="hr-HR"/>
              </w:rPr>
              <w:t>Vaskularni poremećaji</w:t>
            </w:r>
          </w:p>
        </w:tc>
        <w:tc>
          <w:tcPr>
            <w:tcW w:w="1495" w:type="dxa"/>
            <w:tcBorders>
              <w:top w:val="single" w:sz="4" w:space="0" w:color="000000"/>
              <w:left w:val="single" w:sz="5" w:space="0" w:color="000000"/>
              <w:bottom w:val="single" w:sz="5" w:space="0" w:color="000000"/>
              <w:right w:val="single" w:sz="5" w:space="0" w:color="000000"/>
            </w:tcBorders>
          </w:tcPr>
          <w:p w14:paraId="2DB08FBF" w14:textId="77777777" w:rsidR="00D15122" w:rsidRPr="00D6167B" w:rsidRDefault="009B0756" w:rsidP="00D37692">
            <w:pPr>
              <w:pStyle w:val="TableText"/>
              <w:rPr>
                <w:rFonts w:cs="Times New Roman"/>
                <w:lang w:val="hr-HR"/>
              </w:rPr>
            </w:pPr>
            <w:r w:rsidRPr="00D6167B">
              <w:rPr>
                <w:lang w:val="hr-HR"/>
              </w:rPr>
              <w:t>Hipertenzija</w:t>
            </w:r>
            <w:r w:rsidRPr="00D6167B">
              <w:rPr>
                <w:vertAlign w:val="superscript"/>
                <w:lang w:val="hr-HR"/>
              </w:rPr>
              <w:t>b,d</w:t>
            </w:r>
            <w:r w:rsidRPr="00D6167B">
              <w:rPr>
                <w:lang w:val="hr-HR"/>
              </w:rPr>
              <w:t>, tromboembolija (venska)</w:t>
            </w:r>
            <w:r w:rsidRPr="00D6167B">
              <w:rPr>
                <w:vertAlign w:val="superscript"/>
                <w:lang w:val="hr-HR"/>
              </w:rPr>
              <w:t>b,d</w:t>
            </w:r>
          </w:p>
        </w:tc>
        <w:tc>
          <w:tcPr>
            <w:tcW w:w="2058" w:type="dxa"/>
            <w:tcBorders>
              <w:top w:val="single" w:sz="4" w:space="0" w:color="000000"/>
              <w:left w:val="single" w:sz="5" w:space="0" w:color="000000"/>
              <w:bottom w:val="single" w:sz="5" w:space="0" w:color="000000"/>
              <w:right w:val="single" w:sz="5" w:space="0" w:color="000000"/>
            </w:tcBorders>
          </w:tcPr>
          <w:p w14:paraId="698750BA" w14:textId="77777777" w:rsidR="00D15122" w:rsidRPr="00D6167B" w:rsidRDefault="009B0756" w:rsidP="00D37692">
            <w:pPr>
              <w:pStyle w:val="TableText"/>
              <w:rPr>
                <w:rFonts w:cs="Times New Roman"/>
                <w:lang w:val="hr-HR"/>
              </w:rPr>
            </w:pPr>
            <w:r w:rsidRPr="00D6167B">
              <w:rPr>
                <w:lang w:val="hr-HR"/>
              </w:rPr>
              <w:t>Tromboembolija (arterijska)</w:t>
            </w:r>
            <w:r w:rsidRPr="00D6167B">
              <w:rPr>
                <w:vertAlign w:val="superscript"/>
                <w:lang w:val="hr-HR"/>
              </w:rPr>
              <w:t>b,d</w:t>
            </w:r>
            <w:r w:rsidRPr="00D6167B">
              <w:rPr>
                <w:lang w:val="hr-HR"/>
              </w:rPr>
              <w:t>, krvarenje</w:t>
            </w:r>
            <w:r w:rsidRPr="00D6167B">
              <w:rPr>
                <w:vertAlign w:val="superscript"/>
                <w:lang w:val="hr-HR"/>
              </w:rPr>
              <w:t>b,d</w:t>
            </w:r>
            <w:r w:rsidRPr="00D6167B">
              <w:rPr>
                <w:lang w:val="hr-HR"/>
              </w:rPr>
              <w:t>, duboka venska tromboza</w:t>
            </w:r>
          </w:p>
        </w:tc>
        <w:tc>
          <w:tcPr>
            <w:tcW w:w="877" w:type="dxa"/>
            <w:tcBorders>
              <w:top w:val="single" w:sz="4" w:space="0" w:color="000000"/>
              <w:left w:val="single" w:sz="5" w:space="0" w:color="000000"/>
              <w:bottom w:val="single" w:sz="5" w:space="0" w:color="000000"/>
              <w:right w:val="single" w:sz="5" w:space="0" w:color="000000"/>
            </w:tcBorders>
          </w:tcPr>
          <w:p w14:paraId="0730CE35"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4" w:space="0" w:color="000000"/>
              <w:left w:val="single" w:sz="5" w:space="0" w:color="000000"/>
              <w:bottom w:val="single" w:sz="5" w:space="0" w:color="000000"/>
              <w:right w:val="single" w:sz="5" w:space="0" w:color="000000"/>
            </w:tcBorders>
          </w:tcPr>
          <w:p w14:paraId="76638A89"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4" w:space="0" w:color="000000"/>
              <w:left w:val="single" w:sz="5" w:space="0" w:color="000000"/>
              <w:bottom w:val="single" w:sz="5" w:space="0" w:color="000000"/>
              <w:right w:val="single" w:sz="5" w:space="0" w:color="000000"/>
            </w:tcBorders>
          </w:tcPr>
          <w:p w14:paraId="63C6AE51"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4" w:space="0" w:color="000000"/>
              <w:left w:val="single" w:sz="5" w:space="0" w:color="000000"/>
              <w:bottom w:val="single" w:sz="5" w:space="0" w:color="000000"/>
              <w:right w:val="single" w:sz="5" w:space="0" w:color="000000"/>
            </w:tcBorders>
          </w:tcPr>
          <w:p w14:paraId="581A3FB4" w14:textId="77777777" w:rsidR="00D15122" w:rsidRPr="00D6167B" w:rsidRDefault="000950F0" w:rsidP="00D37692">
            <w:pPr>
              <w:pStyle w:val="Footer"/>
              <w:tabs>
                <w:tab w:val="clear" w:pos="4435"/>
                <w:tab w:val="clear" w:pos="8870"/>
              </w:tabs>
              <w:rPr>
                <w:sz w:val="20"/>
                <w:lang w:val="hr-HR"/>
              </w:rPr>
            </w:pPr>
            <w:r w:rsidRPr="00D37692">
              <w:rPr>
                <w:sz w:val="20"/>
                <w:u w:val="single"/>
                <w:lang w:val="hr-HR"/>
              </w:rPr>
              <w:t>Aneurizme i disekcije arterije</w:t>
            </w:r>
            <w:r w:rsidRPr="00D6167B">
              <w:rPr>
                <w:sz w:val="20"/>
                <w:lang w:val="hr-HR"/>
              </w:rPr>
              <w:t>, bubrežna trombotička mikroangiopatija</w:t>
            </w:r>
            <w:r w:rsidRPr="00D6167B">
              <w:rPr>
                <w:sz w:val="20"/>
                <w:vertAlign w:val="superscript"/>
                <w:lang w:val="hr-HR"/>
              </w:rPr>
              <w:t>a,b</w:t>
            </w:r>
            <w:r w:rsidRPr="00D6167B">
              <w:rPr>
                <w:sz w:val="20"/>
                <w:lang w:val="hr-HR"/>
              </w:rPr>
              <w:t xml:space="preserve"> </w:t>
            </w:r>
          </w:p>
        </w:tc>
      </w:tr>
      <w:tr w:rsidR="00D15122" w:rsidRPr="00D6167B" w14:paraId="67D4D2FB"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6FA4AB1D" w14:textId="77777777" w:rsidR="00D15122" w:rsidRPr="00D6167B" w:rsidRDefault="009B0756" w:rsidP="00D37692">
            <w:pPr>
              <w:pStyle w:val="Footer"/>
              <w:tabs>
                <w:tab w:val="clear" w:pos="4435"/>
                <w:tab w:val="clear" w:pos="8870"/>
              </w:tabs>
              <w:rPr>
                <w:sz w:val="20"/>
                <w:lang w:val="hr-HR"/>
              </w:rPr>
            </w:pPr>
            <w:r w:rsidRPr="00D6167B">
              <w:rPr>
                <w:sz w:val="20"/>
                <w:lang w:val="hr-HR"/>
              </w:rPr>
              <w:lastRenderedPageBreak/>
              <w:t>Poremećaji</w:t>
            </w:r>
            <w:r w:rsidR="006475B1" w:rsidRPr="00D6167B">
              <w:rPr>
                <w:sz w:val="20"/>
                <w:lang w:val="hr-HR"/>
              </w:rPr>
              <w:t xml:space="preserve"> respiratornog</w:t>
            </w:r>
            <w:r w:rsidRPr="00D6167B">
              <w:rPr>
                <w:sz w:val="20"/>
                <w:lang w:val="hr-HR"/>
              </w:rPr>
              <w:t xml:space="preserve"> sistema, toraksa i medijastinuma</w:t>
            </w:r>
          </w:p>
        </w:tc>
        <w:tc>
          <w:tcPr>
            <w:tcW w:w="1495" w:type="dxa"/>
            <w:tcBorders>
              <w:top w:val="single" w:sz="5" w:space="0" w:color="000000"/>
              <w:left w:val="single" w:sz="5" w:space="0" w:color="000000"/>
              <w:bottom w:val="single" w:sz="5" w:space="0" w:color="000000"/>
              <w:right w:val="single" w:sz="5" w:space="0" w:color="000000"/>
            </w:tcBorders>
          </w:tcPr>
          <w:p w14:paraId="1B455D98" w14:textId="77777777" w:rsidR="00D15122" w:rsidRPr="00D6167B" w:rsidRDefault="009B0756" w:rsidP="00D37692">
            <w:pPr>
              <w:pStyle w:val="Footer"/>
              <w:tabs>
                <w:tab w:val="clear" w:pos="4435"/>
                <w:tab w:val="clear" w:pos="8870"/>
              </w:tabs>
              <w:rPr>
                <w:sz w:val="20"/>
                <w:lang w:val="hr-HR"/>
              </w:rPr>
            </w:pPr>
            <w:r w:rsidRPr="00D6167B">
              <w:rPr>
                <w:sz w:val="20"/>
                <w:lang w:val="hr-HR"/>
              </w:rPr>
              <w:t>Dispneja, rinitis, epistaksa, kašalj</w:t>
            </w:r>
          </w:p>
        </w:tc>
        <w:tc>
          <w:tcPr>
            <w:tcW w:w="2058" w:type="dxa"/>
            <w:tcBorders>
              <w:top w:val="single" w:sz="5" w:space="0" w:color="000000"/>
              <w:left w:val="single" w:sz="5" w:space="0" w:color="000000"/>
              <w:bottom w:val="single" w:sz="5" w:space="0" w:color="000000"/>
              <w:right w:val="single" w:sz="5" w:space="0" w:color="000000"/>
            </w:tcBorders>
          </w:tcPr>
          <w:p w14:paraId="4F24438B" w14:textId="77777777" w:rsidR="00D15122" w:rsidRPr="00D6167B" w:rsidRDefault="009B0756" w:rsidP="00D37692">
            <w:pPr>
              <w:pStyle w:val="Footer"/>
              <w:tabs>
                <w:tab w:val="clear" w:pos="4435"/>
                <w:tab w:val="clear" w:pos="8870"/>
              </w:tabs>
              <w:rPr>
                <w:sz w:val="20"/>
                <w:lang w:val="hr-HR"/>
              </w:rPr>
            </w:pPr>
            <w:r w:rsidRPr="00D6167B">
              <w:rPr>
                <w:sz w:val="20"/>
                <w:lang w:val="hr-HR"/>
              </w:rPr>
              <w:t>Plućno krvarenje/hemoptizija</w:t>
            </w:r>
            <w:r w:rsidRPr="00D6167B">
              <w:rPr>
                <w:sz w:val="20"/>
                <w:vertAlign w:val="superscript"/>
                <w:lang w:val="hr-HR"/>
              </w:rPr>
              <w:t>b,d</w:t>
            </w:r>
            <w:r w:rsidRPr="00D6167B">
              <w:rPr>
                <w:sz w:val="20"/>
                <w:lang w:val="hr-HR"/>
              </w:rPr>
              <w:t>, plućna embolija, hipoksija, disfonija</w:t>
            </w:r>
            <w:r w:rsidRPr="00D6167B">
              <w:rPr>
                <w:sz w:val="20"/>
                <w:vertAlign w:val="superscript"/>
                <w:lang w:val="hr-HR"/>
              </w:rPr>
              <w:t>a</w:t>
            </w:r>
          </w:p>
        </w:tc>
        <w:tc>
          <w:tcPr>
            <w:tcW w:w="877" w:type="dxa"/>
            <w:tcBorders>
              <w:top w:val="single" w:sz="5" w:space="0" w:color="000000"/>
              <w:left w:val="single" w:sz="5" w:space="0" w:color="000000"/>
              <w:bottom w:val="single" w:sz="5" w:space="0" w:color="000000"/>
              <w:right w:val="single" w:sz="5" w:space="0" w:color="000000"/>
            </w:tcBorders>
          </w:tcPr>
          <w:p w14:paraId="3D401598"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5E8949D9"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53E2FDAC"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462A8248" w14:textId="77777777" w:rsidR="00D15122" w:rsidRPr="00D6167B" w:rsidRDefault="009B0756" w:rsidP="00D37692">
            <w:pPr>
              <w:pStyle w:val="Footer"/>
              <w:tabs>
                <w:tab w:val="clear" w:pos="4435"/>
                <w:tab w:val="clear" w:pos="8870"/>
              </w:tabs>
              <w:rPr>
                <w:sz w:val="20"/>
                <w:lang w:val="hr-HR"/>
              </w:rPr>
            </w:pPr>
            <w:r w:rsidRPr="00D6167B">
              <w:rPr>
                <w:sz w:val="20"/>
                <w:lang w:val="hr-HR"/>
              </w:rPr>
              <w:t>Plućna hipertenzija</w:t>
            </w:r>
            <w:r w:rsidRPr="00D6167B">
              <w:rPr>
                <w:sz w:val="20"/>
                <w:vertAlign w:val="superscript"/>
                <w:lang w:val="hr-HR"/>
              </w:rPr>
              <w:t>a</w:t>
            </w:r>
            <w:r w:rsidRPr="00D6167B">
              <w:rPr>
                <w:sz w:val="20"/>
                <w:lang w:val="hr-HR"/>
              </w:rPr>
              <w:t>, perforacija nazalnog septuma</w:t>
            </w:r>
            <w:r w:rsidRPr="00D6167B">
              <w:rPr>
                <w:sz w:val="20"/>
                <w:vertAlign w:val="superscript"/>
                <w:lang w:val="hr-HR"/>
              </w:rPr>
              <w:t>a</w:t>
            </w:r>
          </w:p>
        </w:tc>
      </w:tr>
      <w:tr w:rsidR="00D15122" w:rsidRPr="00D6167B" w14:paraId="67889583"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6AAEC451" w14:textId="77777777" w:rsidR="00D15122" w:rsidRPr="00D6167B" w:rsidRDefault="009B0756" w:rsidP="00D37692">
            <w:pPr>
              <w:pStyle w:val="Footer"/>
              <w:tabs>
                <w:tab w:val="clear" w:pos="4435"/>
                <w:tab w:val="clear" w:pos="8870"/>
              </w:tabs>
              <w:rPr>
                <w:sz w:val="20"/>
                <w:lang w:val="hr-HR"/>
              </w:rPr>
            </w:pPr>
            <w:r w:rsidRPr="00D6167B">
              <w:rPr>
                <w:sz w:val="20"/>
                <w:lang w:val="hr-HR"/>
              </w:rPr>
              <w:t>Gastrointestinalni poremećaji</w:t>
            </w:r>
          </w:p>
        </w:tc>
        <w:tc>
          <w:tcPr>
            <w:tcW w:w="1495" w:type="dxa"/>
            <w:tcBorders>
              <w:top w:val="single" w:sz="5" w:space="0" w:color="000000"/>
              <w:left w:val="single" w:sz="5" w:space="0" w:color="000000"/>
              <w:bottom w:val="single" w:sz="5" w:space="0" w:color="000000"/>
              <w:right w:val="single" w:sz="5" w:space="0" w:color="000000"/>
            </w:tcBorders>
          </w:tcPr>
          <w:p w14:paraId="4DAE4F29" w14:textId="77777777" w:rsidR="00D15122" w:rsidRPr="00D6167B" w:rsidRDefault="009B0756" w:rsidP="00D37692">
            <w:pPr>
              <w:pStyle w:val="Footer"/>
              <w:tabs>
                <w:tab w:val="clear" w:pos="4435"/>
                <w:tab w:val="clear" w:pos="8870"/>
              </w:tabs>
              <w:rPr>
                <w:sz w:val="20"/>
                <w:lang w:val="hr-HR"/>
              </w:rPr>
            </w:pPr>
            <w:r w:rsidRPr="00D6167B">
              <w:rPr>
                <w:sz w:val="20"/>
                <w:lang w:val="hr-HR"/>
              </w:rPr>
              <w:t>Rektalno krvarenje, stomatitis,</w:t>
            </w:r>
            <w:r w:rsidR="006475B1" w:rsidRPr="00D6167B">
              <w:rPr>
                <w:sz w:val="20"/>
                <w:lang w:val="hr-HR"/>
              </w:rPr>
              <w:t xml:space="preserve"> opstipacija</w:t>
            </w:r>
            <w:r w:rsidRPr="00D6167B">
              <w:rPr>
                <w:sz w:val="20"/>
                <w:lang w:val="hr-HR"/>
              </w:rPr>
              <w:t>, dijareja, mučnina, povraćanje, bolovi u abdomenu</w:t>
            </w:r>
          </w:p>
        </w:tc>
        <w:tc>
          <w:tcPr>
            <w:tcW w:w="2058" w:type="dxa"/>
            <w:tcBorders>
              <w:top w:val="single" w:sz="5" w:space="0" w:color="000000"/>
              <w:left w:val="single" w:sz="5" w:space="0" w:color="000000"/>
              <w:bottom w:val="single" w:sz="5" w:space="0" w:color="000000"/>
              <w:right w:val="single" w:sz="5" w:space="0" w:color="000000"/>
            </w:tcBorders>
          </w:tcPr>
          <w:p w14:paraId="331FBBC6" w14:textId="77777777" w:rsidR="00D15122" w:rsidRPr="00D6167B" w:rsidRDefault="009B0756" w:rsidP="00D37692">
            <w:pPr>
              <w:pStyle w:val="Footer"/>
              <w:tabs>
                <w:tab w:val="clear" w:pos="4435"/>
                <w:tab w:val="clear" w:pos="8870"/>
              </w:tabs>
              <w:rPr>
                <w:sz w:val="20"/>
                <w:lang w:val="hr-HR"/>
              </w:rPr>
            </w:pPr>
            <w:r w:rsidRPr="00D6167B">
              <w:rPr>
                <w:sz w:val="20"/>
                <w:lang w:val="hr-HR"/>
              </w:rPr>
              <w:t>Gastrointestinalna perforacija</w:t>
            </w:r>
            <w:r w:rsidRPr="00D6167B">
              <w:rPr>
                <w:sz w:val="20"/>
                <w:vertAlign w:val="superscript"/>
                <w:lang w:val="hr-HR"/>
              </w:rPr>
              <w:t>b,d</w:t>
            </w:r>
            <w:r w:rsidRPr="00D6167B">
              <w:rPr>
                <w:sz w:val="20"/>
                <w:lang w:val="hr-HR"/>
              </w:rPr>
              <w:t>, intestinalna perforacija, ileus, intestinalna opstrukcija, rektovaginalne fistule</w:t>
            </w:r>
            <w:r w:rsidRPr="00D6167B">
              <w:rPr>
                <w:sz w:val="20"/>
                <w:vertAlign w:val="superscript"/>
                <w:lang w:val="hr-HR"/>
              </w:rPr>
              <w:t>d,e</w:t>
            </w:r>
            <w:r w:rsidRPr="00D6167B">
              <w:rPr>
                <w:sz w:val="20"/>
                <w:lang w:val="hr-HR"/>
              </w:rPr>
              <w:t>, gastrointestinalni poremećaj, proktalgija</w:t>
            </w:r>
          </w:p>
        </w:tc>
        <w:tc>
          <w:tcPr>
            <w:tcW w:w="877" w:type="dxa"/>
            <w:tcBorders>
              <w:top w:val="single" w:sz="5" w:space="0" w:color="000000"/>
              <w:left w:val="single" w:sz="5" w:space="0" w:color="000000"/>
              <w:bottom w:val="single" w:sz="5" w:space="0" w:color="000000"/>
              <w:right w:val="single" w:sz="5" w:space="0" w:color="000000"/>
            </w:tcBorders>
          </w:tcPr>
          <w:p w14:paraId="637379A3"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600E52D5"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208C8F72"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4B67C8A1" w14:textId="77777777" w:rsidR="00D15122" w:rsidRPr="00D6167B" w:rsidRDefault="009B0756" w:rsidP="00D37692">
            <w:pPr>
              <w:pStyle w:val="Footer"/>
              <w:tabs>
                <w:tab w:val="clear" w:pos="4435"/>
                <w:tab w:val="clear" w:pos="8870"/>
              </w:tabs>
              <w:rPr>
                <w:sz w:val="20"/>
                <w:lang w:val="hr-HR"/>
              </w:rPr>
            </w:pPr>
            <w:r w:rsidRPr="00D6167B">
              <w:rPr>
                <w:sz w:val="20"/>
                <w:lang w:val="hr-HR"/>
              </w:rPr>
              <w:t>Gastrointestinalna ulceracija</w:t>
            </w:r>
            <w:r w:rsidRPr="00D6167B">
              <w:rPr>
                <w:sz w:val="20"/>
                <w:vertAlign w:val="superscript"/>
                <w:lang w:val="hr-HR"/>
              </w:rPr>
              <w:t>a</w:t>
            </w:r>
          </w:p>
        </w:tc>
      </w:tr>
      <w:tr w:rsidR="00D15122" w:rsidRPr="00D6167B" w14:paraId="39E2C1A3" w14:textId="77777777" w:rsidTr="00934346">
        <w:trPr>
          <w:cantSplit/>
        </w:trPr>
        <w:tc>
          <w:tcPr>
            <w:tcW w:w="1660" w:type="dxa"/>
            <w:tcBorders>
              <w:top w:val="single" w:sz="5" w:space="0" w:color="000000"/>
              <w:left w:val="single" w:sz="5" w:space="0" w:color="000000"/>
              <w:bottom w:val="single" w:sz="4" w:space="0" w:color="000000"/>
              <w:right w:val="single" w:sz="5" w:space="0" w:color="000000"/>
            </w:tcBorders>
          </w:tcPr>
          <w:p w14:paraId="7DDCB84C"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jetre i žuči</w:t>
            </w:r>
          </w:p>
        </w:tc>
        <w:tc>
          <w:tcPr>
            <w:tcW w:w="1495" w:type="dxa"/>
            <w:tcBorders>
              <w:top w:val="single" w:sz="5" w:space="0" w:color="000000"/>
              <w:left w:val="single" w:sz="5" w:space="0" w:color="000000"/>
              <w:bottom w:val="single" w:sz="4" w:space="0" w:color="000000"/>
              <w:right w:val="single" w:sz="5" w:space="0" w:color="000000"/>
            </w:tcBorders>
          </w:tcPr>
          <w:p w14:paraId="17974987" w14:textId="77777777" w:rsidR="00D15122" w:rsidRPr="00D6167B" w:rsidRDefault="00D15122" w:rsidP="00D37692">
            <w:pPr>
              <w:pStyle w:val="Footer"/>
              <w:tabs>
                <w:tab w:val="clear" w:pos="4435"/>
                <w:tab w:val="clear" w:pos="8870"/>
              </w:tabs>
              <w:rPr>
                <w:sz w:val="20"/>
                <w:lang w:val="hr-HR"/>
              </w:rPr>
            </w:pPr>
          </w:p>
        </w:tc>
        <w:tc>
          <w:tcPr>
            <w:tcW w:w="2058" w:type="dxa"/>
            <w:tcBorders>
              <w:top w:val="single" w:sz="5" w:space="0" w:color="000000"/>
              <w:left w:val="single" w:sz="5" w:space="0" w:color="000000"/>
              <w:bottom w:val="single" w:sz="4" w:space="0" w:color="000000"/>
              <w:right w:val="single" w:sz="5" w:space="0" w:color="000000"/>
            </w:tcBorders>
          </w:tcPr>
          <w:p w14:paraId="21EC74B8" w14:textId="77777777" w:rsidR="00D15122" w:rsidRPr="00D6167B" w:rsidRDefault="00D15122" w:rsidP="00D37692">
            <w:pPr>
              <w:pStyle w:val="Footer"/>
              <w:tabs>
                <w:tab w:val="clear" w:pos="4435"/>
                <w:tab w:val="clear" w:pos="8870"/>
              </w:tabs>
              <w:rPr>
                <w:sz w:val="20"/>
                <w:lang w:val="hr-HR"/>
              </w:rPr>
            </w:pPr>
          </w:p>
        </w:tc>
        <w:tc>
          <w:tcPr>
            <w:tcW w:w="877" w:type="dxa"/>
            <w:tcBorders>
              <w:top w:val="single" w:sz="5" w:space="0" w:color="000000"/>
              <w:left w:val="single" w:sz="5" w:space="0" w:color="000000"/>
              <w:bottom w:val="single" w:sz="4" w:space="0" w:color="000000"/>
              <w:right w:val="single" w:sz="5" w:space="0" w:color="000000"/>
            </w:tcBorders>
          </w:tcPr>
          <w:p w14:paraId="074684EC"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4" w:space="0" w:color="000000"/>
              <w:right w:val="single" w:sz="5" w:space="0" w:color="000000"/>
            </w:tcBorders>
          </w:tcPr>
          <w:p w14:paraId="37660F8D"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4" w:space="0" w:color="000000"/>
              <w:right w:val="single" w:sz="5" w:space="0" w:color="000000"/>
            </w:tcBorders>
          </w:tcPr>
          <w:p w14:paraId="616F6871"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4" w:space="0" w:color="000000"/>
              <w:right w:val="single" w:sz="5" w:space="0" w:color="000000"/>
            </w:tcBorders>
          </w:tcPr>
          <w:p w14:paraId="0A069730" w14:textId="77777777" w:rsidR="00D15122" w:rsidRPr="00D6167B" w:rsidRDefault="009B0756" w:rsidP="00D37692">
            <w:pPr>
              <w:pStyle w:val="Footer"/>
              <w:tabs>
                <w:tab w:val="clear" w:pos="4435"/>
                <w:tab w:val="clear" w:pos="8870"/>
              </w:tabs>
              <w:rPr>
                <w:sz w:val="20"/>
                <w:lang w:val="hr-HR"/>
              </w:rPr>
            </w:pPr>
            <w:r w:rsidRPr="00D6167B">
              <w:rPr>
                <w:sz w:val="20"/>
                <w:lang w:val="hr-HR"/>
              </w:rPr>
              <w:t>Perforacija žučne kese</w:t>
            </w:r>
            <w:r w:rsidRPr="00D6167B">
              <w:rPr>
                <w:sz w:val="20"/>
                <w:vertAlign w:val="superscript"/>
                <w:lang w:val="hr-HR"/>
              </w:rPr>
              <w:t>a,b</w:t>
            </w:r>
          </w:p>
        </w:tc>
      </w:tr>
      <w:tr w:rsidR="00D15122" w:rsidRPr="00D6167B" w14:paraId="66458BF0" w14:textId="77777777" w:rsidTr="00934346">
        <w:trPr>
          <w:cantSplit/>
        </w:trPr>
        <w:tc>
          <w:tcPr>
            <w:tcW w:w="1660" w:type="dxa"/>
            <w:tcBorders>
              <w:top w:val="single" w:sz="4" w:space="0" w:color="000000"/>
              <w:left w:val="single" w:sz="4" w:space="0" w:color="000000"/>
              <w:bottom w:val="single" w:sz="4" w:space="0" w:color="000000"/>
              <w:right w:val="single" w:sz="4" w:space="0" w:color="000000"/>
            </w:tcBorders>
          </w:tcPr>
          <w:p w14:paraId="4B2B62B4"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kože i potkožnog tkiva</w:t>
            </w:r>
          </w:p>
        </w:tc>
        <w:tc>
          <w:tcPr>
            <w:tcW w:w="1495" w:type="dxa"/>
            <w:tcBorders>
              <w:top w:val="single" w:sz="4" w:space="0" w:color="000000"/>
              <w:left w:val="single" w:sz="4" w:space="0" w:color="000000"/>
              <w:bottom w:val="single" w:sz="4" w:space="0" w:color="000000"/>
              <w:right w:val="single" w:sz="4" w:space="0" w:color="000000"/>
            </w:tcBorders>
          </w:tcPr>
          <w:p w14:paraId="5A768116" w14:textId="77777777" w:rsidR="00D15122" w:rsidRPr="00D6167B" w:rsidRDefault="009B0756" w:rsidP="00D37692">
            <w:pPr>
              <w:pStyle w:val="Footer"/>
              <w:tabs>
                <w:tab w:val="clear" w:pos="4435"/>
                <w:tab w:val="clear" w:pos="8870"/>
              </w:tabs>
              <w:rPr>
                <w:sz w:val="20"/>
                <w:lang w:val="hr-HR"/>
              </w:rPr>
            </w:pPr>
            <w:r w:rsidRPr="00D6167B">
              <w:rPr>
                <w:sz w:val="20"/>
                <w:lang w:val="hr-HR"/>
              </w:rPr>
              <w:t>Komplikacije pri zarastanju rana</w:t>
            </w:r>
            <w:r w:rsidRPr="00D6167B">
              <w:rPr>
                <w:sz w:val="20"/>
                <w:vertAlign w:val="superscript"/>
                <w:lang w:val="hr-HR"/>
              </w:rPr>
              <w:t>b,d</w:t>
            </w:r>
            <w:r w:rsidRPr="00D6167B">
              <w:rPr>
                <w:sz w:val="20"/>
                <w:lang w:val="hr-HR"/>
              </w:rPr>
              <w:t>, eksfolijativni dermatitis, suva koža, promjena boje kože</w:t>
            </w:r>
          </w:p>
        </w:tc>
        <w:tc>
          <w:tcPr>
            <w:tcW w:w="2058" w:type="dxa"/>
            <w:tcBorders>
              <w:top w:val="single" w:sz="4" w:space="0" w:color="000000"/>
              <w:left w:val="single" w:sz="4" w:space="0" w:color="000000"/>
              <w:bottom w:val="single" w:sz="4" w:space="0" w:color="000000"/>
              <w:right w:val="single" w:sz="4" w:space="0" w:color="000000"/>
            </w:tcBorders>
          </w:tcPr>
          <w:p w14:paraId="0F42FFD6" w14:textId="77777777" w:rsidR="00D15122" w:rsidRPr="00D6167B" w:rsidRDefault="009B0756" w:rsidP="00D37692">
            <w:pPr>
              <w:pStyle w:val="Footer"/>
              <w:tabs>
                <w:tab w:val="clear" w:pos="4435"/>
                <w:tab w:val="clear" w:pos="8870"/>
              </w:tabs>
              <w:rPr>
                <w:sz w:val="20"/>
                <w:lang w:val="hr-HR"/>
              </w:rPr>
            </w:pPr>
            <w:r w:rsidRPr="00D6167B">
              <w:rPr>
                <w:sz w:val="20"/>
                <w:lang w:val="hr-HR"/>
              </w:rPr>
              <w:t>Sindrom palmarno-plantarne eritrodizestezije</w:t>
            </w:r>
          </w:p>
        </w:tc>
        <w:tc>
          <w:tcPr>
            <w:tcW w:w="877" w:type="dxa"/>
            <w:tcBorders>
              <w:top w:val="single" w:sz="4" w:space="0" w:color="000000"/>
              <w:left w:val="single" w:sz="4" w:space="0" w:color="000000"/>
              <w:bottom w:val="single" w:sz="4" w:space="0" w:color="000000"/>
              <w:right w:val="single" w:sz="4" w:space="0" w:color="000000"/>
            </w:tcBorders>
          </w:tcPr>
          <w:p w14:paraId="185D7C3A"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4" w:space="0" w:color="000000"/>
              <w:left w:val="single" w:sz="4" w:space="0" w:color="000000"/>
              <w:bottom w:val="single" w:sz="4" w:space="0" w:color="000000"/>
              <w:right w:val="single" w:sz="4" w:space="0" w:color="000000"/>
            </w:tcBorders>
          </w:tcPr>
          <w:p w14:paraId="55737B7C"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4" w:space="0" w:color="000000"/>
              <w:left w:val="single" w:sz="4" w:space="0" w:color="000000"/>
              <w:bottom w:val="single" w:sz="4" w:space="0" w:color="000000"/>
              <w:right w:val="single" w:sz="4" w:space="0" w:color="000000"/>
            </w:tcBorders>
          </w:tcPr>
          <w:p w14:paraId="4A5529A6"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4" w:space="0" w:color="000000"/>
              <w:left w:val="single" w:sz="4" w:space="0" w:color="000000"/>
              <w:bottom w:val="single" w:sz="4" w:space="0" w:color="000000"/>
              <w:right w:val="single" w:sz="4" w:space="0" w:color="000000"/>
            </w:tcBorders>
          </w:tcPr>
          <w:p w14:paraId="402BAAD5" w14:textId="77777777" w:rsidR="00D15122" w:rsidRPr="00D6167B" w:rsidRDefault="00D15122" w:rsidP="00D37692">
            <w:pPr>
              <w:pStyle w:val="Footer"/>
              <w:tabs>
                <w:tab w:val="clear" w:pos="4435"/>
                <w:tab w:val="clear" w:pos="8870"/>
              </w:tabs>
              <w:rPr>
                <w:sz w:val="20"/>
                <w:lang w:val="hr-HR"/>
              </w:rPr>
            </w:pPr>
          </w:p>
        </w:tc>
      </w:tr>
      <w:tr w:rsidR="00D15122" w:rsidRPr="00D6167B" w14:paraId="6E263D2C" w14:textId="77777777" w:rsidTr="00934346">
        <w:trPr>
          <w:cantSplit/>
        </w:trPr>
        <w:tc>
          <w:tcPr>
            <w:tcW w:w="1660" w:type="dxa"/>
            <w:tcBorders>
              <w:top w:val="single" w:sz="4" w:space="0" w:color="000000"/>
              <w:left w:val="single" w:sz="4" w:space="0" w:color="000000"/>
              <w:bottom w:val="single" w:sz="4" w:space="0" w:color="000000"/>
              <w:right w:val="single" w:sz="4" w:space="0" w:color="000000"/>
            </w:tcBorders>
          </w:tcPr>
          <w:p w14:paraId="151658DF"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mišićno-skeletnog, vezivnog i koštanog tkiva</w:t>
            </w:r>
          </w:p>
        </w:tc>
        <w:tc>
          <w:tcPr>
            <w:tcW w:w="1495" w:type="dxa"/>
            <w:tcBorders>
              <w:top w:val="single" w:sz="4" w:space="0" w:color="000000"/>
              <w:left w:val="single" w:sz="4" w:space="0" w:color="000000"/>
              <w:bottom w:val="single" w:sz="4" w:space="0" w:color="000000"/>
              <w:right w:val="single" w:sz="4" w:space="0" w:color="000000"/>
            </w:tcBorders>
          </w:tcPr>
          <w:p w14:paraId="155C1EF5" w14:textId="77777777" w:rsidR="00D15122" w:rsidRPr="00D6167B" w:rsidRDefault="009B0756" w:rsidP="00D37692">
            <w:pPr>
              <w:pStyle w:val="Footer"/>
              <w:tabs>
                <w:tab w:val="clear" w:pos="4435"/>
                <w:tab w:val="clear" w:pos="8870"/>
              </w:tabs>
              <w:rPr>
                <w:sz w:val="20"/>
                <w:lang w:val="hr-HR"/>
              </w:rPr>
            </w:pPr>
            <w:r w:rsidRPr="00D6167B">
              <w:rPr>
                <w:sz w:val="20"/>
                <w:lang w:val="hr-HR"/>
              </w:rPr>
              <w:t>Artralgija, mijalgija</w:t>
            </w:r>
          </w:p>
        </w:tc>
        <w:tc>
          <w:tcPr>
            <w:tcW w:w="2058" w:type="dxa"/>
            <w:tcBorders>
              <w:top w:val="single" w:sz="4" w:space="0" w:color="000000"/>
              <w:left w:val="single" w:sz="4" w:space="0" w:color="000000"/>
              <w:bottom w:val="single" w:sz="4" w:space="0" w:color="000000"/>
              <w:right w:val="single" w:sz="4" w:space="0" w:color="000000"/>
            </w:tcBorders>
          </w:tcPr>
          <w:p w14:paraId="0A1C5C79" w14:textId="77777777" w:rsidR="00D15122" w:rsidRPr="00D6167B" w:rsidRDefault="009B0756" w:rsidP="00D37692">
            <w:pPr>
              <w:pStyle w:val="Footer"/>
              <w:tabs>
                <w:tab w:val="clear" w:pos="4435"/>
                <w:tab w:val="clear" w:pos="8870"/>
              </w:tabs>
              <w:rPr>
                <w:sz w:val="20"/>
                <w:lang w:val="hr-HR"/>
              </w:rPr>
            </w:pPr>
            <w:r w:rsidRPr="00D6167B">
              <w:rPr>
                <w:sz w:val="20"/>
                <w:lang w:val="hr-HR"/>
              </w:rPr>
              <w:t>Fistula</w:t>
            </w:r>
            <w:r w:rsidRPr="00D6167B">
              <w:rPr>
                <w:sz w:val="20"/>
                <w:vertAlign w:val="superscript"/>
                <w:lang w:val="hr-HR"/>
              </w:rPr>
              <w:t>b,d</w:t>
            </w:r>
            <w:r w:rsidRPr="00D6167B">
              <w:rPr>
                <w:sz w:val="20"/>
                <w:lang w:val="hr-HR"/>
              </w:rPr>
              <w:t>, mišićna slabost, bol u leđima</w:t>
            </w:r>
          </w:p>
        </w:tc>
        <w:tc>
          <w:tcPr>
            <w:tcW w:w="877" w:type="dxa"/>
            <w:tcBorders>
              <w:top w:val="single" w:sz="4" w:space="0" w:color="000000"/>
              <w:left w:val="single" w:sz="4" w:space="0" w:color="000000"/>
              <w:bottom w:val="single" w:sz="4" w:space="0" w:color="000000"/>
              <w:right w:val="single" w:sz="4" w:space="0" w:color="000000"/>
            </w:tcBorders>
          </w:tcPr>
          <w:p w14:paraId="7D143BA9"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4" w:space="0" w:color="000000"/>
              <w:left w:val="single" w:sz="4" w:space="0" w:color="000000"/>
              <w:bottom w:val="single" w:sz="4" w:space="0" w:color="000000"/>
              <w:right w:val="single" w:sz="4" w:space="0" w:color="000000"/>
            </w:tcBorders>
          </w:tcPr>
          <w:p w14:paraId="0C41BAF5"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4" w:space="0" w:color="000000"/>
              <w:left w:val="single" w:sz="4" w:space="0" w:color="000000"/>
              <w:bottom w:val="single" w:sz="4" w:space="0" w:color="000000"/>
              <w:right w:val="single" w:sz="4" w:space="0" w:color="000000"/>
            </w:tcBorders>
          </w:tcPr>
          <w:p w14:paraId="50AE0685"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4" w:space="0" w:color="000000"/>
              <w:left w:val="single" w:sz="4" w:space="0" w:color="000000"/>
              <w:bottom w:val="single" w:sz="4" w:space="0" w:color="000000"/>
              <w:right w:val="single" w:sz="4" w:space="0" w:color="000000"/>
            </w:tcBorders>
          </w:tcPr>
          <w:p w14:paraId="3F3CFB07" w14:textId="77777777" w:rsidR="00D15122" w:rsidRPr="00D6167B" w:rsidRDefault="009B0756" w:rsidP="00D37692">
            <w:pPr>
              <w:pStyle w:val="Footer"/>
              <w:tabs>
                <w:tab w:val="clear" w:pos="4435"/>
                <w:tab w:val="clear" w:pos="8870"/>
              </w:tabs>
              <w:rPr>
                <w:sz w:val="20"/>
                <w:lang w:val="hr-HR"/>
              </w:rPr>
            </w:pPr>
            <w:r w:rsidRPr="00D6167B">
              <w:rPr>
                <w:sz w:val="20"/>
                <w:lang w:val="hr-HR"/>
              </w:rPr>
              <w:t>Osteonekroza vilice</w:t>
            </w:r>
            <w:r w:rsidRPr="00D6167B">
              <w:rPr>
                <w:sz w:val="20"/>
                <w:vertAlign w:val="superscript"/>
                <w:lang w:val="hr-HR"/>
              </w:rPr>
              <w:t>a,b</w:t>
            </w:r>
            <w:r w:rsidRPr="00D6167B">
              <w:rPr>
                <w:sz w:val="20"/>
                <w:lang w:val="hr-HR"/>
              </w:rPr>
              <w:t>,</w:t>
            </w:r>
          </w:p>
          <w:p w14:paraId="217705CD" w14:textId="55DB3B00" w:rsidR="00D15122" w:rsidRPr="00D6167B" w:rsidRDefault="006E3D0C" w:rsidP="00D37692">
            <w:pPr>
              <w:pStyle w:val="Footer"/>
              <w:tabs>
                <w:tab w:val="clear" w:pos="4435"/>
                <w:tab w:val="clear" w:pos="8870"/>
              </w:tabs>
              <w:rPr>
                <w:sz w:val="20"/>
                <w:lang w:val="hr-HR"/>
              </w:rPr>
            </w:pPr>
            <w:r>
              <w:rPr>
                <w:sz w:val="20"/>
                <w:lang w:val="hr-HR"/>
              </w:rPr>
              <w:t>n</w:t>
            </w:r>
            <w:r w:rsidR="009B0756" w:rsidRPr="00D6167B">
              <w:rPr>
                <w:sz w:val="20"/>
                <w:lang w:val="hr-HR"/>
              </w:rPr>
              <w:t>emandibularna osteonekroza</w:t>
            </w:r>
            <w:r w:rsidR="009B0756" w:rsidRPr="00D6167B">
              <w:rPr>
                <w:sz w:val="20"/>
                <w:vertAlign w:val="superscript"/>
                <w:lang w:val="hr-HR"/>
              </w:rPr>
              <w:t>a,f</w:t>
            </w:r>
          </w:p>
        </w:tc>
      </w:tr>
      <w:tr w:rsidR="00D15122" w:rsidRPr="00D6167B" w14:paraId="592A92CC" w14:textId="77777777" w:rsidTr="00934346">
        <w:trPr>
          <w:cantSplit/>
        </w:trPr>
        <w:tc>
          <w:tcPr>
            <w:tcW w:w="1660" w:type="dxa"/>
            <w:tcBorders>
              <w:top w:val="single" w:sz="4" w:space="0" w:color="000000"/>
              <w:left w:val="single" w:sz="5" w:space="0" w:color="000000"/>
              <w:bottom w:val="single" w:sz="5" w:space="0" w:color="000000"/>
              <w:right w:val="single" w:sz="5" w:space="0" w:color="000000"/>
            </w:tcBorders>
          </w:tcPr>
          <w:p w14:paraId="4C05A790"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bubrega i urinarnog sistema</w:t>
            </w:r>
          </w:p>
        </w:tc>
        <w:tc>
          <w:tcPr>
            <w:tcW w:w="1495" w:type="dxa"/>
            <w:tcBorders>
              <w:top w:val="single" w:sz="4" w:space="0" w:color="000000"/>
              <w:left w:val="single" w:sz="5" w:space="0" w:color="000000"/>
              <w:bottom w:val="single" w:sz="5" w:space="0" w:color="000000"/>
              <w:right w:val="single" w:sz="5" w:space="0" w:color="000000"/>
            </w:tcBorders>
          </w:tcPr>
          <w:p w14:paraId="0FFA0C6B" w14:textId="77777777" w:rsidR="00D15122" w:rsidRPr="00D6167B" w:rsidRDefault="009B0756" w:rsidP="00D37692">
            <w:pPr>
              <w:pStyle w:val="Footer"/>
              <w:tabs>
                <w:tab w:val="clear" w:pos="4435"/>
                <w:tab w:val="clear" w:pos="8870"/>
              </w:tabs>
              <w:rPr>
                <w:sz w:val="20"/>
                <w:lang w:val="hr-HR"/>
              </w:rPr>
            </w:pPr>
            <w:r w:rsidRPr="00D6167B">
              <w:rPr>
                <w:sz w:val="20"/>
                <w:lang w:val="hr-HR"/>
              </w:rPr>
              <w:t>Proteinurija</w:t>
            </w:r>
            <w:r w:rsidRPr="00D6167B">
              <w:rPr>
                <w:sz w:val="20"/>
                <w:vertAlign w:val="superscript"/>
                <w:lang w:val="hr-HR"/>
              </w:rPr>
              <w:t>b,d</w:t>
            </w:r>
          </w:p>
        </w:tc>
        <w:tc>
          <w:tcPr>
            <w:tcW w:w="2058" w:type="dxa"/>
            <w:tcBorders>
              <w:top w:val="single" w:sz="4" w:space="0" w:color="000000"/>
              <w:left w:val="single" w:sz="5" w:space="0" w:color="000000"/>
              <w:bottom w:val="single" w:sz="5" w:space="0" w:color="000000"/>
              <w:right w:val="single" w:sz="5" w:space="0" w:color="000000"/>
            </w:tcBorders>
          </w:tcPr>
          <w:p w14:paraId="06BB14D4" w14:textId="77777777" w:rsidR="00D15122" w:rsidRPr="00D6167B" w:rsidRDefault="00D15122" w:rsidP="00D37692">
            <w:pPr>
              <w:pStyle w:val="Footer"/>
              <w:tabs>
                <w:tab w:val="clear" w:pos="4435"/>
                <w:tab w:val="clear" w:pos="8870"/>
              </w:tabs>
              <w:rPr>
                <w:sz w:val="20"/>
                <w:lang w:val="hr-HR"/>
              </w:rPr>
            </w:pPr>
          </w:p>
        </w:tc>
        <w:tc>
          <w:tcPr>
            <w:tcW w:w="877" w:type="dxa"/>
            <w:tcBorders>
              <w:top w:val="single" w:sz="4" w:space="0" w:color="000000"/>
              <w:left w:val="single" w:sz="5" w:space="0" w:color="000000"/>
              <w:bottom w:val="single" w:sz="5" w:space="0" w:color="000000"/>
              <w:right w:val="single" w:sz="5" w:space="0" w:color="000000"/>
            </w:tcBorders>
          </w:tcPr>
          <w:p w14:paraId="521AC615"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4" w:space="0" w:color="000000"/>
              <w:left w:val="single" w:sz="5" w:space="0" w:color="000000"/>
              <w:bottom w:val="single" w:sz="5" w:space="0" w:color="000000"/>
              <w:right w:val="single" w:sz="5" w:space="0" w:color="000000"/>
            </w:tcBorders>
          </w:tcPr>
          <w:p w14:paraId="682DEEE4"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4" w:space="0" w:color="000000"/>
              <w:left w:val="single" w:sz="5" w:space="0" w:color="000000"/>
              <w:bottom w:val="single" w:sz="5" w:space="0" w:color="000000"/>
              <w:right w:val="single" w:sz="5" w:space="0" w:color="000000"/>
            </w:tcBorders>
          </w:tcPr>
          <w:p w14:paraId="453283CF"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4" w:space="0" w:color="000000"/>
              <w:left w:val="single" w:sz="5" w:space="0" w:color="000000"/>
              <w:bottom w:val="single" w:sz="5" w:space="0" w:color="000000"/>
              <w:right w:val="single" w:sz="5" w:space="0" w:color="000000"/>
            </w:tcBorders>
          </w:tcPr>
          <w:p w14:paraId="3DF77404" w14:textId="77777777" w:rsidR="00D15122" w:rsidRPr="00D6167B" w:rsidRDefault="00D15122" w:rsidP="00D37692">
            <w:pPr>
              <w:pStyle w:val="Footer"/>
              <w:tabs>
                <w:tab w:val="clear" w:pos="4435"/>
                <w:tab w:val="clear" w:pos="8870"/>
              </w:tabs>
              <w:rPr>
                <w:sz w:val="20"/>
                <w:lang w:val="hr-HR"/>
              </w:rPr>
            </w:pPr>
          </w:p>
        </w:tc>
      </w:tr>
      <w:tr w:rsidR="00D15122" w:rsidRPr="00D6167B" w14:paraId="45B3DB3C"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514E71AD" w14:textId="77777777" w:rsidR="00D15122" w:rsidRPr="00D6167B" w:rsidRDefault="009B0756" w:rsidP="00D37692">
            <w:pPr>
              <w:pStyle w:val="Footer"/>
              <w:tabs>
                <w:tab w:val="clear" w:pos="4435"/>
                <w:tab w:val="clear" w:pos="8870"/>
              </w:tabs>
              <w:rPr>
                <w:sz w:val="20"/>
                <w:lang w:val="hr-HR"/>
              </w:rPr>
            </w:pPr>
            <w:r w:rsidRPr="00D6167B">
              <w:rPr>
                <w:sz w:val="20"/>
                <w:lang w:val="hr-HR"/>
              </w:rPr>
              <w:t>Poremećaji reproduktivnog sistema i dojki</w:t>
            </w:r>
          </w:p>
        </w:tc>
        <w:tc>
          <w:tcPr>
            <w:tcW w:w="1495" w:type="dxa"/>
            <w:tcBorders>
              <w:top w:val="single" w:sz="5" w:space="0" w:color="000000"/>
              <w:left w:val="single" w:sz="5" w:space="0" w:color="000000"/>
              <w:bottom w:val="single" w:sz="5" w:space="0" w:color="000000"/>
              <w:right w:val="single" w:sz="5" w:space="0" w:color="000000"/>
            </w:tcBorders>
          </w:tcPr>
          <w:p w14:paraId="496BE452" w14:textId="77777777" w:rsidR="00C97AED" w:rsidRPr="00D6167B" w:rsidRDefault="009B0756" w:rsidP="00D37692">
            <w:pPr>
              <w:pStyle w:val="Footer"/>
              <w:tabs>
                <w:tab w:val="clear" w:pos="4435"/>
                <w:tab w:val="clear" w:pos="8870"/>
              </w:tabs>
              <w:rPr>
                <w:sz w:val="20"/>
                <w:lang w:val="hr-HR"/>
              </w:rPr>
            </w:pPr>
            <w:r w:rsidRPr="00D6167B">
              <w:rPr>
                <w:sz w:val="20"/>
                <w:lang w:val="hr-HR"/>
              </w:rPr>
              <w:t xml:space="preserve">Poremećaj u </w:t>
            </w:r>
          </w:p>
          <w:p w14:paraId="4B22FBE6" w14:textId="77777777" w:rsidR="00D15122" w:rsidRPr="00D6167B" w:rsidRDefault="009B0756" w:rsidP="00D37692">
            <w:pPr>
              <w:pStyle w:val="Footer"/>
              <w:tabs>
                <w:tab w:val="clear" w:pos="4435"/>
                <w:tab w:val="clear" w:pos="8870"/>
              </w:tabs>
              <w:rPr>
                <w:sz w:val="20"/>
                <w:lang w:val="hr-HR"/>
              </w:rPr>
            </w:pPr>
            <w:r w:rsidRPr="00D6167B">
              <w:rPr>
                <w:sz w:val="20"/>
                <w:lang w:val="hr-HR"/>
              </w:rPr>
              <w:t>radu jajnika</w:t>
            </w:r>
            <w:r w:rsidRPr="00D6167B">
              <w:rPr>
                <w:sz w:val="20"/>
                <w:vertAlign w:val="superscript"/>
                <w:lang w:val="hr-HR"/>
              </w:rPr>
              <w:t>b,c,d</w:t>
            </w:r>
          </w:p>
        </w:tc>
        <w:tc>
          <w:tcPr>
            <w:tcW w:w="2058" w:type="dxa"/>
            <w:tcBorders>
              <w:top w:val="single" w:sz="5" w:space="0" w:color="000000"/>
              <w:left w:val="single" w:sz="5" w:space="0" w:color="000000"/>
              <w:bottom w:val="single" w:sz="5" w:space="0" w:color="000000"/>
              <w:right w:val="single" w:sz="5" w:space="0" w:color="000000"/>
            </w:tcBorders>
          </w:tcPr>
          <w:p w14:paraId="182685CB" w14:textId="77777777" w:rsidR="00D15122" w:rsidRPr="00D6167B" w:rsidRDefault="009B0756" w:rsidP="00D37692">
            <w:pPr>
              <w:pStyle w:val="Footer"/>
              <w:tabs>
                <w:tab w:val="clear" w:pos="4435"/>
                <w:tab w:val="clear" w:pos="8870"/>
              </w:tabs>
              <w:rPr>
                <w:sz w:val="20"/>
                <w:lang w:val="hr-HR"/>
              </w:rPr>
            </w:pPr>
            <w:r w:rsidRPr="00D6167B">
              <w:rPr>
                <w:sz w:val="20"/>
                <w:lang w:val="hr-HR"/>
              </w:rPr>
              <w:t>Bol u karlici</w:t>
            </w:r>
          </w:p>
        </w:tc>
        <w:tc>
          <w:tcPr>
            <w:tcW w:w="877" w:type="dxa"/>
            <w:tcBorders>
              <w:top w:val="single" w:sz="5" w:space="0" w:color="000000"/>
              <w:left w:val="single" w:sz="5" w:space="0" w:color="000000"/>
              <w:bottom w:val="single" w:sz="5" w:space="0" w:color="000000"/>
              <w:right w:val="single" w:sz="5" w:space="0" w:color="000000"/>
            </w:tcBorders>
          </w:tcPr>
          <w:p w14:paraId="18E76B0E"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0102B54E"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5FF2342C"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69C856B9" w14:textId="77777777" w:rsidR="00D15122" w:rsidRPr="00D6167B" w:rsidRDefault="00D15122" w:rsidP="00D37692">
            <w:pPr>
              <w:pStyle w:val="Footer"/>
              <w:tabs>
                <w:tab w:val="clear" w:pos="4435"/>
                <w:tab w:val="clear" w:pos="8870"/>
              </w:tabs>
              <w:rPr>
                <w:sz w:val="20"/>
                <w:lang w:val="hr-HR"/>
              </w:rPr>
            </w:pPr>
          </w:p>
        </w:tc>
      </w:tr>
      <w:tr w:rsidR="00D15122" w:rsidRPr="00D6167B" w14:paraId="0F09717B"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1FEE7972" w14:textId="77777777" w:rsidR="00D15122" w:rsidRPr="00D6167B" w:rsidRDefault="009B0756" w:rsidP="00D37692">
            <w:pPr>
              <w:pStyle w:val="Footer"/>
              <w:tabs>
                <w:tab w:val="clear" w:pos="4435"/>
                <w:tab w:val="clear" w:pos="8870"/>
              </w:tabs>
              <w:rPr>
                <w:sz w:val="20"/>
                <w:lang w:val="hr-HR"/>
              </w:rPr>
            </w:pPr>
            <w:r w:rsidRPr="00D6167B">
              <w:rPr>
                <w:sz w:val="20"/>
                <w:lang w:val="hr-HR"/>
              </w:rPr>
              <w:t>Urođeni, porodični i genetski poremećaj</w:t>
            </w:r>
          </w:p>
        </w:tc>
        <w:tc>
          <w:tcPr>
            <w:tcW w:w="1495" w:type="dxa"/>
            <w:tcBorders>
              <w:top w:val="single" w:sz="5" w:space="0" w:color="000000"/>
              <w:left w:val="single" w:sz="5" w:space="0" w:color="000000"/>
              <w:bottom w:val="single" w:sz="5" w:space="0" w:color="000000"/>
              <w:right w:val="single" w:sz="5" w:space="0" w:color="000000"/>
            </w:tcBorders>
          </w:tcPr>
          <w:p w14:paraId="1AB5CC6E" w14:textId="77777777" w:rsidR="00D15122" w:rsidRPr="00D6167B" w:rsidRDefault="00D15122" w:rsidP="00D37692">
            <w:pPr>
              <w:pStyle w:val="Footer"/>
              <w:tabs>
                <w:tab w:val="clear" w:pos="4435"/>
                <w:tab w:val="clear" w:pos="8870"/>
              </w:tabs>
              <w:rPr>
                <w:sz w:val="20"/>
                <w:lang w:val="hr-HR"/>
              </w:rPr>
            </w:pPr>
          </w:p>
        </w:tc>
        <w:tc>
          <w:tcPr>
            <w:tcW w:w="2058" w:type="dxa"/>
            <w:tcBorders>
              <w:top w:val="single" w:sz="5" w:space="0" w:color="000000"/>
              <w:left w:val="single" w:sz="5" w:space="0" w:color="000000"/>
              <w:bottom w:val="single" w:sz="5" w:space="0" w:color="000000"/>
              <w:right w:val="single" w:sz="5" w:space="0" w:color="000000"/>
            </w:tcBorders>
          </w:tcPr>
          <w:p w14:paraId="4B704C69" w14:textId="77777777" w:rsidR="00D15122" w:rsidRPr="00D6167B" w:rsidRDefault="00D15122" w:rsidP="00D37692">
            <w:pPr>
              <w:pStyle w:val="Footer"/>
              <w:tabs>
                <w:tab w:val="clear" w:pos="4435"/>
                <w:tab w:val="clear" w:pos="8870"/>
              </w:tabs>
              <w:rPr>
                <w:sz w:val="20"/>
                <w:lang w:val="hr-HR"/>
              </w:rPr>
            </w:pPr>
          </w:p>
        </w:tc>
        <w:tc>
          <w:tcPr>
            <w:tcW w:w="877" w:type="dxa"/>
            <w:tcBorders>
              <w:top w:val="single" w:sz="5" w:space="0" w:color="000000"/>
              <w:left w:val="single" w:sz="5" w:space="0" w:color="000000"/>
              <w:bottom w:val="single" w:sz="5" w:space="0" w:color="000000"/>
              <w:right w:val="single" w:sz="5" w:space="0" w:color="000000"/>
            </w:tcBorders>
          </w:tcPr>
          <w:p w14:paraId="2E3037AE"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0AD4D865"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227E476D"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6186E4EE" w14:textId="77777777" w:rsidR="00D15122" w:rsidRPr="00D6167B" w:rsidRDefault="009B0756" w:rsidP="00D37692">
            <w:pPr>
              <w:pStyle w:val="Footer"/>
              <w:tabs>
                <w:tab w:val="clear" w:pos="4435"/>
                <w:tab w:val="clear" w:pos="8870"/>
              </w:tabs>
              <w:rPr>
                <w:sz w:val="20"/>
                <w:lang w:val="hr-HR"/>
              </w:rPr>
            </w:pPr>
            <w:r w:rsidRPr="00D6167B">
              <w:rPr>
                <w:sz w:val="20"/>
                <w:lang w:val="hr-HR"/>
              </w:rPr>
              <w:t>Abnormalnosti fetusa</w:t>
            </w:r>
            <w:r w:rsidRPr="00D6167B">
              <w:rPr>
                <w:sz w:val="20"/>
                <w:vertAlign w:val="superscript"/>
                <w:lang w:val="hr-HR"/>
              </w:rPr>
              <w:t>a,b</w:t>
            </w:r>
          </w:p>
        </w:tc>
      </w:tr>
      <w:tr w:rsidR="00D15122" w:rsidRPr="00D6167B" w14:paraId="0D8523D5"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78532830" w14:textId="77777777" w:rsidR="00D15122" w:rsidRPr="00D6167B" w:rsidRDefault="009B0756" w:rsidP="00D37692">
            <w:pPr>
              <w:pStyle w:val="Footer"/>
              <w:tabs>
                <w:tab w:val="clear" w:pos="4435"/>
                <w:tab w:val="clear" w:pos="8870"/>
              </w:tabs>
              <w:rPr>
                <w:sz w:val="20"/>
                <w:lang w:val="hr-HR"/>
              </w:rPr>
            </w:pPr>
            <w:r w:rsidRPr="00D6167B">
              <w:rPr>
                <w:sz w:val="20"/>
                <w:lang w:val="hr-HR"/>
              </w:rPr>
              <w:t>Opšti poremećaji i reakcije na mjestu primjene</w:t>
            </w:r>
          </w:p>
        </w:tc>
        <w:tc>
          <w:tcPr>
            <w:tcW w:w="1495" w:type="dxa"/>
            <w:tcBorders>
              <w:top w:val="single" w:sz="5" w:space="0" w:color="000000"/>
              <w:left w:val="single" w:sz="5" w:space="0" w:color="000000"/>
              <w:bottom w:val="single" w:sz="5" w:space="0" w:color="000000"/>
              <w:right w:val="single" w:sz="5" w:space="0" w:color="000000"/>
            </w:tcBorders>
          </w:tcPr>
          <w:p w14:paraId="2939B598" w14:textId="77777777" w:rsidR="00D15122" w:rsidRPr="00D6167B" w:rsidRDefault="009B0756" w:rsidP="00D37692">
            <w:pPr>
              <w:pStyle w:val="Footer"/>
              <w:tabs>
                <w:tab w:val="clear" w:pos="4435"/>
                <w:tab w:val="clear" w:pos="8870"/>
              </w:tabs>
              <w:rPr>
                <w:sz w:val="20"/>
                <w:lang w:val="hr-HR"/>
              </w:rPr>
            </w:pPr>
            <w:r w:rsidRPr="00D6167B">
              <w:rPr>
                <w:sz w:val="20"/>
                <w:lang w:val="hr-HR"/>
              </w:rPr>
              <w:t>Astenija, umor, pireksija, bol, upala sluzokože</w:t>
            </w:r>
          </w:p>
        </w:tc>
        <w:tc>
          <w:tcPr>
            <w:tcW w:w="2058" w:type="dxa"/>
            <w:tcBorders>
              <w:top w:val="single" w:sz="5" w:space="0" w:color="000000"/>
              <w:left w:val="single" w:sz="5" w:space="0" w:color="000000"/>
              <w:bottom w:val="single" w:sz="5" w:space="0" w:color="000000"/>
              <w:right w:val="single" w:sz="5" w:space="0" w:color="000000"/>
            </w:tcBorders>
          </w:tcPr>
          <w:p w14:paraId="25F8614F" w14:textId="77777777" w:rsidR="00D15122" w:rsidRPr="00D6167B" w:rsidRDefault="009B0756" w:rsidP="00D37692">
            <w:pPr>
              <w:pStyle w:val="Footer"/>
              <w:tabs>
                <w:tab w:val="clear" w:pos="4435"/>
                <w:tab w:val="clear" w:pos="8870"/>
              </w:tabs>
              <w:rPr>
                <w:sz w:val="20"/>
                <w:lang w:val="hr-HR"/>
              </w:rPr>
            </w:pPr>
            <w:r w:rsidRPr="00D6167B">
              <w:rPr>
                <w:sz w:val="20"/>
                <w:lang w:val="hr-HR"/>
              </w:rPr>
              <w:t>Letargija</w:t>
            </w:r>
          </w:p>
        </w:tc>
        <w:tc>
          <w:tcPr>
            <w:tcW w:w="877" w:type="dxa"/>
            <w:tcBorders>
              <w:top w:val="single" w:sz="5" w:space="0" w:color="000000"/>
              <w:left w:val="single" w:sz="5" w:space="0" w:color="000000"/>
              <w:bottom w:val="single" w:sz="5" w:space="0" w:color="000000"/>
              <w:right w:val="single" w:sz="5" w:space="0" w:color="000000"/>
            </w:tcBorders>
          </w:tcPr>
          <w:p w14:paraId="44B9EC6A"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2BAF7ABF" w14:textId="77777777" w:rsidR="00D15122" w:rsidRPr="00D6167B" w:rsidRDefault="00D15122" w:rsidP="00D37692">
            <w:pPr>
              <w:pStyle w:val="Footer"/>
              <w:tabs>
                <w:tab w:val="clear" w:pos="4435"/>
                <w:tab w:val="clear" w:pos="8870"/>
              </w:tabs>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0604BBDF"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7EA7FC40" w14:textId="77777777" w:rsidR="00D15122" w:rsidRPr="00D6167B" w:rsidRDefault="00D15122" w:rsidP="007608DF">
            <w:pPr>
              <w:pStyle w:val="Footer"/>
              <w:tabs>
                <w:tab w:val="clear" w:pos="4435"/>
                <w:tab w:val="clear" w:pos="8870"/>
              </w:tabs>
              <w:jc w:val="both"/>
              <w:rPr>
                <w:sz w:val="20"/>
                <w:lang w:val="hr-HR"/>
              </w:rPr>
            </w:pPr>
          </w:p>
        </w:tc>
      </w:tr>
      <w:tr w:rsidR="00D15122" w:rsidRPr="00D6167B" w14:paraId="1DD46D72" w14:textId="77777777" w:rsidTr="00934346">
        <w:trPr>
          <w:cantSplit/>
        </w:trPr>
        <w:tc>
          <w:tcPr>
            <w:tcW w:w="1660" w:type="dxa"/>
            <w:tcBorders>
              <w:top w:val="single" w:sz="5" w:space="0" w:color="000000"/>
              <w:left w:val="single" w:sz="5" w:space="0" w:color="000000"/>
              <w:bottom w:val="single" w:sz="5" w:space="0" w:color="000000"/>
              <w:right w:val="single" w:sz="5" w:space="0" w:color="000000"/>
            </w:tcBorders>
          </w:tcPr>
          <w:p w14:paraId="47BC4A2A" w14:textId="77777777" w:rsidR="00D15122" w:rsidRPr="00D6167B" w:rsidRDefault="009B0756" w:rsidP="007608DF">
            <w:pPr>
              <w:pStyle w:val="TableParagraph"/>
              <w:widowControl/>
              <w:ind w:right="-2"/>
              <w:jc w:val="both"/>
              <w:rPr>
                <w:rFonts w:ascii="Times New Roman" w:hAnsi="Times New Roman"/>
                <w:sz w:val="20"/>
                <w:szCs w:val="20"/>
                <w:lang w:val="hr-HR"/>
              </w:rPr>
            </w:pPr>
            <w:r w:rsidRPr="00D6167B">
              <w:rPr>
                <w:rFonts w:ascii="Times New Roman" w:hAnsi="Times New Roman"/>
                <w:sz w:val="20"/>
                <w:lang w:val="hr-HR"/>
              </w:rPr>
              <w:t>Ispitivanja</w:t>
            </w:r>
          </w:p>
        </w:tc>
        <w:tc>
          <w:tcPr>
            <w:tcW w:w="1495" w:type="dxa"/>
            <w:tcBorders>
              <w:top w:val="single" w:sz="5" w:space="0" w:color="000000"/>
              <w:left w:val="single" w:sz="5" w:space="0" w:color="000000"/>
              <w:bottom w:val="single" w:sz="5" w:space="0" w:color="000000"/>
              <w:right w:val="single" w:sz="5" w:space="0" w:color="000000"/>
            </w:tcBorders>
          </w:tcPr>
          <w:p w14:paraId="1D761868" w14:textId="77777777" w:rsidR="00D15122" w:rsidRPr="00D6167B" w:rsidRDefault="009B0756" w:rsidP="00D37692">
            <w:pPr>
              <w:pStyle w:val="TableParagraph"/>
              <w:widowControl/>
              <w:ind w:firstLine="6"/>
              <w:rPr>
                <w:rFonts w:ascii="Times New Roman" w:hAnsi="Times New Roman"/>
                <w:sz w:val="20"/>
                <w:szCs w:val="20"/>
                <w:lang w:val="hr-HR"/>
              </w:rPr>
            </w:pPr>
            <w:r w:rsidRPr="00D6167B">
              <w:rPr>
                <w:rFonts w:ascii="Times New Roman" w:hAnsi="Times New Roman"/>
                <w:sz w:val="20"/>
                <w:lang w:val="hr-HR"/>
              </w:rPr>
              <w:t>Smanjena težina</w:t>
            </w:r>
          </w:p>
        </w:tc>
        <w:tc>
          <w:tcPr>
            <w:tcW w:w="2058" w:type="dxa"/>
            <w:tcBorders>
              <w:top w:val="single" w:sz="5" w:space="0" w:color="000000"/>
              <w:left w:val="single" w:sz="5" w:space="0" w:color="000000"/>
              <w:bottom w:val="single" w:sz="5" w:space="0" w:color="000000"/>
              <w:right w:val="single" w:sz="5" w:space="0" w:color="000000"/>
            </w:tcBorders>
          </w:tcPr>
          <w:p w14:paraId="56931DE1" w14:textId="77777777" w:rsidR="00D15122" w:rsidRPr="00D6167B" w:rsidRDefault="00D15122" w:rsidP="007608DF">
            <w:pPr>
              <w:pStyle w:val="TableParagraph"/>
              <w:widowControl/>
              <w:ind w:right="188" w:hanging="108"/>
              <w:jc w:val="both"/>
              <w:rPr>
                <w:rFonts w:ascii="Times New Roman" w:hAnsi="Times New Roman"/>
                <w:sz w:val="20"/>
                <w:szCs w:val="20"/>
                <w:lang w:val="hr-HR"/>
              </w:rPr>
            </w:pPr>
          </w:p>
        </w:tc>
        <w:tc>
          <w:tcPr>
            <w:tcW w:w="877" w:type="dxa"/>
            <w:tcBorders>
              <w:top w:val="single" w:sz="5" w:space="0" w:color="000000"/>
              <w:left w:val="single" w:sz="5" w:space="0" w:color="000000"/>
              <w:bottom w:val="single" w:sz="5" w:space="0" w:color="000000"/>
              <w:right w:val="single" w:sz="5" w:space="0" w:color="000000"/>
            </w:tcBorders>
          </w:tcPr>
          <w:p w14:paraId="64EE213E" w14:textId="77777777" w:rsidR="00D15122" w:rsidRPr="00D6167B" w:rsidRDefault="00D15122" w:rsidP="007608DF">
            <w:pPr>
              <w:pStyle w:val="Footer"/>
              <w:tabs>
                <w:tab w:val="clear" w:pos="4435"/>
                <w:tab w:val="clear" w:pos="8870"/>
              </w:tabs>
              <w:jc w:val="both"/>
              <w:rPr>
                <w:sz w:val="20"/>
                <w:lang w:val="hr-HR"/>
              </w:rPr>
            </w:pPr>
          </w:p>
        </w:tc>
        <w:tc>
          <w:tcPr>
            <w:tcW w:w="1334" w:type="dxa"/>
            <w:tcBorders>
              <w:top w:val="single" w:sz="5" w:space="0" w:color="000000"/>
              <w:left w:val="single" w:sz="5" w:space="0" w:color="000000"/>
              <w:bottom w:val="single" w:sz="5" w:space="0" w:color="000000"/>
              <w:right w:val="single" w:sz="5" w:space="0" w:color="000000"/>
            </w:tcBorders>
          </w:tcPr>
          <w:p w14:paraId="1E7E45EE" w14:textId="77777777" w:rsidR="00D15122" w:rsidRPr="00D6167B" w:rsidRDefault="00D15122" w:rsidP="007608DF">
            <w:pPr>
              <w:pStyle w:val="Footer"/>
              <w:tabs>
                <w:tab w:val="clear" w:pos="4435"/>
                <w:tab w:val="clear" w:pos="8870"/>
              </w:tabs>
              <w:jc w:val="both"/>
              <w:rPr>
                <w:sz w:val="20"/>
                <w:lang w:val="hr-HR"/>
              </w:rPr>
            </w:pPr>
          </w:p>
        </w:tc>
        <w:tc>
          <w:tcPr>
            <w:tcW w:w="832" w:type="dxa"/>
            <w:tcBorders>
              <w:top w:val="single" w:sz="5" w:space="0" w:color="000000"/>
              <w:left w:val="single" w:sz="5" w:space="0" w:color="000000"/>
              <w:bottom w:val="single" w:sz="5" w:space="0" w:color="000000"/>
              <w:right w:val="single" w:sz="5" w:space="0" w:color="000000"/>
            </w:tcBorders>
          </w:tcPr>
          <w:p w14:paraId="6D4D7F58" w14:textId="77777777" w:rsidR="00D15122" w:rsidRPr="00D6167B" w:rsidRDefault="00D15122" w:rsidP="007608DF">
            <w:pPr>
              <w:pStyle w:val="Footer"/>
              <w:tabs>
                <w:tab w:val="clear" w:pos="4435"/>
                <w:tab w:val="clear" w:pos="8870"/>
              </w:tabs>
              <w:jc w:val="both"/>
              <w:rPr>
                <w:sz w:val="20"/>
                <w:lang w:val="hr-HR"/>
              </w:rPr>
            </w:pPr>
          </w:p>
        </w:tc>
        <w:tc>
          <w:tcPr>
            <w:tcW w:w="820" w:type="dxa"/>
            <w:tcBorders>
              <w:top w:val="single" w:sz="5" w:space="0" w:color="000000"/>
              <w:left w:val="single" w:sz="5" w:space="0" w:color="000000"/>
              <w:bottom w:val="single" w:sz="5" w:space="0" w:color="000000"/>
              <w:right w:val="single" w:sz="5" w:space="0" w:color="000000"/>
            </w:tcBorders>
          </w:tcPr>
          <w:p w14:paraId="511B4289" w14:textId="77777777" w:rsidR="00D15122" w:rsidRPr="00D6167B" w:rsidRDefault="00D15122" w:rsidP="007608DF">
            <w:pPr>
              <w:pStyle w:val="Footer"/>
              <w:tabs>
                <w:tab w:val="clear" w:pos="4435"/>
                <w:tab w:val="clear" w:pos="8870"/>
              </w:tabs>
              <w:jc w:val="both"/>
              <w:rPr>
                <w:sz w:val="20"/>
                <w:lang w:val="hr-HR"/>
              </w:rPr>
            </w:pPr>
          </w:p>
        </w:tc>
      </w:tr>
    </w:tbl>
    <w:p w14:paraId="79776290" w14:textId="77777777" w:rsidR="00D15122" w:rsidRPr="00D6167B" w:rsidRDefault="00D15122" w:rsidP="007608DF">
      <w:pPr>
        <w:widowControl/>
        <w:jc w:val="both"/>
        <w:rPr>
          <w:rFonts w:ascii="Times New Roman" w:eastAsia="Times New Roman" w:hAnsi="Times New Roman"/>
          <w:bCs/>
          <w:lang w:val="hr-HR"/>
        </w:rPr>
      </w:pPr>
    </w:p>
    <w:p w14:paraId="740D1855" w14:textId="567341DF" w:rsidR="00D15122" w:rsidRPr="00D6167B" w:rsidRDefault="006475B1" w:rsidP="007608DF">
      <w:pPr>
        <w:widowControl/>
        <w:jc w:val="both"/>
        <w:rPr>
          <w:rFonts w:ascii="Times New Roman" w:eastAsia="Times New Roman" w:hAnsi="Times New Roman"/>
          <w:lang w:val="hr-HR"/>
        </w:rPr>
      </w:pPr>
      <w:r w:rsidRPr="00D6167B">
        <w:rPr>
          <w:rFonts w:ascii="Times New Roman" w:hAnsi="Times New Roman"/>
          <w:sz w:val="20"/>
        </w:rPr>
        <w:t>Za događaje koji su zabilježeni kao neželjene reakcije na lijek u kliničkim ispitivanjima svih gradusa težine i gradusa težine 3- 5, prijavljena je najveća učestalost primijećena kod pacijenata. Podaci ni</w:t>
      </w:r>
      <w:r w:rsidR="006E3D0C">
        <w:rPr>
          <w:rFonts w:ascii="Times New Roman" w:hAnsi="Times New Roman"/>
          <w:sz w:val="20"/>
        </w:rPr>
        <w:t>je</w:t>
      </w:r>
      <w:r w:rsidRPr="00D6167B">
        <w:rPr>
          <w:rFonts w:ascii="Times New Roman" w:hAnsi="Times New Roman"/>
          <w:sz w:val="20"/>
        </w:rPr>
        <w:t xml:space="preserve">su usklađeni s obzirom na različito trajanje terapije. </w:t>
      </w:r>
    </w:p>
    <w:p w14:paraId="356B75FB"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 xml:space="preserve">Dodatne informacije potražite u tabeli 3 „Neželjene reakcije prijavljene nakon stavljanja </w:t>
      </w:r>
      <w:r w:rsidR="001B5BB7" w:rsidRPr="00D6167B">
        <w:rPr>
          <w:rFonts w:ascii="Times New Roman" w:hAnsi="Times New Roman"/>
          <w:sz w:val="20"/>
          <w:lang w:val="hr-HR"/>
        </w:rPr>
        <w:t xml:space="preserve">lijeka </w:t>
      </w:r>
      <w:r w:rsidRPr="00D6167B">
        <w:rPr>
          <w:rFonts w:ascii="Times New Roman" w:hAnsi="Times New Roman"/>
          <w:sz w:val="20"/>
          <w:lang w:val="hr-HR"/>
        </w:rPr>
        <w:t>u promet“.</w:t>
      </w:r>
    </w:p>
    <w:p w14:paraId="7699F6D2"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 xml:space="preserve">b </w:t>
      </w:r>
      <w:r w:rsidRPr="00D6167B">
        <w:rPr>
          <w:rFonts w:ascii="Times New Roman" w:hAnsi="Times New Roman"/>
          <w:vertAlign w:val="superscript"/>
          <w:lang w:val="hr-HR"/>
        </w:rPr>
        <w:tab/>
      </w:r>
      <w:r w:rsidRPr="00D6167B">
        <w:rPr>
          <w:rFonts w:ascii="Times New Roman" w:hAnsi="Times New Roman"/>
          <w:sz w:val="20"/>
          <w:lang w:val="hr-HR"/>
        </w:rPr>
        <w:t xml:space="preserve">Termini predstavljaju grupu događaja koji opisuju neki medicinski koncept, a ne samo jedno stanje ili termin koji propisuje MedDRA (Medical Dictionary for Regulatory Activities – </w:t>
      </w:r>
      <w:r w:rsidR="00070FA5" w:rsidRPr="00D6167B">
        <w:rPr>
          <w:rFonts w:ascii="Times New Roman" w:hAnsi="Times New Roman"/>
          <w:sz w:val="20"/>
          <w:lang w:val="hr-HR"/>
        </w:rPr>
        <w:t>M</w:t>
      </w:r>
      <w:r w:rsidRPr="00D6167B">
        <w:rPr>
          <w:rFonts w:ascii="Times New Roman" w:hAnsi="Times New Roman"/>
          <w:sz w:val="20"/>
          <w:lang w:val="hr-HR"/>
        </w:rPr>
        <w:t>edicinski rječnik za regulatorne aktivnosti). Ova grupa medicinskih termina može da obuhvata istu osnovnu patofiziologiju (npr. arterijske tromboembolijske reakcije obuhvataju cerebrovaskularne akcidente, cerebrovaskularne akcidente, tranzitorne ishemijske atake i druge arterijske tromboembolijske reakcije).</w:t>
      </w:r>
    </w:p>
    <w:p w14:paraId="0B9ED1ED"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c</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Na osnovu podstudije u okviru NSABP C-08 sa 295 pacijenata</w:t>
      </w:r>
    </w:p>
    <w:p w14:paraId="66E8197B"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d</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 xml:space="preserve">Dodatne informacije potražite u nastavku, u </w:t>
      </w:r>
      <w:r w:rsidR="00070FA5" w:rsidRPr="00D6167B">
        <w:rPr>
          <w:rFonts w:ascii="Times New Roman" w:hAnsi="Times New Roman"/>
          <w:sz w:val="20"/>
          <w:lang w:val="hr-HR"/>
        </w:rPr>
        <w:t xml:space="preserve">dijelu </w:t>
      </w:r>
      <w:r w:rsidRPr="00D6167B">
        <w:rPr>
          <w:rFonts w:ascii="Times New Roman" w:hAnsi="Times New Roman"/>
          <w:sz w:val="20"/>
          <w:lang w:val="hr-HR"/>
        </w:rPr>
        <w:t>„Dodatne informacije o odabranim ozbiljnim neželjenim reakcijama“.</w:t>
      </w:r>
    </w:p>
    <w:p w14:paraId="71268036"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e</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Rektovaginalne fistule su najčešće fistule u kategoriji GI-vaginalnih fistula.</w:t>
      </w:r>
    </w:p>
    <w:p w14:paraId="6D119379"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f</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Prim</w:t>
      </w:r>
      <w:r w:rsidR="001054C9" w:rsidRPr="00D6167B">
        <w:rPr>
          <w:rFonts w:ascii="Times New Roman" w:hAnsi="Times New Roman"/>
          <w:sz w:val="20"/>
          <w:lang w:val="hr-HR"/>
        </w:rPr>
        <w:t>i</w:t>
      </w:r>
      <w:r w:rsidRPr="00D6167B">
        <w:rPr>
          <w:rFonts w:ascii="Times New Roman" w:hAnsi="Times New Roman"/>
          <w:sz w:val="20"/>
          <w:lang w:val="hr-HR"/>
        </w:rPr>
        <w:t>jećeno je samo u pedijatrijskoj populaciji.</w:t>
      </w:r>
    </w:p>
    <w:p w14:paraId="56536C89" w14:textId="77777777" w:rsidR="0069180D" w:rsidRPr="00D6167B" w:rsidRDefault="0069180D" w:rsidP="007608DF">
      <w:pPr>
        <w:widowControl/>
        <w:jc w:val="both"/>
        <w:rPr>
          <w:rFonts w:ascii="Times New Roman" w:hAnsi="Times New Roman"/>
          <w:lang w:val="hr-HR"/>
        </w:rPr>
      </w:pPr>
    </w:p>
    <w:p w14:paraId="5977AD0B" w14:textId="77777777" w:rsidR="00D15122" w:rsidRPr="00D6167B" w:rsidRDefault="002E590F" w:rsidP="007608DF">
      <w:pPr>
        <w:pStyle w:val="Heading1"/>
        <w:keepNext/>
        <w:widowControl/>
        <w:ind w:left="0"/>
        <w:jc w:val="both"/>
        <w:rPr>
          <w:bCs w:val="0"/>
          <w:lang w:val="hr-HR"/>
        </w:rPr>
      </w:pPr>
      <w:r w:rsidRPr="00D6167B">
        <w:rPr>
          <w:lang w:val="hr-HR"/>
        </w:rPr>
        <w:t>Tabela 2</w:t>
      </w:r>
      <w:r w:rsidRPr="00D6167B">
        <w:rPr>
          <w:lang w:val="hr-HR"/>
        </w:rPr>
        <w:tab/>
      </w:r>
      <w:r w:rsidRPr="00D6167B">
        <w:rPr>
          <w:lang w:val="hr-HR"/>
        </w:rPr>
        <w:tab/>
        <w:t>Ozbiljne neželjene reakcije prema učestalosti</w:t>
      </w:r>
    </w:p>
    <w:p w14:paraId="5F3660B3"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Layout w:type="fixed"/>
        <w:tblCellMar>
          <w:left w:w="115" w:type="dxa"/>
          <w:right w:w="115" w:type="dxa"/>
        </w:tblCellMar>
        <w:tblLook w:val="01E0" w:firstRow="1" w:lastRow="1" w:firstColumn="1" w:lastColumn="1" w:noHBand="0" w:noVBand="0"/>
      </w:tblPr>
      <w:tblGrid>
        <w:gridCol w:w="1297"/>
        <w:gridCol w:w="1297"/>
        <w:gridCol w:w="1511"/>
        <w:gridCol w:w="1082"/>
        <w:gridCol w:w="1328"/>
        <w:gridCol w:w="1055"/>
        <w:gridCol w:w="1506"/>
      </w:tblGrid>
      <w:tr w:rsidR="00D15122" w:rsidRPr="00D6167B" w14:paraId="74AD73C8" w14:textId="77777777" w:rsidTr="00934346">
        <w:trPr>
          <w:cantSplit/>
          <w:tblHeader/>
        </w:trPr>
        <w:tc>
          <w:tcPr>
            <w:tcW w:w="1297" w:type="dxa"/>
            <w:tcBorders>
              <w:top w:val="single" w:sz="5" w:space="0" w:color="000000"/>
              <w:left w:val="single" w:sz="5" w:space="0" w:color="000000"/>
              <w:bottom w:val="single" w:sz="5" w:space="0" w:color="000000"/>
              <w:right w:val="single" w:sz="5" w:space="0" w:color="000000"/>
            </w:tcBorders>
          </w:tcPr>
          <w:p w14:paraId="4428ADD6" w14:textId="77777777" w:rsidR="00D15122" w:rsidRPr="00D6167B" w:rsidRDefault="009B0756" w:rsidP="00D37692">
            <w:pPr>
              <w:pStyle w:val="TableParagraph"/>
              <w:keepNext/>
              <w:widowControl/>
              <w:ind w:firstLine="14"/>
              <w:jc w:val="center"/>
              <w:rPr>
                <w:rFonts w:ascii="Times New Roman" w:eastAsia="Times New Roman" w:hAnsi="Times New Roman"/>
                <w:sz w:val="20"/>
                <w:szCs w:val="20"/>
                <w:lang w:val="hr-HR"/>
              </w:rPr>
            </w:pPr>
            <w:r w:rsidRPr="00D6167B">
              <w:rPr>
                <w:rFonts w:ascii="Times New Roman" w:hAnsi="Times New Roman"/>
                <w:sz w:val="20"/>
                <w:lang w:val="hr-HR"/>
              </w:rPr>
              <w:t>Klasifikacija organskih sistema</w:t>
            </w:r>
          </w:p>
        </w:tc>
        <w:tc>
          <w:tcPr>
            <w:tcW w:w="1297" w:type="dxa"/>
            <w:tcBorders>
              <w:top w:val="single" w:sz="5" w:space="0" w:color="000000"/>
              <w:left w:val="single" w:sz="5" w:space="0" w:color="000000"/>
              <w:bottom w:val="single" w:sz="5" w:space="0" w:color="000000"/>
              <w:right w:val="single" w:sz="5" w:space="0" w:color="000000"/>
            </w:tcBorders>
          </w:tcPr>
          <w:p w14:paraId="67A1B96A" w14:textId="77777777" w:rsidR="00D15122" w:rsidRPr="00D6167B" w:rsidRDefault="009B0756" w:rsidP="00D37692">
            <w:pPr>
              <w:pStyle w:val="TableParagraph"/>
              <w:widowControl/>
              <w:spacing w:line="222" w:lineRule="exact"/>
              <w:jc w:val="center"/>
              <w:rPr>
                <w:rFonts w:ascii="Times New Roman" w:eastAsia="Times New Roman" w:hAnsi="Times New Roman"/>
                <w:sz w:val="20"/>
                <w:szCs w:val="20"/>
                <w:lang w:val="hr-HR"/>
              </w:rPr>
            </w:pPr>
            <w:r w:rsidRPr="00D6167B">
              <w:rPr>
                <w:rFonts w:ascii="Times New Roman" w:hAnsi="Times New Roman"/>
                <w:sz w:val="20"/>
                <w:lang w:val="hr-HR"/>
              </w:rPr>
              <w:t>Veoma često</w:t>
            </w:r>
          </w:p>
        </w:tc>
        <w:tc>
          <w:tcPr>
            <w:tcW w:w="1511" w:type="dxa"/>
            <w:tcBorders>
              <w:top w:val="single" w:sz="5" w:space="0" w:color="000000"/>
              <w:left w:val="single" w:sz="5" w:space="0" w:color="000000"/>
              <w:bottom w:val="single" w:sz="5" w:space="0" w:color="000000"/>
              <w:right w:val="single" w:sz="5" w:space="0" w:color="000000"/>
            </w:tcBorders>
          </w:tcPr>
          <w:p w14:paraId="42530D12" w14:textId="77777777" w:rsidR="00D15122" w:rsidRPr="00D6167B" w:rsidRDefault="009B0756" w:rsidP="00D37692">
            <w:pPr>
              <w:pStyle w:val="TableParagraph"/>
              <w:widowControl/>
              <w:spacing w:line="222" w:lineRule="exact"/>
              <w:jc w:val="center"/>
              <w:rPr>
                <w:rFonts w:ascii="Times New Roman" w:eastAsia="Times New Roman" w:hAnsi="Times New Roman"/>
                <w:sz w:val="20"/>
                <w:szCs w:val="20"/>
                <w:lang w:val="hr-HR"/>
              </w:rPr>
            </w:pPr>
            <w:r w:rsidRPr="00D6167B">
              <w:rPr>
                <w:rFonts w:ascii="Times New Roman" w:hAnsi="Times New Roman"/>
                <w:sz w:val="20"/>
                <w:lang w:val="hr-HR"/>
              </w:rPr>
              <w:t>Često</w:t>
            </w:r>
          </w:p>
        </w:tc>
        <w:tc>
          <w:tcPr>
            <w:tcW w:w="1082" w:type="dxa"/>
            <w:tcBorders>
              <w:top w:val="single" w:sz="5" w:space="0" w:color="000000"/>
              <w:left w:val="single" w:sz="5" w:space="0" w:color="000000"/>
              <w:bottom w:val="single" w:sz="5" w:space="0" w:color="000000"/>
              <w:right w:val="single" w:sz="5" w:space="0" w:color="000000"/>
            </w:tcBorders>
          </w:tcPr>
          <w:p w14:paraId="07294528" w14:textId="77777777" w:rsidR="00D15122" w:rsidRPr="00D6167B" w:rsidRDefault="009B0756" w:rsidP="00D37692">
            <w:pPr>
              <w:pStyle w:val="TableParagraph"/>
              <w:widowControl/>
              <w:spacing w:line="222" w:lineRule="exact"/>
              <w:jc w:val="center"/>
              <w:rPr>
                <w:rFonts w:ascii="Times New Roman" w:eastAsia="Times New Roman" w:hAnsi="Times New Roman"/>
                <w:sz w:val="20"/>
                <w:szCs w:val="20"/>
                <w:lang w:val="hr-HR"/>
              </w:rPr>
            </w:pPr>
            <w:r w:rsidRPr="00D6167B">
              <w:rPr>
                <w:rFonts w:ascii="Times New Roman" w:hAnsi="Times New Roman"/>
                <w:sz w:val="20"/>
                <w:lang w:val="hr-HR"/>
              </w:rPr>
              <w:t>Povremeno</w:t>
            </w:r>
          </w:p>
        </w:tc>
        <w:tc>
          <w:tcPr>
            <w:tcW w:w="1328" w:type="dxa"/>
            <w:tcBorders>
              <w:top w:val="single" w:sz="5" w:space="0" w:color="000000"/>
              <w:left w:val="single" w:sz="5" w:space="0" w:color="000000"/>
              <w:bottom w:val="single" w:sz="5" w:space="0" w:color="000000"/>
              <w:right w:val="single" w:sz="5" w:space="0" w:color="000000"/>
            </w:tcBorders>
          </w:tcPr>
          <w:p w14:paraId="554ECC4C" w14:textId="77777777" w:rsidR="00D15122" w:rsidRPr="00D6167B" w:rsidRDefault="009B0756" w:rsidP="00D37692">
            <w:pPr>
              <w:pStyle w:val="TableParagraph"/>
              <w:widowControl/>
              <w:spacing w:line="222" w:lineRule="exact"/>
              <w:jc w:val="center"/>
              <w:rPr>
                <w:rFonts w:ascii="Times New Roman" w:eastAsia="Times New Roman" w:hAnsi="Times New Roman"/>
                <w:sz w:val="20"/>
                <w:szCs w:val="20"/>
                <w:lang w:val="hr-HR"/>
              </w:rPr>
            </w:pPr>
            <w:r w:rsidRPr="00D6167B">
              <w:rPr>
                <w:rFonts w:ascii="Times New Roman" w:hAnsi="Times New Roman"/>
                <w:sz w:val="20"/>
                <w:lang w:val="hr-HR"/>
              </w:rPr>
              <w:t>Rijetko</w:t>
            </w:r>
          </w:p>
        </w:tc>
        <w:tc>
          <w:tcPr>
            <w:tcW w:w="1055" w:type="dxa"/>
            <w:tcBorders>
              <w:top w:val="single" w:sz="5" w:space="0" w:color="000000"/>
              <w:left w:val="single" w:sz="5" w:space="0" w:color="000000"/>
              <w:bottom w:val="single" w:sz="5" w:space="0" w:color="000000"/>
              <w:right w:val="single" w:sz="5" w:space="0" w:color="000000"/>
            </w:tcBorders>
          </w:tcPr>
          <w:p w14:paraId="4B00655D" w14:textId="77777777" w:rsidR="00D15122" w:rsidRPr="00D6167B" w:rsidRDefault="009B0756" w:rsidP="00D37692">
            <w:pPr>
              <w:pStyle w:val="TableParagraph"/>
              <w:widowControl/>
              <w:ind w:hanging="10"/>
              <w:jc w:val="center"/>
              <w:rPr>
                <w:rFonts w:ascii="Times New Roman" w:eastAsia="Times New Roman" w:hAnsi="Times New Roman"/>
                <w:sz w:val="20"/>
                <w:szCs w:val="20"/>
                <w:lang w:val="hr-HR"/>
              </w:rPr>
            </w:pPr>
            <w:r w:rsidRPr="00D6167B">
              <w:rPr>
                <w:rFonts w:ascii="Times New Roman" w:hAnsi="Times New Roman"/>
                <w:sz w:val="20"/>
                <w:lang w:val="hr-HR"/>
              </w:rPr>
              <w:t>Veoma rijetko</w:t>
            </w:r>
          </w:p>
        </w:tc>
        <w:tc>
          <w:tcPr>
            <w:tcW w:w="1506" w:type="dxa"/>
            <w:tcBorders>
              <w:top w:val="single" w:sz="5" w:space="0" w:color="000000"/>
              <w:left w:val="single" w:sz="5" w:space="0" w:color="000000"/>
              <w:bottom w:val="single" w:sz="5" w:space="0" w:color="000000"/>
              <w:right w:val="single" w:sz="5" w:space="0" w:color="000000"/>
            </w:tcBorders>
          </w:tcPr>
          <w:p w14:paraId="693D6DE2" w14:textId="1EB2DDCF" w:rsidR="00D15122" w:rsidRPr="00D6167B" w:rsidRDefault="00691C2C" w:rsidP="00D37692">
            <w:pPr>
              <w:pStyle w:val="TableParagraph"/>
              <w:widowControl/>
              <w:ind w:right="260"/>
              <w:jc w:val="center"/>
              <w:rPr>
                <w:rFonts w:ascii="Times New Roman" w:eastAsia="Times New Roman" w:hAnsi="Times New Roman"/>
                <w:sz w:val="20"/>
                <w:szCs w:val="20"/>
                <w:lang w:val="hr-HR"/>
              </w:rPr>
            </w:pPr>
            <w:r>
              <w:rPr>
                <w:rFonts w:ascii="Times New Roman" w:hAnsi="Times New Roman"/>
                <w:sz w:val="20"/>
                <w:lang w:val="hr-HR"/>
              </w:rPr>
              <w:t>Nepoznata učestalost</w:t>
            </w:r>
          </w:p>
        </w:tc>
      </w:tr>
      <w:tr w:rsidR="00D15122" w:rsidRPr="00D6167B" w14:paraId="19F12C23"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3D3FA316"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Infekcije i infestacije</w:t>
            </w:r>
          </w:p>
        </w:tc>
        <w:tc>
          <w:tcPr>
            <w:tcW w:w="1297" w:type="dxa"/>
            <w:tcBorders>
              <w:top w:val="single" w:sz="5" w:space="0" w:color="000000"/>
              <w:left w:val="single" w:sz="5" w:space="0" w:color="000000"/>
              <w:bottom w:val="single" w:sz="5" w:space="0" w:color="000000"/>
              <w:right w:val="single" w:sz="5" w:space="0" w:color="000000"/>
            </w:tcBorders>
          </w:tcPr>
          <w:p w14:paraId="4D605E54" w14:textId="77777777" w:rsidR="00D15122" w:rsidRPr="00D6167B" w:rsidRDefault="00D15122" w:rsidP="007608DF">
            <w:pPr>
              <w:pStyle w:val="TableParagraph"/>
              <w:widowControl/>
              <w:spacing w:line="234" w:lineRule="auto"/>
              <w:jc w:val="both"/>
              <w:rPr>
                <w:rFonts w:ascii="Times New Roman" w:hAnsi="Times New Roman"/>
                <w:sz w:val="20"/>
                <w:szCs w:val="20"/>
                <w:lang w:val="hr-HR"/>
              </w:rPr>
            </w:pPr>
          </w:p>
        </w:tc>
        <w:tc>
          <w:tcPr>
            <w:tcW w:w="1511" w:type="dxa"/>
            <w:tcBorders>
              <w:top w:val="single" w:sz="5" w:space="0" w:color="000000"/>
              <w:left w:val="single" w:sz="5" w:space="0" w:color="000000"/>
              <w:bottom w:val="single" w:sz="5" w:space="0" w:color="000000"/>
              <w:right w:val="single" w:sz="5" w:space="0" w:color="000000"/>
            </w:tcBorders>
          </w:tcPr>
          <w:p w14:paraId="050FA678" w14:textId="77777777" w:rsidR="00D15122" w:rsidRPr="00D6167B" w:rsidRDefault="009B0756" w:rsidP="007608DF">
            <w:pPr>
              <w:pStyle w:val="TableParagraph"/>
              <w:widowControl/>
              <w:spacing w:line="234" w:lineRule="auto"/>
              <w:ind w:right="9"/>
              <w:jc w:val="both"/>
              <w:rPr>
                <w:rFonts w:ascii="Times New Roman" w:hAnsi="Times New Roman"/>
                <w:sz w:val="20"/>
                <w:szCs w:val="20"/>
                <w:lang w:val="hr-HR"/>
              </w:rPr>
            </w:pPr>
            <w:r w:rsidRPr="00D6167B">
              <w:rPr>
                <w:rFonts w:ascii="Times New Roman" w:hAnsi="Times New Roman"/>
                <w:sz w:val="20"/>
                <w:lang w:val="hr-HR"/>
              </w:rPr>
              <w:t>Sepsa, celulitis, apsces</w:t>
            </w:r>
            <w:r w:rsidRPr="00D6167B">
              <w:rPr>
                <w:rFonts w:ascii="Times New Roman" w:hAnsi="Times New Roman"/>
                <w:sz w:val="20"/>
                <w:vertAlign w:val="superscript"/>
                <w:lang w:val="hr-HR"/>
              </w:rPr>
              <w:t>a,b</w:t>
            </w:r>
            <w:r w:rsidRPr="00D6167B">
              <w:rPr>
                <w:rFonts w:ascii="Times New Roman" w:hAnsi="Times New Roman"/>
                <w:sz w:val="20"/>
                <w:lang w:val="hr-HR"/>
              </w:rPr>
              <w:t xml:space="preserve">, infekcija, infekcija urinarnog trakta </w:t>
            </w:r>
          </w:p>
        </w:tc>
        <w:tc>
          <w:tcPr>
            <w:tcW w:w="1082" w:type="dxa"/>
            <w:tcBorders>
              <w:top w:val="single" w:sz="5" w:space="0" w:color="000000"/>
              <w:left w:val="single" w:sz="5" w:space="0" w:color="000000"/>
              <w:bottom w:val="single" w:sz="5" w:space="0" w:color="000000"/>
              <w:right w:val="single" w:sz="5" w:space="0" w:color="000000"/>
            </w:tcBorders>
          </w:tcPr>
          <w:p w14:paraId="4471F6ED" w14:textId="77777777" w:rsidR="00D15122" w:rsidRPr="00D6167B" w:rsidRDefault="00D15122" w:rsidP="007608DF">
            <w:pPr>
              <w:pStyle w:val="TableParagraph"/>
              <w:widowControl/>
              <w:spacing w:line="234" w:lineRule="auto"/>
              <w:ind w:right="3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631AB7D0" w14:textId="77777777" w:rsidR="00D15122" w:rsidRPr="00D6167B" w:rsidRDefault="00D15122" w:rsidP="007608DF">
            <w:pPr>
              <w:pStyle w:val="TableParagraph"/>
              <w:widowControl/>
              <w:spacing w:line="234" w:lineRule="auto"/>
              <w:ind w:right="20"/>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130A9EFA" w14:textId="77777777" w:rsidR="00D15122" w:rsidRPr="00D6167B" w:rsidRDefault="00D15122" w:rsidP="007608DF">
            <w:pPr>
              <w:pStyle w:val="TableParagraph"/>
              <w:widowControl/>
              <w:spacing w:line="234" w:lineRule="auto"/>
              <w:ind w:right="6"/>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19818C54" w14:textId="77777777" w:rsidR="00D15122" w:rsidRPr="00D6167B" w:rsidRDefault="009B0756" w:rsidP="00D37692">
            <w:pPr>
              <w:pStyle w:val="TableParagraph"/>
              <w:widowControl/>
              <w:spacing w:line="234" w:lineRule="auto"/>
              <w:ind w:right="26"/>
              <w:rPr>
                <w:rFonts w:ascii="Times New Roman" w:hAnsi="Times New Roman"/>
                <w:sz w:val="20"/>
                <w:szCs w:val="20"/>
                <w:lang w:val="hr-HR"/>
              </w:rPr>
            </w:pPr>
            <w:r w:rsidRPr="00D6167B">
              <w:rPr>
                <w:rFonts w:ascii="Times New Roman" w:hAnsi="Times New Roman"/>
                <w:sz w:val="20"/>
                <w:lang w:val="hr-HR"/>
              </w:rPr>
              <w:t>Nekrotizirajući fasciitis</w:t>
            </w:r>
            <w:r w:rsidRPr="00D6167B">
              <w:rPr>
                <w:rFonts w:ascii="Times New Roman" w:hAnsi="Times New Roman"/>
                <w:sz w:val="20"/>
                <w:vertAlign w:val="superscript"/>
                <w:lang w:val="hr-HR"/>
              </w:rPr>
              <w:t>c</w:t>
            </w:r>
          </w:p>
        </w:tc>
      </w:tr>
      <w:tr w:rsidR="00D15122" w:rsidRPr="00D6167B" w14:paraId="7F440CE2"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54370857" w14:textId="77777777" w:rsidR="00D15122" w:rsidRPr="00D6167B" w:rsidRDefault="009B0756" w:rsidP="00D37692">
            <w:pPr>
              <w:pStyle w:val="TableParagraph"/>
              <w:keepNext/>
              <w:keepLines/>
              <w:widowControl/>
              <w:spacing w:line="235" w:lineRule="auto"/>
              <w:rPr>
                <w:rFonts w:ascii="Times New Roman" w:hAnsi="Times New Roman"/>
                <w:sz w:val="20"/>
                <w:szCs w:val="20"/>
                <w:lang w:val="hr-HR"/>
              </w:rPr>
            </w:pPr>
            <w:r w:rsidRPr="00D6167B">
              <w:rPr>
                <w:rFonts w:ascii="Times New Roman" w:hAnsi="Times New Roman"/>
                <w:sz w:val="20"/>
                <w:lang w:val="hr-HR"/>
              </w:rPr>
              <w:t>Poremećaji krvi i limfnog sistema</w:t>
            </w:r>
          </w:p>
        </w:tc>
        <w:tc>
          <w:tcPr>
            <w:tcW w:w="1297" w:type="dxa"/>
            <w:tcBorders>
              <w:top w:val="single" w:sz="5" w:space="0" w:color="000000"/>
              <w:left w:val="single" w:sz="5" w:space="0" w:color="000000"/>
              <w:bottom w:val="single" w:sz="5" w:space="0" w:color="000000"/>
              <w:right w:val="single" w:sz="5" w:space="0" w:color="000000"/>
            </w:tcBorders>
          </w:tcPr>
          <w:p w14:paraId="5E47D256" w14:textId="77777777" w:rsidR="00D15122" w:rsidRPr="00D6167B" w:rsidRDefault="009B0756" w:rsidP="00D37692">
            <w:pPr>
              <w:pStyle w:val="TableParagraph"/>
              <w:keepNext/>
              <w:keepLines/>
              <w:widowControl/>
              <w:spacing w:line="235" w:lineRule="auto"/>
              <w:ind w:right="14"/>
              <w:rPr>
                <w:rFonts w:ascii="Times New Roman" w:hAnsi="Times New Roman"/>
                <w:sz w:val="20"/>
                <w:szCs w:val="20"/>
                <w:lang w:val="hr-HR"/>
              </w:rPr>
            </w:pPr>
            <w:r w:rsidRPr="00D6167B">
              <w:rPr>
                <w:rFonts w:ascii="Times New Roman" w:hAnsi="Times New Roman"/>
                <w:sz w:val="20"/>
                <w:lang w:val="hr-HR"/>
              </w:rPr>
              <w:t>Febrilna neutropenija, leukopenija, neutropenija</w:t>
            </w:r>
            <w:r w:rsidRPr="00D6167B">
              <w:rPr>
                <w:rFonts w:ascii="Times New Roman" w:hAnsi="Times New Roman"/>
                <w:sz w:val="20"/>
                <w:vertAlign w:val="superscript"/>
                <w:lang w:val="hr-HR"/>
              </w:rPr>
              <w:t>a</w:t>
            </w:r>
            <w:r w:rsidRPr="00D6167B">
              <w:rPr>
                <w:rFonts w:ascii="Times New Roman" w:hAnsi="Times New Roman"/>
                <w:sz w:val="20"/>
                <w:lang w:val="hr-HR"/>
              </w:rPr>
              <w:t>, trombocitopenija</w:t>
            </w:r>
          </w:p>
        </w:tc>
        <w:tc>
          <w:tcPr>
            <w:tcW w:w="1511" w:type="dxa"/>
            <w:tcBorders>
              <w:top w:val="single" w:sz="5" w:space="0" w:color="000000"/>
              <w:left w:val="single" w:sz="5" w:space="0" w:color="000000"/>
              <w:bottom w:val="single" w:sz="5" w:space="0" w:color="000000"/>
              <w:right w:val="single" w:sz="5" w:space="0" w:color="000000"/>
            </w:tcBorders>
          </w:tcPr>
          <w:p w14:paraId="045D1A31" w14:textId="77777777" w:rsidR="00D15122" w:rsidRPr="00D6167B" w:rsidRDefault="009B0756" w:rsidP="007608DF">
            <w:pPr>
              <w:pStyle w:val="TableParagraph"/>
              <w:keepNext/>
              <w:keepLines/>
              <w:widowControl/>
              <w:spacing w:line="235" w:lineRule="auto"/>
              <w:ind w:right="48"/>
              <w:jc w:val="both"/>
              <w:rPr>
                <w:rFonts w:ascii="Times New Roman" w:hAnsi="Times New Roman"/>
                <w:sz w:val="20"/>
                <w:szCs w:val="20"/>
                <w:lang w:val="hr-HR"/>
              </w:rPr>
            </w:pPr>
            <w:r w:rsidRPr="00D6167B">
              <w:rPr>
                <w:rFonts w:ascii="Times New Roman" w:hAnsi="Times New Roman"/>
                <w:sz w:val="20"/>
                <w:lang w:val="hr-HR"/>
              </w:rPr>
              <w:t>Anemija, limfopenija</w:t>
            </w:r>
          </w:p>
        </w:tc>
        <w:tc>
          <w:tcPr>
            <w:tcW w:w="1082" w:type="dxa"/>
            <w:tcBorders>
              <w:top w:val="single" w:sz="5" w:space="0" w:color="000000"/>
              <w:left w:val="single" w:sz="5" w:space="0" w:color="000000"/>
              <w:bottom w:val="single" w:sz="5" w:space="0" w:color="000000"/>
              <w:right w:val="single" w:sz="5" w:space="0" w:color="000000"/>
            </w:tcBorders>
          </w:tcPr>
          <w:p w14:paraId="02C28154" w14:textId="77777777" w:rsidR="00D15122" w:rsidRPr="00D6167B" w:rsidRDefault="00D15122" w:rsidP="007608DF">
            <w:pPr>
              <w:pStyle w:val="TableParagraph"/>
              <w:keepNext/>
              <w:keepLines/>
              <w:widowControl/>
              <w:spacing w:line="235" w:lineRule="auto"/>
              <w:ind w:right="378"/>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7AE8177A" w14:textId="77777777" w:rsidR="00D15122" w:rsidRPr="00D6167B" w:rsidRDefault="00D15122" w:rsidP="007608DF">
            <w:pPr>
              <w:pStyle w:val="TableParagraph"/>
              <w:keepNext/>
              <w:keepLines/>
              <w:widowControl/>
              <w:spacing w:line="235" w:lineRule="auto"/>
              <w:ind w:right="378"/>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34D9AAB8" w14:textId="77777777" w:rsidR="00D15122" w:rsidRPr="00D6167B" w:rsidRDefault="00D15122" w:rsidP="007608DF">
            <w:pPr>
              <w:pStyle w:val="TableParagraph"/>
              <w:keepNext/>
              <w:keepLines/>
              <w:widowControl/>
              <w:spacing w:line="235" w:lineRule="auto"/>
              <w:ind w:right="6"/>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1D7727F1" w14:textId="77777777" w:rsidR="00D15122" w:rsidRPr="00D6167B" w:rsidRDefault="00D15122" w:rsidP="00D37692">
            <w:pPr>
              <w:pStyle w:val="TableParagraph"/>
              <w:keepNext/>
              <w:keepLines/>
              <w:widowControl/>
              <w:spacing w:line="235" w:lineRule="auto"/>
              <w:ind w:right="378"/>
              <w:rPr>
                <w:rFonts w:ascii="Times New Roman" w:hAnsi="Times New Roman"/>
                <w:sz w:val="20"/>
                <w:szCs w:val="20"/>
                <w:lang w:val="hr-HR"/>
              </w:rPr>
            </w:pPr>
          </w:p>
        </w:tc>
      </w:tr>
      <w:tr w:rsidR="00D15122" w:rsidRPr="00D6167B" w14:paraId="79022865"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70AF2D1D"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Poremećaji imunog sistema</w:t>
            </w:r>
          </w:p>
        </w:tc>
        <w:tc>
          <w:tcPr>
            <w:tcW w:w="1297" w:type="dxa"/>
            <w:tcBorders>
              <w:top w:val="single" w:sz="5" w:space="0" w:color="000000"/>
              <w:left w:val="single" w:sz="5" w:space="0" w:color="000000"/>
              <w:bottom w:val="single" w:sz="5" w:space="0" w:color="000000"/>
              <w:right w:val="single" w:sz="5" w:space="0" w:color="000000"/>
            </w:tcBorders>
          </w:tcPr>
          <w:p w14:paraId="0B62AAD9"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5" w:space="0" w:color="000000"/>
              <w:left w:val="single" w:sz="5" w:space="0" w:color="000000"/>
              <w:bottom w:val="single" w:sz="5" w:space="0" w:color="000000"/>
              <w:right w:val="single" w:sz="5" w:space="0" w:color="000000"/>
            </w:tcBorders>
          </w:tcPr>
          <w:p w14:paraId="6340FD4E" w14:textId="022EB0A7" w:rsidR="00D15122" w:rsidRPr="00820A37" w:rsidRDefault="00820A37" w:rsidP="00DB398F">
            <w:pPr>
              <w:pStyle w:val="TableParagraph"/>
              <w:widowControl/>
              <w:spacing w:line="234" w:lineRule="auto"/>
              <w:ind w:right="14"/>
              <w:jc w:val="both"/>
              <w:rPr>
                <w:rFonts w:ascii="Times New Roman" w:hAnsi="Times New Roman"/>
                <w:sz w:val="20"/>
                <w:szCs w:val="20"/>
                <w:lang w:val="hr-HR"/>
              </w:rPr>
            </w:pPr>
            <w:r w:rsidRPr="00934346">
              <w:rPr>
                <w:rFonts w:ascii="Times New Roman" w:hAnsi="Times New Roman"/>
                <w:sz w:val="20"/>
                <w:lang w:val="hr-HR"/>
              </w:rPr>
              <w:t>Preosjetljivost, reakcije na infuziju</w:t>
            </w:r>
            <w:r w:rsidRPr="00934346">
              <w:rPr>
                <w:rFonts w:ascii="Times New Roman" w:hAnsi="Times New Roman"/>
                <w:sz w:val="20"/>
                <w:vertAlign w:val="superscript"/>
                <w:lang w:val="hr-HR"/>
              </w:rPr>
              <w:t>a,b,</w:t>
            </w:r>
            <w:r w:rsidR="00DB398F" w:rsidRPr="00EC5E26">
              <w:rPr>
                <w:rFonts w:ascii="Times New Roman" w:hAnsi="Times New Roman"/>
                <w:sz w:val="20"/>
                <w:vertAlign w:val="superscript"/>
                <w:lang w:val="hr-HR"/>
              </w:rPr>
              <w:t>c</w:t>
            </w:r>
          </w:p>
        </w:tc>
        <w:tc>
          <w:tcPr>
            <w:tcW w:w="1082" w:type="dxa"/>
            <w:tcBorders>
              <w:top w:val="single" w:sz="5" w:space="0" w:color="000000"/>
              <w:left w:val="single" w:sz="5" w:space="0" w:color="000000"/>
              <w:bottom w:val="single" w:sz="5" w:space="0" w:color="000000"/>
              <w:right w:val="single" w:sz="5" w:space="0" w:color="000000"/>
            </w:tcBorders>
          </w:tcPr>
          <w:p w14:paraId="4F427533"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4396F387" w14:textId="73E1798D" w:rsidR="00D15122" w:rsidRPr="00D6167B" w:rsidRDefault="00820A37" w:rsidP="00820A37">
            <w:pPr>
              <w:pStyle w:val="TableParagraph"/>
              <w:widowControl/>
              <w:spacing w:line="234" w:lineRule="auto"/>
              <w:ind w:right="14"/>
              <w:jc w:val="both"/>
              <w:rPr>
                <w:rFonts w:ascii="Times New Roman" w:hAnsi="Times New Roman"/>
                <w:sz w:val="20"/>
                <w:szCs w:val="20"/>
                <w:lang w:val="hr-HR"/>
              </w:rPr>
            </w:pPr>
            <w:r>
              <w:rPr>
                <w:rFonts w:ascii="Times New Roman" w:hAnsi="Times New Roman"/>
                <w:sz w:val="20"/>
                <w:szCs w:val="20"/>
              </w:rPr>
              <w:t>Anafilaktički šok</w:t>
            </w:r>
            <w:r w:rsidRPr="006345B6">
              <w:rPr>
                <w:rFonts w:ascii="Times New Roman" w:hAnsi="Times New Roman"/>
                <w:sz w:val="20"/>
                <w:szCs w:val="20"/>
                <w:vertAlign w:val="superscript"/>
              </w:rPr>
              <w:t>b,c</w:t>
            </w:r>
          </w:p>
        </w:tc>
        <w:tc>
          <w:tcPr>
            <w:tcW w:w="1055" w:type="dxa"/>
            <w:tcBorders>
              <w:top w:val="single" w:sz="5" w:space="0" w:color="000000"/>
              <w:left w:val="single" w:sz="5" w:space="0" w:color="000000"/>
              <w:bottom w:val="single" w:sz="5" w:space="0" w:color="000000"/>
              <w:right w:val="single" w:sz="5" w:space="0" w:color="000000"/>
            </w:tcBorders>
          </w:tcPr>
          <w:p w14:paraId="11095F42"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2F9818F4" w14:textId="42D9ED09" w:rsidR="00D15122" w:rsidRPr="00D6167B" w:rsidRDefault="00D15122" w:rsidP="00D37692">
            <w:pPr>
              <w:pStyle w:val="TableParagraph"/>
              <w:widowControl/>
              <w:spacing w:line="234" w:lineRule="auto"/>
              <w:ind w:right="14"/>
              <w:rPr>
                <w:rFonts w:ascii="Times New Roman" w:hAnsi="Times New Roman"/>
                <w:sz w:val="20"/>
                <w:szCs w:val="20"/>
                <w:lang w:val="hr-HR"/>
              </w:rPr>
            </w:pPr>
          </w:p>
        </w:tc>
      </w:tr>
      <w:tr w:rsidR="00D15122" w:rsidRPr="00D6167B" w14:paraId="36FFC5D6"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62D4B023" w14:textId="77777777" w:rsidR="00D15122" w:rsidRPr="00D6167B" w:rsidRDefault="009B0756" w:rsidP="00D37692">
            <w:pPr>
              <w:pStyle w:val="TableParagraph"/>
              <w:widowControl/>
              <w:tabs>
                <w:tab w:val="left" w:pos="1336"/>
              </w:tabs>
              <w:spacing w:line="235" w:lineRule="auto"/>
              <w:rPr>
                <w:rFonts w:ascii="Times New Roman" w:hAnsi="Times New Roman"/>
                <w:sz w:val="20"/>
                <w:szCs w:val="20"/>
                <w:lang w:val="hr-HR"/>
              </w:rPr>
            </w:pPr>
            <w:r w:rsidRPr="00D6167B">
              <w:rPr>
                <w:rFonts w:ascii="Times New Roman" w:hAnsi="Times New Roman"/>
                <w:sz w:val="20"/>
                <w:lang w:val="hr-HR"/>
              </w:rPr>
              <w:t>Poremećaji metabolizma i ishrane</w:t>
            </w:r>
          </w:p>
        </w:tc>
        <w:tc>
          <w:tcPr>
            <w:tcW w:w="1297" w:type="dxa"/>
            <w:tcBorders>
              <w:top w:val="single" w:sz="5" w:space="0" w:color="000000"/>
              <w:left w:val="single" w:sz="5" w:space="0" w:color="000000"/>
              <w:bottom w:val="single" w:sz="5" w:space="0" w:color="000000"/>
              <w:right w:val="single" w:sz="5" w:space="0" w:color="000000"/>
            </w:tcBorders>
          </w:tcPr>
          <w:p w14:paraId="14761BE3" w14:textId="77777777" w:rsidR="00D15122" w:rsidRPr="00D6167B" w:rsidRDefault="00D15122" w:rsidP="00D37692">
            <w:pPr>
              <w:pStyle w:val="TableParagraph"/>
              <w:widowControl/>
              <w:spacing w:line="235" w:lineRule="auto"/>
              <w:ind w:right="14"/>
              <w:rPr>
                <w:rFonts w:ascii="Times New Roman" w:hAnsi="Times New Roman"/>
                <w:sz w:val="20"/>
                <w:szCs w:val="20"/>
                <w:lang w:val="hr-HR"/>
              </w:rPr>
            </w:pPr>
          </w:p>
        </w:tc>
        <w:tc>
          <w:tcPr>
            <w:tcW w:w="1511" w:type="dxa"/>
            <w:tcBorders>
              <w:top w:val="single" w:sz="5" w:space="0" w:color="000000"/>
              <w:left w:val="single" w:sz="5" w:space="0" w:color="000000"/>
              <w:bottom w:val="single" w:sz="5" w:space="0" w:color="000000"/>
              <w:right w:val="single" w:sz="5" w:space="0" w:color="000000"/>
            </w:tcBorders>
          </w:tcPr>
          <w:p w14:paraId="12189FE5" w14:textId="4EF400DA" w:rsidR="00D15122" w:rsidRPr="00D6167B" w:rsidRDefault="009B0756" w:rsidP="007608DF">
            <w:pPr>
              <w:pStyle w:val="TableParagraph"/>
              <w:widowControl/>
              <w:spacing w:line="235" w:lineRule="auto"/>
              <w:ind w:right="14"/>
              <w:jc w:val="both"/>
              <w:rPr>
                <w:rFonts w:ascii="Times New Roman" w:hAnsi="Times New Roman"/>
                <w:sz w:val="20"/>
                <w:szCs w:val="20"/>
                <w:lang w:val="hr-HR"/>
              </w:rPr>
            </w:pPr>
            <w:r w:rsidRPr="00D6167B">
              <w:rPr>
                <w:rFonts w:ascii="Times New Roman" w:hAnsi="Times New Roman"/>
                <w:sz w:val="20"/>
                <w:lang w:val="hr-HR"/>
              </w:rPr>
              <w:t>Dehidratacija, hiponatr</w:t>
            </w:r>
            <w:r w:rsidR="00476E96">
              <w:rPr>
                <w:rFonts w:ascii="Times New Roman" w:hAnsi="Times New Roman"/>
                <w:sz w:val="20"/>
                <w:lang w:val="hr-HR"/>
              </w:rPr>
              <w:t>ij</w:t>
            </w:r>
            <w:r w:rsidRPr="00D6167B">
              <w:rPr>
                <w:rFonts w:ascii="Times New Roman" w:hAnsi="Times New Roman"/>
                <w:sz w:val="20"/>
                <w:lang w:val="hr-HR"/>
              </w:rPr>
              <w:t>emija</w:t>
            </w:r>
          </w:p>
        </w:tc>
        <w:tc>
          <w:tcPr>
            <w:tcW w:w="1082" w:type="dxa"/>
            <w:tcBorders>
              <w:top w:val="single" w:sz="5" w:space="0" w:color="000000"/>
              <w:left w:val="single" w:sz="5" w:space="0" w:color="000000"/>
              <w:bottom w:val="single" w:sz="5" w:space="0" w:color="000000"/>
              <w:right w:val="single" w:sz="5" w:space="0" w:color="000000"/>
            </w:tcBorders>
          </w:tcPr>
          <w:p w14:paraId="55BAD228"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7B1D2AAF"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28FB79D5"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527D9667" w14:textId="77777777" w:rsidR="00D15122" w:rsidRPr="00D6167B" w:rsidRDefault="00D15122" w:rsidP="00D37692">
            <w:pPr>
              <w:pStyle w:val="TableParagraph"/>
              <w:widowControl/>
              <w:spacing w:line="235" w:lineRule="auto"/>
              <w:ind w:right="14"/>
              <w:rPr>
                <w:rFonts w:ascii="Times New Roman" w:hAnsi="Times New Roman"/>
                <w:sz w:val="20"/>
                <w:szCs w:val="20"/>
                <w:lang w:val="hr-HR"/>
              </w:rPr>
            </w:pPr>
          </w:p>
        </w:tc>
      </w:tr>
      <w:tr w:rsidR="00D15122" w:rsidRPr="00D6167B" w14:paraId="4A197684" w14:textId="77777777" w:rsidTr="00934346">
        <w:trPr>
          <w:cantSplit/>
        </w:trPr>
        <w:tc>
          <w:tcPr>
            <w:tcW w:w="1297" w:type="dxa"/>
            <w:tcBorders>
              <w:top w:val="single" w:sz="5" w:space="0" w:color="000000"/>
              <w:left w:val="single" w:sz="5" w:space="0" w:color="000000"/>
              <w:bottom w:val="single" w:sz="4" w:space="0" w:color="000000"/>
              <w:right w:val="single" w:sz="5" w:space="0" w:color="000000"/>
            </w:tcBorders>
          </w:tcPr>
          <w:p w14:paraId="0D55631C" w14:textId="77777777" w:rsidR="00D15122" w:rsidRPr="00D6167B" w:rsidRDefault="009B0756" w:rsidP="00D37692">
            <w:pPr>
              <w:pStyle w:val="TableParagraph"/>
              <w:keepNext/>
              <w:keepLines/>
              <w:widowControl/>
              <w:spacing w:line="235" w:lineRule="auto"/>
              <w:rPr>
                <w:rFonts w:ascii="Times New Roman" w:hAnsi="Times New Roman"/>
                <w:sz w:val="20"/>
                <w:szCs w:val="20"/>
                <w:lang w:val="hr-HR"/>
              </w:rPr>
            </w:pPr>
            <w:r w:rsidRPr="00D6167B">
              <w:rPr>
                <w:rFonts w:ascii="Times New Roman" w:hAnsi="Times New Roman"/>
                <w:sz w:val="20"/>
                <w:lang w:val="hr-HR"/>
              </w:rPr>
              <w:t>Poremećaji nervnog sistema</w:t>
            </w:r>
          </w:p>
        </w:tc>
        <w:tc>
          <w:tcPr>
            <w:tcW w:w="1297" w:type="dxa"/>
            <w:tcBorders>
              <w:top w:val="single" w:sz="5" w:space="0" w:color="000000"/>
              <w:left w:val="single" w:sz="5" w:space="0" w:color="000000"/>
              <w:bottom w:val="single" w:sz="4" w:space="0" w:color="000000"/>
              <w:right w:val="single" w:sz="5" w:space="0" w:color="000000"/>
            </w:tcBorders>
          </w:tcPr>
          <w:p w14:paraId="1FC7DDC6" w14:textId="77777777" w:rsidR="00D15122" w:rsidRPr="00D6167B" w:rsidRDefault="009B0756" w:rsidP="00D37692">
            <w:pPr>
              <w:pStyle w:val="TableParagraph"/>
              <w:keepNext/>
              <w:keepLines/>
              <w:widowControl/>
              <w:spacing w:line="235" w:lineRule="auto"/>
              <w:ind w:right="14"/>
              <w:rPr>
                <w:rFonts w:ascii="Times New Roman" w:hAnsi="Times New Roman"/>
                <w:sz w:val="20"/>
                <w:szCs w:val="20"/>
                <w:lang w:val="hr-HR"/>
              </w:rPr>
            </w:pPr>
            <w:r w:rsidRPr="00D6167B">
              <w:rPr>
                <w:rFonts w:ascii="Times New Roman" w:hAnsi="Times New Roman"/>
                <w:sz w:val="20"/>
                <w:lang w:val="hr-HR"/>
              </w:rPr>
              <w:t>Periferna senzorna neuropatija</w:t>
            </w:r>
            <w:r w:rsidRPr="00D6167B">
              <w:rPr>
                <w:rFonts w:ascii="Times New Roman" w:hAnsi="Times New Roman"/>
                <w:sz w:val="20"/>
                <w:vertAlign w:val="superscript"/>
                <w:lang w:val="hr-HR"/>
              </w:rPr>
              <w:t>a</w:t>
            </w:r>
          </w:p>
        </w:tc>
        <w:tc>
          <w:tcPr>
            <w:tcW w:w="1511" w:type="dxa"/>
            <w:tcBorders>
              <w:top w:val="single" w:sz="5" w:space="0" w:color="000000"/>
              <w:left w:val="single" w:sz="5" w:space="0" w:color="000000"/>
              <w:bottom w:val="single" w:sz="4" w:space="0" w:color="000000"/>
              <w:right w:val="single" w:sz="5" w:space="0" w:color="000000"/>
            </w:tcBorders>
          </w:tcPr>
          <w:p w14:paraId="5193BC09" w14:textId="77777777" w:rsidR="00D15122" w:rsidRPr="00D6167B" w:rsidRDefault="009B0756" w:rsidP="007608DF">
            <w:pPr>
              <w:pStyle w:val="TableParagraph"/>
              <w:keepNext/>
              <w:keepLines/>
              <w:widowControl/>
              <w:spacing w:line="235" w:lineRule="auto"/>
              <w:ind w:right="14"/>
              <w:jc w:val="both"/>
              <w:rPr>
                <w:rFonts w:ascii="Times New Roman" w:hAnsi="Times New Roman"/>
                <w:sz w:val="20"/>
                <w:szCs w:val="20"/>
                <w:lang w:val="hr-HR"/>
              </w:rPr>
            </w:pPr>
            <w:r w:rsidRPr="00D6167B">
              <w:rPr>
                <w:rFonts w:ascii="Times New Roman" w:hAnsi="Times New Roman"/>
                <w:sz w:val="20"/>
                <w:lang w:val="hr-HR"/>
              </w:rPr>
              <w:t>Cerebrovaskularni akcident, sinkopa, pospanost, glavobolja</w:t>
            </w:r>
          </w:p>
        </w:tc>
        <w:tc>
          <w:tcPr>
            <w:tcW w:w="1082" w:type="dxa"/>
            <w:tcBorders>
              <w:top w:val="single" w:sz="5" w:space="0" w:color="000000"/>
              <w:left w:val="single" w:sz="5" w:space="0" w:color="000000"/>
              <w:bottom w:val="single" w:sz="4" w:space="0" w:color="000000"/>
              <w:right w:val="single" w:sz="5" w:space="0" w:color="000000"/>
            </w:tcBorders>
          </w:tcPr>
          <w:p w14:paraId="2BA18D92" w14:textId="77777777" w:rsidR="00D15122" w:rsidRPr="00D6167B" w:rsidRDefault="00D15122" w:rsidP="007608DF">
            <w:pPr>
              <w:pStyle w:val="TableParagraph"/>
              <w:keepNext/>
              <w:keepLines/>
              <w:widowControl/>
              <w:spacing w:line="235"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4" w:space="0" w:color="000000"/>
              <w:right w:val="single" w:sz="5" w:space="0" w:color="000000"/>
            </w:tcBorders>
          </w:tcPr>
          <w:p w14:paraId="6FC0EDE2" w14:textId="77777777" w:rsidR="00D15122" w:rsidRPr="00D6167B" w:rsidRDefault="00D15122" w:rsidP="007608DF">
            <w:pPr>
              <w:pStyle w:val="TableParagraph"/>
              <w:keepNext/>
              <w:keepLines/>
              <w:widowControl/>
              <w:spacing w:line="235"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4" w:space="0" w:color="000000"/>
              <w:right w:val="single" w:sz="5" w:space="0" w:color="000000"/>
            </w:tcBorders>
          </w:tcPr>
          <w:p w14:paraId="5772DAC1" w14:textId="77777777" w:rsidR="00D15122" w:rsidRPr="00D6167B" w:rsidRDefault="00D15122" w:rsidP="007608DF">
            <w:pPr>
              <w:pStyle w:val="TableParagraph"/>
              <w:keepNext/>
              <w:keepLines/>
              <w:widowControl/>
              <w:spacing w:line="235"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4" w:space="0" w:color="000000"/>
              <w:right w:val="single" w:sz="5" w:space="0" w:color="000000"/>
            </w:tcBorders>
          </w:tcPr>
          <w:p w14:paraId="6C3F0E6E" w14:textId="77777777" w:rsidR="00D15122" w:rsidRPr="00D6167B" w:rsidRDefault="009B0756" w:rsidP="00D37692">
            <w:pPr>
              <w:pStyle w:val="TableParagraph"/>
              <w:keepNext/>
              <w:keepLines/>
              <w:widowControl/>
              <w:spacing w:line="235" w:lineRule="auto"/>
              <w:ind w:right="14"/>
              <w:rPr>
                <w:rFonts w:ascii="Times New Roman" w:hAnsi="Times New Roman"/>
                <w:sz w:val="20"/>
                <w:szCs w:val="20"/>
                <w:lang w:val="hr-HR"/>
              </w:rPr>
            </w:pPr>
            <w:r w:rsidRPr="00D6167B">
              <w:rPr>
                <w:rFonts w:ascii="Times New Roman" w:hAnsi="Times New Roman"/>
                <w:sz w:val="20"/>
                <w:lang w:val="hr-HR"/>
              </w:rPr>
              <w:t xml:space="preserve">Sindrom posteriorne reverzibilne encefalopatije </w:t>
            </w:r>
            <w:r w:rsidRPr="00D6167B">
              <w:rPr>
                <w:rFonts w:ascii="Times New Roman" w:hAnsi="Times New Roman"/>
                <w:sz w:val="20"/>
                <w:vertAlign w:val="superscript"/>
                <w:lang w:val="hr-HR"/>
              </w:rPr>
              <w:t>a,b,c</w:t>
            </w:r>
            <w:r w:rsidRPr="00D6167B">
              <w:rPr>
                <w:rFonts w:ascii="Times New Roman" w:hAnsi="Times New Roman"/>
                <w:sz w:val="20"/>
                <w:lang w:val="hr-HR"/>
              </w:rPr>
              <w:t>, hipertenzivna encefalopatija</w:t>
            </w:r>
            <w:r w:rsidRPr="00D6167B">
              <w:rPr>
                <w:rFonts w:ascii="Times New Roman" w:hAnsi="Times New Roman"/>
                <w:sz w:val="20"/>
                <w:vertAlign w:val="superscript"/>
                <w:lang w:val="hr-HR"/>
              </w:rPr>
              <w:t>c</w:t>
            </w:r>
          </w:p>
        </w:tc>
      </w:tr>
      <w:tr w:rsidR="00D15122" w:rsidRPr="00D6167B" w14:paraId="7A4AFF06" w14:textId="77777777" w:rsidTr="00934346">
        <w:trPr>
          <w:cantSplit/>
        </w:trPr>
        <w:tc>
          <w:tcPr>
            <w:tcW w:w="1297" w:type="dxa"/>
            <w:tcBorders>
              <w:top w:val="single" w:sz="4" w:space="0" w:color="000000"/>
              <w:left w:val="single" w:sz="4" w:space="0" w:color="000000"/>
              <w:bottom w:val="single" w:sz="4" w:space="0" w:color="000000"/>
              <w:right w:val="single" w:sz="4" w:space="0" w:color="000000"/>
            </w:tcBorders>
          </w:tcPr>
          <w:p w14:paraId="4DE476CD"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Srčani poremećaji</w:t>
            </w:r>
          </w:p>
        </w:tc>
        <w:tc>
          <w:tcPr>
            <w:tcW w:w="1297" w:type="dxa"/>
            <w:tcBorders>
              <w:top w:val="single" w:sz="4" w:space="0" w:color="000000"/>
              <w:left w:val="single" w:sz="4" w:space="0" w:color="000000"/>
              <w:bottom w:val="single" w:sz="4" w:space="0" w:color="000000"/>
              <w:right w:val="single" w:sz="4" w:space="0" w:color="000000"/>
            </w:tcBorders>
          </w:tcPr>
          <w:p w14:paraId="50AE6FF0" w14:textId="77777777" w:rsidR="00D15122" w:rsidRPr="00D6167B" w:rsidRDefault="00D15122" w:rsidP="00D37692">
            <w:pPr>
              <w:widowControl/>
              <w:spacing w:line="234" w:lineRule="auto"/>
              <w:ind w:right="378"/>
              <w:rPr>
                <w:rFonts w:ascii="Times New Roman" w:hAnsi="Times New Roman"/>
                <w:sz w:val="20"/>
                <w:szCs w:val="20"/>
                <w:lang w:val="hr-HR"/>
              </w:rPr>
            </w:pPr>
          </w:p>
        </w:tc>
        <w:tc>
          <w:tcPr>
            <w:tcW w:w="1511" w:type="dxa"/>
            <w:tcBorders>
              <w:top w:val="single" w:sz="4" w:space="0" w:color="000000"/>
              <w:left w:val="single" w:sz="4" w:space="0" w:color="000000"/>
              <w:bottom w:val="single" w:sz="4" w:space="0" w:color="000000"/>
              <w:right w:val="single" w:sz="4" w:space="0" w:color="000000"/>
            </w:tcBorders>
          </w:tcPr>
          <w:p w14:paraId="4F091F61"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Kongesti</w:t>
            </w:r>
            <w:r w:rsidR="006475B1" w:rsidRPr="00D6167B">
              <w:rPr>
                <w:rFonts w:ascii="Times New Roman" w:hAnsi="Times New Roman"/>
                <w:sz w:val="20"/>
                <w:lang w:val="hr-HR"/>
              </w:rPr>
              <w:t>vna srčana insuficijencija</w:t>
            </w:r>
            <w:r w:rsidRPr="00D6167B">
              <w:rPr>
                <w:rFonts w:ascii="Times New Roman" w:hAnsi="Times New Roman"/>
                <w:sz w:val="20"/>
                <w:vertAlign w:val="superscript"/>
                <w:lang w:val="hr-HR"/>
              </w:rPr>
              <w:t>a,b</w:t>
            </w:r>
            <w:r w:rsidRPr="00D6167B">
              <w:rPr>
                <w:rFonts w:ascii="Times New Roman" w:hAnsi="Times New Roman"/>
                <w:sz w:val="20"/>
                <w:lang w:val="hr-HR"/>
              </w:rPr>
              <w:t>, supraventrikularna tahikardija</w:t>
            </w:r>
          </w:p>
        </w:tc>
        <w:tc>
          <w:tcPr>
            <w:tcW w:w="1082" w:type="dxa"/>
            <w:tcBorders>
              <w:top w:val="single" w:sz="4" w:space="0" w:color="000000"/>
              <w:left w:val="single" w:sz="4" w:space="0" w:color="000000"/>
              <w:bottom w:val="single" w:sz="4" w:space="0" w:color="000000"/>
              <w:right w:val="single" w:sz="4" w:space="0" w:color="000000"/>
            </w:tcBorders>
          </w:tcPr>
          <w:p w14:paraId="2C05BA3C"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4" w:space="0" w:color="000000"/>
              <w:left w:val="single" w:sz="4" w:space="0" w:color="000000"/>
              <w:bottom w:val="single" w:sz="4" w:space="0" w:color="000000"/>
              <w:right w:val="single" w:sz="4" w:space="0" w:color="000000"/>
            </w:tcBorders>
          </w:tcPr>
          <w:p w14:paraId="72C65C25"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4" w:space="0" w:color="000000"/>
              <w:left w:val="single" w:sz="4" w:space="0" w:color="000000"/>
              <w:bottom w:val="single" w:sz="4" w:space="0" w:color="000000"/>
              <w:right w:val="single" w:sz="4" w:space="0" w:color="000000"/>
            </w:tcBorders>
          </w:tcPr>
          <w:p w14:paraId="3EC9FB2A"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4" w:space="0" w:color="000000"/>
              <w:left w:val="single" w:sz="4" w:space="0" w:color="000000"/>
              <w:bottom w:val="single" w:sz="4" w:space="0" w:color="000000"/>
              <w:right w:val="single" w:sz="4" w:space="0" w:color="000000"/>
            </w:tcBorders>
          </w:tcPr>
          <w:p w14:paraId="65B560AF"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r>
      <w:tr w:rsidR="00D15122" w:rsidRPr="00D6167B" w14:paraId="45BD2CE8" w14:textId="77777777" w:rsidTr="00934346">
        <w:trPr>
          <w:cantSplit/>
        </w:trPr>
        <w:tc>
          <w:tcPr>
            <w:tcW w:w="1297" w:type="dxa"/>
            <w:tcBorders>
              <w:top w:val="single" w:sz="4" w:space="0" w:color="000000"/>
              <w:left w:val="single" w:sz="5" w:space="0" w:color="000000"/>
              <w:bottom w:val="single" w:sz="5" w:space="0" w:color="000000"/>
              <w:right w:val="single" w:sz="5" w:space="0" w:color="000000"/>
            </w:tcBorders>
          </w:tcPr>
          <w:p w14:paraId="2A268723" w14:textId="77777777" w:rsidR="00D15122" w:rsidRPr="00D6167B" w:rsidRDefault="009B0756" w:rsidP="00D37692">
            <w:pPr>
              <w:pStyle w:val="TableParagraph"/>
              <w:keepNext/>
              <w:widowControl/>
              <w:spacing w:line="235" w:lineRule="auto"/>
              <w:rPr>
                <w:rFonts w:ascii="Times New Roman" w:hAnsi="Times New Roman"/>
                <w:sz w:val="20"/>
                <w:szCs w:val="20"/>
                <w:lang w:val="hr-HR"/>
              </w:rPr>
            </w:pPr>
            <w:r w:rsidRPr="00D6167B">
              <w:rPr>
                <w:rFonts w:ascii="Times New Roman" w:hAnsi="Times New Roman"/>
                <w:sz w:val="20"/>
                <w:lang w:val="hr-HR"/>
              </w:rPr>
              <w:lastRenderedPageBreak/>
              <w:t>Vaskularni poremećaji</w:t>
            </w:r>
          </w:p>
        </w:tc>
        <w:tc>
          <w:tcPr>
            <w:tcW w:w="1297" w:type="dxa"/>
            <w:tcBorders>
              <w:top w:val="single" w:sz="4" w:space="0" w:color="000000"/>
              <w:left w:val="single" w:sz="5" w:space="0" w:color="000000"/>
              <w:bottom w:val="single" w:sz="5" w:space="0" w:color="000000"/>
              <w:right w:val="single" w:sz="5" w:space="0" w:color="000000"/>
            </w:tcBorders>
          </w:tcPr>
          <w:p w14:paraId="231B0A3B" w14:textId="77777777" w:rsidR="00D15122" w:rsidRPr="00D6167B" w:rsidRDefault="009B0756" w:rsidP="00D37692">
            <w:pPr>
              <w:pStyle w:val="TableParagraph"/>
              <w:keepNext/>
              <w:widowControl/>
              <w:spacing w:line="235" w:lineRule="auto"/>
              <w:ind w:right="14"/>
              <w:rPr>
                <w:rFonts w:ascii="Times New Roman" w:hAnsi="Times New Roman"/>
                <w:sz w:val="20"/>
                <w:szCs w:val="20"/>
                <w:lang w:val="hr-HR"/>
              </w:rPr>
            </w:pPr>
            <w:r w:rsidRPr="00D6167B">
              <w:rPr>
                <w:rFonts w:ascii="Times New Roman" w:hAnsi="Times New Roman"/>
                <w:sz w:val="20"/>
                <w:lang w:val="hr-HR"/>
              </w:rPr>
              <w:t>Hipertenzija</w:t>
            </w:r>
            <w:r w:rsidRPr="00D6167B">
              <w:rPr>
                <w:rFonts w:ascii="Times New Roman" w:hAnsi="Times New Roman"/>
                <w:sz w:val="20"/>
                <w:vertAlign w:val="superscript"/>
                <w:lang w:val="hr-HR"/>
              </w:rPr>
              <w:t>a,b</w:t>
            </w:r>
          </w:p>
        </w:tc>
        <w:tc>
          <w:tcPr>
            <w:tcW w:w="1511" w:type="dxa"/>
            <w:tcBorders>
              <w:top w:val="single" w:sz="4" w:space="0" w:color="000000"/>
              <w:left w:val="single" w:sz="5" w:space="0" w:color="000000"/>
              <w:bottom w:val="single" w:sz="5" w:space="0" w:color="000000"/>
              <w:right w:val="single" w:sz="5" w:space="0" w:color="000000"/>
            </w:tcBorders>
          </w:tcPr>
          <w:p w14:paraId="5F643BF8" w14:textId="77777777" w:rsidR="00D15122" w:rsidRPr="00D6167B" w:rsidRDefault="009B0756" w:rsidP="007608DF">
            <w:pPr>
              <w:pStyle w:val="TableParagraph"/>
              <w:keepNext/>
              <w:widowControl/>
              <w:spacing w:line="235" w:lineRule="auto"/>
              <w:ind w:right="14"/>
              <w:jc w:val="both"/>
              <w:rPr>
                <w:rFonts w:ascii="Times New Roman" w:hAnsi="Times New Roman"/>
                <w:sz w:val="20"/>
                <w:szCs w:val="20"/>
                <w:lang w:val="hr-HR"/>
              </w:rPr>
            </w:pPr>
            <w:r w:rsidRPr="00D6167B">
              <w:rPr>
                <w:rFonts w:ascii="Times New Roman" w:hAnsi="Times New Roman"/>
                <w:sz w:val="20"/>
                <w:lang w:val="hr-HR"/>
              </w:rPr>
              <w:t>Arterijska tromboembolija</w:t>
            </w:r>
            <w:r w:rsidRPr="00D6167B">
              <w:rPr>
                <w:rFonts w:ascii="Times New Roman" w:hAnsi="Times New Roman"/>
                <w:sz w:val="20"/>
                <w:vertAlign w:val="superscript"/>
                <w:lang w:val="hr-HR"/>
              </w:rPr>
              <w:t>a,b</w:t>
            </w:r>
            <w:r w:rsidRPr="00D6167B">
              <w:rPr>
                <w:rFonts w:ascii="Times New Roman" w:hAnsi="Times New Roman"/>
                <w:sz w:val="20"/>
                <w:lang w:val="hr-HR"/>
              </w:rPr>
              <w:t>, krvarenje</w:t>
            </w:r>
            <w:r w:rsidRPr="00D6167B">
              <w:rPr>
                <w:rFonts w:ascii="Times New Roman" w:hAnsi="Times New Roman"/>
                <w:sz w:val="20"/>
                <w:vertAlign w:val="superscript"/>
                <w:lang w:val="hr-HR"/>
              </w:rPr>
              <w:t>a,b</w:t>
            </w:r>
            <w:r w:rsidRPr="00D6167B">
              <w:rPr>
                <w:rFonts w:ascii="Times New Roman" w:hAnsi="Times New Roman"/>
                <w:sz w:val="20"/>
                <w:lang w:val="hr-HR"/>
              </w:rPr>
              <w:t>, tromboembolija (venska)</w:t>
            </w:r>
            <w:r w:rsidRPr="00D6167B">
              <w:rPr>
                <w:rFonts w:ascii="Times New Roman" w:hAnsi="Times New Roman"/>
                <w:sz w:val="20"/>
                <w:vertAlign w:val="superscript"/>
                <w:lang w:val="hr-HR"/>
              </w:rPr>
              <w:t>a,b</w:t>
            </w:r>
            <w:r w:rsidRPr="00D6167B">
              <w:rPr>
                <w:rFonts w:ascii="Times New Roman" w:hAnsi="Times New Roman"/>
                <w:sz w:val="20"/>
                <w:lang w:val="hr-HR"/>
              </w:rPr>
              <w:t>, duboka venska tromboza</w:t>
            </w:r>
          </w:p>
        </w:tc>
        <w:tc>
          <w:tcPr>
            <w:tcW w:w="1082" w:type="dxa"/>
            <w:tcBorders>
              <w:top w:val="single" w:sz="4" w:space="0" w:color="000000"/>
              <w:left w:val="single" w:sz="5" w:space="0" w:color="000000"/>
              <w:bottom w:val="single" w:sz="5" w:space="0" w:color="000000"/>
              <w:right w:val="single" w:sz="5" w:space="0" w:color="000000"/>
            </w:tcBorders>
          </w:tcPr>
          <w:p w14:paraId="235D7E53" w14:textId="77777777" w:rsidR="00D15122" w:rsidRPr="00D6167B" w:rsidRDefault="00D15122" w:rsidP="007608DF">
            <w:pPr>
              <w:widowControl/>
              <w:spacing w:line="234" w:lineRule="auto"/>
              <w:ind w:right="34"/>
              <w:jc w:val="both"/>
              <w:rPr>
                <w:rFonts w:ascii="Times New Roman" w:hAnsi="Times New Roman"/>
                <w:sz w:val="20"/>
                <w:szCs w:val="20"/>
                <w:lang w:val="hr-HR"/>
              </w:rPr>
            </w:pPr>
          </w:p>
        </w:tc>
        <w:tc>
          <w:tcPr>
            <w:tcW w:w="1328" w:type="dxa"/>
            <w:tcBorders>
              <w:top w:val="single" w:sz="4" w:space="0" w:color="000000"/>
              <w:left w:val="single" w:sz="5" w:space="0" w:color="000000"/>
              <w:bottom w:val="single" w:sz="5" w:space="0" w:color="000000"/>
              <w:right w:val="single" w:sz="5" w:space="0" w:color="000000"/>
            </w:tcBorders>
          </w:tcPr>
          <w:p w14:paraId="54C3F8D6" w14:textId="77777777" w:rsidR="00D15122" w:rsidRPr="00D6167B" w:rsidRDefault="00D15122" w:rsidP="007608DF">
            <w:pPr>
              <w:widowControl/>
              <w:spacing w:line="234" w:lineRule="auto"/>
              <w:jc w:val="both"/>
              <w:rPr>
                <w:rFonts w:ascii="Times New Roman" w:hAnsi="Times New Roman"/>
                <w:sz w:val="20"/>
                <w:szCs w:val="20"/>
                <w:lang w:val="hr-HR"/>
              </w:rPr>
            </w:pPr>
          </w:p>
        </w:tc>
        <w:tc>
          <w:tcPr>
            <w:tcW w:w="1055" w:type="dxa"/>
            <w:tcBorders>
              <w:top w:val="single" w:sz="4" w:space="0" w:color="000000"/>
              <w:left w:val="single" w:sz="5" w:space="0" w:color="000000"/>
              <w:bottom w:val="single" w:sz="5" w:space="0" w:color="000000"/>
              <w:right w:val="single" w:sz="5" w:space="0" w:color="000000"/>
            </w:tcBorders>
          </w:tcPr>
          <w:p w14:paraId="7D2E1CE7" w14:textId="77777777" w:rsidR="00D15122" w:rsidRPr="00D6167B" w:rsidRDefault="00D15122" w:rsidP="007608DF">
            <w:pPr>
              <w:widowControl/>
              <w:spacing w:line="234" w:lineRule="auto"/>
              <w:ind w:right="6"/>
              <w:jc w:val="both"/>
              <w:rPr>
                <w:rFonts w:ascii="Times New Roman" w:hAnsi="Times New Roman"/>
                <w:sz w:val="20"/>
                <w:szCs w:val="20"/>
                <w:lang w:val="hr-HR"/>
              </w:rPr>
            </w:pPr>
          </w:p>
        </w:tc>
        <w:tc>
          <w:tcPr>
            <w:tcW w:w="1506" w:type="dxa"/>
            <w:tcBorders>
              <w:top w:val="single" w:sz="4" w:space="0" w:color="000000"/>
              <w:left w:val="single" w:sz="5" w:space="0" w:color="000000"/>
              <w:bottom w:val="single" w:sz="5" w:space="0" w:color="000000"/>
              <w:right w:val="single" w:sz="5" w:space="0" w:color="000000"/>
            </w:tcBorders>
          </w:tcPr>
          <w:p w14:paraId="6D17D116" w14:textId="77777777" w:rsidR="00D15122" w:rsidRPr="00D6167B" w:rsidRDefault="000950F0" w:rsidP="00D37692">
            <w:pPr>
              <w:pStyle w:val="TableParagraph"/>
              <w:widowControl/>
              <w:spacing w:line="234" w:lineRule="auto"/>
              <w:ind w:right="14"/>
              <w:rPr>
                <w:rFonts w:ascii="Times New Roman" w:hAnsi="Times New Roman"/>
                <w:sz w:val="20"/>
                <w:szCs w:val="20"/>
                <w:lang w:val="hr-HR"/>
              </w:rPr>
            </w:pPr>
            <w:r w:rsidRPr="00D37692">
              <w:rPr>
                <w:rFonts w:ascii="Times New Roman" w:hAnsi="Times New Roman"/>
                <w:sz w:val="20"/>
                <w:u w:val="single"/>
                <w:lang w:val="hr-HR"/>
              </w:rPr>
              <w:t>Aneurizme i disekcije arterije,</w:t>
            </w:r>
            <w:r w:rsidRPr="00D6167B">
              <w:rPr>
                <w:rFonts w:ascii="Times New Roman" w:hAnsi="Times New Roman"/>
                <w:sz w:val="20"/>
                <w:lang w:val="hr-HR"/>
              </w:rPr>
              <w:t xml:space="preserve"> bubrežna trombotička mikroangiopatija</w:t>
            </w:r>
            <w:r w:rsidRPr="00D6167B">
              <w:rPr>
                <w:rFonts w:ascii="Times New Roman" w:hAnsi="Times New Roman"/>
                <w:sz w:val="20"/>
                <w:vertAlign w:val="superscript"/>
                <w:lang w:val="hr-HR"/>
              </w:rPr>
              <w:t>b,c</w:t>
            </w:r>
          </w:p>
        </w:tc>
      </w:tr>
      <w:tr w:rsidR="00D15122" w:rsidRPr="00D6167B" w14:paraId="123C62F4"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05709A20"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Poremećaji</w:t>
            </w:r>
            <w:r w:rsidR="00AD471C" w:rsidRPr="00D6167B">
              <w:rPr>
                <w:rFonts w:ascii="Times New Roman" w:hAnsi="Times New Roman"/>
                <w:sz w:val="20"/>
                <w:lang w:val="hr-HR"/>
              </w:rPr>
              <w:t xml:space="preserve"> respiratornog</w:t>
            </w:r>
            <w:r w:rsidRPr="00D6167B">
              <w:rPr>
                <w:rFonts w:ascii="Times New Roman" w:hAnsi="Times New Roman"/>
                <w:sz w:val="20"/>
                <w:lang w:val="hr-HR"/>
              </w:rPr>
              <w:t>sistema, toraksa i medijastinuma</w:t>
            </w:r>
          </w:p>
        </w:tc>
        <w:tc>
          <w:tcPr>
            <w:tcW w:w="1297" w:type="dxa"/>
            <w:tcBorders>
              <w:top w:val="single" w:sz="5" w:space="0" w:color="000000"/>
              <w:left w:val="single" w:sz="5" w:space="0" w:color="000000"/>
              <w:bottom w:val="single" w:sz="5" w:space="0" w:color="000000"/>
              <w:right w:val="single" w:sz="5" w:space="0" w:color="000000"/>
            </w:tcBorders>
          </w:tcPr>
          <w:p w14:paraId="4BD568EF"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5" w:space="0" w:color="000000"/>
              <w:left w:val="single" w:sz="5" w:space="0" w:color="000000"/>
              <w:bottom w:val="single" w:sz="5" w:space="0" w:color="000000"/>
              <w:right w:val="single" w:sz="5" w:space="0" w:color="000000"/>
            </w:tcBorders>
          </w:tcPr>
          <w:p w14:paraId="55277236"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Plućno krvarenje/hemoptizija</w:t>
            </w:r>
            <w:r w:rsidRPr="00D6167B">
              <w:rPr>
                <w:rFonts w:ascii="Times New Roman" w:hAnsi="Times New Roman"/>
                <w:sz w:val="20"/>
                <w:vertAlign w:val="superscript"/>
                <w:lang w:val="hr-HR"/>
              </w:rPr>
              <w:t>a,b</w:t>
            </w:r>
            <w:r w:rsidRPr="00D6167B">
              <w:rPr>
                <w:rFonts w:ascii="Times New Roman" w:hAnsi="Times New Roman"/>
                <w:sz w:val="20"/>
                <w:lang w:val="hr-HR"/>
              </w:rPr>
              <w:t>, plućna embolija, epistaksa, dispneja, hipoksija</w:t>
            </w:r>
          </w:p>
        </w:tc>
        <w:tc>
          <w:tcPr>
            <w:tcW w:w="1082" w:type="dxa"/>
            <w:tcBorders>
              <w:top w:val="single" w:sz="5" w:space="0" w:color="000000"/>
              <w:left w:val="single" w:sz="5" w:space="0" w:color="000000"/>
              <w:bottom w:val="single" w:sz="5" w:space="0" w:color="000000"/>
              <w:right w:val="single" w:sz="5" w:space="0" w:color="000000"/>
            </w:tcBorders>
          </w:tcPr>
          <w:p w14:paraId="65557634"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1AA49B02"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37DB67B4"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77264545" w14:textId="77777777" w:rsidR="00D15122" w:rsidRPr="00D6167B" w:rsidRDefault="009B0756"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Plućna hipertenzija</w:t>
            </w:r>
            <w:r w:rsidRPr="00D6167B">
              <w:rPr>
                <w:rFonts w:ascii="Times New Roman" w:hAnsi="Times New Roman"/>
                <w:sz w:val="20"/>
                <w:vertAlign w:val="superscript"/>
                <w:lang w:val="hr-HR"/>
              </w:rPr>
              <w:t>c</w:t>
            </w:r>
            <w:r w:rsidRPr="00D6167B">
              <w:rPr>
                <w:rFonts w:ascii="Times New Roman" w:hAnsi="Times New Roman"/>
                <w:sz w:val="20"/>
                <w:lang w:val="hr-HR"/>
              </w:rPr>
              <w:t>, perforacija nazalnog septuma</w:t>
            </w:r>
            <w:r w:rsidRPr="00D6167B">
              <w:rPr>
                <w:rFonts w:ascii="Times New Roman" w:hAnsi="Times New Roman"/>
                <w:sz w:val="20"/>
                <w:vertAlign w:val="superscript"/>
                <w:lang w:val="hr-HR"/>
              </w:rPr>
              <w:t>c</w:t>
            </w:r>
          </w:p>
        </w:tc>
      </w:tr>
      <w:tr w:rsidR="00D15122" w:rsidRPr="00D6167B" w14:paraId="69D45464"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31ACD9EC"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Gastrointestinalni poremećaji</w:t>
            </w:r>
          </w:p>
        </w:tc>
        <w:tc>
          <w:tcPr>
            <w:tcW w:w="1297" w:type="dxa"/>
            <w:tcBorders>
              <w:top w:val="single" w:sz="5" w:space="0" w:color="000000"/>
              <w:left w:val="single" w:sz="5" w:space="0" w:color="000000"/>
              <w:bottom w:val="single" w:sz="5" w:space="0" w:color="000000"/>
              <w:right w:val="single" w:sz="5" w:space="0" w:color="000000"/>
            </w:tcBorders>
          </w:tcPr>
          <w:p w14:paraId="4F30FDD0" w14:textId="77777777" w:rsidR="00D15122" w:rsidRPr="00D6167B" w:rsidRDefault="00AD471C"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Dijareja</w:t>
            </w:r>
            <w:r w:rsidR="009B0756" w:rsidRPr="00D6167B">
              <w:rPr>
                <w:rFonts w:ascii="Times New Roman" w:hAnsi="Times New Roman"/>
                <w:sz w:val="20"/>
                <w:lang w:val="hr-HR"/>
              </w:rPr>
              <w:t>, mučnina, povraćanje, bol u abdomenu</w:t>
            </w:r>
          </w:p>
        </w:tc>
        <w:tc>
          <w:tcPr>
            <w:tcW w:w="1511" w:type="dxa"/>
            <w:tcBorders>
              <w:top w:val="single" w:sz="5" w:space="0" w:color="000000"/>
              <w:left w:val="single" w:sz="5" w:space="0" w:color="000000"/>
              <w:bottom w:val="single" w:sz="5" w:space="0" w:color="000000"/>
              <w:right w:val="single" w:sz="5" w:space="0" w:color="000000"/>
            </w:tcBorders>
          </w:tcPr>
          <w:p w14:paraId="2585EE8E"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Intestinalna perforacija, ileus, intestinalna opstrukcija, rektovaginalne fistule</w:t>
            </w:r>
            <w:r w:rsidRPr="00D6167B">
              <w:rPr>
                <w:rFonts w:ascii="Times New Roman" w:hAnsi="Times New Roman"/>
                <w:sz w:val="20"/>
                <w:vertAlign w:val="superscript"/>
                <w:lang w:val="hr-HR"/>
              </w:rPr>
              <w:t>c,d</w:t>
            </w:r>
            <w:r w:rsidRPr="00D6167B">
              <w:rPr>
                <w:rFonts w:ascii="Times New Roman" w:hAnsi="Times New Roman"/>
                <w:sz w:val="20"/>
                <w:lang w:val="hr-HR"/>
              </w:rPr>
              <w:t>,</w:t>
            </w:r>
          </w:p>
          <w:p w14:paraId="1E1D76D5"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Gastrointestinalni poremećaj, stomatitis, proktalgija</w:t>
            </w:r>
          </w:p>
        </w:tc>
        <w:tc>
          <w:tcPr>
            <w:tcW w:w="1082" w:type="dxa"/>
            <w:tcBorders>
              <w:top w:val="single" w:sz="5" w:space="0" w:color="000000"/>
              <w:left w:val="single" w:sz="5" w:space="0" w:color="000000"/>
              <w:bottom w:val="single" w:sz="5" w:space="0" w:color="000000"/>
              <w:right w:val="single" w:sz="5" w:space="0" w:color="000000"/>
            </w:tcBorders>
          </w:tcPr>
          <w:p w14:paraId="6B649A86" w14:textId="77777777" w:rsidR="00D15122" w:rsidRPr="00D6167B" w:rsidRDefault="00D15122" w:rsidP="007608DF">
            <w:pPr>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0D88FC05" w14:textId="77777777" w:rsidR="00D15122" w:rsidRPr="00D6167B" w:rsidRDefault="00D15122" w:rsidP="007608DF">
            <w:pPr>
              <w:widowControl/>
              <w:spacing w:line="234"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5B3910AD" w14:textId="77777777" w:rsidR="00D15122" w:rsidRPr="00D6167B" w:rsidRDefault="00D15122" w:rsidP="007608DF">
            <w:pPr>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374193EA" w14:textId="77777777" w:rsidR="00D15122" w:rsidRPr="00D6167B" w:rsidRDefault="009B0756"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Gastrointestinalna perforacija</w:t>
            </w:r>
            <w:r w:rsidRPr="00D6167B">
              <w:rPr>
                <w:rFonts w:ascii="Times New Roman" w:hAnsi="Times New Roman"/>
                <w:sz w:val="20"/>
                <w:vertAlign w:val="superscript"/>
                <w:lang w:val="hr-HR"/>
              </w:rPr>
              <w:t>a,b</w:t>
            </w:r>
            <w:r w:rsidRPr="00D6167B">
              <w:rPr>
                <w:rFonts w:ascii="Times New Roman" w:hAnsi="Times New Roman"/>
                <w:sz w:val="20"/>
                <w:lang w:val="hr-HR"/>
              </w:rPr>
              <w:t>, gastrointestinalne ulceracije</w:t>
            </w:r>
            <w:r w:rsidRPr="00D6167B">
              <w:rPr>
                <w:rFonts w:ascii="Times New Roman" w:hAnsi="Times New Roman"/>
                <w:sz w:val="20"/>
                <w:vertAlign w:val="superscript"/>
                <w:lang w:val="hr-HR"/>
              </w:rPr>
              <w:t>c</w:t>
            </w:r>
            <w:r w:rsidRPr="00D6167B">
              <w:rPr>
                <w:rFonts w:ascii="Times New Roman" w:hAnsi="Times New Roman"/>
                <w:sz w:val="20"/>
                <w:lang w:val="hr-HR"/>
              </w:rPr>
              <w:t>, rektalno krvarenje</w:t>
            </w:r>
          </w:p>
        </w:tc>
      </w:tr>
      <w:tr w:rsidR="00D15122" w:rsidRPr="00D6167B" w14:paraId="66A74BCB" w14:textId="77777777" w:rsidTr="00934346">
        <w:trPr>
          <w:cantSplit/>
        </w:trPr>
        <w:tc>
          <w:tcPr>
            <w:tcW w:w="1297" w:type="dxa"/>
            <w:tcBorders>
              <w:top w:val="single" w:sz="5" w:space="0" w:color="000000"/>
              <w:left w:val="single" w:sz="5" w:space="0" w:color="000000"/>
              <w:bottom w:val="single" w:sz="4" w:space="0" w:color="000000"/>
              <w:right w:val="single" w:sz="5" w:space="0" w:color="000000"/>
            </w:tcBorders>
          </w:tcPr>
          <w:p w14:paraId="11B67F1C"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Poremećaji jetre i žuči</w:t>
            </w:r>
          </w:p>
        </w:tc>
        <w:tc>
          <w:tcPr>
            <w:tcW w:w="1297" w:type="dxa"/>
            <w:tcBorders>
              <w:top w:val="single" w:sz="5" w:space="0" w:color="000000"/>
              <w:left w:val="single" w:sz="5" w:space="0" w:color="000000"/>
              <w:bottom w:val="single" w:sz="4" w:space="0" w:color="000000"/>
              <w:right w:val="single" w:sz="5" w:space="0" w:color="000000"/>
            </w:tcBorders>
          </w:tcPr>
          <w:p w14:paraId="2137158A"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5" w:space="0" w:color="000000"/>
              <w:left w:val="single" w:sz="5" w:space="0" w:color="000000"/>
              <w:bottom w:val="single" w:sz="4" w:space="0" w:color="000000"/>
              <w:right w:val="single" w:sz="5" w:space="0" w:color="000000"/>
            </w:tcBorders>
          </w:tcPr>
          <w:p w14:paraId="594203BB"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82" w:type="dxa"/>
            <w:tcBorders>
              <w:top w:val="single" w:sz="5" w:space="0" w:color="000000"/>
              <w:left w:val="single" w:sz="5" w:space="0" w:color="000000"/>
              <w:bottom w:val="single" w:sz="4" w:space="0" w:color="000000"/>
              <w:right w:val="single" w:sz="5" w:space="0" w:color="000000"/>
            </w:tcBorders>
          </w:tcPr>
          <w:p w14:paraId="54960A67"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4" w:space="0" w:color="000000"/>
              <w:right w:val="single" w:sz="5" w:space="0" w:color="000000"/>
            </w:tcBorders>
          </w:tcPr>
          <w:p w14:paraId="1B19F9B9"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4" w:space="0" w:color="000000"/>
              <w:right w:val="single" w:sz="5" w:space="0" w:color="000000"/>
            </w:tcBorders>
          </w:tcPr>
          <w:p w14:paraId="4E8DDBB0"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4" w:space="0" w:color="000000"/>
              <w:right w:val="single" w:sz="5" w:space="0" w:color="000000"/>
            </w:tcBorders>
          </w:tcPr>
          <w:p w14:paraId="3331D298" w14:textId="77777777" w:rsidR="00D15122" w:rsidRPr="00D6167B" w:rsidRDefault="009B0756" w:rsidP="00D37692">
            <w:pPr>
              <w:pStyle w:val="TableParagraph"/>
              <w:widowControl/>
              <w:spacing w:line="234" w:lineRule="auto"/>
              <w:ind w:right="14"/>
              <w:rPr>
                <w:rFonts w:ascii="Times New Roman" w:hAnsi="Times New Roman"/>
                <w:sz w:val="20"/>
                <w:szCs w:val="20"/>
                <w:vertAlign w:val="superscript"/>
                <w:lang w:val="hr-HR"/>
              </w:rPr>
            </w:pPr>
            <w:r w:rsidRPr="00D6167B">
              <w:rPr>
                <w:rFonts w:ascii="Times New Roman" w:hAnsi="Times New Roman"/>
                <w:sz w:val="20"/>
                <w:lang w:val="hr-HR"/>
              </w:rPr>
              <w:t>Perforacija žučne kese</w:t>
            </w:r>
            <w:r w:rsidRPr="00D6167B">
              <w:rPr>
                <w:rFonts w:ascii="Times New Roman" w:hAnsi="Times New Roman"/>
                <w:sz w:val="20"/>
                <w:vertAlign w:val="superscript"/>
                <w:lang w:val="hr-HR"/>
              </w:rPr>
              <w:t>b,c</w:t>
            </w:r>
          </w:p>
          <w:p w14:paraId="1968DB07" w14:textId="77777777" w:rsidR="003E37B0" w:rsidRPr="00D6167B" w:rsidRDefault="003E37B0" w:rsidP="00D37692">
            <w:pPr>
              <w:pStyle w:val="TableParagraph"/>
              <w:widowControl/>
              <w:spacing w:line="234" w:lineRule="auto"/>
              <w:ind w:right="14"/>
              <w:rPr>
                <w:rFonts w:ascii="Times New Roman" w:hAnsi="Times New Roman"/>
                <w:sz w:val="20"/>
                <w:szCs w:val="20"/>
                <w:lang w:val="hr-HR"/>
              </w:rPr>
            </w:pPr>
          </w:p>
        </w:tc>
      </w:tr>
      <w:tr w:rsidR="00D15122" w:rsidRPr="00D6167B" w14:paraId="2AB2ECC8" w14:textId="77777777" w:rsidTr="00934346">
        <w:trPr>
          <w:cantSplit/>
        </w:trPr>
        <w:tc>
          <w:tcPr>
            <w:tcW w:w="1297" w:type="dxa"/>
            <w:tcBorders>
              <w:top w:val="single" w:sz="4" w:space="0" w:color="000000"/>
              <w:left w:val="single" w:sz="4" w:space="0" w:color="000000"/>
              <w:bottom w:val="single" w:sz="4" w:space="0" w:color="000000"/>
              <w:right w:val="single" w:sz="4" w:space="0" w:color="000000"/>
            </w:tcBorders>
          </w:tcPr>
          <w:p w14:paraId="3B13AA0D"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Poremećaji kože i potkožnog tkiva</w:t>
            </w:r>
          </w:p>
        </w:tc>
        <w:tc>
          <w:tcPr>
            <w:tcW w:w="1297" w:type="dxa"/>
            <w:tcBorders>
              <w:top w:val="single" w:sz="4" w:space="0" w:color="000000"/>
              <w:left w:val="single" w:sz="4" w:space="0" w:color="000000"/>
              <w:bottom w:val="single" w:sz="4" w:space="0" w:color="000000"/>
              <w:right w:val="single" w:sz="4" w:space="0" w:color="000000"/>
            </w:tcBorders>
          </w:tcPr>
          <w:p w14:paraId="7C6F7F7F"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4" w:space="0" w:color="000000"/>
              <w:left w:val="single" w:sz="4" w:space="0" w:color="000000"/>
              <w:bottom w:val="single" w:sz="4" w:space="0" w:color="000000"/>
              <w:right w:val="single" w:sz="4" w:space="0" w:color="000000"/>
            </w:tcBorders>
          </w:tcPr>
          <w:p w14:paraId="5C7B35FA"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Komplikacije pri zarastanju rana</w:t>
            </w:r>
            <w:r w:rsidRPr="00D6167B">
              <w:rPr>
                <w:rFonts w:ascii="Times New Roman" w:hAnsi="Times New Roman"/>
                <w:sz w:val="20"/>
                <w:vertAlign w:val="superscript"/>
                <w:lang w:val="hr-HR"/>
              </w:rPr>
              <w:t>a,b</w:t>
            </w:r>
            <w:r w:rsidRPr="00D6167B">
              <w:rPr>
                <w:rFonts w:ascii="Times New Roman" w:hAnsi="Times New Roman"/>
                <w:sz w:val="20"/>
                <w:lang w:val="hr-HR"/>
              </w:rPr>
              <w:t>, sindrom palmarno-plantarne eritrodizestezije</w:t>
            </w:r>
          </w:p>
        </w:tc>
        <w:tc>
          <w:tcPr>
            <w:tcW w:w="1082" w:type="dxa"/>
            <w:tcBorders>
              <w:top w:val="single" w:sz="4" w:space="0" w:color="000000"/>
              <w:left w:val="single" w:sz="4" w:space="0" w:color="000000"/>
              <w:bottom w:val="single" w:sz="4" w:space="0" w:color="000000"/>
              <w:right w:val="single" w:sz="4" w:space="0" w:color="000000"/>
            </w:tcBorders>
          </w:tcPr>
          <w:p w14:paraId="7DD2A7FC"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4" w:space="0" w:color="000000"/>
              <w:left w:val="single" w:sz="4" w:space="0" w:color="000000"/>
              <w:bottom w:val="single" w:sz="4" w:space="0" w:color="000000"/>
              <w:right w:val="single" w:sz="4" w:space="0" w:color="000000"/>
            </w:tcBorders>
          </w:tcPr>
          <w:p w14:paraId="15836B88"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4" w:space="0" w:color="000000"/>
              <w:left w:val="single" w:sz="4" w:space="0" w:color="000000"/>
              <w:bottom w:val="single" w:sz="4" w:space="0" w:color="000000"/>
              <w:right w:val="single" w:sz="4" w:space="0" w:color="000000"/>
            </w:tcBorders>
          </w:tcPr>
          <w:p w14:paraId="6DC0F2FB"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4" w:space="0" w:color="000000"/>
              <w:left w:val="single" w:sz="4" w:space="0" w:color="000000"/>
              <w:bottom w:val="single" w:sz="4" w:space="0" w:color="000000"/>
              <w:right w:val="single" w:sz="4" w:space="0" w:color="000000"/>
            </w:tcBorders>
          </w:tcPr>
          <w:p w14:paraId="1E367854"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r>
      <w:tr w:rsidR="00D15122" w:rsidRPr="00D6167B" w14:paraId="32535987" w14:textId="77777777" w:rsidTr="00934346">
        <w:trPr>
          <w:cantSplit/>
        </w:trPr>
        <w:tc>
          <w:tcPr>
            <w:tcW w:w="1297" w:type="dxa"/>
            <w:tcBorders>
              <w:top w:val="single" w:sz="4" w:space="0" w:color="000000"/>
              <w:left w:val="single" w:sz="4" w:space="0" w:color="000000"/>
              <w:bottom w:val="single" w:sz="4" w:space="0" w:color="000000"/>
              <w:right w:val="single" w:sz="4" w:space="0" w:color="000000"/>
            </w:tcBorders>
          </w:tcPr>
          <w:p w14:paraId="2D328C53" w14:textId="77777777" w:rsidR="00D15122" w:rsidRPr="00D6167B" w:rsidRDefault="009B0756" w:rsidP="00D37692">
            <w:pPr>
              <w:pStyle w:val="TableParagraph"/>
              <w:widowControl/>
              <w:spacing w:line="235" w:lineRule="auto"/>
              <w:rPr>
                <w:rFonts w:ascii="Times New Roman" w:hAnsi="Times New Roman"/>
                <w:sz w:val="20"/>
                <w:szCs w:val="20"/>
                <w:lang w:val="hr-HR"/>
              </w:rPr>
            </w:pPr>
            <w:r w:rsidRPr="00D6167B">
              <w:rPr>
                <w:rFonts w:ascii="Times New Roman" w:hAnsi="Times New Roman"/>
                <w:sz w:val="20"/>
                <w:lang w:val="hr-HR"/>
              </w:rPr>
              <w:t>Poremećaji mišićno-skeletnog, vezivnog i koštanog tkiva</w:t>
            </w:r>
          </w:p>
        </w:tc>
        <w:tc>
          <w:tcPr>
            <w:tcW w:w="1297" w:type="dxa"/>
            <w:tcBorders>
              <w:top w:val="single" w:sz="4" w:space="0" w:color="000000"/>
              <w:left w:val="single" w:sz="4" w:space="0" w:color="000000"/>
              <w:bottom w:val="single" w:sz="4" w:space="0" w:color="000000"/>
              <w:right w:val="single" w:sz="4" w:space="0" w:color="000000"/>
            </w:tcBorders>
          </w:tcPr>
          <w:p w14:paraId="073E1390" w14:textId="77777777" w:rsidR="00D15122" w:rsidRPr="00D6167B" w:rsidRDefault="00D15122" w:rsidP="00D37692">
            <w:pPr>
              <w:pStyle w:val="TableParagraph"/>
              <w:widowControl/>
              <w:spacing w:line="235" w:lineRule="auto"/>
              <w:ind w:right="14"/>
              <w:rPr>
                <w:rFonts w:ascii="Times New Roman" w:hAnsi="Times New Roman"/>
                <w:sz w:val="20"/>
                <w:szCs w:val="20"/>
                <w:lang w:val="hr-HR"/>
              </w:rPr>
            </w:pPr>
          </w:p>
        </w:tc>
        <w:tc>
          <w:tcPr>
            <w:tcW w:w="1511" w:type="dxa"/>
            <w:tcBorders>
              <w:top w:val="single" w:sz="4" w:space="0" w:color="000000"/>
              <w:left w:val="single" w:sz="4" w:space="0" w:color="000000"/>
              <w:bottom w:val="single" w:sz="4" w:space="0" w:color="000000"/>
              <w:right w:val="single" w:sz="4" w:space="0" w:color="000000"/>
            </w:tcBorders>
          </w:tcPr>
          <w:p w14:paraId="738132C2" w14:textId="77777777" w:rsidR="00D15122" w:rsidRPr="00D6167B" w:rsidRDefault="009B0756" w:rsidP="007608DF">
            <w:pPr>
              <w:pStyle w:val="TableParagraph"/>
              <w:widowControl/>
              <w:spacing w:line="235" w:lineRule="auto"/>
              <w:ind w:right="48"/>
              <w:jc w:val="both"/>
              <w:rPr>
                <w:rFonts w:ascii="Times New Roman" w:hAnsi="Times New Roman"/>
                <w:sz w:val="20"/>
                <w:szCs w:val="20"/>
                <w:lang w:val="hr-HR"/>
              </w:rPr>
            </w:pPr>
            <w:r w:rsidRPr="00D6167B">
              <w:rPr>
                <w:rFonts w:ascii="Times New Roman" w:hAnsi="Times New Roman"/>
                <w:sz w:val="20"/>
                <w:lang w:val="hr-HR"/>
              </w:rPr>
              <w:t>Fistula</w:t>
            </w:r>
            <w:r w:rsidRPr="00D6167B">
              <w:rPr>
                <w:rFonts w:ascii="Times New Roman" w:hAnsi="Times New Roman"/>
                <w:sz w:val="20"/>
                <w:vertAlign w:val="superscript"/>
                <w:lang w:val="hr-HR"/>
              </w:rPr>
              <w:t>a,b</w:t>
            </w:r>
            <w:r w:rsidRPr="00D6167B">
              <w:rPr>
                <w:rFonts w:ascii="Times New Roman" w:hAnsi="Times New Roman"/>
                <w:sz w:val="20"/>
                <w:lang w:val="hr-HR"/>
              </w:rPr>
              <w:t>,</w:t>
            </w:r>
          </w:p>
          <w:p w14:paraId="3E852633" w14:textId="77777777" w:rsidR="00D15122" w:rsidRPr="00D6167B" w:rsidRDefault="00070FA5" w:rsidP="007608DF">
            <w:pPr>
              <w:pStyle w:val="TableParagraph"/>
              <w:widowControl/>
              <w:spacing w:line="235" w:lineRule="auto"/>
              <w:ind w:right="48"/>
              <w:jc w:val="both"/>
              <w:rPr>
                <w:rFonts w:ascii="Times New Roman" w:hAnsi="Times New Roman"/>
                <w:sz w:val="20"/>
                <w:szCs w:val="20"/>
                <w:lang w:val="hr-HR"/>
              </w:rPr>
            </w:pPr>
            <w:r w:rsidRPr="00D6167B">
              <w:rPr>
                <w:rFonts w:ascii="Times New Roman" w:hAnsi="Times New Roman"/>
                <w:sz w:val="20"/>
                <w:lang w:val="hr-HR"/>
              </w:rPr>
              <w:t>m</w:t>
            </w:r>
            <w:r w:rsidR="009B0756" w:rsidRPr="00D6167B">
              <w:rPr>
                <w:rFonts w:ascii="Times New Roman" w:hAnsi="Times New Roman"/>
                <w:sz w:val="20"/>
                <w:lang w:val="hr-HR"/>
              </w:rPr>
              <w:t>ijalgija, artralgija, mišićna slabost, bol u leđima</w:t>
            </w:r>
          </w:p>
        </w:tc>
        <w:tc>
          <w:tcPr>
            <w:tcW w:w="1082" w:type="dxa"/>
            <w:tcBorders>
              <w:top w:val="single" w:sz="4" w:space="0" w:color="000000"/>
              <w:left w:val="single" w:sz="4" w:space="0" w:color="000000"/>
              <w:bottom w:val="single" w:sz="4" w:space="0" w:color="000000"/>
              <w:right w:val="single" w:sz="4" w:space="0" w:color="000000"/>
            </w:tcBorders>
          </w:tcPr>
          <w:p w14:paraId="151757C2"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328" w:type="dxa"/>
            <w:tcBorders>
              <w:top w:val="single" w:sz="4" w:space="0" w:color="000000"/>
              <w:left w:val="single" w:sz="4" w:space="0" w:color="000000"/>
              <w:bottom w:val="single" w:sz="4" w:space="0" w:color="000000"/>
              <w:right w:val="single" w:sz="4" w:space="0" w:color="000000"/>
            </w:tcBorders>
          </w:tcPr>
          <w:p w14:paraId="3B8E702A"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055" w:type="dxa"/>
            <w:tcBorders>
              <w:top w:val="single" w:sz="4" w:space="0" w:color="000000"/>
              <w:left w:val="single" w:sz="4" w:space="0" w:color="000000"/>
              <w:bottom w:val="single" w:sz="4" w:space="0" w:color="000000"/>
              <w:right w:val="single" w:sz="4" w:space="0" w:color="000000"/>
            </w:tcBorders>
          </w:tcPr>
          <w:p w14:paraId="6271C80F" w14:textId="77777777" w:rsidR="00D15122" w:rsidRPr="00D6167B" w:rsidRDefault="00D15122" w:rsidP="007608DF">
            <w:pPr>
              <w:pStyle w:val="TableParagraph"/>
              <w:widowControl/>
              <w:spacing w:line="235" w:lineRule="auto"/>
              <w:ind w:right="14"/>
              <w:jc w:val="both"/>
              <w:rPr>
                <w:rFonts w:ascii="Times New Roman" w:hAnsi="Times New Roman"/>
                <w:sz w:val="20"/>
                <w:szCs w:val="20"/>
                <w:lang w:val="hr-HR"/>
              </w:rPr>
            </w:pPr>
          </w:p>
        </w:tc>
        <w:tc>
          <w:tcPr>
            <w:tcW w:w="1506" w:type="dxa"/>
            <w:tcBorders>
              <w:top w:val="single" w:sz="4" w:space="0" w:color="000000"/>
              <w:left w:val="single" w:sz="4" w:space="0" w:color="000000"/>
              <w:bottom w:val="single" w:sz="4" w:space="0" w:color="000000"/>
              <w:right w:val="single" w:sz="4" w:space="0" w:color="000000"/>
            </w:tcBorders>
          </w:tcPr>
          <w:p w14:paraId="4214C842" w14:textId="77777777" w:rsidR="00D15122" w:rsidRPr="00D6167B" w:rsidRDefault="009B0756" w:rsidP="00D37692">
            <w:pPr>
              <w:pStyle w:val="TableParagraph"/>
              <w:widowControl/>
              <w:spacing w:line="235" w:lineRule="auto"/>
              <w:ind w:right="14"/>
              <w:rPr>
                <w:rFonts w:ascii="Times New Roman" w:hAnsi="Times New Roman"/>
                <w:sz w:val="20"/>
                <w:szCs w:val="20"/>
                <w:lang w:val="hr-HR"/>
              </w:rPr>
            </w:pPr>
            <w:r w:rsidRPr="00D6167B">
              <w:rPr>
                <w:rFonts w:ascii="Times New Roman" w:hAnsi="Times New Roman"/>
                <w:sz w:val="20"/>
                <w:lang w:val="hr-HR"/>
              </w:rPr>
              <w:t>Osteonekroza vilice</w:t>
            </w:r>
            <w:r w:rsidRPr="00D6167B">
              <w:rPr>
                <w:rFonts w:ascii="Times New Roman" w:hAnsi="Times New Roman"/>
                <w:sz w:val="20"/>
                <w:vertAlign w:val="superscript"/>
                <w:lang w:val="hr-HR"/>
              </w:rPr>
              <w:t>b,c</w:t>
            </w:r>
          </w:p>
        </w:tc>
      </w:tr>
      <w:tr w:rsidR="00D15122" w:rsidRPr="00D6167B" w14:paraId="0B8BEE06" w14:textId="77777777" w:rsidTr="00934346">
        <w:trPr>
          <w:cantSplit/>
        </w:trPr>
        <w:tc>
          <w:tcPr>
            <w:tcW w:w="1297" w:type="dxa"/>
            <w:tcBorders>
              <w:top w:val="single" w:sz="4" w:space="0" w:color="000000"/>
              <w:left w:val="single" w:sz="4" w:space="0" w:color="000000"/>
              <w:bottom w:val="single" w:sz="4" w:space="0" w:color="000000"/>
              <w:right w:val="single" w:sz="4" w:space="0" w:color="000000"/>
            </w:tcBorders>
          </w:tcPr>
          <w:p w14:paraId="429E69CF" w14:textId="77777777" w:rsidR="00D15122" w:rsidRPr="00D6167B" w:rsidRDefault="009B0756" w:rsidP="00D37692">
            <w:pPr>
              <w:pStyle w:val="TableParagraph"/>
              <w:keepNext/>
              <w:widowControl/>
              <w:spacing w:line="235" w:lineRule="auto"/>
              <w:rPr>
                <w:rFonts w:ascii="Times New Roman" w:hAnsi="Times New Roman"/>
                <w:sz w:val="20"/>
                <w:szCs w:val="20"/>
                <w:lang w:val="hr-HR"/>
              </w:rPr>
            </w:pPr>
            <w:r w:rsidRPr="00D6167B">
              <w:rPr>
                <w:rFonts w:ascii="Times New Roman" w:hAnsi="Times New Roman"/>
                <w:sz w:val="20"/>
                <w:lang w:val="hr-HR"/>
              </w:rPr>
              <w:t>Poremećaji bubrega i urinarnog sistema</w:t>
            </w:r>
          </w:p>
        </w:tc>
        <w:tc>
          <w:tcPr>
            <w:tcW w:w="1297" w:type="dxa"/>
            <w:tcBorders>
              <w:top w:val="single" w:sz="4" w:space="0" w:color="000000"/>
              <w:left w:val="single" w:sz="4" w:space="0" w:color="000000"/>
              <w:bottom w:val="single" w:sz="4" w:space="0" w:color="000000"/>
              <w:right w:val="single" w:sz="4" w:space="0" w:color="000000"/>
            </w:tcBorders>
          </w:tcPr>
          <w:p w14:paraId="524DF4E7" w14:textId="77777777" w:rsidR="00D15122" w:rsidRPr="00D6167B" w:rsidRDefault="00D15122" w:rsidP="00D37692">
            <w:pPr>
              <w:pStyle w:val="TableParagraph"/>
              <w:keepNext/>
              <w:widowControl/>
              <w:spacing w:line="235" w:lineRule="auto"/>
              <w:ind w:right="14"/>
              <w:rPr>
                <w:rFonts w:ascii="Times New Roman" w:hAnsi="Times New Roman"/>
                <w:sz w:val="20"/>
                <w:szCs w:val="20"/>
                <w:lang w:val="hr-HR"/>
              </w:rPr>
            </w:pPr>
          </w:p>
        </w:tc>
        <w:tc>
          <w:tcPr>
            <w:tcW w:w="1511" w:type="dxa"/>
            <w:tcBorders>
              <w:top w:val="single" w:sz="4" w:space="0" w:color="000000"/>
              <w:left w:val="single" w:sz="4" w:space="0" w:color="000000"/>
              <w:bottom w:val="single" w:sz="4" w:space="0" w:color="000000"/>
              <w:right w:val="single" w:sz="4" w:space="0" w:color="000000"/>
            </w:tcBorders>
          </w:tcPr>
          <w:p w14:paraId="13B91F6E" w14:textId="77777777" w:rsidR="00D15122" w:rsidRPr="00D6167B" w:rsidRDefault="009B0756" w:rsidP="007608DF">
            <w:pPr>
              <w:pStyle w:val="TableParagraph"/>
              <w:keepNext/>
              <w:widowControl/>
              <w:spacing w:line="235" w:lineRule="auto"/>
              <w:ind w:right="48"/>
              <w:jc w:val="both"/>
              <w:rPr>
                <w:rFonts w:ascii="Times New Roman" w:hAnsi="Times New Roman"/>
                <w:sz w:val="20"/>
                <w:szCs w:val="20"/>
                <w:lang w:val="hr-HR"/>
              </w:rPr>
            </w:pPr>
            <w:r w:rsidRPr="00D6167B">
              <w:rPr>
                <w:rFonts w:ascii="Times New Roman" w:hAnsi="Times New Roman"/>
                <w:sz w:val="20"/>
                <w:lang w:val="hr-HR"/>
              </w:rPr>
              <w:t>Proteinurija</w:t>
            </w:r>
            <w:r w:rsidRPr="00D6167B">
              <w:rPr>
                <w:rFonts w:ascii="Times New Roman" w:hAnsi="Times New Roman"/>
                <w:sz w:val="20"/>
                <w:vertAlign w:val="superscript"/>
                <w:lang w:val="hr-HR"/>
              </w:rPr>
              <w:t>a,b</w:t>
            </w:r>
          </w:p>
        </w:tc>
        <w:tc>
          <w:tcPr>
            <w:tcW w:w="1082" w:type="dxa"/>
            <w:tcBorders>
              <w:top w:val="single" w:sz="4" w:space="0" w:color="000000"/>
              <w:left w:val="single" w:sz="4" w:space="0" w:color="000000"/>
              <w:bottom w:val="single" w:sz="4" w:space="0" w:color="000000"/>
              <w:right w:val="single" w:sz="4" w:space="0" w:color="000000"/>
            </w:tcBorders>
          </w:tcPr>
          <w:p w14:paraId="3FF78CD0" w14:textId="77777777" w:rsidR="00D15122" w:rsidRPr="00D6167B" w:rsidRDefault="00D15122" w:rsidP="007608DF">
            <w:pPr>
              <w:pStyle w:val="TableParagraph"/>
              <w:keepNext/>
              <w:widowControl/>
              <w:spacing w:line="235" w:lineRule="auto"/>
              <w:ind w:right="14"/>
              <w:jc w:val="both"/>
              <w:rPr>
                <w:rFonts w:ascii="Times New Roman" w:hAnsi="Times New Roman"/>
                <w:sz w:val="20"/>
                <w:szCs w:val="20"/>
                <w:lang w:val="hr-HR"/>
              </w:rPr>
            </w:pPr>
          </w:p>
        </w:tc>
        <w:tc>
          <w:tcPr>
            <w:tcW w:w="1328" w:type="dxa"/>
            <w:tcBorders>
              <w:top w:val="single" w:sz="4" w:space="0" w:color="000000"/>
              <w:left w:val="single" w:sz="4" w:space="0" w:color="000000"/>
              <w:bottom w:val="single" w:sz="4" w:space="0" w:color="000000"/>
              <w:right w:val="single" w:sz="4" w:space="0" w:color="000000"/>
            </w:tcBorders>
          </w:tcPr>
          <w:p w14:paraId="16E1D6D7" w14:textId="77777777" w:rsidR="00D15122" w:rsidRPr="00D6167B" w:rsidRDefault="00D15122" w:rsidP="007608DF">
            <w:pPr>
              <w:pStyle w:val="TableParagraph"/>
              <w:keepNext/>
              <w:widowControl/>
              <w:spacing w:line="235" w:lineRule="auto"/>
              <w:ind w:right="14"/>
              <w:jc w:val="both"/>
              <w:rPr>
                <w:rFonts w:ascii="Times New Roman" w:hAnsi="Times New Roman"/>
                <w:sz w:val="20"/>
                <w:szCs w:val="20"/>
                <w:lang w:val="hr-HR"/>
              </w:rPr>
            </w:pPr>
          </w:p>
        </w:tc>
        <w:tc>
          <w:tcPr>
            <w:tcW w:w="1055" w:type="dxa"/>
            <w:tcBorders>
              <w:top w:val="single" w:sz="4" w:space="0" w:color="000000"/>
              <w:left w:val="single" w:sz="4" w:space="0" w:color="000000"/>
              <w:bottom w:val="single" w:sz="4" w:space="0" w:color="000000"/>
              <w:right w:val="single" w:sz="4" w:space="0" w:color="000000"/>
            </w:tcBorders>
          </w:tcPr>
          <w:p w14:paraId="70FBB052" w14:textId="77777777" w:rsidR="00D15122" w:rsidRPr="00D6167B" w:rsidRDefault="00D15122" w:rsidP="007608DF">
            <w:pPr>
              <w:pStyle w:val="TableParagraph"/>
              <w:keepNext/>
              <w:widowControl/>
              <w:spacing w:line="235" w:lineRule="auto"/>
              <w:ind w:right="14"/>
              <w:jc w:val="both"/>
              <w:rPr>
                <w:rFonts w:ascii="Times New Roman" w:hAnsi="Times New Roman"/>
                <w:sz w:val="20"/>
                <w:szCs w:val="20"/>
                <w:lang w:val="hr-HR"/>
              </w:rPr>
            </w:pPr>
          </w:p>
        </w:tc>
        <w:tc>
          <w:tcPr>
            <w:tcW w:w="1506" w:type="dxa"/>
            <w:tcBorders>
              <w:top w:val="single" w:sz="4" w:space="0" w:color="000000"/>
              <w:left w:val="single" w:sz="4" w:space="0" w:color="000000"/>
              <w:bottom w:val="single" w:sz="4" w:space="0" w:color="000000"/>
              <w:right w:val="single" w:sz="4" w:space="0" w:color="000000"/>
            </w:tcBorders>
          </w:tcPr>
          <w:p w14:paraId="02A83F2A" w14:textId="77777777" w:rsidR="00D15122" w:rsidRPr="00D6167B" w:rsidRDefault="00D15122" w:rsidP="00D37692">
            <w:pPr>
              <w:pStyle w:val="TableParagraph"/>
              <w:keepNext/>
              <w:widowControl/>
              <w:spacing w:line="235" w:lineRule="auto"/>
              <w:ind w:right="14"/>
              <w:rPr>
                <w:rFonts w:ascii="Times New Roman" w:hAnsi="Times New Roman"/>
                <w:sz w:val="20"/>
                <w:szCs w:val="20"/>
                <w:lang w:val="hr-HR"/>
              </w:rPr>
            </w:pPr>
          </w:p>
        </w:tc>
      </w:tr>
      <w:tr w:rsidR="00D15122" w:rsidRPr="00D6167B" w14:paraId="6FDC3078" w14:textId="77777777" w:rsidTr="00934346">
        <w:trPr>
          <w:cantSplit/>
        </w:trPr>
        <w:tc>
          <w:tcPr>
            <w:tcW w:w="1297" w:type="dxa"/>
            <w:tcBorders>
              <w:top w:val="single" w:sz="4" w:space="0" w:color="000000"/>
              <w:left w:val="single" w:sz="5" w:space="0" w:color="000000"/>
              <w:bottom w:val="single" w:sz="5" w:space="0" w:color="000000"/>
              <w:right w:val="single" w:sz="5" w:space="0" w:color="000000"/>
            </w:tcBorders>
          </w:tcPr>
          <w:p w14:paraId="123725C4"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Poremećaji reproduktivnog sistema i dojki</w:t>
            </w:r>
          </w:p>
        </w:tc>
        <w:tc>
          <w:tcPr>
            <w:tcW w:w="1297" w:type="dxa"/>
            <w:tcBorders>
              <w:top w:val="single" w:sz="4" w:space="0" w:color="000000"/>
              <w:left w:val="single" w:sz="5" w:space="0" w:color="000000"/>
              <w:bottom w:val="single" w:sz="5" w:space="0" w:color="000000"/>
              <w:right w:val="single" w:sz="5" w:space="0" w:color="000000"/>
            </w:tcBorders>
          </w:tcPr>
          <w:p w14:paraId="68B0828B"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4" w:space="0" w:color="000000"/>
              <w:left w:val="single" w:sz="5" w:space="0" w:color="000000"/>
              <w:bottom w:val="single" w:sz="5" w:space="0" w:color="000000"/>
              <w:right w:val="single" w:sz="5" w:space="0" w:color="000000"/>
            </w:tcBorders>
          </w:tcPr>
          <w:p w14:paraId="568D01D9"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Bol u karlici</w:t>
            </w:r>
          </w:p>
        </w:tc>
        <w:tc>
          <w:tcPr>
            <w:tcW w:w="1082" w:type="dxa"/>
            <w:tcBorders>
              <w:top w:val="single" w:sz="4" w:space="0" w:color="000000"/>
              <w:left w:val="single" w:sz="5" w:space="0" w:color="000000"/>
              <w:bottom w:val="single" w:sz="5" w:space="0" w:color="000000"/>
              <w:right w:val="single" w:sz="5" w:space="0" w:color="000000"/>
            </w:tcBorders>
          </w:tcPr>
          <w:p w14:paraId="7A8CC0D6"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4" w:space="0" w:color="000000"/>
              <w:left w:val="single" w:sz="5" w:space="0" w:color="000000"/>
              <w:bottom w:val="single" w:sz="5" w:space="0" w:color="000000"/>
              <w:right w:val="single" w:sz="5" w:space="0" w:color="000000"/>
            </w:tcBorders>
          </w:tcPr>
          <w:p w14:paraId="04CEDE3D"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4" w:space="0" w:color="000000"/>
              <w:left w:val="single" w:sz="5" w:space="0" w:color="000000"/>
              <w:bottom w:val="single" w:sz="5" w:space="0" w:color="000000"/>
              <w:right w:val="single" w:sz="5" w:space="0" w:color="000000"/>
            </w:tcBorders>
          </w:tcPr>
          <w:p w14:paraId="0F306D74"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4" w:space="0" w:color="000000"/>
              <w:left w:val="single" w:sz="5" w:space="0" w:color="000000"/>
              <w:bottom w:val="single" w:sz="5" w:space="0" w:color="000000"/>
              <w:right w:val="single" w:sz="5" w:space="0" w:color="000000"/>
            </w:tcBorders>
          </w:tcPr>
          <w:p w14:paraId="4FE3C3D2" w14:textId="77777777" w:rsidR="00D15122" w:rsidRPr="00D6167B" w:rsidRDefault="009B0756"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Poremećaj rada jajnika</w:t>
            </w:r>
            <w:r w:rsidRPr="00D6167B">
              <w:rPr>
                <w:rFonts w:ascii="Times New Roman" w:hAnsi="Times New Roman"/>
                <w:sz w:val="20"/>
                <w:vertAlign w:val="superscript"/>
                <w:lang w:val="hr-HR"/>
              </w:rPr>
              <w:t>a,b</w:t>
            </w:r>
          </w:p>
        </w:tc>
      </w:tr>
      <w:tr w:rsidR="00D15122" w:rsidRPr="00D6167B" w14:paraId="71A3B545"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6D3C5BFC" w14:textId="77777777" w:rsidR="00D15122" w:rsidRPr="00D6167B" w:rsidRDefault="009B0756" w:rsidP="00D37692">
            <w:pPr>
              <w:pStyle w:val="TableParagraph"/>
              <w:widowControl/>
              <w:spacing w:line="234" w:lineRule="auto"/>
              <w:rPr>
                <w:rFonts w:ascii="Times New Roman" w:hAnsi="Times New Roman"/>
                <w:sz w:val="20"/>
                <w:szCs w:val="20"/>
                <w:lang w:val="hr-HR"/>
              </w:rPr>
            </w:pPr>
            <w:r w:rsidRPr="00D6167B">
              <w:rPr>
                <w:rFonts w:ascii="Times New Roman" w:hAnsi="Times New Roman"/>
                <w:sz w:val="20"/>
                <w:lang w:val="hr-HR"/>
              </w:rPr>
              <w:t>Urođeni, porodični i genetski poremećaj</w:t>
            </w:r>
          </w:p>
        </w:tc>
        <w:tc>
          <w:tcPr>
            <w:tcW w:w="1297" w:type="dxa"/>
            <w:tcBorders>
              <w:top w:val="single" w:sz="5" w:space="0" w:color="000000"/>
              <w:left w:val="single" w:sz="5" w:space="0" w:color="000000"/>
              <w:bottom w:val="single" w:sz="5" w:space="0" w:color="000000"/>
              <w:right w:val="single" w:sz="5" w:space="0" w:color="000000"/>
            </w:tcBorders>
          </w:tcPr>
          <w:p w14:paraId="3FA1BE12"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c>
          <w:tcPr>
            <w:tcW w:w="1511" w:type="dxa"/>
            <w:tcBorders>
              <w:top w:val="single" w:sz="5" w:space="0" w:color="000000"/>
              <w:left w:val="single" w:sz="5" w:space="0" w:color="000000"/>
              <w:bottom w:val="single" w:sz="5" w:space="0" w:color="000000"/>
              <w:right w:val="single" w:sz="5" w:space="0" w:color="000000"/>
            </w:tcBorders>
          </w:tcPr>
          <w:p w14:paraId="3B058531"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82" w:type="dxa"/>
            <w:tcBorders>
              <w:top w:val="single" w:sz="5" w:space="0" w:color="000000"/>
              <w:left w:val="single" w:sz="5" w:space="0" w:color="000000"/>
              <w:bottom w:val="single" w:sz="5" w:space="0" w:color="000000"/>
              <w:right w:val="single" w:sz="5" w:space="0" w:color="000000"/>
            </w:tcBorders>
          </w:tcPr>
          <w:p w14:paraId="5DD37BAC"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153C4B48"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4520BBCF"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13D1C5F3" w14:textId="77777777" w:rsidR="00D15122" w:rsidRPr="00D6167B" w:rsidRDefault="009B0756"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Abnormalnosti fetusa</w:t>
            </w:r>
            <w:r w:rsidRPr="00D6167B">
              <w:rPr>
                <w:rFonts w:ascii="Times New Roman" w:hAnsi="Times New Roman"/>
                <w:sz w:val="20"/>
                <w:vertAlign w:val="superscript"/>
                <w:lang w:val="hr-HR"/>
              </w:rPr>
              <w:t>a,c</w:t>
            </w:r>
          </w:p>
        </w:tc>
      </w:tr>
      <w:tr w:rsidR="00D15122" w:rsidRPr="00D6167B" w14:paraId="642E5C5E" w14:textId="77777777" w:rsidTr="00934346">
        <w:trPr>
          <w:cantSplit/>
        </w:trPr>
        <w:tc>
          <w:tcPr>
            <w:tcW w:w="1297" w:type="dxa"/>
            <w:tcBorders>
              <w:top w:val="single" w:sz="5" w:space="0" w:color="000000"/>
              <w:left w:val="single" w:sz="5" w:space="0" w:color="000000"/>
              <w:bottom w:val="single" w:sz="5" w:space="0" w:color="000000"/>
              <w:right w:val="single" w:sz="5" w:space="0" w:color="000000"/>
            </w:tcBorders>
          </w:tcPr>
          <w:p w14:paraId="306E0889" w14:textId="77777777" w:rsidR="00D15122" w:rsidRPr="00D6167B" w:rsidRDefault="009B0756" w:rsidP="00D37692">
            <w:pPr>
              <w:pStyle w:val="TableParagraph"/>
              <w:keepNext/>
              <w:widowControl/>
              <w:spacing w:line="235" w:lineRule="auto"/>
              <w:rPr>
                <w:rFonts w:ascii="Times New Roman" w:hAnsi="Times New Roman"/>
                <w:sz w:val="20"/>
                <w:szCs w:val="20"/>
                <w:lang w:val="hr-HR"/>
              </w:rPr>
            </w:pPr>
            <w:r w:rsidRPr="00D6167B">
              <w:rPr>
                <w:rFonts w:ascii="Times New Roman" w:hAnsi="Times New Roman"/>
                <w:sz w:val="20"/>
                <w:lang w:val="hr-HR"/>
              </w:rPr>
              <w:t>Opšti poremećaji i reakcije na mjestu primjene</w:t>
            </w:r>
          </w:p>
        </w:tc>
        <w:tc>
          <w:tcPr>
            <w:tcW w:w="1297" w:type="dxa"/>
            <w:tcBorders>
              <w:top w:val="single" w:sz="5" w:space="0" w:color="000000"/>
              <w:left w:val="single" w:sz="5" w:space="0" w:color="000000"/>
              <w:bottom w:val="single" w:sz="5" w:space="0" w:color="000000"/>
              <w:right w:val="single" w:sz="5" w:space="0" w:color="000000"/>
            </w:tcBorders>
          </w:tcPr>
          <w:p w14:paraId="084A3BFA" w14:textId="77777777" w:rsidR="00D15122" w:rsidRPr="00D6167B" w:rsidRDefault="009B0756" w:rsidP="00D37692">
            <w:pPr>
              <w:pStyle w:val="TableParagraph"/>
              <w:widowControl/>
              <w:spacing w:line="234" w:lineRule="auto"/>
              <w:ind w:right="14"/>
              <w:rPr>
                <w:rFonts w:ascii="Times New Roman" w:hAnsi="Times New Roman"/>
                <w:sz w:val="20"/>
                <w:szCs w:val="20"/>
                <w:lang w:val="hr-HR"/>
              </w:rPr>
            </w:pPr>
            <w:r w:rsidRPr="00D6167B">
              <w:rPr>
                <w:rFonts w:ascii="Times New Roman" w:hAnsi="Times New Roman"/>
                <w:sz w:val="20"/>
                <w:lang w:val="hr-HR"/>
              </w:rPr>
              <w:t>Astenija, umor</w:t>
            </w:r>
          </w:p>
        </w:tc>
        <w:tc>
          <w:tcPr>
            <w:tcW w:w="1511" w:type="dxa"/>
            <w:tcBorders>
              <w:top w:val="single" w:sz="5" w:space="0" w:color="000000"/>
              <w:left w:val="single" w:sz="5" w:space="0" w:color="000000"/>
              <w:bottom w:val="single" w:sz="5" w:space="0" w:color="000000"/>
              <w:right w:val="single" w:sz="5" w:space="0" w:color="000000"/>
            </w:tcBorders>
          </w:tcPr>
          <w:p w14:paraId="22EB8EE2" w14:textId="77777777" w:rsidR="00D15122" w:rsidRPr="00D6167B" w:rsidRDefault="009B0756" w:rsidP="007608DF">
            <w:pPr>
              <w:pStyle w:val="TableParagraph"/>
              <w:widowControl/>
              <w:spacing w:line="234" w:lineRule="auto"/>
              <w:ind w:right="14"/>
              <w:jc w:val="both"/>
              <w:rPr>
                <w:rFonts w:ascii="Times New Roman" w:hAnsi="Times New Roman"/>
                <w:sz w:val="20"/>
                <w:szCs w:val="20"/>
                <w:lang w:val="hr-HR"/>
              </w:rPr>
            </w:pPr>
            <w:r w:rsidRPr="00D6167B">
              <w:rPr>
                <w:rFonts w:ascii="Times New Roman" w:hAnsi="Times New Roman"/>
                <w:sz w:val="20"/>
                <w:lang w:val="hr-HR"/>
              </w:rPr>
              <w:t>Bol, letargija, upala sluzokože</w:t>
            </w:r>
          </w:p>
        </w:tc>
        <w:tc>
          <w:tcPr>
            <w:tcW w:w="1082" w:type="dxa"/>
            <w:tcBorders>
              <w:top w:val="single" w:sz="5" w:space="0" w:color="000000"/>
              <w:left w:val="single" w:sz="5" w:space="0" w:color="000000"/>
              <w:bottom w:val="single" w:sz="5" w:space="0" w:color="000000"/>
              <w:right w:val="single" w:sz="5" w:space="0" w:color="000000"/>
            </w:tcBorders>
          </w:tcPr>
          <w:p w14:paraId="41D53C42"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328" w:type="dxa"/>
            <w:tcBorders>
              <w:top w:val="single" w:sz="5" w:space="0" w:color="000000"/>
              <w:left w:val="single" w:sz="5" w:space="0" w:color="000000"/>
              <w:bottom w:val="single" w:sz="5" w:space="0" w:color="000000"/>
              <w:right w:val="single" w:sz="5" w:space="0" w:color="000000"/>
            </w:tcBorders>
          </w:tcPr>
          <w:p w14:paraId="2C7586BF"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055" w:type="dxa"/>
            <w:tcBorders>
              <w:top w:val="single" w:sz="5" w:space="0" w:color="000000"/>
              <w:left w:val="single" w:sz="5" w:space="0" w:color="000000"/>
              <w:bottom w:val="single" w:sz="5" w:space="0" w:color="000000"/>
              <w:right w:val="single" w:sz="5" w:space="0" w:color="000000"/>
            </w:tcBorders>
          </w:tcPr>
          <w:p w14:paraId="33BF0DE7" w14:textId="77777777" w:rsidR="00D15122" w:rsidRPr="00D6167B" w:rsidRDefault="00D15122" w:rsidP="007608DF">
            <w:pPr>
              <w:pStyle w:val="TableParagraph"/>
              <w:widowControl/>
              <w:spacing w:line="234" w:lineRule="auto"/>
              <w:ind w:right="14"/>
              <w:jc w:val="both"/>
              <w:rPr>
                <w:rFonts w:ascii="Times New Roman" w:hAnsi="Times New Roman"/>
                <w:sz w:val="20"/>
                <w:szCs w:val="20"/>
                <w:lang w:val="hr-HR"/>
              </w:rPr>
            </w:pPr>
          </w:p>
        </w:tc>
        <w:tc>
          <w:tcPr>
            <w:tcW w:w="1506" w:type="dxa"/>
            <w:tcBorders>
              <w:top w:val="single" w:sz="5" w:space="0" w:color="000000"/>
              <w:left w:val="single" w:sz="5" w:space="0" w:color="000000"/>
              <w:bottom w:val="single" w:sz="5" w:space="0" w:color="000000"/>
              <w:right w:val="single" w:sz="5" w:space="0" w:color="000000"/>
            </w:tcBorders>
          </w:tcPr>
          <w:p w14:paraId="43851974" w14:textId="77777777" w:rsidR="00D15122" w:rsidRPr="00D6167B" w:rsidRDefault="00D15122" w:rsidP="00D37692">
            <w:pPr>
              <w:pStyle w:val="TableParagraph"/>
              <w:widowControl/>
              <w:spacing w:line="234" w:lineRule="auto"/>
              <w:ind w:right="14"/>
              <w:rPr>
                <w:rFonts w:ascii="Times New Roman" w:hAnsi="Times New Roman"/>
                <w:sz w:val="20"/>
                <w:szCs w:val="20"/>
                <w:lang w:val="hr-HR"/>
              </w:rPr>
            </w:pPr>
          </w:p>
        </w:tc>
      </w:tr>
    </w:tbl>
    <w:p w14:paraId="619A6B32" w14:textId="77777777" w:rsidR="00D15122" w:rsidRPr="00D6167B" w:rsidRDefault="00D15122" w:rsidP="007608DF">
      <w:pPr>
        <w:widowControl/>
        <w:jc w:val="both"/>
        <w:rPr>
          <w:rFonts w:ascii="Times New Roman" w:eastAsia="Times New Roman" w:hAnsi="Times New Roman"/>
          <w:bCs/>
          <w:lang w:val="hr-HR"/>
        </w:rPr>
      </w:pPr>
    </w:p>
    <w:p w14:paraId="7C0F5053" w14:textId="01D17CF2" w:rsidR="00D15122" w:rsidRPr="00D6167B" w:rsidRDefault="009B0756" w:rsidP="007608DF">
      <w:pPr>
        <w:widowControl/>
        <w:jc w:val="both"/>
        <w:rPr>
          <w:rFonts w:ascii="Times New Roman" w:eastAsia="Times New Roman" w:hAnsi="Times New Roman"/>
          <w:sz w:val="20"/>
          <w:szCs w:val="20"/>
          <w:lang w:val="hr-HR"/>
        </w:rPr>
      </w:pPr>
      <w:r w:rsidRPr="00D6167B">
        <w:rPr>
          <w:rFonts w:ascii="Times New Roman" w:hAnsi="Times New Roman"/>
          <w:sz w:val="20"/>
          <w:lang w:val="hr-HR"/>
        </w:rPr>
        <w:lastRenderedPageBreak/>
        <w:t>U tabeli 2 su navedene učestalosti ozbiljnih neželjenih reakcija. Ozbiljne reakcije se definišu kao neželjene reakcije sa najmanje 2% razlike u odnosu na kontroln</w:t>
      </w:r>
      <w:r w:rsidR="00017976" w:rsidRPr="00D6167B">
        <w:rPr>
          <w:rFonts w:ascii="Times New Roman" w:hAnsi="Times New Roman"/>
          <w:sz w:val="20"/>
          <w:lang w:val="hr-HR"/>
        </w:rPr>
        <w:t>u grupu</w:t>
      </w:r>
      <w:r w:rsidRPr="00D6167B">
        <w:rPr>
          <w:rFonts w:ascii="Times New Roman" w:hAnsi="Times New Roman"/>
          <w:sz w:val="20"/>
          <w:lang w:val="hr-HR"/>
        </w:rPr>
        <w:t xml:space="preserve"> u kliničkim studijama za reakcije gradusa 3–5 prema NCI-CTCAE. U tabeli 2 su navedene i neželjene reakcije za koje MAH smatra da su klinički bitne ili ozbiljne. Ove klinički bitne neželjene reakcije prijavljene su u kliničkim ispitivanjima, ali reakcije gradusa 3–5 nijesu ostvarile graničnu vrijednost od najmanje 2% razlike u poređenju sa kontroln</w:t>
      </w:r>
      <w:r w:rsidR="00017976" w:rsidRPr="00D6167B">
        <w:rPr>
          <w:rFonts w:ascii="Times New Roman" w:hAnsi="Times New Roman"/>
          <w:sz w:val="20"/>
          <w:lang w:val="hr-HR"/>
        </w:rPr>
        <w:t>om grupom</w:t>
      </w:r>
      <w:r w:rsidRPr="00D6167B">
        <w:rPr>
          <w:rFonts w:ascii="Times New Roman" w:hAnsi="Times New Roman"/>
          <w:sz w:val="20"/>
          <w:lang w:val="hr-HR"/>
        </w:rPr>
        <w:t>. Tabela 2 obuhvata i klinički značajne neželjene reakcije koje su prim</w:t>
      </w:r>
      <w:r w:rsidR="001054C9" w:rsidRPr="00D6167B">
        <w:rPr>
          <w:rFonts w:ascii="Times New Roman" w:hAnsi="Times New Roman"/>
          <w:sz w:val="20"/>
          <w:lang w:val="hr-HR"/>
        </w:rPr>
        <w:t>i</w:t>
      </w:r>
      <w:r w:rsidRPr="00D6167B">
        <w:rPr>
          <w:rFonts w:ascii="Times New Roman" w:hAnsi="Times New Roman"/>
          <w:sz w:val="20"/>
          <w:lang w:val="hr-HR"/>
        </w:rPr>
        <w:t xml:space="preserve">jećene samo nakon stavljanja </w:t>
      </w:r>
      <w:r w:rsidR="001B5BB7" w:rsidRPr="00D6167B">
        <w:rPr>
          <w:rFonts w:ascii="Times New Roman" w:hAnsi="Times New Roman"/>
          <w:sz w:val="20"/>
          <w:lang w:val="hr-HR"/>
        </w:rPr>
        <w:t xml:space="preserve">lijeka </w:t>
      </w:r>
      <w:r w:rsidRPr="00D6167B">
        <w:rPr>
          <w:rFonts w:ascii="Times New Roman" w:hAnsi="Times New Roman"/>
          <w:sz w:val="20"/>
          <w:lang w:val="hr-HR"/>
        </w:rPr>
        <w:t xml:space="preserve">u promet, pa stoga </w:t>
      </w:r>
      <w:r w:rsidR="00691C2C">
        <w:rPr>
          <w:rFonts w:ascii="Times New Roman" w:hAnsi="Times New Roman"/>
          <w:sz w:val="20"/>
          <w:lang w:val="hr-HR"/>
        </w:rPr>
        <w:t xml:space="preserve">njihova </w:t>
      </w:r>
      <w:r w:rsidRPr="00D6167B">
        <w:rPr>
          <w:rFonts w:ascii="Times New Roman" w:hAnsi="Times New Roman"/>
          <w:sz w:val="20"/>
          <w:lang w:val="hr-HR"/>
        </w:rPr>
        <w:t>učestalost i gradus prema NCI-CTCAE nijesu poznati. Ove klinički značajne reakcije su zato uključene u tabelu 2 u okviru kolone pod naslovom „Učestalost nije poznata“.</w:t>
      </w:r>
    </w:p>
    <w:p w14:paraId="72898752" w14:textId="77777777" w:rsidR="00D970C2" w:rsidRPr="00D6167B" w:rsidRDefault="00D970C2" w:rsidP="007608DF">
      <w:pPr>
        <w:widowControl/>
        <w:jc w:val="both"/>
        <w:rPr>
          <w:rFonts w:ascii="Times New Roman" w:eastAsia="Times New Roman" w:hAnsi="Times New Roman"/>
          <w:sz w:val="20"/>
          <w:szCs w:val="20"/>
          <w:lang w:val="hr-HR"/>
        </w:rPr>
      </w:pPr>
    </w:p>
    <w:p w14:paraId="211948B5"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Termini predstavljaju grupu događaja koji opisuju neki medicinski koncept, a ne samo jedno stanje ili termin koji propisuje MedDRA (</w:t>
      </w:r>
      <w:r w:rsidRPr="00D37692">
        <w:rPr>
          <w:rFonts w:ascii="Times New Roman" w:hAnsi="Times New Roman"/>
          <w:i/>
          <w:sz w:val="20"/>
          <w:lang w:val="hr-HR"/>
        </w:rPr>
        <w:t>Medical Dictionary for Regulatory Activities</w:t>
      </w:r>
      <w:r w:rsidRPr="00D6167B">
        <w:rPr>
          <w:rFonts w:ascii="Times New Roman" w:hAnsi="Times New Roman"/>
          <w:sz w:val="20"/>
          <w:lang w:val="hr-HR"/>
        </w:rPr>
        <w:t xml:space="preserve"> – </w:t>
      </w:r>
      <w:r w:rsidR="00070FA5" w:rsidRPr="00D6167B">
        <w:rPr>
          <w:rFonts w:ascii="Times New Roman" w:hAnsi="Times New Roman"/>
          <w:sz w:val="20"/>
          <w:lang w:val="hr-HR"/>
        </w:rPr>
        <w:t>M</w:t>
      </w:r>
      <w:r w:rsidRPr="00D6167B">
        <w:rPr>
          <w:rFonts w:ascii="Times New Roman" w:hAnsi="Times New Roman"/>
          <w:sz w:val="20"/>
          <w:lang w:val="hr-HR"/>
        </w:rPr>
        <w:t>edicinski rječnik za regulatorne aktivnosti). Ova grupa medicinskih termina može da obuhvata istu osnovnu patofiziologiju (npr. arterijske tromboembolijske reakcije obuhvataju cerebrovaskularne akcidente, cerebrovaskularne akcidente, tranzitorne ishemijske atake i druge arterijske tromboembolijske reakcije).</w:t>
      </w:r>
    </w:p>
    <w:p w14:paraId="6206FB3A"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b</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 xml:space="preserve">Dodatne informacije potražite u nastavku, u </w:t>
      </w:r>
      <w:r w:rsidR="001054C9" w:rsidRPr="00D6167B">
        <w:rPr>
          <w:rFonts w:ascii="Times New Roman" w:hAnsi="Times New Roman"/>
          <w:sz w:val="20"/>
          <w:lang w:val="hr-HR"/>
        </w:rPr>
        <w:t xml:space="preserve">dijelu </w:t>
      </w:r>
      <w:r w:rsidRPr="00D6167B">
        <w:rPr>
          <w:rFonts w:ascii="Times New Roman" w:hAnsi="Times New Roman"/>
          <w:sz w:val="20"/>
          <w:lang w:val="hr-HR"/>
        </w:rPr>
        <w:t>„Dodatne informacije o odabranim ozbiljnim neželjenim reakcijama“</w:t>
      </w:r>
    </w:p>
    <w:p w14:paraId="40E0D81B"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c</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 xml:space="preserve">Dodatne informacije potražite u tabeli 3 „Neželjene reakcije prijavljene u okruženju nakon stavljanja </w:t>
      </w:r>
      <w:r w:rsidR="001B5BB7" w:rsidRPr="00D6167B">
        <w:rPr>
          <w:rFonts w:ascii="Times New Roman" w:hAnsi="Times New Roman"/>
          <w:sz w:val="20"/>
          <w:lang w:val="hr-HR"/>
        </w:rPr>
        <w:t xml:space="preserve">lijeka </w:t>
      </w:r>
      <w:r w:rsidRPr="00D6167B">
        <w:rPr>
          <w:rFonts w:ascii="Times New Roman" w:hAnsi="Times New Roman"/>
          <w:sz w:val="20"/>
          <w:lang w:val="hr-HR"/>
        </w:rPr>
        <w:t>u promet“.</w:t>
      </w:r>
    </w:p>
    <w:p w14:paraId="0CCF5D34"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d</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Rektovaginalne fistule su najčešće fistule u kategoriji GI-vaginalnih fistula.</w:t>
      </w:r>
    </w:p>
    <w:p w14:paraId="0A373BC2" w14:textId="77777777" w:rsidR="00D15122" w:rsidRPr="00D6167B" w:rsidRDefault="00D15122" w:rsidP="007608DF">
      <w:pPr>
        <w:widowControl/>
        <w:jc w:val="both"/>
        <w:rPr>
          <w:rFonts w:ascii="Times New Roman" w:eastAsia="Times New Roman" w:hAnsi="Times New Roman"/>
          <w:lang w:val="hr-HR"/>
        </w:rPr>
      </w:pPr>
    </w:p>
    <w:p w14:paraId="03FC26DF" w14:textId="77777777" w:rsidR="00D15122" w:rsidRPr="00D6167B" w:rsidRDefault="009B0756" w:rsidP="007608DF">
      <w:pPr>
        <w:pStyle w:val="BodyText"/>
        <w:keepNext/>
        <w:widowControl/>
        <w:ind w:left="0"/>
        <w:jc w:val="both"/>
        <w:rPr>
          <w:lang w:val="hr-HR"/>
        </w:rPr>
      </w:pPr>
      <w:r w:rsidRPr="00D6167B">
        <w:rPr>
          <w:u w:val="single" w:color="000000"/>
          <w:lang w:val="hr-HR"/>
        </w:rPr>
        <w:t>Opis odabranih ozbiljnih neželjenih reakcija</w:t>
      </w:r>
    </w:p>
    <w:p w14:paraId="7B6BDE9F" w14:textId="77777777" w:rsidR="00D15122" w:rsidRPr="00D6167B" w:rsidRDefault="00D15122" w:rsidP="007608DF">
      <w:pPr>
        <w:keepNext/>
        <w:widowControl/>
        <w:jc w:val="both"/>
        <w:rPr>
          <w:rFonts w:ascii="Times New Roman" w:eastAsia="Times New Roman" w:hAnsi="Times New Roman"/>
          <w:lang w:val="hr-HR"/>
        </w:rPr>
      </w:pPr>
    </w:p>
    <w:p w14:paraId="74488101" w14:textId="77777777" w:rsidR="00D15122" w:rsidRPr="00D6167B" w:rsidRDefault="009B0756" w:rsidP="007608DF">
      <w:pPr>
        <w:keepNext/>
        <w:widowControl/>
        <w:jc w:val="both"/>
        <w:rPr>
          <w:rFonts w:ascii="Times New Roman" w:eastAsia="Times New Roman" w:hAnsi="Times New Roman"/>
          <w:u w:val="single"/>
          <w:lang w:val="hr-HR"/>
        </w:rPr>
      </w:pPr>
      <w:r w:rsidRPr="00D6167B">
        <w:rPr>
          <w:rFonts w:ascii="Times New Roman" w:hAnsi="Times New Roman"/>
          <w:i/>
          <w:u w:val="single"/>
          <w:lang w:val="hr-HR"/>
        </w:rPr>
        <w:t>Gastrointestinalne (GI) perforacije i fistule</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1C89FE53" w14:textId="77777777" w:rsidR="002F575F" w:rsidRPr="00D6167B" w:rsidRDefault="002F575F" w:rsidP="007608DF">
      <w:pPr>
        <w:pStyle w:val="BodyText"/>
        <w:keepNext/>
        <w:widowControl/>
        <w:ind w:left="0"/>
        <w:jc w:val="both"/>
        <w:rPr>
          <w:lang w:val="hr-HR"/>
        </w:rPr>
      </w:pPr>
    </w:p>
    <w:p w14:paraId="74EE6C79" w14:textId="77777777" w:rsidR="00D15122" w:rsidRPr="00D6167B" w:rsidRDefault="00007842" w:rsidP="007608DF">
      <w:pPr>
        <w:pStyle w:val="BodyText"/>
        <w:keepNext/>
        <w:widowControl/>
        <w:ind w:left="0"/>
        <w:jc w:val="both"/>
        <w:rPr>
          <w:lang w:val="hr-HR"/>
        </w:rPr>
      </w:pPr>
      <w:r w:rsidRPr="00D6167B">
        <w:rPr>
          <w:lang w:val="hr-HR"/>
        </w:rPr>
        <w:t>Bevacizumab je povezan sa ozbiljnim slučajevima gastrointestinalnih perforacija.</w:t>
      </w:r>
    </w:p>
    <w:p w14:paraId="79C4523E" w14:textId="77777777" w:rsidR="00D15122" w:rsidRPr="00D6167B" w:rsidRDefault="00D15122" w:rsidP="007608DF">
      <w:pPr>
        <w:widowControl/>
        <w:jc w:val="both"/>
        <w:rPr>
          <w:rFonts w:ascii="Times New Roman" w:eastAsia="Times New Roman" w:hAnsi="Times New Roman"/>
          <w:lang w:val="hr-HR"/>
        </w:rPr>
      </w:pPr>
    </w:p>
    <w:p w14:paraId="7B941120" w14:textId="1E20267E" w:rsidR="00D15122" w:rsidRPr="00D6167B" w:rsidRDefault="009B0756" w:rsidP="007608DF">
      <w:pPr>
        <w:pStyle w:val="BodyText"/>
        <w:widowControl/>
        <w:ind w:left="0"/>
        <w:jc w:val="both"/>
        <w:rPr>
          <w:lang w:val="hr-HR"/>
        </w:rPr>
      </w:pPr>
      <w:r w:rsidRPr="00D6167B">
        <w:rPr>
          <w:lang w:val="hr-HR"/>
        </w:rPr>
        <w:t xml:space="preserve">Gastrointestinalne perforacije su prijavljene u kliničkim ispitivanjima sa incidencijom manjom od 1% kod pacijenata sa </w:t>
      </w:r>
      <w:r w:rsidR="00691C2C">
        <w:rPr>
          <w:lang w:val="hr-HR"/>
        </w:rPr>
        <w:t>ne</w:t>
      </w:r>
      <w:r w:rsidR="00691C2C" w:rsidRPr="00D6167B">
        <w:rPr>
          <w:lang w:val="hr-HR"/>
        </w:rPr>
        <w:t xml:space="preserve">mikrokarcinom </w:t>
      </w:r>
      <w:r w:rsidRPr="00D6167B">
        <w:rPr>
          <w:lang w:val="hr-HR"/>
        </w:rPr>
        <w:t>karcinomom pluća, do 1,3% kod pacijenata sa metastatskim karcinomom dojke, do 2,0% kod pacijenata sa metastatskim karcinomom renalnih ćelija ili kod pacijenata sa karcinomom jajnika, a do 2,7% (uključujući gastrointestinalne fistule i apsces) kod pacijenata sa metastatskim kolorektalnim karcinomom. Iz kliničkog ispitivanja kod pacijenata sa upornim, rekurentnim ili metastatskim karcinomom cerviksa (studija GOG</w:t>
      </w:r>
      <w:r w:rsidRPr="00D6167B">
        <w:rPr>
          <w:lang w:val="hr-HR"/>
        </w:rPr>
        <w:noBreakHyphen/>
        <w:t xml:space="preserve">0240), GI perforacije (svi gradusi) prijavljene su kod 3,2% pacijenata, od kojih su svi </w:t>
      </w:r>
      <w:r w:rsidR="00B667CC">
        <w:rPr>
          <w:lang w:val="hr-HR"/>
        </w:rPr>
        <w:t xml:space="preserve">u anamnezi </w:t>
      </w:r>
      <w:r w:rsidRPr="00D6167B">
        <w:rPr>
          <w:lang w:val="hr-HR"/>
        </w:rPr>
        <w:t>imali zračenja karlice. Pojavljivanje ovih događaja razlikovalo se po tipu i ozbiljnosti, a kretalo se u opsegu od slobodnog vazduha koji je uočen na običnom rendgenskom snimku abdomena i koji je r</w:t>
      </w:r>
      <w:r w:rsidR="00B667CC">
        <w:rPr>
          <w:lang w:val="hr-HR"/>
        </w:rPr>
        <w:t>ij</w:t>
      </w:r>
      <w:r w:rsidRPr="00D6167B">
        <w:rPr>
          <w:lang w:val="hr-HR"/>
        </w:rPr>
        <w:t xml:space="preserve">ešen bez liječenja, do intestinalne perforacije sa abdominalnim apscesom i smrtnim ishodom. U nekim slučajevima je bila prisutna postojeća intraabdominalna </w:t>
      </w:r>
      <w:r w:rsidR="00B667CC">
        <w:rPr>
          <w:lang w:val="hr-HR"/>
        </w:rPr>
        <w:t>inflamacija</w:t>
      </w:r>
      <w:r w:rsidRPr="00D6167B">
        <w:rPr>
          <w:lang w:val="hr-HR"/>
        </w:rPr>
        <w:t>, bilo usljed čira na želucu, nekroze tumora, divertikulitisa ili kolitisa vezanog za hemoterapiju.</w:t>
      </w:r>
    </w:p>
    <w:p w14:paraId="7A61FB86" w14:textId="77777777" w:rsidR="00D15122" w:rsidRPr="00D6167B" w:rsidRDefault="00D15122" w:rsidP="007608DF">
      <w:pPr>
        <w:widowControl/>
        <w:jc w:val="both"/>
        <w:rPr>
          <w:rFonts w:ascii="Times New Roman" w:eastAsia="Times New Roman" w:hAnsi="Times New Roman"/>
          <w:lang w:val="hr-HR"/>
        </w:rPr>
      </w:pPr>
    </w:p>
    <w:p w14:paraId="1BFB2A1C" w14:textId="77777777" w:rsidR="00D15122" w:rsidRPr="00D6167B" w:rsidRDefault="009B0756" w:rsidP="007608DF">
      <w:pPr>
        <w:pStyle w:val="BodyText"/>
        <w:widowControl/>
        <w:ind w:left="0"/>
        <w:jc w:val="both"/>
        <w:rPr>
          <w:lang w:val="hr-HR"/>
        </w:rPr>
      </w:pPr>
      <w:r w:rsidRPr="00D6167B">
        <w:rPr>
          <w:lang w:val="hr-HR"/>
        </w:rPr>
        <w:t>Smrtni ishod je prijavljen kod približno trećine ozbiljnih slučajeva gastrointestinalnih perforacija, što predstavlja između 0,2–1% svih pacijenata liječenih bevacizumabom.</w:t>
      </w:r>
    </w:p>
    <w:p w14:paraId="0D8B3357" w14:textId="77777777" w:rsidR="00D15122" w:rsidRPr="00D6167B" w:rsidRDefault="00D15122" w:rsidP="007608DF">
      <w:pPr>
        <w:widowControl/>
        <w:jc w:val="both"/>
        <w:rPr>
          <w:rFonts w:ascii="Times New Roman" w:eastAsia="Times New Roman" w:hAnsi="Times New Roman"/>
          <w:lang w:val="hr-HR"/>
        </w:rPr>
      </w:pPr>
    </w:p>
    <w:p w14:paraId="303D48CE" w14:textId="77777777" w:rsidR="00D15122" w:rsidRPr="00D6167B" w:rsidRDefault="009B0756" w:rsidP="007608DF">
      <w:pPr>
        <w:pStyle w:val="BodyText"/>
        <w:widowControl/>
        <w:ind w:left="0"/>
        <w:jc w:val="both"/>
        <w:rPr>
          <w:lang w:val="hr-HR"/>
        </w:rPr>
      </w:pPr>
      <w:r w:rsidRPr="00D6167B">
        <w:rPr>
          <w:lang w:val="hr-HR"/>
        </w:rPr>
        <w:t>U okviru kliničkih ispitivanja bevacizumaba, gastrointestinalne fistule (svi gradusi) prijavljene su sa incidencijom od najviše 2% kod pacijenata sa metastatskim kolorektalnim karcinomom i karcinomom jajnika, ali su ređe prijavljivani i kod pacijenata sa drugim vrstama karcinoma.</w:t>
      </w:r>
    </w:p>
    <w:p w14:paraId="3A1EC327" w14:textId="77777777" w:rsidR="00D15122" w:rsidRPr="00D6167B" w:rsidRDefault="00D15122" w:rsidP="007608DF">
      <w:pPr>
        <w:widowControl/>
        <w:jc w:val="both"/>
        <w:rPr>
          <w:rFonts w:ascii="Times New Roman" w:eastAsia="Times New Roman" w:hAnsi="Times New Roman"/>
          <w:sz w:val="21"/>
          <w:szCs w:val="21"/>
          <w:lang w:val="hr-HR"/>
        </w:rPr>
      </w:pPr>
    </w:p>
    <w:p w14:paraId="49319179" w14:textId="77777777" w:rsidR="00D15122" w:rsidRPr="00D6167B" w:rsidRDefault="009B0756" w:rsidP="007608DF">
      <w:pPr>
        <w:keepNext/>
        <w:widowControl/>
        <w:jc w:val="both"/>
        <w:rPr>
          <w:rFonts w:ascii="Times New Roman" w:hAnsi="Times New Roman"/>
          <w:i/>
          <w:u w:val="single"/>
          <w:lang w:val="hr-HR"/>
        </w:rPr>
      </w:pPr>
      <w:r w:rsidRPr="00D6167B">
        <w:rPr>
          <w:rFonts w:ascii="Times New Roman" w:hAnsi="Times New Roman"/>
          <w:i/>
          <w:u w:val="single"/>
          <w:lang w:val="hr-HR"/>
        </w:rPr>
        <w:t>GI-vaginalne fistule u studiji GOG-0240</w:t>
      </w:r>
    </w:p>
    <w:p w14:paraId="0DA6B4CA" w14:textId="77777777" w:rsidR="002F575F" w:rsidRPr="00D6167B" w:rsidRDefault="002F575F" w:rsidP="007608DF">
      <w:pPr>
        <w:keepNext/>
        <w:widowControl/>
        <w:jc w:val="both"/>
        <w:rPr>
          <w:rFonts w:ascii="Times New Roman" w:eastAsia="Times New Roman" w:hAnsi="Times New Roman"/>
          <w:lang w:val="hr-HR"/>
        </w:rPr>
      </w:pPr>
    </w:p>
    <w:p w14:paraId="4F725717" w14:textId="63553941" w:rsidR="00D15122" w:rsidRPr="00D6167B" w:rsidRDefault="009B0756" w:rsidP="007608DF">
      <w:pPr>
        <w:pStyle w:val="BodyText"/>
        <w:widowControl/>
        <w:ind w:left="0"/>
        <w:jc w:val="both"/>
        <w:rPr>
          <w:lang w:val="hr-HR"/>
        </w:rPr>
      </w:pPr>
      <w:r w:rsidRPr="00D6167B">
        <w:rPr>
          <w:lang w:val="hr-HR"/>
        </w:rPr>
        <w:t>U ispitivanju upornog, rekurentnog ili metastatskog karcinoma cerviksa, incidencija GI</w:t>
      </w:r>
      <w:r w:rsidRPr="00D6167B">
        <w:rPr>
          <w:lang w:val="hr-HR"/>
        </w:rPr>
        <w:noBreakHyphen/>
        <w:t>vaginalnih fistula iznosila je 8,3% kod paci</w:t>
      </w:r>
      <w:r w:rsidR="00813BF6" w:rsidRPr="00D6167B">
        <w:rPr>
          <w:lang w:val="hr-HR"/>
        </w:rPr>
        <w:t>jentkinja</w:t>
      </w:r>
      <w:r w:rsidR="00B667CC">
        <w:rPr>
          <w:lang w:val="hr-HR"/>
        </w:rPr>
        <w:t xml:space="preserve"> </w:t>
      </w:r>
      <w:r w:rsidRPr="00D6167B">
        <w:rPr>
          <w:lang w:val="hr-HR"/>
        </w:rPr>
        <w:t>liječenih bevacizumabom, a 0,9% u kontrolnoj grupi pacijen</w:t>
      </w:r>
      <w:r w:rsidR="00813BF6" w:rsidRPr="00D6167B">
        <w:rPr>
          <w:lang w:val="hr-HR"/>
        </w:rPr>
        <w:t>tkinja</w:t>
      </w:r>
      <w:r w:rsidRPr="00D6167B">
        <w:rPr>
          <w:lang w:val="hr-HR"/>
        </w:rPr>
        <w:t>, od kojih su sv</w:t>
      </w:r>
      <w:r w:rsidR="00813BF6" w:rsidRPr="00D6167B">
        <w:rPr>
          <w:lang w:val="hr-HR"/>
        </w:rPr>
        <w:t>e</w:t>
      </w:r>
      <w:r w:rsidRPr="00D6167B">
        <w:rPr>
          <w:lang w:val="hr-HR"/>
        </w:rPr>
        <w:t xml:space="preserve"> imal</w:t>
      </w:r>
      <w:r w:rsidR="00813BF6" w:rsidRPr="00D6167B">
        <w:rPr>
          <w:lang w:val="hr-HR"/>
        </w:rPr>
        <w:t>e</w:t>
      </w:r>
      <w:r w:rsidRPr="00D6167B">
        <w:rPr>
          <w:lang w:val="hr-HR"/>
        </w:rPr>
        <w:t xml:space="preserve"> istoriju ranijeg zračenja karlice. Učestalost GI-vaginalnih fistula u grupi liječenoj bevacizumabom uz hemoterapiju bila je viša kod pacijen</w:t>
      </w:r>
      <w:r w:rsidR="00813BF6" w:rsidRPr="00D6167B">
        <w:rPr>
          <w:lang w:val="hr-HR"/>
        </w:rPr>
        <w:t>tkinja</w:t>
      </w:r>
      <w:r w:rsidRPr="00D6167B">
        <w:rPr>
          <w:lang w:val="hr-HR"/>
        </w:rPr>
        <w:t xml:space="preserve"> sa rekurentnim pojavama u okviru polja prethodnog zračenja (16,7%) u poređenju sa pacijen</w:t>
      </w:r>
      <w:r w:rsidR="00813BF6" w:rsidRPr="00D6167B">
        <w:rPr>
          <w:lang w:val="hr-HR"/>
        </w:rPr>
        <w:t>tkinjama</w:t>
      </w:r>
      <w:r w:rsidRPr="00D6167B">
        <w:rPr>
          <w:lang w:val="hr-HR"/>
        </w:rPr>
        <w:t xml:space="preserve"> koj</w:t>
      </w:r>
      <w:r w:rsidR="00813BF6" w:rsidRPr="00D6167B">
        <w:rPr>
          <w:lang w:val="hr-HR"/>
        </w:rPr>
        <w:t>e</w:t>
      </w:r>
      <w:r w:rsidRPr="00D6167B">
        <w:rPr>
          <w:lang w:val="hr-HR"/>
        </w:rPr>
        <w:t xml:space="preserve"> se ranije nijesu podvrgaval</w:t>
      </w:r>
      <w:r w:rsidR="00813BF6" w:rsidRPr="00D6167B">
        <w:rPr>
          <w:lang w:val="hr-HR"/>
        </w:rPr>
        <w:t>e</w:t>
      </w:r>
      <w:r w:rsidRPr="00D6167B">
        <w:rPr>
          <w:lang w:val="hr-HR"/>
        </w:rPr>
        <w:t xml:space="preserve"> zračenju i/ili nemaju rekurentne pojave u okviru polja prethodnog zračenja (3,6%). Odgovarajuće učestalosti u kontrolnoj grupi koja je primala samo hemoterapiju iznosile su 1,1%, odnosno 0,8%. Pacijen</w:t>
      </w:r>
      <w:r w:rsidR="00813BF6" w:rsidRPr="00D6167B">
        <w:rPr>
          <w:lang w:val="hr-HR"/>
        </w:rPr>
        <w:t>tkinje</w:t>
      </w:r>
      <w:r w:rsidR="00B667CC">
        <w:rPr>
          <w:lang w:val="hr-HR"/>
        </w:rPr>
        <w:t xml:space="preserve"> </w:t>
      </w:r>
      <w:r w:rsidRPr="00D6167B">
        <w:rPr>
          <w:lang w:val="hr-HR"/>
        </w:rPr>
        <w:t>kod kojih su se razvile GI-vaginalne fistule možda imaju i opstrukcije crijeva, pa je neophodna hirurška intervencija, kao i ostomije radi preusmjeravanja.</w:t>
      </w:r>
    </w:p>
    <w:p w14:paraId="7083DF8D" w14:textId="77777777" w:rsidR="00D15122" w:rsidRPr="00D6167B" w:rsidRDefault="00D15122" w:rsidP="007608DF">
      <w:pPr>
        <w:widowControl/>
        <w:jc w:val="both"/>
        <w:rPr>
          <w:rFonts w:ascii="Times New Roman" w:eastAsia="Times New Roman" w:hAnsi="Times New Roman"/>
          <w:lang w:val="hr-HR"/>
        </w:rPr>
      </w:pPr>
    </w:p>
    <w:p w14:paraId="0E240808"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i/>
          <w:u w:val="single"/>
          <w:lang w:val="hr-HR"/>
        </w:rPr>
        <w:lastRenderedPageBreak/>
        <w:t>Fistule van GI trakta</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1754CC49" w14:textId="77777777" w:rsidR="002F575F" w:rsidRPr="00D6167B" w:rsidRDefault="002F575F" w:rsidP="007608DF">
      <w:pPr>
        <w:keepNext/>
        <w:widowControl/>
        <w:jc w:val="both"/>
        <w:rPr>
          <w:rFonts w:ascii="Times New Roman" w:eastAsia="Times New Roman" w:hAnsi="Times New Roman"/>
          <w:lang w:val="hr-HR"/>
        </w:rPr>
      </w:pPr>
    </w:p>
    <w:p w14:paraId="2B2DDAE5" w14:textId="77777777" w:rsidR="00D15122" w:rsidRPr="00D6167B" w:rsidRDefault="00007842" w:rsidP="007608DF">
      <w:pPr>
        <w:pStyle w:val="BodyText"/>
        <w:widowControl/>
        <w:ind w:left="0"/>
        <w:jc w:val="both"/>
        <w:rPr>
          <w:lang w:val="hr-HR"/>
        </w:rPr>
      </w:pPr>
      <w:r w:rsidRPr="00D6167B">
        <w:rPr>
          <w:lang w:val="hr-HR"/>
        </w:rPr>
        <w:t>Upotreba bevacizumaba je povezana sa ozbiljnim slučajevima fistula, uključujući reakcije sa smrtnim ishodom.</w:t>
      </w:r>
    </w:p>
    <w:p w14:paraId="19335CE2" w14:textId="77777777" w:rsidR="00D15122" w:rsidRPr="00D6167B" w:rsidRDefault="00D15122" w:rsidP="007608DF">
      <w:pPr>
        <w:widowControl/>
        <w:jc w:val="both"/>
        <w:rPr>
          <w:rFonts w:ascii="Times New Roman" w:eastAsia="Times New Roman" w:hAnsi="Times New Roman"/>
          <w:lang w:val="hr-HR"/>
        </w:rPr>
      </w:pPr>
    </w:p>
    <w:p w14:paraId="627F0DD6" w14:textId="77777777" w:rsidR="00D15122" w:rsidRPr="00D6167B" w:rsidRDefault="009B0756" w:rsidP="007608DF">
      <w:pPr>
        <w:pStyle w:val="BodyText"/>
        <w:widowControl/>
        <w:ind w:left="0"/>
        <w:jc w:val="both"/>
        <w:rPr>
          <w:lang w:val="hr-HR"/>
        </w:rPr>
      </w:pPr>
      <w:r w:rsidRPr="00D6167B">
        <w:rPr>
          <w:lang w:val="hr-HR"/>
        </w:rPr>
        <w:t>U kliničkom ispitivanju na paci</w:t>
      </w:r>
      <w:r w:rsidR="00813BF6" w:rsidRPr="00D6167B">
        <w:rPr>
          <w:lang w:val="hr-HR"/>
        </w:rPr>
        <w:t>jentkinjama</w:t>
      </w:r>
      <w:r w:rsidRPr="00D6167B">
        <w:rPr>
          <w:lang w:val="hr-HR"/>
        </w:rPr>
        <w:t xml:space="preserve"> sa upornim, rekurentnim ili metastatskim karcinomom cerviksa (GOG-0240), kod 1,8% pacijen</w:t>
      </w:r>
      <w:r w:rsidR="00813BF6" w:rsidRPr="00D6167B">
        <w:rPr>
          <w:lang w:val="hr-HR"/>
        </w:rPr>
        <w:t>tkinja</w:t>
      </w:r>
      <w:r w:rsidRPr="00D6167B">
        <w:rPr>
          <w:lang w:val="hr-HR"/>
        </w:rPr>
        <w:t xml:space="preserve"> liječenih bevacizumabom i 1,4% pacijen</w:t>
      </w:r>
      <w:r w:rsidR="00813BF6" w:rsidRPr="00D6167B">
        <w:rPr>
          <w:lang w:val="hr-HR"/>
        </w:rPr>
        <w:t>tkinja</w:t>
      </w:r>
      <w:r w:rsidRPr="00D6167B">
        <w:rPr>
          <w:lang w:val="hr-HR"/>
        </w:rPr>
        <w:t xml:space="preserve"> iz kontrolne grupe prijavljeno je postojanje vaginalnih, vezikalnih i fistula ženskog genitalnog trakta, koje su van gastrointestinalnog trakta.</w:t>
      </w:r>
    </w:p>
    <w:p w14:paraId="3F42AC60" w14:textId="77777777" w:rsidR="00D15122" w:rsidRPr="00D6167B" w:rsidRDefault="00D15122" w:rsidP="007608DF">
      <w:pPr>
        <w:widowControl/>
        <w:jc w:val="both"/>
        <w:rPr>
          <w:rFonts w:ascii="Times New Roman" w:eastAsia="Times New Roman" w:hAnsi="Times New Roman"/>
          <w:lang w:val="hr-HR"/>
        </w:rPr>
      </w:pPr>
    </w:p>
    <w:p w14:paraId="7BDBAC59" w14:textId="77777777" w:rsidR="00D15122" w:rsidRPr="00D6167B" w:rsidRDefault="009B0756" w:rsidP="007608DF">
      <w:pPr>
        <w:pStyle w:val="BodyText"/>
        <w:widowControl/>
        <w:ind w:left="0"/>
        <w:jc w:val="both"/>
        <w:rPr>
          <w:lang w:val="hr-HR"/>
        </w:rPr>
      </w:pPr>
      <w:r w:rsidRPr="00D6167B">
        <w:rPr>
          <w:lang w:val="hr-HR"/>
        </w:rPr>
        <w:t>Rijetki (≥ 0,1% do &lt; 1%) izvještaji o fistulama koje obuhvataju dio tijela koji nije gastrointestinalni trakt (npr. bronhopleuralne i bilijarne fistule) prim</w:t>
      </w:r>
      <w:r w:rsidR="001054C9" w:rsidRPr="00D6167B">
        <w:rPr>
          <w:lang w:val="hr-HR"/>
        </w:rPr>
        <w:t>i</w:t>
      </w:r>
      <w:r w:rsidRPr="00D6167B">
        <w:rPr>
          <w:lang w:val="hr-HR"/>
        </w:rPr>
        <w:t xml:space="preserve">jećeni su u više različitih indikacija. Fistule su prijavljene i nakon </w:t>
      </w:r>
      <w:r w:rsidR="001B5BB7" w:rsidRPr="00D6167B">
        <w:rPr>
          <w:lang w:val="hr-HR"/>
        </w:rPr>
        <w:t xml:space="preserve">stavljanja lijeka </w:t>
      </w:r>
      <w:r w:rsidRPr="00D6167B">
        <w:rPr>
          <w:lang w:val="hr-HR"/>
        </w:rPr>
        <w:t>u promet.</w:t>
      </w:r>
    </w:p>
    <w:p w14:paraId="356FCB7E" w14:textId="77777777" w:rsidR="00D15122" w:rsidRPr="00D6167B" w:rsidRDefault="00D15122" w:rsidP="007608DF">
      <w:pPr>
        <w:widowControl/>
        <w:jc w:val="both"/>
        <w:rPr>
          <w:rFonts w:ascii="Times New Roman" w:eastAsia="Times New Roman" w:hAnsi="Times New Roman"/>
          <w:lang w:val="hr-HR"/>
        </w:rPr>
      </w:pPr>
    </w:p>
    <w:p w14:paraId="1CDE6FAD" w14:textId="77777777" w:rsidR="00D15122" w:rsidRPr="00D6167B" w:rsidRDefault="009B0756" w:rsidP="007608DF">
      <w:pPr>
        <w:pStyle w:val="BodyText"/>
        <w:widowControl/>
        <w:ind w:left="0"/>
        <w:jc w:val="both"/>
        <w:rPr>
          <w:lang w:val="hr-HR"/>
        </w:rPr>
      </w:pPr>
      <w:r w:rsidRPr="00D6167B">
        <w:rPr>
          <w:lang w:val="hr-HR"/>
        </w:rPr>
        <w:t>Reakcije su prijavljene u različitim vremenskim trenucima tokom liječenja, u periodu od jedne nedjelje do više od 1 godine od početka primjene bevacizumaba, a najviše reakcija se dogodilo u prvih 6 mjeseci terapije.</w:t>
      </w:r>
    </w:p>
    <w:p w14:paraId="1C6EFD97" w14:textId="77777777" w:rsidR="00D15122" w:rsidRPr="00D6167B" w:rsidRDefault="00D15122" w:rsidP="007608DF">
      <w:pPr>
        <w:widowControl/>
        <w:jc w:val="both"/>
        <w:rPr>
          <w:rFonts w:ascii="Times New Roman" w:eastAsia="Times New Roman" w:hAnsi="Times New Roman"/>
          <w:lang w:val="hr-HR"/>
        </w:rPr>
      </w:pPr>
    </w:p>
    <w:p w14:paraId="6903571B"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i/>
          <w:u w:val="single"/>
          <w:lang w:val="hr-HR"/>
        </w:rPr>
        <w:t>Zarastanje rana</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40318B10"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47B0C000" w14:textId="77777777" w:rsidR="00D15122" w:rsidRPr="00D6167B" w:rsidRDefault="009B0756" w:rsidP="007608DF">
      <w:pPr>
        <w:pStyle w:val="BodyText"/>
        <w:widowControl/>
        <w:ind w:left="0"/>
        <w:jc w:val="both"/>
        <w:rPr>
          <w:lang w:val="hr-HR"/>
        </w:rPr>
      </w:pPr>
      <w:r w:rsidRPr="00D6167B">
        <w:rPr>
          <w:lang w:val="hr-HR"/>
        </w:rPr>
        <w:t>Pošto bevacizumab može da ima nepovoljan uticaj na zarastanje rana, pacijenti koji su se podvrgli većem hirurškom zahvatu u prethodnih 28 dana isključeni su iz učešća u kliničkim ispitivanjima faze III.</w:t>
      </w:r>
    </w:p>
    <w:p w14:paraId="62C29C03" w14:textId="77777777" w:rsidR="00D15122" w:rsidRPr="00D6167B" w:rsidRDefault="00D15122" w:rsidP="007608DF">
      <w:pPr>
        <w:widowControl/>
        <w:jc w:val="both"/>
        <w:rPr>
          <w:rFonts w:ascii="Times New Roman" w:eastAsia="Times New Roman" w:hAnsi="Times New Roman"/>
          <w:lang w:val="hr-HR"/>
        </w:rPr>
      </w:pPr>
    </w:p>
    <w:p w14:paraId="5EE7FB06" w14:textId="77777777" w:rsidR="00D15122" w:rsidRPr="00D6167B" w:rsidRDefault="009B0756" w:rsidP="007608DF">
      <w:pPr>
        <w:pStyle w:val="BodyText"/>
        <w:widowControl/>
        <w:ind w:left="0"/>
        <w:jc w:val="both"/>
        <w:rPr>
          <w:lang w:val="hr-HR"/>
        </w:rPr>
      </w:pPr>
      <w:r w:rsidRPr="00D6167B">
        <w:rPr>
          <w:lang w:val="hr-HR"/>
        </w:rPr>
        <w:t>U kliničkim ispitivanjima metastatskog karcinoma kolona ili rektuma nije bilo povećanog rizika od postoperativnog krvarenja ili komplikacija sa zarastanjem rane kod pacijenata koji su se podvrgli većem hirurškom zahvatu 28–60 dana prije započinjanja liječenja bevacizumabom. Povećana incidencija postoperativnog krvarenja ili komplikacija sa zarastanjem rane u roku od 60 dana od većeg hirurškog zahvata prim</w:t>
      </w:r>
      <w:r w:rsidR="001054C9" w:rsidRPr="00D6167B">
        <w:rPr>
          <w:lang w:val="hr-HR"/>
        </w:rPr>
        <w:t>i</w:t>
      </w:r>
      <w:r w:rsidRPr="00D6167B">
        <w:rPr>
          <w:lang w:val="hr-HR"/>
        </w:rPr>
        <w:t>jećena je ako je pacijent liječen bevacizumabom u trenutku operacije. Incidencija je varirala od 10% (4/40) do 20% (3/15).</w:t>
      </w:r>
    </w:p>
    <w:p w14:paraId="04961084" w14:textId="77777777" w:rsidR="00D15122" w:rsidRPr="00D6167B" w:rsidRDefault="00D15122" w:rsidP="007608DF">
      <w:pPr>
        <w:widowControl/>
        <w:jc w:val="both"/>
        <w:rPr>
          <w:rFonts w:ascii="Times New Roman" w:eastAsia="Times New Roman" w:hAnsi="Times New Roman"/>
          <w:lang w:val="hr-HR"/>
        </w:rPr>
      </w:pPr>
    </w:p>
    <w:p w14:paraId="0C044AAF" w14:textId="77777777" w:rsidR="00D15122" w:rsidRPr="00D6167B" w:rsidRDefault="009B0756" w:rsidP="007608DF">
      <w:pPr>
        <w:pStyle w:val="BodyText"/>
        <w:widowControl/>
        <w:ind w:left="0"/>
        <w:jc w:val="both"/>
        <w:rPr>
          <w:lang w:val="hr-HR"/>
        </w:rPr>
      </w:pPr>
      <w:r w:rsidRPr="00D6167B">
        <w:rPr>
          <w:lang w:val="hr-HR"/>
        </w:rPr>
        <w:t>Prijavljene su ozbiljne komplikacije sa zarastanjem rane, uključujući anastomotske komplikacije, a neke od njih su imale smrtni ishod.</w:t>
      </w:r>
    </w:p>
    <w:p w14:paraId="1BB1CDEE" w14:textId="77777777" w:rsidR="00D15122" w:rsidRPr="00D6167B" w:rsidRDefault="00D15122" w:rsidP="007608DF">
      <w:pPr>
        <w:widowControl/>
        <w:jc w:val="both"/>
        <w:rPr>
          <w:rFonts w:ascii="Times New Roman" w:eastAsia="Times New Roman" w:hAnsi="Times New Roman"/>
          <w:lang w:val="hr-HR"/>
        </w:rPr>
      </w:pPr>
    </w:p>
    <w:p w14:paraId="0F35D956" w14:textId="77777777" w:rsidR="00D15122" w:rsidRPr="00D6167B" w:rsidRDefault="009B0756" w:rsidP="007608DF">
      <w:pPr>
        <w:pStyle w:val="BodyText"/>
        <w:widowControl/>
        <w:ind w:left="0"/>
        <w:jc w:val="both"/>
        <w:rPr>
          <w:lang w:val="hr-HR"/>
        </w:rPr>
      </w:pPr>
      <w:r w:rsidRPr="00D6167B">
        <w:rPr>
          <w:lang w:val="hr-HR"/>
        </w:rPr>
        <w:t>U ispitivanjima lokalnog rekurentnog i metastatskog karcinoma dojke prim</w:t>
      </w:r>
      <w:r w:rsidR="001054C9" w:rsidRPr="00D6167B">
        <w:rPr>
          <w:lang w:val="hr-HR"/>
        </w:rPr>
        <w:t>i</w:t>
      </w:r>
      <w:r w:rsidRPr="00D6167B">
        <w:rPr>
          <w:lang w:val="hr-HR"/>
        </w:rPr>
        <w:t>jećene su komplikacije sa zarastanjem rane gradusa 3–5 kod najviše 1,1% pacijenata koji su primali bevacizumab u poređenju sa 0,9% pacijenata u kontrolno</w:t>
      </w:r>
      <w:r w:rsidR="002E42C6" w:rsidRPr="00D6167B">
        <w:rPr>
          <w:lang w:val="hr-HR"/>
        </w:rPr>
        <w:t>j</w:t>
      </w:r>
      <w:r w:rsidRPr="00D6167B">
        <w:rPr>
          <w:lang w:val="hr-HR"/>
        </w:rPr>
        <w:t xml:space="preserve"> </w:t>
      </w:r>
      <w:r w:rsidR="002E42C6" w:rsidRPr="00D6167B">
        <w:rPr>
          <w:lang w:val="hr-HR"/>
        </w:rPr>
        <w:t>grupi</w:t>
      </w:r>
      <w:r w:rsidR="00B667CC">
        <w:rPr>
          <w:lang w:val="hr-HR"/>
        </w:rPr>
        <w:t xml:space="preserve"> </w:t>
      </w:r>
      <w:r w:rsidRPr="00D6167B">
        <w:rPr>
          <w:lang w:val="hr-HR"/>
        </w:rPr>
        <w:t>(NCI-CTCAE v.3).</w:t>
      </w:r>
    </w:p>
    <w:p w14:paraId="1FDF82B9" w14:textId="77777777" w:rsidR="00D15122" w:rsidRPr="00D6167B" w:rsidRDefault="00D15122" w:rsidP="007608DF">
      <w:pPr>
        <w:widowControl/>
        <w:jc w:val="both"/>
        <w:rPr>
          <w:rFonts w:ascii="Times New Roman" w:eastAsia="Times New Roman" w:hAnsi="Times New Roman"/>
          <w:lang w:val="hr-HR"/>
        </w:rPr>
      </w:pPr>
    </w:p>
    <w:p w14:paraId="5CA6BBD0" w14:textId="77777777" w:rsidR="00D15122" w:rsidRPr="00D6167B" w:rsidRDefault="009B0756" w:rsidP="007608DF">
      <w:pPr>
        <w:pStyle w:val="BodyText"/>
        <w:widowControl/>
        <w:ind w:left="0"/>
        <w:jc w:val="both"/>
        <w:rPr>
          <w:lang w:val="hr-HR"/>
        </w:rPr>
      </w:pPr>
      <w:r w:rsidRPr="00D6167B">
        <w:rPr>
          <w:lang w:val="hr-HR"/>
        </w:rPr>
        <w:t>U kliničkim ispitivanjima karcinoma jajnika prim</w:t>
      </w:r>
      <w:r w:rsidR="001054C9" w:rsidRPr="00D6167B">
        <w:rPr>
          <w:lang w:val="hr-HR"/>
        </w:rPr>
        <w:t>i</w:t>
      </w:r>
      <w:r w:rsidRPr="00D6167B">
        <w:rPr>
          <w:lang w:val="hr-HR"/>
        </w:rPr>
        <w:t xml:space="preserve">jećene su komplikacije sa zarastanjem rane gradusa 3–5 kod najviše 1,8% pacijenata u </w:t>
      </w:r>
      <w:r w:rsidR="00017976" w:rsidRPr="00D6167B">
        <w:rPr>
          <w:lang w:val="hr-HR"/>
        </w:rPr>
        <w:t>grupi</w:t>
      </w:r>
      <w:r w:rsidRPr="00D6167B">
        <w:rPr>
          <w:lang w:val="hr-HR"/>
        </w:rPr>
        <w:t xml:space="preserve"> sa bevacizumabom u poređenju sa 0,1% pacijenata u kontrolno</w:t>
      </w:r>
      <w:r w:rsidR="00017976" w:rsidRPr="00D6167B">
        <w:rPr>
          <w:lang w:val="hr-HR"/>
        </w:rPr>
        <w:t>j grupi</w:t>
      </w:r>
      <w:r w:rsidR="00B667CC">
        <w:rPr>
          <w:lang w:val="hr-HR"/>
        </w:rPr>
        <w:t xml:space="preserve"> </w:t>
      </w:r>
      <w:r w:rsidRPr="00D6167B">
        <w:rPr>
          <w:lang w:val="hr-HR"/>
        </w:rPr>
        <w:t>(NCI-CTCAE v.3).</w:t>
      </w:r>
    </w:p>
    <w:p w14:paraId="037FF4C8" w14:textId="77777777" w:rsidR="00B419F6" w:rsidRPr="00D6167B" w:rsidRDefault="00B419F6" w:rsidP="007608DF">
      <w:pPr>
        <w:pStyle w:val="BodyText"/>
        <w:widowControl/>
        <w:ind w:left="0"/>
        <w:jc w:val="both"/>
        <w:rPr>
          <w:lang w:val="hr-HR"/>
        </w:rPr>
      </w:pPr>
    </w:p>
    <w:p w14:paraId="5EDE4471"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i/>
          <w:u w:val="single"/>
          <w:lang w:val="hr-HR"/>
        </w:rPr>
        <w:t>Hipertenzija</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0FF48E34" w14:textId="77777777" w:rsidR="002F575F" w:rsidRPr="00D6167B" w:rsidRDefault="002F575F" w:rsidP="007608DF">
      <w:pPr>
        <w:keepNext/>
        <w:widowControl/>
        <w:jc w:val="both"/>
        <w:rPr>
          <w:rFonts w:ascii="Times New Roman" w:eastAsia="Times New Roman" w:hAnsi="Times New Roman"/>
          <w:lang w:val="hr-HR"/>
        </w:rPr>
      </w:pPr>
    </w:p>
    <w:p w14:paraId="34000AA0" w14:textId="77777777" w:rsidR="00D15122" w:rsidRPr="00D6167B" w:rsidRDefault="009B0756" w:rsidP="007608DF">
      <w:pPr>
        <w:pStyle w:val="BodyText"/>
        <w:widowControl/>
        <w:ind w:left="0"/>
        <w:jc w:val="both"/>
        <w:rPr>
          <w:lang w:val="hr-HR"/>
        </w:rPr>
      </w:pPr>
      <w:r w:rsidRPr="00D6167B">
        <w:rPr>
          <w:lang w:val="hr-HR"/>
        </w:rPr>
        <w:t xml:space="preserve">U kliničkim ispitivanjima, sa izuzetkom studije JO25567, ukupna incidencija hipertenzije (svih gradusa) kretala se do 42,1% u </w:t>
      </w:r>
      <w:r w:rsidR="00017976" w:rsidRPr="00D6167B">
        <w:rPr>
          <w:lang w:val="hr-HR"/>
        </w:rPr>
        <w:t xml:space="preserve">grupama </w:t>
      </w:r>
      <w:r w:rsidRPr="00D6167B">
        <w:rPr>
          <w:lang w:val="hr-HR"/>
        </w:rPr>
        <w:t>koj</w:t>
      </w:r>
      <w:r w:rsidR="00017976" w:rsidRPr="00D6167B">
        <w:rPr>
          <w:lang w:val="hr-HR"/>
        </w:rPr>
        <w:t>e</w:t>
      </w:r>
      <w:r w:rsidRPr="00D6167B">
        <w:rPr>
          <w:lang w:val="hr-HR"/>
        </w:rPr>
        <w:t xml:space="preserve"> obuhvataju bevacizumab, u poređenju sa najviše 14% u kontrolni</w:t>
      </w:r>
      <w:r w:rsidR="00017976" w:rsidRPr="00D6167B">
        <w:rPr>
          <w:lang w:val="hr-HR"/>
        </w:rPr>
        <w:t>m</w:t>
      </w:r>
      <w:r w:rsidRPr="00D6167B">
        <w:rPr>
          <w:lang w:val="hr-HR"/>
        </w:rPr>
        <w:t xml:space="preserve"> </w:t>
      </w:r>
      <w:r w:rsidR="00017976" w:rsidRPr="00D6167B">
        <w:rPr>
          <w:lang w:val="hr-HR"/>
        </w:rPr>
        <w:t>grupama</w:t>
      </w:r>
      <w:r w:rsidRPr="00D6167B">
        <w:rPr>
          <w:lang w:val="hr-HR"/>
        </w:rPr>
        <w:t>. Ukupna incidencija hipertenzije gradusa 3 i 4 prema NCI-CTC kod pacijenata koji su primali bevacizumab kretala se od 0,4% do 17,9%. Hipertenzija gradusa 4 (hipertenzivna kriza) desila se kod najviše 1,0% pacijenata liječenih bevacizumabom i hemoterapijom u poređenju sa najviše 0,2% pacijenata koji su liječeni samo istom hemoterapijom.</w:t>
      </w:r>
    </w:p>
    <w:p w14:paraId="00A47CA3" w14:textId="77777777" w:rsidR="00D15122" w:rsidRPr="00D6167B" w:rsidRDefault="00D15122" w:rsidP="007608DF">
      <w:pPr>
        <w:widowControl/>
        <w:jc w:val="both"/>
        <w:rPr>
          <w:rFonts w:ascii="Times New Roman" w:eastAsia="Times New Roman" w:hAnsi="Times New Roman"/>
          <w:lang w:val="hr-HR"/>
        </w:rPr>
      </w:pPr>
    </w:p>
    <w:p w14:paraId="414E2AE4" w14:textId="77777777" w:rsidR="00D15122" w:rsidRPr="00D6167B" w:rsidRDefault="009B0756" w:rsidP="007608DF">
      <w:pPr>
        <w:pStyle w:val="BodyText"/>
        <w:widowControl/>
        <w:ind w:left="0"/>
        <w:jc w:val="both"/>
        <w:rPr>
          <w:lang w:val="hr-HR"/>
        </w:rPr>
      </w:pPr>
      <w:r w:rsidRPr="00D6167B">
        <w:rPr>
          <w:lang w:val="hr-HR"/>
        </w:rPr>
        <w:t>U studiji JO25567 su svi gradusi hipertenzije prim</w:t>
      </w:r>
      <w:r w:rsidR="001054C9" w:rsidRPr="00D6167B">
        <w:rPr>
          <w:lang w:val="hr-HR"/>
        </w:rPr>
        <w:t>i</w:t>
      </w:r>
      <w:r w:rsidRPr="00D6167B">
        <w:rPr>
          <w:lang w:val="hr-HR"/>
        </w:rPr>
        <w:t>jećeni kod 77,3% pacijenata koji su primali bevacizumab u kombinaciji sa erlotinibom kao prvu liniju liječenja za NSCLC koji ne obuhvata skvamozne ćelije sa mutacijama koje aktiviraju EGFR, u poređenju sa 14,3% pacijenata liječenih samo erlotinibom. Hipertenzija gradusa 3 javila se kod 60,0% pacijenata liječenih bevacizumabom sa erlotinibom u poređenju sa 11,7% pacijenata liječenih samo erlotinibom. Nije bilo događaja hipertenzije gradusa 4 ili 5.</w:t>
      </w:r>
    </w:p>
    <w:p w14:paraId="6ED05713" w14:textId="77777777" w:rsidR="00D15122" w:rsidRPr="00D6167B" w:rsidRDefault="00D15122" w:rsidP="007608DF">
      <w:pPr>
        <w:widowControl/>
        <w:jc w:val="both"/>
        <w:rPr>
          <w:rFonts w:ascii="Times New Roman" w:eastAsia="Times New Roman" w:hAnsi="Times New Roman"/>
          <w:lang w:val="hr-HR"/>
        </w:rPr>
      </w:pPr>
    </w:p>
    <w:p w14:paraId="49A96EEF" w14:textId="77777777" w:rsidR="00D15122" w:rsidRPr="00D6167B" w:rsidRDefault="009B0756" w:rsidP="007608DF">
      <w:pPr>
        <w:pStyle w:val="BodyText"/>
        <w:widowControl/>
        <w:ind w:left="0"/>
        <w:jc w:val="both"/>
        <w:rPr>
          <w:lang w:val="hr-HR"/>
        </w:rPr>
      </w:pPr>
      <w:r w:rsidRPr="00D6167B">
        <w:rPr>
          <w:lang w:val="hr-HR"/>
        </w:rPr>
        <w:lastRenderedPageBreak/>
        <w:t>Hipertenzija je generalno adekvatno kontrolisana oralnim ljekovima protiv hipertenzije, kao što su inhibitori enzima koji konvertuje angiotenzin, diuretici i blokatori kanala kalcijuma. Rijetko je izazvala prekid liječenja bevacizumabom ili hospitalizaciju.</w:t>
      </w:r>
    </w:p>
    <w:p w14:paraId="0411AA8F" w14:textId="77777777" w:rsidR="00D15122" w:rsidRPr="00D6167B" w:rsidRDefault="00D15122" w:rsidP="007608DF">
      <w:pPr>
        <w:widowControl/>
        <w:jc w:val="both"/>
        <w:rPr>
          <w:rFonts w:ascii="Times New Roman" w:eastAsia="Times New Roman" w:hAnsi="Times New Roman"/>
          <w:lang w:val="hr-HR"/>
        </w:rPr>
      </w:pPr>
    </w:p>
    <w:p w14:paraId="34C8DA5C" w14:textId="77777777" w:rsidR="00D15122" w:rsidRPr="00D6167B" w:rsidRDefault="009B0756" w:rsidP="007608DF">
      <w:pPr>
        <w:pStyle w:val="BodyText"/>
        <w:widowControl/>
        <w:ind w:left="0"/>
        <w:jc w:val="both"/>
        <w:rPr>
          <w:lang w:val="hr-HR"/>
        </w:rPr>
      </w:pPr>
      <w:r w:rsidRPr="00D6167B">
        <w:rPr>
          <w:lang w:val="hr-HR"/>
        </w:rPr>
        <w:t>Prijavljeni su veoma rijetki slučajevi hipertenzivne encefalopatije, a neki od njih su imali smrtni ishod.</w:t>
      </w:r>
    </w:p>
    <w:p w14:paraId="186DCDEC" w14:textId="77777777" w:rsidR="00D15122" w:rsidRPr="00D6167B" w:rsidRDefault="00D15122" w:rsidP="007608DF">
      <w:pPr>
        <w:widowControl/>
        <w:jc w:val="both"/>
        <w:rPr>
          <w:rFonts w:ascii="Times New Roman" w:eastAsia="Times New Roman" w:hAnsi="Times New Roman"/>
          <w:lang w:val="hr-HR"/>
        </w:rPr>
      </w:pPr>
    </w:p>
    <w:p w14:paraId="478189AF" w14:textId="77777777" w:rsidR="00D15122" w:rsidRPr="00D6167B" w:rsidRDefault="009B0756" w:rsidP="007608DF">
      <w:pPr>
        <w:pStyle w:val="BodyText"/>
        <w:widowControl/>
        <w:ind w:left="0"/>
        <w:jc w:val="both"/>
        <w:rPr>
          <w:lang w:val="hr-HR"/>
        </w:rPr>
      </w:pPr>
      <w:r w:rsidRPr="00D6167B">
        <w:rPr>
          <w:lang w:val="hr-HR"/>
        </w:rPr>
        <w:t xml:space="preserve">Rizik od hiptertenzije povezane sa bevacizumabom nije bio u korelaciji sa karakteristikama pacijenata na </w:t>
      </w:r>
      <w:r w:rsidR="0029003F" w:rsidRPr="00D6167B">
        <w:rPr>
          <w:lang w:val="hr-HR"/>
        </w:rPr>
        <w:t>početku terapije</w:t>
      </w:r>
      <w:r w:rsidRPr="00D6167B">
        <w:rPr>
          <w:lang w:val="hr-HR"/>
        </w:rPr>
        <w:t xml:space="preserve"> osnovnim bolestima ili istovremenom terapijom.</w:t>
      </w:r>
    </w:p>
    <w:p w14:paraId="4F8BEC32" w14:textId="77777777" w:rsidR="00D15122" w:rsidRPr="00D6167B" w:rsidRDefault="00D15122" w:rsidP="007608DF">
      <w:pPr>
        <w:widowControl/>
        <w:jc w:val="both"/>
        <w:rPr>
          <w:rFonts w:ascii="Times New Roman" w:eastAsia="Times New Roman" w:hAnsi="Times New Roman"/>
          <w:lang w:val="hr-HR"/>
        </w:rPr>
      </w:pPr>
    </w:p>
    <w:p w14:paraId="45F10A0A"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i/>
          <w:u w:val="single"/>
          <w:lang w:val="hr-HR"/>
        </w:rPr>
        <w:t>Sindrom posteriorne reverzibilne encefalopatije</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4B1AED3C"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630BFB33" w14:textId="77777777" w:rsidR="00D15122" w:rsidRPr="00D6167B" w:rsidRDefault="009B0756" w:rsidP="007608DF">
      <w:pPr>
        <w:pStyle w:val="BodyText"/>
        <w:widowControl/>
        <w:ind w:left="0"/>
        <w:jc w:val="both"/>
        <w:rPr>
          <w:lang w:val="hr-HR"/>
        </w:rPr>
      </w:pPr>
      <w:r w:rsidRPr="00D6167B">
        <w:rPr>
          <w:lang w:val="hr-HR"/>
        </w:rPr>
        <w:t>Prijavljeni su rijetki slučajevi kada su se kod pacijenata liječenih bevacizumabom pojavili zna</w:t>
      </w:r>
      <w:r w:rsidR="00892892" w:rsidRPr="00D6167B">
        <w:rPr>
          <w:lang w:val="hr-HR"/>
        </w:rPr>
        <w:t>kov</w:t>
      </w:r>
      <w:r w:rsidRPr="00D6167B">
        <w:rPr>
          <w:lang w:val="hr-HR"/>
        </w:rPr>
        <w:t xml:space="preserve">i i simptomi koji odgovaraju sindromu PRES, rijetkom neurološkom poremećaju. </w:t>
      </w:r>
      <w:r w:rsidR="00B4232F" w:rsidRPr="00D6167B">
        <w:rPr>
          <w:lang w:val="hr-HR"/>
        </w:rPr>
        <w:t>Manifestacija</w:t>
      </w:r>
      <w:r w:rsidRPr="00D6167B">
        <w:rPr>
          <w:lang w:val="hr-HR"/>
        </w:rPr>
        <w:t xml:space="preserve"> može da obuhvata napade, glavobolje, izmijenjen mentalni status, smetnje u vidu ili kortikalno sljepilo, sa pratećom hipertenzijom ili bez nje. </w:t>
      </w:r>
      <w:r w:rsidRPr="00D37692">
        <w:rPr>
          <w:lang w:val="hr-HR"/>
        </w:rPr>
        <w:t xml:space="preserve">Kliničko prezentovanje sindroma PRES je obično nespecifično, pa je za </w:t>
      </w:r>
      <w:r w:rsidRPr="00D6167B">
        <w:rPr>
          <w:lang w:val="hr-HR"/>
        </w:rPr>
        <w:t>dijagnozu sindroma PRES neophodna potvrda snimanjem mozga, najbolje magnetnom rezonancom.</w:t>
      </w:r>
    </w:p>
    <w:p w14:paraId="5DB0BCA6" w14:textId="77777777" w:rsidR="00D15122" w:rsidRPr="00D6167B" w:rsidRDefault="00D15122" w:rsidP="007608DF">
      <w:pPr>
        <w:widowControl/>
        <w:jc w:val="both"/>
        <w:rPr>
          <w:rFonts w:ascii="Times New Roman" w:eastAsia="Times New Roman" w:hAnsi="Times New Roman"/>
          <w:lang w:val="hr-HR"/>
        </w:rPr>
      </w:pPr>
    </w:p>
    <w:p w14:paraId="60422670" w14:textId="77777777" w:rsidR="00D15122" w:rsidRPr="00D6167B" w:rsidRDefault="009B0756" w:rsidP="007608DF">
      <w:pPr>
        <w:pStyle w:val="BodyText"/>
        <w:widowControl/>
        <w:ind w:left="0"/>
        <w:jc w:val="both"/>
        <w:rPr>
          <w:lang w:val="hr-HR"/>
        </w:rPr>
      </w:pPr>
      <w:r w:rsidRPr="00D6167B">
        <w:rPr>
          <w:lang w:val="hr-HR"/>
        </w:rPr>
        <w:t>Kod pacijenata kod kojih se razvije PRES preporučuje se rano prepoznavanje simptoma uz blagovremeno liječenje konkretnih simptoma, uključujući kontrolu hipertenzije (ako je povezan sa ozbiljnom nekontrolisanom hipertenzijom), kao i prekid terapije bevacizumabom. Simptomi obično nestaju ili se popravljaju u roku od nekoliko dana od prekida liječenja, mada su se kod nekih pacijenata javile neke neurološke sekvele. Bezbjednost ponovnog pokretanja terapije bevacizumabom kod pacijenata koji su prethodno imali PRES nije poznata.</w:t>
      </w:r>
    </w:p>
    <w:p w14:paraId="64C9735F" w14:textId="77777777" w:rsidR="00D15122" w:rsidRPr="00D6167B" w:rsidRDefault="00D15122" w:rsidP="007608DF">
      <w:pPr>
        <w:widowControl/>
        <w:jc w:val="both"/>
        <w:rPr>
          <w:rFonts w:ascii="Times New Roman" w:eastAsia="Times New Roman" w:hAnsi="Times New Roman"/>
          <w:lang w:val="hr-HR"/>
        </w:rPr>
      </w:pPr>
    </w:p>
    <w:p w14:paraId="1F5BF7CE" w14:textId="77777777" w:rsidR="00D15122" w:rsidRPr="00D6167B" w:rsidRDefault="009B0756" w:rsidP="007608DF">
      <w:pPr>
        <w:pStyle w:val="BodyText"/>
        <w:widowControl/>
        <w:ind w:left="0"/>
        <w:jc w:val="both"/>
        <w:rPr>
          <w:lang w:val="hr-HR"/>
        </w:rPr>
      </w:pPr>
      <w:r w:rsidRPr="00D6167B">
        <w:rPr>
          <w:lang w:val="hr-HR"/>
        </w:rPr>
        <w:t>U svim kliničkim ispitivanjima prijavljeno je 8 slučajeva sindroma PRES</w:t>
      </w:r>
      <w:r w:rsidR="00892892" w:rsidRPr="00D6167B">
        <w:rPr>
          <w:lang w:val="hr-HR"/>
        </w:rPr>
        <w:t>-a</w:t>
      </w:r>
      <w:r w:rsidRPr="00D6167B">
        <w:rPr>
          <w:lang w:val="hr-HR"/>
        </w:rPr>
        <w:t>. Dva od tih osam slučajeva nijesu imala radiološku potvrdu putem MR.</w:t>
      </w:r>
    </w:p>
    <w:p w14:paraId="263E49B8" w14:textId="77777777" w:rsidR="00D15122" w:rsidRPr="00D6167B" w:rsidRDefault="00D15122" w:rsidP="007608DF">
      <w:pPr>
        <w:widowControl/>
        <w:jc w:val="both"/>
        <w:rPr>
          <w:rFonts w:ascii="Times New Roman" w:eastAsia="Times New Roman" w:hAnsi="Times New Roman"/>
          <w:lang w:val="hr-HR"/>
        </w:rPr>
      </w:pPr>
    </w:p>
    <w:p w14:paraId="3E9ECDF1"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i/>
          <w:u w:val="single"/>
          <w:lang w:val="hr-HR"/>
        </w:rPr>
        <w:t>Proteinurija</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6D4F75EF"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1C6C346F" w14:textId="77777777" w:rsidR="00D15122" w:rsidRPr="00D6167B" w:rsidRDefault="009B0756" w:rsidP="007608DF">
      <w:pPr>
        <w:pStyle w:val="BodyText"/>
        <w:widowControl/>
        <w:ind w:left="0"/>
        <w:jc w:val="both"/>
        <w:rPr>
          <w:lang w:val="hr-HR"/>
        </w:rPr>
      </w:pPr>
      <w:r w:rsidRPr="00D6167B">
        <w:rPr>
          <w:lang w:val="hr-HR"/>
        </w:rPr>
        <w:t>U kliničkim ispitivanjima, proteinurija je prijavljena u opsegu od 0,7% do 54,7% pacijenata koji su primali bevacizumab.</w:t>
      </w:r>
    </w:p>
    <w:p w14:paraId="7E243B4C" w14:textId="77777777" w:rsidR="00D15122" w:rsidRPr="00D6167B" w:rsidRDefault="00D15122" w:rsidP="007608DF">
      <w:pPr>
        <w:widowControl/>
        <w:jc w:val="both"/>
        <w:rPr>
          <w:rFonts w:ascii="Times New Roman" w:eastAsia="Times New Roman" w:hAnsi="Times New Roman"/>
          <w:lang w:val="hr-HR"/>
        </w:rPr>
      </w:pPr>
    </w:p>
    <w:p w14:paraId="4F03BC8F" w14:textId="41CF155B" w:rsidR="00D15122" w:rsidRPr="00D6167B" w:rsidRDefault="009B0756" w:rsidP="007608DF">
      <w:pPr>
        <w:pStyle w:val="BodyText"/>
        <w:widowControl/>
        <w:ind w:left="0"/>
        <w:jc w:val="both"/>
        <w:rPr>
          <w:lang w:val="hr-HR"/>
        </w:rPr>
      </w:pPr>
      <w:r w:rsidRPr="00D6167B">
        <w:rPr>
          <w:lang w:val="hr-HR"/>
        </w:rPr>
        <w:t>Proteinurija se po ozbiljnosti kretala od klinički asimptomatske, tranzijentne</w:t>
      </w:r>
      <w:r w:rsidR="0069253A" w:rsidRPr="00D6167B">
        <w:rPr>
          <w:lang w:val="hr-HR"/>
        </w:rPr>
        <w:t xml:space="preserve"> </w:t>
      </w:r>
      <w:r w:rsidRPr="00D6167B">
        <w:rPr>
          <w:lang w:val="hr-HR"/>
        </w:rPr>
        <w:t>protineurije u tragovima do nefrotskog sindroma, a velika većina je bila proteinurija gradusa 1 (NCI-CTCAE v.3). Proteinurija gradusa 3 prijavljena je kod do 10,9% liječenih pacijenata. Proteinurija gradusa 4 (nefrotski sindrom) prim</w:t>
      </w:r>
      <w:r w:rsidR="001054C9" w:rsidRPr="00D6167B">
        <w:rPr>
          <w:lang w:val="hr-HR"/>
        </w:rPr>
        <w:t>i</w:t>
      </w:r>
      <w:r w:rsidRPr="00D6167B">
        <w:rPr>
          <w:lang w:val="hr-HR"/>
        </w:rPr>
        <w:t xml:space="preserve">jećena je kod do 1,4% liječenih pacijenata. Prije početka terapije lijekom Zirabev preporučuje se testiranje za proteinuriju. U većini kliničkih ispitivanja nivoi proteina u urinu od ≥ 2 g/24 </w:t>
      </w:r>
      <w:r w:rsidR="00E63B9F">
        <w:rPr>
          <w:lang w:val="hr-HR"/>
        </w:rPr>
        <w:t>h</w:t>
      </w:r>
      <w:r w:rsidRPr="00D6167B">
        <w:rPr>
          <w:lang w:val="hr-HR"/>
        </w:rPr>
        <w:t xml:space="preserve"> doveli su do obustavljanja </w:t>
      </w:r>
      <w:r w:rsidR="0069253A" w:rsidRPr="00D6167B">
        <w:rPr>
          <w:lang w:val="hr-HR"/>
        </w:rPr>
        <w:t xml:space="preserve">terapije </w:t>
      </w:r>
      <w:r w:rsidRPr="00D6167B">
        <w:rPr>
          <w:lang w:val="hr-HR"/>
        </w:rPr>
        <w:t>bevacizumab</w:t>
      </w:r>
      <w:r w:rsidR="0069253A" w:rsidRPr="00D6167B">
        <w:rPr>
          <w:lang w:val="hr-HR"/>
        </w:rPr>
        <w:t>om</w:t>
      </w:r>
      <w:r w:rsidRPr="00D6167B">
        <w:rPr>
          <w:lang w:val="hr-HR"/>
        </w:rPr>
        <w:t xml:space="preserve"> do oporavka na &lt; 2 g/24 </w:t>
      </w:r>
      <w:r w:rsidR="00E63B9F">
        <w:rPr>
          <w:lang w:val="hr-HR"/>
        </w:rPr>
        <w:t>h</w:t>
      </w:r>
      <w:r w:rsidRPr="00D6167B">
        <w:rPr>
          <w:lang w:val="hr-HR"/>
        </w:rPr>
        <w:t>.</w:t>
      </w:r>
    </w:p>
    <w:p w14:paraId="5D658DCB" w14:textId="77777777" w:rsidR="00D15122" w:rsidRPr="00D6167B" w:rsidRDefault="00D15122" w:rsidP="007608DF">
      <w:pPr>
        <w:widowControl/>
        <w:jc w:val="both"/>
        <w:rPr>
          <w:rFonts w:ascii="Times New Roman" w:eastAsia="Times New Roman" w:hAnsi="Times New Roman"/>
          <w:lang w:val="hr-HR"/>
        </w:rPr>
      </w:pPr>
    </w:p>
    <w:p w14:paraId="1BFD8867" w14:textId="7777777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i/>
          <w:u w:val="single"/>
          <w:lang w:val="hr-HR"/>
        </w:rPr>
        <w:t>Krvarenje</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6866A138" w14:textId="77777777" w:rsidR="002F575F" w:rsidRPr="00D6167B" w:rsidRDefault="002F575F" w:rsidP="007608DF">
      <w:pPr>
        <w:keepNext/>
        <w:widowControl/>
        <w:jc w:val="both"/>
        <w:rPr>
          <w:rFonts w:ascii="Times New Roman" w:eastAsia="Times New Roman" w:hAnsi="Times New Roman"/>
          <w:lang w:val="hr-HR"/>
        </w:rPr>
      </w:pPr>
    </w:p>
    <w:p w14:paraId="4443DE53" w14:textId="77777777" w:rsidR="00D15122" w:rsidRPr="00D6167B" w:rsidRDefault="009B0756" w:rsidP="007608DF">
      <w:pPr>
        <w:pStyle w:val="BodyText"/>
        <w:widowControl/>
        <w:ind w:left="0"/>
        <w:jc w:val="both"/>
        <w:rPr>
          <w:lang w:val="hr-HR"/>
        </w:rPr>
      </w:pPr>
      <w:r w:rsidRPr="00D6167B">
        <w:rPr>
          <w:lang w:val="hr-HR"/>
        </w:rPr>
        <w:t>U kliničkim ispitivanjima za sve indikacije, ukupna incidencija reakcija krvarenja gradusa 3–5 prema NCI-CTCAE v.3 kretala se od 0,4% do 6,9% kod pacijenata liječenih bevacizumabom, u poređenju sa 4,5% pacijenata u kontrolnoj grupi sa hemoterapijom.</w:t>
      </w:r>
    </w:p>
    <w:p w14:paraId="7AB4EF17" w14:textId="77777777" w:rsidR="00D15122" w:rsidRPr="00D6167B" w:rsidRDefault="00D115B7" w:rsidP="007608DF">
      <w:pPr>
        <w:pStyle w:val="BodyText"/>
        <w:widowControl/>
        <w:ind w:left="0"/>
        <w:jc w:val="both"/>
        <w:rPr>
          <w:lang w:val="hr-HR"/>
        </w:rPr>
      </w:pPr>
      <w:r w:rsidRPr="00D6167B">
        <w:rPr>
          <w:lang w:val="hr-HR"/>
        </w:rPr>
        <w:t xml:space="preserve">U </w:t>
      </w:r>
      <w:r w:rsidR="009B0756" w:rsidRPr="00D6167B">
        <w:rPr>
          <w:lang w:val="hr-HR"/>
        </w:rPr>
        <w:t>kliničko</w:t>
      </w:r>
      <w:r w:rsidRPr="00D6167B">
        <w:rPr>
          <w:lang w:val="hr-HR"/>
        </w:rPr>
        <w:t>m</w:t>
      </w:r>
      <w:r w:rsidR="009B0756" w:rsidRPr="00D6167B">
        <w:rPr>
          <w:lang w:val="hr-HR"/>
        </w:rPr>
        <w:t xml:space="preserve"> ispitivanj</w:t>
      </w:r>
      <w:r w:rsidRPr="00D6167B">
        <w:rPr>
          <w:lang w:val="hr-HR"/>
        </w:rPr>
        <w:t>u</w:t>
      </w:r>
      <w:r w:rsidR="009B0756" w:rsidRPr="00D6167B">
        <w:rPr>
          <w:lang w:val="hr-HR"/>
        </w:rPr>
        <w:t xml:space="preserve"> na paci</w:t>
      </w:r>
      <w:r w:rsidRPr="00D6167B">
        <w:rPr>
          <w:lang w:val="hr-HR"/>
        </w:rPr>
        <w:t>jentkinjama</w:t>
      </w:r>
      <w:r w:rsidR="009B0756" w:rsidRPr="00D6167B">
        <w:rPr>
          <w:lang w:val="hr-HR"/>
        </w:rPr>
        <w:t xml:space="preserve"> sa upornim, rekurentnim ili metastatskim karcinomom cerviksa (studija GOG</w:t>
      </w:r>
      <w:r w:rsidR="009B0756" w:rsidRPr="00D6167B">
        <w:rPr>
          <w:lang w:val="hr-HR"/>
        </w:rPr>
        <w:noBreakHyphen/>
        <w:t>0240), reakcije krvarenja gradusa 3–5 prijavljene su kod najviše 8,3% pacijen</w:t>
      </w:r>
      <w:r w:rsidRPr="00D6167B">
        <w:rPr>
          <w:lang w:val="hr-HR"/>
        </w:rPr>
        <w:t>tkinja</w:t>
      </w:r>
      <w:r w:rsidR="009B0756" w:rsidRPr="00D6167B">
        <w:rPr>
          <w:lang w:val="hr-HR"/>
        </w:rPr>
        <w:t xml:space="preserve"> liječenih bevacizumabom u kombinaciji sa paklitakselom i topotekanom u poređenju sa 4,6% pacije</w:t>
      </w:r>
      <w:r w:rsidRPr="00D6167B">
        <w:rPr>
          <w:lang w:val="hr-HR"/>
        </w:rPr>
        <w:t>ntkinja</w:t>
      </w:r>
      <w:r w:rsidR="009B0756" w:rsidRPr="00D6167B">
        <w:rPr>
          <w:lang w:val="hr-HR"/>
        </w:rPr>
        <w:t xml:space="preserve"> liječenih paklitakselom i topotekanom.</w:t>
      </w:r>
    </w:p>
    <w:p w14:paraId="0A453680" w14:textId="77777777" w:rsidR="00D15122" w:rsidRPr="00D6167B" w:rsidRDefault="00D15122" w:rsidP="007608DF">
      <w:pPr>
        <w:widowControl/>
        <w:jc w:val="both"/>
        <w:rPr>
          <w:rFonts w:ascii="Times New Roman" w:eastAsia="Times New Roman" w:hAnsi="Times New Roman"/>
          <w:lang w:val="hr-HR"/>
        </w:rPr>
      </w:pPr>
    </w:p>
    <w:p w14:paraId="1C488AC5" w14:textId="77777777" w:rsidR="00D15122" w:rsidRPr="00D6167B" w:rsidRDefault="009B0756" w:rsidP="007608DF">
      <w:pPr>
        <w:pStyle w:val="BodyText"/>
        <w:widowControl/>
        <w:ind w:left="0"/>
        <w:jc w:val="both"/>
        <w:rPr>
          <w:lang w:val="hr-HR"/>
        </w:rPr>
      </w:pPr>
      <w:r w:rsidRPr="00D6167B">
        <w:rPr>
          <w:lang w:val="hr-HR"/>
        </w:rPr>
        <w:t>Reakcije krvarenja koje su prim</w:t>
      </w:r>
      <w:r w:rsidR="001054C9" w:rsidRPr="00D6167B">
        <w:rPr>
          <w:lang w:val="hr-HR"/>
        </w:rPr>
        <w:t>i</w:t>
      </w:r>
      <w:r w:rsidRPr="00D6167B">
        <w:rPr>
          <w:lang w:val="hr-HR"/>
        </w:rPr>
        <w:t>jećene u kliničkim ispitivanjima pretežno su bila krvarenja vezana za tumor (pogledajte u nastavku) i manja mukokutana krvarenja (npr. epistaksa).</w:t>
      </w:r>
    </w:p>
    <w:p w14:paraId="260058DF" w14:textId="77777777" w:rsidR="00D15122" w:rsidRPr="00D6167B" w:rsidRDefault="00D15122" w:rsidP="007608DF">
      <w:pPr>
        <w:widowControl/>
        <w:jc w:val="both"/>
        <w:rPr>
          <w:rFonts w:ascii="Times New Roman" w:eastAsia="Times New Roman" w:hAnsi="Times New Roman"/>
          <w:lang w:val="hr-HR"/>
        </w:rPr>
      </w:pPr>
    </w:p>
    <w:p w14:paraId="765E2A6A" w14:textId="77777777"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i/>
          <w:u w:val="single"/>
          <w:lang w:val="hr-HR"/>
        </w:rPr>
        <w:t>Krvarenje vezano za tumor</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158E28AF"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09BB84F0" w14:textId="0E920564" w:rsidR="00D15122" w:rsidRPr="00D6167B" w:rsidRDefault="009B0756" w:rsidP="007608DF">
      <w:pPr>
        <w:pStyle w:val="BodyText"/>
        <w:widowControl/>
        <w:ind w:left="0"/>
        <w:jc w:val="both"/>
        <w:rPr>
          <w:lang w:val="hr-HR"/>
        </w:rPr>
      </w:pPr>
      <w:r w:rsidRPr="00D6167B">
        <w:rPr>
          <w:lang w:val="hr-HR"/>
        </w:rPr>
        <w:t>Veliko ili obimno plućno krvarenje/hemoptizija prim</w:t>
      </w:r>
      <w:r w:rsidR="001054C9" w:rsidRPr="00D6167B">
        <w:rPr>
          <w:lang w:val="hr-HR"/>
        </w:rPr>
        <w:t>i</w:t>
      </w:r>
      <w:r w:rsidRPr="00D6167B">
        <w:rPr>
          <w:lang w:val="hr-HR"/>
        </w:rPr>
        <w:t xml:space="preserve">jećeno je prvenstveno u ispitivanjima kod pacijenata sa </w:t>
      </w:r>
      <w:r w:rsidR="00E63B9F">
        <w:rPr>
          <w:lang w:val="hr-HR"/>
        </w:rPr>
        <w:t xml:space="preserve">nemikrocelularnim </w:t>
      </w:r>
      <w:r w:rsidRPr="00D6167B">
        <w:rPr>
          <w:lang w:val="hr-HR"/>
        </w:rPr>
        <w:t xml:space="preserve">karcinomom pluća (NSCLC). Mogući faktori rizika obuhvataju </w:t>
      </w:r>
      <w:r w:rsidRPr="00D6167B">
        <w:rPr>
          <w:lang w:val="hr-HR"/>
        </w:rPr>
        <w:lastRenderedPageBreak/>
        <w:t>histologiju skvamoznih ćelija, liječenje antireumatskim/</w:t>
      </w:r>
      <w:r w:rsidR="00E63B9F">
        <w:rPr>
          <w:lang w:val="hr-HR"/>
        </w:rPr>
        <w:t>antiinflamatornim</w:t>
      </w:r>
      <w:r w:rsidR="00E63B9F" w:rsidRPr="00D6167B">
        <w:rPr>
          <w:lang w:val="hr-HR"/>
        </w:rPr>
        <w:t xml:space="preserve"> </w:t>
      </w:r>
      <w:r w:rsidRPr="00D6167B">
        <w:rPr>
          <w:lang w:val="hr-HR"/>
        </w:rPr>
        <w:t xml:space="preserve">supstancama, liječenje antikoagulansima, prethodnu radioterapiju, terapiju bevacizumabom, prethodnu medicinsku istoriju ateroskleroze, centralnu lokaciju tumora i kavitaciju tumora prije terapije ili tokom nje. Jedine promjenljive koje su pokazale statistički značajne korelacije sa krvarenjem </w:t>
      </w:r>
      <w:r w:rsidR="00E63B9F">
        <w:rPr>
          <w:lang w:val="hr-HR"/>
        </w:rPr>
        <w:t xml:space="preserve">bile </w:t>
      </w:r>
      <w:r w:rsidRPr="00D6167B">
        <w:rPr>
          <w:lang w:val="hr-HR"/>
        </w:rPr>
        <w:t>su terapija bevacizumabom i histologija skvamoznih ćelija. Pacijenti koji imaju NSCLC sa poznatom histologijom skvamoznih ćelija ili m</w:t>
      </w:r>
      <w:r w:rsidR="00E63B9F">
        <w:rPr>
          <w:lang w:val="hr-HR"/>
        </w:rPr>
        <w:t>j</w:t>
      </w:r>
      <w:r w:rsidRPr="00D6167B">
        <w:rPr>
          <w:lang w:val="hr-HR"/>
        </w:rPr>
        <w:t>ešovitog tipa ćelija sa preovlada</w:t>
      </w:r>
      <w:r w:rsidR="00E63B9F">
        <w:rPr>
          <w:lang w:val="hr-HR"/>
        </w:rPr>
        <w:t>jućom</w:t>
      </w:r>
      <w:r w:rsidRPr="00D6167B">
        <w:rPr>
          <w:lang w:val="hr-HR"/>
        </w:rPr>
        <w:t xml:space="preserve"> histologij</w:t>
      </w:r>
      <w:r w:rsidR="00E63B9F">
        <w:rPr>
          <w:lang w:val="hr-HR"/>
        </w:rPr>
        <w:t>om</w:t>
      </w:r>
      <w:r w:rsidRPr="00D6167B">
        <w:rPr>
          <w:lang w:val="hr-HR"/>
        </w:rPr>
        <w:t xml:space="preserve"> skvamoznih ćelija isključeni su iz narednih ispitivanja faze III, dok su pacijenti sa </w:t>
      </w:r>
      <w:r w:rsidR="00E63B9F">
        <w:rPr>
          <w:lang w:val="hr-HR"/>
        </w:rPr>
        <w:t xml:space="preserve">tumorom </w:t>
      </w:r>
      <w:r w:rsidRPr="00D6167B">
        <w:rPr>
          <w:lang w:val="hr-HR"/>
        </w:rPr>
        <w:t>nepoznat</w:t>
      </w:r>
      <w:r w:rsidR="00E63B9F">
        <w:rPr>
          <w:lang w:val="hr-HR"/>
        </w:rPr>
        <w:t>e</w:t>
      </w:r>
      <w:r w:rsidRPr="00D6167B">
        <w:rPr>
          <w:lang w:val="hr-HR"/>
        </w:rPr>
        <w:t xml:space="preserve"> histologij</w:t>
      </w:r>
      <w:r w:rsidR="00E63B9F">
        <w:rPr>
          <w:lang w:val="hr-HR"/>
        </w:rPr>
        <w:t>e</w:t>
      </w:r>
      <w:r w:rsidRPr="00D6167B">
        <w:rPr>
          <w:lang w:val="hr-HR"/>
        </w:rPr>
        <w:t xml:space="preserve"> </w:t>
      </w:r>
      <w:r w:rsidR="00E63B9F">
        <w:rPr>
          <w:lang w:val="hr-HR"/>
        </w:rPr>
        <w:t>bili</w:t>
      </w:r>
      <w:r w:rsidR="00E63B9F" w:rsidRPr="00D6167B">
        <w:rPr>
          <w:lang w:val="hr-HR"/>
        </w:rPr>
        <w:t xml:space="preserve"> </w:t>
      </w:r>
      <w:r w:rsidRPr="00D6167B">
        <w:rPr>
          <w:lang w:val="hr-HR"/>
        </w:rPr>
        <w:t>uključeni.</w:t>
      </w:r>
    </w:p>
    <w:p w14:paraId="79E7A9F9" w14:textId="77777777" w:rsidR="00D15122" w:rsidRPr="00D6167B" w:rsidRDefault="00D15122" w:rsidP="007608DF">
      <w:pPr>
        <w:widowControl/>
        <w:jc w:val="both"/>
        <w:rPr>
          <w:rFonts w:ascii="Times New Roman" w:eastAsia="Times New Roman" w:hAnsi="Times New Roman"/>
          <w:lang w:val="hr-HR"/>
        </w:rPr>
      </w:pPr>
    </w:p>
    <w:p w14:paraId="4770BDE7" w14:textId="77777777" w:rsidR="00D15122" w:rsidRPr="00D6167B" w:rsidRDefault="009B0756" w:rsidP="007608DF">
      <w:pPr>
        <w:pStyle w:val="BodyText"/>
        <w:widowControl/>
        <w:ind w:left="0" w:hanging="1"/>
        <w:jc w:val="both"/>
        <w:rPr>
          <w:lang w:val="hr-HR"/>
        </w:rPr>
      </w:pPr>
      <w:r w:rsidRPr="00D6167B">
        <w:rPr>
          <w:lang w:val="hr-HR"/>
        </w:rPr>
        <w:t>Kod pacijenata koji imaju NSCLC, ali ne i pretežno skvamoznu histologiju, reakcije svih gradusa su prim</w:t>
      </w:r>
      <w:r w:rsidR="001054C9" w:rsidRPr="00D6167B">
        <w:rPr>
          <w:lang w:val="hr-HR"/>
        </w:rPr>
        <w:t>i</w:t>
      </w:r>
      <w:r w:rsidRPr="00D6167B">
        <w:rPr>
          <w:lang w:val="hr-HR"/>
        </w:rPr>
        <w:t>jećene sa učestalošću od najviše 9,3% pri liječenju bevacizumabom sa hemoterapijom u poređenju sa najviše 5% kod pacijenata liječenih samo hemoterapijom. Reakcije gradusa 3–5 su prim</w:t>
      </w:r>
      <w:r w:rsidR="001054C9" w:rsidRPr="00D6167B">
        <w:rPr>
          <w:lang w:val="hr-HR"/>
        </w:rPr>
        <w:t>i</w:t>
      </w:r>
      <w:r w:rsidRPr="00D6167B">
        <w:rPr>
          <w:lang w:val="hr-HR"/>
        </w:rPr>
        <w:t>jećene kod najviše 2,3% pacijenata liječenih bevacizumabom sa hemoterapijom u poređenju sa &lt; 1% liječenih samo hemoterapijom (NCI-CTCAE v.3). Veliko ili obimno plućno krvarenje/hemoptizija može da se desi iznenada i do dvije trećine ozbiljnih plućnih krvarenja imalo je smrtan ishod.</w:t>
      </w:r>
    </w:p>
    <w:p w14:paraId="4B3217EA" w14:textId="77777777" w:rsidR="00D15122" w:rsidRPr="00D6167B" w:rsidRDefault="00D15122" w:rsidP="007608DF">
      <w:pPr>
        <w:widowControl/>
        <w:jc w:val="both"/>
        <w:rPr>
          <w:rFonts w:ascii="Times New Roman" w:eastAsia="Times New Roman" w:hAnsi="Times New Roman"/>
          <w:lang w:val="hr-HR"/>
        </w:rPr>
      </w:pPr>
    </w:p>
    <w:p w14:paraId="5BCC5368" w14:textId="77777777" w:rsidR="00D15122" w:rsidRPr="00D6167B" w:rsidRDefault="009B0756" w:rsidP="007608DF">
      <w:pPr>
        <w:pStyle w:val="BodyText"/>
        <w:widowControl/>
        <w:ind w:left="0"/>
        <w:jc w:val="both"/>
        <w:rPr>
          <w:lang w:val="hr-HR"/>
        </w:rPr>
      </w:pPr>
      <w:r w:rsidRPr="00D6167B">
        <w:rPr>
          <w:lang w:val="hr-HR"/>
        </w:rPr>
        <w:t>Krvarenja u gastrointestinalnom traktu, uključujući rektalno krvarenje i melenu, prijavljena su kod pacijenata sa kolorektalnim karcinomom, a procijenjena su kao krvarenja vezana za tumor.</w:t>
      </w:r>
    </w:p>
    <w:p w14:paraId="48A8B018" w14:textId="77777777" w:rsidR="00D15122" w:rsidRPr="00D6167B" w:rsidRDefault="00D15122" w:rsidP="007608DF">
      <w:pPr>
        <w:widowControl/>
        <w:jc w:val="both"/>
        <w:rPr>
          <w:rFonts w:ascii="Times New Roman" w:eastAsia="Times New Roman" w:hAnsi="Times New Roman"/>
          <w:sz w:val="21"/>
          <w:szCs w:val="21"/>
          <w:lang w:val="hr-HR"/>
        </w:rPr>
      </w:pPr>
    </w:p>
    <w:p w14:paraId="0A787777" w14:textId="77777777" w:rsidR="00D15122" w:rsidRPr="00D6167B" w:rsidRDefault="009B0756" w:rsidP="007608DF">
      <w:pPr>
        <w:pStyle w:val="BodyText"/>
        <w:widowControl/>
        <w:ind w:left="0"/>
        <w:jc w:val="both"/>
        <w:rPr>
          <w:lang w:val="hr-HR"/>
        </w:rPr>
      </w:pPr>
      <w:r w:rsidRPr="00D6167B">
        <w:rPr>
          <w:lang w:val="hr-HR"/>
        </w:rPr>
        <w:t>Krvarenje vezano za tumor takođe je rijetko prim</w:t>
      </w:r>
      <w:r w:rsidR="001054C9" w:rsidRPr="00D6167B">
        <w:rPr>
          <w:lang w:val="hr-HR"/>
        </w:rPr>
        <w:t>i</w:t>
      </w:r>
      <w:r w:rsidRPr="00D6167B">
        <w:rPr>
          <w:lang w:val="hr-HR"/>
        </w:rPr>
        <w:t xml:space="preserve">jećeno kod drugih vrsta i lokacija tumora, uključujući slučajeve krvarenja u centralnom nervnom sistemu (CNS) kod pacijenata sa metastazama na CNS sistemu (pogledajte </w:t>
      </w:r>
      <w:r w:rsidR="00EA7D3C" w:rsidRPr="00D6167B">
        <w:rPr>
          <w:lang w:val="hr-HR"/>
        </w:rPr>
        <w:t xml:space="preserve">dio </w:t>
      </w:r>
      <w:r w:rsidRPr="00D6167B">
        <w:rPr>
          <w:lang w:val="hr-HR"/>
        </w:rPr>
        <w:t>4.4).</w:t>
      </w:r>
    </w:p>
    <w:p w14:paraId="4A8BD58A" w14:textId="77777777" w:rsidR="00D15122" w:rsidRPr="00D6167B" w:rsidRDefault="00D15122" w:rsidP="007608DF">
      <w:pPr>
        <w:widowControl/>
        <w:jc w:val="both"/>
        <w:rPr>
          <w:rFonts w:ascii="Times New Roman" w:eastAsia="Times New Roman" w:hAnsi="Times New Roman"/>
          <w:lang w:val="hr-HR"/>
        </w:rPr>
      </w:pPr>
    </w:p>
    <w:p w14:paraId="718BE9A5" w14:textId="0BD87600" w:rsidR="00D15122" w:rsidRPr="00D6167B" w:rsidRDefault="009B0756" w:rsidP="007608DF">
      <w:pPr>
        <w:pStyle w:val="BodyText"/>
        <w:widowControl/>
        <w:ind w:left="0"/>
        <w:jc w:val="both"/>
        <w:rPr>
          <w:lang w:val="hr-HR"/>
        </w:rPr>
      </w:pPr>
      <w:r w:rsidRPr="00D6167B">
        <w:rPr>
          <w:lang w:val="hr-HR"/>
        </w:rPr>
        <w:t>Incidencija krvarenja u CNS sistemu kod pacijenata sa nel</w:t>
      </w:r>
      <w:r w:rsidR="009750FE" w:rsidRPr="00D6167B">
        <w:rPr>
          <w:lang w:val="hr-HR"/>
        </w:rPr>
        <w:t>i</w:t>
      </w:r>
      <w:r w:rsidRPr="00D6167B">
        <w:rPr>
          <w:lang w:val="hr-HR"/>
        </w:rPr>
        <w:t xml:space="preserve">ječenim metastazama </w:t>
      </w:r>
      <w:r w:rsidR="00EC6122" w:rsidRPr="00D6167B">
        <w:rPr>
          <w:lang w:val="hr-HR"/>
        </w:rPr>
        <w:t>u</w:t>
      </w:r>
      <w:r w:rsidRPr="00D6167B">
        <w:rPr>
          <w:lang w:val="hr-HR"/>
        </w:rPr>
        <w:t xml:space="preserve"> CNS</w:t>
      </w:r>
      <w:r w:rsidR="00EC6122" w:rsidRPr="00D6167B">
        <w:rPr>
          <w:lang w:val="hr-HR"/>
        </w:rPr>
        <w:t>-u</w:t>
      </w:r>
      <w:r w:rsidRPr="00D6167B">
        <w:rPr>
          <w:lang w:val="hr-HR"/>
        </w:rPr>
        <w:t>koji primaju bevacizumab nije prospektivno procijenjena u randomizovanim kliničkim ispitivanjima. U eksplorativnoj retrospektivnoj analizi podataka iz 13 dovršenih randomizovanih ispitivanja kod pacijenata sa različitim vrstama tumora, 3 pacijenta od 91 (3,3%) sa metastazama na mozgu doživjela su krvarenje u CNS</w:t>
      </w:r>
      <w:r w:rsidR="00EC6122" w:rsidRPr="00D6167B">
        <w:rPr>
          <w:lang w:val="hr-HR"/>
        </w:rPr>
        <w:t>-u</w:t>
      </w:r>
      <w:r w:rsidR="00673198">
        <w:rPr>
          <w:lang w:val="hr-HR"/>
        </w:rPr>
        <w:t xml:space="preserve"> </w:t>
      </w:r>
      <w:r w:rsidRPr="00D6167B">
        <w:rPr>
          <w:lang w:val="hr-HR"/>
        </w:rPr>
        <w:t>(svi gradusa 4) kada su liječeni bevacizumabom, u poređenju sa 1 slučajem (gradus 5) od 96 pacijenata (1%) koji nijesu bili izloženi bevacizumabu. U dvije naknadne studije kod pacijenata sa liječenim metastazama na mozgu (koje su obuhvatale oko 800 pacijenata) prijavljen je jedan slučaj krvarenja u CNS</w:t>
      </w:r>
      <w:r w:rsidR="00EC6122" w:rsidRPr="00D6167B">
        <w:rPr>
          <w:lang w:val="hr-HR"/>
        </w:rPr>
        <w:t>-u</w:t>
      </w:r>
      <w:r w:rsidR="00673198">
        <w:rPr>
          <w:lang w:val="hr-HR"/>
        </w:rPr>
        <w:t xml:space="preserve"> </w:t>
      </w:r>
      <w:r w:rsidRPr="00D6167B">
        <w:rPr>
          <w:lang w:val="hr-HR"/>
        </w:rPr>
        <w:t>gradusa 2 među 83 ispitanika liječena bevacizumabom (1,2%) u trenutku periodične analize bezbjednosti (NCI-CTCAE v.3).</w:t>
      </w:r>
    </w:p>
    <w:p w14:paraId="1F8F48F8" w14:textId="77777777" w:rsidR="00203535" w:rsidRPr="00D6167B" w:rsidRDefault="00203535" w:rsidP="007608DF">
      <w:pPr>
        <w:pStyle w:val="BodyText"/>
        <w:widowControl/>
        <w:ind w:left="0"/>
        <w:jc w:val="both"/>
        <w:rPr>
          <w:lang w:val="hr-HR"/>
        </w:rPr>
      </w:pPr>
    </w:p>
    <w:p w14:paraId="56EF0678" w14:textId="77777777" w:rsidR="00D15122" w:rsidRPr="00D6167B" w:rsidRDefault="009B0756" w:rsidP="007608DF">
      <w:pPr>
        <w:pStyle w:val="BodyText"/>
        <w:widowControl/>
        <w:ind w:left="0"/>
        <w:jc w:val="both"/>
        <w:rPr>
          <w:lang w:val="hr-HR"/>
        </w:rPr>
      </w:pPr>
      <w:r w:rsidRPr="00D6167B">
        <w:rPr>
          <w:lang w:val="hr-HR"/>
        </w:rPr>
        <w:t>U svim kliničkim ispitivanjima je prim</w:t>
      </w:r>
      <w:r w:rsidR="001054C9" w:rsidRPr="00D6167B">
        <w:rPr>
          <w:lang w:val="hr-HR"/>
        </w:rPr>
        <w:t>i</w:t>
      </w:r>
      <w:r w:rsidRPr="00D6167B">
        <w:rPr>
          <w:lang w:val="hr-HR"/>
        </w:rPr>
        <w:t>jećeno mukokutano krvarenje kod najviše 50% pacijenata koji su liječeni bevacizumabom. Najčešće je u pitanju bila epistaksa gradusa 1 prema NCI-CTCAE v.3 koja je trajala manje od 5 minuta, rješavala se bez medicinskih intervencija i nije zahtijevala promjene u režimu liječenja bevacizumabom. Podaci o kliničkoj bezbjednosti ukazuju na to da incidencija manjeg mukokutanog krvarenja (npr. epistakse) vjerovatno zavisi od doze.</w:t>
      </w:r>
    </w:p>
    <w:p w14:paraId="2AD80229" w14:textId="77777777" w:rsidR="00D15122" w:rsidRPr="00D6167B" w:rsidRDefault="00D15122" w:rsidP="007608DF">
      <w:pPr>
        <w:widowControl/>
        <w:jc w:val="both"/>
        <w:rPr>
          <w:rFonts w:ascii="Times New Roman" w:eastAsia="Times New Roman" w:hAnsi="Times New Roman"/>
          <w:lang w:val="hr-HR"/>
        </w:rPr>
      </w:pPr>
    </w:p>
    <w:p w14:paraId="3BD7AD32" w14:textId="77777777" w:rsidR="00D15122" w:rsidRPr="00D6167B" w:rsidRDefault="009B0756" w:rsidP="007608DF">
      <w:pPr>
        <w:pStyle w:val="BodyText"/>
        <w:widowControl/>
        <w:ind w:left="0"/>
        <w:jc w:val="both"/>
        <w:rPr>
          <w:lang w:val="hr-HR"/>
        </w:rPr>
      </w:pPr>
      <w:r w:rsidRPr="00D6167B">
        <w:rPr>
          <w:lang w:val="hr-HR"/>
        </w:rPr>
        <w:t>Pojavile su se i manje učestale reakcije manjeg mukokutanog krvarenja na drugim lokacijama, kao što su gingivalno ili vaginalno krvarenje.</w:t>
      </w:r>
    </w:p>
    <w:p w14:paraId="5C1C29E2" w14:textId="77777777" w:rsidR="00D15122" w:rsidRPr="00D6167B" w:rsidRDefault="00D15122" w:rsidP="007608DF">
      <w:pPr>
        <w:widowControl/>
        <w:jc w:val="both"/>
        <w:rPr>
          <w:rFonts w:ascii="Times New Roman" w:eastAsia="Times New Roman" w:hAnsi="Times New Roman"/>
          <w:sz w:val="21"/>
          <w:szCs w:val="21"/>
          <w:lang w:val="hr-HR"/>
        </w:rPr>
      </w:pPr>
    </w:p>
    <w:p w14:paraId="3F7FB152" w14:textId="77777777" w:rsidR="00D15122" w:rsidRPr="00D6167B" w:rsidRDefault="009B0756" w:rsidP="007608DF">
      <w:pPr>
        <w:keepNext/>
        <w:widowControl/>
        <w:jc w:val="both"/>
        <w:rPr>
          <w:rFonts w:ascii="Times New Roman" w:eastAsia="Times New Roman" w:hAnsi="Times New Roman"/>
          <w:u w:val="single"/>
          <w:lang w:val="hr-HR"/>
        </w:rPr>
      </w:pPr>
      <w:r w:rsidRPr="00D6167B">
        <w:rPr>
          <w:rFonts w:ascii="Times New Roman" w:hAnsi="Times New Roman"/>
          <w:i/>
          <w:u w:val="single"/>
          <w:lang w:val="hr-HR"/>
        </w:rPr>
        <w:t>Tromboembolija</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dio </w:t>
      </w:r>
      <w:r w:rsidRPr="00D6167B">
        <w:rPr>
          <w:rFonts w:ascii="Times New Roman" w:hAnsi="Times New Roman"/>
          <w:u w:val="single"/>
          <w:lang w:val="hr-HR"/>
        </w:rPr>
        <w:t>4.4)</w:t>
      </w:r>
    </w:p>
    <w:p w14:paraId="20C2780C" w14:textId="77777777" w:rsidR="00D15122" w:rsidRPr="00D6167B" w:rsidRDefault="00D15122" w:rsidP="007608DF">
      <w:pPr>
        <w:keepNext/>
        <w:widowControl/>
        <w:jc w:val="both"/>
        <w:rPr>
          <w:rFonts w:ascii="Times New Roman" w:eastAsia="Times New Roman" w:hAnsi="Times New Roman"/>
          <w:lang w:val="hr-HR"/>
        </w:rPr>
      </w:pPr>
    </w:p>
    <w:p w14:paraId="5F84355B" w14:textId="77777777" w:rsidR="002F575F" w:rsidRPr="00D6167B" w:rsidRDefault="009B0756" w:rsidP="007608DF">
      <w:pPr>
        <w:pStyle w:val="BodyText"/>
        <w:keepNext/>
        <w:widowControl/>
        <w:ind w:left="0"/>
        <w:jc w:val="both"/>
        <w:rPr>
          <w:lang w:val="hr-HR"/>
        </w:rPr>
      </w:pPr>
      <w:r w:rsidRPr="00D6167B">
        <w:rPr>
          <w:i/>
          <w:lang w:val="hr-HR"/>
        </w:rPr>
        <w:t>Arterijska tromboembolija</w:t>
      </w:r>
    </w:p>
    <w:p w14:paraId="6DFFCB75" w14:textId="77777777" w:rsidR="00D15122" w:rsidRPr="00D6167B" w:rsidRDefault="009B0756" w:rsidP="007608DF">
      <w:pPr>
        <w:pStyle w:val="BodyText"/>
        <w:widowControl/>
        <w:ind w:left="0"/>
        <w:jc w:val="both"/>
        <w:rPr>
          <w:lang w:val="hr-HR"/>
        </w:rPr>
      </w:pPr>
      <w:r w:rsidRPr="00D6167B">
        <w:rPr>
          <w:lang w:val="hr-HR"/>
        </w:rPr>
        <w:t>Povećana incidencija arterijskih tromboembolijskih reakcija prim</w:t>
      </w:r>
      <w:r w:rsidR="001054C9" w:rsidRPr="00D6167B">
        <w:rPr>
          <w:lang w:val="hr-HR"/>
        </w:rPr>
        <w:t>i</w:t>
      </w:r>
      <w:r w:rsidRPr="00D6167B">
        <w:rPr>
          <w:lang w:val="hr-HR"/>
        </w:rPr>
        <w:t>jećena je kod pacijenata liječenih bevacizumabom u svim indikacijama, uključujući cerebrovaskularne akcidente, infarkt miokarda, tranzitorne ishemijske atake i druge arterijske tromboembolijske reakcije.</w:t>
      </w:r>
    </w:p>
    <w:p w14:paraId="092D3AD2" w14:textId="77777777" w:rsidR="00B419F6" w:rsidRPr="00D6167B" w:rsidRDefault="00B419F6" w:rsidP="007608DF">
      <w:pPr>
        <w:pStyle w:val="BodyText"/>
        <w:widowControl/>
        <w:ind w:left="0"/>
        <w:jc w:val="both"/>
        <w:rPr>
          <w:lang w:val="hr-HR"/>
        </w:rPr>
      </w:pPr>
    </w:p>
    <w:p w14:paraId="273652BF" w14:textId="77777777" w:rsidR="00D15122" w:rsidRPr="00D6167B" w:rsidRDefault="009B0756" w:rsidP="007608DF">
      <w:pPr>
        <w:pStyle w:val="BodyText"/>
        <w:widowControl/>
        <w:ind w:left="0"/>
        <w:jc w:val="both"/>
        <w:rPr>
          <w:lang w:val="hr-HR"/>
        </w:rPr>
      </w:pPr>
      <w:r w:rsidRPr="00D6167B">
        <w:rPr>
          <w:lang w:val="hr-HR"/>
        </w:rPr>
        <w:t xml:space="preserve">U kliničkim ispitivanjima se ukupna incidencija arterijskih tromboembolijskih reakcija kretala do 3,8% u </w:t>
      </w:r>
      <w:r w:rsidR="00017976" w:rsidRPr="00D6167B">
        <w:rPr>
          <w:lang w:val="hr-HR"/>
        </w:rPr>
        <w:t xml:space="preserve">grupama </w:t>
      </w:r>
      <w:r w:rsidRPr="00D6167B">
        <w:rPr>
          <w:lang w:val="hr-HR"/>
        </w:rPr>
        <w:t>koj</w:t>
      </w:r>
      <w:r w:rsidR="00017976" w:rsidRPr="00D6167B">
        <w:rPr>
          <w:lang w:val="hr-HR"/>
        </w:rPr>
        <w:t>e</w:t>
      </w:r>
      <w:r w:rsidRPr="00D6167B">
        <w:rPr>
          <w:lang w:val="hr-HR"/>
        </w:rPr>
        <w:t xml:space="preserve"> obuhvataju bevacizumab, u poređenju sa najviše 2,1% u kontrolnim </w:t>
      </w:r>
      <w:r w:rsidR="00017976" w:rsidRPr="00D6167B">
        <w:rPr>
          <w:lang w:val="hr-HR"/>
        </w:rPr>
        <w:t xml:space="preserve">grupama </w:t>
      </w:r>
      <w:r w:rsidRPr="00D6167B">
        <w:rPr>
          <w:lang w:val="hr-HR"/>
        </w:rPr>
        <w:t>sa hemoterapijom. Smrtni ishod je prijavljen kod 0,8% pacijenata koji su primali bevacizumab u poređenju sa 0,5% pacijenata koji su primali samo hemoterapiju. Cerebrovaskularni akcidenti (uključujući tranzitorne ishemijske atake) prijavljeni su kod najviše 2,7% pacijenata liječenih bevacizumabom u kombinaciji sa hemoterapijom u poređenju sa najviše 0,5% pacijenata liječenih samo hemoterapijom. Infarkt miokarda je prijavljen kod najviše 1,4% pacijenata liječenih bevacizumabom u kombinaciji sa hemoterapijom u poređenju sa najviše 0,7% pacijenata koji su liječeni samo hemoterapijom.</w:t>
      </w:r>
    </w:p>
    <w:p w14:paraId="6A1135A9" w14:textId="77777777" w:rsidR="00D15122" w:rsidRPr="00D6167B" w:rsidRDefault="00D15122" w:rsidP="007608DF">
      <w:pPr>
        <w:widowControl/>
        <w:jc w:val="both"/>
        <w:rPr>
          <w:rFonts w:ascii="Times New Roman" w:eastAsia="Times New Roman" w:hAnsi="Times New Roman"/>
          <w:lang w:val="hr-HR"/>
        </w:rPr>
      </w:pPr>
    </w:p>
    <w:p w14:paraId="31449127" w14:textId="77777777" w:rsidR="00D15122" w:rsidRPr="00D6167B" w:rsidRDefault="009B0756" w:rsidP="007608DF">
      <w:pPr>
        <w:pStyle w:val="BodyText"/>
        <w:widowControl/>
        <w:ind w:left="0"/>
        <w:jc w:val="both"/>
        <w:rPr>
          <w:lang w:val="hr-HR"/>
        </w:rPr>
      </w:pPr>
      <w:r w:rsidRPr="00D6167B">
        <w:rPr>
          <w:lang w:val="hr-HR"/>
        </w:rPr>
        <w:lastRenderedPageBreak/>
        <w:t>U jednom kliničkom ispitivanju koje je procjenjivalo bevacizumab u kombinaciji sa 5-fluorouracilom/folinskom kiselinom, AVF2192g, uključeni su pacijenti sa metastatskim kolorektalnim karcinomom koji nijesu bili kandidati za liječenje irinotekanom. U ovom ispitivanju su arterijske tromboembolijske reakcije prim</w:t>
      </w:r>
      <w:r w:rsidR="001054C9" w:rsidRPr="00D6167B">
        <w:rPr>
          <w:lang w:val="hr-HR"/>
        </w:rPr>
        <w:t>i</w:t>
      </w:r>
      <w:r w:rsidRPr="00D6167B">
        <w:rPr>
          <w:lang w:val="hr-HR"/>
        </w:rPr>
        <w:t>jećene kod 11% (11/100) pacijenata u poređenju sa 5,8% (6/104) u kontrolnoj grupi sa hemoterapijom.</w:t>
      </w:r>
    </w:p>
    <w:p w14:paraId="2E814934" w14:textId="77777777" w:rsidR="00D15122" w:rsidRPr="00D6167B" w:rsidRDefault="00D15122" w:rsidP="007608DF">
      <w:pPr>
        <w:widowControl/>
        <w:jc w:val="both"/>
        <w:rPr>
          <w:rFonts w:ascii="Times New Roman" w:eastAsia="Times New Roman" w:hAnsi="Times New Roman"/>
          <w:lang w:val="hr-HR"/>
        </w:rPr>
      </w:pPr>
    </w:p>
    <w:p w14:paraId="30E22709" w14:textId="77777777" w:rsidR="002F575F" w:rsidRPr="00D6167B" w:rsidRDefault="009B0756" w:rsidP="007608DF">
      <w:pPr>
        <w:pStyle w:val="BodyText"/>
        <w:widowControl/>
        <w:ind w:left="0"/>
        <w:jc w:val="both"/>
        <w:rPr>
          <w:lang w:val="hr-HR"/>
        </w:rPr>
      </w:pPr>
      <w:r w:rsidRPr="00D6167B">
        <w:rPr>
          <w:i/>
          <w:lang w:val="hr-HR"/>
        </w:rPr>
        <w:t>Venska tromboembolija</w:t>
      </w:r>
    </w:p>
    <w:p w14:paraId="6F004142" w14:textId="77777777" w:rsidR="00D15122" w:rsidRPr="00D6167B" w:rsidRDefault="009B0756" w:rsidP="007608DF">
      <w:pPr>
        <w:pStyle w:val="BodyText"/>
        <w:widowControl/>
        <w:ind w:left="0"/>
        <w:jc w:val="both"/>
        <w:rPr>
          <w:lang w:val="hr-HR"/>
        </w:rPr>
      </w:pPr>
      <w:r w:rsidRPr="00D6167B">
        <w:rPr>
          <w:lang w:val="hr-HR"/>
        </w:rPr>
        <w:t>Incidencija venskih tromboembolijskih reakcija u kliničkim ispitivanjima bila je slična kod pacijenata koji su primali bevacizumab u kombinaciji sa hemoterapijom u poređenju sa onima koji su primali samo kontrolnu hemoterapiju. Venske tromboembolijske reakcije obuhvataju duboku vensku trombozu, plućnu emboliju i tromboflebitis.</w:t>
      </w:r>
    </w:p>
    <w:p w14:paraId="77D47BA2" w14:textId="77777777" w:rsidR="00D15122" w:rsidRPr="00D6167B" w:rsidRDefault="00D15122" w:rsidP="007608DF">
      <w:pPr>
        <w:widowControl/>
        <w:jc w:val="both"/>
        <w:rPr>
          <w:rFonts w:ascii="Times New Roman" w:eastAsia="Times New Roman" w:hAnsi="Times New Roman"/>
          <w:lang w:val="hr-HR"/>
        </w:rPr>
      </w:pPr>
    </w:p>
    <w:p w14:paraId="2D97DD07" w14:textId="77777777" w:rsidR="00D15122" w:rsidRPr="00D6167B" w:rsidRDefault="009B0756" w:rsidP="007608DF">
      <w:pPr>
        <w:pStyle w:val="BodyText"/>
        <w:widowControl/>
        <w:ind w:left="0"/>
        <w:jc w:val="both"/>
        <w:rPr>
          <w:lang w:val="hr-HR"/>
        </w:rPr>
      </w:pPr>
      <w:r w:rsidRPr="00D6167B">
        <w:rPr>
          <w:lang w:val="hr-HR"/>
        </w:rPr>
        <w:t xml:space="preserve">U kliničkim ispitivanjima za sve indikacije, ukupna incidencija venskih tromboembolijskih reakcija kretala se od 2,8% do 17,3% kod pacijenata liječenih bevacizumabom, u poređenju sa 3,2% do 15,6% u kontrolnim </w:t>
      </w:r>
      <w:r w:rsidR="00017976" w:rsidRPr="00D6167B">
        <w:rPr>
          <w:lang w:val="hr-HR"/>
        </w:rPr>
        <w:t>grupama</w:t>
      </w:r>
      <w:r w:rsidRPr="00D6167B">
        <w:rPr>
          <w:lang w:val="hr-HR"/>
        </w:rPr>
        <w:t>.</w:t>
      </w:r>
    </w:p>
    <w:p w14:paraId="36073407" w14:textId="77777777" w:rsidR="00D15122" w:rsidRPr="00D6167B" w:rsidRDefault="00D15122" w:rsidP="007608DF">
      <w:pPr>
        <w:widowControl/>
        <w:jc w:val="both"/>
        <w:rPr>
          <w:rFonts w:ascii="Times New Roman" w:eastAsia="Times New Roman" w:hAnsi="Times New Roman"/>
          <w:sz w:val="21"/>
          <w:szCs w:val="21"/>
          <w:lang w:val="hr-HR"/>
        </w:rPr>
      </w:pPr>
    </w:p>
    <w:p w14:paraId="4D63CC41" w14:textId="77777777" w:rsidR="00D15122" w:rsidRPr="00D6167B" w:rsidRDefault="009B0756" w:rsidP="007608DF">
      <w:pPr>
        <w:pStyle w:val="BodyText"/>
        <w:widowControl/>
        <w:ind w:left="0"/>
        <w:jc w:val="both"/>
        <w:rPr>
          <w:lang w:val="hr-HR"/>
        </w:rPr>
      </w:pPr>
      <w:r w:rsidRPr="00D6167B">
        <w:rPr>
          <w:lang w:val="hr-HR"/>
        </w:rPr>
        <w:t>Venske tromboembolijske reakcije gradusa 3–5 (NCI-CTCAE v.3) prijavljene su kod najviše 7,8% pacijenata liječenih hemoterapijom uz bevacizumab u poređenju sa najviše 4,9% kod pacijenata liječenih samo hemoterapijom (sve indikacije izuzev upornog, rekurentnog ili metastatskog karcinoma cerviksa).</w:t>
      </w:r>
    </w:p>
    <w:p w14:paraId="089FC00B" w14:textId="77777777" w:rsidR="00D15122" w:rsidRPr="00D6167B" w:rsidRDefault="00D15122" w:rsidP="007608DF">
      <w:pPr>
        <w:widowControl/>
        <w:jc w:val="both"/>
        <w:rPr>
          <w:rFonts w:ascii="Times New Roman" w:eastAsia="Times New Roman" w:hAnsi="Times New Roman"/>
          <w:lang w:val="hr-HR"/>
        </w:rPr>
      </w:pPr>
    </w:p>
    <w:p w14:paraId="73972515" w14:textId="77777777" w:rsidR="00D15122" w:rsidRPr="00D6167B" w:rsidRDefault="009B0756" w:rsidP="007608DF">
      <w:pPr>
        <w:pStyle w:val="BodyText"/>
        <w:widowControl/>
        <w:ind w:left="0"/>
        <w:jc w:val="both"/>
        <w:rPr>
          <w:lang w:val="hr-HR"/>
        </w:rPr>
      </w:pPr>
      <w:r w:rsidRPr="00D6167B">
        <w:rPr>
          <w:lang w:val="hr-HR"/>
        </w:rPr>
        <w:t>Iz kliničkog ispitivanja na pacijentima sa upornim, rekurentnim ili metastatskim karcinomom cerviksa (studija GOG</w:t>
      </w:r>
      <w:r w:rsidRPr="00D6167B">
        <w:rPr>
          <w:lang w:val="hr-HR"/>
        </w:rPr>
        <w:noBreakHyphen/>
        <w:t>0240), venski tromboembolijski događaji gradusa 3–5 prijavljeni su kod najviše 15,6% pacijenata liječenih bevacizumabom u kombinaciji sa paklitakselom i cisplatinom u poređenju sa 7,0% pacijenata liječenih paklitakselom i cisplatinom.</w:t>
      </w:r>
    </w:p>
    <w:p w14:paraId="08769496" w14:textId="77777777" w:rsidR="00D15122" w:rsidRPr="00D6167B" w:rsidRDefault="00D15122" w:rsidP="007608DF">
      <w:pPr>
        <w:widowControl/>
        <w:jc w:val="both"/>
        <w:rPr>
          <w:rFonts w:ascii="Times New Roman" w:eastAsia="Times New Roman" w:hAnsi="Times New Roman"/>
          <w:lang w:val="hr-HR"/>
        </w:rPr>
      </w:pPr>
    </w:p>
    <w:p w14:paraId="482EFF01" w14:textId="77777777" w:rsidR="00D15122" w:rsidRPr="00D6167B" w:rsidRDefault="009B0756" w:rsidP="007608DF">
      <w:pPr>
        <w:pStyle w:val="BodyText"/>
        <w:widowControl/>
        <w:ind w:left="0"/>
        <w:jc w:val="both"/>
        <w:rPr>
          <w:lang w:val="hr-HR"/>
        </w:rPr>
      </w:pPr>
      <w:r w:rsidRPr="00D6167B">
        <w:rPr>
          <w:lang w:val="hr-HR"/>
        </w:rPr>
        <w:t>Pacijenti koji su doživjeli vensku tromboembolijsku reakciju mogu imati veći rizik od ponovne pojave ako primaju bevacizumab u kombinaciji sa hemoterapijom u odnosu na samo hemoterapiju.</w:t>
      </w:r>
    </w:p>
    <w:p w14:paraId="4DF9B243" w14:textId="77777777" w:rsidR="00D15122" w:rsidRPr="00D6167B" w:rsidRDefault="00D15122" w:rsidP="007608DF">
      <w:pPr>
        <w:widowControl/>
        <w:jc w:val="both"/>
        <w:rPr>
          <w:rFonts w:ascii="Times New Roman" w:eastAsia="Times New Roman" w:hAnsi="Times New Roman"/>
          <w:lang w:val="hr-HR"/>
        </w:rPr>
      </w:pPr>
    </w:p>
    <w:p w14:paraId="7F389990" w14:textId="0A339035" w:rsidR="00D15122" w:rsidRPr="00D6167B" w:rsidRDefault="009B0756" w:rsidP="007608DF">
      <w:pPr>
        <w:keepNext/>
        <w:widowControl/>
        <w:spacing w:line="252" w:lineRule="exact"/>
        <w:jc w:val="both"/>
        <w:rPr>
          <w:rFonts w:ascii="Times New Roman" w:hAnsi="Times New Roman"/>
          <w:u w:val="single"/>
          <w:lang w:val="hr-HR"/>
        </w:rPr>
      </w:pPr>
      <w:r w:rsidRPr="00D6167B">
        <w:rPr>
          <w:rFonts w:ascii="Times New Roman" w:hAnsi="Times New Roman"/>
          <w:i/>
          <w:u w:val="single"/>
          <w:lang w:val="hr-HR"/>
        </w:rPr>
        <w:t>Kongestivn</w:t>
      </w:r>
      <w:r w:rsidR="00284887">
        <w:rPr>
          <w:rFonts w:ascii="Times New Roman" w:hAnsi="Times New Roman"/>
          <w:i/>
          <w:u w:val="single"/>
          <w:lang w:val="hr-HR"/>
        </w:rPr>
        <w:t>a</w:t>
      </w:r>
      <w:r w:rsidRPr="00D6167B">
        <w:rPr>
          <w:rFonts w:ascii="Times New Roman" w:hAnsi="Times New Roman"/>
          <w:i/>
          <w:u w:val="single"/>
          <w:lang w:val="hr-HR"/>
        </w:rPr>
        <w:t xml:space="preserve"> </w:t>
      </w:r>
      <w:r w:rsidR="00284887" w:rsidRPr="00284887">
        <w:rPr>
          <w:lang w:val="hr-HR"/>
        </w:rPr>
        <w:t xml:space="preserve"> </w:t>
      </w:r>
      <w:r w:rsidR="00284887" w:rsidRPr="00C106C9">
        <w:rPr>
          <w:rFonts w:ascii="Times New Roman" w:eastAsia="Times New Roman" w:hAnsi="Times New Roman"/>
          <w:i/>
          <w:lang w:val="hr-HR"/>
        </w:rPr>
        <w:t>insuficijencija</w:t>
      </w:r>
      <w:r w:rsidR="00284887" w:rsidRPr="00D37692">
        <w:rPr>
          <w:rFonts w:ascii="Times New Roman" w:hAnsi="Times New Roman"/>
          <w:i/>
          <w:lang w:val="hr-HR"/>
        </w:rPr>
        <w:t xml:space="preserve"> srca</w:t>
      </w:r>
      <w:r w:rsidR="00284887" w:rsidRPr="00D37692">
        <w:rPr>
          <w:lang w:val="hr-HR"/>
        </w:rPr>
        <w:t xml:space="preserve"> </w:t>
      </w:r>
      <w:r w:rsidRPr="00D6167B">
        <w:rPr>
          <w:rFonts w:ascii="Times New Roman" w:hAnsi="Times New Roman"/>
          <w:i/>
          <w:u w:val="single"/>
          <w:lang w:val="hr-HR"/>
        </w:rPr>
        <w:t>(CHF)</w:t>
      </w:r>
    </w:p>
    <w:p w14:paraId="396838BA"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6E550485" w14:textId="77777777" w:rsidR="00D15122" w:rsidRPr="00D6167B" w:rsidRDefault="009B0756" w:rsidP="007608DF">
      <w:pPr>
        <w:pStyle w:val="BodyText"/>
        <w:widowControl/>
        <w:ind w:left="0"/>
        <w:jc w:val="both"/>
        <w:rPr>
          <w:lang w:val="hr-HR"/>
        </w:rPr>
      </w:pPr>
      <w:r w:rsidRPr="00D6167B">
        <w:rPr>
          <w:lang w:val="hr-HR"/>
        </w:rPr>
        <w:t xml:space="preserve">U kliničkim ispitivanjima sa bevacizumabom, </w:t>
      </w:r>
      <w:r w:rsidR="00660CA6" w:rsidRPr="00D6167B">
        <w:rPr>
          <w:lang w:val="hr-HR"/>
        </w:rPr>
        <w:t xml:space="preserve">primijećena je </w:t>
      </w:r>
      <w:r w:rsidRPr="00D6167B">
        <w:rPr>
          <w:lang w:val="hr-HR"/>
        </w:rPr>
        <w:t>kongestivn</w:t>
      </w:r>
      <w:r w:rsidR="00660CA6" w:rsidRPr="00D6167B">
        <w:rPr>
          <w:lang w:val="hr-HR"/>
        </w:rPr>
        <w:t>a insuficijencija</w:t>
      </w:r>
      <w:r w:rsidRPr="00D6167B">
        <w:rPr>
          <w:lang w:val="hr-HR"/>
        </w:rPr>
        <w:t xml:space="preserve"> srca (CHF) kod svih indikacija karcinoma koje su proučavane do sada, ali događalo se najviše kod pacijenata sa metastatskim karcinomom dojke. U četiri ispitivanja faze III (AVF2119g, E2100, BO17708 i AVF3694g) kod pacijenata sa metastatskim karcinomom dojke CHF gradusa 3 (NCI-CTCAE v.3) ili više prijavljen je kod najviše 3,5% kod pacijenata liječenih bevacizumabom u kombinaciji sa hemoterapijom, u poređenju sa najviše 0,9% pacijenata u kontrolnim </w:t>
      </w:r>
      <w:r w:rsidR="00017976" w:rsidRPr="00D6167B">
        <w:rPr>
          <w:lang w:val="hr-HR"/>
        </w:rPr>
        <w:t>grupama</w:t>
      </w:r>
      <w:r w:rsidRPr="00D6167B">
        <w:rPr>
          <w:lang w:val="hr-HR"/>
        </w:rPr>
        <w:t xml:space="preserve">. Kod pacijenata u studiji AVF3694g koji su primali antracikline istovremeno sa bevacizumabom incidencija CHF gradusa 3 ili više za odgovarajuće </w:t>
      </w:r>
      <w:r w:rsidR="00017976" w:rsidRPr="00D6167B">
        <w:rPr>
          <w:lang w:val="hr-HR"/>
        </w:rPr>
        <w:t xml:space="preserve">grupe </w:t>
      </w:r>
      <w:r w:rsidRPr="00D6167B">
        <w:rPr>
          <w:lang w:val="hr-HR"/>
        </w:rPr>
        <w:t xml:space="preserve">za bevacizumab i kontrolu bila je slična onoj u drugim studijama metastatskog karcinoma dojke: 2,9% u </w:t>
      </w:r>
      <w:r w:rsidR="00017976" w:rsidRPr="00D6167B">
        <w:rPr>
          <w:lang w:val="hr-HR"/>
        </w:rPr>
        <w:t xml:space="preserve">grupi </w:t>
      </w:r>
      <w:r w:rsidRPr="00D6167B">
        <w:rPr>
          <w:lang w:val="hr-HR"/>
        </w:rPr>
        <w:t xml:space="preserve">antraciklin + bevacizumab i 0% u </w:t>
      </w:r>
      <w:r w:rsidR="00017976" w:rsidRPr="00D6167B">
        <w:rPr>
          <w:lang w:val="hr-HR"/>
        </w:rPr>
        <w:t xml:space="preserve">grupi </w:t>
      </w:r>
      <w:r w:rsidRPr="00D6167B">
        <w:rPr>
          <w:lang w:val="hr-HR"/>
        </w:rPr>
        <w:t xml:space="preserve">antraciklin + placebo. Pored toga, u studiji AVF3694g je incidencija CHF svih gradusa bila slična u </w:t>
      </w:r>
      <w:r w:rsidR="00017976" w:rsidRPr="00D6167B">
        <w:rPr>
          <w:lang w:val="hr-HR"/>
        </w:rPr>
        <w:t xml:space="preserve">grupama </w:t>
      </w:r>
      <w:r w:rsidRPr="00D6167B">
        <w:rPr>
          <w:lang w:val="hr-HR"/>
        </w:rPr>
        <w:t>antraciklin + bevacizumab (6,2%) i antraciklin + placebo (6,0%).</w:t>
      </w:r>
    </w:p>
    <w:p w14:paraId="4E9B510F" w14:textId="77777777" w:rsidR="00D15122" w:rsidRPr="00D6167B" w:rsidRDefault="00D15122" w:rsidP="007608DF">
      <w:pPr>
        <w:widowControl/>
        <w:jc w:val="both"/>
        <w:rPr>
          <w:rFonts w:ascii="Times New Roman" w:eastAsia="Times New Roman" w:hAnsi="Times New Roman"/>
          <w:lang w:val="hr-HR"/>
        </w:rPr>
      </w:pPr>
    </w:p>
    <w:p w14:paraId="37819846" w14:textId="77777777" w:rsidR="00D15122" w:rsidRPr="00D6167B" w:rsidRDefault="009B0756" w:rsidP="007608DF">
      <w:pPr>
        <w:pStyle w:val="BodyText"/>
        <w:widowControl/>
        <w:ind w:left="0"/>
        <w:jc w:val="both"/>
        <w:rPr>
          <w:lang w:val="hr-HR"/>
        </w:rPr>
      </w:pPr>
      <w:r w:rsidRPr="00D6167B">
        <w:rPr>
          <w:lang w:val="hr-HR"/>
        </w:rPr>
        <w:t>Većina pacijenata kod kojih se tokom ispitivanja mBC razvio CHF ispoljila je poboljšanje simptoma i/ili funkcije lijeve komore nakon odgovarajuće medicinske terapije.</w:t>
      </w:r>
    </w:p>
    <w:p w14:paraId="01BB7785" w14:textId="77777777" w:rsidR="00D15122" w:rsidRPr="00D6167B" w:rsidRDefault="00D15122" w:rsidP="007608DF">
      <w:pPr>
        <w:widowControl/>
        <w:jc w:val="both"/>
        <w:rPr>
          <w:rFonts w:ascii="Times New Roman" w:eastAsia="Times New Roman" w:hAnsi="Times New Roman"/>
          <w:lang w:val="hr-HR"/>
        </w:rPr>
      </w:pPr>
    </w:p>
    <w:p w14:paraId="0FE4E4BD" w14:textId="77777777" w:rsidR="00D15122" w:rsidRPr="00D6167B" w:rsidRDefault="009B0756" w:rsidP="007608DF">
      <w:pPr>
        <w:pStyle w:val="BodyText"/>
        <w:widowControl/>
        <w:ind w:left="0"/>
        <w:jc w:val="both"/>
        <w:rPr>
          <w:lang w:val="hr-HR"/>
        </w:rPr>
      </w:pPr>
      <w:r w:rsidRPr="00D6167B">
        <w:rPr>
          <w:lang w:val="hr-HR"/>
        </w:rPr>
        <w:t>U većini kliničkih ispitivanja bevacizumaba su izuzeti pacijenti koji su već imali CHF kategorije NYHA (</w:t>
      </w:r>
      <w:r w:rsidRPr="00D6167B">
        <w:rPr>
          <w:i/>
          <w:lang w:val="hr-HR"/>
        </w:rPr>
        <w:t>New York Heart Association</w:t>
      </w:r>
      <w:r w:rsidRPr="00D6167B">
        <w:rPr>
          <w:lang w:val="hr-HR"/>
        </w:rPr>
        <w:t>) II-IV, prema tome, nijesu dostupne informacije o riziku za CHF kod ove populacije.</w:t>
      </w:r>
    </w:p>
    <w:p w14:paraId="5B27DBB6" w14:textId="77777777" w:rsidR="00D15122" w:rsidRPr="00D6167B" w:rsidRDefault="00D15122" w:rsidP="007608DF">
      <w:pPr>
        <w:widowControl/>
        <w:jc w:val="both"/>
        <w:rPr>
          <w:rFonts w:ascii="Times New Roman" w:eastAsia="Times New Roman" w:hAnsi="Times New Roman"/>
          <w:lang w:val="hr-HR"/>
        </w:rPr>
      </w:pPr>
    </w:p>
    <w:p w14:paraId="2324B6AD" w14:textId="77777777" w:rsidR="00D15122" w:rsidRPr="00D6167B" w:rsidRDefault="009B0756" w:rsidP="007608DF">
      <w:pPr>
        <w:pStyle w:val="BodyText"/>
        <w:widowControl/>
        <w:ind w:left="0"/>
        <w:jc w:val="both"/>
        <w:rPr>
          <w:lang w:val="hr-HR"/>
        </w:rPr>
      </w:pPr>
      <w:r w:rsidRPr="00D6167B">
        <w:rPr>
          <w:lang w:val="hr-HR"/>
        </w:rPr>
        <w:t>Prethodno izlaganje antraciklinima i/ili prethodno zračenje grudnog koša mogu biti mogući faktori rizika za razvoj CHF.</w:t>
      </w:r>
    </w:p>
    <w:p w14:paraId="5280D15B" w14:textId="77777777" w:rsidR="002F49AF" w:rsidRPr="00D6167B" w:rsidRDefault="002F49AF" w:rsidP="007608DF">
      <w:pPr>
        <w:pStyle w:val="BodyText"/>
        <w:widowControl/>
        <w:ind w:left="0"/>
        <w:jc w:val="both"/>
        <w:rPr>
          <w:lang w:val="hr-HR"/>
        </w:rPr>
      </w:pPr>
    </w:p>
    <w:p w14:paraId="32EC66FA" w14:textId="650546B8" w:rsidR="00D15122" w:rsidRPr="00D6167B" w:rsidRDefault="009B0756" w:rsidP="007608DF">
      <w:pPr>
        <w:pStyle w:val="BodyText"/>
        <w:widowControl/>
        <w:ind w:left="0"/>
        <w:jc w:val="both"/>
        <w:rPr>
          <w:lang w:val="hr-HR"/>
        </w:rPr>
      </w:pPr>
      <w:r w:rsidRPr="00D6167B">
        <w:rPr>
          <w:lang w:val="hr-HR"/>
        </w:rPr>
        <w:t>Povećana incidencija CHF je prim</w:t>
      </w:r>
      <w:r w:rsidR="001054C9" w:rsidRPr="00D6167B">
        <w:rPr>
          <w:lang w:val="hr-HR"/>
        </w:rPr>
        <w:t>i</w:t>
      </w:r>
      <w:r w:rsidRPr="00D6167B">
        <w:rPr>
          <w:lang w:val="hr-HR"/>
        </w:rPr>
        <w:t xml:space="preserve">jećena u kliničkom ispitivanju na pacijentima sa difuznim limfomom velikih B ćelija kada </w:t>
      </w:r>
      <w:r w:rsidR="00284887">
        <w:rPr>
          <w:lang w:val="hr-HR"/>
        </w:rPr>
        <w:t xml:space="preserve">su </w:t>
      </w:r>
      <w:r w:rsidRPr="00D6167B">
        <w:rPr>
          <w:lang w:val="hr-HR"/>
        </w:rPr>
        <w:t>prima</w:t>
      </w:r>
      <w:r w:rsidR="00284887">
        <w:rPr>
          <w:lang w:val="hr-HR"/>
        </w:rPr>
        <w:t>li</w:t>
      </w:r>
      <w:r w:rsidRPr="00D6167B">
        <w:rPr>
          <w:lang w:val="hr-HR"/>
        </w:rPr>
        <w:t xml:space="preserve"> bevacizumab sa kumulativnom dozom doksorubicina većom od 300 mg/m</w:t>
      </w:r>
      <w:r w:rsidRPr="00D6167B">
        <w:rPr>
          <w:vertAlign w:val="superscript"/>
          <w:lang w:val="hr-HR"/>
        </w:rPr>
        <w:t>2</w:t>
      </w:r>
      <w:r w:rsidRPr="00D6167B">
        <w:rPr>
          <w:lang w:val="hr-HR"/>
        </w:rPr>
        <w:t>. Ovo kliničko ispitivanje faze III poredilo je terapiju rituksimab/ciklofosfamid/doksorubicin/vinkristin/prednizon (R-CHOP) sa bevacizumabom i terapiju R</w:t>
      </w:r>
      <w:r w:rsidRPr="00D6167B">
        <w:rPr>
          <w:lang w:val="hr-HR"/>
        </w:rPr>
        <w:noBreakHyphen/>
        <w:t>CHOP bez bevacizumaba. Mada je incidencija CHF u o</w:t>
      </w:r>
      <w:r w:rsidR="00017976" w:rsidRPr="00D6167B">
        <w:rPr>
          <w:lang w:val="hr-HR"/>
        </w:rPr>
        <w:t>b</w:t>
      </w:r>
      <w:r w:rsidR="002E42C6" w:rsidRPr="00D6167B">
        <w:rPr>
          <w:lang w:val="hr-HR"/>
        </w:rPr>
        <w:t>j</w:t>
      </w:r>
      <w:r w:rsidR="00017976" w:rsidRPr="00D6167B">
        <w:rPr>
          <w:lang w:val="hr-HR"/>
        </w:rPr>
        <w:t xml:space="preserve">e grupe </w:t>
      </w:r>
      <w:r w:rsidRPr="00D6167B">
        <w:rPr>
          <w:lang w:val="hr-HR"/>
        </w:rPr>
        <w:t xml:space="preserve">bila veća od one prethodno </w:t>
      </w:r>
      <w:r w:rsidRPr="00D6167B">
        <w:rPr>
          <w:lang w:val="hr-HR"/>
        </w:rPr>
        <w:lastRenderedPageBreak/>
        <w:t>prim</w:t>
      </w:r>
      <w:r w:rsidR="001054C9" w:rsidRPr="00D6167B">
        <w:rPr>
          <w:lang w:val="hr-HR"/>
        </w:rPr>
        <w:t>i</w:t>
      </w:r>
      <w:r w:rsidRPr="00D6167B">
        <w:rPr>
          <w:lang w:val="hr-HR"/>
        </w:rPr>
        <w:t xml:space="preserve">jećene za terapiju doksorubicinom, stopa je bila viša u </w:t>
      </w:r>
      <w:r w:rsidR="00017976" w:rsidRPr="00D6167B">
        <w:rPr>
          <w:lang w:val="hr-HR"/>
        </w:rPr>
        <w:t xml:space="preserve">grupi </w:t>
      </w:r>
      <w:r w:rsidRPr="00D6167B">
        <w:rPr>
          <w:lang w:val="hr-HR"/>
        </w:rPr>
        <w:t xml:space="preserve">R-CHOP sa bevacizumabom. Ovi rezultati sugerišu </w:t>
      </w:r>
      <w:r w:rsidR="00826FB4">
        <w:rPr>
          <w:lang w:val="hr-HR"/>
        </w:rPr>
        <w:t>na potrebu</w:t>
      </w:r>
      <w:r w:rsidRPr="00D6167B">
        <w:rPr>
          <w:lang w:val="hr-HR"/>
        </w:rPr>
        <w:t xml:space="preserve"> p</w:t>
      </w:r>
      <w:r w:rsidR="00826FB4">
        <w:rPr>
          <w:lang w:val="hr-HR"/>
        </w:rPr>
        <w:t>ažljivog</w:t>
      </w:r>
      <w:r w:rsidRPr="00D6167B">
        <w:rPr>
          <w:lang w:val="hr-HR"/>
        </w:rPr>
        <w:t xml:space="preserve"> kliničko</w:t>
      </w:r>
      <w:r w:rsidR="00826FB4">
        <w:rPr>
          <w:lang w:val="hr-HR"/>
        </w:rPr>
        <w:t>g</w:t>
      </w:r>
      <w:r w:rsidRPr="00D6167B">
        <w:rPr>
          <w:lang w:val="hr-HR"/>
        </w:rPr>
        <w:t xml:space="preserve"> praćenj</w:t>
      </w:r>
      <w:r w:rsidR="00826FB4">
        <w:rPr>
          <w:lang w:val="hr-HR"/>
        </w:rPr>
        <w:t>a</w:t>
      </w:r>
      <w:r w:rsidRPr="00D6167B">
        <w:rPr>
          <w:lang w:val="hr-HR"/>
        </w:rPr>
        <w:t xml:space="preserve"> uz odgovarajuć</w:t>
      </w:r>
      <w:r w:rsidR="00826FB4">
        <w:rPr>
          <w:lang w:val="hr-HR"/>
        </w:rPr>
        <w:t>u procjenu</w:t>
      </w:r>
      <w:r w:rsidRPr="00D6167B">
        <w:rPr>
          <w:lang w:val="hr-HR"/>
        </w:rPr>
        <w:t xml:space="preserve"> srčane </w:t>
      </w:r>
      <w:r w:rsidR="00826FB4">
        <w:rPr>
          <w:lang w:val="hr-HR"/>
        </w:rPr>
        <w:t>funkcije</w:t>
      </w:r>
      <w:r w:rsidR="00826FB4" w:rsidRPr="00D6167B">
        <w:rPr>
          <w:lang w:val="hr-HR"/>
        </w:rPr>
        <w:t xml:space="preserve"> </w:t>
      </w:r>
      <w:r w:rsidRPr="00D6167B">
        <w:rPr>
          <w:lang w:val="hr-HR"/>
        </w:rPr>
        <w:t>kod pacijenata koji su izloženi kumulativnim dozama doksorubicina v</w:t>
      </w:r>
      <w:r w:rsidR="00826FB4">
        <w:rPr>
          <w:lang w:val="hr-HR"/>
        </w:rPr>
        <w:t>išim</w:t>
      </w:r>
      <w:r w:rsidRPr="00D6167B">
        <w:rPr>
          <w:lang w:val="hr-HR"/>
        </w:rPr>
        <w:t xml:space="preserve"> od 300 mg/m</w:t>
      </w:r>
      <w:r w:rsidRPr="00D6167B">
        <w:rPr>
          <w:vertAlign w:val="superscript"/>
          <w:lang w:val="hr-HR"/>
        </w:rPr>
        <w:t>2</w:t>
      </w:r>
      <w:r w:rsidRPr="00D6167B">
        <w:rPr>
          <w:sz w:val="14"/>
          <w:lang w:val="hr-HR"/>
        </w:rPr>
        <w:t xml:space="preserve"> </w:t>
      </w:r>
      <w:r w:rsidR="00826FB4">
        <w:rPr>
          <w:lang w:val="hr-HR"/>
        </w:rPr>
        <w:t>u</w:t>
      </w:r>
      <w:r w:rsidRPr="00D6167B">
        <w:rPr>
          <w:lang w:val="hr-HR"/>
        </w:rPr>
        <w:t xml:space="preserve"> kombin</w:t>
      </w:r>
      <w:r w:rsidR="00826FB4">
        <w:rPr>
          <w:lang w:val="hr-HR"/>
        </w:rPr>
        <w:t>aciji</w:t>
      </w:r>
      <w:r w:rsidRPr="00D6167B">
        <w:rPr>
          <w:lang w:val="hr-HR"/>
        </w:rPr>
        <w:t xml:space="preserve"> sa bevacizumabom.</w:t>
      </w:r>
    </w:p>
    <w:p w14:paraId="32375345" w14:textId="77777777" w:rsidR="00D15122" w:rsidRPr="00D6167B" w:rsidRDefault="00D15122" w:rsidP="007608DF">
      <w:pPr>
        <w:widowControl/>
        <w:jc w:val="both"/>
        <w:rPr>
          <w:rFonts w:ascii="Times New Roman" w:eastAsia="Times New Roman" w:hAnsi="Times New Roman"/>
          <w:lang w:val="hr-HR"/>
        </w:rPr>
      </w:pPr>
    </w:p>
    <w:p w14:paraId="0F825EBA" w14:textId="7C043588" w:rsidR="002F575F" w:rsidRPr="00D6167B" w:rsidRDefault="009B0756" w:rsidP="007608DF">
      <w:pPr>
        <w:pStyle w:val="BodyText"/>
        <w:widowControl/>
        <w:ind w:left="0"/>
        <w:jc w:val="both"/>
        <w:rPr>
          <w:lang w:val="hr-HR"/>
        </w:rPr>
      </w:pPr>
      <w:r w:rsidRPr="00D6167B">
        <w:rPr>
          <w:i/>
          <w:u w:val="single"/>
          <w:lang w:val="hr-HR"/>
        </w:rPr>
        <w:t>Reakcije preosjetljivosti</w:t>
      </w:r>
      <w:r w:rsidR="00820A37">
        <w:rPr>
          <w:i/>
          <w:u w:val="single"/>
          <w:lang w:val="hr-HR"/>
        </w:rPr>
        <w:t xml:space="preserve"> (uključujući anafilaktički šok)</w:t>
      </w:r>
      <w:r w:rsidRPr="00D6167B">
        <w:rPr>
          <w:i/>
          <w:u w:val="single"/>
          <w:lang w:val="hr-HR"/>
        </w:rPr>
        <w:t>/reakcije na infuziju</w:t>
      </w:r>
      <w:r w:rsidRPr="00D6167B">
        <w:rPr>
          <w:u w:val="single"/>
          <w:lang w:val="hr-HR"/>
        </w:rPr>
        <w:t xml:space="preserve"> (pogledajte </w:t>
      </w:r>
      <w:r w:rsidR="00EA7D3C" w:rsidRPr="00D6167B">
        <w:rPr>
          <w:u w:val="single"/>
          <w:lang w:val="hr-HR"/>
        </w:rPr>
        <w:t xml:space="preserve">dio </w:t>
      </w:r>
      <w:r w:rsidRPr="00D6167B">
        <w:rPr>
          <w:u w:val="single"/>
          <w:lang w:val="hr-HR"/>
        </w:rPr>
        <w:t xml:space="preserve">4.4 i iskustvo nakon stavljanja </w:t>
      </w:r>
      <w:r w:rsidR="001B5BB7" w:rsidRPr="00D6167B">
        <w:rPr>
          <w:u w:val="single"/>
          <w:lang w:val="hr-HR"/>
        </w:rPr>
        <w:t xml:space="preserve">lijeka </w:t>
      </w:r>
      <w:r w:rsidRPr="00D6167B">
        <w:rPr>
          <w:u w:val="single"/>
          <w:lang w:val="hr-HR"/>
        </w:rPr>
        <w:t>u promet u nastavku)</w:t>
      </w:r>
    </w:p>
    <w:p w14:paraId="1778C530" w14:textId="77777777" w:rsidR="002F575F" w:rsidRPr="00D6167B" w:rsidRDefault="002F575F" w:rsidP="007608DF">
      <w:pPr>
        <w:pStyle w:val="BodyText"/>
        <w:widowControl/>
        <w:ind w:left="0"/>
        <w:jc w:val="both"/>
        <w:rPr>
          <w:lang w:val="hr-HR"/>
        </w:rPr>
      </w:pPr>
    </w:p>
    <w:p w14:paraId="0F317E15" w14:textId="77777777" w:rsidR="00D15122" w:rsidRPr="00D6167B" w:rsidRDefault="009B0756" w:rsidP="007608DF">
      <w:pPr>
        <w:pStyle w:val="BodyText"/>
        <w:widowControl/>
        <w:ind w:left="0"/>
        <w:jc w:val="both"/>
        <w:rPr>
          <w:lang w:val="hr-HR"/>
        </w:rPr>
      </w:pPr>
      <w:r w:rsidRPr="00D6167B">
        <w:rPr>
          <w:lang w:val="hr-HR"/>
        </w:rPr>
        <w:t>U nekim kliničkim ispitivanjima su anafilaktičke i anafilaktoidne reakcije prijavljene češće kod pacijenata koji su primali bevacizumab u kombinaciji sa hemoterapijom nego kod onih koji su primali samo hemoterapiju. Incidencija ovih reakcija u nekim kliničkim ispitivanjima bevacizumaba je česta (do 5% kod pacijenata liječenih bevacizumabom).</w:t>
      </w:r>
    </w:p>
    <w:p w14:paraId="78BEB594" w14:textId="77777777" w:rsidR="00D15122" w:rsidRPr="00D6167B" w:rsidRDefault="00D15122" w:rsidP="007608DF">
      <w:pPr>
        <w:widowControl/>
        <w:jc w:val="both"/>
        <w:rPr>
          <w:rFonts w:ascii="Times New Roman" w:eastAsia="Times New Roman" w:hAnsi="Times New Roman"/>
          <w:lang w:val="hr-HR"/>
        </w:rPr>
      </w:pPr>
    </w:p>
    <w:p w14:paraId="4748F9AF"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t>Infekcije</w:t>
      </w:r>
    </w:p>
    <w:p w14:paraId="559F7F6C"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62E82BB2" w14:textId="77777777" w:rsidR="00D15122" w:rsidRPr="00D6167B" w:rsidRDefault="009B0756" w:rsidP="007608DF">
      <w:pPr>
        <w:pStyle w:val="BodyText"/>
        <w:widowControl/>
        <w:ind w:left="0"/>
        <w:jc w:val="both"/>
        <w:rPr>
          <w:lang w:val="hr-HR"/>
        </w:rPr>
      </w:pPr>
      <w:r w:rsidRPr="00D6167B">
        <w:rPr>
          <w:lang w:val="hr-HR"/>
        </w:rPr>
        <w:t>Iz kliničkog ispitivanja na pacijentima sa upornim, rekurentnim ili metastatskim karcinomom cerviksa (studija GOG</w:t>
      </w:r>
      <w:r w:rsidRPr="00D6167B">
        <w:rPr>
          <w:lang w:val="hr-HR"/>
        </w:rPr>
        <w:noBreakHyphen/>
        <w:t>0240), infekcije gradusa 3–5 prijavljene su kod najviše 24% pacijenata liječenih bevacizumabom u kombinaciji sa paklitakselom i topotekanom u poređenju sa 13% pacijenata liječenih paklitakselom i topotekanom.</w:t>
      </w:r>
    </w:p>
    <w:p w14:paraId="7FE14738" w14:textId="77777777" w:rsidR="00D15122" w:rsidRPr="00D6167B" w:rsidRDefault="00D15122" w:rsidP="007608DF">
      <w:pPr>
        <w:widowControl/>
        <w:jc w:val="both"/>
        <w:rPr>
          <w:rFonts w:ascii="Times New Roman" w:eastAsia="Times New Roman" w:hAnsi="Times New Roman"/>
          <w:sz w:val="21"/>
          <w:szCs w:val="21"/>
          <w:lang w:val="hr-HR"/>
        </w:rPr>
      </w:pPr>
    </w:p>
    <w:p w14:paraId="00761D58" w14:textId="1676EF97" w:rsidR="00D15122" w:rsidRPr="00D6167B" w:rsidRDefault="009B0756" w:rsidP="007608DF">
      <w:pPr>
        <w:keepNext/>
        <w:widowControl/>
        <w:jc w:val="both"/>
        <w:rPr>
          <w:rFonts w:ascii="Times New Roman" w:hAnsi="Times New Roman"/>
          <w:u w:val="single"/>
          <w:lang w:val="hr-HR"/>
        </w:rPr>
      </w:pPr>
      <w:r w:rsidRPr="00D6167B">
        <w:rPr>
          <w:rFonts w:ascii="Times New Roman" w:hAnsi="Times New Roman"/>
          <w:i/>
          <w:u w:val="single"/>
          <w:lang w:val="hr-HR"/>
        </w:rPr>
        <w:t>Poremećaj rada jajnika/neplodnost</w:t>
      </w:r>
      <w:r w:rsidRPr="00D6167B">
        <w:rPr>
          <w:rFonts w:ascii="Times New Roman" w:hAnsi="Times New Roman"/>
          <w:u w:val="single"/>
          <w:lang w:val="hr-HR"/>
        </w:rPr>
        <w:t xml:space="preserve"> (pogledajte </w:t>
      </w:r>
      <w:r w:rsidR="00EA7D3C" w:rsidRPr="00D6167B">
        <w:rPr>
          <w:rFonts w:ascii="Times New Roman" w:hAnsi="Times New Roman"/>
          <w:u w:val="single"/>
          <w:lang w:val="hr-HR"/>
        </w:rPr>
        <w:t xml:space="preserve">djelove </w:t>
      </w:r>
      <w:r w:rsidRPr="00D6167B">
        <w:rPr>
          <w:rFonts w:ascii="Times New Roman" w:hAnsi="Times New Roman"/>
          <w:u w:val="single"/>
          <w:lang w:val="hr-HR"/>
        </w:rPr>
        <w:t>4.6 i 4.8)</w:t>
      </w:r>
    </w:p>
    <w:p w14:paraId="4E505EF5" w14:textId="77777777" w:rsidR="002F575F" w:rsidRPr="00D6167B" w:rsidRDefault="002F575F" w:rsidP="007608DF">
      <w:pPr>
        <w:keepNext/>
        <w:widowControl/>
        <w:jc w:val="both"/>
        <w:rPr>
          <w:rFonts w:ascii="Times New Roman" w:eastAsia="Times New Roman" w:hAnsi="Times New Roman"/>
          <w:lang w:val="hr-HR"/>
        </w:rPr>
      </w:pPr>
    </w:p>
    <w:p w14:paraId="7C57BA5D" w14:textId="6BD23929" w:rsidR="00D15122" w:rsidRPr="00D6167B" w:rsidRDefault="009B0756" w:rsidP="007608DF">
      <w:pPr>
        <w:pStyle w:val="BodyText"/>
        <w:widowControl/>
        <w:ind w:left="0"/>
        <w:jc w:val="both"/>
        <w:rPr>
          <w:lang w:val="hr-HR"/>
        </w:rPr>
      </w:pPr>
      <w:r w:rsidRPr="00D6167B">
        <w:rPr>
          <w:lang w:val="hr-HR"/>
        </w:rPr>
        <w:t xml:space="preserve">U studiji NSABP C-08, ispitivanju faze III bevacizumaba kao adjuvantnog liječenja pacijenata sa karcinomom kolona, incidencija novih slučajeva poremećaja rada jajnika, koji se definišu kao amenoreja koja traje 3 ili više mjeseci, nivo FSH ≥ 30 mIU/ml i negativni test na trudnoću putem seruma β-HCG, procijenjena je kod 295 žena koje još nijesu ušle u menopauzu. Novi slučajevi poremećaja rada jajnika prijavljeni su kod 2,6% pacijenata u grupi mFOLFOX-6 u poređenju sa 39% u grupi mFOLFOX-6 + bevacizumab. Nakon prestanka liječenja bevacizumabom funkcija jajnika se povratila kod 86,2% ovih žena </w:t>
      </w:r>
      <w:r w:rsidR="00C6776B">
        <w:rPr>
          <w:lang w:val="hr-HR"/>
        </w:rPr>
        <w:t>koje je bili moguće</w:t>
      </w:r>
      <w:r w:rsidR="00C6776B" w:rsidRPr="00D6167B">
        <w:rPr>
          <w:lang w:val="hr-HR"/>
        </w:rPr>
        <w:t xml:space="preserve"> </w:t>
      </w:r>
      <w:r w:rsidRPr="00D6167B">
        <w:rPr>
          <w:lang w:val="hr-HR"/>
        </w:rPr>
        <w:t>proc</w:t>
      </w:r>
      <w:r w:rsidR="00C6776B">
        <w:rPr>
          <w:lang w:val="hr-HR"/>
        </w:rPr>
        <w:t>i</w:t>
      </w:r>
      <w:r w:rsidRPr="00D6167B">
        <w:rPr>
          <w:lang w:val="hr-HR"/>
        </w:rPr>
        <w:t>jeni</w:t>
      </w:r>
      <w:r w:rsidR="00C6776B">
        <w:rPr>
          <w:lang w:val="hr-HR"/>
        </w:rPr>
        <w:t>ti</w:t>
      </w:r>
      <w:r w:rsidRPr="00D6167B">
        <w:rPr>
          <w:lang w:val="hr-HR"/>
        </w:rPr>
        <w:t xml:space="preserve">. </w:t>
      </w:r>
      <w:r w:rsidR="00C6776B" w:rsidRPr="00D6167B">
        <w:rPr>
          <w:lang w:val="hr-HR"/>
        </w:rPr>
        <w:t>Dugo</w:t>
      </w:r>
      <w:r w:rsidR="00C6776B">
        <w:rPr>
          <w:lang w:val="hr-HR"/>
        </w:rPr>
        <w:t>trajna</w:t>
      </w:r>
      <w:r w:rsidR="00C6776B" w:rsidRPr="00D6167B">
        <w:rPr>
          <w:lang w:val="hr-HR"/>
        </w:rPr>
        <w:t xml:space="preserve"> </w:t>
      </w:r>
      <w:r w:rsidRPr="00D6167B">
        <w:rPr>
          <w:lang w:val="hr-HR"/>
        </w:rPr>
        <w:t>dejstva liječenja bevacizumabom na plodnost nijesu poznata.</w:t>
      </w:r>
    </w:p>
    <w:p w14:paraId="4C957387" w14:textId="77777777" w:rsidR="00D15122" w:rsidRPr="00D6167B" w:rsidRDefault="00D15122" w:rsidP="007608DF">
      <w:pPr>
        <w:widowControl/>
        <w:jc w:val="both"/>
        <w:rPr>
          <w:rFonts w:ascii="Times New Roman" w:eastAsia="Times New Roman" w:hAnsi="Times New Roman"/>
          <w:lang w:val="hr-HR"/>
        </w:rPr>
      </w:pPr>
    </w:p>
    <w:p w14:paraId="1C7DD1B2" w14:textId="7AE7DAC5" w:rsidR="00D15122" w:rsidRPr="00D6167B" w:rsidRDefault="00C6776B" w:rsidP="007608DF">
      <w:pPr>
        <w:keepNext/>
        <w:widowControl/>
        <w:jc w:val="both"/>
        <w:rPr>
          <w:rFonts w:ascii="Times New Roman" w:hAnsi="Times New Roman"/>
          <w:i/>
          <w:u w:val="single"/>
          <w:lang w:val="hr-HR"/>
        </w:rPr>
      </w:pPr>
      <w:r>
        <w:rPr>
          <w:rFonts w:ascii="Times New Roman" w:hAnsi="Times New Roman"/>
          <w:i/>
          <w:u w:val="single"/>
          <w:lang w:val="hr-HR"/>
        </w:rPr>
        <w:t>Odstupanja</w:t>
      </w:r>
      <w:r w:rsidR="009B0756" w:rsidRPr="00D6167B">
        <w:rPr>
          <w:rFonts w:ascii="Times New Roman" w:hAnsi="Times New Roman"/>
          <w:i/>
          <w:u w:val="single"/>
          <w:lang w:val="hr-HR"/>
        </w:rPr>
        <w:t xml:space="preserve"> laboratorijskih analiza</w:t>
      </w:r>
    </w:p>
    <w:p w14:paraId="21E2505D" w14:textId="77777777" w:rsidR="002F575F" w:rsidRPr="00D6167B" w:rsidRDefault="002F575F" w:rsidP="007608DF">
      <w:pPr>
        <w:keepNext/>
        <w:widowControl/>
        <w:jc w:val="both"/>
        <w:rPr>
          <w:rFonts w:ascii="Times New Roman" w:eastAsia="Times New Roman" w:hAnsi="Times New Roman"/>
          <w:lang w:val="hr-HR"/>
        </w:rPr>
      </w:pPr>
    </w:p>
    <w:p w14:paraId="0231CA31" w14:textId="77777777" w:rsidR="00D15122" w:rsidRPr="00D6167B" w:rsidRDefault="009B0756" w:rsidP="007608DF">
      <w:pPr>
        <w:pStyle w:val="BodyText"/>
        <w:widowControl/>
        <w:ind w:left="0"/>
        <w:jc w:val="both"/>
        <w:rPr>
          <w:lang w:val="hr-HR"/>
        </w:rPr>
      </w:pPr>
      <w:r w:rsidRPr="00D6167B">
        <w:rPr>
          <w:lang w:val="hr-HR"/>
        </w:rPr>
        <w:t>Smanjeni broj neutrofila, smanjeni broj leukocita i prisustvo proteina u urinu mogu da se povežu sa liječenjem bevacizumabom.</w:t>
      </w:r>
    </w:p>
    <w:p w14:paraId="4B267B70" w14:textId="77777777" w:rsidR="00D15122" w:rsidRPr="00D6167B" w:rsidRDefault="00D15122" w:rsidP="007608DF">
      <w:pPr>
        <w:widowControl/>
        <w:jc w:val="both"/>
        <w:rPr>
          <w:rFonts w:ascii="Times New Roman" w:eastAsia="Times New Roman" w:hAnsi="Times New Roman"/>
          <w:lang w:val="hr-HR"/>
        </w:rPr>
      </w:pPr>
    </w:p>
    <w:p w14:paraId="1E5A5607" w14:textId="2BC0A197" w:rsidR="00D15122" w:rsidRPr="00D6167B" w:rsidRDefault="009B0756" w:rsidP="007608DF">
      <w:pPr>
        <w:pStyle w:val="BodyText"/>
        <w:widowControl/>
        <w:ind w:left="0"/>
        <w:jc w:val="both"/>
        <w:rPr>
          <w:lang w:val="hr-HR"/>
        </w:rPr>
      </w:pPr>
      <w:r w:rsidRPr="00D6167B">
        <w:rPr>
          <w:lang w:val="hr-HR"/>
        </w:rPr>
        <w:t>U svim kliničkim ispitivanjima su se sljedeće abnormalnosti laboratorijskih analiza gradusa 3 i 4 (NCI-CTCAE v.3) javile kod pacijenata liječenih bevacizumabom uz najmanje 2% razlike u poređenju sa kontrolnom grupom: hiperglikemija, niža vrijednost hemoglobina, hipokal</w:t>
      </w:r>
      <w:r w:rsidR="00C6776B">
        <w:rPr>
          <w:lang w:val="hr-HR"/>
        </w:rPr>
        <w:t>ij</w:t>
      </w:r>
      <w:r w:rsidRPr="00D6167B">
        <w:rPr>
          <w:lang w:val="hr-HR"/>
        </w:rPr>
        <w:t>emija, hiponatr</w:t>
      </w:r>
      <w:r w:rsidR="00C6776B">
        <w:rPr>
          <w:lang w:val="hr-HR"/>
        </w:rPr>
        <w:t>ij</w:t>
      </w:r>
      <w:r w:rsidRPr="00D6167B">
        <w:rPr>
          <w:lang w:val="hr-HR"/>
        </w:rPr>
        <w:t>emija, smanjen broj leukocita, povišen internacionalni normalizovani odnos (INR).</w:t>
      </w:r>
    </w:p>
    <w:p w14:paraId="0AA308F6" w14:textId="77777777" w:rsidR="00D15122" w:rsidRPr="00D6167B" w:rsidRDefault="00D15122" w:rsidP="007608DF">
      <w:pPr>
        <w:widowControl/>
        <w:jc w:val="both"/>
        <w:rPr>
          <w:rFonts w:ascii="Times New Roman" w:eastAsia="Times New Roman" w:hAnsi="Times New Roman"/>
          <w:lang w:val="hr-HR"/>
        </w:rPr>
      </w:pPr>
    </w:p>
    <w:p w14:paraId="2B9B849C" w14:textId="77777777" w:rsidR="00D15122" w:rsidRPr="00D6167B" w:rsidRDefault="009B0756" w:rsidP="007608DF">
      <w:pPr>
        <w:pStyle w:val="BodyText"/>
        <w:widowControl/>
        <w:ind w:left="0"/>
        <w:jc w:val="both"/>
        <w:rPr>
          <w:lang w:val="hr-HR"/>
        </w:rPr>
      </w:pPr>
      <w:r w:rsidRPr="00D6167B">
        <w:rPr>
          <w:lang w:val="hr-HR"/>
        </w:rPr>
        <w:t>Klinička ispitivanja su pokazala da su prolazna povećanja kreatinina u serumu (u opsegu od 1,5–1,9 puta početni nivo), kako sa proteinurijom tako i bez nje, povezana sa upotrebom bevacizumaba. Prim</w:t>
      </w:r>
      <w:r w:rsidR="001054C9" w:rsidRPr="00D6167B">
        <w:rPr>
          <w:lang w:val="hr-HR"/>
        </w:rPr>
        <w:t>i</w:t>
      </w:r>
      <w:r w:rsidRPr="00D6167B">
        <w:rPr>
          <w:lang w:val="hr-HR"/>
        </w:rPr>
        <w:t>jećeno povećanje kreatinina u serumu nije povezano sa većom incidencijom kliničkih manifestacija oštećenja funkcije bubrega kod pacijenata liječenih bevacizumabom.</w:t>
      </w:r>
    </w:p>
    <w:p w14:paraId="083B13D7" w14:textId="77777777" w:rsidR="00D15122" w:rsidRPr="00D6167B" w:rsidRDefault="00D15122" w:rsidP="007608DF">
      <w:pPr>
        <w:widowControl/>
        <w:jc w:val="both"/>
        <w:rPr>
          <w:rFonts w:ascii="Times New Roman" w:eastAsia="Times New Roman" w:hAnsi="Times New Roman"/>
          <w:lang w:val="hr-HR"/>
        </w:rPr>
      </w:pPr>
    </w:p>
    <w:p w14:paraId="5D74D74D" w14:textId="77777777" w:rsidR="00D15122" w:rsidRPr="00D6167B" w:rsidRDefault="009B0756" w:rsidP="007608DF">
      <w:pPr>
        <w:pStyle w:val="BodyText"/>
        <w:keepNext/>
        <w:widowControl/>
        <w:ind w:left="0"/>
        <w:jc w:val="both"/>
        <w:rPr>
          <w:lang w:val="hr-HR"/>
        </w:rPr>
      </w:pPr>
      <w:r w:rsidRPr="00D6167B">
        <w:rPr>
          <w:u w:val="single" w:color="000000"/>
          <w:lang w:val="hr-HR"/>
        </w:rPr>
        <w:t>Druge posebne populacije</w:t>
      </w:r>
    </w:p>
    <w:p w14:paraId="667487A7" w14:textId="77777777" w:rsidR="00D15122" w:rsidRPr="00D6167B" w:rsidRDefault="00D15122" w:rsidP="007608DF">
      <w:pPr>
        <w:keepNext/>
        <w:widowControl/>
        <w:jc w:val="both"/>
        <w:rPr>
          <w:rFonts w:ascii="Times New Roman" w:eastAsia="Times New Roman" w:hAnsi="Times New Roman"/>
          <w:lang w:val="hr-HR"/>
        </w:rPr>
      </w:pPr>
    </w:p>
    <w:p w14:paraId="1F84F3FA"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t>Stariji pacijenti</w:t>
      </w:r>
    </w:p>
    <w:p w14:paraId="4A907D49"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24232D97" w14:textId="6B64B7C8" w:rsidR="00D15122" w:rsidRPr="00D6167B" w:rsidRDefault="009B0756" w:rsidP="007608DF">
      <w:pPr>
        <w:pStyle w:val="BodyText"/>
        <w:widowControl/>
        <w:ind w:left="0"/>
        <w:jc w:val="both"/>
        <w:rPr>
          <w:lang w:val="hr-HR"/>
        </w:rPr>
      </w:pPr>
      <w:r w:rsidRPr="00D6167B">
        <w:rPr>
          <w:lang w:val="hr-HR"/>
        </w:rPr>
        <w:t>U randomizovanim kliničkim ispitivanjima je starost &gt; 65 godina bila povezana sa povećanim rizikom od razvoja arterijskih tromboembolijskih reakcija, uključujući cerebrovaskularne akcidente (CVA), tranzitorne ishemijske atake (TIA) i infarkte miokarda (MI). Druge reakcije veće učestalosti koje su prim</w:t>
      </w:r>
      <w:r w:rsidR="001054C9" w:rsidRPr="00D6167B">
        <w:rPr>
          <w:lang w:val="hr-HR"/>
        </w:rPr>
        <w:t>i</w:t>
      </w:r>
      <w:r w:rsidRPr="00D6167B">
        <w:rPr>
          <w:lang w:val="hr-HR"/>
        </w:rPr>
        <w:t>jećene kod pacijenata starijih od 65 godina bile su leukopenija i trombocitopenija gradusa 3–4 (NCI-CTCAE v.3); kao i neutropenija, dijareja, mučnina, glavobolja i umor svih gradus</w:t>
      </w:r>
      <w:r w:rsidR="001B5BB7" w:rsidRPr="00D6167B">
        <w:rPr>
          <w:lang w:val="hr-HR"/>
        </w:rPr>
        <w:t>a</w:t>
      </w:r>
      <w:r w:rsidRPr="00D6167B">
        <w:rPr>
          <w:lang w:val="hr-HR"/>
        </w:rPr>
        <w:t xml:space="preserve"> u poređenju sa pacijentima starosti ≤ 65 godina prilikom liječenja bevacizumabom (pogledajte </w:t>
      </w:r>
      <w:r w:rsidR="00EA7D3C" w:rsidRPr="00D6167B">
        <w:rPr>
          <w:lang w:val="hr-HR"/>
        </w:rPr>
        <w:t xml:space="preserve">djelove </w:t>
      </w:r>
      <w:r w:rsidRPr="00D6167B">
        <w:rPr>
          <w:lang w:val="hr-HR"/>
        </w:rPr>
        <w:t xml:space="preserve">4.4 i 4.8 u okviru </w:t>
      </w:r>
      <w:r w:rsidR="003E4739">
        <w:rPr>
          <w:lang w:val="hr-HR"/>
        </w:rPr>
        <w:t>podnaslova „</w:t>
      </w:r>
      <w:r w:rsidRPr="00D6167B">
        <w:rPr>
          <w:lang w:val="hr-HR"/>
        </w:rPr>
        <w:t>Tromboembolij</w:t>
      </w:r>
      <w:r w:rsidR="003E4739">
        <w:rPr>
          <w:lang w:val="hr-HR"/>
        </w:rPr>
        <w:t>a“</w:t>
      </w:r>
      <w:r w:rsidRPr="00D6167B">
        <w:rPr>
          <w:lang w:val="hr-HR"/>
        </w:rPr>
        <w:t xml:space="preserve">). U jednom kliničkom ispitivanju je incidencija hiptertenzije gradusa ≥ </w:t>
      </w:r>
      <w:r w:rsidRPr="00D6167B">
        <w:rPr>
          <w:lang w:val="hr-HR"/>
        </w:rPr>
        <w:lastRenderedPageBreak/>
        <w:t xml:space="preserve">3 bila dvostruko viša kod pacijenata starosti &gt; 65 godina nego kod mlađe grupe (&lt; 65 godina). U studiji sa pacijentima koji imaju rekurentni karcinom jajnika otporan na platinu prijavljene su i alopecija, upala sluzokože, periferna senzorna neuropatija, proteinurija i hipertenzija i dešavale su se najmanje 5% višom stopom u CT + BV </w:t>
      </w:r>
      <w:r w:rsidR="00017976" w:rsidRPr="00D6167B">
        <w:rPr>
          <w:lang w:val="hr-HR"/>
        </w:rPr>
        <w:t xml:space="preserve">grupi </w:t>
      </w:r>
      <w:r w:rsidRPr="00D6167B">
        <w:rPr>
          <w:lang w:val="hr-HR"/>
        </w:rPr>
        <w:t>za pacijente liječene bevacizumabom koji imaju ≥ 65 godina starosti u odnosu na pacijente liječene bevacizumabom starosti &lt; 65 godina.</w:t>
      </w:r>
    </w:p>
    <w:p w14:paraId="7498CC0D" w14:textId="77777777" w:rsidR="00B11B98" w:rsidRPr="00D6167B" w:rsidRDefault="00B11B98" w:rsidP="007608DF">
      <w:pPr>
        <w:pStyle w:val="BodyText"/>
        <w:widowControl/>
        <w:ind w:left="0"/>
        <w:jc w:val="both"/>
        <w:rPr>
          <w:lang w:val="hr-HR"/>
        </w:rPr>
      </w:pPr>
    </w:p>
    <w:p w14:paraId="24D8F287" w14:textId="77777777" w:rsidR="00D15122" w:rsidRPr="00D6167B" w:rsidRDefault="009B0756" w:rsidP="007608DF">
      <w:pPr>
        <w:pStyle w:val="BodyText"/>
        <w:widowControl/>
        <w:ind w:left="0"/>
        <w:jc w:val="both"/>
        <w:rPr>
          <w:lang w:val="hr-HR"/>
        </w:rPr>
      </w:pPr>
      <w:r w:rsidRPr="00D6167B">
        <w:rPr>
          <w:lang w:val="hr-HR"/>
        </w:rPr>
        <w:t>Nije prim</w:t>
      </w:r>
      <w:r w:rsidR="001054C9" w:rsidRPr="00D6167B">
        <w:rPr>
          <w:lang w:val="hr-HR"/>
        </w:rPr>
        <w:t>i</w:t>
      </w:r>
      <w:r w:rsidRPr="00D6167B">
        <w:rPr>
          <w:lang w:val="hr-HR"/>
        </w:rPr>
        <w:t>jećeno povećanje incidencije drugih reakcija, uključujući gastrointestinalne perforacije, komplikacije sa zarastanjem rane, kongestivn</w:t>
      </w:r>
      <w:r w:rsidR="00F74BC3" w:rsidRPr="00D6167B">
        <w:rPr>
          <w:lang w:val="hr-HR"/>
        </w:rPr>
        <w:t>a insuficijencija</w:t>
      </w:r>
      <w:r w:rsidRPr="00D6167B">
        <w:rPr>
          <w:lang w:val="hr-HR"/>
        </w:rPr>
        <w:t xml:space="preserve"> srca i krvarenje, kod starijih pacijenata (&gt; 65 godina) koji primaju bevacizumab u poređenju sa onima starosti ≤ 65 godina i liječenih bevacizumabom.</w:t>
      </w:r>
    </w:p>
    <w:p w14:paraId="31DCFCC9" w14:textId="77777777" w:rsidR="00D15122" w:rsidRPr="00D6167B" w:rsidRDefault="00D15122" w:rsidP="007608DF">
      <w:pPr>
        <w:widowControl/>
        <w:jc w:val="both"/>
        <w:rPr>
          <w:rFonts w:ascii="Times New Roman" w:eastAsia="Times New Roman" w:hAnsi="Times New Roman"/>
          <w:lang w:val="hr-HR"/>
        </w:rPr>
      </w:pPr>
    </w:p>
    <w:p w14:paraId="05DA7966"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t>Pedijatrijska populacija</w:t>
      </w:r>
    </w:p>
    <w:p w14:paraId="296FF162" w14:textId="77777777" w:rsidR="002F575F" w:rsidRPr="00D6167B" w:rsidRDefault="002F575F" w:rsidP="007608DF">
      <w:pPr>
        <w:keepNext/>
        <w:widowControl/>
        <w:spacing w:line="252" w:lineRule="exact"/>
        <w:jc w:val="both"/>
        <w:rPr>
          <w:rFonts w:ascii="Times New Roman" w:eastAsia="Times New Roman" w:hAnsi="Times New Roman"/>
          <w:lang w:val="hr-HR"/>
        </w:rPr>
      </w:pPr>
    </w:p>
    <w:p w14:paraId="468C0056" w14:textId="77777777" w:rsidR="00D15122" w:rsidRPr="00D6167B" w:rsidRDefault="009B0756" w:rsidP="007608DF">
      <w:pPr>
        <w:pStyle w:val="BodyText"/>
        <w:widowControl/>
        <w:spacing w:line="252" w:lineRule="exact"/>
        <w:ind w:left="0"/>
        <w:jc w:val="both"/>
        <w:rPr>
          <w:lang w:val="hr-HR"/>
        </w:rPr>
      </w:pPr>
      <w:r w:rsidRPr="00D6167B">
        <w:rPr>
          <w:lang w:val="hr-HR"/>
        </w:rPr>
        <w:t>Bezbjednost i efikasnost bevacizumaba nijesu utvrđene kod djece mlađe od 18 godina.</w:t>
      </w:r>
    </w:p>
    <w:p w14:paraId="03F5C4E1" w14:textId="77777777" w:rsidR="00D15122" w:rsidRPr="00D6167B" w:rsidRDefault="00D15122" w:rsidP="007608DF">
      <w:pPr>
        <w:widowControl/>
        <w:jc w:val="both"/>
        <w:rPr>
          <w:rFonts w:ascii="Times New Roman" w:eastAsia="Times New Roman" w:hAnsi="Times New Roman"/>
          <w:lang w:val="hr-HR"/>
        </w:rPr>
      </w:pPr>
    </w:p>
    <w:p w14:paraId="068E92DB" w14:textId="62FC898F" w:rsidR="00D15122" w:rsidRPr="00D6167B" w:rsidRDefault="009B0756" w:rsidP="007608DF">
      <w:pPr>
        <w:pStyle w:val="BodyText"/>
        <w:widowControl/>
        <w:ind w:left="0"/>
        <w:jc w:val="both"/>
        <w:rPr>
          <w:lang w:val="hr-HR"/>
        </w:rPr>
      </w:pPr>
      <w:r w:rsidRPr="00D6167B">
        <w:rPr>
          <w:lang w:val="hr-HR"/>
        </w:rPr>
        <w:t xml:space="preserve">U studiji BO25041, u kojoj se ispitivao bevacizumab </w:t>
      </w:r>
      <w:r w:rsidR="003E4739">
        <w:rPr>
          <w:lang w:val="hr-HR"/>
        </w:rPr>
        <w:t>kao dodatak</w:t>
      </w:r>
      <w:r w:rsidRPr="00D6167B">
        <w:rPr>
          <w:lang w:val="hr-HR"/>
        </w:rPr>
        <w:t xml:space="preserve"> postoperativnoj terapiji zračenjem (RT) sa istovremen</w:t>
      </w:r>
      <w:r w:rsidR="003E4739">
        <w:rPr>
          <w:lang w:val="hr-HR"/>
        </w:rPr>
        <w:t>o</w:t>
      </w:r>
      <w:r w:rsidRPr="00D6167B">
        <w:rPr>
          <w:lang w:val="hr-HR"/>
        </w:rPr>
        <w:t>m i adjuvantn</w:t>
      </w:r>
      <w:r w:rsidR="003E4739">
        <w:rPr>
          <w:lang w:val="hr-HR"/>
        </w:rPr>
        <w:t>o</w:t>
      </w:r>
      <w:r w:rsidRPr="00D6167B">
        <w:rPr>
          <w:lang w:val="hr-HR"/>
        </w:rPr>
        <w:t xml:space="preserve">m </w:t>
      </w:r>
      <w:r w:rsidR="003E4739">
        <w:rPr>
          <w:lang w:val="hr-HR"/>
        </w:rPr>
        <w:t xml:space="preserve">primjenom </w:t>
      </w:r>
      <w:r w:rsidRPr="00D6167B">
        <w:rPr>
          <w:lang w:val="hr-HR"/>
        </w:rPr>
        <w:t>temozolomid</w:t>
      </w:r>
      <w:r w:rsidR="003E4739">
        <w:rPr>
          <w:lang w:val="hr-HR"/>
        </w:rPr>
        <w:t>a</w:t>
      </w:r>
      <w:r w:rsidRPr="00D6167B">
        <w:rPr>
          <w:lang w:val="hr-HR"/>
        </w:rPr>
        <w:t xml:space="preserve"> kod pedijatrijskih pacijenata sa tek dijagnostikovanim supratentorijalnim, infratentorijalnim, cerebelarnim ili pedunkularnim gliomom visokog gradusa, </w:t>
      </w:r>
      <w:r w:rsidR="003E4739">
        <w:rPr>
          <w:lang w:val="hr-HR"/>
        </w:rPr>
        <w:t>bezbjednosni</w:t>
      </w:r>
      <w:r w:rsidR="003E4739" w:rsidRPr="00D6167B">
        <w:rPr>
          <w:lang w:val="hr-HR"/>
        </w:rPr>
        <w:t xml:space="preserve"> </w:t>
      </w:r>
      <w:r w:rsidRPr="00D6167B">
        <w:rPr>
          <w:lang w:val="hr-HR"/>
        </w:rPr>
        <w:t>profil bio je uporediv sa onim prim</w:t>
      </w:r>
      <w:r w:rsidR="001054C9" w:rsidRPr="00D6167B">
        <w:rPr>
          <w:lang w:val="hr-HR"/>
        </w:rPr>
        <w:t>i</w:t>
      </w:r>
      <w:r w:rsidRPr="00D6167B">
        <w:rPr>
          <w:lang w:val="hr-HR"/>
        </w:rPr>
        <w:t>jećenim kod drugih vrsta tumora kod odraslih osoba liječenih bevacizumabom.</w:t>
      </w:r>
    </w:p>
    <w:p w14:paraId="26A487FE" w14:textId="77777777" w:rsidR="00D15122" w:rsidRPr="00D6167B" w:rsidRDefault="00D15122" w:rsidP="007608DF">
      <w:pPr>
        <w:widowControl/>
        <w:jc w:val="both"/>
        <w:rPr>
          <w:rFonts w:ascii="Times New Roman" w:eastAsia="Times New Roman" w:hAnsi="Times New Roman"/>
          <w:lang w:val="hr-HR"/>
        </w:rPr>
      </w:pPr>
    </w:p>
    <w:p w14:paraId="1101EA1A" w14:textId="0D362AB0" w:rsidR="00D15122" w:rsidRPr="00D6167B" w:rsidRDefault="009B0756" w:rsidP="007608DF">
      <w:pPr>
        <w:pStyle w:val="BodyText"/>
        <w:widowControl/>
        <w:ind w:left="0"/>
        <w:jc w:val="both"/>
        <w:rPr>
          <w:lang w:val="hr-HR"/>
        </w:rPr>
      </w:pPr>
      <w:r w:rsidRPr="00D6167B">
        <w:rPr>
          <w:lang w:val="hr-HR"/>
        </w:rPr>
        <w:t xml:space="preserve">U studiji BO20924, u kojoj se ispitivao bevacizumab sa trenutnom standardnom terapijom u liječenju metastatskog rabdomiosarkoma i sarkoma mekog tkiva koji nije rabdomiosarkom, </w:t>
      </w:r>
      <w:r w:rsidR="003E4739">
        <w:rPr>
          <w:lang w:val="hr-HR"/>
        </w:rPr>
        <w:t>bezbjednosni</w:t>
      </w:r>
      <w:r w:rsidR="003E4739" w:rsidRPr="00D6167B">
        <w:rPr>
          <w:lang w:val="hr-HR"/>
        </w:rPr>
        <w:t xml:space="preserve"> </w:t>
      </w:r>
      <w:r w:rsidRPr="00D6167B">
        <w:rPr>
          <w:lang w:val="hr-HR"/>
        </w:rPr>
        <w:t>profil za djecu liječenu bevacizumabom bio je uporediv sa onim prim</w:t>
      </w:r>
      <w:r w:rsidR="001054C9" w:rsidRPr="00D6167B">
        <w:rPr>
          <w:lang w:val="hr-HR"/>
        </w:rPr>
        <w:t>i</w:t>
      </w:r>
      <w:r w:rsidRPr="00D6167B">
        <w:rPr>
          <w:lang w:val="hr-HR"/>
        </w:rPr>
        <w:t>jećenim kod odraslih osoba liječenih bevacizumabom.</w:t>
      </w:r>
    </w:p>
    <w:p w14:paraId="117E9E39" w14:textId="77777777" w:rsidR="00D15122" w:rsidRPr="00D6167B" w:rsidRDefault="00D15122" w:rsidP="007608DF">
      <w:pPr>
        <w:widowControl/>
        <w:jc w:val="both"/>
        <w:rPr>
          <w:rFonts w:ascii="Times New Roman" w:eastAsia="Times New Roman" w:hAnsi="Times New Roman"/>
          <w:lang w:val="hr-HR"/>
        </w:rPr>
      </w:pPr>
    </w:p>
    <w:p w14:paraId="41889BB7" w14:textId="77777777" w:rsidR="00D15122" w:rsidRPr="00D6167B" w:rsidRDefault="00007842" w:rsidP="007608DF">
      <w:pPr>
        <w:pStyle w:val="BodyText"/>
        <w:widowControl/>
        <w:ind w:left="0"/>
        <w:jc w:val="both"/>
        <w:rPr>
          <w:lang w:val="hr-HR"/>
        </w:rPr>
      </w:pPr>
      <w:r w:rsidRPr="00D6167B">
        <w:rPr>
          <w:lang w:val="hr-HR"/>
        </w:rPr>
        <w:t>Bevacizumab nije odobren za upotrebu na pacijentima mlađim od 18 godina. U izvještajima objavljenim u literaturi zabilježeni su slučajevi nemandibularne osteonekroze kod pacijenata mlađih od 18 godina liječenih bevacizumabom.</w:t>
      </w:r>
    </w:p>
    <w:p w14:paraId="30CA9F5C" w14:textId="77777777" w:rsidR="008142CA" w:rsidRPr="00D6167B" w:rsidRDefault="008142CA" w:rsidP="007608DF">
      <w:pPr>
        <w:pStyle w:val="BodyText"/>
        <w:widowControl/>
        <w:ind w:left="0"/>
        <w:jc w:val="both"/>
        <w:rPr>
          <w:lang w:val="hr-HR"/>
        </w:rPr>
      </w:pPr>
    </w:p>
    <w:p w14:paraId="68506B21" w14:textId="77777777" w:rsidR="00D15122" w:rsidRPr="00D6167B" w:rsidRDefault="009B0756" w:rsidP="007608DF">
      <w:pPr>
        <w:pStyle w:val="BodyText"/>
        <w:keepNext/>
        <w:widowControl/>
        <w:ind w:left="0"/>
        <w:jc w:val="both"/>
        <w:rPr>
          <w:lang w:val="hr-HR"/>
        </w:rPr>
      </w:pPr>
      <w:r w:rsidRPr="00D6167B">
        <w:rPr>
          <w:u w:val="single" w:color="000000"/>
          <w:lang w:val="hr-HR"/>
        </w:rPr>
        <w:t>Iskustvo nakon stavljanja</w:t>
      </w:r>
      <w:r w:rsidR="001B5BB7" w:rsidRPr="00D6167B">
        <w:rPr>
          <w:u w:val="single" w:color="000000"/>
          <w:lang w:val="hr-HR"/>
        </w:rPr>
        <w:t xml:space="preserve"> lijeka</w:t>
      </w:r>
      <w:r w:rsidRPr="00D6167B">
        <w:rPr>
          <w:u w:val="single" w:color="000000"/>
          <w:lang w:val="hr-HR"/>
        </w:rPr>
        <w:t xml:space="preserve"> u promet</w:t>
      </w:r>
    </w:p>
    <w:p w14:paraId="702AC19A" w14:textId="77777777" w:rsidR="00D15122" w:rsidRPr="00D6167B" w:rsidRDefault="00D15122" w:rsidP="007608DF">
      <w:pPr>
        <w:keepNext/>
        <w:widowControl/>
        <w:jc w:val="both"/>
        <w:rPr>
          <w:rFonts w:ascii="Times New Roman" w:eastAsia="Times New Roman" w:hAnsi="Times New Roman"/>
          <w:lang w:val="hr-HR"/>
        </w:rPr>
      </w:pPr>
    </w:p>
    <w:p w14:paraId="33523160" w14:textId="77777777" w:rsidR="00D15122" w:rsidRPr="00D6167B" w:rsidRDefault="002E590F" w:rsidP="007608DF">
      <w:pPr>
        <w:pStyle w:val="Heading1"/>
        <w:keepNext/>
        <w:widowControl/>
        <w:tabs>
          <w:tab w:val="left" w:pos="1253"/>
        </w:tabs>
        <w:ind w:left="0"/>
        <w:jc w:val="both"/>
        <w:rPr>
          <w:bCs w:val="0"/>
          <w:lang w:val="hr-HR"/>
        </w:rPr>
      </w:pPr>
      <w:r w:rsidRPr="00D6167B">
        <w:rPr>
          <w:lang w:val="hr-HR"/>
        </w:rPr>
        <w:t>Tabela 3</w:t>
      </w:r>
      <w:r w:rsidRPr="00D6167B">
        <w:rPr>
          <w:lang w:val="hr-HR"/>
        </w:rPr>
        <w:tab/>
        <w:t xml:space="preserve">Neželjene reakcije prijavljene u okruženju nakon stavljanja </w:t>
      </w:r>
      <w:r w:rsidR="001B5BB7" w:rsidRPr="00D6167B">
        <w:rPr>
          <w:lang w:val="hr-HR"/>
        </w:rPr>
        <w:t xml:space="preserve">lijeka </w:t>
      </w:r>
      <w:r w:rsidRPr="00D6167B">
        <w:rPr>
          <w:lang w:val="hr-HR"/>
        </w:rPr>
        <w:t>u promet</w:t>
      </w:r>
    </w:p>
    <w:p w14:paraId="733CF03C" w14:textId="77777777" w:rsidR="00D15122" w:rsidRPr="00D6167B" w:rsidRDefault="00D15122" w:rsidP="007608DF">
      <w:pPr>
        <w:pStyle w:val="TableParagraph"/>
        <w:keepNext/>
        <w:widowControl/>
        <w:jc w:val="both"/>
        <w:rPr>
          <w:rFonts w:ascii="Times New Roman" w:eastAsia="Times New Roman" w:hAnsi="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363"/>
        <w:gridCol w:w="6715"/>
      </w:tblGrid>
      <w:tr w:rsidR="00D15122" w:rsidRPr="00D6167B" w14:paraId="7A759EF9" w14:textId="77777777" w:rsidTr="00544237">
        <w:trPr>
          <w:cantSplit/>
          <w:tblHeader/>
        </w:trPr>
        <w:tc>
          <w:tcPr>
            <w:tcW w:w="2280" w:type="dxa"/>
          </w:tcPr>
          <w:p w14:paraId="03D92F21" w14:textId="77777777" w:rsidR="00D15122" w:rsidRPr="00D6167B" w:rsidRDefault="009B0756" w:rsidP="00D37692">
            <w:pPr>
              <w:pStyle w:val="TableParagraph"/>
              <w:keepNext/>
              <w:widowControl/>
              <w:spacing w:line="240" w:lineRule="exact"/>
              <w:ind w:right="282" w:firstLine="48"/>
              <w:rPr>
                <w:rFonts w:ascii="Times New Roman" w:eastAsia="Times New Roman" w:hAnsi="Times New Roman"/>
                <w:lang w:val="hr-HR"/>
              </w:rPr>
            </w:pPr>
            <w:r w:rsidRPr="00D6167B">
              <w:rPr>
                <w:rFonts w:ascii="Times New Roman" w:hAnsi="Times New Roman"/>
                <w:lang w:val="hr-HR"/>
              </w:rPr>
              <w:t>Klasifikacija organskih sistema (SOC)</w:t>
            </w:r>
          </w:p>
        </w:tc>
        <w:tc>
          <w:tcPr>
            <w:tcW w:w="6480" w:type="dxa"/>
          </w:tcPr>
          <w:p w14:paraId="3DF1A5E2" w14:textId="72105F73" w:rsidR="00D15122" w:rsidRPr="00D6167B" w:rsidRDefault="00F677D0" w:rsidP="00D37692">
            <w:pPr>
              <w:pStyle w:val="TableParagraph"/>
              <w:keepNext/>
              <w:widowControl/>
              <w:jc w:val="center"/>
              <w:rPr>
                <w:rFonts w:ascii="Times New Roman" w:eastAsia="Times New Roman" w:hAnsi="Times New Roman"/>
                <w:lang w:val="hr-HR"/>
              </w:rPr>
            </w:pPr>
            <w:r>
              <w:rPr>
                <w:rFonts w:ascii="Times New Roman" w:hAnsi="Times New Roman"/>
                <w:lang w:val="hr-HR"/>
              </w:rPr>
              <w:t>Neželjene r</w:t>
            </w:r>
            <w:r w:rsidR="009B0756" w:rsidRPr="00D6167B">
              <w:rPr>
                <w:rFonts w:ascii="Times New Roman" w:hAnsi="Times New Roman"/>
                <w:lang w:val="hr-HR"/>
              </w:rPr>
              <w:t>eakcije (učestalost*)</w:t>
            </w:r>
          </w:p>
        </w:tc>
      </w:tr>
      <w:tr w:rsidR="00D15122" w:rsidRPr="00D6167B" w14:paraId="7A760535" w14:textId="77777777" w:rsidTr="00544237">
        <w:trPr>
          <w:cantSplit/>
        </w:trPr>
        <w:tc>
          <w:tcPr>
            <w:tcW w:w="2280" w:type="dxa"/>
          </w:tcPr>
          <w:p w14:paraId="0D60A86D" w14:textId="77777777" w:rsidR="00D15122" w:rsidRPr="00D6167B" w:rsidRDefault="009B0756" w:rsidP="00D37692">
            <w:pPr>
              <w:pStyle w:val="TableParagraph"/>
              <w:widowControl/>
              <w:spacing w:line="240" w:lineRule="exact"/>
              <w:ind w:right="500"/>
              <w:rPr>
                <w:rFonts w:ascii="Times New Roman" w:eastAsia="Times New Roman" w:hAnsi="Times New Roman"/>
                <w:lang w:val="hr-HR"/>
              </w:rPr>
            </w:pPr>
            <w:r w:rsidRPr="00D6167B">
              <w:rPr>
                <w:rFonts w:ascii="Times New Roman" w:hAnsi="Times New Roman"/>
                <w:lang w:val="hr-HR"/>
              </w:rPr>
              <w:t>Infekcije i infestacije</w:t>
            </w:r>
          </w:p>
        </w:tc>
        <w:tc>
          <w:tcPr>
            <w:tcW w:w="6480" w:type="dxa"/>
          </w:tcPr>
          <w:p w14:paraId="502A1BB6" w14:textId="69AB00F2" w:rsidR="00D15122" w:rsidRPr="00D6167B" w:rsidRDefault="009B0756" w:rsidP="00B92E27">
            <w:pPr>
              <w:pStyle w:val="TableParagraph"/>
              <w:widowControl/>
              <w:spacing w:line="240" w:lineRule="exact"/>
              <w:ind w:right="327"/>
              <w:jc w:val="both"/>
              <w:rPr>
                <w:rFonts w:ascii="Times New Roman" w:eastAsia="Times New Roman" w:hAnsi="Times New Roman"/>
                <w:lang w:val="hr-HR"/>
              </w:rPr>
            </w:pPr>
            <w:r w:rsidRPr="00D6167B">
              <w:rPr>
                <w:rFonts w:ascii="Times New Roman" w:hAnsi="Times New Roman"/>
                <w:lang w:val="hr-HR"/>
              </w:rPr>
              <w:t xml:space="preserve">Nekrotizirajući fasciitis, obično sekundarna pojava kod komplikacija pri zarastanju rana, gastrointestinalna perforacija ili formiranje fistula (rijetko) (pogledajte i </w:t>
            </w:r>
            <w:r w:rsidR="00B92E27">
              <w:rPr>
                <w:rFonts w:ascii="Times New Roman" w:hAnsi="Times New Roman"/>
                <w:lang w:val="hr-HR"/>
              </w:rPr>
              <w:t>dio</w:t>
            </w:r>
            <w:r w:rsidR="00B92E27" w:rsidRPr="00D6167B">
              <w:rPr>
                <w:rFonts w:ascii="Times New Roman" w:hAnsi="Times New Roman"/>
                <w:lang w:val="hr-HR"/>
              </w:rPr>
              <w:t xml:space="preserve"> </w:t>
            </w:r>
            <w:r w:rsidRPr="00D6167B">
              <w:rPr>
                <w:rFonts w:ascii="Times New Roman" w:hAnsi="Times New Roman"/>
                <w:lang w:val="hr-HR"/>
              </w:rPr>
              <w:t>4.4)</w:t>
            </w:r>
          </w:p>
        </w:tc>
      </w:tr>
      <w:tr w:rsidR="00D15122" w:rsidRPr="00D6167B" w14:paraId="20A53A7B" w14:textId="77777777" w:rsidTr="00544237">
        <w:trPr>
          <w:cantSplit/>
        </w:trPr>
        <w:tc>
          <w:tcPr>
            <w:tcW w:w="2280" w:type="dxa"/>
          </w:tcPr>
          <w:p w14:paraId="1CB2B845" w14:textId="77777777" w:rsidR="00D15122" w:rsidRPr="00D6167B" w:rsidRDefault="009B0756" w:rsidP="00D37692">
            <w:pPr>
              <w:pStyle w:val="TableParagraph"/>
              <w:widowControl/>
              <w:spacing w:line="240" w:lineRule="exact"/>
              <w:ind w:right="451"/>
              <w:rPr>
                <w:rFonts w:ascii="Times New Roman" w:eastAsia="Times New Roman" w:hAnsi="Times New Roman"/>
                <w:lang w:val="hr-HR"/>
              </w:rPr>
            </w:pPr>
            <w:r w:rsidRPr="00D6167B">
              <w:rPr>
                <w:rFonts w:ascii="Times New Roman" w:hAnsi="Times New Roman"/>
                <w:lang w:val="hr-HR"/>
              </w:rPr>
              <w:t>Poremećaji imunog sistema</w:t>
            </w:r>
          </w:p>
        </w:tc>
        <w:tc>
          <w:tcPr>
            <w:tcW w:w="6480" w:type="dxa"/>
          </w:tcPr>
          <w:p w14:paraId="0C6A630D" w14:textId="6050217F" w:rsidR="00D15122" w:rsidRDefault="009B0756" w:rsidP="002E2F4E">
            <w:pPr>
              <w:pStyle w:val="TableParagraph"/>
              <w:widowControl/>
              <w:spacing w:line="240" w:lineRule="exact"/>
              <w:jc w:val="both"/>
              <w:rPr>
                <w:rFonts w:ascii="Times New Roman" w:hAnsi="Times New Roman"/>
                <w:lang w:val="hr-HR"/>
              </w:rPr>
            </w:pPr>
            <w:r w:rsidRPr="00D6167B">
              <w:rPr>
                <w:rFonts w:ascii="Times New Roman" w:hAnsi="Times New Roman"/>
                <w:lang w:val="hr-HR"/>
              </w:rPr>
              <w:t>Reakcije preosjetljivosti i reakcije na infuziju (</w:t>
            </w:r>
            <w:r w:rsidR="002E2F4E">
              <w:rPr>
                <w:rFonts w:ascii="Times New Roman" w:hAnsi="Times New Roman"/>
                <w:lang w:val="hr-HR"/>
              </w:rPr>
              <w:t>često</w:t>
            </w:r>
            <w:r w:rsidRPr="00D6167B">
              <w:rPr>
                <w:rFonts w:ascii="Times New Roman" w:hAnsi="Times New Roman"/>
                <w:lang w:val="hr-HR"/>
              </w:rPr>
              <w:t xml:space="preserve">); sa sljedećim mogućim propratnim manifestacijama: dispneja/poteškoće sa disanjem, crvenilo/osip, hipotenzija ili hipertenzija, desaturacija kiseonikom, bol u grudnom košu, grčevi ili mučnina/povraćanje (pogledajte i </w:t>
            </w:r>
            <w:r w:rsidR="003A7C91">
              <w:rPr>
                <w:rFonts w:ascii="Times New Roman" w:hAnsi="Times New Roman"/>
                <w:lang w:val="hr-HR"/>
              </w:rPr>
              <w:t>dio</w:t>
            </w:r>
            <w:r w:rsidR="003A7C91" w:rsidRPr="00D6167B">
              <w:rPr>
                <w:rFonts w:ascii="Times New Roman" w:hAnsi="Times New Roman"/>
                <w:lang w:val="hr-HR"/>
              </w:rPr>
              <w:t xml:space="preserve"> </w:t>
            </w:r>
            <w:r w:rsidRPr="00D6167B">
              <w:rPr>
                <w:rFonts w:ascii="Times New Roman" w:hAnsi="Times New Roman"/>
                <w:lang w:val="hr-HR"/>
              </w:rPr>
              <w:t>4.4 i prethodno navedene „Reakcije preosjetljivosti/reakcije na infuziju“)</w:t>
            </w:r>
          </w:p>
          <w:p w14:paraId="7803BD65" w14:textId="77777777" w:rsidR="002E2F4E" w:rsidRDefault="002E2F4E" w:rsidP="002E2F4E">
            <w:pPr>
              <w:pStyle w:val="TableParagraph"/>
              <w:widowControl/>
              <w:spacing w:line="240" w:lineRule="exact"/>
              <w:jc w:val="both"/>
              <w:rPr>
                <w:rFonts w:ascii="Times New Roman" w:eastAsia="Times New Roman" w:hAnsi="Times New Roman"/>
                <w:lang w:val="hr-HR"/>
              </w:rPr>
            </w:pPr>
          </w:p>
          <w:p w14:paraId="0F53E5D8" w14:textId="7D220051" w:rsidR="002E2F4E" w:rsidRPr="00D6167B" w:rsidRDefault="002E2F4E" w:rsidP="00B92E27">
            <w:pPr>
              <w:pStyle w:val="TableParagraph"/>
              <w:widowControl/>
              <w:spacing w:line="240" w:lineRule="exact"/>
              <w:jc w:val="both"/>
              <w:rPr>
                <w:rFonts w:ascii="Times New Roman" w:eastAsia="Times New Roman" w:hAnsi="Times New Roman"/>
                <w:lang w:val="hr-HR"/>
              </w:rPr>
            </w:pPr>
            <w:r>
              <w:rPr>
                <w:rFonts w:ascii="Times New Roman" w:eastAsia="Times New Roman" w:hAnsi="Times New Roman"/>
                <w:lang w:val="hr-HR"/>
              </w:rPr>
              <w:t xml:space="preserve">Anafilaktički šok (rijetko) (pogledajte i </w:t>
            </w:r>
            <w:r w:rsidR="003A7C91">
              <w:rPr>
                <w:rFonts w:ascii="Times New Roman" w:eastAsia="Times New Roman" w:hAnsi="Times New Roman"/>
                <w:lang w:val="hr-HR"/>
              </w:rPr>
              <w:t xml:space="preserve">dio </w:t>
            </w:r>
            <w:r>
              <w:rPr>
                <w:rFonts w:ascii="Times New Roman" w:eastAsia="Times New Roman" w:hAnsi="Times New Roman"/>
                <w:lang w:val="hr-HR"/>
              </w:rPr>
              <w:t>4.4)</w:t>
            </w:r>
          </w:p>
        </w:tc>
      </w:tr>
      <w:tr w:rsidR="00D15122" w:rsidRPr="00D6167B" w14:paraId="5F7043A5" w14:textId="77777777" w:rsidTr="00544237">
        <w:trPr>
          <w:cantSplit/>
        </w:trPr>
        <w:tc>
          <w:tcPr>
            <w:tcW w:w="2280" w:type="dxa"/>
          </w:tcPr>
          <w:p w14:paraId="7DC13E32" w14:textId="77777777" w:rsidR="00D15122" w:rsidRPr="00D6167B" w:rsidRDefault="009B0756" w:rsidP="00D37692">
            <w:pPr>
              <w:pStyle w:val="TableParagraph"/>
              <w:widowControl/>
              <w:spacing w:line="240" w:lineRule="exact"/>
              <w:ind w:right="437"/>
              <w:rPr>
                <w:rFonts w:ascii="Times New Roman" w:eastAsia="Times New Roman" w:hAnsi="Times New Roman"/>
                <w:lang w:val="hr-HR"/>
              </w:rPr>
            </w:pPr>
            <w:r w:rsidRPr="00D6167B">
              <w:rPr>
                <w:rFonts w:ascii="Times New Roman" w:hAnsi="Times New Roman"/>
                <w:lang w:val="hr-HR"/>
              </w:rPr>
              <w:t>Poremećaji nervnog sistema</w:t>
            </w:r>
          </w:p>
        </w:tc>
        <w:tc>
          <w:tcPr>
            <w:tcW w:w="6480" w:type="dxa"/>
          </w:tcPr>
          <w:p w14:paraId="797C093C" w14:textId="05F74296" w:rsidR="00D15122" w:rsidRPr="00D6167B" w:rsidRDefault="009B0756" w:rsidP="007608DF">
            <w:pPr>
              <w:pStyle w:val="TableParagraph"/>
              <w:widowControl/>
              <w:spacing w:line="246" w:lineRule="exact"/>
              <w:jc w:val="both"/>
              <w:rPr>
                <w:rFonts w:ascii="Times New Roman" w:eastAsia="Times New Roman" w:hAnsi="Times New Roman"/>
                <w:lang w:val="hr-HR"/>
              </w:rPr>
            </w:pPr>
            <w:r w:rsidRPr="00D6167B">
              <w:rPr>
                <w:rFonts w:ascii="Times New Roman" w:hAnsi="Times New Roman"/>
                <w:lang w:val="hr-HR"/>
              </w:rPr>
              <w:t xml:space="preserve">Hipertenzivna encefalopatija (veoma rijetko) (pogledajte i </w:t>
            </w:r>
            <w:r w:rsidR="003A7C91">
              <w:rPr>
                <w:rFonts w:ascii="Times New Roman" w:hAnsi="Times New Roman"/>
                <w:lang w:val="hr-HR"/>
              </w:rPr>
              <w:t>dio</w:t>
            </w:r>
            <w:r w:rsidR="003A7C91" w:rsidRPr="00D6167B">
              <w:rPr>
                <w:rFonts w:ascii="Times New Roman" w:hAnsi="Times New Roman"/>
                <w:lang w:val="hr-HR"/>
              </w:rPr>
              <w:t xml:space="preserve"> </w:t>
            </w:r>
            <w:r w:rsidRPr="00D6167B">
              <w:rPr>
                <w:rFonts w:ascii="Times New Roman" w:hAnsi="Times New Roman"/>
                <w:lang w:val="hr-HR"/>
              </w:rPr>
              <w:t xml:space="preserve">4.4 i dio „Hipertenzija“ u </w:t>
            </w:r>
            <w:r w:rsidR="003A7C91">
              <w:rPr>
                <w:rFonts w:ascii="Times New Roman" w:hAnsi="Times New Roman"/>
                <w:lang w:val="hr-HR"/>
              </w:rPr>
              <w:t>dijelu</w:t>
            </w:r>
            <w:r w:rsidR="003A7C91" w:rsidRPr="00D6167B">
              <w:rPr>
                <w:rFonts w:ascii="Times New Roman" w:hAnsi="Times New Roman"/>
                <w:lang w:val="hr-HR"/>
              </w:rPr>
              <w:t xml:space="preserve"> </w:t>
            </w:r>
            <w:r w:rsidRPr="00D6167B">
              <w:rPr>
                <w:rFonts w:ascii="Times New Roman" w:hAnsi="Times New Roman"/>
                <w:lang w:val="hr-HR"/>
              </w:rPr>
              <w:t>4.8)</w:t>
            </w:r>
          </w:p>
          <w:p w14:paraId="267B336A" w14:textId="79C23095" w:rsidR="00D15122" w:rsidRPr="00D6167B" w:rsidRDefault="009B0756" w:rsidP="00B92E27">
            <w:pPr>
              <w:pStyle w:val="TableParagraph"/>
              <w:widowControl/>
              <w:spacing w:line="240" w:lineRule="exact"/>
              <w:ind w:right="399"/>
              <w:jc w:val="both"/>
              <w:rPr>
                <w:rFonts w:ascii="Times New Roman" w:eastAsia="Times New Roman" w:hAnsi="Times New Roman"/>
                <w:lang w:val="hr-HR"/>
              </w:rPr>
            </w:pPr>
            <w:r w:rsidRPr="00D6167B">
              <w:rPr>
                <w:rFonts w:ascii="Times New Roman" w:hAnsi="Times New Roman"/>
                <w:lang w:val="hr-HR"/>
              </w:rPr>
              <w:t xml:space="preserve">Sindrom posteriorne reverzibilne encefalopatije (PRES), (rijetko) (pogledajte i </w:t>
            </w:r>
            <w:r w:rsidR="003A7C91">
              <w:rPr>
                <w:rFonts w:ascii="Times New Roman" w:hAnsi="Times New Roman"/>
                <w:lang w:val="hr-HR"/>
              </w:rPr>
              <w:t>dio</w:t>
            </w:r>
            <w:r w:rsidR="003A7C91" w:rsidRPr="00D6167B">
              <w:rPr>
                <w:rFonts w:ascii="Times New Roman" w:hAnsi="Times New Roman"/>
                <w:lang w:val="hr-HR"/>
              </w:rPr>
              <w:t xml:space="preserve"> </w:t>
            </w:r>
            <w:r w:rsidRPr="00D6167B">
              <w:rPr>
                <w:rFonts w:ascii="Times New Roman" w:hAnsi="Times New Roman"/>
                <w:lang w:val="hr-HR"/>
              </w:rPr>
              <w:t>4.4)</w:t>
            </w:r>
          </w:p>
        </w:tc>
      </w:tr>
      <w:tr w:rsidR="00D15122" w:rsidRPr="00D6167B" w14:paraId="2388553A" w14:textId="77777777" w:rsidTr="00544237">
        <w:trPr>
          <w:cantSplit/>
        </w:trPr>
        <w:tc>
          <w:tcPr>
            <w:tcW w:w="2280" w:type="dxa"/>
          </w:tcPr>
          <w:p w14:paraId="70DFFE7C"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Vaskularni poremećaji</w:t>
            </w:r>
          </w:p>
        </w:tc>
        <w:tc>
          <w:tcPr>
            <w:tcW w:w="6480" w:type="dxa"/>
          </w:tcPr>
          <w:p w14:paraId="5C32CA50" w14:textId="7A719817" w:rsidR="00D15122" w:rsidRPr="00D6167B" w:rsidRDefault="009B0756" w:rsidP="00B92E27">
            <w:pPr>
              <w:pStyle w:val="TableParagraph"/>
              <w:widowControl/>
              <w:spacing w:line="240" w:lineRule="exact"/>
              <w:ind w:right="435"/>
              <w:jc w:val="both"/>
              <w:rPr>
                <w:rFonts w:ascii="Times New Roman" w:eastAsia="Times New Roman" w:hAnsi="Times New Roman"/>
                <w:lang w:val="hr-HR"/>
              </w:rPr>
            </w:pPr>
            <w:r w:rsidRPr="00D6167B">
              <w:rPr>
                <w:rFonts w:ascii="Times New Roman" w:hAnsi="Times New Roman"/>
                <w:lang w:val="hr-HR"/>
              </w:rPr>
              <w:t xml:space="preserve">Renalna trombotska mikroangiopatija, koja klinički može da se manifestuje kao proteinurija (nije poznato) sa istovremenom upotrebom sunitiniba ili bez nje. Dodatne informacije o proteinuriji potražite u </w:t>
            </w:r>
            <w:r w:rsidR="00B92E27">
              <w:rPr>
                <w:rFonts w:ascii="Times New Roman" w:hAnsi="Times New Roman"/>
                <w:lang w:val="hr-HR"/>
              </w:rPr>
              <w:t>dijel</w:t>
            </w:r>
            <w:r w:rsidR="00B92E27" w:rsidRPr="00D6167B">
              <w:rPr>
                <w:rFonts w:ascii="Times New Roman" w:hAnsi="Times New Roman"/>
                <w:lang w:val="hr-HR"/>
              </w:rPr>
              <w:t xml:space="preserve">u </w:t>
            </w:r>
            <w:r w:rsidRPr="00D6167B">
              <w:rPr>
                <w:rFonts w:ascii="Times New Roman" w:hAnsi="Times New Roman"/>
                <w:lang w:val="hr-HR"/>
              </w:rPr>
              <w:t xml:space="preserve">4.4 i u dijelu „Proteinurija“ u </w:t>
            </w:r>
            <w:r w:rsidR="003A7C91">
              <w:rPr>
                <w:rFonts w:ascii="Times New Roman" w:hAnsi="Times New Roman"/>
                <w:lang w:val="hr-HR"/>
              </w:rPr>
              <w:t>dijelu</w:t>
            </w:r>
            <w:r w:rsidR="003A7C91" w:rsidRPr="00D6167B">
              <w:rPr>
                <w:rFonts w:ascii="Times New Roman" w:hAnsi="Times New Roman"/>
                <w:lang w:val="hr-HR"/>
              </w:rPr>
              <w:t xml:space="preserve"> </w:t>
            </w:r>
            <w:r w:rsidRPr="00D6167B">
              <w:rPr>
                <w:rFonts w:ascii="Times New Roman" w:hAnsi="Times New Roman"/>
                <w:lang w:val="hr-HR"/>
              </w:rPr>
              <w:t>4.8.</w:t>
            </w:r>
          </w:p>
        </w:tc>
      </w:tr>
      <w:tr w:rsidR="00D15122" w:rsidRPr="00D6167B" w14:paraId="07431180" w14:textId="77777777" w:rsidTr="00544237">
        <w:trPr>
          <w:cantSplit/>
        </w:trPr>
        <w:tc>
          <w:tcPr>
            <w:tcW w:w="2280" w:type="dxa"/>
          </w:tcPr>
          <w:p w14:paraId="403A56B4" w14:textId="77777777" w:rsidR="00D15122" w:rsidRPr="00D6167B" w:rsidRDefault="009B0756" w:rsidP="00D37692">
            <w:pPr>
              <w:pStyle w:val="TableParagraph"/>
              <w:widowControl/>
              <w:tabs>
                <w:tab w:val="left" w:pos="2280"/>
              </w:tabs>
              <w:spacing w:line="240" w:lineRule="exact"/>
              <w:ind w:right="186"/>
              <w:rPr>
                <w:rFonts w:ascii="Times New Roman" w:eastAsia="Times New Roman" w:hAnsi="Times New Roman"/>
                <w:lang w:val="hr-HR"/>
              </w:rPr>
            </w:pPr>
            <w:r w:rsidRPr="00D6167B">
              <w:rPr>
                <w:rFonts w:ascii="Times New Roman" w:hAnsi="Times New Roman"/>
                <w:lang w:val="hr-HR"/>
              </w:rPr>
              <w:t>Poremećaji disajnog sistema, toraksa i medijastinuma</w:t>
            </w:r>
          </w:p>
        </w:tc>
        <w:tc>
          <w:tcPr>
            <w:tcW w:w="6480" w:type="dxa"/>
          </w:tcPr>
          <w:p w14:paraId="191D1FEB" w14:textId="77777777" w:rsidR="00F74BC3" w:rsidRPr="00D6167B" w:rsidRDefault="009B0756" w:rsidP="007608DF">
            <w:pPr>
              <w:pStyle w:val="TableParagraph"/>
              <w:widowControl/>
              <w:spacing w:line="240" w:lineRule="exact"/>
              <w:ind w:right="435"/>
              <w:jc w:val="both"/>
              <w:rPr>
                <w:rFonts w:ascii="Times New Roman" w:hAnsi="Times New Roman"/>
                <w:lang w:val="hr-HR"/>
              </w:rPr>
            </w:pPr>
            <w:r w:rsidRPr="00D6167B">
              <w:rPr>
                <w:rFonts w:ascii="Times New Roman" w:hAnsi="Times New Roman"/>
                <w:lang w:val="hr-HR"/>
              </w:rPr>
              <w:t xml:space="preserve">Perforacija nazalnog septuma (nije poznato) </w:t>
            </w:r>
          </w:p>
          <w:p w14:paraId="0D5E3CC3" w14:textId="77777777" w:rsidR="00F74BC3" w:rsidRPr="00D6167B" w:rsidRDefault="009B0756" w:rsidP="007608DF">
            <w:pPr>
              <w:pStyle w:val="TableParagraph"/>
              <w:widowControl/>
              <w:spacing w:line="240" w:lineRule="exact"/>
              <w:ind w:right="435"/>
              <w:jc w:val="both"/>
              <w:rPr>
                <w:rFonts w:ascii="Times New Roman" w:hAnsi="Times New Roman"/>
                <w:lang w:val="hr-HR"/>
              </w:rPr>
            </w:pPr>
            <w:r w:rsidRPr="00D6167B">
              <w:rPr>
                <w:rFonts w:ascii="Times New Roman" w:hAnsi="Times New Roman"/>
                <w:lang w:val="hr-HR"/>
              </w:rPr>
              <w:t xml:space="preserve">Pulmonalna hipertenzija (nije poznato) </w:t>
            </w:r>
          </w:p>
          <w:p w14:paraId="734DB5C4" w14:textId="77777777" w:rsidR="00D15122" w:rsidRPr="00D6167B" w:rsidRDefault="009B0756" w:rsidP="007608DF">
            <w:pPr>
              <w:pStyle w:val="TableParagraph"/>
              <w:widowControl/>
              <w:spacing w:line="240" w:lineRule="exact"/>
              <w:ind w:right="435"/>
              <w:jc w:val="both"/>
              <w:rPr>
                <w:rFonts w:ascii="Times New Roman" w:eastAsia="Times New Roman" w:hAnsi="Times New Roman"/>
                <w:lang w:val="hr-HR"/>
              </w:rPr>
            </w:pPr>
            <w:r w:rsidRPr="00D6167B">
              <w:rPr>
                <w:rFonts w:ascii="Times New Roman" w:hAnsi="Times New Roman"/>
                <w:lang w:val="hr-HR"/>
              </w:rPr>
              <w:t>Disfonija (često)</w:t>
            </w:r>
          </w:p>
        </w:tc>
      </w:tr>
      <w:tr w:rsidR="00D15122" w:rsidRPr="00D6167B" w14:paraId="7133C547" w14:textId="77777777" w:rsidTr="00544237">
        <w:trPr>
          <w:cantSplit/>
        </w:trPr>
        <w:tc>
          <w:tcPr>
            <w:tcW w:w="2280" w:type="dxa"/>
          </w:tcPr>
          <w:p w14:paraId="33030131" w14:textId="77777777" w:rsidR="00D15122" w:rsidRPr="00D6167B" w:rsidRDefault="009B0756" w:rsidP="00D37692">
            <w:pPr>
              <w:pStyle w:val="TableParagraph"/>
              <w:widowControl/>
              <w:spacing w:line="240" w:lineRule="exact"/>
              <w:ind w:right="413"/>
              <w:rPr>
                <w:rFonts w:ascii="Times New Roman" w:eastAsia="Times New Roman" w:hAnsi="Times New Roman"/>
                <w:lang w:val="hr-HR"/>
              </w:rPr>
            </w:pPr>
            <w:r w:rsidRPr="00D6167B">
              <w:rPr>
                <w:rFonts w:ascii="Times New Roman" w:hAnsi="Times New Roman"/>
                <w:lang w:val="hr-HR"/>
              </w:rPr>
              <w:lastRenderedPageBreak/>
              <w:t>Gastrointestinalni poremećaji</w:t>
            </w:r>
          </w:p>
        </w:tc>
        <w:tc>
          <w:tcPr>
            <w:tcW w:w="6480" w:type="dxa"/>
          </w:tcPr>
          <w:p w14:paraId="1551764B" w14:textId="78A84C72"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Gastrointestinaln</w:t>
            </w:r>
            <w:r w:rsidR="00F677D0">
              <w:rPr>
                <w:rFonts w:ascii="Times New Roman" w:hAnsi="Times New Roman"/>
                <w:lang w:val="hr-HR"/>
              </w:rPr>
              <w:t>i ulkus</w:t>
            </w:r>
            <w:r w:rsidRPr="00D6167B">
              <w:rPr>
                <w:rFonts w:ascii="Times New Roman" w:hAnsi="Times New Roman"/>
                <w:lang w:val="hr-HR"/>
              </w:rPr>
              <w:t xml:space="preserve"> (nije poznato)</w:t>
            </w:r>
          </w:p>
        </w:tc>
      </w:tr>
      <w:tr w:rsidR="00D15122" w:rsidRPr="00D6167B" w14:paraId="749C53A9" w14:textId="77777777" w:rsidTr="00544237">
        <w:trPr>
          <w:cantSplit/>
        </w:trPr>
        <w:tc>
          <w:tcPr>
            <w:tcW w:w="2280" w:type="dxa"/>
          </w:tcPr>
          <w:p w14:paraId="6A24312C" w14:textId="77777777" w:rsidR="00D15122" w:rsidRPr="00D6167B" w:rsidRDefault="009B0756" w:rsidP="00D37692">
            <w:pPr>
              <w:pStyle w:val="TableParagraph"/>
              <w:widowControl/>
              <w:spacing w:line="240" w:lineRule="exact"/>
              <w:ind w:right="510"/>
              <w:rPr>
                <w:rFonts w:ascii="Times New Roman" w:eastAsia="Times New Roman" w:hAnsi="Times New Roman"/>
                <w:lang w:val="hr-HR"/>
              </w:rPr>
            </w:pPr>
            <w:r w:rsidRPr="00D6167B">
              <w:rPr>
                <w:rFonts w:ascii="Times New Roman" w:hAnsi="Times New Roman"/>
                <w:lang w:val="hr-HR"/>
              </w:rPr>
              <w:t>Poremećaji jetre i žuči</w:t>
            </w:r>
          </w:p>
        </w:tc>
        <w:tc>
          <w:tcPr>
            <w:tcW w:w="6480" w:type="dxa"/>
          </w:tcPr>
          <w:p w14:paraId="097F52E8"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Perforacija žučne kese (nije poznato)</w:t>
            </w:r>
          </w:p>
        </w:tc>
      </w:tr>
      <w:tr w:rsidR="00D15122" w:rsidRPr="00D6167B" w14:paraId="0FC1D4B9" w14:textId="77777777" w:rsidTr="00544237">
        <w:trPr>
          <w:cantSplit/>
        </w:trPr>
        <w:tc>
          <w:tcPr>
            <w:tcW w:w="2280" w:type="dxa"/>
          </w:tcPr>
          <w:p w14:paraId="2C42823E" w14:textId="77777777" w:rsidR="00D15122" w:rsidRPr="00D6167B" w:rsidRDefault="009B0756" w:rsidP="00D37692">
            <w:pPr>
              <w:pStyle w:val="TableParagraph"/>
              <w:widowControl/>
              <w:spacing w:line="240" w:lineRule="exact"/>
              <w:ind w:right="219"/>
              <w:rPr>
                <w:rFonts w:ascii="Times New Roman" w:eastAsia="Times New Roman" w:hAnsi="Times New Roman"/>
                <w:lang w:val="hr-HR"/>
              </w:rPr>
            </w:pPr>
            <w:r w:rsidRPr="00D6167B">
              <w:rPr>
                <w:rFonts w:ascii="Times New Roman" w:hAnsi="Times New Roman"/>
                <w:lang w:val="hr-HR"/>
              </w:rPr>
              <w:t>Poremećaji mišićno-skeletnog, vezivnog i koštanog tkiva</w:t>
            </w:r>
          </w:p>
        </w:tc>
        <w:tc>
          <w:tcPr>
            <w:tcW w:w="6480" w:type="dxa"/>
          </w:tcPr>
          <w:p w14:paraId="0E8B4424" w14:textId="72E4AAA1" w:rsidR="00D15122" w:rsidRPr="00D6167B" w:rsidRDefault="009B0756" w:rsidP="00B92E27">
            <w:pPr>
              <w:pStyle w:val="TableParagraph"/>
              <w:widowControl/>
              <w:spacing w:line="240" w:lineRule="exact"/>
              <w:ind w:right="238"/>
              <w:jc w:val="both"/>
              <w:rPr>
                <w:rFonts w:ascii="Times New Roman" w:eastAsia="Times New Roman" w:hAnsi="Times New Roman"/>
                <w:lang w:val="hr-HR"/>
              </w:rPr>
            </w:pPr>
            <w:r w:rsidRPr="00D6167B">
              <w:rPr>
                <w:rFonts w:ascii="Times New Roman" w:hAnsi="Times New Roman"/>
                <w:lang w:val="hr-HR"/>
              </w:rPr>
              <w:t xml:space="preserve">Slučajevi osteonekroze vilice prijavljeni su kod pacijenata liječenih bevacizumabom, a većina njih se desila kod pacijenata koji su imali prepoznate faktore rizika za </w:t>
            </w:r>
            <w:r w:rsidR="00F36627">
              <w:rPr>
                <w:rFonts w:ascii="Times New Roman" w:hAnsi="Times New Roman"/>
                <w:lang w:val="hr-HR"/>
              </w:rPr>
              <w:t>osteonekrozu</w:t>
            </w:r>
            <w:r w:rsidR="00F36627" w:rsidRPr="00D6167B">
              <w:rPr>
                <w:rFonts w:ascii="Times New Roman" w:hAnsi="Times New Roman"/>
                <w:lang w:val="hr-HR"/>
              </w:rPr>
              <w:t xml:space="preserve"> vilice</w:t>
            </w:r>
            <w:r w:rsidRPr="00D6167B">
              <w:rPr>
                <w:rFonts w:ascii="Times New Roman" w:hAnsi="Times New Roman"/>
                <w:lang w:val="hr-HR"/>
              </w:rPr>
              <w:t xml:space="preserve">, naročito izloženost intravenskim bisfosfonatima i/ili istoriju dentalnih oboljenja koja su zahtijevala invazivne stomatološke procedure (pogledajte i </w:t>
            </w:r>
            <w:r w:rsidR="003A7C91">
              <w:rPr>
                <w:rFonts w:ascii="Times New Roman" w:hAnsi="Times New Roman"/>
                <w:lang w:val="hr-HR"/>
              </w:rPr>
              <w:t>dio</w:t>
            </w:r>
            <w:r w:rsidR="003A7C91" w:rsidRPr="00D6167B">
              <w:rPr>
                <w:rFonts w:ascii="Times New Roman" w:hAnsi="Times New Roman"/>
                <w:lang w:val="hr-HR"/>
              </w:rPr>
              <w:t xml:space="preserve"> </w:t>
            </w:r>
            <w:r w:rsidRPr="00D6167B">
              <w:rPr>
                <w:rFonts w:ascii="Times New Roman" w:hAnsi="Times New Roman"/>
                <w:lang w:val="hr-HR"/>
              </w:rPr>
              <w:t>4.4)</w:t>
            </w:r>
          </w:p>
        </w:tc>
      </w:tr>
      <w:tr w:rsidR="00D15122" w:rsidRPr="00D6167B" w14:paraId="354D507A" w14:textId="77777777" w:rsidTr="00544237">
        <w:trPr>
          <w:cantSplit/>
        </w:trPr>
        <w:tc>
          <w:tcPr>
            <w:tcW w:w="2280" w:type="dxa"/>
          </w:tcPr>
          <w:p w14:paraId="1A0A872A" w14:textId="77777777" w:rsidR="00D15122" w:rsidRPr="00D6167B" w:rsidRDefault="00D15122" w:rsidP="00D37692">
            <w:pPr>
              <w:widowControl/>
              <w:rPr>
                <w:rFonts w:ascii="Times New Roman" w:hAnsi="Times New Roman"/>
                <w:lang w:val="hr-HR"/>
              </w:rPr>
            </w:pPr>
          </w:p>
        </w:tc>
        <w:tc>
          <w:tcPr>
            <w:tcW w:w="6480" w:type="dxa"/>
          </w:tcPr>
          <w:p w14:paraId="20F01473" w14:textId="77777777" w:rsidR="00D15122" w:rsidRPr="00D6167B" w:rsidRDefault="009B0756" w:rsidP="007608DF">
            <w:pPr>
              <w:pStyle w:val="TableParagraph"/>
              <w:widowControl/>
              <w:spacing w:line="240" w:lineRule="exact"/>
              <w:ind w:right="150"/>
              <w:jc w:val="both"/>
              <w:rPr>
                <w:rFonts w:ascii="Times New Roman" w:eastAsia="Times New Roman" w:hAnsi="Times New Roman"/>
                <w:lang w:val="hr-HR"/>
              </w:rPr>
            </w:pPr>
            <w:r w:rsidRPr="00D6167B">
              <w:rPr>
                <w:rFonts w:ascii="Times New Roman" w:hAnsi="Times New Roman"/>
                <w:lang w:val="hr-HR"/>
              </w:rPr>
              <w:t>Slučajevi nemandibularne osteonekroze su prim</w:t>
            </w:r>
            <w:r w:rsidR="001054C9" w:rsidRPr="00D6167B">
              <w:rPr>
                <w:rFonts w:ascii="Times New Roman" w:hAnsi="Times New Roman"/>
                <w:lang w:val="hr-HR"/>
              </w:rPr>
              <w:t>i</w:t>
            </w:r>
            <w:r w:rsidRPr="00D6167B">
              <w:rPr>
                <w:rFonts w:ascii="Times New Roman" w:hAnsi="Times New Roman"/>
                <w:lang w:val="hr-HR"/>
              </w:rPr>
              <w:t xml:space="preserve">jećeni kod pedijatrijskih pacijenata liječenih bevacizumabom (pogledajte </w:t>
            </w:r>
            <w:r w:rsidR="00EA7D3C" w:rsidRPr="00D6167B">
              <w:rPr>
                <w:rFonts w:ascii="Times New Roman" w:hAnsi="Times New Roman"/>
                <w:lang w:val="hr-HR"/>
              </w:rPr>
              <w:t xml:space="preserve">dio </w:t>
            </w:r>
            <w:r w:rsidRPr="00D6167B">
              <w:rPr>
                <w:rFonts w:ascii="Times New Roman" w:hAnsi="Times New Roman"/>
                <w:lang w:val="hr-HR"/>
              </w:rPr>
              <w:t>4.8 „Pedijatrijska populacija“).</w:t>
            </w:r>
          </w:p>
        </w:tc>
      </w:tr>
      <w:tr w:rsidR="00D15122" w:rsidRPr="00D6167B" w14:paraId="018F3307" w14:textId="77777777" w:rsidTr="00544237">
        <w:trPr>
          <w:cantSplit/>
        </w:trPr>
        <w:tc>
          <w:tcPr>
            <w:tcW w:w="2280" w:type="dxa"/>
          </w:tcPr>
          <w:p w14:paraId="721523D8" w14:textId="77777777" w:rsidR="00D15122" w:rsidRPr="00D6167B" w:rsidRDefault="009B0756" w:rsidP="00D37692">
            <w:pPr>
              <w:pStyle w:val="TableParagraph"/>
              <w:widowControl/>
              <w:spacing w:line="240" w:lineRule="exact"/>
              <w:ind w:right="212" w:hanging="3"/>
              <w:rPr>
                <w:rFonts w:ascii="Times New Roman" w:eastAsia="Times New Roman" w:hAnsi="Times New Roman"/>
                <w:lang w:val="hr-HR"/>
              </w:rPr>
            </w:pPr>
            <w:r w:rsidRPr="00D6167B">
              <w:rPr>
                <w:rFonts w:ascii="Times New Roman" w:hAnsi="Times New Roman"/>
                <w:lang w:val="hr-HR"/>
              </w:rPr>
              <w:t>Urođeni, porodični i genetski poremećaj</w:t>
            </w:r>
          </w:p>
        </w:tc>
        <w:tc>
          <w:tcPr>
            <w:tcW w:w="6480" w:type="dxa"/>
          </w:tcPr>
          <w:p w14:paraId="300D1945" w14:textId="77777777" w:rsidR="00D15122" w:rsidRPr="00D6167B" w:rsidRDefault="009B0756" w:rsidP="007608DF">
            <w:pPr>
              <w:pStyle w:val="TableParagraph"/>
              <w:widowControl/>
              <w:spacing w:line="240" w:lineRule="exact"/>
              <w:ind w:right="288"/>
              <w:jc w:val="both"/>
              <w:rPr>
                <w:rFonts w:ascii="Times New Roman" w:eastAsia="Times New Roman" w:hAnsi="Times New Roman"/>
                <w:lang w:val="hr-HR"/>
              </w:rPr>
            </w:pPr>
            <w:r w:rsidRPr="00D6167B">
              <w:rPr>
                <w:rFonts w:ascii="Times New Roman" w:hAnsi="Times New Roman"/>
                <w:lang w:val="hr-HR"/>
              </w:rPr>
              <w:t>Prim</w:t>
            </w:r>
            <w:r w:rsidR="001054C9" w:rsidRPr="00D6167B">
              <w:rPr>
                <w:rFonts w:ascii="Times New Roman" w:hAnsi="Times New Roman"/>
                <w:lang w:val="hr-HR"/>
              </w:rPr>
              <w:t>i</w:t>
            </w:r>
            <w:r w:rsidRPr="00D6167B">
              <w:rPr>
                <w:rFonts w:ascii="Times New Roman" w:hAnsi="Times New Roman"/>
                <w:lang w:val="hr-HR"/>
              </w:rPr>
              <w:t xml:space="preserve">jećeni su slučajevi abnormalnosti na fetusima kod žena koje su liječene samo bevacizumabom ili bevacizumabom u kombinaciji sa poznatim hemoterapijskim embriotoksinima (pogledajte </w:t>
            </w:r>
            <w:r w:rsidR="00EA7D3C" w:rsidRPr="00D6167B">
              <w:rPr>
                <w:rFonts w:ascii="Times New Roman" w:hAnsi="Times New Roman"/>
                <w:lang w:val="hr-HR"/>
              </w:rPr>
              <w:t xml:space="preserve">dio </w:t>
            </w:r>
            <w:r w:rsidRPr="00D6167B">
              <w:rPr>
                <w:rFonts w:ascii="Times New Roman" w:hAnsi="Times New Roman"/>
                <w:lang w:val="hr-HR"/>
              </w:rPr>
              <w:t>4.6)</w:t>
            </w:r>
          </w:p>
        </w:tc>
      </w:tr>
    </w:tbl>
    <w:p w14:paraId="6DA5478A" w14:textId="77777777" w:rsidR="00D15122" w:rsidRPr="00D6167B" w:rsidRDefault="009B0756" w:rsidP="007608DF">
      <w:pPr>
        <w:widowControl/>
        <w:tabs>
          <w:tab w:val="left" w:pos="0"/>
          <w:tab w:val="left" w:pos="270"/>
        </w:tabs>
        <w:jc w:val="both"/>
        <w:rPr>
          <w:rFonts w:ascii="Times New Roman" w:eastAsia="Times New Roman" w:hAnsi="Times New Roman"/>
          <w:sz w:val="20"/>
          <w:szCs w:val="20"/>
          <w:lang w:val="hr-HR"/>
        </w:rPr>
      </w:pPr>
      <w:r w:rsidRPr="00D6167B">
        <w:rPr>
          <w:rFonts w:ascii="Times New Roman" w:hAnsi="Times New Roman"/>
          <w:sz w:val="20"/>
          <w:lang w:val="hr-HR"/>
        </w:rPr>
        <w:t xml:space="preserve">* </w:t>
      </w:r>
      <w:r w:rsidRPr="00D6167B">
        <w:rPr>
          <w:rFonts w:ascii="Times New Roman" w:hAnsi="Times New Roman"/>
          <w:sz w:val="20"/>
          <w:lang w:val="hr-HR"/>
        </w:rPr>
        <w:tab/>
        <w:t>Ako je navedena, učestalost je izvedena iz podataka kliničkog ispitivanja</w:t>
      </w:r>
    </w:p>
    <w:p w14:paraId="78B67B95" w14:textId="77777777" w:rsidR="00221EBE" w:rsidRPr="00D6167B" w:rsidRDefault="00221EBE" w:rsidP="007608DF">
      <w:pPr>
        <w:pStyle w:val="BodyText"/>
        <w:widowControl/>
        <w:ind w:left="0"/>
        <w:jc w:val="both"/>
        <w:rPr>
          <w:u w:val="single" w:color="000000"/>
          <w:lang w:val="hr-HR"/>
        </w:rPr>
      </w:pPr>
    </w:p>
    <w:p w14:paraId="0BAFF1A7" w14:textId="77777777" w:rsidR="00D15122" w:rsidRPr="00F36627" w:rsidRDefault="009B0756" w:rsidP="007608DF">
      <w:pPr>
        <w:pStyle w:val="BodyText"/>
        <w:keepNext/>
        <w:keepLines/>
        <w:widowControl/>
        <w:ind w:left="0"/>
        <w:jc w:val="both"/>
        <w:rPr>
          <w:lang w:val="hr-HR"/>
        </w:rPr>
      </w:pPr>
      <w:r w:rsidRPr="00F36627">
        <w:rPr>
          <w:u w:val="single" w:color="000000"/>
          <w:lang w:val="hr-HR"/>
        </w:rPr>
        <w:t>Prijavljivanje sumnji na neželjena dejstva</w:t>
      </w:r>
    </w:p>
    <w:p w14:paraId="77D64425" w14:textId="77777777" w:rsidR="00D15122" w:rsidRPr="00F36627" w:rsidRDefault="00D15122" w:rsidP="007608DF">
      <w:pPr>
        <w:keepNext/>
        <w:keepLines/>
        <w:widowControl/>
        <w:jc w:val="both"/>
        <w:rPr>
          <w:rFonts w:ascii="Times New Roman" w:eastAsia="Times New Roman" w:hAnsi="Times New Roman"/>
          <w:lang w:val="hr-HR"/>
        </w:rPr>
      </w:pPr>
    </w:p>
    <w:p w14:paraId="72012D49" w14:textId="77777777" w:rsidR="00FC0B03" w:rsidRPr="009E3D2C" w:rsidRDefault="00FC0B03" w:rsidP="007608DF">
      <w:pPr>
        <w:keepNext/>
        <w:keepLines/>
        <w:jc w:val="both"/>
        <w:rPr>
          <w:rFonts w:ascii="Times New Roman" w:eastAsia="Times New Roman" w:hAnsi="Times New Roman"/>
          <w:lang w:val="hr-HR"/>
        </w:rPr>
      </w:pPr>
      <w:r w:rsidRPr="00C4028E">
        <w:rPr>
          <w:rFonts w:ascii="Times New Roman" w:hAnsi="Times New Roman"/>
          <w:lang w:val="hr-HR"/>
        </w:rPr>
        <w:t>Prijavljivanje neželjenih dejstava nakon dobijanja dozvol</w:t>
      </w:r>
      <w:r w:rsidRPr="00532737">
        <w:rPr>
          <w:rFonts w:ascii="Times New Roman" w:hAnsi="Times New Roman"/>
          <w:lang w:val="hr-HR"/>
        </w:rPr>
        <w:t>e je od velikog značaja jer obezbjeđuje kontinuirano praćenje odnosa korist/rizik primjene lijeka. Zdravstveni radnici treba da prijave svaku sumnju na neželjeno dejstvo ovog lijeka Institutu za ljekove i medicinska sredstva (CInMED):</w:t>
      </w:r>
    </w:p>
    <w:p w14:paraId="32332E73" w14:textId="77777777" w:rsidR="00FC0B03" w:rsidRPr="007A1196" w:rsidRDefault="00FC0B03" w:rsidP="007608DF">
      <w:pPr>
        <w:tabs>
          <w:tab w:val="center" w:pos="4536"/>
          <w:tab w:val="right" w:pos="9072"/>
        </w:tabs>
        <w:spacing w:before="120"/>
        <w:jc w:val="both"/>
        <w:rPr>
          <w:rFonts w:ascii="Times New Roman" w:eastAsia="Times New Roman" w:hAnsi="Times New Roman"/>
          <w:lang w:val="hr-HR"/>
        </w:rPr>
      </w:pPr>
      <w:r w:rsidRPr="00C9658D">
        <w:rPr>
          <w:rFonts w:ascii="Times New Roman" w:hAnsi="Times New Roman"/>
          <w:lang w:val="hr-HR"/>
        </w:rPr>
        <w:t>Institut za ljekove i</w:t>
      </w:r>
      <w:r w:rsidRPr="007A1196">
        <w:rPr>
          <w:rFonts w:ascii="Times New Roman" w:hAnsi="Times New Roman"/>
          <w:lang w:val="hr-HR"/>
        </w:rPr>
        <w:t xml:space="preserve"> medicinska sredstva </w:t>
      </w:r>
    </w:p>
    <w:p w14:paraId="7089BF07" w14:textId="77777777" w:rsidR="00FC0B03" w:rsidRPr="00BA77DE" w:rsidRDefault="00FC0B03" w:rsidP="007608DF">
      <w:pPr>
        <w:tabs>
          <w:tab w:val="center" w:pos="4536"/>
          <w:tab w:val="right" w:pos="9072"/>
        </w:tabs>
        <w:jc w:val="both"/>
        <w:rPr>
          <w:rFonts w:ascii="Times New Roman" w:eastAsia="Times New Roman" w:hAnsi="Times New Roman"/>
          <w:lang w:val="hr-HR"/>
        </w:rPr>
      </w:pPr>
      <w:r w:rsidRPr="004A6F42">
        <w:rPr>
          <w:rFonts w:ascii="Times New Roman" w:hAnsi="Times New Roman"/>
          <w:lang w:val="hr-HR"/>
        </w:rPr>
        <w:t>Odjeljenje za farmakovigilancu</w:t>
      </w:r>
    </w:p>
    <w:p w14:paraId="6F7253CB" w14:textId="77777777" w:rsidR="00FC0B03" w:rsidRPr="00BF2796" w:rsidRDefault="00FC0B03" w:rsidP="007608DF">
      <w:pPr>
        <w:tabs>
          <w:tab w:val="center" w:pos="4536"/>
          <w:tab w:val="right" w:pos="9072"/>
        </w:tabs>
        <w:spacing w:after="120"/>
        <w:jc w:val="both"/>
        <w:rPr>
          <w:rFonts w:ascii="Times New Roman" w:eastAsia="Times New Roman" w:hAnsi="Times New Roman"/>
          <w:lang w:val="hr-HR"/>
        </w:rPr>
      </w:pPr>
      <w:r w:rsidRPr="00BA77DE">
        <w:rPr>
          <w:rFonts w:ascii="Times New Roman" w:hAnsi="Times New Roman"/>
          <w:lang w:val="hr-HR"/>
        </w:rPr>
        <w:t>Bulevar Ivana Crnojevića 64a, 81000 Podgorica</w:t>
      </w:r>
    </w:p>
    <w:p w14:paraId="10059473" w14:textId="77777777" w:rsidR="00FC0B03" w:rsidRPr="006450A5" w:rsidRDefault="00FC0B03" w:rsidP="007608DF">
      <w:pPr>
        <w:tabs>
          <w:tab w:val="center" w:pos="4536"/>
          <w:tab w:val="right" w:pos="9072"/>
        </w:tabs>
        <w:jc w:val="both"/>
        <w:rPr>
          <w:rFonts w:ascii="Times New Roman" w:eastAsia="Times New Roman" w:hAnsi="Times New Roman"/>
          <w:lang w:val="hr-HR"/>
        </w:rPr>
      </w:pPr>
      <w:r w:rsidRPr="00CB40BB">
        <w:rPr>
          <w:rFonts w:ascii="Times New Roman" w:hAnsi="Times New Roman"/>
          <w:lang w:val="hr-HR"/>
        </w:rPr>
        <w:t>tel: +382 (0) 20 310 280</w:t>
      </w:r>
    </w:p>
    <w:p w14:paraId="411CC370" w14:textId="77777777" w:rsidR="00FC0B03" w:rsidRPr="006876AE" w:rsidRDefault="00FC0B03" w:rsidP="007608DF">
      <w:pPr>
        <w:tabs>
          <w:tab w:val="center" w:pos="4536"/>
          <w:tab w:val="right" w:pos="9072"/>
        </w:tabs>
        <w:jc w:val="both"/>
        <w:rPr>
          <w:rFonts w:ascii="Times New Roman" w:eastAsia="Times New Roman" w:hAnsi="Times New Roman"/>
          <w:lang w:val="hr-HR"/>
        </w:rPr>
      </w:pPr>
      <w:r w:rsidRPr="006450A5">
        <w:rPr>
          <w:rFonts w:ascii="Times New Roman" w:hAnsi="Times New Roman"/>
          <w:lang w:val="hr-HR"/>
        </w:rPr>
        <w:t>fax: +382 (0) 20 310 581</w:t>
      </w:r>
    </w:p>
    <w:p w14:paraId="58987B7A" w14:textId="77777777" w:rsidR="00B92E27" w:rsidRPr="00B92E27" w:rsidRDefault="00F40022" w:rsidP="00B92E27">
      <w:pPr>
        <w:widowControl/>
        <w:jc w:val="both"/>
        <w:rPr>
          <w:rFonts w:ascii="Times New Roman" w:hAnsi="Times New Roman"/>
          <w:lang w:val="sr-Latn-RS"/>
        </w:rPr>
      </w:pPr>
      <w:hyperlink r:id="rId8" w:history="1">
        <w:r w:rsidR="00B92E27" w:rsidRPr="00B92E27">
          <w:rPr>
            <w:rFonts w:ascii="Times New Roman" w:hAnsi="Times New Roman"/>
            <w:color w:val="0563C1"/>
            <w:u w:val="single"/>
            <w:lang w:val="sr-Latn-RS"/>
          </w:rPr>
          <w:t>www.cinmed.me</w:t>
        </w:r>
      </w:hyperlink>
    </w:p>
    <w:p w14:paraId="339CA04B" w14:textId="05107878" w:rsidR="00FC0B03" w:rsidRPr="00F36627" w:rsidRDefault="00F40022" w:rsidP="007608DF">
      <w:pPr>
        <w:pStyle w:val="NoSpacing"/>
        <w:jc w:val="both"/>
        <w:rPr>
          <w:rFonts w:ascii="Times New Roman" w:eastAsia="Times New Roman" w:hAnsi="Times New Roman"/>
          <w:lang w:val="hr-HR"/>
        </w:rPr>
      </w:pPr>
      <w:hyperlink r:id="rId9" w:history="1">
        <w:r w:rsidR="00B92E27" w:rsidRPr="00B92E27">
          <w:rPr>
            <w:rFonts w:ascii="Times New Roman" w:hAnsi="Times New Roman"/>
            <w:color w:val="0563C1"/>
            <w:u w:val="single"/>
            <w:lang w:val="sr-Latn-RS"/>
          </w:rPr>
          <w:t>nezeljenadejstva@cinmed.me</w:t>
        </w:r>
      </w:hyperlink>
    </w:p>
    <w:p w14:paraId="4E780D4A" w14:textId="77777777" w:rsidR="00AF514D" w:rsidRDefault="00FC0B03" w:rsidP="007608DF">
      <w:pPr>
        <w:jc w:val="both"/>
        <w:rPr>
          <w:rFonts w:ascii="Times New Roman" w:hAnsi="Times New Roman"/>
          <w:lang w:val="hr-HR"/>
        </w:rPr>
      </w:pPr>
      <w:r w:rsidRPr="00F36627">
        <w:rPr>
          <w:rFonts w:ascii="Times New Roman" w:hAnsi="Times New Roman"/>
          <w:lang w:val="hr-HR"/>
        </w:rPr>
        <w:t>putem IS zdravstvene zaštite</w:t>
      </w:r>
    </w:p>
    <w:p w14:paraId="433E9509" w14:textId="774AB57D" w:rsidR="002E2F4E" w:rsidRDefault="002E2F4E" w:rsidP="007608DF">
      <w:pPr>
        <w:jc w:val="both"/>
        <w:rPr>
          <w:rFonts w:ascii="Times New Roman" w:hAnsi="Times New Roman"/>
        </w:rPr>
      </w:pPr>
      <w:r w:rsidRPr="00AC5FED">
        <w:rPr>
          <w:rFonts w:ascii="Times New Roman" w:hAnsi="Times New Roman"/>
        </w:rPr>
        <w:t xml:space="preserve">QR kôd za </w:t>
      </w:r>
      <w:r w:rsidR="00DB398F" w:rsidRPr="00AC5FED">
        <w:rPr>
          <w:rFonts w:ascii="Times New Roman" w:hAnsi="Times New Roman"/>
        </w:rPr>
        <w:t xml:space="preserve">online </w:t>
      </w:r>
      <w:r w:rsidRPr="00AC5FED">
        <w:rPr>
          <w:rFonts w:ascii="Times New Roman" w:hAnsi="Times New Roman"/>
        </w:rPr>
        <w:t>prijav</w:t>
      </w:r>
      <w:r w:rsidR="00DB398F" w:rsidRPr="00AC5FED">
        <w:rPr>
          <w:rFonts w:ascii="Times New Roman" w:hAnsi="Times New Roman"/>
        </w:rPr>
        <w:t>u</w:t>
      </w:r>
      <w:r w:rsidRPr="00AC5FED">
        <w:rPr>
          <w:rFonts w:ascii="Times New Roman" w:hAnsi="Times New Roman"/>
        </w:rPr>
        <w:t xml:space="preserve"> sumnje na neželjene reakcije:</w:t>
      </w:r>
    </w:p>
    <w:p w14:paraId="1091A140" w14:textId="77777777" w:rsidR="002E2F4E" w:rsidRDefault="002E2F4E" w:rsidP="007608DF">
      <w:pPr>
        <w:jc w:val="both"/>
        <w:rPr>
          <w:rFonts w:ascii="Times New Roman" w:hAnsi="Times New Roman"/>
        </w:rPr>
      </w:pPr>
    </w:p>
    <w:p w14:paraId="409839B0" w14:textId="7D40E177" w:rsidR="002E2F4E" w:rsidRPr="00C4028E" w:rsidRDefault="002E2F4E" w:rsidP="007608DF">
      <w:pPr>
        <w:jc w:val="both"/>
        <w:rPr>
          <w:rFonts w:ascii="Times New Roman" w:eastAsia="Times New Roman" w:hAnsi="Times New Roman"/>
          <w:lang w:val="hr-HR"/>
        </w:rPr>
      </w:pPr>
      <w:r w:rsidRPr="00806352">
        <w:rPr>
          <w:noProof/>
          <w:lang w:val="en-US"/>
        </w:rPr>
        <w:drawing>
          <wp:inline distT="0" distB="0" distL="0" distR="0" wp14:anchorId="2118C13C" wp14:editId="7F3DB475">
            <wp:extent cx="970280" cy="97028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0D378579" w14:textId="77777777" w:rsidR="00D15122" w:rsidRPr="00C4028E" w:rsidRDefault="00D15122" w:rsidP="007608DF">
      <w:pPr>
        <w:widowControl/>
        <w:spacing w:line="200" w:lineRule="atLeast"/>
        <w:jc w:val="both"/>
        <w:rPr>
          <w:rFonts w:ascii="Times New Roman" w:eastAsia="Times New Roman" w:hAnsi="Times New Roman"/>
          <w:sz w:val="20"/>
          <w:szCs w:val="20"/>
          <w:lang w:val="hr-HR"/>
        </w:rPr>
      </w:pPr>
    </w:p>
    <w:p w14:paraId="260817F9"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4.9</w:t>
      </w:r>
      <w:r w:rsidRPr="00D6167B">
        <w:rPr>
          <w:lang w:val="hr-HR"/>
        </w:rPr>
        <w:tab/>
        <w:t>Predoziranje</w:t>
      </w:r>
    </w:p>
    <w:p w14:paraId="1F8C7AF5" w14:textId="77777777" w:rsidR="00D15122" w:rsidRPr="00D6167B" w:rsidRDefault="00D15122" w:rsidP="007608DF">
      <w:pPr>
        <w:keepNext/>
        <w:widowControl/>
        <w:jc w:val="both"/>
        <w:rPr>
          <w:rFonts w:ascii="Times New Roman" w:eastAsia="Times New Roman" w:hAnsi="Times New Roman"/>
          <w:bCs/>
          <w:lang w:val="hr-HR"/>
        </w:rPr>
      </w:pPr>
    </w:p>
    <w:p w14:paraId="6B55D820" w14:textId="77777777" w:rsidR="00D15122" w:rsidRPr="00D6167B" w:rsidRDefault="009B0756" w:rsidP="007608DF">
      <w:pPr>
        <w:pStyle w:val="BodyText"/>
        <w:widowControl/>
        <w:ind w:left="0"/>
        <w:jc w:val="both"/>
        <w:rPr>
          <w:lang w:val="hr-HR"/>
        </w:rPr>
      </w:pPr>
      <w:r w:rsidRPr="00D6167B">
        <w:rPr>
          <w:lang w:val="hr-HR"/>
        </w:rPr>
        <w:t>Najviša doza testirana na ljudima (20 mg/kg tjelesne mase, intravenski na svake 2 nedjelje) povezana je sa ozbiljnim migrenama kod nekoliko pacijenata.</w:t>
      </w:r>
    </w:p>
    <w:p w14:paraId="57513CA2" w14:textId="77777777" w:rsidR="00D15122" w:rsidRPr="00D6167B" w:rsidRDefault="00D15122" w:rsidP="007608DF">
      <w:pPr>
        <w:widowControl/>
        <w:jc w:val="both"/>
        <w:rPr>
          <w:rFonts w:ascii="Times New Roman" w:eastAsia="Times New Roman" w:hAnsi="Times New Roman"/>
          <w:lang w:val="hr-HR"/>
        </w:rPr>
      </w:pPr>
    </w:p>
    <w:p w14:paraId="628FFA2D" w14:textId="77777777" w:rsidR="00D15122" w:rsidRPr="00D6167B" w:rsidRDefault="00D15122" w:rsidP="007608DF">
      <w:pPr>
        <w:widowControl/>
        <w:jc w:val="both"/>
        <w:rPr>
          <w:rFonts w:ascii="Times New Roman" w:eastAsia="Times New Roman" w:hAnsi="Times New Roman"/>
          <w:lang w:val="hr-HR"/>
        </w:rPr>
      </w:pPr>
    </w:p>
    <w:p w14:paraId="487D7CB2" w14:textId="77777777" w:rsidR="00D15122" w:rsidRPr="00D6167B" w:rsidRDefault="003E4A60" w:rsidP="007608DF">
      <w:pPr>
        <w:pStyle w:val="Heading1"/>
        <w:keepNext/>
        <w:widowControl/>
        <w:ind w:left="0"/>
        <w:jc w:val="both"/>
        <w:rPr>
          <w:bCs w:val="0"/>
          <w:lang w:val="hr-HR"/>
        </w:rPr>
      </w:pPr>
      <w:r w:rsidRPr="00D6167B">
        <w:rPr>
          <w:lang w:val="hr-HR"/>
        </w:rPr>
        <w:t>5.</w:t>
      </w:r>
      <w:r w:rsidRPr="00D6167B">
        <w:rPr>
          <w:lang w:val="hr-HR"/>
        </w:rPr>
        <w:tab/>
        <w:t>FARMAKOLOŠKI PODACI</w:t>
      </w:r>
    </w:p>
    <w:p w14:paraId="1125852B" w14:textId="77777777" w:rsidR="00D15122" w:rsidRPr="00D6167B" w:rsidRDefault="00D15122" w:rsidP="007608DF">
      <w:pPr>
        <w:keepNext/>
        <w:widowControl/>
        <w:jc w:val="both"/>
        <w:rPr>
          <w:rFonts w:ascii="Times New Roman" w:eastAsia="Times New Roman" w:hAnsi="Times New Roman"/>
          <w:b/>
          <w:bCs/>
          <w:lang w:val="hr-HR"/>
        </w:rPr>
      </w:pPr>
    </w:p>
    <w:p w14:paraId="6772878E" w14:textId="77777777" w:rsidR="00D15122" w:rsidRPr="00D6167B" w:rsidRDefault="003E4A60" w:rsidP="007608DF">
      <w:pPr>
        <w:keepNext/>
        <w:widowControl/>
        <w:tabs>
          <w:tab w:val="left" w:pos="540"/>
        </w:tabs>
        <w:jc w:val="both"/>
        <w:rPr>
          <w:rFonts w:ascii="Times New Roman" w:eastAsia="Times New Roman" w:hAnsi="Times New Roman"/>
          <w:b/>
          <w:lang w:val="hr-HR"/>
        </w:rPr>
      </w:pPr>
      <w:r w:rsidRPr="00D6167B">
        <w:rPr>
          <w:rFonts w:ascii="Times New Roman" w:hAnsi="Times New Roman"/>
          <w:b/>
          <w:lang w:val="hr-HR"/>
        </w:rPr>
        <w:t xml:space="preserve">5.1 </w:t>
      </w:r>
      <w:r w:rsidRPr="00D6167B">
        <w:rPr>
          <w:rFonts w:ascii="Times New Roman" w:hAnsi="Times New Roman"/>
          <w:b/>
          <w:lang w:val="hr-HR"/>
        </w:rPr>
        <w:tab/>
      </w:r>
      <w:r w:rsidRPr="00D6167B">
        <w:rPr>
          <w:rFonts w:ascii="Times New Roman" w:hAnsi="Times New Roman"/>
          <w:b/>
          <w:lang w:val="hr-HR"/>
        </w:rPr>
        <w:tab/>
        <w:t>Farmakodinamski podaci</w:t>
      </w:r>
    </w:p>
    <w:p w14:paraId="2FC7309F" w14:textId="77777777" w:rsidR="00D15122" w:rsidRPr="00D6167B" w:rsidRDefault="00D15122" w:rsidP="007608DF">
      <w:pPr>
        <w:keepNext/>
        <w:widowControl/>
        <w:jc w:val="both"/>
        <w:rPr>
          <w:rFonts w:ascii="Times New Roman" w:eastAsia="Times New Roman" w:hAnsi="Times New Roman"/>
          <w:b/>
          <w:bCs/>
          <w:lang w:val="hr-HR"/>
        </w:rPr>
      </w:pPr>
    </w:p>
    <w:p w14:paraId="07A11C08" w14:textId="4B55AE42" w:rsidR="00FC0B03" w:rsidRPr="00D6167B" w:rsidRDefault="009B0756" w:rsidP="007608DF">
      <w:pPr>
        <w:pStyle w:val="BodyText"/>
        <w:widowControl/>
        <w:ind w:left="0"/>
        <w:jc w:val="both"/>
        <w:rPr>
          <w:lang w:val="hr-HR"/>
        </w:rPr>
      </w:pPr>
      <w:r w:rsidRPr="00D6167B">
        <w:rPr>
          <w:lang w:val="hr-HR"/>
        </w:rPr>
        <w:t xml:space="preserve">Farmakoterapeutska grupa: </w:t>
      </w:r>
      <w:r w:rsidR="005B45F5">
        <w:rPr>
          <w:lang w:val="hr-HR"/>
        </w:rPr>
        <w:t xml:space="preserve">ljekovi za liječenje </w:t>
      </w:r>
      <w:r w:rsidR="003E4739">
        <w:rPr>
          <w:lang w:val="hr-HR"/>
        </w:rPr>
        <w:t>karcinoma</w:t>
      </w:r>
      <w:r w:rsidR="005B45F5">
        <w:rPr>
          <w:lang w:val="hr-HR"/>
        </w:rPr>
        <w:t xml:space="preserve"> imunomodulatori</w:t>
      </w:r>
      <w:r w:rsidR="00C4028E">
        <w:rPr>
          <w:lang w:val="hr-HR"/>
        </w:rPr>
        <w:t>,</w:t>
      </w:r>
      <w:r w:rsidRPr="00D6167B">
        <w:rPr>
          <w:lang w:val="hr-HR"/>
        </w:rPr>
        <w:t xml:space="preserve"> antineoplasti</w:t>
      </w:r>
      <w:r w:rsidR="005B45F5">
        <w:rPr>
          <w:lang w:val="hr-HR"/>
        </w:rPr>
        <w:t>ci</w:t>
      </w:r>
      <w:r w:rsidRPr="00D6167B">
        <w:rPr>
          <w:lang w:val="hr-HR"/>
        </w:rPr>
        <w:t>,</w:t>
      </w:r>
      <w:r w:rsidR="005B45F5">
        <w:rPr>
          <w:lang w:val="hr-HR"/>
        </w:rPr>
        <w:t xml:space="preserve"> ostali</w:t>
      </w:r>
      <w:r w:rsidRPr="00D6167B">
        <w:rPr>
          <w:lang w:val="hr-HR"/>
        </w:rPr>
        <w:t xml:space="preserve"> antineoplasti</w:t>
      </w:r>
      <w:r w:rsidR="005B45F5">
        <w:rPr>
          <w:lang w:val="hr-HR"/>
        </w:rPr>
        <w:t>ci</w:t>
      </w:r>
      <w:r w:rsidRPr="00D6167B">
        <w:rPr>
          <w:lang w:val="hr-HR"/>
        </w:rPr>
        <w:t xml:space="preserve">, monoklonska antitijela </w:t>
      </w:r>
    </w:p>
    <w:p w14:paraId="4ABD1155" w14:textId="310AFA43" w:rsidR="00D15122" w:rsidRPr="00D6167B" w:rsidRDefault="009B0756" w:rsidP="007608DF">
      <w:pPr>
        <w:pStyle w:val="BodyText"/>
        <w:widowControl/>
        <w:ind w:left="0"/>
        <w:jc w:val="both"/>
        <w:rPr>
          <w:lang w:val="hr-HR"/>
        </w:rPr>
      </w:pPr>
      <w:r w:rsidRPr="00D6167B">
        <w:rPr>
          <w:lang w:val="hr-HR"/>
        </w:rPr>
        <w:t xml:space="preserve">ATC kôd: </w:t>
      </w:r>
      <w:r w:rsidR="00815C41" w:rsidRPr="00C106C9">
        <w:rPr>
          <w:lang w:val="hr-HR"/>
        </w:rPr>
        <w:t>L01FG01</w:t>
      </w:r>
    </w:p>
    <w:p w14:paraId="524ECD15" w14:textId="77777777" w:rsidR="00D15122" w:rsidRPr="00D6167B" w:rsidRDefault="00D15122" w:rsidP="007608DF">
      <w:pPr>
        <w:widowControl/>
        <w:jc w:val="both"/>
        <w:rPr>
          <w:rFonts w:ascii="Times New Roman" w:eastAsia="Times New Roman" w:hAnsi="Times New Roman"/>
          <w:lang w:val="hr-HR"/>
        </w:rPr>
      </w:pPr>
    </w:p>
    <w:p w14:paraId="341E8B5A" w14:textId="77777777" w:rsidR="001F6DDC" w:rsidRPr="00D6167B" w:rsidRDefault="00587AA4" w:rsidP="007608DF">
      <w:pPr>
        <w:widowControl/>
        <w:tabs>
          <w:tab w:val="left" w:pos="567"/>
        </w:tabs>
        <w:autoSpaceDE w:val="0"/>
        <w:autoSpaceDN w:val="0"/>
        <w:adjustRightInd w:val="0"/>
        <w:jc w:val="both"/>
        <w:rPr>
          <w:rFonts w:ascii="Times New Roman" w:eastAsia="Times New Roman" w:hAnsi="Times New Roman"/>
          <w:lang w:val="hr-HR"/>
        </w:rPr>
      </w:pPr>
      <w:r w:rsidRPr="00D6167B">
        <w:rPr>
          <w:rFonts w:ascii="Times New Roman" w:hAnsi="Times New Roman"/>
          <w:lang w:val="hr-HR"/>
        </w:rPr>
        <w:lastRenderedPageBreak/>
        <w:t xml:space="preserve">Lijek </w:t>
      </w:r>
      <w:r w:rsidR="006C3617" w:rsidRPr="00D6167B">
        <w:rPr>
          <w:rFonts w:ascii="Times New Roman" w:hAnsi="Times New Roman"/>
          <w:lang w:val="hr-HR"/>
        </w:rPr>
        <w:t xml:space="preserve">Zirabev je biosličan lijek. Detaljne informacije dostupne su na veb-sajtu Evropske agencije za ljekove </w:t>
      </w:r>
      <w:hyperlink r:id="rId12" w:history="1">
        <w:r w:rsidR="006C3617" w:rsidRPr="00D37692">
          <w:rPr>
            <w:rFonts w:ascii="Times New Roman" w:hAnsi="Times New Roman"/>
            <w:u w:val="single"/>
            <w:lang w:val="hr-HR"/>
          </w:rPr>
          <w:t>http://www.ema.europa.eu</w:t>
        </w:r>
      </w:hyperlink>
      <w:r w:rsidR="006C3617" w:rsidRPr="00D37692">
        <w:rPr>
          <w:rFonts w:ascii="Times New Roman" w:hAnsi="Times New Roman"/>
          <w:lang w:val="hr-HR"/>
        </w:rPr>
        <w:t>.</w:t>
      </w:r>
    </w:p>
    <w:p w14:paraId="12D4C4AE" w14:textId="77777777" w:rsidR="001F6DDC" w:rsidRPr="00D6167B" w:rsidRDefault="001F6DDC" w:rsidP="007608DF">
      <w:pPr>
        <w:widowControl/>
        <w:jc w:val="both"/>
        <w:rPr>
          <w:rFonts w:ascii="Times New Roman" w:eastAsia="Times New Roman" w:hAnsi="Times New Roman"/>
          <w:lang w:val="hr-HR"/>
        </w:rPr>
      </w:pPr>
    </w:p>
    <w:p w14:paraId="0789F78B" w14:textId="77777777" w:rsidR="00D15122" w:rsidRPr="00D6167B" w:rsidRDefault="009B0756" w:rsidP="007608DF">
      <w:pPr>
        <w:pStyle w:val="BodyText"/>
        <w:keepNext/>
        <w:widowControl/>
        <w:spacing w:line="252" w:lineRule="exact"/>
        <w:ind w:left="0"/>
        <w:jc w:val="both"/>
        <w:rPr>
          <w:u w:val="single" w:color="000000"/>
          <w:lang w:val="hr-HR"/>
        </w:rPr>
      </w:pPr>
      <w:r w:rsidRPr="00D6167B">
        <w:rPr>
          <w:u w:val="single" w:color="000000"/>
          <w:lang w:val="hr-HR"/>
        </w:rPr>
        <w:t>Mehanizam djelovanja</w:t>
      </w:r>
    </w:p>
    <w:p w14:paraId="52EA490A" w14:textId="77777777" w:rsidR="00DF3692" w:rsidRPr="00D6167B" w:rsidRDefault="00DF3692" w:rsidP="007608DF">
      <w:pPr>
        <w:pStyle w:val="BodyText"/>
        <w:keepNext/>
        <w:widowControl/>
        <w:spacing w:line="252" w:lineRule="exact"/>
        <w:ind w:left="0"/>
        <w:jc w:val="both"/>
        <w:rPr>
          <w:lang w:val="hr-HR"/>
        </w:rPr>
      </w:pPr>
    </w:p>
    <w:p w14:paraId="0100F1A8" w14:textId="52C93416" w:rsidR="00D15122" w:rsidRPr="00D6167B" w:rsidRDefault="009B0756" w:rsidP="007608DF">
      <w:pPr>
        <w:pStyle w:val="BodyText"/>
        <w:widowControl/>
        <w:ind w:left="0"/>
        <w:jc w:val="both"/>
        <w:rPr>
          <w:lang w:val="hr-HR"/>
        </w:rPr>
      </w:pPr>
      <w:r w:rsidRPr="00D6167B">
        <w:rPr>
          <w:lang w:val="hr-HR"/>
        </w:rPr>
        <w:t>Bevacizumab se vezuje za vaskularni endotelni faktor rasta (</w:t>
      </w:r>
      <w:r w:rsidR="009E3D2C" w:rsidRPr="00C106C9">
        <w:rPr>
          <w:lang w:val="hr-HR"/>
        </w:rPr>
        <w:t xml:space="preserve">engl. </w:t>
      </w:r>
      <w:r w:rsidR="009E3D2C" w:rsidRPr="00C106C9">
        <w:rPr>
          <w:i/>
          <w:lang w:val="hr-HR"/>
        </w:rPr>
        <w:t>vascular endothelial growth factor</w:t>
      </w:r>
      <w:r w:rsidR="009E3D2C" w:rsidRPr="00C106C9">
        <w:rPr>
          <w:lang w:val="hr-HR"/>
        </w:rPr>
        <w:t>,</w:t>
      </w:r>
      <w:r w:rsidR="009E3D2C" w:rsidRPr="00D6167B">
        <w:rPr>
          <w:lang w:val="hr-HR"/>
        </w:rPr>
        <w:t xml:space="preserve"> </w:t>
      </w:r>
      <w:r w:rsidRPr="00D6167B">
        <w:rPr>
          <w:lang w:val="hr-HR"/>
        </w:rPr>
        <w:t xml:space="preserve">VEGF), ključni </w:t>
      </w:r>
      <w:r w:rsidR="009E3D2C">
        <w:rPr>
          <w:lang w:val="hr-HR"/>
        </w:rPr>
        <w:t xml:space="preserve">medijator </w:t>
      </w:r>
      <w:r w:rsidRPr="00D6167B">
        <w:rPr>
          <w:lang w:val="hr-HR"/>
        </w:rPr>
        <w:t>vaskulogeneze i angiogeneze, pa na taj način sprečava vezivanje VEGF za receptore Flt-1 (VEGFR-1) i KDR (VEGFR-2) na površini endotelnih ćelija. Neutraliz</w:t>
      </w:r>
      <w:r w:rsidR="009E3D2C">
        <w:rPr>
          <w:lang w:val="hr-HR"/>
        </w:rPr>
        <w:t>acijom</w:t>
      </w:r>
      <w:r w:rsidRPr="00D6167B">
        <w:rPr>
          <w:lang w:val="hr-HR"/>
        </w:rPr>
        <w:t xml:space="preserve"> biološke aktivnosti VEGF</w:t>
      </w:r>
      <w:r w:rsidR="009E3D2C">
        <w:rPr>
          <w:lang w:val="hr-HR"/>
        </w:rPr>
        <w:t>-a</w:t>
      </w:r>
      <w:r w:rsidRPr="00D6167B">
        <w:rPr>
          <w:lang w:val="hr-HR"/>
        </w:rPr>
        <w:t xml:space="preserve"> smanjuje se vaskularizacija tumora, normalizuje se preostala tumor</w:t>
      </w:r>
      <w:r w:rsidR="009E3D2C">
        <w:rPr>
          <w:lang w:val="hr-HR"/>
        </w:rPr>
        <w:t>ska vaskularna mreža</w:t>
      </w:r>
      <w:r w:rsidRPr="00D6167B">
        <w:rPr>
          <w:lang w:val="hr-HR"/>
        </w:rPr>
        <w:t xml:space="preserve"> i inhibira se formiranje nove vaskulature tumora, čime se inhibira rast tumora.</w:t>
      </w:r>
    </w:p>
    <w:p w14:paraId="1C437886" w14:textId="77777777" w:rsidR="00D15122" w:rsidRPr="00D6167B" w:rsidRDefault="00D15122" w:rsidP="007608DF">
      <w:pPr>
        <w:widowControl/>
        <w:jc w:val="both"/>
        <w:rPr>
          <w:rFonts w:ascii="Times New Roman" w:eastAsia="Times New Roman" w:hAnsi="Times New Roman"/>
          <w:lang w:val="hr-HR"/>
        </w:rPr>
      </w:pPr>
    </w:p>
    <w:p w14:paraId="637372E3" w14:textId="77777777" w:rsidR="00D15122" w:rsidRPr="00D6167B" w:rsidRDefault="009B0756" w:rsidP="007608DF">
      <w:pPr>
        <w:pStyle w:val="BodyText"/>
        <w:keepNext/>
        <w:widowControl/>
        <w:spacing w:line="252" w:lineRule="exact"/>
        <w:ind w:left="0"/>
        <w:jc w:val="both"/>
        <w:rPr>
          <w:u w:val="single" w:color="000000"/>
          <w:lang w:val="hr-HR"/>
        </w:rPr>
      </w:pPr>
      <w:r w:rsidRPr="00D6167B">
        <w:rPr>
          <w:u w:val="single" w:color="000000"/>
          <w:lang w:val="hr-HR"/>
        </w:rPr>
        <w:t>Farmakodinamski efekti</w:t>
      </w:r>
    </w:p>
    <w:p w14:paraId="5F0B5B5F" w14:textId="77777777" w:rsidR="00DF3692" w:rsidRPr="00D6167B" w:rsidRDefault="00DF3692" w:rsidP="007608DF">
      <w:pPr>
        <w:pStyle w:val="BodyText"/>
        <w:keepNext/>
        <w:widowControl/>
        <w:spacing w:line="252" w:lineRule="exact"/>
        <w:ind w:left="0"/>
        <w:jc w:val="both"/>
        <w:rPr>
          <w:lang w:val="hr-HR"/>
        </w:rPr>
      </w:pPr>
    </w:p>
    <w:p w14:paraId="51BD390E" w14:textId="055FC15F" w:rsidR="00D15122" w:rsidRPr="00D6167B" w:rsidRDefault="009B0756" w:rsidP="007608DF">
      <w:pPr>
        <w:pStyle w:val="BodyText"/>
        <w:widowControl/>
        <w:ind w:left="0"/>
        <w:jc w:val="both"/>
        <w:rPr>
          <w:lang w:val="hr-HR"/>
        </w:rPr>
      </w:pPr>
      <w:r w:rsidRPr="00D6167B">
        <w:rPr>
          <w:lang w:val="hr-HR"/>
        </w:rPr>
        <w:t xml:space="preserve">Primjena bevacizumaba ili njegovog </w:t>
      </w:r>
      <w:r w:rsidR="00C9658D">
        <w:rPr>
          <w:lang w:val="hr-HR"/>
        </w:rPr>
        <w:t>parentalnog</w:t>
      </w:r>
      <w:r w:rsidR="00C9658D" w:rsidRPr="00D6167B">
        <w:rPr>
          <w:lang w:val="hr-HR"/>
        </w:rPr>
        <w:t xml:space="preserve"> </w:t>
      </w:r>
      <w:r w:rsidRPr="00D6167B">
        <w:rPr>
          <w:lang w:val="hr-HR"/>
        </w:rPr>
        <w:t>mišjeg antitijela na ksenotransplantnim modelima karcinoma kod miša bez timusa dovodi do ekstenzivne anti-tumorske aktivnosti u slučajevima karcinoma kod ljudi, uključujući</w:t>
      </w:r>
      <w:r w:rsidR="00C9658D">
        <w:rPr>
          <w:lang w:val="hr-HR"/>
        </w:rPr>
        <w:t xml:space="preserve"> karcinom</w:t>
      </w:r>
      <w:r w:rsidRPr="00D6167B">
        <w:rPr>
          <w:lang w:val="hr-HR"/>
        </w:rPr>
        <w:t xml:space="preserve"> kolon, dojk</w:t>
      </w:r>
      <w:r w:rsidR="00C9658D">
        <w:rPr>
          <w:lang w:val="hr-HR"/>
        </w:rPr>
        <w:t>e</w:t>
      </w:r>
      <w:r w:rsidRPr="00D6167B">
        <w:rPr>
          <w:lang w:val="hr-HR"/>
        </w:rPr>
        <w:t>, pankreas</w:t>
      </w:r>
      <w:r w:rsidR="00C9658D">
        <w:rPr>
          <w:lang w:val="hr-HR"/>
        </w:rPr>
        <w:t>a</w:t>
      </w:r>
      <w:r w:rsidRPr="00D6167B">
        <w:rPr>
          <w:lang w:val="hr-HR"/>
        </w:rPr>
        <w:t xml:space="preserve"> i prostat</w:t>
      </w:r>
      <w:r w:rsidR="00C9658D">
        <w:rPr>
          <w:lang w:val="hr-HR"/>
        </w:rPr>
        <w:t>e</w:t>
      </w:r>
      <w:r w:rsidRPr="00D6167B">
        <w:rPr>
          <w:lang w:val="hr-HR"/>
        </w:rPr>
        <w:t>. Progresija metastatske bolesti je inhibirana i smanjena je mikrovaskularna permeabilnost.</w:t>
      </w:r>
    </w:p>
    <w:p w14:paraId="6342BD5A" w14:textId="77777777" w:rsidR="00D15122" w:rsidRPr="00D6167B" w:rsidRDefault="00D15122" w:rsidP="007608DF">
      <w:pPr>
        <w:widowControl/>
        <w:jc w:val="both"/>
        <w:rPr>
          <w:rFonts w:ascii="Times New Roman" w:eastAsia="Times New Roman" w:hAnsi="Times New Roman"/>
          <w:lang w:val="hr-HR"/>
        </w:rPr>
      </w:pPr>
    </w:p>
    <w:p w14:paraId="12671BC9" w14:textId="77777777" w:rsidR="00D15122" w:rsidRPr="00D6167B" w:rsidRDefault="009B0756" w:rsidP="007608DF">
      <w:pPr>
        <w:pStyle w:val="BodyText"/>
        <w:keepNext/>
        <w:widowControl/>
        <w:ind w:left="0"/>
        <w:jc w:val="both"/>
        <w:rPr>
          <w:u w:val="single"/>
          <w:lang w:val="hr-HR"/>
        </w:rPr>
      </w:pPr>
      <w:r w:rsidRPr="00D6167B">
        <w:rPr>
          <w:u w:val="single"/>
          <w:lang w:val="hr-HR"/>
        </w:rPr>
        <w:t>Klinička efikasnost</w:t>
      </w:r>
    </w:p>
    <w:p w14:paraId="18A1ABB0" w14:textId="77777777" w:rsidR="00593A24" w:rsidRPr="00D6167B" w:rsidRDefault="00593A24" w:rsidP="007608DF">
      <w:pPr>
        <w:keepNext/>
        <w:widowControl/>
        <w:jc w:val="both"/>
        <w:rPr>
          <w:rFonts w:ascii="Times New Roman" w:eastAsia="Times New Roman" w:hAnsi="Times New Roman"/>
          <w:lang w:val="hr-HR"/>
        </w:rPr>
      </w:pPr>
    </w:p>
    <w:p w14:paraId="0D444539" w14:textId="458A1DC5"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u w:val="single" w:color="000000"/>
          <w:lang w:val="hr-HR"/>
        </w:rPr>
        <w:t xml:space="preserve">Metastatski karcinom kolona ili rektuma </w:t>
      </w:r>
    </w:p>
    <w:p w14:paraId="0F205DB9" w14:textId="77777777" w:rsidR="00D15122" w:rsidRPr="00D6167B" w:rsidRDefault="00D15122" w:rsidP="007608DF">
      <w:pPr>
        <w:keepNext/>
        <w:widowControl/>
        <w:jc w:val="both"/>
        <w:rPr>
          <w:rFonts w:ascii="Times New Roman" w:eastAsia="Times New Roman" w:hAnsi="Times New Roman"/>
          <w:lang w:val="hr-HR"/>
        </w:rPr>
      </w:pPr>
    </w:p>
    <w:p w14:paraId="67B836A8" w14:textId="77777777" w:rsidR="00D15122" w:rsidRPr="00D6167B" w:rsidRDefault="009B0756" w:rsidP="007608DF">
      <w:pPr>
        <w:pStyle w:val="BodyText"/>
        <w:widowControl/>
        <w:ind w:left="0"/>
        <w:jc w:val="both"/>
        <w:rPr>
          <w:lang w:val="hr-HR"/>
        </w:rPr>
      </w:pPr>
      <w:r w:rsidRPr="00D6167B">
        <w:rPr>
          <w:lang w:val="hr-HR"/>
        </w:rPr>
        <w:t>Bezbjednost i efikasnost preporučene doze (5 mg/kg tjelesne mase na svake dvije nedjelje) kod metastatskog karcinoma kolona ili rektuma ispitivani su u tri randomizovana, aktivno kontrolisana klinička ispitivanja u kombinaciji sa hemoterapijom prve linije na bazi fluoropirimidina. Bevacizumab je kombinovan sa dva režima hemoterapije:</w:t>
      </w:r>
    </w:p>
    <w:p w14:paraId="2115AA91" w14:textId="77777777" w:rsidR="00D15122" w:rsidRPr="00D6167B" w:rsidRDefault="00D15122" w:rsidP="007608DF">
      <w:pPr>
        <w:widowControl/>
        <w:jc w:val="both"/>
        <w:rPr>
          <w:rFonts w:ascii="Times New Roman" w:eastAsia="Times New Roman" w:hAnsi="Times New Roman"/>
          <w:lang w:val="hr-HR"/>
        </w:rPr>
      </w:pPr>
    </w:p>
    <w:p w14:paraId="573D46DB" w14:textId="77777777" w:rsidR="00D15122" w:rsidRPr="00D6167B" w:rsidRDefault="009B0756" w:rsidP="007608DF">
      <w:pPr>
        <w:pStyle w:val="BodyText"/>
        <w:widowControl/>
        <w:numPr>
          <w:ilvl w:val="0"/>
          <w:numId w:val="27"/>
        </w:numPr>
        <w:ind w:left="562" w:hanging="562"/>
        <w:jc w:val="both"/>
        <w:rPr>
          <w:lang w:val="hr-HR"/>
        </w:rPr>
      </w:pPr>
      <w:r w:rsidRPr="00D6167B">
        <w:rPr>
          <w:lang w:val="hr-HR"/>
        </w:rPr>
        <w:t>AVF2107g: Nedjeljni raspored irinotekan/bolus 5-fluorouracil/folinska kiselina (IFL) u trajanju od ukupno 4 nedjelje za svaki ciklus od 6 nedjelja (Saltzov režim).</w:t>
      </w:r>
    </w:p>
    <w:p w14:paraId="64D412A7" w14:textId="5EA4FA9D" w:rsidR="00D15122" w:rsidRPr="00D6167B" w:rsidRDefault="009B0756" w:rsidP="007608DF">
      <w:pPr>
        <w:pStyle w:val="BodyText"/>
        <w:widowControl/>
        <w:numPr>
          <w:ilvl w:val="0"/>
          <w:numId w:val="27"/>
        </w:numPr>
        <w:ind w:left="562" w:hanging="562"/>
        <w:jc w:val="both"/>
        <w:rPr>
          <w:lang w:val="hr-HR"/>
        </w:rPr>
      </w:pPr>
      <w:r w:rsidRPr="00D6167B">
        <w:rPr>
          <w:lang w:val="hr-HR"/>
        </w:rPr>
        <w:t>AVF0780g: U kombinaciji sa bolusom 5-fluorouracil/folinska kiselina (5-FU/FA) u trajanju od ukupno 6 nedjelja za svaki ciklus od 8 nedjelja (Roswell</w:t>
      </w:r>
      <w:r w:rsidR="00C9658D">
        <w:rPr>
          <w:lang w:val="hr-HR"/>
        </w:rPr>
        <w:t>-</w:t>
      </w:r>
      <w:r w:rsidRPr="00D6167B">
        <w:rPr>
          <w:lang w:val="hr-HR"/>
        </w:rPr>
        <w:t>Park režim).</w:t>
      </w:r>
    </w:p>
    <w:p w14:paraId="36DC7B5E" w14:textId="7F5251F5" w:rsidR="00221EBE" w:rsidRPr="00D6167B" w:rsidRDefault="009B0756" w:rsidP="007608DF">
      <w:pPr>
        <w:pStyle w:val="BodyText"/>
        <w:widowControl/>
        <w:numPr>
          <w:ilvl w:val="0"/>
          <w:numId w:val="27"/>
        </w:numPr>
        <w:ind w:left="562" w:hanging="562"/>
        <w:jc w:val="both"/>
        <w:rPr>
          <w:lang w:val="hr-HR"/>
        </w:rPr>
      </w:pPr>
      <w:r w:rsidRPr="00D6167B">
        <w:rPr>
          <w:lang w:val="hr-HR"/>
        </w:rPr>
        <w:t>AVF2192g: U kombinaciji sa bolusom 5-FU/FA u trajanju od ukupno 6 ned</w:t>
      </w:r>
      <w:r w:rsidR="004F1EBB" w:rsidRPr="00D6167B">
        <w:rPr>
          <w:lang w:val="hr-HR"/>
        </w:rPr>
        <w:t>j</w:t>
      </w:r>
      <w:r w:rsidRPr="00D6167B">
        <w:rPr>
          <w:lang w:val="hr-HR"/>
        </w:rPr>
        <w:t>elja za svaki ciklus od 8 nedjelja (Roswell</w:t>
      </w:r>
      <w:r w:rsidR="00C9658D">
        <w:rPr>
          <w:lang w:val="hr-HR"/>
        </w:rPr>
        <w:t>-</w:t>
      </w:r>
      <w:r w:rsidRPr="00D6167B">
        <w:rPr>
          <w:lang w:val="hr-HR"/>
        </w:rPr>
        <w:t xml:space="preserve">Park režim) kod pacijenata koji nijesu bili optimalni kandidati za </w:t>
      </w:r>
      <w:r w:rsidR="00C9658D">
        <w:rPr>
          <w:lang w:val="hr-HR"/>
        </w:rPr>
        <w:t xml:space="preserve">primjenu </w:t>
      </w:r>
      <w:r w:rsidRPr="00D6167B">
        <w:rPr>
          <w:lang w:val="hr-HR"/>
        </w:rPr>
        <w:t>irinotekan</w:t>
      </w:r>
      <w:r w:rsidR="00C9658D">
        <w:rPr>
          <w:lang w:val="hr-HR"/>
        </w:rPr>
        <w:t>a</w:t>
      </w:r>
      <w:r w:rsidRPr="00D6167B">
        <w:rPr>
          <w:lang w:val="hr-HR"/>
        </w:rPr>
        <w:t xml:space="preserve"> </w:t>
      </w:r>
      <w:r w:rsidR="00C9658D">
        <w:rPr>
          <w:lang w:val="hr-HR"/>
        </w:rPr>
        <w:t>u</w:t>
      </w:r>
      <w:r w:rsidR="00C9658D" w:rsidRPr="00D6167B">
        <w:rPr>
          <w:lang w:val="hr-HR"/>
        </w:rPr>
        <w:t xml:space="preserve"> </w:t>
      </w:r>
      <w:r w:rsidRPr="00D6167B">
        <w:rPr>
          <w:lang w:val="hr-HR"/>
        </w:rPr>
        <w:t>prv</w:t>
      </w:r>
      <w:r w:rsidR="00C9658D">
        <w:rPr>
          <w:lang w:val="hr-HR"/>
        </w:rPr>
        <w:t>oj</w:t>
      </w:r>
      <w:r w:rsidRPr="00D6167B">
        <w:rPr>
          <w:lang w:val="hr-HR"/>
        </w:rPr>
        <w:t xml:space="preserve"> linij</w:t>
      </w:r>
      <w:r w:rsidR="007A1196">
        <w:rPr>
          <w:lang w:val="hr-HR"/>
        </w:rPr>
        <w:t>i</w:t>
      </w:r>
      <w:r w:rsidRPr="00D6167B">
        <w:rPr>
          <w:lang w:val="hr-HR"/>
        </w:rPr>
        <w:t xml:space="preserve"> liječenja.</w:t>
      </w:r>
    </w:p>
    <w:p w14:paraId="437591CD" w14:textId="77777777" w:rsidR="00221EBE" w:rsidRPr="00D6167B" w:rsidRDefault="00221EBE" w:rsidP="007608DF">
      <w:pPr>
        <w:pStyle w:val="BodyText"/>
        <w:widowControl/>
        <w:tabs>
          <w:tab w:val="left" w:pos="719"/>
        </w:tabs>
        <w:ind w:left="0"/>
        <w:jc w:val="both"/>
        <w:rPr>
          <w:lang w:val="hr-HR"/>
        </w:rPr>
      </w:pPr>
    </w:p>
    <w:p w14:paraId="10673859" w14:textId="2E77DF6C" w:rsidR="00D15122" w:rsidRPr="00D6167B" w:rsidRDefault="009B0756" w:rsidP="007608DF">
      <w:pPr>
        <w:pStyle w:val="BodyText"/>
        <w:widowControl/>
        <w:tabs>
          <w:tab w:val="left" w:pos="719"/>
        </w:tabs>
        <w:ind w:left="0"/>
        <w:jc w:val="both"/>
        <w:rPr>
          <w:lang w:val="hr-HR"/>
        </w:rPr>
      </w:pPr>
      <w:r w:rsidRPr="00D6167B">
        <w:rPr>
          <w:lang w:val="hr-HR"/>
        </w:rPr>
        <w:t xml:space="preserve">Tri dodatne studije sa bevacizumabom sprovedene su na pacijentima koji imaju </w:t>
      </w:r>
      <w:r w:rsidR="007A1196">
        <w:rPr>
          <w:lang w:val="hr-HR"/>
        </w:rPr>
        <w:t>metastatski karcinom kolona ili rektuma</w:t>
      </w:r>
      <w:r w:rsidRPr="00D6167B">
        <w:rPr>
          <w:lang w:val="hr-HR"/>
        </w:rPr>
        <w:t xml:space="preserve">: </w:t>
      </w:r>
      <w:r w:rsidR="007A1196">
        <w:rPr>
          <w:lang w:val="hr-HR"/>
        </w:rPr>
        <w:t xml:space="preserve">ispitivanje u </w:t>
      </w:r>
      <w:r w:rsidRPr="00D6167B">
        <w:rPr>
          <w:lang w:val="hr-HR"/>
        </w:rPr>
        <w:t>prv</w:t>
      </w:r>
      <w:r w:rsidR="007A1196">
        <w:rPr>
          <w:lang w:val="hr-HR"/>
        </w:rPr>
        <w:t>oj</w:t>
      </w:r>
      <w:r w:rsidRPr="00D6167B">
        <w:rPr>
          <w:lang w:val="hr-HR"/>
        </w:rPr>
        <w:t xml:space="preserve"> linij</w:t>
      </w:r>
      <w:r w:rsidR="007A1196">
        <w:rPr>
          <w:lang w:val="hr-HR"/>
        </w:rPr>
        <w:t>i liječenja</w:t>
      </w:r>
      <w:r w:rsidRPr="00D6167B">
        <w:rPr>
          <w:lang w:val="hr-HR"/>
        </w:rPr>
        <w:t xml:space="preserve"> (NO16966), </w:t>
      </w:r>
      <w:r w:rsidR="007A1196">
        <w:rPr>
          <w:lang w:val="hr-HR"/>
        </w:rPr>
        <w:t xml:space="preserve">ispitivanje u </w:t>
      </w:r>
      <w:r w:rsidRPr="00D6167B">
        <w:rPr>
          <w:lang w:val="hr-HR"/>
        </w:rPr>
        <w:t>drug</w:t>
      </w:r>
      <w:r w:rsidR="007A1196">
        <w:rPr>
          <w:lang w:val="hr-HR"/>
        </w:rPr>
        <w:t>oj</w:t>
      </w:r>
      <w:r w:rsidRPr="00D6167B">
        <w:rPr>
          <w:lang w:val="hr-HR"/>
        </w:rPr>
        <w:t xml:space="preserve"> linij</w:t>
      </w:r>
      <w:r w:rsidR="007A1196">
        <w:rPr>
          <w:lang w:val="hr-HR"/>
        </w:rPr>
        <w:t xml:space="preserve">i liječenja </w:t>
      </w:r>
      <w:r w:rsidRPr="00D6167B">
        <w:rPr>
          <w:lang w:val="hr-HR"/>
        </w:rPr>
        <w:t xml:space="preserve"> bez prethodnog liječenja bevacizumabom (E3200) i </w:t>
      </w:r>
      <w:r w:rsidR="007A1196">
        <w:rPr>
          <w:lang w:val="hr-HR"/>
        </w:rPr>
        <w:t xml:space="preserve">ispitivanje u </w:t>
      </w:r>
      <w:r w:rsidRPr="00D6167B">
        <w:rPr>
          <w:lang w:val="hr-HR"/>
        </w:rPr>
        <w:t>drug</w:t>
      </w:r>
      <w:r w:rsidR="007A1196">
        <w:rPr>
          <w:lang w:val="hr-HR"/>
        </w:rPr>
        <w:t>oj</w:t>
      </w:r>
      <w:r w:rsidRPr="00D6167B">
        <w:rPr>
          <w:lang w:val="hr-HR"/>
        </w:rPr>
        <w:t xml:space="preserve"> linij</w:t>
      </w:r>
      <w:r w:rsidR="007A1196">
        <w:rPr>
          <w:lang w:val="hr-HR"/>
        </w:rPr>
        <w:t>i liječenja</w:t>
      </w:r>
      <w:r w:rsidRPr="00D6167B">
        <w:rPr>
          <w:lang w:val="hr-HR"/>
        </w:rPr>
        <w:t xml:space="preserve"> sa prethodnim liječenjem bevacizumabom nakon progresije bolesti u prvoj liniji </w:t>
      </w:r>
      <w:r w:rsidR="007A1196">
        <w:rPr>
          <w:lang w:val="hr-HR"/>
        </w:rPr>
        <w:t xml:space="preserve">liječenja </w:t>
      </w:r>
      <w:r w:rsidRPr="00D6167B">
        <w:rPr>
          <w:lang w:val="hr-HR"/>
        </w:rPr>
        <w:t>(ML18147). U ovim studijama bevacizumab je primjenjivan u sljedećim režimima doziranja, u kombinaciji sa ljekovima FOLFOX-4 (5FU/LV/oksaliplatin), XELOX (kapecitabin/oksaliplatin) i fluoropirimidin/irinotekan i fluoropirimidin/oksaliplatin:</w:t>
      </w:r>
    </w:p>
    <w:p w14:paraId="62E95DC3" w14:textId="77777777" w:rsidR="00D15122" w:rsidRPr="00D6167B" w:rsidRDefault="00D15122" w:rsidP="007608DF">
      <w:pPr>
        <w:widowControl/>
        <w:jc w:val="both"/>
        <w:rPr>
          <w:rFonts w:ascii="Times New Roman" w:eastAsia="Times New Roman" w:hAnsi="Times New Roman"/>
          <w:sz w:val="21"/>
          <w:szCs w:val="21"/>
          <w:lang w:val="hr-HR"/>
        </w:rPr>
      </w:pPr>
    </w:p>
    <w:p w14:paraId="2DBEDADB" w14:textId="77777777" w:rsidR="00D15122" w:rsidRPr="00D6167B" w:rsidRDefault="009B0756" w:rsidP="007608DF">
      <w:pPr>
        <w:pStyle w:val="BodyText"/>
        <w:widowControl/>
        <w:numPr>
          <w:ilvl w:val="0"/>
          <w:numId w:val="28"/>
        </w:numPr>
        <w:ind w:left="562" w:hanging="562"/>
        <w:jc w:val="both"/>
        <w:rPr>
          <w:lang w:val="hr-HR"/>
        </w:rPr>
      </w:pPr>
      <w:r w:rsidRPr="00D6167B">
        <w:rPr>
          <w:lang w:val="hr-HR"/>
        </w:rPr>
        <w:t>NO16966: Bevacizumab 7,5 mg/kg tjelesne mase na svake 3 nedjelje u kombinaciji sa oralnim kapecitabinom i intravenskim oksaliplatinom (XELOX) ili bevacizumab 5 mg/kg na svake 2 nedjelje u kombinaciji sa bolusom leukovorina uz 5-fluorouracil, nakon čega slijedi infuzija 5</w:t>
      </w:r>
      <w:r w:rsidRPr="00D6167B">
        <w:rPr>
          <w:lang w:val="hr-HR"/>
        </w:rPr>
        <w:noBreakHyphen/>
        <w:t>fluorouracila, uz intravenski oksaliplatin (FOLFOX-4).</w:t>
      </w:r>
    </w:p>
    <w:p w14:paraId="0DDED54F" w14:textId="77777777" w:rsidR="00D15122" w:rsidRPr="00D6167B" w:rsidRDefault="00D15122" w:rsidP="007608DF">
      <w:pPr>
        <w:pStyle w:val="BodyText"/>
        <w:widowControl/>
        <w:ind w:left="562" w:hanging="562"/>
        <w:jc w:val="both"/>
        <w:rPr>
          <w:lang w:val="hr-HR"/>
        </w:rPr>
      </w:pPr>
    </w:p>
    <w:p w14:paraId="38A9F1B2" w14:textId="77777777" w:rsidR="00D15122" w:rsidRPr="00D6167B" w:rsidRDefault="009B0756" w:rsidP="007608DF">
      <w:pPr>
        <w:pStyle w:val="BodyText"/>
        <w:widowControl/>
        <w:numPr>
          <w:ilvl w:val="0"/>
          <w:numId w:val="28"/>
        </w:numPr>
        <w:ind w:left="562" w:hanging="562"/>
        <w:jc w:val="both"/>
        <w:rPr>
          <w:lang w:val="hr-HR"/>
        </w:rPr>
      </w:pPr>
      <w:r w:rsidRPr="00D6167B">
        <w:rPr>
          <w:lang w:val="hr-HR"/>
        </w:rPr>
        <w:t>E3200: Bevacizumab 10 mg/kg tjelesne mase na svake 2 nedjelje u kombinaciji sa bolusom leukovorina i 5-fluorouracila, nakon čega slijedi infuzija 5-fluorouracila, uz intravenski oksaliplatin (FOLFOX-4) kod pacijenata koji nijesu ranije primali bevacizumab.</w:t>
      </w:r>
    </w:p>
    <w:p w14:paraId="6AAA03C4" w14:textId="77777777" w:rsidR="00D15122" w:rsidRPr="00D6167B" w:rsidRDefault="00D15122" w:rsidP="007608DF">
      <w:pPr>
        <w:pStyle w:val="BodyText"/>
        <w:widowControl/>
        <w:ind w:left="562" w:hanging="562"/>
        <w:jc w:val="both"/>
        <w:rPr>
          <w:lang w:val="hr-HR"/>
        </w:rPr>
      </w:pPr>
    </w:p>
    <w:p w14:paraId="175F68B2" w14:textId="77777777" w:rsidR="00D15122" w:rsidRPr="00D6167B" w:rsidRDefault="009B0756" w:rsidP="007608DF">
      <w:pPr>
        <w:pStyle w:val="BodyText"/>
        <w:widowControl/>
        <w:numPr>
          <w:ilvl w:val="0"/>
          <w:numId w:val="28"/>
        </w:numPr>
        <w:ind w:left="562" w:hanging="562"/>
        <w:jc w:val="both"/>
        <w:rPr>
          <w:lang w:val="hr-HR"/>
        </w:rPr>
      </w:pPr>
      <w:r w:rsidRPr="00D6167B">
        <w:rPr>
          <w:lang w:val="hr-HR"/>
        </w:rPr>
        <w:t>ML18147: Bevacizumab 5,0 mg/kg tjelesne mase na svake 2 ned</w:t>
      </w:r>
      <w:r w:rsidR="004F1EBB" w:rsidRPr="00D6167B">
        <w:rPr>
          <w:lang w:val="hr-HR"/>
        </w:rPr>
        <w:t>j</w:t>
      </w:r>
      <w:r w:rsidRPr="00D6167B">
        <w:rPr>
          <w:lang w:val="hr-HR"/>
        </w:rPr>
        <w:t>elje ili bevacizumab 7,5mg/kg tjelesne mase na svake 3 ned</w:t>
      </w:r>
      <w:r w:rsidR="004F1EBB" w:rsidRPr="00D6167B">
        <w:rPr>
          <w:lang w:val="hr-HR"/>
        </w:rPr>
        <w:t>j</w:t>
      </w:r>
      <w:r w:rsidRPr="00D6167B">
        <w:rPr>
          <w:lang w:val="hr-HR"/>
        </w:rPr>
        <w:t>elje u kombinaciji sa fluoropirimidinom/irinotekanom ili fluoropirimidinom/oksaliplatinom kod pacijenata sa progresijom bolesti nakon prve linije liječenja bevacizumabom. Upotreba režima koji sadrže irinotekan ili oksaliplatin zavisila je od toga da li je u prvoj liniji liječenja korišćen oksaliplatin ili irinotekan.</w:t>
      </w:r>
    </w:p>
    <w:p w14:paraId="42403D1F" w14:textId="77777777" w:rsidR="00D15122" w:rsidRPr="00D6167B" w:rsidRDefault="00D15122" w:rsidP="007608DF">
      <w:pPr>
        <w:widowControl/>
        <w:jc w:val="both"/>
        <w:rPr>
          <w:rFonts w:ascii="Times New Roman" w:eastAsia="Times New Roman" w:hAnsi="Times New Roman"/>
          <w:sz w:val="21"/>
          <w:szCs w:val="21"/>
          <w:lang w:val="hr-HR"/>
        </w:rPr>
      </w:pPr>
    </w:p>
    <w:p w14:paraId="35759A8A" w14:textId="77777777" w:rsidR="00DF369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AVF2107g</w:t>
      </w:r>
    </w:p>
    <w:p w14:paraId="7BB67686" w14:textId="15BA3F67" w:rsidR="00D15122" w:rsidRPr="00D6167B" w:rsidRDefault="007A1196" w:rsidP="007608DF">
      <w:pPr>
        <w:pStyle w:val="BodyText"/>
        <w:widowControl/>
        <w:ind w:left="0"/>
        <w:jc w:val="both"/>
        <w:rPr>
          <w:lang w:val="hr-HR"/>
        </w:rPr>
      </w:pPr>
      <w:r>
        <w:rPr>
          <w:lang w:val="hr-HR"/>
        </w:rPr>
        <w:t>Riječ je</w:t>
      </w:r>
      <w:r w:rsidR="009B0756" w:rsidRPr="00D6167B">
        <w:rPr>
          <w:lang w:val="hr-HR"/>
        </w:rPr>
        <w:t xml:space="preserve"> </w:t>
      </w:r>
      <w:r w:rsidR="00BA77DE">
        <w:rPr>
          <w:lang w:val="hr-HR"/>
        </w:rPr>
        <w:t xml:space="preserve">o </w:t>
      </w:r>
      <w:r w:rsidR="009B0756" w:rsidRPr="00D6167B">
        <w:rPr>
          <w:lang w:val="hr-HR"/>
        </w:rPr>
        <w:t>randomizovano</w:t>
      </w:r>
      <w:r>
        <w:rPr>
          <w:lang w:val="hr-HR"/>
        </w:rPr>
        <w:t>m</w:t>
      </w:r>
      <w:r w:rsidR="009B0756" w:rsidRPr="00D6167B">
        <w:rPr>
          <w:lang w:val="hr-HR"/>
        </w:rPr>
        <w:t>, dvostruko slijepo</w:t>
      </w:r>
      <w:r>
        <w:rPr>
          <w:lang w:val="hr-HR"/>
        </w:rPr>
        <w:t>m</w:t>
      </w:r>
      <w:r w:rsidR="009B0756" w:rsidRPr="00D6167B">
        <w:rPr>
          <w:lang w:val="hr-HR"/>
        </w:rPr>
        <w:t xml:space="preserve"> aktivno kontrolisano</w:t>
      </w:r>
      <w:r>
        <w:rPr>
          <w:lang w:val="hr-HR"/>
        </w:rPr>
        <w:t>m</w:t>
      </w:r>
      <w:r w:rsidR="009B0756" w:rsidRPr="00D6167B">
        <w:rPr>
          <w:lang w:val="hr-HR"/>
        </w:rPr>
        <w:t xml:space="preserve"> kliničko</w:t>
      </w:r>
      <w:r>
        <w:rPr>
          <w:lang w:val="hr-HR"/>
        </w:rPr>
        <w:t>m</w:t>
      </w:r>
      <w:r w:rsidR="009B0756" w:rsidRPr="00D6167B">
        <w:rPr>
          <w:lang w:val="hr-HR"/>
        </w:rPr>
        <w:t xml:space="preserve"> ispitivanj</w:t>
      </w:r>
      <w:r>
        <w:rPr>
          <w:lang w:val="hr-HR"/>
        </w:rPr>
        <w:t>u</w:t>
      </w:r>
      <w:r w:rsidR="009B0756" w:rsidRPr="00D6167B">
        <w:rPr>
          <w:lang w:val="hr-HR"/>
        </w:rPr>
        <w:t xml:space="preserve"> faze III koje je procjenjivalo bevacizumab u kombinaciji sa IFL</w:t>
      </w:r>
      <w:r>
        <w:rPr>
          <w:lang w:val="hr-HR"/>
        </w:rPr>
        <w:t>-om</w:t>
      </w:r>
      <w:r w:rsidR="009B0756" w:rsidRPr="00D6167B">
        <w:rPr>
          <w:lang w:val="hr-HR"/>
        </w:rPr>
        <w:t xml:space="preserve"> kao prv</w:t>
      </w:r>
      <w:r>
        <w:rPr>
          <w:lang w:val="hr-HR"/>
        </w:rPr>
        <w:t>a</w:t>
      </w:r>
      <w:r w:rsidR="009B0756" w:rsidRPr="00D6167B">
        <w:rPr>
          <w:lang w:val="hr-HR"/>
        </w:rPr>
        <w:t xml:space="preserve"> linij</w:t>
      </w:r>
      <w:r>
        <w:rPr>
          <w:lang w:val="hr-HR"/>
        </w:rPr>
        <w:t>a</w:t>
      </w:r>
      <w:r w:rsidR="009B0756" w:rsidRPr="00D6167B">
        <w:rPr>
          <w:lang w:val="hr-HR"/>
        </w:rPr>
        <w:t xml:space="preserve"> liječenja metastatskog karcinoma kolona ili rektuma. Osamsto trinaest pacijenata je randomizovano </w:t>
      </w:r>
      <w:r>
        <w:rPr>
          <w:lang w:val="hr-HR"/>
        </w:rPr>
        <w:t xml:space="preserve">po grupama </w:t>
      </w:r>
      <w:r w:rsidR="009B0756" w:rsidRPr="00D6167B">
        <w:rPr>
          <w:lang w:val="hr-HR"/>
        </w:rPr>
        <w:t>tako da dobijaju IFL + placebo (</w:t>
      </w:r>
      <w:r w:rsidR="00017976" w:rsidRPr="00D6167B">
        <w:rPr>
          <w:lang w:val="hr-HR"/>
        </w:rPr>
        <w:t xml:space="preserve">grupa </w:t>
      </w:r>
      <w:r w:rsidR="009B0756" w:rsidRPr="00D6167B">
        <w:rPr>
          <w:lang w:val="hr-HR"/>
        </w:rPr>
        <w:t>1) ili IFL + bevacizumab (5 mg/kg na svake 2 ned</w:t>
      </w:r>
      <w:r w:rsidR="004F1EBB" w:rsidRPr="00D6167B">
        <w:rPr>
          <w:lang w:val="hr-HR"/>
        </w:rPr>
        <w:t>j</w:t>
      </w:r>
      <w:r w:rsidR="009B0756" w:rsidRPr="00D6167B">
        <w:rPr>
          <w:lang w:val="hr-HR"/>
        </w:rPr>
        <w:t xml:space="preserve">elje, </w:t>
      </w:r>
      <w:r w:rsidR="00017976" w:rsidRPr="00D6167B">
        <w:rPr>
          <w:lang w:val="hr-HR"/>
        </w:rPr>
        <w:t xml:space="preserve">grupa </w:t>
      </w:r>
      <w:r w:rsidR="009B0756" w:rsidRPr="00D6167B">
        <w:rPr>
          <w:lang w:val="hr-HR"/>
        </w:rPr>
        <w:t>2). Treća grupa od 110 pacijenata primala je bolus 5</w:t>
      </w:r>
      <w:r w:rsidR="009B0756" w:rsidRPr="00D6167B">
        <w:rPr>
          <w:lang w:val="hr-HR"/>
        </w:rPr>
        <w:noBreakHyphen/>
        <w:t>FU/FA + bevacizumab (</w:t>
      </w:r>
      <w:r w:rsidR="00017976" w:rsidRPr="00D6167B">
        <w:rPr>
          <w:lang w:val="hr-HR"/>
        </w:rPr>
        <w:t xml:space="preserve">grupa </w:t>
      </w:r>
      <w:r w:rsidR="009B0756" w:rsidRPr="00D6167B">
        <w:rPr>
          <w:lang w:val="hr-HR"/>
        </w:rPr>
        <w:t xml:space="preserve">3). Uključivanje u </w:t>
      </w:r>
      <w:r w:rsidR="00017976" w:rsidRPr="00D6167B">
        <w:rPr>
          <w:lang w:val="hr-HR"/>
        </w:rPr>
        <w:t xml:space="preserve">grupu </w:t>
      </w:r>
      <w:r w:rsidR="009B0756" w:rsidRPr="00D6167B">
        <w:rPr>
          <w:lang w:val="hr-HR"/>
        </w:rPr>
        <w:t>3 bilo je prekinuto, kako je prethodno planirano, čim je bezbjednost primjene bevacizumaba sa režimom IFL utvrđena i smatrana prihvatljivom. Sve terapije su nastavljane do progresije bolesti. Ukupna srednja starost iznosila je 59,4 godine; 56,6% pacijenata imalo je performans status 0 po ECOG, a 43% vrijednost 1, dok ih je 0,4% imalo vrijednost 2. 15,5% je prethodno bilo podvrgnuto radioterapiji, a 28,4% je prethodno primalo hemoterapiju.</w:t>
      </w:r>
    </w:p>
    <w:p w14:paraId="21EDDD14" w14:textId="77777777" w:rsidR="00D15122" w:rsidRPr="00D6167B" w:rsidRDefault="00D15122" w:rsidP="007608DF">
      <w:pPr>
        <w:widowControl/>
        <w:jc w:val="both"/>
        <w:rPr>
          <w:rFonts w:ascii="Times New Roman" w:eastAsia="Times New Roman" w:hAnsi="Times New Roman"/>
          <w:lang w:val="hr-HR"/>
        </w:rPr>
      </w:pPr>
    </w:p>
    <w:p w14:paraId="3D471F68" w14:textId="251F2178" w:rsidR="00D15122" w:rsidRPr="00D6167B" w:rsidRDefault="009B0756" w:rsidP="007608DF">
      <w:pPr>
        <w:pStyle w:val="BodyText"/>
        <w:widowControl/>
        <w:ind w:left="0"/>
        <w:jc w:val="both"/>
        <w:rPr>
          <w:lang w:val="hr-HR"/>
        </w:rPr>
      </w:pPr>
      <w:r w:rsidRPr="00D6167B">
        <w:rPr>
          <w:lang w:val="hr-HR"/>
        </w:rPr>
        <w:t xml:space="preserve">Primarna </w:t>
      </w:r>
      <w:r w:rsidR="004A6F42">
        <w:rPr>
          <w:lang w:val="hr-HR"/>
        </w:rPr>
        <w:t>varijabila korišćena za procjenu</w:t>
      </w:r>
      <w:r w:rsidR="004A6F42" w:rsidRPr="00D6167B">
        <w:rPr>
          <w:lang w:val="hr-HR"/>
        </w:rPr>
        <w:t xml:space="preserve"> </w:t>
      </w:r>
      <w:r w:rsidRPr="00D6167B">
        <w:rPr>
          <w:lang w:val="hr-HR"/>
        </w:rPr>
        <w:t>efikasnosti za ovo ispitivanje bila je ukupno preživljavanje. Dodavanje bevacizumaba režimu IFL dovodilo je do statistički značajnog produženja ukupnog preživljavanja, preživljavanja bez progresije bolesti i ukupne stope odgovora (pogledajte tabelu 4). Klinička korist, koja se mjeri ukupnim preživljavanjem, zabilježena je u svim prethodno određenim podgrupama pacijenata, uključujući i one koje su definisane po godinama starosti, polu, performans statusu, lokaciji primarnog tumora, broju zahvaćenih organa i trajanju metastatske bolesti.</w:t>
      </w:r>
    </w:p>
    <w:p w14:paraId="6C8CBC22" w14:textId="77777777" w:rsidR="00D15122" w:rsidRPr="00D6167B" w:rsidRDefault="00D15122" w:rsidP="007608DF">
      <w:pPr>
        <w:widowControl/>
        <w:jc w:val="both"/>
        <w:rPr>
          <w:rFonts w:ascii="Times New Roman" w:eastAsia="Times New Roman" w:hAnsi="Times New Roman"/>
          <w:sz w:val="18"/>
          <w:szCs w:val="18"/>
          <w:lang w:val="hr-HR"/>
        </w:rPr>
      </w:pPr>
    </w:p>
    <w:p w14:paraId="6E1A5F02" w14:textId="77777777" w:rsidR="00D15122" w:rsidRPr="00D6167B" w:rsidRDefault="009B0756" w:rsidP="007608DF">
      <w:pPr>
        <w:pStyle w:val="BodyText"/>
        <w:widowControl/>
        <w:ind w:left="0"/>
        <w:jc w:val="both"/>
        <w:rPr>
          <w:lang w:val="hr-HR"/>
        </w:rPr>
      </w:pPr>
      <w:r w:rsidRPr="00D6167B">
        <w:rPr>
          <w:lang w:val="hr-HR"/>
        </w:rPr>
        <w:t>Rezultati efikasnosti bevacizumaba u kombinaciji sa IFL hemoterapijom prikazani su u tabeli 4.</w:t>
      </w:r>
    </w:p>
    <w:p w14:paraId="04BBB6E8" w14:textId="77777777" w:rsidR="00221EBE" w:rsidRPr="00D6167B" w:rsidRDefault="00221EBE" w:rsidP="007608DF">
      <w:pPr>
        <w:pStyle w:val="Heading1"/>
        <w:widowControl/>
        <w:tabs>
          <w:tab w:val="left" w:pos="1253"/>
        </w:tabs>
        <w:ind w:left="0"/>
        <w:jc w:val="both"/>
        <w:rPr>
          <w:b w:val="0"/>
          <w:lang w:val="hr-HR"/>
        </w:rPr>
      </w:pPr>
    </w:p>
    <w:p w14:paraId="30649A67" w14:textId="77777777" w:rsidR="00D15122" w:rsidRPr="00D6167B" w:rsidRDefault="009B0756" w:rsidP="007608DF">
      <w:pPr>
        <w:pStyle w:val="Heading1"/>
        <w:keepNext/>
        <w:widowControl/>
        <w:tabs>
          <w:tab w:val="left" w:pos="1253"/>
        </w:tabs>
        <w:ind w:left="0"/>
        <w:jc w:val="both"/>
        <w:rPr>
          <w:bCs w:val="0"/>
          <w:lang w:val="hr-HR"/>
        </w:rPr>
      </w:pPr>
      <w:r w:rsidRPr="00D6167B">
        <w:rPr>
          <w:lang w:val="hr-HR"/>
        </w:rPr>
        <w:t>Tabela 4</w:t>
      </w:r>
      <w:r w:rsidRPr="00D6167B">
        <w:rPr>
          <w:lang w:val="hr-HR"/>
        </w:rPr>
        <w:tab/>
        <w:t>Rezultati efikasnosti za ispitivanje AVF2107g</w:t>
      </w:r>
    </w:p>
    <w:p w14:paraId="1E843D22"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Layout w:type="fixed"/>
        <w:tblCellMar>
          <w:left w:w="115" w:type="dxa"/>
          <w:right w:w="115" w:type="dxa"/>
        </w:tblCellMar>
        <w:tblLook w:val="01E0" w:firstRow="1" w:lastRow="1" w:firstColumn="1" w:lastColumn="1" w:noHBand="0" w:noVBand="0"/>
      </w:tblPr>
      <w:tblGrid>
        <w:gridCol w:w="4064"/>
        <w:gridCol w:w="2574"/>
        <w:gridCol w:w="2438"/>
      </w:tblGrid>
      <w:tr w:rsidR="00D15122" w:rsidRPr="00D6167B" w14:paraId="7EE7C8F4" w14:textId="77777777" w:rsidTr="00544237">
        <w:trPr>
          <w:tblHeader/>
        </w:trPr>
        <w:tc>
          <w:tcPr>
            <w:tcW w:w="3600" w:type="dxa"/>
            <w:vMerge w:val="restart"/>
            <w:tcBorders>
              <w:top w:val="single" w:sz="5" w:space="0" w:color="000000"/>
              <w:left w:val="single" w:sz="5" w:space="0" w:color="000000"/>
              <w:right w:val="single" w:sz="5" w:space="0" w:color="000000"/>
            </w:tcBorders>
          </w:tcPr>
          <w:p w14:paraId="522A016A" w14:textId="77777777" w:rsidR="00D15122" w:rsidRPr="00D6167B" w:rsidRDefault="00D15122" w:rsidP="007608DF">
            <w:pPr>
              <w:keepNext/>
              <w:widowControl/>
              <w:jc w:val="both"/>
              <w:rPr>
                <w:rFonts w:ascii="Times New Roman" w:hAnsi="Times New Roman"/>
                <w:lang w:val="hr-HR"/>
              </w:rPr>
            </w:pPr>
          </w:p>
        </w:tc>
        <w:tc>
          <w:tcPr>
            <w:tcW w:w="4440" w:type="dxa"/>
            <w:gridSpan w:val="2"/>
            <w:tcBorders>
              <w:top w:val="single" w:sz="5" w:space="0" w:color="000000"/>
              <w:left w:val="single" w:sz="5" w:space="0" w:color="000000"/>
              <w:bottom w:val="single" w:sz="5" w:space="0" w:color="000000"/>
              <w:right w:val="single" w:sz="5" w:space="0" w:color="000000"/>
            </w:tcBorders>
          </w:tcPr>
          <w:p w14:paraId="308524F6"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AVF2107g</w:t>
            </w:r>
          </w:p>
        </w:tc>
      </w:tr>
      <w:tr w:rsidR="00D15122" w:rsidRPr="00D6167B" w14:paraId="47AE4BA8" w14:textId="77777777" w:rsidTr="00544237">
        <w:trPr>
          <w:tblHeader/>
        </w:trPr>
        <w:tc>
          <w:tcPr>
            <w:tcW w:w="3600" w:type="dxa"/>
            <w:vMerge/>
            <w:tcBorders>
              <w:left w:val="single" w:sz="5" w:space="0" w:color="000000"/>
              <w:bottom w:val="single" w:sz="5" w:space="0" w:color="000000"/>
              <w:right w:val="single" w:sz="5" w:space="0" w:color="000000"/>
            </w:tcBorders>
          </w:tcPr>
          <w:p w14:paraId="1D1545CF" w14:textId="77777777" w:rsidR="00D15122" w:rsidRPr="00D6167B" w:rsidRDefault="00D15122" w:rsidP="007608DF">
            <w:pPr>
              <w:keepNext/>
              <w:widowControl/>
              <w:jc w:val="both"/>
              <w:rPr>
                <w:rFonts w:ascii="Times New Roman" w:hAnsi="Times New Roman"/>
                <w:lang w:val="hr-HR"/>
              </w:rPr>
            </w:pPr>
          </w:p>
        </w:tc>
        <w:tc>
          <w:tcPr>
            <w:tcW w:w="2280" w:type="dxa"/>
            <w:tcBorders>
              <w:top w:val="single" w:sz="5" w:space="0" w:color="000000"/>
              <w:left w:val="single" w:sz="5" w:space="0" w:color="000000"/>
              <w:bottom w:val="single" w:sz="5" w:space="0" w:color="000000"/>
              <w:right w:val="single" w:sz="5" w:space="0" w:color="000000"/>
            </w:tcBorders>
          </w:tcPr>
          <w:p w14:paraId="5423D1C4" w14:textId="3653C446" w:rsidR="00DE043A" w:rsidRPr="00D6167B" w:rsidRDefault="00017976" w:rsidP="00D37692">
            <w:pPr>
              <w:pStyle w:val="TableParagraph"/>
              <w:keepNext/>
              <w:widowControl/>
              <w:spacing w:line="278" w:lineRule="auto"/>
              <w:ind w:firstLine="14"/>
              <w:jc w:val="center"/>
              <w:rPr>
                <w:rFonts w:ascii="Times New Roman" w:eastAsia="Times New Roman" w:hAnsi="Times New Roman"/>
                <w:lang w:val="hr-HR"/>
              </w:rPr>
            </w:pPr>
            <w:r w:rsidRPr="00D6167B">
              <w:rPr>
                <w:rFonts w:ascii="Times New Roman" w:hAnsi="Times New Roman"/>
                <w:lang w:val="hr-HR"/>
              </w:rPr>
              <w:t xml:space="preserve">Grupa </w:t>
            </w:r>
            <w:r w:rsidR="009B0756" w:rsidRPr="00D6167B">
              <w:rPr>
                <w:rFonts w:ascii="Times New Roman" w:hAnsi="Times New Roman"/>
                <w:lang w:val="hr-HR"/>
              </w:rPr>
              <w:t>1</w:t>
            </w:r>
          </w:p>
          <w:p w14:paraId="7D33358D" w14:textId="77777777" w:rsidR="00D15122" w:rsidRPr="00D6167B" w:rsidRDefault="009B0756" w:rsidP="00D37692">
            <w:pPr>
              <w:pStyle w:val="TableParagraph"/>
              <w:keepNext/>
              <w:widowControl/>
              <w:spacing w:line="278" w:lineRule="auto"/>
              <w:ind w:firstLine="14"/>
              <w:jc w:val="center"/>
              <w:rPr>
                <w:rFonts w:ascii="Times New Roman" w:eastAsia="Times New Roman" w:hAnsi="Times New Roman"/>
                <w:lang w:val="hr-HR"/>
              </w:rPr>
            </w:pPr>
            <w:r w:rsidRPr="00D6167B">
              <w:rPr>
                <w:rFonts w:ascii="Times New Roman" w:hAnsi="Times New Roman"/>
                <w:lang w:val="hr-HR"/>
              </w:rPr>
              <w:t>IFL + placebo</w:t>
            </w:r>
          </w:p>
        </w:tc>
        <w:tc>
          <w:tcPr>
            <w:tcW w:w="2160" w:type="dxa"/>
            <w:tcBorders>
              <w:top w:val="single" w:sz="5" w:space="0" w:color="000000"/>
              <w:left w:val="single" w:sz="5" w:space="0" w:color="000000"/>
              <w:bottom w:val="single" w:sz="5" w:space="0" w:color="000000"/>
              <w:right w:val="single" w:sz="5" w:space="0" w:color="000000"/>
            </w:tcBorders>
          </w:tcPr>
          <w:p w14:paraId="309A4AE6" w14:textId="469D7670" w:rsidR="00DE043A" w:rsidRPr="00D6167B" w:rsidRDefault="00017976" w:rsidP="00D37692">
            <w:pPr>
              <w:pStyle w:val="TableParagraph"/>
              <w:keepNext/>
              <w:widowControl/>
              <w:spacing w:line="269" w:lineRule="auto"/>
              <w:ind w:right="16"/>
              <w:jc w:val="center"/>
              <w:rPr>
                <w:rFonts w:ascii="Times New Roman" w:eastAsia="Times New Roman" w:hAnsi="Times New Roman"/>
                <w:lang w:val="hr-HR"/>
              </w:rPr>
            </w:pPr>
            <w:r w:rsidRPr="00D6167B">
              <w:rPr>
                <w:rFonts w:ascii="Times New Roman" w:hAnsi="Times New Roman"/>
                <w:lang w:val="hr-HR"/>
              </w:rPr>
              <w:t xml:space="preserve">Grupa </w:t>
            </w:r>
            <w:r w:rsidR="009B0756" w:rsidRPr="00D6167B">
              <w:rPr>
                <w:rFonts w:ascii="Times New Roman" w:hAnsi="Times New Roman"/>
                <w:lang w:val="hr-HR"/>
              </w:rPr>
              <w:t>2</w:t>
            </w:r>
          </w:p>
          <w:p w14:paraId="2A3829F4" w14:textId="77777777" w:rsidR="00D15122" w:rsidRPr="00D6167B" w:rsidRDefault="009B0756" w:rsidP="00D37692">
            <w:pPr>
              <w:pStyle w:val="TableParagraph"/>
              <w:keepNext/>
              <w:widowControl/>
              <w:spacing w:line="269" w:lineRule="auto"/>
              <w:ind w:right="16"/>
              <w:jc w:val="center"/>
              <w:rPr>
                <w:rFonts w:ascii="Times New Roman" w:eastAsia="Times New Roman" w:hAnsi="Times New Roman"/>
                <w:sz w:val="14"/>
                <w:szCs w:val="14"/>
                <w:lang w:val="hr-HR"/>
              </w:rPr>
            </w:pPr>
            <w:r w:rsidRPr="00D6167B">
              <w:rPr>
                <w:rFonts w:ascii="Times New Roman" w:hAnsi="Times New Roman"/>
                <w:lang w:val="hr-HR"/>
              </w:rPr>
              <w:t>IFL + bevacizumab</w:t>
            </w:r>
            <w:r w:rsidRPr="00D6167B">
              <w:rPr>
                <w:rFonts w:ascii="Times New Roman" w:hAnsi="Times New Roman"/>
                <w:vertAlign w:val="superscript"/>
                <w:lang w:val="hr-HR"/>
              </w:rPr>
              <w:t>a</w:t>
            </w:r>
          </w:p>
        </w:tc>
      </w:tr>
      <w:tr w:rsidR="00D15122" w:rsidRPr="00D6167B" w14:paraId="2A72C74C"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049959F4"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Broj pacijenata</w:t>
            </w:r>
          </w:p>
        </w:tc>
        <w:tc>
          <w:tcPr>
            <w:tcW w:w="2280" w:type="dxa"/>
            <w:tcBorders>
              <w:top w:val="single" w:sz="5" w:space="0" w:color="000000"/>
              <w:left w:val="single" w:sz="5" w:space="0" w:color="000000"/>
              <w:bottom w:val="single" w:sz="5" w:space="0" w:color="000000"/>
              <w:right w:val="single" w:sz="5" w:space="0" w:color="000000"/>
            </w:tcBorders>
          </w:tcPr>
          <w:p w14:paraId="0A1CAB0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411</w:t>
            </w:r>
          </w:p>
        </w:tc>
        <w:tc>
          <w:tcPr>
            <w:tcW w:w="2160" w:type="dxa"/>
            <w:tcBorders>
              <w:top w:val="single" w:sz="5" w:space="0" w:color="000000"/>
              <w:left w:val="single" w:sz="5" w:space="0" w:color="000000"/>
              <w:bottom w:val="single" w:sz="5" w:space="0" w:color="000000"/>
              <w:right w:val="single" w:sz="5" w:space="0" w:color="000000"/>
            </w:tcBorders>
          </w:tcPr>
          <w:p w14:paraId="08D9E6A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402</w:t>
            </w:r>
          </w:p>
        </w:tc>
      </w:tr>
      <w:tr w:rsidR="00D15122" w:rsidRPr="00D6167B" w14:paraId="16317362"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105489A7"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076100FB"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0224346C"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Srednje vrijeme (mjeseci)</w:t>
            </w:r>
          </w:p>
        </w:tc>
        <w:tc>
          <w:tcPr>
            <w:tcW w:w="2280" w:type="dxa"/>
            <w:tcBorders>
              <w:top w:val="single" w:sz="5" w:space="0" w:color="000000"/>
              <w:left w:val="single" w:sz="5" w:space="0" w:color="000000"/>
              <w:bottom w:val="single" w:sz="5" w:space="0" w:color="000000"/>
              <w:right w:val="single" w:sz="5" w:space="0" w:color="000000"/>
            </w:tcBorders>
          </w:tcPr>
          <w:p w14:paraId="41FBC11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15,6</w:t>
            </w:r>
          </w:p>
        </w:tc>
        <w:tc>
          <w:tcPr>
            <w:tcW w:w="2160" w:type="dxa"/>
            <w:tcBorders>
              <w:top w:val="single" w:sz="5" w:space="0" w:color="000000"/>
              <w:left w:val="single" w:sz="5" w:space="0" w:color="000000"/>
              <w:bottom w:val="single" w:sz="5" w:space="0" w:color="000000"/>
              <w:right w:val="single" w:sz="5" w:space="0" w:color="000000"/>
            </w:tcBorders>
          </w:tcPr>
          <w:p w14:paraId="722B6F7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20,3</w:t>
            </w:r>
          </w:p>
        </w:tc>
      </w:tr>
      <w:tr w:rsidR="00D15122" w:rsidRPr="00D6167B" w14:paraId="5A859AEB"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2F6F4652"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95% CI</w:t>
            </w:r>
          </w:p>
        </w:tc>
        <w:tc>
          <w:tcPr>
            <w:tcW w:w="2280" w:type="dxa"/>
            <w:tcBorders>
              <w:top w:val="single" w:sz="5" w:space="0" w:color="000000"/>
              <w:left w:val="single" w:sz="5" w:space="0" w:color="000000"/>
              <w:bottom w:val="single" w:sz="5" w:space="0" w:color="000000"/>
              <w:right w:val="single" w:sz="5" w:space="0" w:color="000000"/>
            </w:tcBorders>
          </w:tcPr>
          <w:p w14:paraId="5AE986E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14,29 - 16,99</w:t>
            </w:r>
          </w:p>
        </w:tc>
        <w:tc>
          <w:tcPr>
            <w:tcW w:w="2160" w:type="dxa"/>
            <w:tcBorders>
              <w:top w:val="single" w:sz="5" w:space="0" w:color="000000"/>
              <w:left w:val="single" w:sz="5" w:space="0" w:color="000000"/>
              <w:bottom w:val="single" w:sz="5" w:space="0" w:color="000000"/>
              <w:right w:val="single" w:sz="5" w:space="0" w:color="000000"/>
            </w:tcBorders>
          </w:tcPr>
          <w:p w14:paraId="4BE991A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18,46 - 24,18</w:t>
            </w:r>
          </w:p>
        </w:tc>
      </w:tr>
      <w:tr w:rsidR="00D15122" w:rsidRPr="00D6167B" w14:paraId="0702BAE2"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52950EC0" w14:textId="77777777" w:rsidR="00D15122" w:rsidRPr="00D6167B" w:rsidRDefault="009B0756" w:rsidP="007608DF">
            <w:pPr>
              <w:pStyle w:val="TableParagraph"/>
              <w:widowControl/>
              <w:jc w:val="both"/>
              <w:rPr>
                <w:rFonts w:ascii="Times New Roman" w:eastAsia="Times New Roman" w:hAnsi="Times New Roman"/>
                <w:sz w:val="14"/>
                <w:szCs w:val="14"/>
                <w:lang w:val="hr-HR"/>
              </w:rPr>
            </w:pPr>
            <w:r w:rsidRPr="00D6167B">
              <w:rPr>
                <w:rFonts w:ascii="Times New Roman" w:hAnsi="Times New Roman"/>
                <w:lang w:val="hr-HR"/>
              </w:rPr>
              <w:t>Odnos rizika</w:t>
            </w:r>
            <w:r w:rsidRPr="00D6167B">
              <w:rPr>
                <w:rFonts w:ascii="Times New Roman" w:hAnsi="Times New Roman"/>
                <w:vertAlign w:val="superscript"/>
                <w:lang w:val="hr-HR"/>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3B63AC60"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0,660</w:t>
            </w:r>
          </w:p>
          <w:p w14:paraId="79D8A36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 0,00004)</w:t>
            </w:r>
          </w:p>
        </w:tc>
      </w:tr>
      <w:tr w:rsidR="00D15122" w:rsidRPr="00D6167B" w14:paraId="31E99555"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0EC836C3"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Preživljavanje bez progresije</w:t>
            </w:r>
            <w:r w:rsidR="00BA77DE">
              <w:rPr>
                <w:rFonts w:ascii="Times New Roman" w:hAnsi="Times New Roman"/>
                <w:lang w:val="hr-HR"/>
              </w:rPr>
              <w:t xml:space="preserve"> bolesti</w:t>
            </w:r>
          </w:p>
        </w:tc>
      </w:tr>
      <w:tr w:rsidR="00D15122" w:rsidRPr="00D6167B" w14:paraId="2FA07D12"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6912A416"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Srednje vrijeme (mjeseci)</w:t>
            </w:r>
          </w:p>
        </w:tc>
        <w:tc>
          <w:tcPr>
            <w:tcW w:w="2280" w:type="dxa"/>
            <w:tcBorders>
              <w:top w:val="single" w:sz="5" w:space="0" w:color="000000"/>
              <w:left w:val="single" w:sz="5" w:space="0" w:color="000000"/>
              <w:bottom w:val="single" w:sz="5" w:space="0" w:color="000000"/>
              <w:right w:val="single" w:sz="5" w:space="0" w:color="000000"/>
            </w:tcBorders>
          </w:tcPr>
          <w:p w14:paraId="0B2DC16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6,2</w:t>
            </w:r>
          </w:p>
        </w:tc>
        <w:tc>
          <w:tcPr>
            <w:tcW w:w="2160" w:type="dxa"/>
            <w:tcBorders>
              <w:top w:val="single" w:sz="5" w:space="0" w:color="000000"/>
              <w:left w:val="single" w:sz="5" w:space="0" w:color="000000"/>
              <w:bottom w:val="single" w:sz="5" w:space="0" w:color="000000"/>
              <w:right w:val="single" w:sz="5" w:space="0" w:color="000000"/>
            </w:tcBorders>
          </w:tcPr>
          <w:p w14:paraId="756144FC"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10,6</w:t>
            </w:r>
          </w:p>
        </w:tc>
      </w:tr>
      <w:tr w:rsidR="00D15122" w:rsidRPr="00D6167B" w14:paraId="47B8AE0D"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3AEAE964"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Odnos rizika</w:t>
            </w:r>
          </w:p>
        </w:tc>
        <w:tc>
          <w:tcPr>
            <w:tcW w:w="4440" w:type="dxa"/>
            <w:gridSpan w:val="2"/>
            <w:tcBorders>
              <w:top w:val="single" w:sz="5" w:space="0" w:color="000000"/>
              <w:left w:val="single" w:sz="5" w:space="0" w:color="000000"/>
              <w:bottom w:val="single" w:sz="5" w:space="0" w:color="000000"/>
              <w:right w:val="single" w:sz="5" w:space="0" w:color="000000"/>
            </w:tcBorders>
          </w:tcPr>
          <w:p w14:paraId="6108709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0,54</w:t>
            </w:r>
          </w:p>
          <w:p w14:paraId="1BD4A488" w14:textId="77777777" w:rsidR="00D15122" w:rsidRPr="00D6167B" w:rsidRDefault="00780CBF"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&lt; 0,0001)</w:t>
            </w:r>
          </w:p>
        </w:tc>
      </w:tr>
      <w:tr w:rsidR="00D15122" w:rsidRPr="00D6167B" w14:paraId="1E188AC7"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12FA0EDA"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Stopa ukupnog odgovora</w:t>
            </w:r>
          </w:p>
        </w:tc>
      </w:tr>
      <w:tr w:rsidR="00D15122" w:rsidRPr="00D6167B" w14:paraId="3814F0FA"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2E90B602"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Stopa (%)</w:t>
            </w:r>
          </w:p>
        </w:tc>
        <w:tc>
          <w:tcPr>
            <w:tcW w:w="2280" w:type="dxa"/>
            <w:tcBorders>
              <w:top w:val="single" w:sz="5" w:space="0" w:color="000000"/>
              <w:left w:val="single" w:sz="5" w:space="0" w:color="000000"/>
              <w:bottom w:val="single" w:sz="5" w:space="0" w:color="000000"/>
              <w:right w:val="single" w:sz="5" w:space="0" w:color="000000"/>
            </w:tcBorders>
          </w:tcPr>
          <w:p w14:paraId="00A329AC"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34,8</w:t>
            </w:r>
          </w:p>
        </w:tc>
        <w:tc>
          <w:tcPr>
            <w:tcW w:w="2160" w:type="dxa"/>
            <w:tcBorders>
              <w:top w:val="single" w:sz="5" w:space="0" w:color="000000"/>
              <w:left w:val="single" w:sz="5" w:space="0" w:color="000000"/>
              <w:bottom w:val="single" w:sz="5" w:space="0" w:color="000000"/>
              <w:right w:val="single" w:sz="5" w:space="0" w:color="000000"/>
            </w:tcBorders>
          </w:tcPr>
          <w:p w14:paraId="0E824EC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44,8</w:t>
            </w:r>
          </w:p>
        </w:tc>
      </w:tr>
      <w:tr w:rsidR="00D15122" w:rsidRPr="00D6167B" w14:paraId="5E3D05FB"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166D6D25" w14:textId="77777777" w:rsidR="00D15122" w:rsidRPr="00D6167B" w:rsidRDefault="00D15122" w:rsidP="007608DF">
            <w:pPr>
              <w:widowControl/>
              <w:jc w:val="both"/>
              <w:rPr>
                <w:rFonts w:ascii="Times New Roman" w:hAnsi="Times New Roman"/>
                <w:lang w:val="hr-HR"/>
              </w:rPr>
            </w:pPr>
          </w:p>
        </w:tc>
        <w:tc>
          <w:tcPr>
            <w:tcW w:w="4440" w:type="dxa"/>
            <w:gridSpan w:val="2"/>
            <w:tcBorders>
              <w:top w:val="single" w:sz="5" w:space="0" w:color="000000"/>
              <w:left w:val="single" w:sz="5" w:space="0" w:color="000000"/>
              <w:bottom w:val="single" w:sz="5" w:space="0" w:color="000000"/>
              <w:right w:val="single" w:sz="5" w:space="0" w:color="000000"/>
            </w:tcBorders>
          </w:tcPr>
          <w:p w14:paraId="7F00D6C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 0,0036)</w:t>
            </w:r>
          </w:p>
        </w:tc>
      </w:tr>
    </w:tbl>
    <w:p w14:paraId="661B5F19" w14:textId="77777777" w:rsidR="00D15122" w:rsidRPr="00D6167B" w:rsidRDefault="009B0756" w:rsidP="007608DF">
      <w:pPr>
        <w:pStyle w:val="BodyText"/>
        <w:widowControl/>
        <w:spacing w:line="247" w:lineRule="exact"/>
        <w:ind w:left="288" w:hanging="288"/>
        <w:jc w:val="both"/>
        <w:rPr>
          <w:sz w:val="20"/>
          <w:szCs w:val="20"/>
          <w:lang w:val="hr-HR"/>
        </w:rPr>
      </w:pPr>
      <w:r w:rsidRPr="00D6167B">
        <w:rPr>
          <w:sz w:val="20"/>
          <w:vertAlign w:val="superscript"/>
          <w:lang w:val="hr-HR"/>
        </w:rPr>
        <w:t>a</w:t>
      </w:r>
      <w:r w:rsidRPr="00D6167B">
        <w:rPr>
          <w:sz w:val="20"/>
          <w:lang w:val="hr-HR"/>
        </w:rPr>
        <w:t xml:space="preserve"> </w:t>
      </w:r>
      <w:r w:rsidRPr="00D6167B">
        <w:rPr>
          <w:sz w:val="20"/>
          <w:lang w:val="hr-HR"/>
        </w:rPr>
        <w:tab/>
        <w:t>5 mg/kg na svake 2 nedjelje.</w:t>
      </w:r>
    </w:p>
    <w:p w14:paraId="431C3805" w14:textId="77777777" w:rsidR="00D15122" w:rsidRPr="00D6167B" w:rsidRDefault="009B0756" w:rsidP="007608DF">
      <w:pPr>
        <w:pStyle w:val="BodyText"/>
        <w:widowControl/>
        <w:spacing w:line="265" w:lineRule="exact"/>
        <w:ind w:left="288" w:hanging="288"/>
        <w:jc w:val="both"/>
        <w:rPr>
          <w:lang w:val="hr-HR"/>
        </w:rPr>
      </w:pPr>
      <w:r w:rsidRPr="00D6167B">
        <w:rPr>
          <w:sz w:val="20"/>
          <w:vertAlign w:val="superscript"/>
          <w:lang w:val="hr-HR"/>
        </w:rPr>
        <w:t>b</w:t>
      </w:r>
      <w:r w:rsidRPr="00D6167B">
        <w:rPr>
          <w:sz w:val="20"/>
          <w:lang w:val="hr-HR"/>
        </w:rPr>
        <w:t xml:space="preserve"> </w:t>
      </w:r>
      <w:r w:rsidRPr="00D6167B">
        <w:rPr>
          <w:sz w:val="20"/>
          <w:lang w:val="hr-HR"/>
        </w:rPr>
        <w:tab/>
        <w:t>U odnosu na kontroln</w:t>
      </w:r>
      <w:r w:rsidR="00017976" w:rsidRPr="00D6167B">
        <w:rPr>
          <w:sz w:val="20"/>
          <w:lang w:val="hr-HR"/>
        </w:rPr>
        <w:t>u grupu</w:t>
      </w:r>
      <w:r w:rsidRPr="00D6167B">
        <w:rPr>
          <w:lang w:val="hr-HR"/>
        </w:rPr>
        <w:t>.</w:t>
      </w:r>
    </w:p>
    <w:p w14:paraId="2C9DEDE9" w14:textId="77777777" w:rsidR="00D15122" w:rsidRPr="00D6167B" w:rsidRDefault="00D15122" w:rsidP="007608DF">
      <w:pPr>
        <w:widowControl/>
        <w:jc w:val="both"/>
        <w:rPr>
          <w:rFonts w:ascii="Times New Roman" w:eastAsia="Times New Roman" w:hAnsi="Times New Roman"/>
          <w:lang w:val="hr-HR"/>
        </w:rPr>
      </w:pPr>
    </w:p>
    <w:p w14:paraId="41BCD22B" w14:textId="77777777" w:rsidR="00D15122" w:rsidRPr="00D6167B" w:rsidRDefault="009B0756" w:rsidP="007608DF">
      <w:pPr>
        <w:pStyle w:val="BodyText"/>
        <w:widowControl/>
        <w:ind w:left="0"/>
        <w:jc w:val="both"/>
        <w:rPr>
          <w:lang w:val="hr-HR"/>
        </w:rPr>
      </w:pPr>
      <w:r w:rsidRPr="00D6167B">
        <w:rPr>
          <w:lang w:val="hr-HR"/>
        </w:rPr>
        <w:t xml:space="preserve">Kod 110 pacijenata metodom randomizacije dodijeljenih </w:t>
      </w:r>
      <w:r w:rsidR="00017976" w:rsidRPr="00D6167B">
        <w:rPr>
          <w:lang w:val="hr-HR"/>
        </w:rPr>
        <w:t xml:space="preserve">grupi </w:t>
      </w:r>
      <w:r w:rsidRPr="00D6167B">
        <w:rPr>
          <w:lang w:val="hr-HR"/>
        </w:rPr>
        <w:t>3 (5-FU/FA + bevacizumab) prije prekida ov</w:t>
      </w:r>
      <w:r w:rsidR="00017976" w:rsidRPr="00D6167B">
        <w:rPr>
          <w:lang w:val="hr-HR"/>
        </w:rPr>
        <w:t>e grupe</w:t>
      </w:r>
      <w:r w:rsidRPr="00D6167B">
        <w:rPr>
          <w:lang w:val="hr-HR"/>
        </w:rPr>
        <w:t>, srednje ukupno preživljavanje iznosilo je 18,3 mjeseci, a srednje preživljavanje bez progresije iznosilo je 8,8 mjeseci.</w:t>
      </w:r>
    </w:p>
    <w:p w14:paraId="03D7A340" w14:textId="77777777" w:rsidR="00D15122" w:rsidRPr="00D6167B" w:rsidRDefault="00D15122" w:rsidP="007608DF">
      <w:pPr>
        <w:widowControl/>
        <w:jc w:val="both"/>
        <w:rPr>
          <w:rFonts w:ascii="Times New Roman" w:eastAsia="Times New Roman" w:hAnsi="Times New Roman"/>
          <w:lang w:val="hr-HR"/>
        </w:rPr>
      </w:pPr>
    </w:p>
    <w:p w14:paraId="029E89BF" w14:textId="77777777" w:rsidR="00DF3692" w:rsidRPr="00D6167B" w:rsidRDefault="009B0756" w:rsidP="007608DF">
      <w:pPr>
        <w:keepNext/>
        <w:widowControl/>
        <w:spacing w:line="252" w:lineRule="exact"/>
        <w:jc w:val="both"/>
        <w:rPr>
          <w:rFonts w:ascii="Times New Roman" w:eastAsia="Times New Roman" w:hAnsi="Times New Roman"/>
          <w:lang w:val="hr-HR"/>
        </w:rPr>
      </w:pPr>
      <w:r w:rsidRPr="00D6167B">
        <w:rPr>
          <w:rFonts w:ascii="Times New Roman" w:hAnsi="Times New Roman"/>
          <w:i/>
          <w:lang w:val="hr-HR"/>
        </w:rPr>
        <w:t>AVF2192g</w:t>
      </w:r>
    </w:p>
    <w:p w14:paraId="17172068" w14:textId="7E55E7E4" w:rsidR="00D15122" w:rsidRPr="00D6167B" w:rsidRDefault="00BA77DE"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xml:space="preserve"> dvostruko slijepo</w:t>
      </w:r>
      <w:r>
        <w:rPr>
          <w:lang w:val="hr-HR"/>
        </w:rPr>
        <w:t>m</w:t>
      </w:r>
      <w:r w:rsidR="009B0756" w:rsidRPr="00D6167B">
        <w:rPr>
          <w:lang w:val="hr-HR"/>
        </w:rPr>
        <w:t xml:space="preserve"> aktivno kontrolisano</w:t>
      </w:r>
      <w:r>
        <w:rPr>
          <w:lang w:val="hr-HR"/>
        </w:rPr>
        <w:t>m</w:t>
      </w:r>
      <w:r w:rsidR="009B0756" w:rsidRPr="00D6167B">
        <w:rPr>
          <w:lang w:val="hr-HR"/>
        </w:rPr>
        <w:t xml:space="preserve"> kliničko</w:t>
      </w:r>
      <w:r>
        <w:rPr>
          <w:lang w:val="hr-HR"/>
        </w:rPr>
        <w:t>m</w:t>
      </w:r>
      <w:r w:rsidR="009B0756" w:rsidRPr="00D6167B">
        <w:rPr>
          <w:lang w:val="hr-HR"/>
        </w:rPr>
        <w:t xml:space="preserve"> ispitivanj</w:t>
      </w:r>
      <w:r>
        <w:rPr>
          <w:lang w:val="hr-HR"/>
        </w:rPr>
        <w:t>u</w:t>
      </w:r>
      <w:r w:rsidR="009B0756" w:rsidRPr="00D6167B">
        <w:rPr>
          <w:lang w:val="hr-HR"/>
        </w:rPr>
        <w:t xml:space="preserve"> faze II kojim su procjenjivane efikasnost i bezb</w:t>
      </w:r>
      <w:r>
        <w:rPr>
          <w:lang w:val="hr-HR"/>
        </w:rPr>
        <w:t>j</w:t>
      </w:r>
      <w:r w:rsidR="009B0756" w:rsidRPr="00D6167B">
        <w:rPr>
          <w:lang w:val="hr-HR"/>
        </w:rPr>
        <w:t xml:space="preserve">ednost bevacizumaba u kombinaciji sa 5-FU/FA kao prve linije liječenja za metastatski kolorektalni karcinom kod pacijenata koji nijesu bili optimalni kandidati za terapiju irinotekanom u prvoj liniji liječenja. Sto pet pacijenata je randomizovano u </w:t>
      </w:r>
      <w:r w:rsidR="00017976" w:rsidRPr="00D6167B">
        <w:rPr>
          <w:lang w:val="hr-HR"/>
        </w:rPr>
        <w:t xml:space="preserve">grupu </w:t>
      </w:r>
      <w:r w:rsidR="009B0756" w:rsidRPr="00D6167B">
        <w:rPr>
          <w:lang w:val="hr-HR"/>
        </w:rPr>
        <w:t xml:space="preserve">5-FU/FA + placebo, a 104 pacijenta u </w:t>
      </w:r>
      <w:r w:rsidR="00017976" w:rsidRPr="00D6167B">
        <w:rPr>
          <w:lang w:val="hr-HR"/>
        </w:rPr>
        <w:t xml:space="preserve">grupu </w:t>
      </w:r>
      <w:r w:rsidR="009B0756" w:rsidRPr="00D6167B">
        <w:rPr>
          <w:lang w:val="hr-HR"/>
        </w:rPr>
        <w:t>5</w:t>
      </w:r>
      <w:r w:rsidR="009B0756" w:rsidRPr="00D6167B">
        <w:rPr>
          <w:lang w:val="hr-HR"/>
        </w:rPr>
        <w:noBreakHyphen/>
        <w:t>FU/FA + bevacizumab (5 mg/kg na svake 2 ned</w:t>
      </w:r>
      <w:r w:rsidR="004F1EBB" w:rsidRPr="00D6167B">
        <w:rPr>
          <w:lang w:val="hr-HR"/>
        </w:rPr>
        <w:t>j</w:t>
      </w:r>
      <w:r w:rsidR="009B0756" w:rsidRPr="00D6167B">
        <w:rPr>
          <w:lang w:val="hr-HR"/>
        </w:rPr>
        <w:t>elje). Sve terapije su nastavljane do progresije bolesti. Dodavanje bevacizumaba 5 mg/kg svake dvije nedjelje uz 5-FU/FA doveo je do veće stope objektivnog odgovora, značajno dužeg preživljavanja bez progresije bolesti i tendencije za duže preživljavanje, u poređenju sa samom hemoterapijom 5-FU/FA.</w:t>
      </w:r>
    </w:p>
    <w:p w14:paraId="6D42FC37" w14:textId="77777777" w:rsidR="00D15122" w:rsidRPr="00D6167B" w:rsidRDefault="00D15122" w:rsidP="007608DF">
      <w:pPr>
        <w:widowControl/>
        <w:jc w:val="both"/>
        <w:rPr>
          <w:rFonts w:ascii="Times New Roman" w:eastAsia="Times New Roman" w:hAnsi="Times New Roman"/>
          <w:lang w:val="hr-HR"/>
        </w:rPr>
      </w:pPr>
    </w:p>
    <w:p w14:paraId="3DD2B0EF" w14:textId="77777777" w:rsidR="00DF3692" w:rsidRPr="00D6167B" w:rsidRDefault="009B0756" w:rsidP="007608DF">
      <w:pPr>
        <w:keepNext/>
        <w:widowControl/>
        <w:spacing w:line="252" w:lineRule="exact"/>
        <w:jc w:val="both"/>
        <w:rPr>
          <w:rFonts w:ascii="Times New Roman" w:eastAsia="Times New Roman" w:hAnsi="Times New Roman"/>
          <w:lang w:val="hr-HR"/>
        </w:rPr>
      </w:pPr>
      <w:r w:rsidRPr="00D6167B">
        <w:rPr>
          <w:rFonts w:ascii="Times New Roman" w:hAnsi="Times New Roman"/>
          <w:i/>
          <w:lang w:val="hr-HR"/>
        </w:rPr>
        <w:t>AVF0780g</w:t>
      </w:r>
    </w:p>
    <w:p w14:paraId="56DA8A7A" w14:textId="15BFE6E5" w:rsidR="00D15122" w:rsidRPr="00D6167B" w:rsidRDefault="00BA77DE"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xml:space="preserve"> otvoreno</w:t>
      </w:r>
      <w:r>
        <w:rPr>
          <w:lang w:val="hr-HR"/>
        </w:rPr>
        <w:t>m</w:t>
      </w:r>
      <w:r w:rsidR="009B0756" w:rsidRPr="00D6167B">
        <w:rPr>
          <w:lang w:val="hr-HR"/>
        </w:rPr>
        <w:t xml:space="preserve"> aktivno kontrolisano</w:t>
      </w:r>
      <w:r>
        <w:rPr>
          <w:lang w:val="hr-HR"/>
        </w:rPr>
        <w:t>m</w:t>
      </w:r>
      <w:r w:rsidR="009B0756" w:rsidRPr="00D6167B">
        <w:rPr>
          <w:lang w:val="hr-HR"/>
        </w:rPr>
        <w:t xml:space="preserve"> kliničko</w:t>
      </w:r>
      <w:r>
        <w:rPr>
          <w:lang w:val="hr-HR"/>
        </w:rPr>
        <w:t>m</w:t>
      </w:r>
      <w:r w:rsidR="009B0756" w:rsidRPr="00D6167B">
        <w:rPr>
          <w:lang w:val="hr-HR"/>
        </w:rPr>
        <w:t xml:space="preserve"> ispitivanj</w:t>
      </w:r>
      <w:r>
        <w:rPr>
          <w:lang w:val="hr-HR"/>
        </w:rPr>
        <w:t>u</w:t>
      </w:r>
      <w:r w:rsidR="009B0756" w:rsidRPr="00D6167B">
        <w:rPr>
          <w:lang w:val="hr-HR"/>
        </w:rPr>
        <w:t xml:space="preserve"> faze II u kojem je ispitivan bevacizumab u kombinaciji sa 5-FU/FA kao prva linija liječenja za metastatski kolorektalni karcinom. Srednja starost ispitanika iznosila je 64 godine. 19% pacijenata je prethodno primalo hemoterapiju, a 14% je prethodno bilo podvrgnuto radioterapiji. Sedamdeset jedan pacijent je randomizovan tako da prima bolus 5-FU/FA ili 5</w:t>
      </w:r>
      <w:r w:rsidR="009B0756" w:rsidRPr="00D6167B">
        <w:rPr>
          <w:lang w:val="hr-HR"/>
        </w:rPr>
        <w:noBreakHyphen/>
        <w:t>FU/FA + bevacizumab (5 mg/kg svake 2 nedjelje). Treća grupa od 33 pacijenta primala je bolus 5</w:t>
      </w:r>
      <w:r w:rsidR="009B0756" w:rsidRPr="00D6167B">
        <w:rPr>
          <w:lang w:val="hr-HR"/>
        </w:rPr>
        <w:noBreakHyphen/>
        <w:t>FU/FA + bevacizumab (10 mg/kg svake 2 nedjelje). Pacijenti su liječeni do progresije bolesti. Primarni parametri efikasnosti ispitivanja bili su stopa objektivnog odgovora i trajanje preživljavanja bez progresije</w:t>
      </w:r>
      <w:r>
        <w:rPr>
          <w:lang w:val="hr-HR"/>
        </w:rPr>
        <w:t xml:space="preserve"> bolesti</w:t>
      </w:r>
      <w:r w:rsidR="009B0756" w:rsidRPr="00D6167B">
        <w:rPr>
          <w:lang w:val="hr-HR"/>
        </w:rPr>
        <w:t>. Dodatak bevacizumaba 5 mg/kg svake dvije nedjelje uz 5-FU/FA doveo je do veće stope objektivnog odgovora, dužeg preživljavanja bez progresije bolesti i tendencije za duže preživljavanje, u poređenju sa samom hemoterapijom 5-FU/FA (pogledajte tabelu 5). Ovi podaci o efikasnosti su u skladu sa rezultatima ispitivanja AVF2107g.</w:t>
      </w:r>
    </w:p>
    <w:p w14:paraId="18FF595E" w14:textId="77777777" w:rsidR="00D15122" w:rsidRPr="00D6167B" w:rsidRDefault="00D15122" w:rsidP="007608DF">
      <w:pPr>
        <w:widowControl/>
        <w:jc w:val="both"/>
        <w:rPr>
          <w:rFonts w:ascii="Times New Roman" w:eastAsia="Times New Roman" w:hAnsi="Times New Roman"/>
          <w:sz w:val="21"/>
          <w:szCs w:val="21"/>
          <w:lang w:val="hr-HR"/>
        </w:rPr>
      </w:pPr>
    </w:p>
    <w:p w14:paraId="171425F8" w14:textId="77777777" w:rsidR="00D15122" w:rsidRPr="00D6167B" w:rsidRDefault="009B0756" w:rsidP="007608DF">
      <w:pPr>
        <w:pStyle w:val="BodyText"/>
        <w:widowControl/>
        <w:ind w:left="0"/>
        <w:jc w:val="both"/>
        <w:rPr>
          <w:lang w:val="hr-HR"/>
        </w:rPr>
      </w:pPr>
      <w:r w:rsidRPr="00D6167B">
        <w:rPr>
          <w:lang w:val="hr-HR"/>
        </w:rPr>
        <w:t>Podaci o efikasnosti iz ispitivanja AVF0780g i AVF2192g u kojima je ispitivan bevacizumab u kombinaciji sa hemoterapijom 5-FU/FA rezimirani su u tabeli 5.</w:t>
      </w:r>
    </w:p>
    <w:p w14:paraId="7B01651F" w14:textId="77777777" w:rsidR="00221EBE" w:rsidRPr="00D6167B" w:rsidRDefault="00221EBE" w:rsidP="007608DF">
      <w:pPr>
        <w:pStyle w:val="Heading1"/>
        <w:widowControl/>
        <w:tabs>
          <w:tab w:val="left" w:pos="1498"/>
        </w:tabs>
        <w:ind w:left="0"/>
        <w:jc w:val="both"/>
        <w:rPr>
          <w:b w:val="0"/>
          <w:lang w:val="hr-HR"/>
        </w:rPr>
      </w:pPr>
    </w:p>
    <w:p w14:paraId="7F9141C8" w14:textId="77777777" w:rsidR="00D15122" w:rsidRPr="00D6167B" w:rsidRDefault="009B0756" w:rsidP="007608DF">
      <w:pPr>
        <w:pStyle w:val="Heading1"/>
        <w:keepNext/>
        <w:widowControl/>
        <w:tabs>
          <w:tab w:val="left" w:pos="1498"/>
        </w:tabs>
        <w:ind w:left="0"/>
        <w:jc w:val="both"/>
        <w:rPr>
          <w:bCs w:val="0"/>
          <w:lang w:val="hr-HR"/>
        </w:rPr>
      </w:pPr>
      <w:r w:rsidRPr="00D6167B">
        <w:rPr>
          <w:lang w:val="hr-HR"/>
        </w:rPr>
        <w:t>Tabela 5</w:t>
      </w:r>
      <w:r w:rsidRPr="00D6167B">
        <w:rPr>
          <w:lang w:val="hr-HR"/>
        </w:rPr>
        <w:tab/>
        <w:t>Rezultati efikasnosti za ispitivanja AVF0780g i AVF2192g</w:t>
      </w:r>
    </w:p>
    <w:p w14:paraId="029588AD" w14:textId="77777777" w:rsidR="00D15122" w:rsidRPr="00D6167B" w:rsidRDefault="00D15122" w:rsidP="007608DF">
      <w:pPr>
        <w:keepNext/>
        <w:widowControl/>
        <w:jc w:val="both"/>
        <w:rPr>
          <w:rFonts w:ascii="Times New Roman" w:eastAsia="Times New Roman" w:hAnsi="Times New Roman"/>
          <w:bCs/>
          <w:sz w:val="20"/>
          <w:szCs w:val="20"/>
          <w:lang w:val="hr-HR"/>
        </w:rPr>
      </w:pPr>
    </w:p>
    <w:tbl>
      <w:tblPr>
        <w:tblW w:w="5000" w:type="pct"/>
        <w:tblLayout w:type="fixed"/>
        <w:tblCellMar>
          <w:left w:w="115" w:type="dxa"/>
          <w:right w:w="115" w:type="dxa"/>
        </w:tblCellMar>
        <w:tblLook w:val="01E0" w:firstRow="1" w:lastRow="1" w:firstColumn="1" w:lastColumn="1" w:noHBand="0" w:noVBand="0"/>
      </w:tblPr>
      <w:tblGrid>
        <w:gridCol w:w="2746"/>
        <w:gridCol w:w="1266"/>
        <w:gridCol w:w="1266"/>
        <w:gridCol w:w="1266"/>
        <w:gridCol w:w="1266"/>
        <w:gridCol w:w="1266"/>
      </w:tblGrid>
      <w:tr w:rsidR="00D15122" w:rsidRPr="00D6167B" w14:paraId="2D69E2DD" w14:textId="77777777" w:rsidTr="00E86D45">
        <w:trPr>
          <w:cantSplit/>
          <w:tblHeader/>
        </w:trPr>
        <w:tc>
          <w:tcPr>
            <w:tcW w:w="2791" w:type="dxa"/>
            <w:vMerge w:val="restart"/>
            <w:tcBorders>
              <w:top w:val="single" w:sz="5" w:space="0" w:color="000000"/>
              <w:left w:val="single" w:sz="5" w:space="0" w:color="000000"/>
              <w:right w:val="single" w:sz="5" w:space="0" w:color="000000"/>
            </w:tcBorders>
          </w:tcPr>
          <w:p w14:paraId="3DA9016E" w14:textId="77777777" w:rsidR="00D15122" w:rsidRPr="00D6167B" w:rsidRDefault="00D15122" w:rsidP="007608DF">
            <w:pPr>
              <w:keepNext/>
              <w:widowControl/>
              <w:jc w:val="both"/>
              <w:rPr>
                <w:rFonts w:ascii="Times New Roman" w:hAnsi="Times New Roman"/>
                <w:lang w:val="hr-HR"/>
              </w:rPr>
            </w:pPr>
          </w:p>
        </w:tc>
        <w:tc>
          <w:tcPr>
            <w:tcW w:w="3852" w:type="dxa"/>
            <w:gridSpan w:val="3"/>
            <w:tcBorders>
              <w:top w:val="single" w:sz="5" w:space="0" w:color="000000"/>
              <w:left w:val="single" w:sz="5" w:space="0" w:color="000000"/>
              <w:bottom w:val="single" w:sz="5" w:space="0" w:color="000000"/>
              <w:right w:val="single" w:sz="5" w:space="0" w:color="000000"/>
            </w:tcBorders>
          </w:tcPr>
          <w:p w14:paraId="17A8B5BA"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3E50661B"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AVF2192g</w:t>
            </w:r>
          </w:p>
        </w:tc>
      </w:tr>
      <w:tr w:rsidR="00D15122" w:rsidRPr="00D6167B" w14:paraId="011A1541" w14:textId="77777777" w:rsidTr="00E86D45">
        <w:trPr>
          <w:cantSplit/>
          <w:tblHeader/>
        </w:trPr>
        <w:tc>
          <w:tcPr>
            <w:tcW w:w="2791" w:type="dxa"/>
            <w:vMerge/>
            <w:tcBorders>
              <w:left w:val="single" w:sz="5" w:space="0" w:color="000000"/>
              <w:bottom w:val="single" w:sz="5" w:space="0" w:color="000000"/>
              <w:right w:val="single" w:sz="5" w:space="0" w:color="000000"/>
            </w:tcBorders>
          </w:tcPr>
          <w:p w14:paraId="523115F2" w14:textId="77777777" w:rsidR="00D15122" w:rsidRPr="00D6167B" w:rsidRDefault="00D15122" w:rsidP="007608DF">
            <w:pPr>
              <w:keepNext/>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4023C0B4"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36A4806C" w14:textId="77777777" w:rsidR="00D15122" w:rsidRPr="00D6167B" w:rsidRDefault="009B0756" w:rsidP="00D37692">
            <w:pPr>
              <w:pStyle w:val="TableParagraph"/>
              <w:keepNext/>
              <w:widowControl/>
              <w:jc w:val="center"/>
              <w:rPr>
                <w:rFonts w:ascii="Times New Roman" w:eastAsia="Times New Roman" w:hAnsi="Times New Roman"/>
                <w:sz w:val="14"/>
                <w:szCs w:val="14"/>
                <w:lang w:val="hr-HR"/>
              </w:rPr>
            </w:pPr>
            <w:r w:rsidRPr="00D6167B">
              <w:rPr>
                <w:rFonts w:ascii="Times New Roman" w:hAnsi="Times New Roman"/>
                <w:lang w:val="hr-HR"/>
              </w:rPr>
              <w:t>5-FU/FA + bevacizumab</w:t>
            </w:r>
            <w:r w:rsidRPr="00D6167B">
              <w:rPr>
                <w:rFonts w:ascii="Times New Roman" w:hAnsi="Times New Roman"/>
                <w:vertAlign w:val="superscript"/>
                <w:lang w:val="hr-HR"/>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5FDF9091" w14:textId="77777777" w:rsidR="00D15122" w:rsidRPr="00D6167B" w:rsidRDefault="009B0756" w:rsidP="00D37692">
            <w:pPr>
              <w:pStyle w:val="TableParagraph"/>
              <w:keepNext/>
              <w:widowControl/>
              <w:jc w:val="center"/>
              <w:rPr>
                <w:rFonts w:ascii="Times New Roman" w:eastAsia="Times New Roman" w:hAnsi="Times New Roman"/>
                <w:sz w:val="14"/>
                <w:szCs w:val="14"/>
                <w:lang w:val="hr-HR"/>
              </w:rPr>
            </w:pPr>
            <w:r w:rsidRPr="00D6167B">
              <w:rPr>
                <w:rFonts w:ascii="Times New Roman" w:hAnsi="Times New Roman"/>
                <w:lang w:val="hr-HR"/>
              </w:rPr>
              <w:t>5-FU/FA + bevacizumab</w:t>
            </w:r>
            <w:r w:rsidRPr="00D6167B">
              <w:rPr>
                <w:rFonts w:ascii="Times New Roman" w:hAnsi="Times New Roman"/>
                <w:vertAlign w:val="superscript"/>
                <w:lang w:val="hr-HR"/>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1EB9E2A5"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5-FU/FA + 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5C3890DB"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5-FU/FA + bevacizumab</w:t>
            </w:r>
          </w:p>
        </w:tc>
      </w:tr>
      <w:tr w:rsidR="00D15122" w:rsidRPr="00D6167B" w14:paraId="1CE708B4"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60ADFD1C"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Broj pacijenata</w:t>
            </w:r>
          </w:p>
        </w:tc>
        <w:tc>
          <w:tcPr>
            <w:tcW w:w="1284" w:type="dxa"/>
            <w:tcBorders>
              <w:top w:val="single" w:sz="5" w:space="0" w:color="000000"/>
              <w:left w:val="single" w:sz="5" w:space="0" w:color="000000"/>
              <w:bottom w:val="single" w:sz="5" w:space="0" w:color="000000"/>
              <w:right w:val="single" w:sz="5" w:space="0" w:color="000000"/>
            </w:tcBorders>
          </w:tcPr>
          <w:p w14:paraId="0DD3F23E"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36</w:t>
            </w:r>
          </w:p>
        </w:tc>
        <w:tc>
          <w:tcPr>
            <w:tcW w:w="1284" w:type="dxa"/>
            <w:tcBorders>
              <w:top w:val="single" w:sz="5" w:space="0" w:color="000000"/>
              <w:left w:val="single" w:sz="5" w:space="0" w:color="000000"/>
              <w:bottom w:val="single" w:sz="5" w:space="0" w:color="000000"/>
              <w:right w:val="single" w:sz="5" w:space="0" w:color="000000"/>
            </w:tcBorders>
          </w:tcPr>
          <w:p w14:paraId="1700F603"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35</w:t>
            </w:r>
          </w:p>
        </w:tc>
        <w:tc>
          <w:tcPr>
            <w:tcW w:w="1284" w:type="dxa"/>
            <w:tcBorders>
              <w:top w:val="single" w:sz="5" w:space="0" w:color="000000"/>
              <w:left w:val="single" w:sz="5" w:space="0" w:color="000000"/>
              <w:bottom w:val="single" w:sz="5" w:space="0" w:color="000000"/>
              <w:right w:val="single" w:sz="5" w:space="0" w:color="000000"/>
            </w:tcBorders>
          </w:tcPr>
          <w:p w14:paraId="1AEAA17E"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33</w:t>
            </w:r>
          </w:p>
        </w:tc>
        <w:tc>
          <w:tcPr>
            <w:tcW w:w="1284" w:type="dxa"/>
            <w:tcBorders>
              <w:top w:val="single" w:sz="5" w:space="0" w:color="000000"/>
              <w:left w:val="single" w:sz="5" w:space="0" w:color="000000"/>
              <w:bottom w:val="single" w:sz="5" w:space="0" w:color="000000"/>
              <w:right w:val="single" w:sz="5" w:space="0" w:color="000000"/>
            </w:tcBorders>
          </w:tcPr>
          <w:p w14:paraId="36420E6E"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105</w:t>
            </w:r>
          </w:p>
        </w:tc>
        <w:tc>
          <w:tcPr>
            <w:tcW w:w="1284" w:type="dxa"/>
            <w:tcBorders>
              <w:top w:val="single" w:sz="5" w:space="0" w:color="000000"/>
              <w:left w:val="single" w:sz="5" w:space="0" w:color="000000"/>
              <w:bottom w:val="single" w:sz="5" w:space="0" w:color="000000"/>
              <w:right w:val="single" w:sz="5" w:space="0" w:color="000000"/>
            </w:tcBorders>
          </w:tcPr>
          <w:p w14:paraId="1F305985"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104</w:t>
            </w:r>
          </w:p>
        </w:tc>
      </w:tr>
      <w:tr w:rsidR="00D15122" w:rsidRPr="00D6167B" w14:paraId="17920D22"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66459C82"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4D9A4392"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90E8606"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Srednje vrijeme (mjeseci)</w:t>
            </w:r>
          </w:p>
        </w:tc>
        <w:tc>
          <w:tcPr>
            <w:tcW w:w="1284" w:type="dxa"/>
            <w:tcBorders>
              <w:top w:val="single" w:sz="5" w:space="0" w:color="000000"/>
              <w:left w:val="single" w:sz="5" w:space="0" w:color="000000"/>
              <w:bottom w:val="single" w:sz="5" w:space="0" w:color="000000"/>
              <w:right w:val="single" w:sz="5" w:space="0" w:color="000000"/>
            </w:tcBorders>
          </w:tcPr>
          <w:p w14:paraId="1D38889F"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13,6</w:t>
            </w:r>
          </w:p>
        </w:tc>
        <w:tc>
          <w:tcPr>
            <w:tcW w:w="1284" w:type="dxa"/>
            <w:tcBorders>
              <w:top w:val="single" w:sz="5" w:space="0" w:color="000000"/>
              <w:left w:val="single" w:sz="5" w:space="0" w:color="000000"/>
              <w:bottom w:val="single" w:sz="5" w:space="0" w:color="000000"/>
              <w:right w:val="single" w:sz="5" w:space="0" w:color="000000"/>
            </w:tcBorders>
          </w:tcPr>
          <w:p w14:paraId="1CDDF99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17,7</w:t>
            </w:r>
          </w:p>
        </w:tc>
        <w:tc>
          <w:tcPr>
            <w:tcW w:w="1284" w:type="dxa"/>
            <w:tcBorders>
              <w:top w:val="single" w:sz="5" w:space="0" w:color="000000"/>
              <w:left w:val="single" w:sz="5" w:space="0" w:color="000000"/>
              <w:bottom w:val="single" w:sz="5" w:space="0" w:color="000000"/>
              <w:right w:val="single" w:sz="5" w:space="0" w:color="000000"/>
            </w:tcBorders>
          </w:tcPr>
          <w:p w14:paraId="0ABC76F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15,2</w:t>
            </w:r>
          </w:p>
        </w:tc>
        <w:tc>
          <w:tcPr>
            <w:tcW w:w="1284" w:type="dxa"/>
            <w:tcBorders>
              <w:top w:val="single" w:sz="5" w:space="0" w:color="000000"/>
              <w:left w:val="single" w:sz="5" w:space="0" w:color="000000"/>
              <w:bottom w:val="single" w:sz="5" w:space="0" w:color="000000"/>
              <w:right w:val="single" w:sz="5" w:space="0" w:color="000000"/>
            </w:tcBorders>
          </w:tcPr>
          <w:p w14:paraId="7B2D81A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12,9</w:t>
            </w:r>
          </w:p>
        </w:tc>
        <w:tc>
          <w:tcPr>
            <w:tcW w:w="1284" w:type="dxa"/>
            <w:tcBorders>
              <w:top w:val="single" w:sz="5" w:space="0" w:color="000000"/>
              <w:left w:val="single" w:sz="5" w:space="0" w:color="000000"/>
              <w:bottom w:val="single" w:sz="5" w:space="0" w:color="000000"/>
              <w:right w:val="single" w:sz="5" w:space="0" w:color="000000"/>
            </w:tcBorders>
          </w:tcPr>
          <w:p w14:paraId="1BD4CBC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16,6</w:t>
            </w:r>
          </w:p>
        </w:tc>
      </w:tr>
      <w:tr w:rsidR="00D15122" w:rsidRPr="00D6167B" w14:paraId="1155CDCD"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321F0D4F"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95% CI</w:t>
            </w:r>
          </w:p>
        </w:tc>
        <w:tc>
          <w:tcPr>
            <w:tcW w:w="1284" w:type="dxa"/>
            <w:tcBorders>
              <w:top w:val="single" w:sz="5" w:space="0" w:color="000000"/>
              <w:left w:val="single" w:sz="5" w:space="0" w:color="000000"/>
              <w:bottom w:val="single" w:sz="5" w:space="0" w:color="000000"/>
              <w:right w:val="single" w:sz="5" w:space="0" w:color="000000"/>
            </w:tcBorders>
          </w:tcPr>
          <w:p w14:paraId="6C4E5E4C" w14:textId="77777777" w:rsidR="00D15122" w:rsidRPr="00D6167B" w:rsidRDefault="00D15122" w:rsidP="007608DF">
            <w:pPr>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15847835" w14:textId="77777777" w:rsidR="00D15122" w:rsidRPr="00D6167B" w:rsidRDefault="00D15122" w:rsidP="007608DF">
            <w:pPr>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160440A1" w14:textId="77777777" w:rsidR="00D15122" w:rsidRPr="00D6167B" w:rsidRDefault="00D15122" w:rsidP="007608DF">
            <w:pPr>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3C301CE2" w14:textId="7E09AB3D" w:rsidR="00D15122" w:rsidRPr="00D6167B" w:rsidRDefault="009B0756" w:rsidP="00D37692">
            <w:pPr>
              <w:pStyle w:val="TableParagraph"/>
              <w:widowControl/>
              <w:ind w:right="14"/>
              <w:jc w:val="center"/>
              <w:rPr>
                <w:rFonts w:ascii="Times New Roman" w:eastAsia="Times New Roman" w:hAnsi="Times New Roman"/>
                <w:lang w:val="hr-HR"/>
              </w:rPr>
            </w:pPr>
            <w:r w:rsidRPr="00D6167B">
              <w:rPr>
                <w:rFonts w:ascii="Times New Roman" w:hAnsi="Times New Roman"/>
                <w:lang w:val="hr-HR"/>
              </w:rPr>
              <w:t>10,35 -16,95</w:t>
            </w:r>
          </w:p>
        </w:tc>
        <w:tc>
          <w:tcPr>
            <w:tcW w:w="1284" w:type="dxa"/>
            <w:tcBorders>
              <w:top w:val="single" w:sz="5" w:space="0" w:color="000000"/>
              <w:left w:val="single" w:sz="5" w:space="0" w:color="000000"/>
              <w:bottom w:val="single" w:sz="5" w:space="0" w:color="000000"/>
              <w:right w:val="single" w:sz="5" w:space="0" w:color="000000"/>
            </w:tcBorders>
          </w:tcPr>
          <w:p w14:paraId="1CD0CD04" w14:textId="77777777" w:rsidR="00D15122" w:rsidRPr="00D6167B" w:rsidRDefault="009B0756" w:rsidP="00D37692">
            <w:pPr>
              <w:pStyle w:val="TableParagraph"/>
              <w:widowControl/>
              <w:ind w:right="14" w:firstLine="100"/>
              <w:jc w:val="center"/>
              <w:rPr>
                <w:rFonts w:ascii="Times New Roman" w:eastAsia="Times New Roman" w:hAnsi="Times New Roman"/>
                <w:lang w:val="hr-HR"/>
              </w:rPr>
            </w:pPr>
            <w:r w:rsidRPr="00D6167B">
              <w:rPr>
                <w:rFonts w:ascii="Times New Roman" w:hAnsi="Times New Roman"/>
                <w:lang w:val="hr-HR"/>
              </w:rPr>
              <w:t>13,63 - 19,32</w:t>
            </w:r>
          </w:p>
        </w:tc>
      </w:tr>
      <w:tr w:rsidR="00D15122" w:rsidRPr="00D6167B" w14:paraId="1C7BC8DC"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3C4DF8E" w14:textId="77777777" w:rsidR="00D15122" w:rsidRPr="00D6167B" w:rsidRDefault="009B0756" w:rsidP="007608DF">
            <w:pPr>
              <w:pStyle w:val="TableParagraph"/>
              <w:widowControl/>
              <w:ind w:left="263"/>
              <w:jc w:val="both"/>
              <w:rPr>
                <w:rFonts w:ascii="Times New Roman" w:eastAsia="Times New Roman" w:hAnsi="Times New Roman"/>
                <w:sz w:val="14"/>
                <w:szCs w:val="14"/>
                <w:lang w:val="hr-HR"/>
              </w:rPr>
            </w:pPr>
            <w:r w:rsidRPr="00D6167B">
              <w:rPr>
                <w:rFonts w:ascii="Times New Roman" w:hAnsi="Times New Roman"/>
                <w:lang w:val="hr-HR"/>
              </w:rPr>
              <w:t>Odnos rizika</w:t>
            </w:r>
            <w:r w:rsidRPr="00D6167B">
              <w:rPr>
                <w:rFonts w:ascii="Times New Roman" w:hAnsi="Times New Roman"/>
                <w:vertAlign w:val="superscript"/>
                <w:lang w:val="hr-HR"/>
              </w:rPr>
              <w:t>c</w:t>
            </w:r>
          </w:p>
        </w:tc>
        <w:tc>
          <w:tcPr>
            <w:tcW w:w="1284" w:type="dxa"/>
            <w:tcBorders>
              <w:top w:val="single" w:sz="5" w:space="0" w:color="000000"/>
              <w:left w:val="single" w:sz="5" w:space="0" w:color="000000"/>
              <w:bottom w:val="single" w:sz="5" w:space="0" w:color="000000"/>
              <w:right w:val="single" w:sz="5" w:space="0" w:color="000000"/>
            </w:tcBorders>
          </w:tcPr>
          <w:p w14:paraId="52C1194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w:t>
            </w:r>
          </w:p>
        </w:tc>
        <w:tc>
          <w:tcPr>
            <w:tcW w:w="1284" w:type="dxa"/>
            <w:tcBorders>
              <w:top w:val="single" w:sz="5" w:space="0" w:color="000000"/>
              <w:left w:val="single" w:sz="5" w:space="0" w:color="000000"/>
              <w:bottom w:val="single" w:sz="5" w:space="0" w:color="000000"/>
              <w:right w:val="single" w:sz="5" w:space="0" w:color="000000"/>
            </w:tcBorders>
          </w:tcPr>
          <w:p w14:paraId="54F2EE8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0,52</w:t>
            </w:r>
          </w:p>
        </w:tc>
        <w:tc>
          <w:tcPr>
            <w:tcW w:w="1284" w:type="dxa"/>
            <w:tcBorders>
              <w:top w:val="single" w:sz="5" w:space="0" w:color="000000"/>
              <w:left w:val="single" w:sz="5" w:space="0" w:color="000000"/>
              <w:bottom w:val="single" w:sz="5" w:space="0" w:color="000000"/>
              <w:right w:val="single" w:sz="5" w:space="0" w:color="000000"/>
            </w:tcBorders>
          </w:tcPr>
          <w:p w14:paraId="06B5FDC0"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1,01</w:t>
            </w:r>
          </w:p>
        </w:tc>
        <w:tc>
          <w:tcPr>
            <w:tcW w:w="1284" w:type="dxa"/>
            <w:tcBorders>
              <w:top w:val="single" w:sz="5" w:space="0" w:color="000000"/>
              <w:left w:val="single" w:sz="5" w:space="0" w:color="000000"/>
              <w:bottom w:val="single" w:sz="5" w:space="0" w:color="000000"/>
              <w:right w:val="single" w:sz="5" w:space="0" w:color="000000"/>
            </w:tcBorders>
          </w:tcPr>
          <w:p w14:paraId="0ED46B85"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062D8CB6"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0,79</w:t>
            </w:r>
          </w:p>
        </w:tc>
      </w:tr>
      <w:tr w:rsidR="00D15122" w:rsidRPr="00D6167B" w14:paraId="3299C5F3"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3D54FE0"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Vrijednost p</w:t>
            </w:r>
          </w:p>
        </w:tc>
        <w:tc>
          <w:tcPr>
            <w:tcW w:w="1284" w:type="dxa"/>
            <w:tcBorders>
              <w:top w:val="single" w:sz="5" w:space="0" w:color="000000"/>
              <w:left w:val="single" w:sz="5" w:space="0" w:color="000000"/>
              <w:bottom w:val="single" w:sz="5" w:space="0" w:color="000000"/>
              <w:right w:val="single" w:sz="5" w:space="0" w:color="000000"/>
            </w:tcBorders>
          </w:tcPr>
          <w:p w14:paraId="396627CE" w14:textId="77777777" w:rsidR="00D15122" w:rsidRPr="00D6167B" w:rsidRDefault="00D15122" w:rsidP="007608DF">
            <w:pPr>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1F11E51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0,073</w:t>
            </w:r>
          </w:p>
        </w:tc>
        <w:tc>
          <w:tcPr>
            <w:tcW w:w="1284" w:type="dxa"/>
            <w:tcBorders>
              <w:top w:val="single" w:sz="5" w:space="0" w:color="000000"/>
              <w:left w:val="single" w:sz="5" w:space="0" w:color="000000"/>
              <w:bottom w:val="single" w:sz="5" w:space="0" w:color="000000"/>
              <w:right w:val="single" w:sz="5" w:space="0" w:color="000000"/>
            </w:tcBorders>
          </w:tcPr>
          <w:p w14:paraId="0C8ED311"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0,978</w:t>
            </w:r>
          </w:p>
        </w:tc>
        <w:tc>
          <w:tcPr>
            <w:tcW w:w="1284" w:type="dxa"/>
            <w:tcBorders>
              <w:top w:val="single" w:sz="5" w:space="0" w:color="000000"/>
              <w:left w:val="single" w:sz="5" w:space="0" w:color="000000"/>
              <w:bottom w:val="single" w:sz="5" w:space="0" w:color="000000"/>
              <w:right w:val="single" w:sz="5" w:space="0" w:color="000000"/>
            </w:tcBorders>
          </w:tcPr>
          <w:p w14:paraId="5E43E4A0"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6DA6C9D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0,16</w:t>
            </w:r>
          </w:p>
        </w:tc>
      </w:tr>
      <w:tr w:rsidR="00D15122" w:rsidRPr="00D6167B" w14:paraId="04FFD6D2"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504BBF89"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Preživljavanje bez progresije</w:t>
            </w:r>
          </w:p>
        </w:tc>
      </w:tr>
      <w:tr w:rsidR="00D15122" w:rsidRPr="00D6167B" w14:paraId="2087DE9F"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65E0E6EA"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Srednje vrijeme (mjeseci)</w:t>
            </w:r>
          </w:p>
        </w:tc>
        <w:tc>
          <w:tcPr>
            <w:tcW w:w="1284" w:type="dxa"/>
            <w:tcBorders>
              <w:top w:val="single" w:sz="5" w:space="0" w:color="000000"/>
              <w:left w:val="single" w:sz="5" w:space="0" w:color="000000"/>
              <w:bottom w:val="single" w:sz="5" w:space="0" w:color="000000"/>
              <w:right w:val="single" w:sz="5" w:space="0" w:color="000000"/>
            </w:tcBorders>
          </w:tcPr>
          <w:p w14:paraId="00079AC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5,2</w:t>
            </w:r>
          </w:p>
        </w:tc>
        <w:tc>
          <w:tcPr>
            <w:tcW w:w="1284" w:type="dxa"/>
            <w:tcBorders>
              <w:top w:val="single" w:sz="5" w:space="0" w:color="000000"/>
              <w:left w:val="single" w:sz="5" w:space="0" w:color="000000"/>
              <w:bottom w:val="single" w:sz="5" w:space="0" w:color="000000"/>
              <w:right w:val="single" w:sz="5" w:space="0" w:color="000000"/>
            </w:tcBorders>
          </w:tcPr>
          <w:p w14:paraId="3ECA13E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9,0</w:t>
            </w:r>
          </w:p>
        </w:tc>
        <w:tc>
          <w:tcPr>
            <w:tcW w:w="1284" w:type="dxa"/>
            <w:tcBorders>
              <w:top w:val="single" w:sz="5" w:space="0" w:color="000000"/>
              <w:left w:val="single" w:sz="5" w:space="0" w:color="000000"/>
              <w:bottom w:val="single" w:sz="5" w:space="0" w:color="000000"/>
              <w:right w:val="single" w:sz="5" w:space="0" w:color="000000"/>
            </w:tcBorders>
          </w:tcPr>
          <w:p w14:paraId="696B04B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7,2</w:t>
            </w:r>
          </w:p>
        </w:tc>
        <w:tc>
          <w:tcPr>
            <w:tcW w:w="1284" w:type="dxa"/>
            <w:tcBorders>
              <w:top w:val="single" w:sz="5" w:space="0" w:color="000000"/>
              <w:left w:val="single" w:sz="5" w:space="0" w:color="000000"/>
              <w:bottom w:val="single" w:sz="5" w:space="0" w:color="000000"/>
              <w:right w:val="single" w:sz="5" w:space="0" w:color="000000"/>
            </w:tcBorders>
          </w:tcPr>
          <w:p w14:paraId="49A1195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5,5</w:t>
            </w:r>
          </w:p>
        </w:tc>
        <w:tc>
          <w:tcPr>
            <w:tcW w:w="1284" w:type="dxa"/>
            <w:tcBorders>
              <w:top w:val="single" w:sz="5" w:space="0" w:color="000000"/>
              <w:left w:val="single" w:sz="5" w:space="0" w:color="000000"/>
              <w:bottom w:val="single" w:sz="5" w:space="0" w:color="000000"/>
              <w:right w:val="single" w:sz="5" w:space="0" w:color="000000"/>
            </w:tcBorders>
          </w:tcPr>
          <w:p w14:paraId="4455897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9,2</w:t>
            </w:r>
          </w:p>
        </w:tc>
      </w:tr>
      <w:tr w:rsidR="00D15122" w:rsidRPr="00D6167B" w14:paraId="2DF0C989"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17743050"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Odnos rizika</w:t>
            </w:r>
          </w:p>
        </w:tc>
        <w:tc>
          <w:tcPr>
            <w:tcW w:w="1284" w:type="dxa"/>
            <w:tcBorders>
              <w:top w:val="single" w:sz="5" w:space="0" w:color="000000"/>
              <w:left w:val="single" w:sz="5" w:space="0" w:color="000000"/>
              <w:bottom w:val="single" w:sz="5" w:space="0" w:color="000000"/>
              <w:right w:val="single" w:sz="5" w:space="0" w:color="000000"/>
            </w:tcBorders>
          </w:tcPr>
          <w:p w14:paraId="5F6E2987" w14:textId="77777777" w:rsidR="00D15122" w:rsidRPr="00D6167B" w:rsidRDefault="00D15122" w:rsidP="007608DF">
            <w:pPr>
              <w:widowControl/>
              <w:jc w:val="both"/>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203C104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0,44</w:t>
            </w:r>
          </w:p>
        </w:tc>
        <w:tc>
          <w:tcPr>
            <w:tcW w:w="1284" w:type="dxa"/>
            <w:tcBorders>
              <w:top w:val="single" w:sz="5" w:space="0" w:color="000000"/>
              <w:left w:val="single" w:sz="5" w:space="0" w:color="000000"/>
              <w:bottom w:val="single" w:sz="5" w:space="0" w:color="000000"/>
              <w:right w:val="single" w:sz="5" w:space="0" w:color="000000"/>
            </w:tcBorders>
          </w:tcPr>
          <w:p w14:paraId="3B499E1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0,69</w:t>
            </w:r>
          </w:p>
        </w:tc>
        <w:tc>
          <w:tcPr>
            <w:tcW w:w="1284" w:type="dxa"/>
            <w:tcBorders>
              <w:top w:val="single" w:sz="5" w:space="0" w:color="000000"/>
              <w:left w:val="single" w:sz="5" w:space="0" w:color="000000"/>
              <w:bottom w:val="single" w:sz="5" w:space="0" w:color="000000"/>
              <w:right w:val="single" w:sz="5" w:space="0" w:color="000000"/>
            </w:tcBorders>
          </w:tcPr>
          <w:p w14:paraId="124346A1"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39F959A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0,5</w:t>
            </w:r>
          </w:p>
        </w:tc>
      </w:tr>
      <w:tr w:rsidR="00D15122" w:rsidRPr="00D6167B" w14:paraId="1E005C58"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09706843"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Vrijednost p</w:t>
            </w:r>
          </w:p>
        </w:tc>
        <w:tc>
          <w:tcPr>
            <w:tcW w:w="1284" w:type="dxa"/>
            <w:tcBorders>
              <w:top w:val="single" w:sz="5" w:space="0" w:color="000000"/>
              <w:left w:val="single" w:sz="5" w:space="0" w:color="000000"/>
              <w:bottom w:val="single" w:sz="5" w:space="0" w:color="000000"/>
              <w:right w:val="single" w:sz="5" w:space="0" w:color="000000"/>
            </w:tcBorders>
          </w:tcPr>
          <w:p w14:paraId="385C7D80"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w:t>
            </w:r>
          </w:p>
        </w:tc>
        <w:tc>
          <w:tcPr>
            <w:tcW w:w="1284" w:type="dxa"/>
            <w:tcBorders>
              <w:top w:val="single" w:sz="5" w:space="0" w:color="000000"/>
              <w:left w:val="single" w:sz="5" w:space="0" w:color="000000"/>
              <w:bottom w:val="single" w:sz="5" w:space="0" w:color="000000"/>
              <w:right w:val="single" w:sz="5" w:space="0" w:color="000000"/>
            </w:tcBorders>
          </w:tcPr>
          <w:p w14:paraId="4F4762F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0,0049</w:t>
            </w:r>
          </w:p>
        </w:tc>
        <w:tc>
          <w:tcPr>
            <w:tcW w:w="1284" w:type="dxa"/>
            <w:tcBorders>
              <w:top w:val="single" w:sz="5" w:space="0" w:color="000000"/>
              <w:left w:val="single" w:sz="5" w:space="0" w:color="000000"/>
              <w:bottom w:val="single" w:sz="5" w:space="0" w:color="000000"/>
              <w:right w:val="single" w:sz="5" w:space="0" w:color="000000"/>
            </w:tcBorders>
          </w:tcPr>
          <w:p w14:paraId="00AC011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0,217</w:t>
            </w:r>
          </w:p>
        </w:tc>
        <w:tc>
          <w:tcPr>
            <w:tcW w:w="1284" w:type="dxa"/>
            <w:tcBorders>
              <w:top w:val="single" w:sz="5" w:space="0" w:color="000000"/>
              <w:left w:val="single" w:sz="5" w:space="0" w:color="000000"/>
              <w:bottom w:val="single" w:sz="5" w:space="0" w:color="000000"/>
              <w:right w:val="single" w:sz="5" w:space="0" w:color="000000"/>
            </w:tcBorders>
          </w:tcPr>
          <w:p w14:paraId="61B35A2C"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3897435F"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0,0002</w:t>
            </w:r>
          </w:p>
        </w:tc>
      </w:tr>
      <w:tr w:rsidR="00D15122" w:rsidRPr="00D6167B" w14:paraId="449BF55B"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0EE364BA"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Stopa ukupnog odgovora</w:t>
            </w:r>
          </w:p>
        </w:tc>
      </w:tr>
      <w:tr w:rsidR="00D15122" w:rsidRPr="00D6167B" w14:paraId="6645ADA2"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E209055"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Stopa (procenat)</w:t>
            </w:r>
          </w:p>
        </w:tc>
        <w:tc>
          <w:tcPr>
            <w:tcW w:w="1284" w:type="dxa"/>
            <w:tcBorders>
              <w:top w:val="single" w:sz="5" w:space="0" w:color="000000"/>
              <w:left w:val="single" w:sz="5" w:space="0" w:color="000000"/>
              <w:bottom w:val="single" w:sz="5" w:space="0" w:color="000000"/>
              <w:right w:val="single" w:sz="5" w:space="0" w:color="000000"/>
            </w:tcBorders>
          </w:tcPr>
          <w:p w14:paraId="324DD26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16,7</w:t>
            </w:r>
          </w:p>
        </w:tc>
        <w:tc>
          <w:tcPr>
            <w:tcW w:w="1284" w:type="dxa"/>
            <w:tcBorders>
              <w:top w:val="single" w:sz="5" w:space="0" w:color="000000"/>
              <w:left w:val="single" w:sz="5" w:space="0" w:color="000000"/>
              <w:bottom w:val="single" w:sz="5" w:space="0" w:color="000000"/>
              <w:right w:val="single" w:sz="5" w:space="0" w:color="000000"/>
            </w:tcBorders>
          </w:tcPr>
          <w:p w14:paraId="6E8DF58F"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40,0</w:t>
            </w:r>
          </w:p>
        </w:tc>
        <w:tc>
          <w:tcPr>
            <w:tcW w:w="1284" w:type="dxa"/>
            <w:tcBorders>
              <w:top w:val="single" w:sz="5" w:space="0" w:color="000000"/>
              <w:left w:val="single" w:sz="5" w:space="0" w:color="000000"/>
              <w:bottom w:val="single" w:sz="5" w:space="0" w:color="000000"/>
              <w:right w:val="single" w:sz="5" w:space="0" w:color="000000"/>
            </w:tcBorders>
          </w:tcPr>
          <w:p w14:paraId="571272F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24,2</w:t>
            </w:r>
          </w:p>
        </w:tc>
        <w:tc>
          <w:tcPr>
            <w:tcW w:w="1284" w:type="dxa"/>
            <w:tcBorders>
              <w:top w:val="single" w:sz="5" w:space="0" w:color="000000"/>
              <w:left w:val="single" w:sz="5" w:space="0" w:color="000000"/>
              <w:bottom w:val="single" w:sz="5" w:space="0" w:color="000000"/>
              <w:right w:val="single" w:sz="5" w:space="0" w:color="000000"/>
            </w:tcBorders>
          </w:tcPr>
          <w:p w14:paraId="79D1966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15,2</w:t>
            </w:r>
          </w:p>
        </w:tc>
        <w:tc>
          <w:tcPr>
            <w:tcW w:w="1284" w:type="dxa"/>
            <w:tcBorders>
              <w:top w:val="single" w:sz="5" w:space="0" w:color="000000"/>
              <w:left w:val="single" w:sz="5" w:space="0" w:color="000000"/>
              <w:bottom w:val="single" w:sz="5" w:space="0" w:color="000000"/>
              <w:right w:val="single" w:sz="5" w:space="0" w:color="000000"/>
            </w:tcBorders>
          </w:tcPr>
          <w:p w14:paraId="788375A8"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26</w:t>
            </w:r>
          </w:p>
        </w:tc>
      </w:tr>
      <w:tr w:rsidR="00D15122" w:rsidRPr="00D6167B" w14:paraId="1B0634F8"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1A230695"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95% CI</w:t>
            </w:r>
          </w:p>
        </w:tc>
        <w:tc>
          <w:tcPr>
            <w:tcW w:w="1284" w:type="dxa"/>
            <w:tcBorders>
              <w:top w:val="single" w:sz="5" w:space="0" w:color="000000"/>
              <w:left w:val="single" w:sz="5" w:space="0" w:color="000000"/>
              <w:bottom w:val="single" w:sz="5" w:space="0" w:color="000000"/>
              <w:right w:val="single" w:sz="5" w:space="0" w:color="000000"/>
            </w:tcBorders>
          </w:tcPr>
          <w:p w14:paraId="4CC036BA"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7,0–33,5</w:t>
            </w:r>
          </w:p>
        </w:tc>
        <w:tc>
          <w:tcPr>
            <w:tcW w:w="1284" w:type="dxa"/>
            <w:tcBorders>
              <w:top w:val="single" w:sz="5" w:space="0" w:color="000000"/>
              <w:left w:val="single" w:sz="5" w:space="0" w:color="000000"/>
              <w:bottom w:val="single" w:sz="5" w:space="0" w:color="000000"/>
              <w:right w:val="single" w:sz="5" w:space="0" w:color="000000"/>
            </w:tcBorders>
          </w:tcPr>
          <w:p w14:paraId="05006B0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24,4–57,8</w:t>
            </w:r>
          </w:p>
        </w:tc>
        <w:tc>
          <w:tcPr>
            <w:tcW w:w="1284" w:type="dxa"/>
            <w:tcBorders>
              <w:top w:val="single" w:sz="5" w:space="0" w:color="000000"/>
              <w:left w:val="single" w:sz="5" w:space="0" w:color="000000"/>
              <w:bottom w:val="single" w:sz="5" w:space="0" w:color="000000"/>
              <w:right w:val="single" w:sz="5" w:space="0" w:color="000000"/>
            </w:tcBorders>
          </w:tcPr>
          <w:p w14:paraId="7C1746E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11,7–42,6</w:t>
            </w:r>
          </w:p>
        </w:tc>
        <w:tc>
          <w:tcPr>
            <w:tcW w:w="1284" w:type="dxa"/>
            <w:tcBorders>
              <w:top w:val="single" w:sz="5" w:space="0" w:color="000000"/>
              <w:left w:val="single" w:sz="5" w:space="0" w:color="000000"/>
              <w:bottom w:val="single" w:sz="5" w:space="0" w:color="000000"/>
              <w:right w:val="single" w:sz="5" w:space="0" w:color="000000"/>
            </w:tcBorders>
          </w:tcPr>
          <w:p w14:paraId="240912AC"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9,223,9</w:t>
            </w:r>
          </w:p>
        </w:tc>
        <w:tc>
          <w:tcPr>
            <w:tcW w:w="1284" w:type="dxa"/>
            <w:tcBorders>
              <w:top w:val="single" w:sz="5" w:space="0" w:color="000000"/>
              <w:left w:val="single" w:sz="5" w:space="0" w:color="000000"/>
              <w:bottom w:val="single" w:sz="5" w:space="0" w:color="000000"/>
              <w:right w:val="single" w:sz="5" w:space="0" w:color="000000"/>
            </w:tcBorders>
          </w:tcPr>
          <w:p w14:paraId="0B1E0DD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18,1–35,6</w:t>
            </w:r>
          </w:p>
        </w:tc>
      </w:tr>
      <w:tr w:rsidR="00D15122" w:rsidRPr="00D6167B" w14:paraId="7CFB9FA6"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82AE097" w14:textId="77777777" w:rsidR="00D15122" w:rsidRPr="00D6167B" w:rsidRDefault="009B0756" w:rsidP="007608DF">
            <w:pPr>
              <w:pStyle w:val="TableParagraph"/>
              <w:widowControl/>
              <w:ind w:left="263"/>
              <w:jc w:val="both"/>
              <w:rPr>
                <w:rFonts w:ascii="Times New Roman" w:eastAsia="Times New Roman" w:hAnsi="Times New Roman"/>
                <w:lang w:val="hr-HR"/>
              </w:rPr>
            </w:pPr>
            <w:r w:rsidRPr="00D6167B">
              <w:rPr>
                <w:rFonts w:ascii="Times New Roman" w:hAnsi="Times New Roman"/>
                <w:lang w:val="hr-HR"/>
              </w:rPr>
              <w:t>Vrijednost p</w:t>
            </w:r>
          </w:p>
        </w:tc>
        <w:tc>
          <w:tcPr>
            <w:tcW w:w="1284" w:type="dxa"/>
            <w:tcBorders>
              <w:top w:val="single" w:sz="5" w:space="0" w:color="000000"/>
              <w:left w:val="single" w:sz="5" w:space="0" w:color="000000"/>
              <w:bottom w:val="single" w:sz="5" w:space="0" w:color="000000"/>
              <w:right w:val="single" w:sz="5" w:space="0" w:color="000000"/>
            </w:tcBorders>
          </w:tcPr>
          <w:p w14:paraId="7FF6DA2B"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3C1C913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0,029</w:t>
            </w:r>
          </w:p>
        </w:tc>
        <w:tc>
          <w:tcPr>
            <w:tcW w:w="1284" w:type="dxa"/>
            <w:tcBorders>
              <w:top w:val="single" w:sz="5" w:space="0" w:color="000000"/>
              <w:left w:val="single" w:sz="5" w:space="0" w:color="000000"/>
              <w:bottom w:val="single" w:sz="5" w:space="0" w:color="000000"/>
              <w:right w:val="single" w:sz="5" w:space="0" w:color="000000"/>
            </w:tcBorders>
          </w:tcPr>
          <w:p w14:paraId="2EFCC77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0,43</w:t>
            </w:r>
          </w:p>
        </w:tc>
        <w:tc>
          <w:tcPr>
            <w:tcW w:w="1284" w:type="dxa"/>
            <w:tcBorders>
              <w:top w:val="single" w:sz="5" w:space="0" w:color="000000"/>
              <w:left w:val="single" w:sz="5" w:space="0" w:color="000000"/>
              <w:bottom w:val="single" w:sz="5" w:space="0" w:color="000000"/>
              <w:right w:val="single" w:sz="5" w:space="0" w:color="000000"/>
            </w:tcBorders>
          </w:tcPr>
          <w:p w14:paraId="327D3F87" w14:textId="77777777" w:rsidR="00D15122" w:rsidRPr="00D6167B" w:rsidRDefault="00D15122" w:rsidP="00D37692">
            <w:pPr>
              <w:widowControl/>
              <w:jc w:val="center"/>
              <w:rPr>
                <w:rFonts w:ascii="Times New Roman" w:hAnsi="Times New Roman"/>
                <w:lang w:val="hr-HR"/>
              </w:rPr>
            </w:pPr>
          </w:p>
        </w:tc>
        <w:tc>
          <w:tcPr>
            <w:tcW w:w="1284" w:type="dxa"/>
            <w:tcBorders>
              <w:top w:val="single" w:sz="5" w:space="0" w:color="000000"/>
              <w:left w:val="single" w:sz="5" w:space="0" w:color="000000"/>
              <w:bottom w:val="single" w:sz="5" w:space="0" w:color="000000"/>
              <w:right w:val="single" w:sz="5" w:space="0" w:color="000000"/>
            </w:tcBorders>
          </w:tcPr>
          <w:p w14:paraId="09FAFE5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0,055</w:t>
            </w:r>
          </w:p>
        </w:tc>
      </w:tr>
      <w:tr w:rsidR="00D15122" w:rsidRPr="00D6167B" w14:paraId="1CA59488"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5C2899EA"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Trajanje odgovora</w:t>
            </w:r>
          </w:p>
        </w:tc>
      </w:tr>
      <w:tr w:rsidR="00D15122" w:rsidRPr="00D6167B" w14:paraId="6063CFCC"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173FD5D0" w14:textId="77777777" w:rsidR="00D15122" w:rsidRPr="00D6167B" w:rsidRDefault="009B0756" w:rsidP="007608DF">
            <w:pPr>
              <w:pStyle w:val="TableParagraph"/>
              <w:widowControl/>
              <w:ind w:left="270"/>
              <w:jc w:val="both"/>
              <w:rPr>
                <w:rFonts w:ascii="Times New Roman" w:eastAsia="Times New Roman" w:hAnsi="Times New Roman"/>
                <w:lang w:val="hr-HR"/>
              </w:rPr>
            </w:pPr>
            <w:r w:rsidRPr="00D6167B">
              <w:rPr>
                <w:rFonts w:ascii="Times New Roman" w:hAnsi="Times New Roman"/>
                <w:lang w:val="hr-HR"/>
              </w:rPr>
              <w:t>Srednje vrijeme (mjeseci)</w:t>
            </w:r>
          </w:p>
        </w:tc>
        <w:tc>
          <w:tcPr>
            <w:tcW w:w="1284" w:type="dxa"/>
            <w:tcBorders>
              <w:top w:val="single" w:sz="5" w:space="0" w:color="000000"/>
              <w:left w:val="single" w:sz="5" w:space="0" w:color="000000"/>
              <w:bottom w:val="single" w:sz="5" w:space="0" w:color="000000"/>
              <w:right w:val="single" w:sz="5" w:space="0" w:color="000000"/>
            </w:tcBorders>
          </w:tcPr>
          <w:p w14:paraId="06FA4D1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NR</w:t>
            </w:r>
          </w:p>
        </w:tc>
        <w:tc>
          <w:tcPr>
            <w:tcW w:w="1284" w:type="dxa"/>
            <w:tcBorders>
              <w:top w:val="single" w:sz="5" w:space="0" w:color="000000"/>
              <w:left w:val="single" w:sz="5" w:space="0" w:color="000000"/>
              <w:bottom w:val="single" w:sz="5" w:space="0" w:color="000000"/>
              <w:right w:val="single" w:sz="5" w:space="0" w:color="000000"/>
            </w:tcBorders>
          </w:tcPr>
          <w:p w14:paraId="4B6BBAC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9,3</w:t>
            </w:r>
          </w:p>
        </w:tc>
        <w:tc>
          <w:tcPr>
            <w:tcW w:w="1284" w:type="dxa"/>
            <w:tcBorders>
              <w:top w:val="single" w:sz="5" w:space="0" w:color="000000"/>
              <w:left w:val="single" w:sz="5" w:space="0" w:color="000000"/>
              <w:bottom w:val="single" w:sz="5" w:space="0" w:color="000000"/>
              <w:right w:val="single" w:sz="5" w:space="0" w:color="000000"/>
            </w:tcBorders>
          </w:tcPr>
          <w:p w14:paraId="7EEA2FB2"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5,0</w:t>
            </w:r>
          </w:p>
        </w:tc>
        <w:tc>
          <w:tcPr>
            <w:tcW w:w="1284" w:type="dxa"/>
            <w:tcBorders>
              <w:top w:val="single" w:sz="5" w:space="0" w:color="000000"/>
              <w:left w:val="single" w:sz="5" w:space="0" w:color="000000"/>
              <w:bottom w:val="single" w:sz="5" w:space="0" w:color="000000"/>
              <w:right w:val="single" w:sz="5" w:space="0" w:color="000000"/>
            </w:tcBorders>
          </w:tcPr>
          <w:p w14:paraId="7934CF1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6,8</w:t>
            </w:r>
          </w:p>
        </w:tc>
        <w:tc>
          <w:tcPr>
            <w:tcW w:w="1284" w:type="dxa"/>
            <w:tcBorders>
              <w:top w:val="single" w:sz="5" w:space="0" w:color="000000"/>
              <w:left w:val="single" w:sz="5" w:space="0" w:color="000000"/>
              <w:bottom w:val="single" w:sz="5" w:space="0" w:color="000000"/>
              <w:right w:val="single" w:sz="5" w:space="0" w:color="000000"/>
            </w:tcBorders>
          </w:tcPr>
          <w:p w14:paraId="79F8FF3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9,2</w:t>
            </w:r>
          </w:p>
        </w:tc>
      </w:tr>
      <w:tr w:rsidR="00D15122" w:rsidRPr="00D6167B" w14:paraId="11CDB3C7"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7027B7D2" w14:textId="77777777" w:rsidR="00D15122" w:rsidRPr="00D6167B" w:rsidRDefault="009B0756" w:rsidP="007608DF">
            <w:pPr>
              <w:pStyle w:val="TableParagraph"/>
              <w:widowControl/>
              <w:ind w:left="270"/>
              <w:jc w:val="both"/>
              <w:rPr>
                <w:rFonts w:ascii="Times New Roman" w:eastAsia="Times New Roman" w:hAnsi="Times New Roman"/>
                <w:lang w:val="hr-HR"/>
              </w:rPr>
            </w:pPr>
            <w:r w:rsidRPr="00D6167B">
              <w:rPr>
                <w:rFonts w:ascii="Times New Roman" w:hAnsi="Times New Roman"/>
                <w:lang w:val="hr-HR"/>
              </w:rPr>
              <w:t>25–75 percentil (mjeseci)</w:t>
            </w:r>
          </w:p>
        </w:tc>
        <w:tc>
          <w:tcPr>
            <w:tcW w:w="1284" w:type="dxa"/>
            <w:tcBorders>
              <w:top w:val="single" w:sz="5" w:space="0" w:color="000000"/>
              <w:left w:val="single" w:sz="5" w:space="0" w:color="000000"/>
              <w:bottom w:val="single" w:sz="5" w:space="0" w:color="000000"/>
              <w:right w:val="single" w:sz="5" w:space="0" w:color="000000"/>
            </w:tcBorders>
          </w:tcPr>
          <w:p w14:paraId="3EC3F70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5,5 – NR</w:t>
            </w:r>
          </w:p>
        </w:tc>
        <w:tc>
          <w:tcPr>
            <w:tcW w:w="1284" w:type="dxa"/>
            <w:tcBorders>
              <w:top w:val="single" w:sz="5" w:space="0" w:color="000000"/>
              <w:left w:val="single" w:sz="5" w:space="0" w:color="000000"/>
              <w:bottom w:val="single" w:sz="5" w:space="0" w:color="000000"/>
              <w:right w:val="single" w:sz="5" w:space="0" w:color="000000"/>
            </w:tcBorders>
          </w:tcPr>
          <w:p w14:paraId="7EE8148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6,1 – NR</w:t>
            </w:r>
          </w:p>
        </w:tc>
        <w:tc>
          <w:tcPr>
            <w:tcW w:w="1284" w:type="dxa"/>
            <w:tcBorders>
              <w:top w:val="single" w:sz="5" w:space="0" w:color="000000"/>
              <w:left w:val="single" w:sz="5" w:space="0" w:color="000000"/>
              <w:bottom w:val="single" w:sz="5" w:space="0" w:color="000000"/>
              <w:right w:val="single" w:sz="5" w:space="0" w:color="000000"/>
            </w:tcBorders>
          </w:tcPr>
          <w:p w14:paraId="2867F168"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3,8–7,8</w:t>
            </w:r>
          </w:p>
        </w:tc>
        <w:tc>
          <w:tcPr>
            <w:tcW w:w="1284" w:type="dxa"/>
            <w:tcBorders>
              <w:top w:val="single" w:sz="5" w:space="0" w:color="000000"/>
              <w:left w:val="single" w:sz="5" w:space="0" w:color="000000"/>
              <w:bottom w:val="single" w:sz="5" w:space="0" w:color="000000"/>
              <w:right w:val="single" w:sz="5" w:space="0" w:color="000000"/>
            </w:tcBorders>
          </w:tcPr>
          <w:p w14:paraId="36A4FA86"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5,59–9,17</w:t>
            </w:r>
          </w:p>
        </w:tc>
        <w:tc>
          <w:tcPr>
            <w:tcW w:w="1284" w:type="dxa"/>
            <w:tcBorders>
              <w:top w:val="single" w:sz="5" w:space="0" w:color="000000"/>
              <w:left w:val="single" w:sz="5" w:space="0" w:color="000000"/>
              <w:bottom w:val="single" w:sz="5" w:space="0" w:color="000000"/>
              <w:right w:val="single" w:sz="5" w:space="0" w:color="000000"/>
            </w:tcBorders>
          </w:tcPr>
          <w:p w14:paraId="722BB50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5,88–13,01</w:t>
            </w:r>
          </w:p>
        </w:tc>
      </w:tr>
    </w:tbl>
    <w:p w14:paraId="1B769D1B" w14:textId="77777777" w:rsidR="00D15122" w:rsidRPr="00D6167B" w:rsidRDefault="009B0756" w:rsidP="007608DF">
      <w:pPr>
        <w:widowControl/>
        <w:spacing w:line="227" w:lineRule="exact"/>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5 mg/kg na svake 2 nedjelje.</w:t>
      </w:r>
    </w:p>
    <w:p w14:paraId="3075D70C" w14:textId="77777777" w:rsidR="00B15D97" w:rsidRPr="00D6167B" w:rsidRDefault="009B0756" w:rsidP="007608DF">
      <w:pPr>
        <w:widowControl/>
        <w:spacing w:line="230" w:lineRule="exact"/>
        <w:ind w:left="288" w:hanging="288"/>
        <w:jc w:val="both"/>
        <w:rPr>
          <w:rFonts w:ascii="Times New Roman" w:hAnsi="Times New Roman"/>
          <w:sz w:val="20"/>
          <w:lang w:val="hr-HR"/>
        </w:rPr>
      </w:pPr>
      <w:r w:rsidRPr="00D6167B">
        <w:rPr>
          <w:rFonts w:ascii="Times New Roman" w:hAnsi="Times New Roman"/>
          <w:vertAlign w:val="superscript"/>
          <w:lang w:val="hr-HR"/>
        </w:rPr>
        <w:t>b</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 xml:space="preserve">10 mg/kg na svake 2 nedjelje. </w:t>
      </w:r>
    </w:p>
    <w:p w14:paraId="33C7B0B7" w14:textId="77777777" w:rsidR="00B15D97" w:rsidRPr="00D6167B" w:rsidRDefault="009B0756" w:rsidP="007608DF">
      <w:pPr>
        <w:widowControl/>
        <w:spacing w:line="230" w:lineRule="exact"/>
        <w:ind w:left="288" w:hanging="288"/>
        <w:jc w:val="both"/>
        <w:rPr>
          <w:rFonts w:ascii="Times New Roman" w:hAnsi="Times New Roman"/>
          <w:sz w:val="20"/>
          <w:lang w:val="hr-HR"/>
        </w:rPr>
      </w:pPr>
      <w:r w:rsidRPr="00D6167B">
        <w:rPr>
          <w:rFonts w:ascii="Times New Roman" w:hAnsi="Times New Roman"/>
          <w:vertAlign w:val="superscript"/>
          <w:lang w:val="hr-HR"/>
        </w:rPr>
        <w:t>c</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U odnosu na kontroln</w:t>
      </w:r>
      <w:r w:rsidR="00017976" w:rsidRPr="00D6167B">
        <w:rPr>
          <w:rFonts w:ascii="Times New Roman" w:hAnsi="Times New Roman"/>
          <w:sz w:val="20"/>
          <w:lang w:val="hr-HR"/>
        </w:rPr>
        <w:t>u</w:t>
      </w:r>
      <w:r w:rsidRPr="00D6167B">
        <w:rPr>
          <w:rFonts w:ascii="Times New Roman" w:hAnsi="Times New Roman"/>
          <w:sz w:val="20"/>
          <w:lang w:val="hr-HR"/>
        </w:rPr>
        <w:t xml:space="preserve"> </w:t>
      </w:r>
      <w:r w:rsidR="00017976" w:rsidRPr="00D6167B">
        <w:rPr>
          <w:rFonts w:ascii="Times New Roman" w:hAnsi="Times New Roman"/>
          <w:sz w:val="20"/>
          <w:lang w:val="hr-HR"/>
        </w:rPr>
        <w:t>grupu</w:t>
      </w:r>
      <w:r w:rsidRPr="00D6167B">
        <w:rPr>
          <w:rFonts w:ascii="Times New Roman" w:hAnsi="Times New Roman"/>
          <w:sz w:val="20"/>
          <w:lang w:val="hr-HR"/>
        </w:rPr>
        <w:t xml:space="preserve">. </w:t>
      </w:r>
    </w:p>
    <w:p w14:paraId="0ED32FA7" w14:textId="77777777" w:rsidR="00D15122" w:rsidRPr="00D6167B" w:rsidRDefault="009B0756" w:rsidP="007608DF">
      <w:pPr>
        <w:widowControl/>
        <w:spacing w:line="230" w:lineRule="exact"/>
        <w:ind w:left="90" w:hanging="90"/>
        <w:jc w:val="both"/>
        <w:rPr>
          <w:rFonts w:ascii="Times New Roman" w:eastAsia="Times New Roman" w:hAnsi="Times New Roman"/>
          <w:sz w:val="20"/>
          <w:szCs w:val="20"/>
          <w:lang w:val="hr-HR"/>
        </w:rPr>
      </w:pPr>
      <w:r w:rsidRPr="00D6167B">
        <w:rPr>
          <w:rFonts w:ascii="Times New Roman" w:hAnsi="Times New Roman"/>
          <w:sz w:val="20"/>
          <w:lang w:val="hr-HR"/>
        </w:rPr>
        <w:t>NR = nije dostignuto.</w:t>
      </w:r>
    </w:p>
    <w:p w14:paraId="56D7E4F8" w14:textId="77777777" w:rsidR="00D15122" w:rsidRPr="00D6167B" w:rsidRDefault="00D15122" w:rsidP="007608DF">
      <w:pPr>
        <w:widowControl/>
        <w:jc w:val="both"/>
        <w:rPr>
          <w:rFonts w:ascii="Times New Roman" w:eastAsia="Times New Roman" w:hAnsi="Times New Roman"/>
          <w:lang w:val="hr-HR"/>
        </w:rPr>
      </w:pPr>
    </w:p>
    <w:p w14:paraId="3377ECFD" w14:textId="77777777" w:rsidR="00DF369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NO16966</w:t>
      </w:r>
    </w:p>
    <w:p w14:paraId="1ACB7928" w14:textId="20FC6F3F" w:rsidR="00D15122" w:rsidRPr="00D6167B" w:rsidRDefault="002332EC" w:rsidP="007608DF">
      <w:pPr>
        <w:pStyle w:val="BodyText"/>
        <w:widowControl/>
        <w:spacing w:line="252" w:lineRule="exact"/>
        <w:ind w:left="0"/>
        <w:jc w:val="both"/>
        <w:rPr>
          <w:lang w:val="hr-HR"/>
        </w:rPr>
      </w:pPr>
      <w:r>
        <w:rPr>
          <w:lang w:val="hr-HR"/>
        </w:rPr>
        <w:t>Riječ je o</w:t>
      </w:r>
      <w:r w:rsidR="009B0756" w:rsidRPr="00D6167B">
        <w:rPr>
          <w:lang w:val="hr-HR"/>
        </w:rPr>
        <w:t xml:space="preserve"> </w:t>
      </w:r>
      <w:r w:rsidRPr="00D6167B">
        <w:rPr>
          <w:lang w:val="hr-HR"/>
        </w:rPr>
        <w:t>randomizovano</w:t>
      </w:r>
      <w:r>
        <w:rPr>
          <w:lang w:val="hr-HR"/>
        </w:rPr>
        <w:t>m</w:t>
      </w:r>
      <w:r w:rsidRPr="00D6167B">
        <w:rPr>
          <w:lang w:val="hr-HR"/>
        </w:rPr>
        <w:t>, dvostruko slijepo</w:t>
      </w:r>
      <w:r>
        <w:rPr>
          <w:lang w:val="hr-HR"/>
        </w:rPr>
        <w:t>m</w:t>
      </w:r>
      <w:r w:rsidRPr="00D6167B">
        <w:rPr>
          <w:lang w:val="hr-HR"/>
        </w:rPr>
        <w:t xml:space="preserve"> (za bevacizumab) </w:t>
      </w:r>
      <w:r w:rsidR="009B0756" w:rsidRPr="00D6167B">
        <w:rPr>
          <w:lang w:val="hr-HR"/>
        </w:rPr>
        <w:t>kliničko</w:t>
      </w:r>
      <w:r>
        <w:rPr>
          <w:lang w:val="hr-HR"/>
        </w:rPr>
        <w:t>m</w:t>
      </w:r>
      <w:r w:rsidR="009B0756" w:rsidRPr="00D6167B">
        <w:rPr>
          <w:lang w:val="hr-HR"/>
        </w:rPr>
        <w:t xml:space="preserve"> ispitivanj</w:t>
      </w:r>
      <w:r>
        <w:rPr>
          <w:lang w:val="hr-HR"/>
        </w:rPr>
        <w:t>u</w:t>
      </w:r>
      <w:r w:rsidR="009B0756" w:rsidRPr="00D6167B">
        <w:rPr>
          <w:lang w:val="hr-HR"/>
        </w:rPr>
        <w:t xml:space="preserve"> faze III, kojim je ispitivan bevacizumab u dozi 7,5 mg/kg u kombinaciji sa oralnim kapecitabilnom i intravenskim oksaliplatinom (XELOX), koji su primjenjivani po 3-nedjeljnom rasporedu; ili bevacizumab 5 mg/kg u kombinaciji sa bolusom leukovorina i 5</w:t>
      </w:r>
      <w:r w:rsidR="009B0756" w:rsidRPr="00D6167B">
        <w:rPr>
          <w:lang w:val="hr-HR"/>
        </w:rPr>
        <w:noBreakHyphen/>
        <w:t>fluorouracila, nakon čega slijedi infuzija 5-fluorouracila uz intravenski oksaliplatin</w:t>
      </w:r>
      <w:r w:rsidR="00050C58" w:rsidRPr="00D6167B">
        <w:rPr>
          <w:lang w:val="hr-HR"/>
        </w:rPr>
        <w:t xml:space="preserve"> </w:t>
      </w:r>
      <w:r w:rsidR="009B0756" w:rsidRPr="00D6167B">
        <w:rPr>
          <w:lang w:val="hr-HR"/>
        </w:rPr>
        <w:t xml:space="preserve">(FOLFOX-4), koji se primjenjuje prema 2-nedjeljnom rasporedu. Ova studija je imala dva dijela: početni nezaslijepljeni dio sa 2 </w:t>
      </w:r>
      <w:r w:rsidR="00017976" w:rsidRPr="00D6167B">
        <w:rPr>
          <w:lang w:val="hr-HR"/>
        </w:rPr>
        <w:t xml:space="preserve">grupe </w:t>
      </w:r>
      <w:r w:rsidR="009B0756" w:rsidRPr="00D6167B">
        <w:rPr>
          <w:lang w:val="hr-HR"/>
        </w:rPr>
        <w:t>(</w:t>
      </w:r>
      <w:r>
        <w:rPr>
          <w:lang w:val="hr-HR"/>
        </w:rPr>
        <w:t>d</w:t>
      </w:r>
      <w:r w:rsidR="009B0756" w:rsidRPr="00D6167B">
        <w:rPr>
          <w:lang w:val="hr-HR"/>
        </w:rPr>
        <w:t>io I) u kom su pacijenti bili randomizovani u dvije različite terapijske grupe (XELOX i FOLFOX</w:t>
      </w:r>
      <w:r w:rsidR="009B0756" w:rsidRPr="00D6167B">
        <w:rPr>
          <w:lang w:val="hr-HR"/>
        </w:rPr>
        <w:noBreakHyphen/>
        <w:t xml:space="preserve">4), a zatim dio sa 4 </w:t>
      </w:r>
      <w:r w:rsidR="00017976" w:rsidRPr="00D6167B">
        <w:rPr>
          <w:lang w:val="hr-HR"/>
        </w:rPr>
        <w:t>grupe</w:t>
      </w:r>
      <w:r w:rsidR="009B0756" w:rsidRPr="00D6167B">
        <w:rPr>
          <w:lang w:val="hr-HR"/>
        </w:rPr>
        <w:t>, 2 x 2 faktorijel, (</w:t>
      </w:r>
      <w:r>
        <w:rPr>
          <w:lang w:val="hr-HR"/>
        </w:rPr>
        <w:t>d</w:t>
      </w:r>
      <w:r w:rsidR="009B0756" w:rsidRPr="00D6167B">
        <w:rPr>
          <w:lang w:val="hr-HR"/>
        </w:rPr>
        <w:t>io II) u kom su pacijenti bili randomizovani u četiri grupe liječenja (XELOX + placebo, FOLFOX-4 + placebo, XELOX + bevacizumab, FOLFOX</w:t>
      </w:r>
      <w:r w:rsidR="009B0756" w:rsidRPr="00D6167B">
        <w:rPr>
          <w:lang w:val="hr-HR"/>
        </w:rPr>
        <w:noBreakHyphen/>
        <w:t xml:space="preserve">4 + bevacizumab). U </w:t>
      </w:r>
      <w:r>
        <w:rPr>
          <w:lang w:val="hr-HR"/>
        </w:rPr>
        <w:t>d</w:t>
      </w:r>
      <w:r w:rsidR="009B0756" w:rsidRPr="00D6167B">
        <w:rPr>
          <w:lang w:val="hr-HR"/>
        </w:rPr>
        <w:t xml:space="preserve">ijelu II je </w:t>
      </w:r>
      <w:r>
        <w:rPr>
          <w:lang w:val="hr-HR"/>
        </w:rPr>
        <w:t>randomizacija pacijenata je</w:t>
      </w:r>
      <w:r w:rsidR="009B0756" w:rsidRPr="00D6167B">
        <w:rPr>
          <w:lang w:val="hr-HR"/>
        </w:rPr>
        <w:t xml:space="preserve"> bila dvostruko slijepa u pogledu bevacizumaba.</w:t>
      </w:r>
    </w:p>
    <w:p w14:paraId="0AF3C5CE" w14:textId="77777777" w:rsidR="00A80403" w:rsidRPr="00D6167B" w:rsidRDefault="00A80403" w:rsidP="007608DF">
      <w:pPr>
        <w:widowControl/>
        <w:jc w:val="both"/>
        <w:rPr>
          <w:rFonts w:ascii="Times New Roman" w:eastAsia="Times New Roman" w:hAnsi="Times New Roman"/>
          <w:lang w:val="hr-HR"/>
        </w:rPr>
      </w:pPr>
    </w:p>
    <w:p w14:paraId="44F8343F" w14:textId="0F449A5B" w:rsidR="00D15122" w:rsidRPr="00D6167B" w:rsidRDefault="009B0756" w:rsidP="007608DF">
      <w:pPr>
        <w:pStyle w:val="BodyText"/>
        <w:widowControl/>
        <w:ind w:left="0"/>
        <w:jc w:val="both"/>
        <w:rPr>
          <w:lang w:val="hr-HR"/>
        </w:rPr>
      </w:pPr>
      <w:r w:rsidRPr="00D6167B">
        <w:rPr>
          <w:lang w:val="hr-HR"/>
        </w:rPr>
        <w:t>Približno je 350 pacijenata randomizovano u ov</w:t>
      </w:r>
      <w:r w:rsidR="0010193D" w:rsidRPr="00D6167B">
        <w:rPr>
          <w:lang w:val="hr-HR"/>
        </w:rPr>
        <w:t>e</w:t>
      </w:r>
      <w:r w:rsidRPr="00D6167B">
        <w:rPr>
          <w:lang w:val="hr-HR"/>
        </w:rPr>
        <w:t xml:space="preserve"> 4 </w:t>
      </w:r>
      <w:r w:rsidR="0010193D" w:rsidRPr="00D6167B">
        <w:rPr>
          <w:lang w:val="hr-HR"/>
        </w:rPr>
        <w:t xml:space="preserve">grupe </w:t>
      </w:r>
      <w:r w:rsidRPr="00D6167B">
        <w:rPr>
          <w:lang w:val="hr-HR"/>
        </w:rPr>
        <w:t xml:space="preserve">ispitivanja u </w:t>
      </w:r>
      <w:r w:rsidR="002332EC">
        <w:rPr>
          <w:lang w:val="hr-HR"/>
        </w:rPr>
        <w:t>d</w:t>
      </w:r>
      <w:r w:rsidRPr="00D6167B">
        <w:rPr>
          <w:lang w:val="hr-HR"/>
        </w:rPr>
        <w:t>ijelu II ispitivanja.</w:t>
      </w:r>
    </w:p>
    <w:p w14:paraId="00F92883" w14:textId="77777777" w:rsidR="00221EBE" w:rsidRPr="00D6167B" w:rsidRDefault="00221EBE" w:rsidP="007608DF">
      <w:pPr>
        <w:pStyle w:val="Heading1"/>
        <w:widowControl/>
        <w:tabs>
          <w:tab w:val="left" w:pos="1253"/>
        </w:tabs>
        <w:ind w:left="0"/>
        <w:jc w:val="both"/>
        <w:rPr>
          <w:b w:val="0"/>
          <w:lang w:val="hr-HR"/>
        </w:rPr>
      </w:pPr>
    </w:p>
    <w:p w14:paraId="7193D1F9" w14:textId="77777777" w:rsidR="00D15122" w:rsidRPr="00D6167B" w:rsidRDefault="009B0756" w:rsidP="007608DF">
      <w:pPr>
        <w:pStyle w:val="Heading1"/>
        <w:keepNext/>
        <w:widowControl/>
        <w:tabs>
          <w:tab w:val="left" w:pos="1253"/>
        </w:tabs>
        <w:ind w:left="0"/>
        <w:jc w:val="both"/>
        <w:rPr>
          <w:bCs w:val="0"/>
          <w:lang w:val="hr-HR"/>
        </w:rPr>
      </w:pPr>
      <w:r w:rsidRPr="00D6167B">
        <w:rPr>
          <w:lang w:val="hr-HR"/>
        </w:rPr>
        <w:t>Tabela 6</w:t>
      </w:r>
      <w:r w:rsidRPr="00D6167B">
        <w:rPr>
          <w:lang w:val="hr-HR"/>
        </w:rPr>
        <w:tab/>
        <w:t>Režimi liječenja u ispitivanju NO16966 (mCRC)</w:t>
      </w:r>
    </w:p>
    <w:p w14:paraId="4EEB39FD" w14:textId="77777777" w:rsidR="00D15122" w:rsidRPr="00D6167B" w:rsidRDefault="00D15122" w:rsidP="007608DF">
      <w:pPr>
        <w:keepNext/>
        <w:widowControl/>
        <w:jc w:val="both"/>
        <w:rPr>
          <w:rFonts w:ascii="Times New Roman" w:eastAsia="Times New Roman" w:hAnsi="Times New Roman"/>
          <w:bCs/>
          <w:lang w:val="hr-HR"/>
        </w:rPr>
      </w:pPr>
    </w:p>
    <w:tbl>
      <w:tblPr>
        <w:tblW w:w="51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1559"/>
        <w:gridCol w:w="1775"/>
        <w:gridCol w:w="2845"/>
        <w:gridCol w:w="3140"/>
        <w:gridCol w:w="6"/>
      </w:tblGrid>
      <w:tr w:rsidR="00D15122" w:rsidRPr="00D6167B" w14:paraId="2178E6E0" w14:textId="77777777" w:rsidTr="00FB19BF">
        <w:trPr>
          <w:gridAfter w:val="1"/>
          <w:wAfter w:w="6" w:type="dxa"/>
          <w:cantSplit/>
          <w:tblHeader/>
        </w:trPr>
        <w:tc>
          <w:tcPr>
            <w:tcW w:w="1611" w:type="dxa"/>
          </w:tcPr>
          <w:p w14:paraId="311C7FF2" w14:textId="77777777" w:rsidR="00D15122" w:rsidRPr="00D6167B" w:rsidRDefault="00D15122" w:rsidP="007608DF">
            <w:pPr>
              <w:keepNext/>
              <w:widowControl/>
              <w:jc w:val="both"/>
              <w:rPr>
                <w:rFonts w:ascii="Times New Roman" w:hAnsi="Times New Roman"/>
                <w:lang w:val="hr-HR"/>
              </w:rPr>
            </w:pPr>
          </w:p>
        </w:tc>
        <w:tc>
          <w:tcPr>
            <w:tcW w:w="1836" w:type="dxa"/>
          </w:tcPr>
          <w:p w14:paraId="2D652302"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Liječenje</w:t>
            </w:r>
          </w:p>
        </w:tc>
        <w:tc>
          <w:tcPr>
            <w:tcW w:w="2948" w:type="dxa"/>
          </w:tcPr>
          <w:p w14:paraId="1BFCD12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Početna doza</w:t>
            </w:r>
          </w:p>
        </w:tc>
        <w:tc>
          <w:tcPr>
            <w:tcW w:w="3255" w:type="dxa"/>
          </w:tcPr>
          <w:p w14:paraId="4CEFAAD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Raspored</w:t>
            </w:r>
          </w:p>
        </w:tc>
      </w:tr>
      <w:tr w:rsidR="00D15122" w:rsidRPr="00D6167B" w14:paraId="467B03A5" w14:textId="77777777" w:rsidTr="00FB19BF">
        <w:trPr>
          <w:gridAfter w:val="1"/>
          <w:wAfter w:w="6" w:type="dxa"/>
          <w:cantSplit/>
        </w:trPr>
        <w:tc>
          <w:tcPr>
            <w:tcW w:w="1611" w:type="dxa"/>
            <w:vMerge w:val="restart"/>
          </w:tcPr>
          <w:p w14:paraId="363DD5C6"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FOLFOX-4 ili FOLFOX-4 + bevacizumab</w:t>
            </w:r>
          </w:p>
        </w:tc>
        <w:tc>
          <w:tcPr>
            <w:tcW w:w="1836" w:type="dxa"/>
          </w:tcPr>
          <w:p w14:paraId="7D3EE1D2" w14:textId="77777777" w:rsidR="00D15122" w:rsidRPr="00D6167B" w:rsidRDefault="00B15D97" w:rsidP="00D37692">
            <w:pPr>
              <w:pStyle w:val="TableParagraph"/>
              <w:keepNext/>
              <w:widowControl/>
              <w:rPr>
                <w:rFonts w:ascii="Times New Roman" w:eastAsia="Times New Roman" w:hAnsi="Times New Roman"/>
                <w:lang w:val="hr-HR"/>
              </w:rPr>
            </w:pPr>
            <w:r w:rsidRPr="00D6167B">
              <w:rPr>
                <w:rFonts w:ascii="Times New Roman" w:hAnsi="Times New Roman"/>
                <w:lang w:val="hr-HR"/>
              </w:rPr>
              <w:t>Oksaliplatin Leukovorin</w:t>
            </w:r>
          </w:p>
          <w:p w14:paraId="706A2DC5" w14:textId="77777777" w:rsidR="00D15122" w:rsidRPr="00D6167B" w:rsidRDefault="009B0756" w:rsidP="00D37692">
            <w:pPr>
              <w:pStyle w:val="TableParagraph"/>
              <w:keepNext/>
              <w:widowControl/>
              <w:rPr>
                <w:rFonts w:ascii="Times New Roman" w:eastAsia="Times New Roman" w:hAnsi="Times New Roman"/>
                <w:lang w:val="hr-HR"/>
              </w:rPr>
            </w:pPr>
            <w:r w:rsidRPr="00D6167B">
              <w:rPr>
                <w:rFonts w:ascii="Times New Roman" w:hAnsi="Times New Roman"/>
                <w:lang w:val="hr-HR"/>
              </w:rPr>
              <w:t>5-Fluorouracil</w:t>
            </w:r>
          </w:p>
        </w:tc>
        <w:tc>
          <w:tcPr>
            <w:tcW w:w="2948" w:type="dxa"/>
          </w:tcPr>
          <w:p w14:paraId="346AE1C4" w14:textId="55E26010" w:rsidR="00B15D97" w:rsidRPr="00D6167B" w:rsidRDefault="009B0756" w:rsidP="00D37692">
            <w:pPr>
              <w:pStyle w:val="TableParagraph"/>
              <w:keepNext/>
              <w:widowControl/>
              <w:rPr>
                <w:rFonts w:ascii="Times New Roman" w:hAnsi="Times New Roman"/>
                <w:lang w:val="hr-HR"/>
              </w:rPr>
            </w:pPr>
            <w:r w:rsidRPr="00D6167B">
              <w:rPr>
                <w:rFonts w:ascii="Times New Roman" w:hAnsi="Times New Roman"/>
                <w:lang w:val="hr-HR"/>
              </w:rPr>
              <w:t>85 mg/m</w:t>
            </w:r>
            <w:r w:rsidRPr="00D6167B">
              <w:rPr>
                <w:rFonts w:ascii="Times New Roman" w:hAnsi="Times New Roman"/>
                <w:vertAlign w:val="superscript"/>
                <w:lang w:val="hr-HR"/>
              </w:rPr>
              <w:t>2</w:t>
            </w:r>
            <w:r w:rsidRPr="00D6167B">
              <w:rPr>
                <w:rFonts w:ascii="Times New Roman" w:hAnsi="Times New Roman"/>
                <w:sz w:val="14"/>
                <w:lang w:val="hr-HR"/>
              </w:rPr>
              <w:t xml:space="preserve"> </w:t>
            </w:r>
            <w:r w:rsidRPr="00D6167B">
              <w:rPr>
                <w:rFonts w:ascii="Times New Roman" w:hAnsi="Times New Roman"/>
                <w:lang w:val="hr-HR"/>
              </w:rPr>
              <w:t xml:space="preserve">intravenski 2 </w:t>
            </w:r>
            <w:r w:rsidR="002332EC">
              <w:rPr>
                <w:rFonts w:ascii="Times New Roman" w:hAnsi="Times New Roman"/>
                <w:lang w:val="hr-HR"/>
              </w:rPr>
              <w:t>h</w:t>
            </w:r>
            <w:r w:rsidRPr="00D6167B">
              <w:rPr>
                <w:rFonts w:ascii="Times New Roman" w:hAnsi="Times New Roman"/>
                <w:lang w:val="hr-HR"/>
              </w:rPr>
              <w:t>.</w:t>
            </w:r>
          </w:p>
          <w:p w14:paraId="0363F825" w14:textId="688C18D5" w:rsidR="00B15D97" w:rsidRPr="00D6167B" w:rsidRDefault="009B0756" w:rsidP="00D37692">
            <w:pPr>
              <w:pStyle w:val="TableParagraph"/>
              <w:keepNext/>
              <w:widowControl/>
              <w:rPr>
                <w:rFonts w:ascii="Times New Roman" w:hAnsi="Times New Roman"/>
                <w:lang w:val="hr-HR"/>
              </w:rPr>
            </w:pPr>
            <w:r w:rsidRPr="00D6167B">
              <w:rPr>
                <w:rFonts w:ascii="Times New Roman" w:hAnsi="Times New Roman"/>
                <w:lang w:val="hr-HR"/>
              </w:rPr>
              <w:t>200 mg/m</w:t>
            </w:r>
            <w:r w:rsidRPr="00D6167B">
              <w:rPr>
                <w:rFonts w:ascii="Times New Roman" w:hAnsi="Times New Roman"/>
                <w:vertAlign w:val="superscript"/>
                <w:lang w:val="hr-HR"/>
              </w:rPr>
              <w:t>2</w:t>
            </w:r>
            <w:r w:rsidRPr="00D6167B">
              <w:rPr>
                <w:rFonts w:ascii="Times New Roman" w:hAnsi="Times New Roman"/>
                <w:lang w:val="hr-HR"/>
              </w:rPr>
              <w:t xml:space="preserve"> intravenski 2 </w:t>
            </w:r>
            <w:r w:rsidR="002332EC">
              <w:rPr>
                <w:rFonts w:ascii="Times New Roman" w:hAnsi="Times New Roman"/>
                <w:lang w:val="hr-HR"/>
              </w:rPr>
              <w:t>h</w:t>
            </w:r>
            <w:r w:rsidRPr="00D6167B">
              <w:rPr>
                <w:rFonts w:ascii="Times New Roman" w:hAnsi="Times New Roman"/>
                <w:lang w:val="hr-HR"/>
              </w:rPr>
              <w:t xml:space="preserve">. </w:t>
            </w:r>
          </w:p>
          <w:p w14:paraId="2D33520C" w14:textId="77777777" w:rsidR="003904CE" w:rsidRPr="00D6167B" w:rsidRDefault="009B0756" w:rsidP="00D37692">
            <w:pPr>
              <w:pStyle w:val="TableParagraph"/>
              <w:keepNext/>
              <w:widowControl/>
              <w:rPr>
                <w:rFonts w:ascii="Times New Roman" w:hAnsi="Times New Roman"/>
                <w:lang w:val="hr-HR"/>
              </w:rPr>
            </w:pPr>
            <w:r w:rsidRPr="00D6167B">
              <w:rPr>
                <w:rFonts w:ascii="Times New Roman" w:hAnsi="Times New Roman"/>
                <w:lang w:val="hr-HR"/>
              </w:rPr>
              <w:t>400 mg/m</w:t>
            </w:r>
            <w:r w:rsidRPr="00D6167B">
              <w:rPr>
                <w:rFonts w:ascii="Times New Roman" w:hAnsi="Times New Roman"/>
                <w:vertAlign w:val="superscript"/>
                <w:lang w:val="hr-HR"/>
              </w:rPr>
              <w:t>2</w:t>
            </w:r>
            <w:r w:rsidRPr="00D6167B">
              <w:rPr>
                <w:rFonts w:ascii="Times New Roman" w:hAnsi="Times New Roman"/>
                <w:sz w:val="14"/>
                <w:lang w:val="hr-HR"/>
              </w:rPr>
              <w:t xml:space="preserve"> </w:t>
            </w:r>
            <w:r w:rsidRPr="00D6167B">
              <w:rPr>
                <w:rFonts w:ascii="Times New Roman" w:hAnsi="Times New Roman"/>
                <w:lang w:val="hr-HR"/>
              </w:rPr>
              <w:t xml:space="preserve">intravenski bolus, </w:t>
            </w:r>
          </w:p>
          <w:p w14:paraId="24DF6F73" w14:textId="61A1871B" w:rsidR="00D15122" w:rsidRPr="00D6167B" w:rsidRDefault="009B0756" w:rsidP="00D37692">
            <w:pPr>
              <w:pStyle w:val="TableParagraph"/>
              <w:keepNext/>
              <w:widowControl/>
              <w:rPr>
                <w:rFonts w:ascii="Times New Roman" w:eastAsia="Times New Roman" w:hAnsi="Times New Roman"/>
                <w:lang w:val="hr-HR"/>
              </w:rPr>
            </w:pPr>
            <w:r w:rsidRPr="00D6167B">
              <w:rPr>
                <w:rFonts w:ascii="Times New Roman" w:hAnsi="Times New Roman"/>
                <w:lang w:val="hr-HR"/>
              </w:rPr>
              <w:t>600 mg/m</w:t>
            </w:r>
            <w:r w:rsidRPr="00D6167B">
              <w:rPr>
                <w:rFonts w:ascii="Times New Roman" w:hAnsi="Times New Roman"/>
                <w:vertAlign w:val="superscript"/>
                <w:lang w:val="hr-HR"/>
              </w:rPr>
              <w:t>2</w:t>
            </w:r>
            <w:r w:rsidRPr="00D6167B">
              <w:rPr>
                <w:rFonts w:ascii="Times New Roman" w:hAnsi="Times New Roman"/>
                <w:sz w:val="14"/>
                <w:lang w:val="hr-HR"/>
              </w:rPr>
              <w:t xml:space="preserve"> </w:t>
            </w:r>
            <w:r w:rsidRPr="00D6167B">
              <w:rPr>
                <w:rFonts w:ascii="Times New Roman" w:hAnsi="Times New Roman"/>
                <w:lang w:val="hr-HR"/>
              </w:rPr>
              <w:t xml:space="preserve">intravenski 22 </w:t>
            </w:r>
            <w:r w:rsidR="002332EC">
              <w:rPr>
                <w:rFonts w:ascii="Times New Roman" w:hAnsi="Times New Roman"/>
                <w:lang w:val="hr-HR"/>
              </w:rPr>
              <w:t>h</w:t>
            </w:r>
            <w:r w:rsidRPr="00D6167B">
              <w:rPr>
                <w:rFonts w:ascii="Times New Roman" w:hAnsi="Times New Roman"/>
                <w:lang w:val="hr-HR"/>
              </w:rPr>
              <w:t>.</w:t>
            </w:r>
          </w:p>
        </w:tc>
        <w:tc>
          <w:tcPr>
            <w:tcW w:w="3255" w:type="dxa"/>
          </w:tcPr>
          <w:p w14:paraId="2AC3677E" w14:textId="0CC90DF3" w:rsidR="00207976" w:rsidRPr="00D6167B" w:rsidRDefault="009B0756" w:rsidP="00D37692">
            <w:pPr>
              <w:pStyle w:val="TableParagraph"/>
              <w:keepNext/>
              <w:widowControl/>
              <w:rPr>
                <w:rFonts w:ascii="Times New Roman" w:hAnsi="Times New Roman"/>
                <w:lang w:val="hr-HR"/>
              </w:rPr>
            </w:pPr>
            <w:r w:rsidRPr="00D6167B">
              <w:rPr>
                <w:rFonts w:ascii="Times New Roman" w:hAnsi="Times New Roman"/>
                <w:lang w:val="hr-HR"/>
              </w:rPr>
              <w:t>Oksaliplatin 1</w:t>
            </w:r>
            <w:r w:rsidR="00CB40BB">
              <w:rPr>
                <w:rFonts w:ascii="Times New Roman" w:hAnsi="Times New Roman"/>
                <w:lang w:val="hr-HR"/>
              </w:rPr>
              <w:t>. dana</w:t>
            </w:r>
            <w:r w:rsidRPr="00D6167B">
              <w:rPr>
                <w:rFonts w:ascii="Times New Roman" w:hAnsi="Times New Roman"/>
                <w:lang w:val="hr-HR"/>
              </w:rPr>
              <w:t xml:space="preserve"> </w:t>
            </w:r>
          </w:p>
          <w:p w14:paraId="25662903" w14:textId="1828CF6A" w:rsidR="00207976" w:rsidRPr="00D6167B" w:rsidRDefault="009B0756" w:rsidP="00D37692">
            <w:pPr>
              <w:pStyle w:val="TableParagraph"/>
              <w:keepNext/>
              <w:widowControl/>
              <w:rPr>
                <w:rFonts w:ascii="Times New Roman" w:hAnsi="Times New Roman"/>
                <w:lang w:val="hr-HR"/>
              </w:rPr>
            </w:pPr>
            <w:r w:rsidRPr="00D6167B">
              <w:rPr>
                <w:rFonts w:ascii="Times New Roman" w:hAnsi="Times New Roman"/>
                <w:lang w:val="hr-HR"/>
              </w:rPr>
              <w:t>Leukovorin 1</w:t>
            </w:r>
            <w:r w:rsidR="00CB40BB">
              <w:rPr>
                <w:rFonts w:ascii="Times New Roman" w:hAnsi="Times New Roman"/>
                <w:lang w:val="hr-HR"/>
              </w:rPr>
              <w:t>.</w:t>
            </w:r>
            <w:r w:rsidRPr="00D6167B">
              <w:rPr>
                <w:rFonts w:ascii="Times New Roman" w:hAnsi="Times New Roman"/>
                <w:lang w:val="hr-HR"/>
              </w:rPr>
              <w:t xml:space="preserve"> i 2</w:t>
            </w:r>
            <w:r w:rsidR="00CB40BB">
              <w:rPr>
                <w:rFonts w:ascii="Times New Roman" w:hAnsi="Times New Roman"/>
                <w:lang w:val="hr-HR"/>
              </w:rPr>
              <w:t>. dana</w:t>
            </w:r>
            <w:r w:rsidRPr="00D6167B">
              <w:rPr>
                <w:rFonts w:ascii="Times New Roman" w:hAnsi="Times New Roman"/>
                <w:lang w:val="hr-HR"/>
              </w:rPr>
              <w:t xml:space="preserve"> </w:t>
            </w:r>
          </w:p>
          <w:p w14:paraId="5B402291" w14:textId="70A9C875" w:rsidR="00D15122" w:rsidRPr="00D6167B" w:rsidRDefault="009B0756" w:rsidP="00D37692">
            <w:pPr>
              <w:pStyle w:val="TableParagraph"/>
              <w:keepNext/>
              <w:widowControl/>
              <w:rPr>
                <w:rFonts w:ascii="Times New Roman" w:eastAsia="Times New Roman" w:hAnsi="Times New Roman"/>
                <w:lang w:val="hr-HR"/>
              </w:rPr>
            </w:pPr>
            <w:r w:rsidRPr="00D6167B">
              <w:rPr>
                <w:rFonts w:ascii="Times New Roman" w:hAnsi="Times New Roman"/>
                <w:lang w:val="hr-HR"/>
              </w:rPr>
              <w:t>5-fluorouracil</w:t>
            </w:r>
            <w:r w:rsidR="00CB40BB">
              <w:rPr>
                <w:rFonts w:ascii="Times New Roman" w:hAnsi="Times New Roman"/>
                <w:lang w:val="hr-HR"/>
              </w:rPr>
              <w:t xml:space="preserve"> </w:t>
            </w:r>
            <w:r w:rsidRPr="00D6167B">
              <w:rPr>
                <w:rFonts w:ascii="Times New Roman" w:hAnsi="Times New Roman"/>
                <w:lang w:val="hr-HR"/>
              </w:rPr>
              <w:t xml:space="preserve">intravenski bolus/infuzija, </w:t>
            </w:r>
            <w:r w:rsidR="00CB40BB">
              <w:rPr>
                <w:rFonts w:ascii="Times New Roman" w:hAnsi="Times New Roman"/>
                <w:lang w:val="hr-HR"/>
              </w:rPr>
              <w:t>oboje</w:t>
            </w:r>
            <w:r w:rsidRPr="00D6167B">
              <w:rPr>
                <w:rFonts w:ascii="Times New Roman" w:hAnsi="Times New Roman"/>
                <w:lang w:val="hr-HR"/>
              </w:rPr>
              <w:t xml:space="preserve"> 1</w:t>
            </w:r>
            <w:r w:rsidR="00CB40BB">
              <w:rPr>
                <w:rFonts w:ascii="Times New Roman" w:hAnsi="Times New Roman"/>
                <w:lang w:val="hr-HR"/>
              </w:rPr>
              <w:t>.</w:t>
            </w:r>
            <w:r w:rsidRPr="00D6167B">
              <w:rPr>
                <w:rFonts w:ascii="Times New Roman" w:hAnsi="Times New Roman"/>
                <w:lang w:val="hr-HR"/>
              </w:rPr>
              <w:t xml:space="preserve"> i 2</w:t>
            </w:r>
            <w:r w:rsidR="00CB40BB">
              <w:rPr>
                <w:rFonts w:ascii="Times New Roman" w:hAnsi="Times New Roman"/>
                <w:lang w:val="hr-HR"/>
              </w:rPr>
              <w:t>. dana</w:t>
            </w:r>
          </w:p>
        </w:tc>
      </w:tr>
      <w:tr w:rsidR="00D15122" w:rsidRPr="00D6167B" w14:paraId="34FAB296" w14:textId="77777777" w:rsidTr="00FB19BF">
        <w:trPr>
          <w:gridAfter w:val="1"/>
          <w:wAfter w:w="6" w:type="dxa"/>
          <w:cantSplit/>
        </w:trPr>
        <w:tc>
          <w:tcPr>
            <w:tcW w:w="1611" w:type="dxa"/>
            <w:vMerge/>
          </w:tcPr>
          <w:p w14:paraId="7847AB27" w14:textId="77777777" w:rsidR="00D15122" w:rsidRPr="00D6167B" w:rsidRDefault="00D15122" w:rsidP="007608DF">
            <w:pPr>
              <w:widowControl/>
              <w:jc w:val="both"/>
              <w:rPr>
                <w:rFonts w:ascii="Times New Roman" w:hAnsi="Times New Roman"/>
                <w:lang w:val="hr-HR"/>
              </w:rPr>
            </w:pPr>
          </w:p>
        </w:tc>
        <w:tc>
          <w:tcPr>
            <w:tcW w:w="1836" w:type="dxa"/>
          </w:tcPr>
          <w:p w14:paraId="707DEBAE"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Placebo ili bevacizumab</w:t>
            </w:r>
          </w:p>
        </w:tc>
        <w:tc>
          <w:tcPr>
            <w:tcW w:w="2948" w:type="dxa"/>
          </w:tcPr>
          <w:p w14:paraId="29C75D6F" w14:textId="3C7C1E20" w:rsidR="00D15122" w:rsidRPr="00D6167B" w:rsidRDefault="009B0756" w:rsidP="00D37692">
            <w:pPr>
              <w:pStyle w:val="TableParagraph"/>
              <w:widowControl/>
              <w:numPr>
                <w:ilvl w:val="0"/>
                <w:numId w:val="40"/>
              </w:numPr>
              <w:rPr>
                <w:rFonts w:ascii="Times New Roman" w:eastAsia="Times New Roman" w:hAnsi="Times New Roman"/>
                <w:lang w:val="hr-HR"/>
              </w:rPr>
            </w:pPr>
            <w:r w:rsidRPr="00D6167B">
              <w:rPr>
                <w:rFonts w:ascii="Times New Roman" w:hAnsi="Times New Roman"/>
                <w:lang w:val="hr-HR"/>
              </w:rPr>
              <w:t>mg/kg intravenski 30 - 90 min</w:t>
            </w:r>
          </w:p>
        </w:tc>
        <w:tc>
          <w:tcPr>
            <w:tcW w:w="3255" w:type="dxa"/>
          </w:tcPr>
          <w:p w14:paraId="60584277" w14:textId="0F23B6FA" w:rsidR="00D15122" w:rsidRPr="00D6167B" w:rsidRDefault="006450A5" w:rsidP="00D37692">
            <w:pPr>
              <w:pStyle w:val="TableParagraph"/>
              <w:widowControl/>
              <w:rPr>
                <w:rFonts w:ascii="Times New Roman" w:eastAsia="Times New Roman" w:hAnsi="Times New Roman"/>
                <w:lang w:val="hr-HR"/>
              </w:rPr>
            </w:pPr>
            <w:r>
              <w:rPr>
                <w:rFonts w:ascii="Times New Roman" w:hAnsi="Times New Roman"/>
                <w:lang w:val="hr-HR"/>
              </w:rPr>
              <w:t>1.dana</w:t>
            </w:r>
            <w:r w:rsidR="009B0756" w:rsidRPr="00D6167B">
              <w:rPr>
                <w:rFonts w:ascii="Times New Roman" w:hAnsi="Times New Roman"/>
                <w:lang w:val="hr-HR"/>
              </w:rPr>
              <w:t xml:space="preserve"> prije </w:t>
            </w:r>
            <w:r>
              <w:rPr>
                <w:rFonts w:ascii="Times New Roman" w:hAnsi="Times New Roman"/>
                <w:lang w:val="hr-HR"/>
              </w:rPr>
              <w:t xml:space="preserve">primjene </w:t>
            </w:r>
            <w:r w:rsidR="009B0756" w:rsidRPr="00D6167B">
              <w:rPr>
                <w:rFonts w:ascii="Times New Roman" w:hAnsi="Times New Roman"/>
                <w:lang w:val="hr-HR"/>
              </w:rPr>
              <w:t>FOLFOX-4, svake 2 nedjelje</w:t>
            </w:r>
          </w:p>
        </w:tc>
      </w:tr>
      <w:tr w:rsidR="00D15122" w:rsidRPr="00D6167B" w14:paraId="3917E100" w14:textId="77777777" w:rsidTr="00FB19BF">
        <w:trPr>
          <w:gridAfter w:val="1"/>
          <w:wAfter w:w="6" w:type="dxa"/>
          <w:cantSplit/>
        </w:trPr>
        <w:tc>
          <w:tcPr>
            <w:tcW w:w="1611" w:type="dxa"/>
            <w:vMerge w:val="restart"/>
          </w:tcPr>
          <w:p w14:paraId="10A1F8CA" w14:textId="77777777" w:rsidR="00D15122" w:rsidRPr="00D6167B" w:rsidRDefault="009B0756" w:rsidP="007608DF">
            <w:pPr>
              <w:pStyle w:val="TableParagraph"/>
              <w:widowControl/>
              <w:jc w:val="both"/>
              <w:rPr>
                <w:rFonts w:ascii="Times New Roman" w:hAnsi="Times New Roman"/>
                <w:lang w:val="hr-HR"/>
              </w:rPr>
            </w:pPr>
            <w:r w:rsidRPr="00D6167B">
              <w:rPr>
                <w:rFonts w:ascii="Times New Roman" w:hAnsi="Times New Roman"/>
                <w:lang w:val="hr-HR"/>
              </w:rPr>
              <w:t>XELOX</w:t>
            </w:r>
          </w:p>
          <w:p w14:paraId="30D21E1F" w14:textId="77777777" w:rsidR="00D15122" w:rsidRPr="00D6167B" w:rsidRDefault="009B0756" w:rsidP="007608DF">
            <w:pPr>
              <w:pStyle w:val="TableParagraph"/>
              <w:widowControl/>
              <w:jc w:val="both"/>
              <w:rPr>
                <w:rFonts w:ascii="Times New Roman" w:hAnsi="Times New Roman"/>
                <w:lang w:val="hr-HR"/>
              </w:rPr>
            </w:pPr>
            <w:r w:rsidRPr="00D6167B">
              <w:rPr>
                <w:rFonts w:ascii="Times New Roman" w:hAnsi="Times New Roman"/>
                <w:lang w:val="hr-HR"/>
              </w:rPr>
              <w:t>ili XELOX +</w:t>
            </w:r>
          </w:p>
          <w:p w14:paraId="07DA62B5" w14:textId="77777777" w:rsidR="00D15122" w:rsidRPr="00D6167B" w:rsidRDefault="00022607"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bevacizumab</w:t>
            </w:r>
          </w:p>
        </w:tc>
        <w:tc>
          <w:tcPr>
            <w:tcW w:w="1836" w:type="dxa"/>
          </w:tcPr>
          <w:p w14:paraId="60096C41" w14:textId="77777777" w:rsidR="00B15D97" w:rsidRPr="00D6167B" w:rsidRDefault="009B0756" w:rsidP="00D37692">
            <w:pPr>
              <w:pStyle w:val="TableParagraph"/>
              <w:widowControl/>
              <w:rPr>
                <w:rFonts w:ascii="Times New Roman" w:hAnsi="Times New Roman"/>
                <w:lang w:val="hr-HR"/>
              </w:rPr>
            </w:pPr>
            <w:r w:rsidRPr="00D6167B">
              <w:rPr>
                <w:rFonts w:ascii="Times New Roman" w:hAnsi="Times New Roman"/>
                <w:lang w:val="hr-HR"/>
              </w:rPr>
              <w:t xml:space="preserve">Oksaliplatin </w:t>
            </w:r>
          </w:p>
          <w:p w14:paraId="648AE3C9"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Kapecitabin</w:t>
            </w:r>
          </w:p>
        </w:tc>
        <w:tc>
          <w:tcPr>
            <w:tcW w:w="2948" w:type="dxa"/>
          </w:tcPr>
          <w:p w14:paraId="3F517E9F" w14:textId="682F4EBD" w:rsidR="00B15D97" w:rsidRPr="00D6167B" w:rsidRDefault="009B0756" w:rsidP="00D37692">
            <w:pPr>
              <w:pStyle w:val="TableParagraph"/>
              <w:widowControl/>
              <w:rPr>
                <w:rFonts w:ascii="Times New Roman" w:hAnsi="Times New Roman"/>
                <w:lang w:val="hr-HR"/>
              </w:rPr>
            </w:pPr>
            <w:r w:rsidRPr="00D6167B">
              <w:rPr>
                <w:rFonts w:ascii="Times New Roman" w:hAnsi="Times New Roman"/>
                <w:lang w:val="hr-HR"/>
              </w:rPr>
              <w:t>130 mg/m</w:t>
            </w:r>
            <w:r w:rsidRPr="00D6167B">
              <w:rPr>
                <w:rFonts w:ascii="Times New Roman" w:hAnsi="Times New Roman"/>
                <w:vertAlign w:val="superscript"/>
                <w:lang w:val="hr-HR"/>
              </w:rPr>
              <w:t>2</w:t>
            </w:r>
            <w:r w:rsidRPr="00D6167B">
              <w:rPr>
                <w:rFonts w:ascii="Times New Roman" w:hAnsi="Times New Roman"/>
                <w:lang w:val="hr-HR"/>
              </w:rPr>
              <w:t xml:space="preserve"> intravenski 2 </w:t>
            </w:r>
            <w:r w:rsidR="00CB40BB">
              <w:rPr>
                <w:rFonts w:ascii="Times New Roman" w:hAnsi="Times New Roman"/>
                <w:lang w:val="hr-HR"/>
              </w:rPr>
              <w:t>h</w:t>
            </w:r>
            <w:r w:rsidRPr="00D6167B">
              <w:rPr>
                <w:rFonts w:ascii="Times New Roman" w:hAnsi="Times New Roman"/>
                <w:lang w:val="hr-HR"/>
              </w:rPr>
              <w:t xml:space="preserve">. </w:t>
            </w:r>
          </w:p>
          <w:p w14:paraId="3473631E"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1000 mg/m</w:t>
            </w:r>
            <w:r w:rsidRPr="00D6167B">
              <w:rPr>
                <w:rFonts w:ascii="Times New Roman" w:hAnsi="Times New Roman"/>
                <w:vertAlign w:val="superscript"/>
                <w:lang w:val="hr-HR"/>
              </w:rPr>
              <w:t>2</w:t>
            </w:r>
            <w:r w:rsidRPr="00D6167B">
              <w:rPr>
                <w:rFonts w:ascii="Times New Roman" w:hAnsi="Times New Roman"/>
                <w:lang w:val="hr-HR"/>
              </w:rPr>
              <w:t xml:space="preserve"> oralno, 2 puta dnevno</w:t>
            </w:r>
          </w:p>
        </w:tc>
        <w:tc>
          <w:tcPr>
            <w:tcW w:w="3255" w:type="dxa"/>
          </w:tcPr>
          <w:p w14:paraId="49AE4912" w14:textId="79EC9DA8" w:rsidR="00B15D97" w:rsidRPr="00D6167B" w:rsidRDefault="009B0756" w:rsidP="007608DF">
            <w:pPr>
              <w:pStyle w:val="TableParagraph"/>
              <w:widowControl/>
              <w:jc w:val="both"/>
              <w:rPr>
                <w:rFonts w:ascii="Times New Roman" w:hAnsi="Times New Roman"/>
                <w:lang w:val="hr-HR"/>
              </w:rPr>
            </w:pPr>
            <w:r w:rsidRPr="00D6167B">
              <w:rPr>
                <w:rFonts w:ascii="Times New Roman" w:hAnsi="Times New Roman"/>
                <w:lang w:val="hr-HR"/>
              </w:rPr>
              <w:t>Oksaliplatin 1</w:t>
            </w:r>
            <w:r w:rsidR="006450A5">
              <w:rPr>
                <w:rFonts w:ascii="Times New Roman" w:hAnsi="Times New Roman"/>
                <w:lang w:val="hr-HR"/>
              </w:rPr>
              <w:t>. dana</w:t>
            </w:r>
            <w:r w:rsidRPr="00D6167B">
              <w:rPr>
                <w:rFonts w:ascii="Times New Roman" w:hAnsi="Times New Roman"/>
                <w:lang w:val="hr-HR"/>
              </w:rPr>
              <w:t xml:space="preserve"> </w:t>
            </w:r>
          </w:p>
          <w:p w14:paraId="3E3602D8" w14:textId="05693B42"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 xml:space="preserve">Kapecitabin </w:t>
            </w:r>
            <w:r w:rsidR="006450A5">
              <w:rPr>
                <w:rFonts w:ascii="Times New Roman" w:hAnsi="Times New Roman"/>
                <w:lang w:val="hr-HR"/>
              </w:rPr>
              <w:t>per</w:t>
            </w:r>
            <w:r w:rsidRPr="00D6167B">
              <w:rPr>
                <w:rFonts w:ascii="Times New Roman" w:hAnsi="Times New Roman"/>
                <w:lang w:val="hr-HR"/>
              </w:rPr>
              <w:t>oralno, 2 puta dnevno tokom 2 nedjelje (zatim 1 nedjelja bez liječenja)</w:t>
            </w:r>
          </w:p>
        </w:tc>
      </w:tr>
      <w:tr w:rsidR="00D15122" w:rsidRPr="00D6167B" w14:paraId="3AE4ECC1" w14:textId="77777777" w:rsidTr="00FB19BF">
        <w:trPr>
          <w:gridAfter w:val="1"/>
          <w:wAfter w:w="6" w:type="dxa"/>
          <w:cantSplit/>
        </w:trPr>
        <w:tc>
          <w:tcPr>
            <w:tcW w:w="1611" w:type="dxa"/>
            <w:vMerge/>
          </w:tcPr>
          <w:p w14:paraId="641F903E" w14:textId="77777777" w:rsidR="00D15122" w:rsidRPr="00D6167B" w:rsidRDefault="00D15122" w:rsidP="007608DF">
            <w:pPr>
              <w:widowControl/>
              <w:jc w:val="both"/>
              <w:rPr>
                <w:rFonts w:ascii="Times New Roman" w:hAnsi="Times New Roman"/>
                <w:lang w:val="hr-HR"/>
              </w:rPr>
            </w:pPr>
          </w:p>
        </w:tc>
        <w:tc>
          <w:tcPr>
            <w:tcW w:w="1836" w:type="dxa"/>
          </w:tcPr>
          <w:p w14:paraId="29ED9329"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Placebo ili bevacizumab</w:t>
            </w:r>
          </w:p>
        </w:tc>
        <w:tc>
          <w:tcPr>
            <w:tcW w:w="2948" w:type="dxa"/>
          </w:tcPr>
          <w:p w14:paraId="1A33504F" w14:textId="77777777" w:rsidR="00D15122" w:rsidRPr="00D6167B" w:rsidRDefault="009B0756" w:rsidP="00D37692">
            <w:pPr>
              <w:pStyle w:val="TableParagraph"/>
              <w:widowControl/>
              <w:rPr>
                <w:rFonts w:ascii="Times New Roman" w:eastAsia="Times New Roman" w:hAnsi="Times New Roman"/>
                <w:lang w:val="hr-HR"/>
              </w:rPr>
            </w:pPr>
            <w:r w:rsidRPr="00D6167B">
              <w:rPr>
                <w:rFonts w:ascii="Times New Roman" w:hAnsi="Times New Roman"/>
                <w:lang w:val="hr-HR"/>
              </w:rPr>
              <w:t>7,5 mg/kg intravenski 30–90 min</w:t>
            </w:r>
          </w:p>
        </w:tc>
        <w:tc>
          <w:tcPr>
            <w:tcW w:w="3255" w:type="dxa"/>
          </w:tcPr>
          <w:p w14:paraId="3D9C93F5" w14:textId="311304F4" w:rsidR="00D15122" w:rsidRPr="00D6167B" w:rsidRDefault="006450A5" w:rsidP="006450A5">
            <w:pPr>
              <w:pStyle w:val="TableParagraph"/>
              <w:widowControl/>
              <w:jc w:val="both"/>
              <w:rPr>
                <w:rFonts w:ascii="Times New Roman" w:eastAsia="Times New Roman" w:hAnsi="Times New Roman"/>
                <w:lang w:val="hr-HR"/>
              </w:rPr>
            </w:pPr>
            <w:r>
              <w:rPr>
                <w:rFonts w:ascii="Times New Roman" w:hAnsi="Times New Roman"/>
                <w:lang w:val="hr-HR"/>
              </w:rPr>
              <w:t>1.dana</w:t>
            </w:r>
            <w:r w:rsidR="009B0756" w:rsidRPr="00D6167B">
              <w:rPr>
                <w:rFonts w:ascii="Times New Roman" w:hAnsi="Times New Roman"/>
                <w:lang w:val="hr-HR"/>
              </w:rPr>
              <w:t xml:space="preserve">, prije </w:t>
            </w:r>
            <w:r>
              <w:rPr>
                <w:rFonts w:ascii="Times New Roman" w:hAnsi="Times New Roman"/>
                <w:lang w:val="hr-HR"/>
              </w:rPr>
              <w:t xml:space="preserve">primjene </w:t>
            </w:r>
            <w:r w:rsidR="009B0756" w:rsidRPr="00D6167B">
              <w:rPr>
                <w:rFonts w:ascii="Times New Roman" w:hAnsi="Times New Roman"/>
                <w:lang w:val="hr-HR"/>
              </w:rPr>
              <w:t>XELOX terapije, jednom u 3 nedjelje</w:t>
            </w:r>
          </w:p>
        </w:tc>
      </w:tr>
      <w:tr w:rsidR="00D15122" w:rsidRPr="00D6167B" w14:paraId="000865A7" w14:textId="77777777" w:rsidTr="00FB19BF">
        <w:trPr>
          <w:cantSplit/>
        </w:trPr>
        <w:tc>
          <w:tcPr>
            <w:tcW w:w="9656" w:type="dxa"/>
            <w:gridSpan w:val="5"/>
          </w:tcPr>
          <w:p w14:paraId="7B5B7E47" w14:textId="77777777" w:rsidR="00D15122" w:rsidRPr="00D6167B" w:rsidRDefault="009B0756" w:rsidP="007608DF">
            <w:pPr>
              <w:pStyle w:val="TableParagraph"/>
              <w:widowControl/>
              <w:tabs>
                <w:tab w:val="left" w:pos="1798"/>
              </w:tabs>
              <w:jc w:val="both"/>
              <w:rPr>
                <w:rFonts w:ascii="Times New Roman" w:eastAsia="Times New Roman" w:hAnsi="Times New Roman"/>
                <w:lang w:val="hr-HR"/>
              </w:rPr>
            </w:pPr>
            <w:r w:rsidRPr="00D6167B">
              <w:rPr>
                <w:rFonts w:ascii="Times New Roman" w:hAnsi="Times New Roman"/>
                <w:lang w:val="hr-HR"/>
              </w:rPr>
              <w:t>5-fluorouracil:</w:t>
            </w:r>
            <w:r w:rsidRPr="00D6167B">
              <w:rPr>
                <w:rFonts w:ascii="Times New Roman" w:hAnsi="Times New Roman"/>
                <w:lang w:val="hr-HR"/>
              </w:rPr>
              <w:tab/>
              <w:t>intravenska bolus injekcija odmah nakon leukovorina</w:t>
            </w:r>
          </w:p>
        </w:tc>
      </w:tr>
    </w:tbl>
    <w:p w14:paraId="5D3074E2" w14:textId="77777777" w:rsidR="00D15122" w:rsidRPr="00D6167B" w:rsidRDefault="00D15122" w:rsidP="007608DF">
      <w:pPr>
        <w:widowControl/>
        <w:jc w:val="both"/>
        <w:rPr>
          <w:rFonts w:ascii="Times New Roman" w:eastAsia="Times New Roman" w:hAnsi="Times New Roman"/>
          <w:bCs/>
          <w:lang w:val="hr-HR"/>
        </w:rPr>
      </w:pPr>
    </w:p>
    <w:p w14:paraId="2700EB4E" w14:textId="77777777" w:rsidR="00D15122" w:rsidRPr="00D6167B" w:rsidRDefault="009B0756" w:rsidP="007608DF">
      <w:pPr>
        <w:pStyle w:val="BodyText"/>
        <w:widowControl/>
        <w:ind w:left="0"/>
        <w:jc w:val="both"/>
        <w:rPr>
          <w:lang w:val="hr-HR"/>
        </w:rPr>
      </w:pPr>
      <w:r w:rsidRPr="00D6167B">
        <w:rPr>
          <w:lang w:val="hr-HR"/>
        </w:rPr>
        <w:t>Primarni parametar efikasnosti u ovom ispitivanju bilo je trajanje preživljavanja bez progresije bolesti. U ovom ispitivanju su postojala dva primarna cilja: da se pokaže da XELOX terapija nije inferiorna u odnosu na FOLFOX-4 i da se pokaže da je bevacizumab u kombinaciji sa hemoterapijama FOLFOX-4 ili XELOX superiorniji od same hemoterapije. Oba primarna cilja su ispunjena:</w:t>
      </w:r>
    </w:p>
    <w:p w14:paraId="694FD158" w14:textId="77777777" w:rsidR="00D15122" w:rsidRPr="00D6167B" w:rsidRDefault="00D15122" w:rsidP="007608DF">
      <w:pPr>
        <w:widowControl/>
        <w:jc w:val="both"/>
        <w:rPr>
          <w:rFonts w:ascii="Times New Roman" w:eastAsia="Times New Roman" w:hAnsi="Times New Roman"/>
          <w:lang w:val="hr-HR"/>
        </w:rPr>
      </w:pPr>
    </w:p>
    <w:p w14:paraId="361F1E25" w14:textId="77777777" w:rsidR="00D15122" w:rsidRPr="00D6167B" w:rsidRDefault="009B0756" w:rsidP="007608DF">
      <w:pPr>
        <w:pStyle w:val="BodyText"/>
        <w:widowControl/>
        <w:numPr>
          <w:ilvl w:val="0"/>
          <w:numId w:val="29"/>
        </w:numPr>
        <w:ind w:left="562" w:hanging="562"/>
        <w:jc w:val="both"/>
        <w:rPr>
          <w:lang w:val="hr-HR"/>
        </w:rPr>
      </w:pPr>
      <w:r w:rsidRPr="00D6167B">
        <w:rPr>
          <w:lang w:val="hr-HR"/>
        </w:rPr>
        <w:t xml:space="preserve">Neinferiornost u </w:t>
      </w:r>
      <w:r w:rsidR="0010193D" w:rsidRPr="00D6167B">
        <w:rPr>
          <w:lang w:val="hr-HR"/>
        </w:rPr>
        <w:t xml:space="preserve">grupama </w:t>
      </w:r>
      <w:r w:rsidRPr="00D6167B">
        <w:rPr>
          <w:lang w:val="hr-HR"/>
        </w:rPr>
        <w:t>koj</w:t>
      </w:r>
      <w:r w:rsidR="0010193D" w:rsidRPr="00D6167B">
        <w:rPr>
          <w:lang w:val="hr-HR"/>
        </w:rPr>
        <w:t>e</w:t>
      </w:r>
      <w:r w:rsidRPr="00D6167B">
        <w:rPr>
          <w:lang w:val="hr-HR"/>
        </w:rPr>
        <w:t xml:space="preserve"> su dobijal</w:t>
      </w:r>
      <w:r w:rsidR="0010193D" w:rsidRPr="00D6167B">
        <w:rPr>
          <w:lang w:val="hr-HR"/>
        </w:rPr>
        <w:t>e</w:t>
      </w:r>
      <w:r w:rsidRPr="00D6167B">
        <w:rPr>
          <w:lang w:val="hr-HR"/>
        </w:rPr>
        <w:t xml:space="preserve"> XELOX u poređenju sa </w:t>
      </w:r>
      <w:r w:rsidR="0010193D" w:rsidRPr="00D6167B">
        <w:rPr>
          <w:lang w:val="hr-HR"/>
        </w:rPr>
        <w:t xml:space="preserve">grupama </w:t>
      </w:r>
      <w:r w:rsidRPr="00D6167B">
        <w:rPr>
          <w:lang w:val="hr-HR"/>
        </w:rPr>
        <w:t>koj</w:t>
      </w:r>
      <w:r w:rsidR="0010193D" w:rsidRPr="00D6167B">
        <w:rPr>
          <w:lang w:val="hr-HR"/>
        </w:rPr>
        <w:t>e</w:t>
      </w:r>
      <w:r w:rsidRPr="00D6167B">
        <w:rPr>
          <w:lang w:val="hr-HR"/>
        </w:rPr>
        <w:t xml:space="preserve"> su dobijal</w:t>
      </w:r>
      <w:r w:rsidR="0010193D" w:rsidRPr="00D6167B">
        <w:rPr>
          <w:lang w:val="hr-HR"/>
        </w:rPr>
        <w:t>e</w:t>
      </w:r>
      <w:r w:rsidRPr="00D6167B">
        <w:rPr>
          <w:lang w:val="hr-HR"/>
        </w:rPr>
        <w:t xml:space="preserve"> FOLFOX</w:t>
      </w:r>
      <w:r w:rsidRPr="00D6167B">
        <w:rPr>
          <w:lang w:val="hr-HR"/>
        </w:rPr>
        <w:noBreakHyphen/>
        <w:t>4 dokazana je u ukupnom poređenju u smislu preživljavanja bez progresije bolesti i ukupnog preživljavanja u populaciji koja je dovršila ispitivanje u skladu sa protokolom populacij</w:t>
      </w:r>
      <w:r w:rsidR="00584E4E" w:rsidRPr="00D6167B">
        <w:rPr>
          <w:lang w:val="hr-HR"/>
        </w:rPr>
        <w:t>e</w:t>
      </w:r>
      <w:r w:rsidRPr="00D6167B">
        <w:rPr>
          <w:lang w:val="hr-HR"/>
        </w:rPr>
        <w:t>.</w:t>
      </w:r>
    </w:p>
    <w:p w14:paraId="62D450F9" w14:textId="77777777" w:rsidR="00D15122" w:rsidRPr="00D6167B" w:rsidRDefault="00D15122" w:rsidP="007608DF">
      <w:pPr>
        <w:pStyle w:val="BodyText"/>
        <w:widowControl/>
        <w:ind w:left="562" w:hanging="562"/>
        <w:jc w:val="both"/>
        <w:rPr>
          <w:lang w:val="hr-HR"/>
        </w:rPr>
      </w:pPr>
    </w:p>
    <w:p w14:paraId="06335101" w14:textId="77777777" w:rsidR="00D15122" w:rsidRPr="00D6167B" w:rsidRDefault="009B0756" w:rsidP="007608DF">
      <w:pPr>
        <w:pStyle w:val="BodyText"/>
        <w:widowControl/>
        <w:numPr>
          <w:ilvl w:val="0"/>
          <w:numId w:val="29"/>
        </w:numPr>
        <w:ind w:left="562" w:hanging="562"/>
        <w:jc w:val="both"/>
        <w:rPr>
          <w:lang w:val="hr-HR"/>
        </w:rPr>
      </w:pPr>
      <w:r w:rsidRPr="00D6167B">
        <w:rPr>
          <w:lang w:val="hr-HR"/>
        </w:rPr>
        <w:t xml:space="preserve">Superiornost </w:t>
      </w:r>
      <w:r w:rsidR="007907BF" w:rsidRPr="00D6167B">
        <w:rPr>
          <w:lang w:val="hr-HR"/>
        </w:rPr>
        <w:t xml:space="preserve">grupa </w:t>
      </w:r>
      <w:r w:rsidRPr="00D6167B">
        <w:rPr>
          <w:lang w:val="hr-HR"/>
        </w:rPr>
        <w:t>koj</w:t>
      </w:r>
      <w:r w:rsidR="007907BF" w:rsidRPr="00D6167B">
        <w:rPr>
          <w:lang w:val="hr-HR"/>
        </w:rPr>
        <w:t>e</w:t>
      </w:r>
      <w:r w:rsidRPr="00D6167B">
        <w:rPr>
          <w:lang w:val="hr-HR"/>
        </w:rPr>
        <w:t xml:space="preserve"> su dobijal</w:t>
      </w:r>
      <w:r w:rsidR="007907BF" w:rsidRPr="00D6167B">
        <w:rPr>
          <w:lang w:val="hr-HR"/>
        </w:rPr>
        <w:t>e</w:t>
      </w:r>
      <w:r w:rsidRPr="00D6167B">
        <w:rPr>
          <w:lang w:val="hr-HR"/>
        </w:rPr>
        <w:t xml:space="preserve"> bevacizumab u poređenju sa </w:t>
      </w:r>
      <w:r w:rsidR="0010193D" w:rsidRPr="00D6167B">
        <w:rPr>
          <w:lang w:val="hr-HR"/>
        </w:rPr>
        <w:t xml:space="preserve">grupama </w:t>
      </w:r>
      <w:r w:rsidRPr="00D6167B">
        <w:rPr>
          <w:lang w:val="hr-HR"/>
        </w:rPr>
        <w:t>koj</w:t>
      </w:r>
      <w:r w:rsidR="0010193D" w:rsidRPr="00D6167B">
        <w:rPr>
          <w:lang w:val="hr-HR"/>
        </w:rPr>
        <w:t>e</w:t>
      </w:r>
      <w:r w:rsidRPr="00D6167B">
        <w:rPr>
          <w:lang w:val="hr-HR"/>
        </w:rPr>
        <w:t xml:space="preserve"> su dobijal</w:t>
      </w:r>
      <w:r w:rsidR="0010193D" w:rsidRPr="00D6167B">
        <w:rPr>
          <w:lang w:val="hr-HR"/>
        </w:rPr>
        <w:t>e</w:t>
      </w:r>
      <w:r w:rsidRPr="00D6167B">
        <w:rPr>
          <w:lang w:val="hr-HR"/>
        </w:rPr>
        <w:t xml:space="preserve"> samo hemoterapiju u ukupnom poređenju dokazana je u smislu preživljavanja bez progresije bolesti u populaciji predviđenoj za liječenje (ITT populaciji) (tabela 7).</w:t>
      </w:r>
    </w:p>
    <w:p w14:paraId="79B74018" w14:textId="77777777" w:rsidR="00D15122" w:rsidRPr="00D6167B" w:rsidRDefault="00D15122" w:rsidP="007608DF">
      <w:pPr>
        <w:widowControl/>
        <w:jc w:val="both"/>
        <w:rPr>
          <w:rFonts w:ascii="Times New Roman" w:eastAsia="Times New Roman" w:hAnsi="Times New Roman"/>
          <w:lang w:val="hr-HR"/>
        </w:rPr>
      </w:pPr>
    </w:p>
    <w:p w14:paraId="0622C36C" w14:textId="77777777" w:rsidR="00D15122" w:rsidRPr="00D6167B" w:rsidRDefault="009B0756" w:rsidP="007608DF">
      <w:pPr>
        <w:pStyle w:val="BodyText"/>
        <w:widowControl/>
        <w:ind w:left="0"/>
        <w:jc w:val="both"/>
        <w:rPr>
          <w:lang w:val="hr-HR"/>
        </w:rPr>
      </w:pPr>
      <w:r w:rsidRPr="00D6167B">
        <w:rPr>
          <w:lang w:val="hr-HR"/>
        </w:rPr>
        <w:t>Sekundarne analize preživljavanja bez progresije bolesti (PFS analize), zasnovane na procjenama odgovora na osnovu liječenja, potvrdile su značajno superiorniju kliničku korist za pacijente liječene bevacizumabom (analize su prikazane u tabeli 7), što je u skladu sa statistički značajnom koristi koja je prim</w:t>
      </w:r>
      <w:r w:rsidR="001054C9" w:rsidRPr="00D6167B">
        <w:rPr>
          <w:lang w:val="hr-HR"/>
        </w:rPr>
        <w:t>i</w:t>
      </w:r>
      <w:r w:rsidRPr="00D6167B">
        <w:rPr>
          <w:lang w:val="hr-HR"/>
        </w:rPr>
        <w:t>jećena u objedinjenoj analizi.</w:t>
      </w:r>
    </w:p>
    <w:p w14:paraId="7EAFAC85" w14:textId="77777777" w:rsidR="00221EBE" w:rsidRPr="00D6167B" w:rsidRDefault="00221EBE" w:rsidP="007608DF">
      <w:pPr>
        <w:pStyle w:val="Heading1"/>
        <w:widowControl/>
        <w:tabs>
          <w:tab w:val="left" w:pos="1353"/>
        </w:tabs>
        <w:ind w:left="0"/>
        <w:jc w:val="both"/>
        <w:rPr>
          <w:b w:val="0"/>
          <w:lang w:val="hr-HR"/>
        </w:rPr>
      </w:pPr>
    </w:p>
    <w:p w14:paraId="347A638D" w14:textId="77777777" w:rsidR="00D15122" w:rsidRPr="00D6167B" w:rsidRDefault="009B0756" w:rsidP="007608DF">
      <w:pPr>
        <w:pStyle w:val="Heading1"/>
        <w:keepNext/>
        <w:widowControl/>
        <w:tabs>
          <w:tab w:val="left" w:pos="1353"/>
        </w:tabs>
        <w:ind w:left="0"/>
        <w:jc w:val="both"/>
        <w:rPr>
          <w:b w:val="0"/>
          <w:bCs w:val="0"/>
          <w:lang w:val="hr-HR"/>
        </w:rPr>
      </w:pPr>
      <w:r w:rsidRPr="00D6167B">
        <w:rPr>
          <w:lang w:val="hr-HR"/>
        </w:rPr>
        <w:t>Tabela 7</w:t>
      </w:r>
      <w:r w:rsidRPr="00D6167B">
        <w:rPr>
          <w:lang w:val="hr-HR"/>
        </w:rPr>
        <w:tab/>
        <w:t>Ključni rezultati analize superiornosti (ITT populacija, ispitivanje NO16966)</w:t>
      </w:r>
    </w:p>
    <w:p w14:paraId="5649EE2A"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Layout w:type="fixed"/>
        <w:tblCellMar>
          <w:left w:w="115" w:type="dxa"/>
          <w:right w:w="115" w:type="dxa"/>
        </w:tblCellMar>
        <w:tblLook w:val="01E0" w:firstRow="1" w:lastRow="1" w:firstColumn="1" w:lastColumn="1" w:noHBand="0" w:noVBand="0"/>
      </w:tblPr>
      <w:tblGrid>
        <w:gridCol w:w="3290"/>
        <w:gridCol w:w="2090"/>
        <w:gridCol w:w="2111"/>
        <w:gridCol w:w="1585"/>
      </w:tblGrid>
      <w:tr w:rsidR="00D15122" w:rsidRPr="00D6167B" w14:paraId="1F25B017" w14:textId="77777777" w:rsidTr="00FB19BF">
        <w:trPr>
          <w:cantSplit/>
          <w:tblHeader/>
        </w:trPr>
        <w:tc>
          <w:tcPr>
            <w:tcW w:w="3370" w:type="dxa"/>
            <w:tcBorders>
              <w:top w:val="single" w:sz="5" w:space="0" w:color="000000"/>
              <w:left w:val="single" w:sz="5" w:space="0" w:color="000000"/>
              <w:bottom w:val="single" w:sz="5" w:space="0" w:color="000000"/>
              <w:right w:val="single" w:sz="5" w:space="0" w:color="000000"/>
            </w:tcBorders>
          </w:tcPr>
          <w:p w14:paraId="6D42A835"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Parametar efikasnosti (mjeseci)</w:t>
            </w:r>
          </w:p>
        </w:tc>
        <w:tc>
          <w:tcPr>
            <w:tcW w:w="2138" w:type="dxa"/>
            <w:tcBorders>
              <w:top w:val="single" w:sz="5" w:space="0" w:color="000000"/>
              <w:left w:val="single" w:sz="5" w:space="0" w:color="000000"/>
              <w:bottom w:val="single" w:sz="5" w:space="0" w:color="000000"/>
              <w:right w:val="single" w:sz="5" w:space="0" w:color="000000"/>
            </w:tcBorders>
          </w:tcPr>
          <w:p w14:paraId="313BE920"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FOLFOX-4 ili XELOX</w:t>
            </w:r>
          </w:p>
          <w:p w14:paraId="626B2B7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 placebo (n=701)</w:t>
            </w:r>
          </w:p>
        </w:tc>
        <w:tc>
          <w:tcPr>
            <w:tcW w:w="2160" w:type="dxa"/>
            <w:tcBorders>
              <w:top w:val="single" w:sz="5" w:space="0" w:color="000000"/>
              <w:left w:val="single" w:sz="5" w:space="0" w:color="000000"/>
              <w:bottom w:val="single" w:sz="5" w:space="0" w:color="000000"/>
              <w:right w:val="single" w:sz="5" w:space="0" w:color="000000"/>
            </w:tcBorders>
          </w:tcPr>
          <w:p w14:paraId="446E7E7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FOLFOX-4 ili XELOX</w:t>
            </w:r>
          </w:p>
          <w:p w14:paraId="5DF5A092"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 bevacizumab (n=699)</w:t>
            </w:r>
          </w:p>
        </w:tc>
        <w:tc>
          <w:tcPr>
            <w:tcW w:w="1620" w:type="dxa"/>
            <w:tcBorders>
              <w:top w:val="single" w:sz="5" w:space="0" w:color="000000"/>
              <w:left w:val="single" w:sz="5" w:space="0" w:color="000000"/>
              <w:bottom w:val="single" w:sz="5" w:space="0" w:color="000000"/>
              <w:right w:val="single" w:sz="5" w:space="0" w:color="000000"/>
            </w:tcBorders>
          </w:tcPr>
          <w:p w14:paraId="331DF3FB"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Vrijednost p</w:t>
            </w:r>
          </w:p>
        </w:tc>
      </w:tr>
      <w:tr w:rsidR="00D15122" w:rsidRPr="00D6167B" w14:paraId="6D123DEB" w14:textId="77777777" w:rsidTr="00FB19BF">
        <w:trPr>
          <w:cantSplit/>
        </w:trPr>
        <w:tc>
          <w:tcPr>
            <w:tcW w:w="9288" w:type="dxa"/>
            <w:gridSpan w:val="4"/>
            <w:tcBorders>
              <w:top w:val="single" w:sz="5" w:space="0" w:color="000000"/>
              <w:left w:val="single" w:sz="5" w:space="0" w:color="000000"/>
              <w:bottom w:val="single" w:sz="5" w:space="0" w:color="000000"/>
              <w:right w:val="single" w:sz="5" w:space="0" w:color="000000"/>
            </w:tcBorders>
          </w:tcPr>
          <w:p w14:paraId="03E115E9"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Primarni parametar efikasnosti</w:t>
            </w:r>
          </w:p>
        </w:tc>
      </w:tr>
      <w:tr w:rsidR="00D15122" w:rsidRPr="00D6167B" w14:paraId="722804A5"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6FDE5C00" w14:textId="77777777" w:rsidR="00D15122" w:rsidRPr="00D6167B" w:rsidRDefault="006876AE" w:rsidP="007608DF">
            <w:pPr>
              <w:pStyle w:val="TableParagraph"/>
              <w:keepNext/>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Srednja vrijednost za PFS**</w:t>
            </w:r>
          </w:p>
        </w:tc>
        <w:tc>
          <w:tcPr>
            <w:tcW w:w="2138" w:type="dxa"/>
            <w:tcBorders>
              <w:top w:val="single" w:sz="5" w:space="0" w:color="000000"/>
              <w:left w:val="single" w:sz="5" w:space="0" w:color="000000"/>
              <w:bottom w:val="single" w:sz="5" w:space="0" w:color="000000"/>
              <w:right w:val="single" w:sz="5" w:space="0" w:color="000000"/>
            </w:tcBorders>
          </w:tcPr>
          <w:p w14:paraId="407C611D"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8,0</w:t>
            </w:r>
          </w:p>
        </w:tc>
        <w:tc>
          <w:tcPr>
            <w:tcW w:w="2160" w:type="dxa"/>
            <w:tcBorders>
              <w:top w:val="single" w:sz="5" w:space="0" w:color="000000"/>
              <w:left w:val="single" w:sz="5" w:space="0" w:color="000000"/>
              <w:bottom w:val="single" w:sz="5" w:space="0" w:color="000000"/>
              <w:right w:val="single" w:sz="5" w:space="0" w:color="000000"/>
            </w:tcBorders>
          </w:tcPr>
          <w:p w14:paraId="7EA66BC6"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9,4</w:t>
            </w:r>
          </w:p>
        </w:tc>
        <w:tc>
          <w:tcPr>
            <w:tcW w:w="1620" w:type="dxa"/>
            <w:tcBorders>
              <w:top w:val="single" w:sz="5" w:space="0" w:color="000000"/>
              <w:left w:val="single" w:sz="5" w:space="0" w:color="000000"/>
              <w:bottom w:val="single" w:sz="5" w:space="0" w:color="000000"/>
              <w:right w:val="single" w:sz="5" w:space="0" w:color="000000"/>
            </w:tcBorders>
          </w:tcPr>
          <w:p w14:paraId="51818DC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0,0023</w:t>
            </w:r>
          </w:p>
        </w:tc>
      </w:tr>
      <w:tr w:rsidR="00D15122" w:rsidRPr="00D6167B" w14:paraId="775C63B9"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04471E7D" w14:textId="77777777" w:rsidR="00D15122" w:rsidRPr="00D6167B" w:rsidRDefault="006876AE" w:rsidP="007608DF">
            <w:pPr>
              <w:pStyle w:val="TableParagraph"/>
              <w:widowControl/>
              <w:jc w:val="both"/>
              <w:rPr>
                <w:rFonts w:ascii="Times New Roman" w:eastAsia="Times New Roman" w:hAnsi="Times New Roman"/>
                <w:sz w:val="13"/>
                <w:szCs w:val="13"/>
                <w:lang w:val="hr-HR"/>
              </w:rPr>
            </w:pPr>
            <w:r>
              <w:rPr>
                <w:rFonts w:ascii="Times New Roman" w:hAnsi="Times New Roman"/>
                <w:lang w:val="hr-HR"/>
              </w:rPr>
              <w:t xml:space="preserve">            </w:t>
            </w:r>
            <w:r w:rsidR="009B0756" w:rsidRPr="00D6167B">
              <w:rPr>
                <w:rFonts w:ascii="Times New Roman" w:hAnsi="Times New Roman"/>
                <w:lang w:val="hr-HR"/>
              </w:rPr>
              <w:t xml:space="preserve">Odnos rizika (97,5% CI) </w:t>
            </w:r>
            <w:r w:rsidR="009B0756" w:rsidRPr="00D6167B">
              <w:rPr>
                <w:rFonts w:ascii="Times New Roman" w:hAnsi="Times New Roman"/>
                <w:vertAlign w:val="superscript"/>
                <w:lang w:val="hr-HR"/>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37694E4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0,83 (0,72–0,95)</w:t>
            </w:r>
          </w:p>
        </w:tc>
        <w:tc>
          <w:tcPr>
            <w:tcW w:w="1620" w:type="dxa"/>
            <w:tcBorders>
              <w:top w:val="single" w:sz="5" w:space="0" w:color="000000"/>
              <w:left w:val="single" w:sz="5" w:space="0" w:color="000000"/>
              <w:bottom w:val="single" w:sz="5" w:space="0" w:color="000000"/>
              <w:right w:val="single" w:sz="5" w:space="0" w:color="000000"/>
            </w:tcBorders>
          </w:tcPr>
          <w:p w14:paraId="5DED6584" w14:textId="77777777" w:rsidR="00D15122" w:rsidRPr="00D6167B" w:rsidRDefault="00D15122" w:rsidP="007608DF">
            <w:pPr>
              <w:widowControl/>
              <w:jc w:val="both"/>
              <w:rPr>
                <w:rFonts w:ascii="Times New Roman" w:hAnsi="Times New Roman"/>
                <w:lang w:val="hr-HR"/>
              </w:rPr>
            </w:pPr>
          </w:p>
        </w:tc>
      </w:tr>
      <w:tr w:rsidR="00D15122" w:rsidRPr="00D6167B" w14:paraId="4D0FE88D" w14:textId="77777777" w:rsidTr="00FB19BF">
        <w:trPr>
          <w:cantSplit/>
        </w:trPr>
        <w:tc>
          <w:tcPr>
            <w:tcW w:w="9288" w:type="dxa"/>
            <w:gridSpan w:val="4"/>
            <w:tcBorders>
              <w:top w:val="single" w:sz="5" w:space="0" w:color="000000"/>
              <w:left w:val="single" w:sz="5" w:space="0" w:color="000000"/>
              <w:bottom w:val="single" w:sz="5" w:space="0" w:color="000000"/>
              <w:right w:val="single" w:sz="5" w:space="0" w:color="000000"/>
            </w:tcBorders>
          </w:tcPr>
          <w:p w14:paraId="2E6AAA31"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Sekundarni parametri efikasnosti</w:t>
            </w:r>
          </w:p>
        </w:tc>
      </w:tr>
      <w:tr w:rsidR="00D15122" w:rsidRPr="00D6167B" w14:paraId="3CACAF92"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76593F63" w14:textId="77777777" w:rsidR="00D15122" w:rsidRPr="00D6167B" w:rsidRDefault="006876AE" w:rsidP="007608DF">
            <w:pPr>
              <w:pStyle w:val="TableParagraph"/>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Srednja vrijednost za PFS (na terapiji)**</w:t>
            </w:r>
          </w:p>
        </w:tc>
        <w:tc>
          <w:tcPr>
            <w:tcW w:w="2138" w:type="dxa"/>
            <w:tcBorders>
              <w:top w:val="single" w:sz="5" w:space="0" w:color="000000"/>
              <w:left w:val="single" w:sz="5" w:space="0" w:color="000000"/>
              <w:bottom w:val="single" w:sz="5" w:space="0" w:color="000000"/>
              <w:right w:val="single" w:sz="5" w:space="0" w:color="000000"/>
            </w:tcBorders>
          </w:tcPr>
          <w:p w14:paraId="58E1B4D2"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7,9</w:t>
            </w:r>
          </w:p>
        </w:tc>
        <w:tc>
          <w:tcPr>
            <w:tcW w:w="2160" w:type="dxa"/>
            <w:tcBorders>
              <w:top w:val="single" w:sz="5" w:space="0" w:color="000000"/>
              <w:left w:val="single" w:sz="5" w:space="0" w:color="000000"/>
              <w:bottom w:val="single" w:sz="5" w:space="0" w:color="000000"/>
              <w:right w:val="single" w:sz="5" w:space="0" w:color="000000"/>
            </w:tcBorders>
          </w:tcPr>
          <w:p w14:paraId="65E2BFD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10,4</w:t>
            </w:r>
          </w:p>
        </w:tc>
        <w:tc>
          <w:tcPr>
            <w:tcW w:w="1620" w:type="dxa"/>
            <w:tcBorders>
              <w:top w:val="single" w:sz="5" w:space="0" w:color="000000"/>
              <w:left w:val="single" w:sz="5" w:space="0" w:color="000000"/>
              <w:bottom w:val="single" w:sz="5" w:space="0" w:color="000000"/>
              <w:right w:val="single" w:sz="5" w:space="0" w:color="000000"/>
            </w:tcBorders>
          </w:tcPr>
          <w:p w14:paraId="46E790D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&lt; 0,0001</w:t>
            </w:r>
          </w:p>
        </w:tc>
      </w:tr>
      <w:tr w:rsidR="00D15122" w:rsidRPr="00D6167B" w14:paraId="3EA0358C"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47D84C9B" w14:textId="77777777" w:rsidR="00D15122" w:rsidRPr="00D6167B" w:rsidRDefault="006876AE" w:rsidP="007608DF">
            <w:pPr>
              <w:pStyle w:val="TableParagraph"/>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Odnos rizika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4FFFA49C"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0,63 (0,52–0,75)</w:t>
            </w:r>
          </w:p>
        </w:tc>
        <w:tc>
          <w:tcPr>
            <w:tcW w:w="1620" w:type="dxa"/>
            <w:tcBorders>
              <w:top w:val="single" w:sz="5" w:space="0" w:color="000000"/>
              <w:left w:val="single" w:sz="5" w:space="0" w:color="000000"/>
              <w:bottom w:val="single" w:sz="5" w:space="0" w:color="000000"/>
              <w:right w:val="single" w:sz="5" w:space="0" w:color="000000"/>
            </w:tcBorders>
          </w:tcPr>
          <w:p w14:paraId="1D5AC765" w14:textId="77777777" w:rsidR="00D15122" w:rsidRPr="00D6167B" w:rsidRDefault="00D15122" w:rsidP="00D37692">
            <w:pPr>
              <w:widowControl/>
              <w:jc w:val="center"/>
              <w:rPr>
                <w:rFonts w:ascii="Times New Roman" w:hAnsi="Times New Roman"/>
                <w:lang w:val="hr-HR"/>
              </w:rPr>
            </w:pPr>
          </w:p>
        </w:tc>
      </w:tr>
      <w:tr w:rsidR="00D15122" w:rsidRPr="00D6167B" w14:paraId="52D7545D"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23331D1E" w14:textId="77777777" w:rsidR="00D15122" w:rsidRPr="00D6167B" w:rsidRDefault="003563B8" w:rsidP="007608DF">
            <w:pPr>
              <w:pStyle w:val="TableParagraph"/>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Stopa ukupnog odgovora (procjena istraživača)**</w:t>
            </w:r>
          </w:p>
        </w:tc>
        <w:tc>
          <w:tcPr>
            <w:tcW w:w="2138" w:type="dxa"/>
            <w:tcBorders>
              <w:top w:val="single" w:sz="5" w:space="0" w:color="000000"/>
              <w:left w:val="single" w:sz="5" w:space="0" w:color="000000"/>
              <w:bottom w:val="single" w:sz="5" w:space="0" w:color="000000"/>
              <w:right w:val="single" w:sz="5" w:space="0" w:color="000000"/>
            </w:tcBorders>
          </w:tcPr>
          <w:p w14:paraId="7AF0D8E5"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49,2%</w:t>
            </w:r>
          </w:p>
        </w:tc>
        <w:tc>
          <w:tcPr>
            <w:tcW w:w="2160" w:type="dxa"/>
            <w:tcBorders>
              <w:top w:val="single" w:sz="5" w:space="0" w:color="000000"/>
              <w:left w:val="single" w:sz="5" w:space="0" w:color="000000"/>
              <w:bottom w:val="single" w:sz="5" w:space="0" w:color="000000"/>
              <w:right w:val="single" w:sz="5" w:space="0" w:color="000000"/>
            </w:tcBorders>
          </w:tcPr>
          <w:p w14:paraId="04BDB09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46,5%</w:t>
            </w:r>
          </w:p>
        </w:tc>
        <w:tc>
          <w:tcPr>
            <w:tcW w:w="1620" w:type="dxa"/>
            <w:tcBorders>
              <w:top w:val="single" w:sz="5" w:space="0" w:color="000000"/>
              <w:left w:val="single" w:sz="5" w:space="0" w:color="000000"/>
              <w:bottom w:val="single" w:sz="5" w:space="0" w:color="000000"/>
              <w:right w:val="single" w:sz="5" w:space="0" w:color="000000"/>
            </w:tcBorders>
          </w:tcPr>
          <w:p w14:paraId="7C2C842B" w14:textId="77777777" w:rsidR="00D15122" w:rsidRPr="00D6167B" w:rsidRDefault="00D15122" w:rsidP="00D37692">
            <w:pPr>
              <w:widowControl/>
              <w:jc w:val="center"/>
              <w:rPr>
                <w:rFonts w:ascii="Times New Roman" w:hAnsi="Times New Roman"/>
                <w:lang w:val="hr-HR"/>
              </w:rPr>
            </w:pPr>
          </w:p>
        </w:tc>
      </w:tr>
      <w:tr w:rsidR="00D15122" w:rsidRPr="00D6167B" w14:paraId="2E24F6E2"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29CC5F9C" w14:textId="77777777" w:rsidR="00D15122" w:rsidRPr="00D6167B" w:rsidRDefault="003563B8" w:rsidP="007608DF">
            <w:pPr>
              <w:pStyle w:val="TableParagraph"/>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Srednje ukupno preživljavanje*</w:t>
            </w:r>
          </w:p>
        </w:tc>
        <w:tc>
          <w:tcPr>
            <w:tcW w:w="2138" w:type="dxa"/>
            <w:tcBorders>
              <w:top w:val="single" w:sz="5" w:space="0" w:color="000000"/>
              <w:left w:val="single" w:sz="5" w:space="0" w:color="000000"/>
              <w:bottom w:val="single" w:sz="5" w:space="0" w:color="000000"/>
              <w:right w:val="single" w:sz="5" w:space="0" w:color="000000"/>
            </w:tcBorders>
          </w:tcPr>
          <w:p w14:paraId="207CA5C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19,9</w:t>
            </w:r>
          </w:p>
        </w:tc>
        <w:tc>
          <w:tcPr>
            <w:tcW w:w="2160" w:type="dxa"/>
            <w:tcBorders>
              <w:top w:val="single" w:sz="5" w:space="0" w:color="000000"/>
              <w:left w:val="single" w:sz="5" w:space="0" w:color="000000"/>
              <w:bottom w:val="single" w:sz="5" w:space="0" w:color="000000"/>
              <w:right w:val="single" w:sz="5" w:space="0" w:color="000000"/>
            </w:tcBorders>
          </w:tcPr>
          <w:p w14:paraId="68EFE541"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21,2</w:t>
            </w:r>
          </w:p>
        </w:tc>
        <w:tc>
          <w:tcPr>
            <w:tcW w:w="1620" w:type="dxa"/>
            <w:tcBorders>
              <w:top w:val="single" w:sz="5" w:space="0" w:color="000000"/>
              <w:left w:val="single" w:sz="5" w:space="0" w:color="000000"/>
              <w:bottom w:val="single" w:sz="5" w:space="0" w:color="000000"/>
              <w:right w:val="single" w:sz="5" w:space="0" w:color="000000"/>
            </w:tcBorders>
          </w:tcPr>
          <w:p w14:paraId="563AF063"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0,0769</w:t>
            </w:r>
          </w:p>
        </w:tc>
      </w:tr>
      <w:tr w:rsidR="00D15122" w:rsidRPr="00D6167B" w14:paraId="4CBE0587"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5B200BAD" w14:textId="77777777" w:rsidR="00D15122" w:rsidRPr="00D6167B" w:rsidRDefault="003563B8" w:rsidP="007608DF">
            <w:pPr>
              <w:pStyle w:val="TableParagraph"/>
              <w:widowControl/>
              <w:jc w:val="both"/>
              <w:rPr>
                <w:rFonts w:ascii="Times New Roman" w:eastAsia="Times New Roman" w:hAnsi="Times New Roman"/>
                <w:lang w:val="hr-HR"/>
              </w:rPr>
            </w:pPr>
            <w:r>
              <w:rPr>
                <w:rFonts w:ascii="Times New Roman" w:hAnsi="Times New Roman"/>
                <w:lang w:val="hr-HR"/>
              </w:rPr>
              <w:t xml:space="preserve">             </w:t>
            </w:r>
            <w:r w:rsidR="009B0756" w:rsidRPr="00D6167B">
              <w:rPr>
                <w:rFonts w:ascii="Times New Roman" w:hAnsi="Times New Roman"/>
                <w:lang w:val="hr-HR"/>
              </w:rPr>
              <w:t>Odnos rizika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776CC1F0" w14:textId="77777777" w:rsidR="00D15122" w:rsidRPr="00D6167B" w:rsidRDefault="0063042E"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0,89 (0,76–1,03)</w:t>
            </w:r>
          </w:p>
        </w:tc>
        <w:tc>
          <w:tcPr>
            <w:tcW w:w="1620" w:type="dxa"/>
            <w:tcBorders>
              <w:top w:val="single" w:sz="5" w:space="0" w:color="000000"/>
              <w:left w:val="single" w:sz="5" w:space="0" w:color="000000"/>
              <w:bottom w:val="single" w:sz="5" w:space="0" w:color="000000"/>
              <w:right w:val="single" w:sz="5" w:space="0" w:color="000000"/>
            </w:tcBorders>
          </w:tcPr>
          <w:p w14:paraId="22590914" w14:textId="77777777" w:rsidR="00D15122" w:rsidRPr="00D6167B" w:rsidRDefault="00D15122" w:rsidP="00D37692">
            <w:pPr>
              <w:widowControl/>
              <w:jc w:val="center"/>
              <w:rPr>
                <w:rFonts w:ascii="Times New Roman" w:hAnsi="Times New Roman"/>
                <w:lang w:val="hr-HR"/>
              </w:rPr>
            </w:pPr>
          </w:p>
        </w:tc>
      </w:tr>
    </w:tbl>
    <w:p w14:paraId="30E6EDE7" w14:textId="77777777" w:rsidR="00D15122" w:rsidRPr="00D6167B" w:rsidRDefault="00AF735A"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lang w:val="hr-HR"/>
        </w:rPr>
        <w:lastRenderedPageBreak/>
        <w:t>*</w:t>
      </w:r>
      <w:r w:rsidRPr="00D6167B">
        <w:rPr>
          <w:rFonts w:ascii="Times New Roman" w:hAnsi="Times New Roman"/>
          <w:sz w:val="20"/>
          <w:lang w:val="hr-HR"/>
        </w:rPr>
        <w:tab/>
        <w:t>Analiza ukupnog preživljavanja, sa kliničkim presjekom 31. januara 2007.</w:t>
      </w:r>
    </w:p>
    <w:p w14:paraId="264172F0"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lang w:val="hr-HR"/>
        </w:rPr>
        <w:t>** Primarna analiza, sa kliničkim presjekom 31. januara 2006.</w:t>
      </w:r>
    </w:p>
    <w:p w14:paraId="37E3279F"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U odnosu na kontroln</w:t>
      </w:r>
      <w:r w:rsidR="007907BF" w:rsidRPr="00D6167B">
        <w:rPr>
          <w:rFonts w:ascii="Times New Roman" w:hAnsi="Times New Roman"/>
          <w:sz w:val="20"/>
          <w:lang w:val="hr-HR"/>
        </w:rPr>
        <w:t>u</w:t>
      </w:r>
      <w:r w:rsidRPr="00D6167B">
        <w:rPr>
          <w:rFonts w:ascii="Times New Roman" w:hAnsi="Times New Roman"/>
          <w:sz w:val="20"/>
          <w:lang w:val="hr-HR"/>
        </w:rPr>
        <w:t xml:space="preserve"> </w:t>
      </w:r>
      <w:r w:rsidR="007907BF" w:rsidRPr="00D6167B">
        <w:rPr>
          <w:rFonts w:ascii="Times New Roman" w:hAnsi="Times New Roman"/>
          <w:sz w:val="20"/>
          <w:lang w:val="hr-HR"/>
        </w:rPr>
        <w:t>grupu</w:t>
      </w:r>
    </w:p>
    <w:p w14:paraId="2073CEB6" w14:textId="77777777" w:rsidR="00D15122" w:rsidRPr="00D6167B" w:rsidRDefault="00D15122" w:rsidP="007608DF">
      <w:pPr>
        <w:widowControl/>
        <w:jc w:val="both"/>
        <w:rPr>
          <w:rFonts w:ascii="Times New Roman" w:eastAsia="Times New Roman" w:hAnsi="Times New Roman"/>
          <w:lang w:val="hr-HR"/>
        </w:rPr>
      </w:pPr>
    </w:p>
    <w:p w14:paraId="15CDEEB1" w14:textId="77777777" w:rsidR="00D15122" w:rsidRPr="00D6167B" w:rsidRDefault="009B0756" w:rsidP="007608DF">
      <w:pPr>
        <w:pStyle w:val="BodyText"/>
        <w:widowControl/>
        <w:ind w:left="0"/>
        <w:jc w:val="both"/>
        <w:rPr>
          <w:lang w:val="hr-HR"/>
        </w:rPr>
      </w:pPr>
      <w:r w:rsidRPr="00D6167B">
        <w:rPr>
          <w:lang w:val="hr-HR"/>
        </w:rPr>
        <w:t>U podgrupi za liječenje koja je primala FOLFOX, srednja vrijednost preživljavanja bez progresije (srednja vrijednost za PFS) iznosila je 8,6 mjeseci kod pacijenata koji su primali placebo i 9,4 m</w:t>
      </w:r>
      <w:r w:rsidR="00EC0637" w:rsidRPr="00D6167B">
        <w:rPr>
          <w:lang w:val="hr-HR"/>
        </w:rPr>
        <w:t>j</w:t>
      </w:r>
      <w:r w:rsidRPr="00D6167B">
        <w:rPr>
          <w:lang w:val="hr-HR"/>
        </w:rPr>
        <w:t>eseci kod pacijenata koji su primali bevacizumab, HR = 0,89; 97,5% CI = [0,73; 1,08]; vrijednost p = 0,1871, dok su odgovarajući rezultati u podgrupi koja je primala XELOX iznosili 7,4 prema 9,3 m</w:t>
      </w:r>
      <w:r w:rsidR="00EC0637" w:rsidRPr="00D6167B">
        <w:rPr>
          <w:lang w:val="hr-HR"/>
        </w:rPr>
        <w:t>j</w:t>
      </w:r>
      <w:r w:rsidRPr="00D6167B">
        <w:rPr>
          <w:lang w:val="hr-HR"/>
        </w:rPr>
        <w:t>eseci, HR = 0,77; 97,5% CI = [0,63; 0,94];</w:t>
      </w:r>
      <w:r w:rsidR="00050C58" w:rsidRPr="00D6167B">
        <w:rPr>
          <w:lang w:val="hr-HR"/>
        </w:rPr>
        <w:t xml:space="preserve"> </w:t>
      </w:r>
      <w:r w:rsidRPr="00D6167B">
        <w:rPr>
          <w:lang w:val="hr-HR"/>
        </w:rPr>
        <w:t>vrijednost p = 0,0026.</w:t>
      </w:r>
    </w:p>
    <w:p w14:paraId="184AB639" w14:textId="77777777" w:rsidR="00D15122" w:rsidRPr="00D6167B" w:rsidRDefault="00D15122" w:rsidP="007608DF">
      <w:pPr>
        <w:widowControl/>
        <w:jc w:val="both"/>
        <w:rPr>
          <w:rFonts w:ascii="Times New Roman" w:eastAsia="Times New Roman" w:hAnsi="Times New Roman"/>
          <w:lang w:val="hr-HR"/>
        </w:rPr>
      </w:pPr>
    </w:p>
    <w:p w14:paraId="053D6BD9" w14:textId="77777777" w:rsidR="00D15122" w:rsidRPr="00D6167B" w:rsidRDefault="009B0756" w:rsidP="007608DF">
      <w:pPr>
        <w:pStyle w:val="BodyText"/>
        <w:widowControl/>
        <w:ind w:left="0"/>
        <w:jc w:val="both"/>
        <w:rPr>
          <w:lang w:val="hr-HR"/>
        </w:rPr>
      </w:pPr>
      <w:r w:rsidRPr="00D6167B">
        <w:rPr>
          <w:lang w:val="hr-HR"/>
        </w:rPr>
        <w:t>Srednja vrijednost ukupnog preživljavanja iznosila je 20,3 mjeseci kod pacijenata koji su primali placebo i 21,2 mjeseci kod pacijenata koji su primali bevacizumab u podgrupi FOLFOX, HR=0,94; 97,5% CI = [0,75; 1,16]; vrijednost p =0,4937, dok su odgovarajući rezultati u podgrupi koja je primala XELOX iznosili 19,2 prema 21,4 mjeseci, HR = 0,84; 97,5% CI = [0,68; 1,04]; vrijednost p = 0.0698.</w:t>
      </w:r>
    </w:p>
    <w:p w14:paraId="205F0DB8" w14:textId="77777777" w:rsidR="00D15122" w:rsidRPr="00D6167B" w:rsidRDefault="00D15122" w:rsidP="007608DF">
      <w:pPr>
        <w:widowControl/>
        <w:jc w:val="both"/>
        <w:rPr>
          <w:rFonts w:ascii="Times New Roman" w:eastAsia="Times New Roman" w:hAnsi="Times New Roman"/>
          <w:lang w:val="hr-HR"/>
        </w:rPr>
      </w:pPr>
    </w:p>
    <w:p w14:paraId="799E13EC" w14:textId="77777777" w:rsidR="00DF369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ECOG E3200</w:t>
      </w:r>
    </w:p>
    <w:p w14:paraId="406F3AE6" w14:textId="3C646C06" w:rsidR="00D15122" w:rsidRPr="00D6167B" w:rsidRDefault="004F4378"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aktivno kontrolisano</w:t>
      </w:r>
      <w:r>
        <w:rPr>
          <w:lang w:val="hr-HR"/>
        </w:rPr>
        <w:t>m</w:t>
      </w:r>
      <w:r w:rsidR="009B0756" w:rsidRPr="00D6167B">
        <w:rPr>
          <w:lang w:val="hr-HR"/>
        </w:rPr>
        <w:t>, otvoreno</w:t>
      </w:r>
      <w:r>
        <w:rPr>
          <w:lang w:val="hr-HR"/>
        </w:rPr>
        <w:t>m</w:t>
      </w:r>
      <w:r w:rsidR="009B0756" w:rsidRPr="00D6167B">
        <w:rPr>
          <w:lang w:val="hr-HR"/>
        </w:rPr>
        <w:t xml:space="preserve"> kliničko</w:t>
      </w:r>
      <w:r>
        <w:rPr>
          <w:lang w:val="hr-HR"/>
        </w:rPr>
        <w:t>m</w:t>
      </w:r>
      <w:r w:rsidR="009B0756" w:rsidRPr="00D6167B">
        <w:rPr>
          <w:lang w:val="hr-HR"/>
        </w:rPr>
        <w:t xml:space="preserve"> ispitivanj</w:t>
      </w:r>
      <w:r>
        <w:rPr>
          <w:lang w:val="hr-HR"/>
        </w:rPr>
        <w:t>u</w:t>
      </w:r>
      <w:r w:rsidR="009B0756" w:rsidRPr="00D6167B">
        <w:rPr>
          <w:lang w:val="hr-HR"/>
        </w:rPr>
        <w:t xml:space="preserve"> faze III u kom je ispitivan bevacizumab 10 mg/kg u kombinaciji sa bolusom leukovorina i 5-fluorouracila, nakon čega slijedi infuzija 5-fluorouracila sa intravenskim oksaliplatinom (FOLFOX-4), što se primjenjivalo prema 2-nedjeljnom rasporedu kod već liječenih pacijenata (druga linija) sa uznapredovalim kolorektalnim karcinomom. U </w:t>
      </w:r>
      <w:r w:rsidR="007907BF" w:rsidRPr="00D6167B">
        <w:rPr>
          <w:lang w:val="hr-HR"/>
        </w:rPr>
        <w:t xml:space="preserve">grupama </w:t>
      </w:r>
      <w:r w:rsidR="009B0756" w:rsidRPr="00D6167B">
        <w:rPr>
          <w:lang w:val="hr-HR"/>
        </w:rPr>
        <w:t>sa hemoterapijom, u režimu FOLFOX-4 su korišćeni isti raspored i doze kao što je prikazano u tabeli 6 za ispitivanje NO16966.</w:t>
      </w:r>
    </w:p>
    <w:p w14:paraId="06334E45" w14:textId="77777777" w:rsidR="00D15122" w:rsidRPr="00D6167B" w:rsidRDefault="00D15122" w:rsidP="007608DF">
      <w:pPr>
        <w:widowControl/>
        <w:jc w:val="both"/>
        <w:rPr>
          <w:rFonts w:ascii="Times New Roman" w:eastAsia="Times New Roman" w:hAnsi="Times New Roman"/>
          <w:lang w:val="hr-HR"/>
        </w:rPr>
      </w:pPr>
    </w:p>
    <w:p w14:paraId="794E4FD4" w14:textId="40BA687F" w:rsidR="00D15122" w:rsidRPr="00D6167B" w:rsidRDefault="009B0756" w:rsidP="007608DF">
      <w:pPr>
        <w:pStyle w:val="BodyText"/>
        <w:widowControl/>
        <w:ind w:left="0"/>
        <w:jc w:val="both"/>
        <w:rPr>
          <w:lang w:val="hr-HR"/>
        </w:rPr>
      </w:pPr>
      <w:r w:rsidRPr="00D6167B">
        <w:rPr>
          <w:lang w:val="hr-HR"/>
        </w:rPr>
        <w:t xml:space="preserve">Primarni parametar efikasnosti za ovo ispitivanje bilo je ukupno preživljavanje, koje se definiše kao vrijeme od randomizacije do smrti, nezavisno od uzroka. Randomizovano je </w:t>
      </w:r>
      <w:r w:rsidR="004F4378">
        <w:rPr>
          <w:lang w:val="hr-HR"/>
        </w:rPr>
        <w:t>829</w:t>
      </w:r>
      <w:r w:rsidRPr="00D6167B">
        <w:rPr>
          <w:lang w:val="hr-HR"/>
        </w:rPr>
        <w:t xml:space="preserve"> pacijenata (292 FOLFOX-4, 293 bevacizumab + FOLFOX-4 i 244 monoterapija bevacizumabom). Dodavanje bevacizumaba terapiji FOLFOX-4 dovelo je do statistički značajnog produženja preživljavanja. Zab</w:t>
      </w:r>
      <w:r w:rsidR="00FA3926" w:rsidRPr="00D6167B">
        <w:rPr>
          <w:lang w:val="hr-HR"/>
        </w:rPr>
        <w:t>ilj</w:t>
      </w:r>
      <w:r w:rsidRPr="00D6167B">
        <w:rPr>
          <w:lang w:val="hr-HR"/>
        </w:rPr>
        <w:t>ežen</w:t>
      </w:r>
      <w:r w:rsidR="004F4378">
        <w:rPr>
          <w:lang w:val="hr-HR"/>
        </w:rPr>
        <w:t>o</w:t>
      </w:r>
      <w:r w:rsidRPr="00D6167B">
        <w:rPr>
          <w:lang w:val="hr-HR"/>
        </w:rPr>
        <w:t xml:space="preserve"> </w:t>
      </w:r>
      <w:r w:rsidR="004F4378">
        <w:rPr>
          <w:lang w:val="hr-HR"/>
        </w:rPr>
        <w:t>je</w:t>
      </w:r>
      <w:r w:rsidRPr="00D6167B">
        <w:rPr>
          <w:lang w:val="hr-HR"/>
        </w:rPr>
        <w:t xml:space="preserve"> i statistički značajno p</w:t>
      </w:r>
      <w:r w:rsidR="004F4378">
        <w:rPr>
          <w:lang w:val="hr-HR"/>
        </w:rPr>
        <w:t>roduženje</w:t>
      </w:r>
      <w:r w:rsidRPr="00D6167B">
        <w:rPr>
          <w:lang w:val="hr-HR"/>
        </w:rPr>
        <w:t xml:space="preserve"> preživljavanja bez progresije bolesti i </w:t>
      </w:r>
      <w:r w:rsidR="004F4378">
        <w:rPr>
          <w:lang w:val="hr-HR"/>
        </w:rPr>
        <w:t xml:space="preserve">povećanje </w:t>
      </w:r>
      <w:r w:rsidRPr="00D6167B">
        <w:rPr>
          <w:lang w:val="hr-HR"/>
        </w:rPr>
        <w:t xml:space="preserve">stope </w:t>
      </w:r>
      <w:r w:rsidR="004F4378">
        <w:rPr>
          <w:lang w:val="hr-HR"/>
        </w:rPr>
        <w:t xml:space="preserve">objektivnog </w:t>
      </w:r>
      <w:r w:rsidRPr="00D6167B">
        <w:rPr>
          <w:lang w:val="hr-HR"/>
        </w:rPr>
        <w:t>odgovora (pogledajte tabelu 8).</w:t>
      </w:r>
    </w:p>
    <w:p w14:paraId="4C598302" w14:textId="77777777" w:rsidR="00221EBE" w:rsidRPr="00D6167B" w:rsidRDefault="00221EBE" w:rsidP="007608DF">
      <w:pPr>
        <w:pStyle w:val="Heading1"/>
        <w:widowControl/>
        <w:tabs>
          <w:tab w:val="left" w:pos="1253"/>
        </w:tabs>
        <w:ind w:left="0"/>
        <w:jc w:val="both"/>
        <w:rPr>
          <w:b w:val="0"/>
          <w:lang w:val="hr-HR"/>
        </w:rPr>
      </w:pPr>
    </w:p>
    <w:p w14:paraId="2103BB78" w14:textId="77777777" w:rsidR="00D15122" w:rsidRPr="00D6167B" w:rsidRDefault="009B0756" w:rsidP="007608DF">
      <w:pPr>
        <w:pStyle w:val="Heading1"/>
        <w:keepNext/>
        <w:widowControl/>
        <w:tabs>
          <w:tab w:val="left" w:pos="1253"/>
        </w:tabs>
        <w:ind w:left="0"/>
        <w:jc w:val="both"/>
        <w:rPr>
          <w:b w:val="0"/>
          <w:bCs w:val="0"/>
          <w:lang w:val="hr-HR"/>
        </w:rPr>
      </w:pPr>
      <w:r w:rsidRPr="00D6167B">
        <w:rPr>
          <w:lang w:val="hr-HR"/>
        </w:rPr>
        <w:t>Tabela 8</w:t>
      </w:r>
      <w:r w:rsidRPr="00D6167B">
        <w:rPr>
          <w:lang w:val="hr-HR"/>
        </w:rPr>
        <w:tab/>
        <w:t>Rezultati efikasnosti za ispitivanje E3200</w:t>
      </w:r>
    </w:p>
    <w:p w14:paraId="273BB8F8"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180"/>
        <w:gridCol w:w="2319"/>
        <w:gridCol w:w="2579"/>
      </w:tblGrid>
      <w:tr w:rsidR="00D15122" w:rsidRPr="00D6167B" w14:paraId="6EAFDABE" w14:textId="77777777" w:rsidTr="00FB19BF">
        <w:trPr>
          <w:cantSplit/>
          <w:tblHeader/>
        </w:trPr>
        <w:tc>
          <w:tcPr>
            <w:tcW w:w="3893" w:type="dxa"/>
            <w:vMerge w:val="restart"/>
          </w:tcPr>
          <w:p w14:paraId="3933DBC9" w14:textId="77777777" w:rsidR="00D15122" w:rsidRPr="00D6167B" w:rsidRDefault="00D15122" w:rsidP="007608DF">
            <w:pPr>
              <w:widowControl/>
              <w:jc w:val="both"/>
              <w:rPr>
                <w:rFonts w:ascii="Times New Roman" w:hAnsi="Times New Roman"/>
                <w:lang w:val="hr-HR"/>
              </w:rPr>
            </w:pPr>
          </w:p>
        </w:tc>
        <w:tc>
          <w:tcPr>
            <w:tcW w:w="4562" w:type="dxa"/>
            <w:gridSpan w:val="2"/>
          </w:tcPr>
          <w:p w14:paraId="158371C2"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E3200</w:t>
            </w:r>
          </w:p>
        </w:tc>
      </w:tr>
      <w:tr w:rsidR="00D15122" w:rsidRPr="00D6167B" w14:paraId="294FB4F6" w14:textId="77777777" w:rsidTr="00FB19BF">
        <w:trPr>
          <w:cantSplit/>
          <w:tblHeader/>
        </w:trPr>
        <w:tc>
          <w:tcPr>
            <w:tcW w:w="3893" w:type="dxa"/>
            <w:vMerge/>
          </w:tcPr>
          <w:p w14:paraId="6B679EDC" w14:textId="77777777" w:rsidR="00D15122" w:rsidRPr="00D6167B" w:rsidRDefault="00D15122" w:rsidP="007608DF">
            <w:pPr>
              <w:widowControl/>
              <w:jc w:val="both"/>
              <w:rPr>
                <w:rFonts w:ascii="Times New Roman" w:hAnsi="Times New Roman"/>
                <w:lang w:val="hr-HR"/>
              </w:rPr>
            </w:pPr>
          </w:p>
        </w:tc>
        <w:tc>
          <w:tcPr>
            <w:tcW w:w="2160" w:type="dxa"/>
          </w:tcPr>
          <w:p w14:paraId="0146573C"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FOLFOX-4</w:t>
            </w:r>
          </w:p>
        </w:tc>
        <w:tc>
          <w:tcPr>
            <w:tcW w:w="2402" w:type="dxa"/>
          </w:tcPr>
          <w:p w14:paraId="028D4F46" w14:textId="77777777" w:rsidR="00240521" w:rsidRPr="00D6167B" w:rsidRDefault="009B0756" w:rsidP="00D37692">
            <w:pPr>
              <w:pStyle w:val="TableParagraph"/>
              <w:widowControl/>
              <w:jc w:val="center"/>
              <w:rPr>
                <w:rFonts w:ascii="Times New Roman" w:hAnsi="Times New Roman"/>
                <w:lang w:val="hr-HR"/>
              </w:rPr>
            </w:pPr>
            <w:r w:rsidRPr="00D6167B">
              <w:rPr>
                <w:rFonts w:ascii="Times New Roman" w:hAnsi="Times New Roman"/>
                <w:lang w:val="hr-HR"/>
              </w:rPr>
              <w:t>FOLFOX</w:t>
            </w:r>
            <w:r w:rsidR="00240521" w:rsidRPr="00D6167B">
              <w:rPr>
                <w:rFonts w:ascii="Times New Roman" w:hAnsi="Times New Roman"/>
                <w:lang w:val="hr-HR"/>
              </w:rPr>
              <w:t>natrij</w:t>
            </w:r>
          </w:p>
          <w:p w14:paraId="0226E5EF" w14:textId="77777777" w:rsidR="00D15122" w:rsidRPr="00D6167B" w:rsidRDefault="009B0756" w:rsidP="00D37692">
            <w:pPr>
              <w:pStyle w:val="TableParagraph"/>
              <w:widowControl/>
              <w:jc w:val="center"/>
              <w:rPr>
                <w:rFonts w:ascii="Times New Roman" w:eastAsia="Times New Roman" w:hAnsi="Times New Roman"/>
                <w:sz w:val="14"/>
                <w:szCs w:val="14"/>
                <w:lang w:val="hr-HR"/>
              </w:rPr>
            </w:pPr>
            <w:r w:rsidRPr="00D6167B">
              <w:rPr>
                <w:rFonts w:ascii="Times New Roman" w:hAnsi="Times New Roman"/>
                <w:lang w:val="hr-HR"/>
              </w:rPr>
              <w:t>4 + bevacizumab</w:t>
            </w:r>
            <w:r w:rsidRPr="00D6167B">
              <w:rPr>
                <w:rFonts w:ascii="Times New Roman" w:hAnsi="Times New Roman"/>
                <w:vertAlign w:val="superscript"/>
                <w:lang w:val="hr-HR"/>
              </w:rPr>
              <w:t>a</w:t>
            </w:r>
          </w:p>
        </w:tc>
      </w:tr>
      <w:tr w:rsidR="00D15122" w:rsidRPr="00D6167B" w14:paraId="24C4F2E3" w14:textId="77777777" w:rsidTr="00FB19BF">
        <w:trPr>
          <w:cantSplit/>
        </w:trPr>
        <w:tc>
          <w:tcPr>
            <w:tcW w:w="3893" w:type="dxa"/>
          </w:tcPr>
          <w:p w14:paraId="71DE163B"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Broj pacijenata</w:t>
            </w:r>
          </w:p>
        </w:tc>
        <w:tc>
          <w:tcPr>
            <w:tcW w:w="2160" w:type="dxa"/>
          </w:tcPr>
          <w:p w14:paraId="7007C67F" w14:textId="77777777" w:rsidR="00D15122" w:rsidRPr="00D6167B" w:rsidRDefault="009B0756" w:rsidP="00D37692">
            <w:pPr>
              <w:pStyle w:val="TableParagraph"/>
              <w:widowControl/>
              <w:ind w:right="2"/>
              <w:jc w:val="center"/>
              <w:rPr>
                <w:rFonts w:ascii="Times New Roman" w:eastAsia="Times New Roman" w:hAnsi="Times New Roman"/>
                <w:lang w:val="hr-HR"/>
              </w:rPr>
            </w:pPr>
            <w:r w:rsidRPr="00D6167B">
              <w:rPr>
                <w:rFonts w:ascii="Times New Roman" w:hAnsi="Times New Roman"/>
                <w:lang w:val="hr-HR"/>
              </w:rPr>
              <w:t>292</w:t>
            </w:r>
          </w:p>
        </w:tc>
        <w:tc>
          <w:tcPr>
            <w:tcW w:w="2402" w:type="dxa"/>
          </w:tcPr>
          <w:p w14:paraId="7556FA15"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293</w:t>
            </w:r>
          </w:p>
        </w:tc>
      </w:tr>
      <w:tr w:rsidR="00D15122" w:rsidRPr="00D6167B" w14:paraId="4239F733" w14:textId="77777777" w:rsidTr="00FB19BF">
        <w:trPr>
          <w:cantSplit/>
        </w:trPr>
        <w:tc>
          <w:tcPr>
            <w:tcW w:w="8455" w:type="dxa"/>
            <w:gridSpan w:val="3"/>
          </w:tcPr>
          <w:p w14:paraId="32A6C0AA"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572204C2" w14:textId="77777777" w:rsidTr="00FB19BF">
        <w:trPr>
          <w:cantSplit/>
        </w:trPr>
        <w:tc>
          <w:tcPr>
            <w:tcW w:w="3893" w:type="dxa"/>
          </w:tcPr>
          <w:p w14:paraId="44CD3745" w14:textId="77777777" w:rsidR="00D15122" w:rsidRPr="00D6167B" w:rsidRDefault="009B0756" w:rsidP="007608DF">
            <w:pPr>
              <w:pStyle w:val="TableParagraph"/>
              <w:widowControl/>
              <w:ind w:left="310"/>
              <w:jc w:val="both"/>
              <w:rPr>
                <w:rFonts w:ascii="Times New Roman" w:eastAsia="Times New Roman" w:hAnsi="Times New Roman"/>
                <w:lang w:val="hr-HR"/>
              </w:rPr>
            </w:pPr>
            <w:r w:rsidRPr="00D6167B">
              <w:rPr>
                <w:rFonts w:ascii="Times New Roman" w:hAnsi="Times New Roman"/>
                <w:lang w:val="hr-HR"/>
              </w:rPr>
              <w:t>Srednja vrijednost (mjeseci)</w:t>
            </w:r>
          </w:p>
        </w:tc>
        <w:tc>
          <w:tcPr>
            <w:tcW w:w="2160" w:type="dxa"/>
          </w:tcPr>
          <w:p w14:paraId="0FCE2072"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10,8</w:t>
            </w:r>
          </w:p>
        </w:tc>
        <w:tc>
          <w:tcPr>
            <w:tcW w:w="2402" w:type="dxa"/>
          </w:tcPr>
          <w:p w14:paraId="71BF68BD"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13,0</w:t>
            </w:r>
          </w:p>
        </w:tc>
      </w:tr>
      <w:tr w:rsidR="00D15122" w:rsidRPr="00D6167B" w14:paraId="5AC2FA45" w14:textId="77777777" w:rsidTr="00FB19BF">
        <w:trPr>
          <w:cantSplit/>
        </w:trPr>
        <w:tc>
          <w:tcPr>
            <w:tcW w:w="3893" w:type="dxa"/>
          </w:tcPr>
          <w:p w14:paraId="4F1D681C" w14:textId="77777777" w:rsidR="00D15122" w:rsidRPr="00D6167B" w:rsidRDefault="009B0756" w:rsidP="007608DF">
            <w:pPr>
              <w:pStyle w:val="TableParagraph"/>
              <w:widowControl/>
              <w:ind w:left="310"/>
              <w:jc w:val="both"/>
              <w:rPr>
                <w:rFonts w:ascii="Times New Roman" w:eastAsia="Times New Roman" w:hAnsi="Times New Roman"/>
                <w:lang w:val="hr-HR"/>
              </w:rPr>
            </w:pPr>
            <w:r w:rsidRPr="00D6167B">
              <w:rPr>
                <w:rFonts w:ascii="Times New Roman" w:hAnsi="Times New Roman"/>
                <w:lang w:val="hr-HR"/>
              </w:rPr>
              <w:t>95% CI</w:t>
            </w:r>
          </w:p>
        </w:tc>
        <w:tc>
          <w:tcPr>
            <w:tcW w:w="2160" w:type="dxa"/>
          </w:tcPr>
          <w:p w14:paraId="362FC7A6"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10,12–11,86</w:t>
            </w:r>
          </w:p>
        </w:tc>
        <w:tc>
          <w:tcPr>
            <w:tcW w:w="2402" w:type="dxa"/>
          </w:tcPr>
          <w:p w14:paraId="620AFE19"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12,09–14,03</w:t>
            </w:r>
          </w:p>
        </w:tc>
      </w:tr>
      <w:tr w:rsidR="00D15122" w:rsidRPr="00D6167B" w14:paraId="07F0530F" w14:textId="77777777" w:rsidTr="00FB19BF">
        <w:trPr>
          <w:cantSplit/>
        </w:trPr>
        <w:tc>
          <w:tcPr>
            <w:tcW w:w="3893" w:type="dxa"/>
          </w:tcPr>
          <w:p w14:paraId="05080635" w14:textId="77777777" w:rsidR="00D15122" w:rsidRPr="00D6167B" w:rsidRDefault="009B0756" w:rsidP="007608DF">
            <w:pPr>
              <w:pStyle w:val="TableParagraph"/>
              <w:widowControl/>
              <w:ind w:left="310"/>
              <w:jc w:val="both"/>
              <w:rPr>
                <w:rFonts w:ascii="Times New Roman" w:eastAsia="Times New Roman" w:hAnsi="Times New Roman"/>
                <w:sz w:val="14"/>
                <w:szCs w:val="14"/>
                <w:lang w:val="hr-HR"/>
              </w:rPr>
            </w:pPr>
            <w:r w:rsidRPr="00D6167B">
              <w:rPr>
                <w:rFonts w:ascii="Times New Roman" w:hAnsi="Times New Roman"/>
                <w:lang w:val="hr-HR"/>
              </w:rPr>
              <w:t>Odnos rizika</w:t>
            </w:r>
            <w:r w:rsidRPr="00D6167B">
              <w:rPr>
                <w:rFonts w:ascii="Times New Roman" w:hAnsi="Times New Roman"/>
                <w:vertAlign w:val="superscript"/>
                <w:lang w:val="hr-HR"/>
              </w:rPr>
              <w:t>b</w:t>
            </w:r>
          </w:p>
        </w:tc>
        <w:tc>
          <w:tcPr>
            <w:tcW w:w="4562" w:type="dxa"/>
            <w:gridSpan w:val="2"/>
          </w:tcPr>
          <w:p w14:paraId="1FE2CA4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0,751</w:t>
            </w:r>
          </w:p>
          <w:p w14:paraId="5A765038"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 0,0012)</w:t>
            </w:r>
          </w:p>
        </w:tc>
      </w:tr>
      <w:tr w:rsidR="00D15122" w:rsidRPr="00D6167B" w14:paraId="3B2C85AB" w14:textId="77777777" w:rsidTr="00FB19BF">
        <w:trPr>
          <w:cantSplit/>
        </w:trPr>
        <w:tc>
          <w:tcPr>
            <w:tcW w:w="8455" w:type="dxa"/>
            <w:gridSpan w:val="3"/>
          </w:tcPr>
          <w:p w14:paraId="29AF0A57"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Preživljavanje bez progresije</w:t>
            </w:r>
          </w:p>
        </w:tc>
      </w:tr>
      <w:tr w:rsidR="00D15122" w:rsidRPr="00D6167B" w14:paraId="0480A4E1" w14:textId="77777777" w:rsidTr="00FB19BF">
        <w:trPr>
          <w:cantSplit/>
        </w:trPr>
        <w:tc>
          <w:tcPr>
            <w:tcW w:w="3893" w:type="dxa"/>
          </w:tcPr>
          <w:p w14:paraId="3610D7B3" w14:textId="77777777" w:rsidR="00D15122" w:rsidRPr="00D6167B" w:rsidRDefault="009B0756" w:rsidP="007608DF">
            <w:pPr>
              <w:pStyle w:val="TableParagraph"/>
              <w:widowControl/>
              <w:ind w:left="310"/>
              <w:jc w:val="both"/>
              <w:rPr>
                <w:rFonts w:ascii="Times New Roman" w:eastAsia="Times New Roman" w:hAnsi="Times New Roman"/>
                <w:lang w:val="hr-HR"/>
              </w:rPr>
            </w:pPr>
            <w:r w:rsidRPr="00D6167B">
              <w:rPr>
                <w:rFonts w:ascii="Times New Roman" w:hAnsi="Times New Roman"/>
                <w:lang w:val="hr-HR"/>
              </w:rPr>
              <w:t>Srednja vrijednost (mjeseci)</w:t>
            </w:r>
          </w:p>
        </w:tc>
        <w:tc>
          <w:tcPr>
            <w:tcW w:w="2160" w:type="dxa"/>
          </w:tcPr>
          <w:p w14:paraId="3F2FBB0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4,5</w:t>
            </w:r>
          </w:p>
        </w:tc>
        <w:tc>
          <w:tcPr>
            <w:tcW w:w="2402" w:type="dxa"/>
          </w:tcPr>
          <w:p w14:paraId="2527D770"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7,5</w:t>
            </w:r>
          </w:p>
        </w:tc>
      </w:tr>
      <w:tr w:rsidR="00D15122" w:rsidRPr="00D6167B" w14:paraId="315B9284" w14:textId="77777777" w:rsidTr="00FB19BF">
        <w:trPr>
          <w:cantSplit/>
        </w:trPr>
        <w:tc>
          <w:tcPr>
            <w:tcW w:w="3893" w:type="dxa"/>
          </w:tcPr>
          <w:p w14:paraId="56420043" w14:textId="77777777" w:rsidR="00D15122" w:rsidRPr="00D6167B" w:rsidRDefault="009B0756" w:rsidP="007608DF">
            <w:pPr>
              <w:pStyle w:val="TableParagraph"/>
              <w:widowControl/>
              <w:ind w:left="310"/>
              <w:jc w:val="both"/>
              <w:rPr>
                <w:rFonts w:ascii="Times New Roman" w:eastAsia="Times New Roman" w:hAnsi="Times New Roman"/>
                <w:lang w:val="hr-HR"/>
              </w:rPr>
            </w:pPr>
            <w:r w:rsidRPr="00D6167B">
              <w:rPr>
                <w:rFonts w:ascii="Times New Roman" w:hAnsi="Times New Roman"/>
                <w:lang w:val="hr-HR"/>
              </w:rPr>
              <w:t>Odnos rizika</w:t>
            </w:r>
          </w:p>
        </w:tc>
        <w:tc>
          <w:tcPr>
            <w:tcW w:w="4562" w:type="dxa"/>
            <w:gridSpan w:val="2"/>
          </w:tcPr>
          <w:p w14:paraId="3D10F0D8"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0,518</w:t>
            </w:r>
          </w:p>
          <w:p w14:paraId="4DF4548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&lt; 0,0001)</w:t>
            </w:r>
          </w:p>
        </w:tc>
      </w:tr>
      <w:tr w:rsidR="00D15122" w:rsidRPr="00D6167B" w14:paraId="13DB479E" w14:textId="77777777" w:rsidTr="00FB19BF">
        <w:trPr>
          <w:cantSplit/>
        </w:trPr>
        <w:tc>
          <w:tcPr>
            <w:tcW w:w="8455" w:type="dxa"/>
            <w:gridSpan w:val="3"/>
          </w:tcPr>
          <w:p w14:paraId="211092C5"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Stopa objektivnog odgovora</w:t>
            </w:r>
          </w:p>
        </w:tc>
      </w:tr>
      <w:tr w:rsidR="00D15122" w:rsidRPr="00D6167B" w14:paraId="1182C931" w14:textId="77777777" w:rsidTr="00FB19BF">
        <w:trPr>
          <w:cantSplit/>
        </w:trPr>
        <w:tc>
          <w:tcPr>
            <w:tcW w:w="3893" w:type="dxa"/>
          </w:tcPr>
          <w:p w14:paraId="5E5726C7" w14:textId="77777777" w:rsidR="00D15122" w:rsidRPr="00D6167B" w:rsidRDefault="009B0756" w:rsidP="007608DF">
            <w:pPr>
              <w:pStyle w:val="TableParagraph"/>
              <w:widowControl/>
              <w:ind w:left="310"/>
              <w:jc w:val="both"/>
              <w:rPr>
                <w:rFonts w:ascii="Times New Roman" w:eastAsia="Times New Roman" w:hAnsi="Times New Roman"/>
                <w:lang w:val="hr-HR"/>
              </w:rPr>
            </w:pPr>
            <w:r w:rsidRPr="00D6167B">
              <w:rPr>
                <w:rFonts w:ascii="Times New Roman" w:hAnsi="Times New Roman"/>
                <w:lang w:val="hr-HR"/>
              </w:rPr>
              <w:t>Stopa</w:t>
            </w:r>
          </w:p>
        </w:tc>
        <w:tc>
          <w:tcPr>
            <w:tcW w:w="2160" w:type="dxa"/>
          </w:tcPr>
          <w:p w14:paraId="50778AD7"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8,6%</w:t>
            </w:r>
          </w:p>
        </w:tc>
        <w:tc>
          <w:tcPr>
            <w:tcW w:w="2402" w:type="dxa"/>
          </w:tcPr>
          <w:p w14:paraId="15163F30"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22,2%</w:t>
            </w:r>
          </w:p>
        </w:tc>
      </w:tr>
      <w:tr w:rsidR="00D15122" w:rsidRPr="00D6167B" w14:paraId="4FD9469E" w14:textId="77777777" w:rsidTr="00FB19BF">
        <w:trPr>
          <w:cantSplit/>
        </w:trPr>
        <w:tc>
          <w:tcPr>
            <w:tcW w:w="3893" w:type="dxa"/>
          </w:tcPr>
          <w:p w14:paraId="616D0B7B" w14:textId="77777777" w:rsidR="00D15122" w:rsidRPr="00D6167B" w:rsidRDefault="00D15122" w:rsidP="007608DF">
            <w:pPr>
              <w:widowControl/>
              <w:jc w:val="both"/>
              <w:rPr>
                <w:rFonts w:ascii="Times New Roman" w:hAnsi="Times New Roman"/>
                <w:lang w:val="hr-HR"/>
              </w:rPr>
            </w:pPr>
          </w:p>
        </w:tc>
        <w:tc>
          <w:tcPr>
            <w:tcW w:w="4562" w:type="dxa"/>
            <w:gridSpan w:val="2"/>
          </w:tcPr>
          <w:p w14:paraId="2F5E4DBE"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(vrijednost p &lt; 0,0001)</w:t>
            </w:r>
          </w:p>
        </w:tc>
      </w:tr>
    </w:tbl>
    <w:p w14:paraId="5D76F802"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vertAlign w:val="superscript"/>
          <w:lang w:val="hr-HR"/>
        </w:rPr>
        <w:tab/>
      </w:r>
      <w:r w:rsidRPr="00D6167B">
        <w:rPr>
          <w:rFonts w:ascii="Times New Roman" w:hAnsi="Times New Roman"/>
          <w:sz w:val="20"/>
          <w:lang w:val="hr-HR"/>
        </w:rPr>
        <w:t>10 mg/kg na svake 2 nedjelje</w:t>
      </w:r>
    </w:p>
    <w:p w14:paraId="3815520C"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b</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U odnosu na kontrol</w:t>
      </w:r>
      <w:r w:rsidR="007907BF" w:rsidRPr="00D6167B">
        <w:rPr>
          <w:rFonts w:ascii="Times New Roman" w:hAnsi="Times New Roman"/>
          <w:sz w:val="20"/>
          <w:lang w:val="hr-HR"/>
        </w:rPr>
        <w:t>u</w:t>
      </w:r>
      <w:r w:rsidRPr="00D6167B">
        <w:rPr>
          <w:rFonts w:ascii="Times New Roman" w:hAnsi="Times New Roman"/>
          <w:sz w:val="20"/>
          <w:lang w:val="hr-HR"/>
        </w:rPr>
        <w:t xml:space="preserve"> </w:t>
      </w:r>
      <w:r w:rsidR="007907BF" w:rsidRPr="00D6167B">
        <w:rPr>
          <w:rFonts w:ascii="Times New Roman" w:hAnsi="Times New Roman"/>
          <w:sz w:val="20"/>
          <w:lang w:val="hr-HR"/>
        </w:rPr>
        <w:t>grupu</w:t>
      </w:r>
    </w:p>
    <w:p w14:paraId="24F970BA" w14:textId="77777777" w:rsidR="00D15122" w:rsidRPr="00D6167B" w:rsidRDefault="00D15122" w:rsidP="007608DF">
      <w:pPr>
        <w:widowControl/>
        <w:ind w:left="288" w:hanging="288"/>
        <w:jc w:val="both"/>
        <w:rPr>
          <w:rFonts w:ascii="Times New Roman" w:eastAsia="Times New Roman" w:hAnsi="Times New Roman"/>
          <w:lang w:val="hr-HR"/>
        </w:rPr>
      </w:pPr>
    </w:p>
    <w:p w14:paraId="1066454C" w14:textId="4A479B24" w:rsidR="00D15122" w:rsidRPr="00D6167B" w:rsidRDefault="009B0756" w:rsidP="007608DF">
      <w:pPr>
        <w:pStyle w:val="BodyText"/>
        <w:widowControl/>
        <w:ind w:left="0"/>
        <w:jc w:val="both"/>
        <w:rPr>
          <w:lang w:val="hr-HR"/>
        </w:rPr>
      </w:pPr>
      <w:r w:rsidRPr="00D6167B">
        <w:rPr>
          <w:lang w:val="hr-HR"/>
        </w:rPr>
        <w:t>Nije prim</w:t>
      </w:r>
      <w:r w:rsidR="001054C9" w:rsidRPr="00D6167B">
        <w:rPr>
          <w:lang w:val="hr-HR"/>
        </w:rPr>
        <w:t>i</w:t>
      </w:r>
      <w:r w:rsidRPr="00D6167B">
        <w:rPr>
          <w:lang w:val="hr-HR"/>
        </w:rPr>
        <w:t xml:space="preserve">jećena značajna razlika u trajanju ukupnog preživljavanja između pacijenata koji su primali monoterapiju bevacizumabom i onih koji su primali terapiju FOLFOX-4. Preživljavanje bez progresije bolesti i stopa </w:t>
      </w:r>
      <w:r w:rsidR="007879C6">
        <w:rPr>
          <w:lang w:val="hr-HR"/>
        </w:rPr>
        <w:t xml:space="preserve">objektivnog </w:t>
      </w:r>
      <w:r w:rsidRPr="00D6167B">
        <w:rPr>
          <w:lang w:val="hr-HR"/>
        </w:rPr>
        <w:t xml:space="preserve">odgovora bili su inferiorni u </w:t>
      </w:r>
      <w:r w:rsidR="007907BF" w:rsidRPr="00D6167B">
        <w:rPr>
          <w:lang w:val="hr-HR"/>
        </w:rPr>
        <w:t xml:space="preserve">grupi </w:t>
      </w:r>
      <w:r w:rsidRPr="00D6167B">
        <w:rPr>
          <w:lang w:val="hr-HR"/>
        </w:rPr>
        <w:t xml:space="preserve">sa monoterapijom bevacizumabom u poređenju sa </w:t>
      </w:r>
      <w:r w:rsidR="007907BF" w:rsidRPr="00D6167B">
        <w:rPr>
          <w:lang w:val="hr-HR"/>
        </w:rPr>
        <w:t xml:space="preserve">grupom </w:t>
      </w:r>
      <w:r w:rsidRPr="00D6167B">
        <w:rPr>
          <w:lang w:val="hr-HR"/>
        </w:rPr>
        <w:t>koj</w:t>
      </w:r>
      <w:r w:rsidR="007907BF" w:rsidRPr="00D6167B">
        <w:rPr>
          <w:lang w:val="hr-HR"/>
        </w:rPr>
        <w:t>a</w:t>
      </w:r>
      <w:r w:rsidRPr="00D6167B">
        <w:rPr>
          <w:lang w:val="hr-HR"/>
        </w:rPr>
        <w:t xml:space="preserve"> je prima</w:t>
      </w:r>
      <w:r w:rsidR="007907BF" w:rsidRPr="00D6167B">
        <w:rPr>
          <w:lang w:val="hr-HR"/>
        </w:rPr>
        <w:t>la</w:t>
      </w:r>
      <w:r w:rsidRPr="00D6167B">
        <w:rPr>
          <w:lang w:val="hr-HR"/>
        </w:rPr>
        <w:t xml:space="preserve"> FOLFOX-4.</w:t>
      </w:r>
    </w:p>
    <w:p w14:paraId="3E7D3127" w14:textId="77777777" w:rsidR="00D15122" w:rsidRPr="00D6167B" w:rsidRDefault="00D15122" w:rsidP="007608DF">
      <w:pPr>
        <w:widowControl/>
        <w:jc w:val="both"/>
        <w:rPr>
          <w:rFonts w:ascii="Times New Roman" w:eastAsia="Times New Roman" w:hAnsi="Times New Roman"/>
          <w:lang w:val="hr-HR"/>
        </w:rPr>
      </w:pPr>
    </w:p>
    <w:p w14:paraId="63D37604" w14:textId="77777777" w:rsidR="00DF369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lastRenderedPageBreak/>
        <w:t>ML18147</w:t>
      </w:r>
    </w:p>
    <w:p w14:paraId="426350EB" w14:textId="38179E1A" w:rsidR="00D15122" w:rsidRPr="00D6167B" w:rsidRDefault="007879C6"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kontrolisano</w:t>
      </w:r>
      <w:r>
        <w:rPr>
          <w:lang w:val="hr-HR"/>
        </w:rPr>
        <w:t>m</w:t>
      </w:r>
      <w:r w:rsidR="009B0756" w:rsidRPr="00D6167B">
        <w:rPr>
          <w:lang w:val="hr-HR"/>
        </w:rPr>
        <w:t>, otvoreno</w:t>
      </w:r>
      <w:r>
        <w:rPr>
          <w:lang w:val="hr-HR"/>
        </w:rPr>
        <w:t>m</w:t>
      </w:r>
      <w:r w:rsidR="009B0756" w:rsidRPr="00D6167B">
        <w:rPr>
          <w:lang w:val="hr-HR"/>
        </w:rPr>
        <w:t xml:space="preserve"> ispitivanj</w:t>
      </w:r>
      <w:r>
        <w:rPr>
          <w:lang w:val="hr-HR"/>
        </w:rPr>
        <w:t>u</w:t>
      </w:r>
      <w:r w:rsidR="009B0756" w:rsidRPr="00D6167B">
        <w:rPr>
          <w:lang w:val="hr-HR"/>
        </w:rPr>
        <w:t xml:space="preserve"> faze III, koje je ispitivalo bevacizumab 5,0 mg/kg na svake 2 nedjelje ili 7,5 mg/kg na svake 3 nedjelje u kombinaciji sa hemoterapijom na bazi fluoropirimidina u poređenju samo sa hemoterapijom na bazi fluoropirimidina, kod pacijenata sa mCRC koji su imali progresiju na prvoj liniji režima koji je sadržao bevacizumab.</w:t>
      </w:r>
    </w:p>
    <w:p w14:paraId="77241C90" w14:textId="77777777" w:rsidR="00203535" w:rsidRPr="00D6167B" w:rsidRDefault="00203535" w:rsidP="007608DF">
      <w:pPr>
        <w:pStyle w:val="BodyText"/>
        <w:widowControl/>
        <w:ind w:left="0"/>
        <w:jc w:val="both"/>
        <w:rPr>
          <w:lang w:val="hr-HR"/>
        </w:rPr>
      </w:pPr>
    </w:p>
    <w:p w14:paraId="3F68AE4F" w14:textId="7D19261B" w:rsidR="00D15122" w:rsidRPr="00D6167B" w:rsidRDefault="009B0756" w:rsidP="007608DF">
      <w:pPr>
        <w:pStyle w:val="BodyText"/>
        <w:widowControl/>
        <w:ind w:left="0"/>
        <w:jc w:val="both"/>
        <w:rPr>
          <w:lang w:val="hr-HR"/>
        </w:rPr>
      </w:pPr>
      <w:r w:rsidRPr="00D6167B">
        <w:rPr>
          <w:lang w:val="hr-HR"/>
        </w:rPr>
        <w:t>Pacijenti sa histološki potvrđenim mCRC i progresijom bolesti, bili su, u roku od 3 mjeseca nakon prekida terapije prve linije sa bevacizumabom, randomizovani 1:1 da prime hemoterapiju u vidu fluoropirimidina/oksaliplatina ili fluoropirimidina/irinotekana (hemoterapija je prom</w:t>
      </w:r>
      <w:r w:rsidR="00FA3926" w:rsidRPr="00D6167B">
        <w:rPr>
          <w:lang w:val="hr-HR"/>
        </w:rPr>
        <w:t>ij</w:t>
      </w:r>
      <w:r w:rsidRPr="00D6167B">
        <w:rPr>
          <w:lang w:val="hr-HR"/>
        </w:rPr>
        <w:t>enjena u zavisnosti od hemoterapije u prvoj liniji) sa ili bez bevacizumaba. Liječenje je prim</w:t>
      </w:r>
      <w:r w:rsidR="007879C6">
        <w:rPr>
          <w:lang w:val="hr-HR"/>
        </w:rPr>
        <w:t>j</w:t>
      </w:r>
      <w:r w:rsidRPr="00D6167B">
        <w:rPr>
          <w:lang w:val="hr-HR"/>
        </w:rPr>
        <w:t>enjivano do progresije bolesti ili pojave neprihvatljive toksičnosti. Primarna mjera ishoda bila je ukupno preživljavanje definisano kao vrijeme od randomizacije do smrti, nezavisno od uzroka.</w:t>
      </w:r>
    </w:p>
    <w:p w14:paraId="2DF3D90D" w14:textId="77777777" w:rsidR="00203535" w:rsidRPr="00D6167B" w:rsidRDefault="00203535" w:rsidP="007608DF">
      <w:pPr>
        <w:pStyle w:val="BodyText"/>
        <w:widowControl/>
        <w:ind w:left="0"/>
        <w:jc w:val="both"/>
        <w:rPr>
          <w:lang w:val="hr-HR"/>
        </w:rPr>
      </w:pPr>
    </w:p>
    <w:p w14:paraId="7EDAA514" w14:textId="77777777" w:rsidR="00221EBE" w:rsidRPr="00D6167B" w:rsidRDefault="009B0756" w:rsidP="007608DF">
      <w:pPr>
        <w:pStyle w:val="BodyText"/>
        <w:widowControl/>
        <w:ind w:left="0"/>
        <w:jc w:val="both"/>
        <w:rPr>
          <w:lang w:val="hr-HR"/>
        </w:rPr>
      </w:pPr>
      <w:r w:rsidRPr="00D6167B">
        <w:rPr>
          <w:lang w:val="hr-HR"/>
        </w:rPr>
        <w:t>Randomizovano je ukupno 820 pacijenata. Dodavanje bevacizumaba hemoterapiji na bazi fluoropirimidina pokazao je statistički značajno produženje preživljavanja kod pacijenata sa mCRC kod kojih je došlo do progresije bolesti na režimu prve linije koja je sadržavala bevacizumab (ITT = 819) (pogledajte tabelu 9).</w:t>
      </w:r>
    </w:p>
    <w:p w14:paraId="24FBFCE8" w14:textId="77777777" w:rsidR="00221EBE" w:rsidRPr="00D6167B" w:rsidRDefault="00221EBE" w:rsidP="007608DF">
      <w:pPr>
        <w:pStyle w:val="BodyText"/>
        <w:widowControl/>
        <w:ind w:left="0"/>
        <w:jc w:val="both"/>
        <w:rPr>
          <w:lang w:val="hr-HR"/>
        </w:rPr>
      </w:pPr>
    </w:p>
    <w:p w14:paraId="722227DF" w14:textId="77777777" w:rsidR="00D15122" w:rsidRPr="00D6167B" w:rsidRDefault="002E590F" w:rsidP="007608DF">
      <w:pPr>
        <w:pStyle w:val="BodyText"/>
        <w:keepNext/>
        <w:widowControl/>
        <w:ind w:left="0" w:right="238"/>
        <w:jc w:val="both"/>
        <w:rPr>
          <w:b/>
          <w:lang w:val="hr-HR"/>
        </w:rPr>
      </w:pPr>
      <w:r w:rsidRPr="00D6167B">
        <w:rPr>
          <w:b/>
          <w:lang w:val="hr-HR"/>
        </w:rPr>
        <w:t>Tabela 9</w:t>
      </w:r>
      <w:r w:rsidRPr="00D6167B">
        <w:rPr>
          <w:b/>
          <w:lang w:val="hr-HR"/>
        </w:rPr>
        <w:tab/>
        <w:t>Rezultati efikasnosti za studiju ML18147 (ITT populacija)</w:t>
      </w:r>
    </w:p>
    <w:p w14:paraId="23607CD1" w14:textId="77777777" w:rsidR="00273BB0" w:rsidRPr="00D6167B" w:rsidRDefault="00273BB0" w:rsidP="007608DF">
      <w:pPr>
        <w:pStyle w:val="BodyText"/>
        <w:keepNext/>
        <w:widowControl/>
        <w:ind w:left="0" w:right="238"/>
        <w:jc w:val="both"/>
        <w:rPr>
          <w:bCs/>
          <w:lang w:val="hr-HR"/>
        </w:rPr>
      </w:pPr>
    </w:p>
    <w:tbl>
      <w:tblPr>
        <w:tblW w:w="5000" w:type="pct"/>
        <w:tblLayout w:type="fixed"/>
        <w:tblCellMar>
          <w:left w:w="115" w:type="dxa"/>
          <w:right w:w="115" w:type="dxa"/>
        </w:tblCellMar>
        <w:tblLook w:val="01E0" w:firstRow="1" w:lastRow="1" w:firstColumn="1" w:lastColumn="1" w:noHBand="0" w:noVBand="0"/>
      </w:tblPr>
      <w:tblGrid>
        <w:gridCol w:w="3563"/>
        <w:gridCol w:w="2764"/>
        <w:gridCol w:w="2737"/>
        <w:gridCol w:w="8"/>
      </w:tblGrid>
      <w:tr w:rsidR="00273BB0" w:rsidRPr="00D6167B" w14:paraId="01B1EDF1" w14:textId="77777777" w:rsidTr="00E86D45">
        <w:trPr>
          <w:gridAfter w:val="1"/>
          <w:wAfter w:w="8" w:type="dxa"/>
          <w:cantSplit/>
          <w:tblHeader/>
        </w:trPr>
        <w:tc>
          <w:tcPr>
            <w:tcW w:w="3661" w:type="dxa"/>
            <w:tcBorders>
              <w:top w:val="single" w:sz="6" w:space="0" w:color="000000"/>
              <w:left w:val="single" w:sz="6" w:space="0" w:color="000000"/>
              <w:bottom w:val="single" w:sz="5" w:space="0" w:color="000000"/>
              <w:right w:val="single" w:sz="5" w:space="0" w:color="000000"/>
            </w:tcBorders>
          </w:tcPr>
          <w:p w14:paraId="47A1197E" w14:textId="77777777" w:rsidR="00273BB0" w:rsidRPr="00D6167B" w:rsidRDefault="00273BB0" w:rsidP="007608DF">
            <w:pPr>
              <w:widowControl/>
              <w:jc w:val="both"/>
              <w:rPr>
                <w:rFonts w:ascii="Times New Roman" w:hAnsi="Times New Roman"/>
                <w:lang w:val="hr-HR"/>
              </w:rPr>
            </w:pPr>
          </w:p>
        </w:tc>
        <w:tc>
          <w:tcPr>
            <w:tcW w:w="5649" w:type="dxa"/>
            <w:gridSpan w:val="2"/>
            <w:tcBorders>
              <w:top w:val="single" w:sz="6" w:space="0" w:color="000000"/>
              <w:left w:val="single" w:sz="5" w:space="0" w:color="000000"/>
              <w:bottom w:val="single" w:sz="5" w:space="0" w:color="000000"/>
              <w:right w:val="single" w:sz="6" w:space="0" w:color="000000"/>
            </w:tcBorders>
          </w:tcPr>
          <w:p w14:paraId="0A5BE020" w14:textId="77777777" w:rsidR="00273BB0" w:rsidRPr="00D6167B" w:rsidRDefault="00273BB0" w:rsidP="00D37692">
            <w:pPr>
              <w:pStyle w:val="TableParagraph"/>
              <w:widowControl/>
              <w:spacing w:before="19"/>
              <w:jc w:val="center"/>
              <w:rPr>
                <w:rFonts w:ascii="Times New Roman" w:eastAsia="Times New Roman" w:hAnsi="Times New Roman"/>
                <w:lang w:val="hr-HR"/>
              </w:rPr>
            </w:pPr>
            <w:r w:rsidRPr="00D6167B">
              <w:rPr>
                <w:rFonts w:ascii="Times New Roman" w:hAnsi="Times New Roman"/>
                <w:lang w:val="hr-HR"/>
              </w:rPr>
              <w:t>ML18147</w:t>
            </w:r>
          </w:p>
        </w:tc>
      </w:tr>
      <w:tr w:rsidR="00273BB0" w:rsidRPr="00D6167B" w14:paraId="0A1353FD" w14:textId="77777777" w:rsidTr="00E86D45">
        <w:trPr>
          <w:gridAfter w:val="1"/>
          <w:wAfter w:w="8" w:type="dxa"/>
          <w:cantSplit/>
          <w:tblHeader/>
        </w:trPr>
        <w:tc>
          <w:tcPr>
            <w:tcW w:w="3661" w:type="dxa"/>
            <w:tcBorders>
              <w:top w:val="single" w:sz="5" w:space="0" w:color="000000"/>
              <w:left w:val="single" w:sz="6" w:space="0" w:color="000000"/>
              <w:bottom w:val="single" w:sz="5" w:space="0" w:color="000000"/>
              <w:right w:val="single" w:sz="5" w:space="0" w:color="000000"/>
            </w:tcBorders>
          </w:tcPr>
          <w:p w14:paraId="2201E083" w14:textId="77777777" w:rsidR="00273BB0" w:rsidRPr="00D6167B" w:rsidRDefault="00273BB0" w:rsidP="007608DF">
            <w:pPr>
              <w:widowControl/>
              <w:jc w:val="both"/>
              <w:rPr>
                <w:rFonts w:ascii="Times New Roman" w:hAnsi="Times New Roman"/>
                <w:lang w:val="hr-HR"/>
              </w:rPr>
            </w:pPr>
          </w:p>
        </w:tc>
        <w:tc>
          <w:tcPr>
            <w:tcW w:w="2838" w:type="dxa"/>
            <w:tcBorders>
              <w:top w:val="single" w:sz="5" w:space="0" w:color="000000"/>
              <w:left w:val="single" w:sz="5" w:space="0" w:color="000000"/>
              <w:bottom w:val="single" w:sz="5" w:space="0" w:color="000000"/>
              <w:right w:val="single" w:sz="5" w:space="0" w:color="000000"/>
            </w:tcBorders>
          </w:tcPr>
          <w:p w14:paraId="3D0ED0A4" w14:textId="48D7D1C5" w:rsidR="00273BB0" w:rsidRPr="00D6167B" w:rsidRDefault="00C524E7" w:rsidP="00D37692">
            <w:pPr>
              <w:pStyle w:val="TableParagraph"/>
              <w:widowControl/>
              <w:spacing w:before="134" w:line="248" w:lineRule="auto"/>
              <w:ind w:right="118" w:firstLine="2"/>
              <w:rPr>
                <w:rFonts w:ascii="Times New Roman" w:eastAsia="Times New Roman" w:hAnsi="Times New Roman"/>
                <w:lang w:val="hr-HR"/>
              </w:rPr>
            </w:pPr>
            <w:r w:rsidRPr="00D6167B">
              <w:rPr>
                <w:rFonts w:ascii="Times New Roman" w:hAnsi="Times New Roman"/>
                <w:lang w:val="hr-HR"/>
              </w:rPr>
              <w:t>Hemoterapija bazirana na fluoropirimidinu/irinotekau ili fluoropirimidinu/oksaliplatinu</w:t>
            </w:r>
          </w:p>
        </w:tc>
        <w:tc>
          <w:tcPr>
            <w:tcW w:w="2811" w:type="dxa"/>
            <w:tcBorders>
              <w:top w:val="single" w:sz="5" w:space="0" w:color="000000"/>
              <w:left w:val="single" w:sz="5" w:space="0" w:color="000000"/>
              <w:bottom w:val="single" w:sz="5" w:space="0" w:color="000000"/>
              <w:right w:val="single" w:sz="6" w:space="0" w:color="000000"/>
            </w:tcBorders>
          </w:tcPr>
          <w:p w14:paraId="7C670641" w14:textId="1A974511" w:rsidR="00273BB0" w:rsidRPr="00D6167B" w:rsidRDefault="00C524E7" w:rsidP="00D37692">
            <w:pPr>
              <w:pStyle w:val="TableParagraph"/>
              <w:widowControl/>
              <w:spacing w:line="248" w:lineRule="auto"/>
              <w:ind w:right="118" w:firstLine="2"/>
              <w:rPr>
                <w:rFonts w:ascii="Times New Roman" w:eastAsia="Times New Roman" w:hAnsi="Times New Roman"/>
                <w:lang w:val="hr-HR"/>
              </w:rPr>
            </w:pPr>
            <w:r w:rsidRPr="00D6167B">
              <w:rPr>
                <w:rFonts w:ascii="Times New Roman" w:hAnsi="Times New Roman"/>
                <w:lang w:val="hr-HR"/>
              </w:rPr>
              <w:t>Hemoterapija bazirana na fluoropirimidinu/irinotekau ili fluoropirimidinu/oksaliplatinu</w:t>
            </w:r>
          </w:p>
          <w:p w14:paraId="1767F449" w14:textId="77777777" w:rsidR="00273BB0" w:rsidRPr="00D6167B" w:rsidRDefault="00273BB0" w:rsidP="00D37692">
            <w:pPr>
              <w:pStyle w:val="TableParagraph"/>
              <w:widowControl/>
              <w:spacing w:line="269" w:lineRule="exact"/>
              <w:rPr>
                <w:rFonts w:ascii="Times New Roman" w:eastAsia="Times New Roman" w:hAnsi="Times New Roman"/>
                <w:sz w:val="14"/>
                <w:szCs w:val="14"/>
                <w:lang w:val="hr-HR"/>
              </w:rPr>
            </w:pPr>
            <w:r w:rsidRPr="00D6167B">
              <w:rPr>
                <w:rFonts w:ascii="Times New Roman" w:hAnsi="Times New Roman"/>
                <w:lang w:val="hr-HR"/>
              </w:rPr>
              <w:t>+ bevacizumab</w:t>
            </w:r>
            <w:r w:rsidRPr="00D6167B">
              <w:rPr>
                <w:rFonts w:ascii="Times New Roman" w:hAnsi="Times New Roman"/>
                <w:sz w:val="14"/>
                <w:lang w:val="hr-HR"/>
              </w:rPr>
              <w:t>a</w:t>
            </w:r>
          </w:p>
        </w:tc>
      </w:tr>
      <w:tr w:rsidR="00273BB0" w:rsidRPr="00D6167B" w14:paraId="27F049EC" w14:textId="77777777" w:rsidTr="00E86D45">
        <w:trPr>
          <w:cantSplit/>
        </w:trPr>
        <w:tc>
          <w:tcPr>
            <w:tcW w:w="3661" w:type="dxa"/>
            <w:tcBorders>
              <w:top w:val="single" w:sz="5" w:space="0" w:color="000000"/>
              <w:left w:val="single" w:sz="6" w:space="0" w:color="000000"/>
              <w:bottom w:val="single" w:sz="5" w:space="0" w:color="000000"/>
              <w:right w:val="single" w:sz="5" w:space="0" w:color="000000"/>
            </w:tcBorders>
          </w:tcPr>
          <w:p w14:paraId="2289BE9E" w14:textId="77777777" w:rsidR="00273BB0" w:rsidRPr="00D6167B" w:rsidRDefault="00273BB0" w:rsidP="00D37692">
            <w:pPr>
              <w:pStyle w:val="TableParagraph"/>
              <w:widowControl/>
              <w:spacing w:before="19"/>
              <w:rPr>
                <w:rFonts w:ascii="Times New Roman" w:eastAsia="Times New Roman" w:hAnsi="Times New Roman"/>
                <w:lang w:val="hr-HR"/>
              </w:rPr>
            </w:pPr>
            <w:r w:rsidRPr="00D6167B">
              <w:rPr>
                <w:rFonts w:ascii="Times New Roman" w:hAnsi="Times New Roman"/>
                <w:lang w:val="hr-HR"/>
              </w:rPr>
              <w:t>Broj pacijenata</w:t>
            </w:r>
          </w:p>
        </w:tc>
        <w:tc>
          <w:tcPr>
            <w:tcW w:w="2838" w:type="dxa"/>
            <w:tcBorders>
              <w:top w:val="single" w:sz="5" w:space="0" w:color="000000"/>
              <w:left w:val="single" w:sz="5" w:space="0" w:color="000000"/>
              <w:bottom w:val="single" w:sz="5" w:space="0" w:color="000000"/>
              <w:right w:val="single" w:sz="5" w:space="0" w:color="000000"/>
            </w:tcBorders>
          </w:tcPr>
          <w:p w14:paraId="19628599" w14:textId="77777777" w:rsidR="00273BB0" w:rsidRPr="00D6167B" w:rsidRDefault="00273BB0" w:rsidP="00D37692">
            <w:pPr>
              <w:pStyle w:val="TableParagraph"/>
              <w:widowControl/>
              <w:spacing w:before="19"/>
              <w:jc w:val="center"/>
              <w:rPr>
                <w:rFonts w:ascii="Times New Roman" w:hAnsi="Times New Roman"/>
                <w:lang w:val="hr-HR"/>
              </w:rPr>
            </w:pPr>
            <w:r w:rsidRPr="00D6167B">
              <w:rPr>
                <w:rFonts w:ascii="Times New Roman" w:hAnsi="Times New Roman"/>
                <w:lang w:val="hr-HR"/>
              </w:rPr>
              <w:t>410</w:t>
            </w:r>
          </w:p>
        </w:tc>
        <w:tc>
          <w:tcPr>
            <w:tcW w:w="2819" w:type="dxa"/>
            <w:gridSpan w:val="2"/>
            <w:tcBorders>
              <w:top w:val="single" w:sz="5" w:space="0" w:color="000000"/>
              <w:left w:val="single" w:sz="5" w:space="0" w:color="000000"/>
              <w:bottom w:val="single" w:sz="5" w:space="0" w:color="000000"/>
              <w:right w:val="single" w:sz="6" w:space="0" w:color="000000"/>
            </w:tcBorders>
          </w:tcPr>
          <w:p w14:paraId="73ABFC05" w14:textId="77777777" w:rsidR="00273BB0" w:rsidRPr="00D6167B" w:rsidRDefault="00273BB0" w:rsidP="00D37692">
            <w:pPr>
              <w:pStyle w:val="TableParagraph"/>
              <w:widowControl/>
              <w:spacing w:before="19"/>
              <w:jc w:val="center"/>
              <w:rPr>
                <w:rFonts w:ascii="Times New Roman" w:eastAsia="Times New Roman" w:hAnsi="Times New Roman"/>
                <w:lang w:val="hr-HR"/>
              </w:rPr>
            </w:pPr>
            <w:r w:rsidRPr="00D6167B">
              <w:rPr>
                <w:rFonts w:ascii="Times New Roman" w:hAnsi="Times New Roman"/>
                <w:lang w:val="hr-HR"/>
              </w:rPr>
              <w:t>409</w:t>
            </w:r>
          </w:p>
        </w:tc>
      </w:tr>
      <w:tr w:rsidR="00273BB0" w:rsidRPr="00D6167B" w14:paraId="2EED23A7" w14:textId="77777777" w:rsidTr="00E86D45">
        <w:trPr>
          <w:gridAfter w:val="1"/>
          <w:wAfter w:w="8" w:type="dxa"/>
          <w:cantSplit/>
        </w:trPr>
        <w:tc>
          <w:tcPr>
            <w:tcW w:w="3661" w:type="dxa"/>
            <w:tcBorders>
              <w:top w:val="single" w:sz="5" w:space="0" w:color="000000"/>
              <w:left w:val="single" w:sz="6" w:space="0" w:color="000000"/>
              <w:bottom w:val="single" w:sz="5" w:space="0" w:color="000000"/>
              <w:right w:val="single" w:sz="5" w:space="0" w:color="000000"/>
            </w:tcBorders>
          </w:tcPr>
          <w:p w14:paraId="4850B12F" w14:textId="77777777" w:rsidR="00273BB0" w:rsidRPr="00D6167B" w:rsidRDefault="00273BB0" w:rsidP="00D37692">
            <w:pPr>
              <w:pStyle w:val="TableParagraph"/>
              <w:widowControl/>
              <w:spacing w:before="24"/>
              <w:rPr>
                <w:rFonts w:ascii="Times New Roman" w:eastAsia="Times New Roman" w:hAnsi="Times New Roman"/>
                <w:bCs/>
                <w:lang w:val="hr-HR"/>
              </w:rPr>
            </w:pPr>
            <w:r w:rsidRPr="00D6167B">
              <w:rPr>
                <w:rFonts w:ascii="Times New Roman" w:hAnsi="Times New Roman"/>
                <w:lang w:val="hr-HR"/>
              </w:rPr>
              <w:t>Ukupno preživljavanje</w:t>
            </w:r>
          </w:p>
        </w:tc>
        <w:tc>
          <w:tcPr>
            <w:tcW w:w="2838" w:type="dxa"/>
            <w:tcBorders>
              <w:top w:val="single" w:sz="5" w:space="0" w:color="000000"/>
              <w:left w:val="single" w:sz="5" w:space="0" w:color="000000"/>
              <w:bottom w:val="single" w:sz="5" w:space="0" w:color="000000"/>
              <w:right w:val="nil"/>
            </w:tcBorders>
          </w:tcPr>
          <w:p w14:paraId="5AAA38BB" w14:textId="77777777" w:rsidR="00273BB0" w:rsidRPr="00D6167B" w:rsidRDefault="00273BB0" w:rsidP="007608DF">
            <w:pPr>
              <w:pStyle w:val="TableParagraph"/>
              <w:widowControl/>
              <w:tabs>
                <w:tab w:val="left" w:pos="2880"/>
              </w:tabs>
              <w:spacing w:before="19"/>
              <w:ind w:right="-2"/>
              <w:jc w:val="both"/>
              <w:rPr>
                <w:rFonts w:ascii="Times New Roman" w:hAnsi="Times New Roman"/>
                <w:lang w:val="hr-HR"/>
              </w:rPr>
            </w:pPr>
          </w:p>
        </w:tc>
        <w:tc>
          <w:tcPr>
            <w:tcW w:w="2811" w:type="dxa"/>
            <w:tcBorders>
              <w:top w:val="single" w:sz="5" w:space="0" w:color="000000"/>
              <w:left w:val="nil"/>
              <w:bottom w:val="single" w:sz="5" w:space="0" w:color="000000"/>
              <w:right w:val="single" w:sz="6" w:space="0" w:color="000000"/>
            </w:tcBorders>
          </w:tcPr>
          <w:p w14:paraId="4F4F43E9" w14:textId="77777777" w:rsidR="00273BB0" w:rsidRPr="00D6167B" w:rsidRDefault="00273BB0" w:rsidP="007608DF">
            <w:pPr>
              <w:pStyle w:val="TableParagraph"/>
              <w:widowControl/>
              <w:tabs>
                <w:tab w:val="left" w:pos="2880"/>
              </w:tabs>
              <w:spacing w:before="19"/>
              <w:ind w:right="-2"/>
              <w:jc w:val="both"/>
              <w:rPr>
                <w:rFonts w:ascii="Times New Roman" w:hAnsi="Times New Roman"/>
                <w:lang w:val="hr-HR"/>
              </w:rPr>
            </w:pPr>
          </w:p>
        </w:tc>
      </w:tr>
      <w:tr w:rsidR="00273BB0" w:rsidRPr="00D6167B" w14:paraId="75F25626" w14:textId="77777777" w:rsidTr="00E86D45">
        <w:trPr>
          <w:cantSplit/>
        </w:trPr>
        <w:tc>
          <w:tcPr>
            <w:tcW w:w="3661" w:type="dxa"/>
            <w:tcBorders>
              <w:top w:val="single" w:sz="5" w:space="0" w:color="000000"/>
              <w:left w:val="single" w:sz="6" w:space="0" w:color="000000"/>
              <w:bottom w:val="single" w:sz="5" w:space="0" w:color="000000"/>
              <w:right w:val="single" w:sz="5" w:space="0" w:color="000000"/>
            </w:tcBorders>
          </w:tcPr>
          <w:p w14:paraId="5A7D879F" w14:textId="77777777" w:rsidR="00273BB0" w:rsidRPr="00D6167B" w:rsidRDefault="00273BB0" w:rsidP="00D37692">
            <w:pPr>
              <w:pStyle w:val="TableParagraph"/>
              <w:widowControl/>
              <w:spacing w:before="19"/>
              <w:rPr>
                <w:rFonts w:ascii="Times New Roman" w:eastAsia="Times New Roman" w:hAnsi="Times New Roman"/>
                <w:lang w:val="hr-HR"/>
              </w:rPr>
            </w:pPr>
            <w:r w:rsidRPr="00D6167B">
              <w:rPr>
                <w:rFonts w:ascii="Times New Roman" w:hAnsi="Times New Roman"/>
                <w:lang w:val="hr-HR"/>
              </w:rPr>
              <w:t>Srednja vrijednost (mjeseci)</w:t>
            </w:r>
          </w:p>
        </w:tc>
        <w:tc>
          <w:tcPr>
            <w:tcW w:w="2838" w:type="dxa"/>
            <w:tcBorders>
              <w:top w:val="single" w:sz="5" w:space="0" w:color="000000"/>
              <w:left w:val="single" w:sz="5" w:space="0" w:color="000000"/>
              <w:bottom w:val="single" w:sz="5" w:space="0" w:color="000000"/>
              <w:right w:val="single" w:sz="5" w:space="0" w:color="000000"/>
            </w:tcBorders>
          </w:tcPr>
          <w:p w14:paraId="1CC8C351" w14:textId="77777777" w:rsidR="00273BB0" w:rsidRPr="00D6167B" w:rsidRDefault="00273BB0" w:rsidP="00D37692">
            <w:pPr>
              <w:pStyle w:val="TableParagraph"/>
              <w:widowControl/>
              <w:tabs>
                <w:tab w:val="left" w:pos="2880"/>
              </w:tabs>
              <w:spacing w:before="19"/>
              <w:ind w:right="-2"/>
              <w:jc w:val="center"/>
              <w:rPr>
                <w:rFonts w:ascii="Times New Roman" w:hAnsi="Times New Roman"/>
                <w:lang w:val="hr-HR"/>
              </w:rPr>
            </w:pPr>
            <w:r w:rsidRPr="00D6167B">
              <w:rPr>
                <w:rFonts w:ascii="Times New Roman" w:hAnsi="Times New Roman"/>
                <w:lang w:val="hr-HR"/>
              </w:rPr>
              <w:t>9,8</w:t>
            </w:r>
          </w:p>
        </w:tc>
        <w:tc>
          <w:tcPr>
            <w:tcW w:w="2819" w:type="dxa"/>
            <w:gridSpan w:val="2"/>
            <w:tcBorders>
              <w:top w:val="single" w:sz="5" w:space="0" w:color="000000"/>
              <w:left w:val="single" w:sz="5" w:space="0" w:color="000000"/>
              <w:bottom w:val="single" w:sz="5" w:space="0" w:color="000000"/>
              <w:right w:val="single" w:sz="6" w:space="0" w:color="000000"/>
            </w:tcBorders>
          </w:tcPr>
          <w:p w14:paraId="5CF9CB1F" w14:textId="77777777" w:rsidR="00273BB0" w:rsidRPr="00D6167B" w:rsidRDefault="00273BB0" w:rsidP="00D37692">
            <w:pPr>
              <w:pStyle w:val="TableParagraph"/>
              <w:widowControl/>
              <w:spacing w:before="19"/>
              <w:jc w:val="center"/>
              <w:rPr>
                <w:rFonts w:ascii="Times New Roman" w:eastAsia="Times New Roman" w:hAnsi="Times New Roman"/>
                <w:lang w:val="hr-HR"/>
              </w:rPr>
            </w:pPr>
            <w:r w:rsidRPr="00D6167B">
              <w:rPr>
                <w:rFonts w:ascii="Times New Roman" w:hAnsi="Times New Roman"/>
                <w:lang w:val="hr-HR"/>
              </w:rPr>
              <w:t>11,2</w:t>
            </w:r>
          </w:p>
        </w:tc>
      </w:tr>
      <w:tr w:rsidR="00273BB0" w:rsidRPr="00D6167B" w14:paraId="604CCF22" w14:textId="77777777" w:rsidTr="00E86D45">
        <w:trPr>
          <w:gridAfter w:val="1"/>
          <w:wAfter w:w="8" w:type="dxa"/>
          <w:cantSplit/>
        </w:trPr>
        <w:tc>
          <w:tcPr>
            <w:tcW w:w="3661" w:type="dxa"/>
            <w:tcBorders>
              <w:top w:val="single" w:sz="5" w:space="0" w:color="000000"/>
              <w:left w:val="single" w:sz="6" w:space="0" w:color="000000"/>
              <w:bottom w:val="single" w:sz="5" w:space="0" w:color="000000"/>
              <w:right w:val="single" w:sz="5" w:space="0" w:color="000000"/>
            </w:tcBorders>
          </w:tcPr>
          <w:p w14:paraId="6CDFF39A" w14:textId="77777777" w:rsidR="00273BB0" w:rsidRPr="00D6167B" w:rsidRDefault="00273BB0" w:rsidP="00D37692">
            <w:pPr>
              <w:pStyle w:val="TableParagraph"/>
              <w:widowControl/>
              <w:spacing w:before="161"/>
              <w:rPr>
                <w:rFonts w:ascii="Times New Roman" w:eastAsia="Times New Roman" w:hAnsi="Times New Roman"/>
                <w:lang w:val="hr-HR"/>
              </w:rPr>
            </w:pPr>
            <w:r w:rsidRPr="00D6167B">
              <w:rPr>
                <w:rFonts w:ascii="Times New Roman" w:hAnsi="Times New Roman"/>
                <w:lang w:val="hr-HR"/>
              </w:rPr>
              <w:t>Odnos rizika (95% interval pouzdanosti (CI))</w:t>
            </w:r>
          </w:p>
        </w:tc>
        <w:tc>
          <w:tcPr>
            <w:tcW w:w="5649" w:type="dxa"/>
            <w:gridSpan w:val="2"/>
            <w:tcBorders>
              <w:top w:val="single" w:sz="5" w:space="0" w:color="000000"/>
              <w:left w:val="single" w:sz="5" w:space="0" w:color="000000"/>
              <w:bottom w:val="single" w:sz="5" w:space="0" w:color="000000"/>
              <w:right w:val="single" w:sz="6" w:space="0" w:color="000000"/>
            </w:tcBorders>
          </w:tcPr>
          <w:p w14:paraId="66914843" w14:textId="77777777" w:rsidR="00273BB0" w:rsidRPr="00D6167B" w:rsidRDefault="00273BB0" w:rsidP="00D37692">
            <w:pPr>
              <w:pStyle w:val="TableParagraph"/>
              <w:widowControl/>
              <w:spacing w:before="21"/>
              <w:jc w:val="center"/>
              <w:rPr>
                <w:rFonts w:ascii="Times New Roman" w:eastAsia="Times New Roman" w:hAnsi="Times New Roman"/>
                <w:lang w:val="hr-HR"/>
              </w:rPr>
            </w:pPr>
            <w:r w:rsidRPr="00D6167B">
              <w:rPr>
                <w:rFonts w:ascii="Times New Roman" w:hAnsi="Times New Roman"/>
                <w:lang w:val="hr-HR"/>
              </w:rPr>
              <w:t>0,81 (0,69; 0,94)</w:t>
            </w:r>
          </w:p>
          <w:p w14:paraId="6E8E3324" w14:textId="77777777" w:rsidR="00273BB0" w:rsidRPr="00D6167B" w:rsidRDefault="00273BB0" w:rsidP="00D37692">
            <w:pPr>
              <w:pStyle w:val="TableParagraph"/>
              <w:widowControl/>
              <w:spacing w:before="25"/>
              <w:jc w:val="center"/>
              <w:rPr>
                <w:rFonts w:ascii="Times New Roman" w:eastAsia="Times New Roman" w:hAnsi="Times New Roman"/>
                <w:lang w:val="hr-HR"/>
              </w:rPr>
            </w:pPr>
            <w:r w:rsidRPr="00D6167B">
              <w:rPr>
                <w:rFonts w:ascii="Times New Roman" w:hAnsi="Times New Roman"/>
                <w:lang w:val="hr-HR"/>
              </w:rPr>
              <w:t>(vrijednost p = 0,0062)</w:t>
            </w:r>
          </w:p>
        </w:tc>
      </w:tr>
      <w:tr w:rsidR="00273BB0" w:rsidRPr="00D6167B" w14:paraId="13694B17" w14:textId="77777777" w:rsidTr="00E86D45">
        <w:trPr>
          <w:gridAfter w:val="1"/>
          <w:wAfter w:w="8" w:type="dxa"/>
          <w:cantSplit/>
        </w:trPr>
        <w:tc>
          <w:tcPr>
            <w:tcW w:w="3661" w:type="dxa"/>
            <w:tcBorders>
              <w:top w:val="single" w:sz="5" w:space="0" w:color="000000"/>
              <w:left w:val="single" w:sz="6" w:space="0" w:color="000000"/>
              <w:bottom w:val="single" w:sz="5" w:space="0" w:color="000000"/>
              <w:right w:val="single" w:sz="5" w:space="0" w:color="000000"/>
            </w:tcBorders>
          </w:tcPr>
          <w:p w14:paraId="7DB32A48" w14:textId="77777777" w:rsidR="00273BB0" w:rsidRPr="00D6167B" w:rsidRDefault="00273BB0" w:rsidP="00D37692">
            <w:pPr>
              <w:pStyle w:val="TableParagraph"/>
              <w:widowControl/>
              <w:spacing w:before="24"/>
              <w:rPr>
                <w:rFonts w:ascii="Times New Roman" w:eastAsia="Times New Roman" w:hAnsi="Times New Roman"/>
                <w:bCs/>
                <w:lang w:val="hr-HR"/>
              </w:rPr>
            </w:pPr>
            <w:r w:rsidRPr="00D6167B">
              <w:rPr>
                <w:rFonts w:ascii="Times New Roman" w:hAnsi="Times New Roman"/>
                <w:lang w:val="hr-HR"/>
              </w:rPr>
              <w:t>Preživljavanje bez progresije</w:t>
            </w:r>
          </w:p>
        </w:tc>
        <w:tc>
          <w:tcPr>
            <w:tcW w:w="2838" w:type="dxa"/>
            <w:tcBorders>
              <w:top w:val="single" w:sz="5" w:space="0" w:color="000000"/>
              <w:left w:val="single" w:sz="5" w:space="0" w:color="000000"/>
              <w:bottom w:val="single" w:sz="5" w:space="0" w:color="000000"/>
              <w:right w:val="nil"/>
            </w:tcBorders>
          </w:tcPr>
          <w:p w14:paraId="5D6A11AD" w14:textId="77777777" w:rsidR="00273BB0" w:rsidRPr="00D6167B" w:rsidRDefault="00273BB0" w:rsidP="007608DF">
            <w:pPr>
              <w:widowControl/>
              <w:jc w:val="both"/>
              <w:rPr>
                <w:rFonts w:ascii="Times New Roman" w:hAnsi="Times New Roman"/>
                <w:lang w:val="hr-HR"/>
              </w:rPr>
            </w:pPr>
          </w:p>
        </w:tc>
        <w:tc>
          <w:tcPr>
            <w:tcW w:w="2811" w:type="dxa"/>
            <w:tcBorders>
              <w:top w:val="single" w:sz="5" w:space="0" w:color="000000"/>
              <w:left w:val="nil"/>
              <w:bottom w:val="single" w:sz="5" w:space="0" w:color="000000"/>
              <w:right w:val="single" w:sz="6" w:space="0" w:color="000000"/>
            </w:tcBorders>
          </w:tcPr>
          <w:p w14:paraId="49350E10" w14:textId="77777777" w:rsidR="00273BB0" w:rsidRPr="00D6167B" w:rsidRDefault="00273BB0" w:rsidP="007608DF">
            <w:pPr>
              <w:widowControl/>
              <w:jc w:val="both"/>
              <w:rPr>
                <w:rFonts w:ascii="Times New Roman" w:hAnsi="Times New Roman"/>
                <w:lang w:val="hr-HR"/>
              </w:rPr>
            </w:pPr>
          </w:p>
        </w:tc>
      </w:tr>
      <w:tr w:rsidR="00972D3C" w:rsidRPr="00D6167B" w14:paraId="6492CE02" w14:textId="77777777" w:rsidTr="00E86D45">
        <w:trPr>
          <w:gridAfter w:val="1"/>
          <w:wAfter w:w="8" w:type="dxa"/>
          <w:cantSplit/>
        </w:trPr>
        <w:tc>
          <w:tcPr>
            <w:tcW w:w="3661" w:type="dxa"/>
            <w:tcBorders>
              <w:top w:val="single" w:sz="5" w:space="0" w:color="000000"/>
              <w:left w:val="single" w:sz="6" w:space="0" w:color="000000"/>
              <w:bottom w:val="single" w:sz="5" w:space="0" w:color="000000"/>
              <w:right w:val="single" w:sz="5" w:space="0" w:color="000000"/>
            </w:tcBorders>
          </w:tcPr>
          <w:p w14:paraId="49726B93" w14:textId="77777777" w:rsidR="00972D3C" w:rsidRPr="00D6167B" w:rsidRDefault="00972D3C" w:rsidP="00D37692">
            <w:pPr>
              <w:pStyle w:val="TableParagraph"/>
              <w:widowControl/>
              <w:spacing w:before="19"/>
              <w:rPr>
                <w:rFonts w:ascii="Times New Roman" w:eastAsia="Times New Roman" w:hAnsi="Times New Roman"/>
                <w:lang w:val="hr-HR"/>
              </w:rPr>
            </w:pPr>
            <w:r w:rsidRPr="00D6167B">
              <w:rPr>
                <w:rFonts w:ascii="Times New Roman" w:hAnsi="Times New Roman"/>
                <w:lang w:val="hr-HR"/>
              </w:rPr>
              <w:t>Srednja vrijednost (mjeseci)</w:t>
            </w:r>
          </w:p>
        </w:tc>
        <w:tc>
          <w:tcPr>
            <w:tcW w:w="2838" w:type="dxa"/>
            <w:tcBorders>
              <w:top w:val="single" w:sz="5" w:space="0" w:color="000000"/>
              <w:left w:val="single" w:sz="5" w:space="0" w:color="000000"/>
              <w:bottom w:val="single" w:sz="5" w:space="0" w:color="000000"/>
              <w:right w:val="single" w:sz="5" w:space="0" w:color="000000"/>
            </w:tcBorders>
          </w:tcPr>
          <w:p w14:paraId="4595C569" w14:textId="77777777" w:rsidR="00972D3C" w:rsidRPr="00D6167B" w:rsidRDefault="00972D3C" w:rsidP="00D37692">
            <w:pPr>
              <w:pStyle w:val="TableParagraph"/>
              <w:widowControl/>
              <w:spacing w:before="19"/>
              <w:ind w:right="470"/>
              <w:jc w:val="center"/>
              <w:rPr>
                <w:rFonts w:ascii="Times New Roman" w:hAnsi="Times New Roman"/>
                <w:lang w:val="hr-HR"/>
              </w:rPr>
            </w:pPr>
            <w:r w:rsidRPr="00D6167B">
              <w:rPr>
                <w:rFonts w:ascii="Times New Roman" w:hAnsi="Times New Roman"/>
                <w:lang w:val="hr-HR"/>
              </w:rPr>
              <w:t>4,1</w:t>
            </w:r>
          </w:p>
        </w:tc>
        <w:tc>
          <w:tcPr>
            <w:tcW w:w="2811" w:type="dxa"/>
            <w:tcBorders>
              <w:top w:val="single" w:sz="5" w:space="0" w:color="000000"/>
              <w:left w:val="single" w:sz="5" w:space="0" w:color="000000"/>
              <w:bottom w:val="single" w:sz="5" w:space="0" w:color="000000"/>
              <w:right w:val="single" w:sz="6" w:space="0" w:color="000000"/>
            </w:tcBorders>
          </w:tcPr>
          <w:p w14:paraId="1DC33346" w14:textId="77777777" w:rsidR="00972D3C" w:rsidRPr="00D6167B" w:rsidRDefault="00972D3C" w:rsidP="00D37692">
            <w:pPr>
              <w:pStyle w:val="TableParagraph"/>
              <w:widowControl/>
              <w:spacing w:before="19"/>
              <w:jc w:val="center"/>
              <w:rPr>
                <w:rFonts w:ascii="Times New Roman" w:hAnsi="Times New Roman"/>
                <w:lang w:val="hr-HR"/>
              </w:rPr>
            </w:pPr>
            <w:r w:rsidRPr="00D6167B">
              <w:rPr>
                <w:rFonts w:ascii="Times New Roman" w:hAnsi="Times New Roman"/>
                <w:lang w:val="hr-HR"/>
              </w:rPr>
              <w:t>5,7</w:t>
            </w:r>
          </w:p>
        </w:tc>
      </w:tr>
      <w:tr w:rsidR="00E86D45" w:rsidRPr="00D6167B" w14:paraId="1872F909" w14:textId="77777777" w:rsidTr="00E86D45">
        <w:trPr>
          <w:gridAfter w:val="1"/>
          <w:wAfter w:w="8" w:type="dxa"/>
          <w:cantSplit/>
        </w:trPr>
        <w:tc>
          <w:tcPr>
            <w:tcW w:w="3661" w:type="dxa"/>
            <w:tcBorders>
              <w:top w:val="single" w:sz="5" w:space="0" w:color="000000"/>
              <w:left w:val="single" w:sz="6" w:space="0" w:color="000000"/>
              <w:bottom w:val="single" w:sz="4" w:space="0" w:color="000000"/>
              <w:right w:val="single" w:sz="5" w:space="0" w:color="000000"/>
            </w:tcBorders>
          </w:tcPr>
          <w:p w14:paraId="6EF60ACD" w14:textId="77777777" w:rsidR="00E86D45" w:rsidRPr="00D6167B" w:rsidRDefault="00E86D45" w:rsidP="00D37692">
            <w:pPr>
              <w:pStyle w:val="TableParagraph"/>
              <w:widowControl/>
              <w:spacing w:before="158"/>
              <w:rPr>
                <w:rFonts w:ascii="Times New Roman" w:eastAsia="Times New Roman" w:hAnsi="Times New Roman"/>
                <w:lang w:val="hr-HR"/>
              </w:rPr>
            </w:pPr>
            <w:r w:rsidRPr="00D6167B">
              <w:rPr>
                <w:rFonts w:ascii="Times New Roman" w:hAnsi="Times New Roman"/>
                <w:lang w:val="hr-HR"/>
              </w:rPr>
              <w:t>Odnos rizika (95% interval pouzdanosti (CI))</w:t>
            </w:r>
          </w:p>
        </w:tc>
        <w:tc>
          <w:tcPr>
            <w:tcW w:w="5649" w:type="dxa"/>
            <w:gridSpan w:val="2"/>
            <w:tcBorders>
              <w:top w:val="single" w:sz="5" w:space="0" w:color="000000"/>
              <w:left w:val="single" w:sz="5" w:space="0" w:color="000000"/>
              <w:bottom w:val="single" w:sz="5" w:space="0" w:color="000000"/>
              <w:right w:val="single" w:sz="6" w:space="0" w:color="000000"/>
            </w:tcBorders>
          </w:tcPr>
          <w:p w14:paraId="70093FC6" w14:textId="77777777" w:rsidR="00E86D45" w:rsidRPr="00D6167B" w:rsidRDefault="00E86D45" w:rsidP="00D37692">
            <w:pPr>
              <w:pStyle w:val="TableParagraph"/>
              <w:widowControl/>
              <w:spacing w:before="19"/>
              <w:jc w:val="center"/>
              <w:rPr>
                <w:rFonts w:ascii="Times New Roman" w:eastAsia="Times New Roman" w:hAnsi="Times New Roman"/>
                <w:lang w:val="hr-HR"/>
              </w:rPr>
            </w:pPr>
            <w:r w:rsidRPr="00D6167B">
              <w:rPr>
                <w:rFonts w:ascii="Times New Roman" w:hAnsi="Times New Roman"/>
                <w:lang w:val="hr-HR"/>
              </w:rPr>
              <w:t>0,68 (0,59; 0,78)</w:t>
            </w:r>
          </w:p>
          <w:p w14:paraId="2DE07EF3" w14:textId="77777777" w:rsidR="00E86D45" w:rsidRPr="00D6167B" w:rsidRDefault="00E86D45" w:rsidP="00D37692">
            <w:pPr>
              <w:pStyle w:val="TableParagraph"/>
              <w:widowControl/>
              <w:spacing w:before="25"/>
              <w:jc w:val="center"/>
              <w:rPr>
                <w:rFonts w:ascii="Times New Roman" w:eastAsia="Times New Roman" w:hAnsi="Times New Roman"/>
                <w:lang w:val="hr-HR"/>
              </w:rPr>
            </w:pPr>
            <w:r w:rsidRPr="00D6167B">
              <w:rPr>
                <w:rFonts w:ascii="Times New Roman" w:hAnsi="Times New Roman"/>
                <w:lang w:val="hr-HR"/>
              </w:rPr>
              <w:t>(vrijednost p &lt; 0,0001)</w:t>
            </w:r>
          </w:p>
        </w:tc>
      </w:tr>
      <w:tr w:rsidR="00273BB0" w:rsidRPr="00D6167B" w14:paraId="1AD1D310" w14:textId="77777777" w:rsidTr="00E86D45">
        <w:trPr>
          <w:gridAfter w:val="1"/>
          <w:wAfter w:w="8" w:type="dxa"/>
          <w:cantSplit/>
        </w:trPr>
        <w:tc>
          <w:tcPr>
            <w:tcW w:w="3661" w:type="dxa"/>
            <w:tcBorders>
              <w:top w:val="single" w:sz="4" w:space="0" w:color="000000"/>
              <w:left w:val="single" w:sz="4" w:space="0" w:color="000000"/>
              <w:bottom w:val="single" w:sz="4" w:space="0" w:color="000000"/>
              <w:right w:val="single" w:sz="4" w:space="0" w:color="000000"/>
            </w:tcBorders>
          </w:tcPr>
          <w:p w14:paraId="0DC8900F" w14:textId="77777777" w:rsidR="00273BB0" w:rsidRPr="00D6167B" w:rsidRDefault="00273BB0" w:rsidP="00D37692">
            <w:pPr>
              <w:pStyle w:val="TableParagraph"/>
              <w:keepNext/>
              <w:widowControl/>
              <w:spacing w:before="24" w:line="242" w:lineRule="exact"/>
              <w:rPr>
                <w:rFonts w:ascii="Times New Roman" w:eastAsia="Times New Roman" w:hAnsi="Times New Roman"/>
                <w:bCs/>
                <w:lang w:val="hr-HR"/>
              </w:rPr>
            </w:pPr>
            <w:r w:rsidRPr="00D6167B">
              <w:rPr>
                <w:rFonts w:ascii="Times New Roman" w:hAnsi="Times New Roman"/>
                <w:lang w:val="hr-HR"/>
              </w:rPr>
              <w:t>Stopa objektivnog odgovora (ORR)</w:t>
            </w:r>
          </w:p>
        </w:tc>
        <w:tc>
          <w:tcPr>
            <w:tcW w:w="2838" w:type="dxa"/>
            <w:tcBorders>
              <w:top w:val="single" w:sz="5" w:space="0" w:color="000000"/>
              <w:left w:val="single" w:sz="4" w:space="0" w:color="000000"/>
              <w:bottom w:val="single" w:sz="5" w:space="0" w:color="000000"/>
              <w:right w:val="nil"/>
            </w:tcBorders>
          </w:tcPr>
          <w:p w14:paraId="624B555B" w14:textId="77777777" w:rsidR="00273BB0" w:rsidRPr="00D6167B" w:rsidRDefault="00273BB0" w:rsidP="007608DF">
            <w:pPr>
              <w:keepNext/>
              <w:widowControl/>
              <w:jc w:val="both"/>
              <w:rPr>
                <w:rFonts w:ascii="Times New Roman" w:hAnsi="Times New Roman"/>
                <w:lang w:val="hr-HR"/>
              </w:rPr>
            </w:pPr>
          </w:p>
        </w:tc>
        <w:tc>
          <w:tcPr>
            <w:tcW w:w="2811" w:type="dxa"/>
            <w:tcBorders>
              <w:top w:val="single" w:sz="5" w:space="0" w:color="000000"/>
              <w:left w:val="nil"/>
              <w:bottom w:val="single" w:sz="5" w:space="0" w:color="000000"/>
              <w:right w:val="single" w:sz="6" w:space="0" w:color="000000"/>
            </w:tcBorders>
          </w:tcPr>
          <w:p w14:paraId="7F166FF4" w14:textId="77777777" w:rsidR="00273BB0" w:rsidRPr="00D6167B" w:rsidRDefault="00273BB0" w:rsidP="007608DF">
            <w:pPr>
              <w:keepNext/>
              <w:widowControl/>
              <w:jc w:val="both"/>
              <w:rPr>
                <w:rFonts w:ascii="Times New Roman" w:hAnsi="Times New Roman"/>
                <w:lang w:val="hr-HR"/>
              </w:rPr>
            </w:pPr>
          </w:p>
        </w:tc>
      </w:tr>
      <w:tr w:rsidR="00972D3C" w:rsidRPr="00D6167B" w14:paraId="55F0D754" w14:textId="77777777" w:rsidTr="00E86D45">
        <w:trPr>
          <w:gridAfter w:val="1"/>
          <w:wAfter w:w="8" w:type="dxa"/>
          <w:cantSplit/>
        </w:trPr>
        <w:tc>
          <w:tcPr>
            <w:tcW w:w="3661" w:type="dxa"/>
            <w:tcBorders>
              <w:top w:val="single" w:sz="4" w:space="0" w:color="000000"/>
              <w:left w:val="single" w:sz="4" w:space="0" w:color="000000"/>
              <w:bottom w:val="single" w:sz="4" w:space="0" w:color="000000"/>
              <w:right w:val="single" w:sz="4" w:space="0" w:color="000000"/>
            </w:tcBorders>
          </w:tcPr>
          <w:p w14:paraId="7E9AC42E" w14:textId="77777777" w:rsidR="00972D3C" w:rsidRPr="00D6167B" w:rsidRDefault="00972D3C" w:rsidP="00D37692">
            <w:pPr>
              <w:pStyle w:val="TableParagraph"/>
              <w:keepNext/>
              <w:widowControl/>
              <w:spacing w:before="6"/>
              <w:rPr>
                <w:rFonts w:ascii="Times New Roman" w:eastAsia="Times New Roman" w:hAnsi="Times New Roman"/>
                <w:lang w:val="hr-HR"/>
              </w:rPr>
            </w:pPr>
            <w:r w:rsidRPr="00D6167B">
              <w:rPr>
                <w:rFonts w:ascii="Times New Roman" w:hAnsi="Times New Roman"/>
                <w:lang w:val="hr-HR"/>
              </w:rPr>
              <w:t>Pacijenti uključeni u analizu</w:t>
            </w:r>
          </w:p>
        </w:tc>
        <w:tc>
          <w:tcPr>
            <w:tcW w:w="2838" w:type="dxa"/>
            <w:tcBorders>
              <w:top w:val="single" w:sz="5" w:space="0" w:color="000000"/>
              <w:left w:val="single" w:sz="4" w:space="0" w:color="000000"/>
              <w:bottom w:val="single" w:sz="5" w:space="0" w:color="000000"/>
              <w:right w:val="single" w:sz="5" w:space="0" w:color="000000"/>
            </w:tcBorders>
          </w:tcPr>
          <w:p w14:paraId="126521D5" w14:textId="77777777" w:rsidR="00972D3C" w:rsidRPr="00D6167B" w:rsidRDefault="00972D3C" w:rsidP="00D37692">
            <w:pPr>
              <w:pStyle w:val="TableParagraph"/>
              <w:keepNext/>
              <w:widowControl/>
              <w:jc w:val="center"/>
              <w:rPr>
                <w:rFonts w:ascii="Times New Roman" w:hAnsi="Times New Roman"/>
                <w:lang w:val="hr-HR"/>
              </w:rPr>
            </w:pPr>
            <w:r w:rsidRPr="00D6167B">
              <w:rPr>
                <w:rFonts w:ascii="Times New Roman" w:hAnsi="Times New Roman"/>
                <w:lang w:val="hr-HR"/>
              </w:rPr>
              <w:t>406</w:t>
            </w:r>
          </w:p>
        </w:tc>
        <w:tc>
          <w:tcPr>
            <w:tcW w:w="2811" w:type="dxa"/>
            <w:tcBorders>
              <w:top w:val="single" w:sz="5" w:space="0" w:color="000000"/>
              <w:left w:val="single" w:sz="5" w:space="0" w:color="000000"/>
              <w:bottom w:val="single" w:sz="5" w:space="0" w:color="000000"/>
              <w:right w:val="single" w:sz="6" w:space="0" w:color="000000"/>
            </w:tcBorders>
          </w:tcPr>
          <w:p w14:paraId="4CCFAB70" w14:textId="77777777" w:rsidR="00972D3C" w:rsidRPr="00D6167B" w:rsidRDefault="00972D3C" w:rsidP="00D37692">
            <w:pPr>
              <w:pStyle w:val="TableParagraph"/>
              <w:keepNext/>
              <w:widowControl/>
              <w:spacing w:before="19"/>
              <w:jc w:val="center"/>
              <w:rPr>
                <w:rFonts w:ascii="Times New Roman" w:eastAsia="Times New Roman" w:hAnsi="Times New Roman"/>
                <w:lang w:val="hr-HR"/>
              </w:rPr>
            </w:pPr>
            <w:r w:rsidRPr="00D6167B">
              <w:rPr>
                <w:rFonts w:ascii="Times New Roman" w:hAnsi="Times New Roman"/>
                <w:lang w:val="hr-HR"/>
              </w:rPr>
              <w:t>404</w:t>
            </w:r>
          </w:p>
        </w:tc>
      </w:tr>
      <w:tr w:rsidR="00972D3C" w:rsidRPr="00D6167B" w14:paraId="4CF46F5D" w14:textId="77777777" w:rsidTr="00E86D45">
        <w:trPr>
          <w:gridAfter w:val="1"/>
          <w:wAfter w:w="8" w:type="dxa"/>
          <w:cantSplit/>
        </w:trPr>
        <w:tc>
          <w:tcPr>
            <w:tcW w:w="3661" w:type="dxa"/>
            <w:tcBorders>
              <w:top w:val="single" w:sz="4" w:space="0" w:color="000000"/>
              <w:left w:val="single" w:sz="6" w:space="0" w:color="000000"/>
              <w:bottom w:val="single" w:sz="5" w:space="0" w:color="000000"/>
              <w:right w:val="single" w:sz="5" w:space="0" w:color="000000"/>
            </w:tcBorders>
          </w:tcPr>
          <w:p w14:paraId="1381A416" w14:textId="77777777" w:rsidR="00972D3C" w:rsidRPr="00D6167B" w:rsidRDefault="00972D3C" w:rsidP="00D37692">
            <w:pPr>
              <w:pStyle w:val="TableParagraph"/>
              <w:keepNext/>
              <w:widowControl/>
              <w:spacing w:before="19"/>
              <w:rPr>
                <w:rFonts w:ascii="Times New Roman" w:eastAsia="Times New Roman" w:hAnsi="Times New Roman"/>
                <w:lang w:val="hr-HR"/>
              </w:rPr>
            </w:pPr>
            <w:r w:rsidRPr="00D6167B">
              <w:rPr>
                <w:rFonts w:ascii="Times New Roman" w:hAnsi="Times New Roman"/>
                <w:lang w:val="hr-HR"/>
              </w:rPr>
              <w:t>Stopa</w:t>
            </w:r>
          </w:p>
        </w:tc>
        <w:tc>
          <w:tcPr>
            <w:tcW w:w="2838" w:type="dxa"/>
            <w:tcBorders>
              <w:top w:val="single" w:sz="5" w:space="0" w:color="000000"/>
              <w:left w:val="single" w:sz="5" w:space="0" w:color="000000"/>
              <w:bottom w:val="single" w:sz="5" w:space="0" w:color="000000"/>
              <w:right w:val="single" w:sz="5" w:space="0" w:color="000000"/>
            </w:tcBorders>
          </w:tcPr>
          <w:p w14:paraId="6F80890D" w14:textId="77777777" w:rsidR="00972D3C" w:rsidRPr="00D6167B" w:rsidRDefault="00972D3C" w:rsidP="00D37692">
            <w:pPr>
              <w:keepNext/>
              <w:widowControl/>
              <w:jc w:val="center"/>
              <w:rPr>
                <w:rFonts w:ascii="Times New Roman" w:hAnsi="Times New Roman"/>
                <w:lang w:val="hr-HR"/>
              </w:rPr>
            </w:pPr>
            <w:r w:rsidRPr="00D6167B">
              <w:rPr>
                <w:rFonts w:ascii="Times New Roman" w:hAnsi="Times New Roman"/>
                <w:lang w:val="hr-HR"/>
              </w:rPr>
              <w:t>3,9%</w:t>
            </w:r>
          </w:p>
        </w:tc>
        <w:tc>
          <w:tcPr>
            <w:tcW w:w="2811" w:type="dxa"/>
            <w:tcBorders>
              <w:top w:val="single" w:sz="5" w:space="0" w:color="000000"/>
              <w:left w:val="single" w:sz="5" w:space="0" w:color="000000"/>
              <w:bottom w:val="single" w:sz="5" w:space="0" w:color="000000"/>
              <w:right w:val="single" w:sz="6" w:space="0" w:color="000000"/>
            </w:tcBorders>
          </w:tcPr>
          <w:p w14:paraId="3116A63E" w14:textId="77777777" w:rsidR="00972D3C" w:rsidRPr="00D6167B" w:rsidRDefault="00972D3C" w:rsidP="00D37692">
            <w:pPr>
              <w:pStyle w:val="TableParagraph"/>
              <w:keepNext/>
              <w:widowControl/>
              <w:spacing w:before="19"/>
              <w:ind w:hanging="1"/>
              <w:jc w:val="center"/>
              <w:rPr>
                <w:rFonts w:ascii="Times New Roman" w:eastAsia="Times New Roman" w:hAnsi="Times New Roman"/>
                <w:lang w:val="hr-HR"/>
              </w:rPr>
            </w:pPr>
            <w:r w:rsidRPr="00D6167B">
              <w:rPr>
                <w:rFonts w:ascii="Times New Roman" w:hAnsi="Times New Roman"/>
                <w:lang w:val="hr-HR"/>
              </w:rPr>
              <w:t>5,4%</w:t>
            </w:r>
          </w:p>
        </w:tc>
      </w:tr>
      <w:tr w:rsidR="00972D3C" w:rsidRPr="00D6167B" w14:paraId="6B06974E" w14:textId="77777777" w:rsidTr="00E86D45">
        <w:trPr>
          <w:gridAfter w:val="1"/>
          <w:wAfter w:w="8" w:type="dxa"/>
          <w:cantSplit/>
        </w:trPr>
        <w:tc>
          <w:tcPr>
            <w:tcW w:w="3661" w:type="dxa"/>
            <w:tcBorders>
              <w:top w:val="single" w:sz="5" w:space="0" w:color="000000"/>
              <w:left w:val="single" w:sz="6" w:space="0" w:color="000000"/>
              <w:bottom w:val="single" w:sz="6" w:space="0" w:color="000000"/>
              <w:right w:val="single" w:sz="5" w:space="0" w:color="000000"/>
            </w:tcBorders>
          </w:tcPr>
          <w:p w14:paraId="586130A1" w14:textId="77777777" w:rsidR="00972D3C" w:rsidRPr="00D6167B" w:rsidRDefault="00972D3C" w:rsidP="007608DF">
            <w:pPr>
              <w:widowControl/>
              <w:jc w:val="both"/>
              <w:rPr>
                <w:rFonts w:ascii="Times New Roman" w:hAnsi="Times New Roman"/>
                <w:lang w:val="hr-HR"/>
              </w:rPr>
            </w:pPr>
          </w:p>
        </w:tc>
        <w:tc>
          <w:tcPr>
            <w:tcW w:w="5649" w:type="dxa"/>
            <w:gridSpan w:val="2"/>
            <w:tcBorders>
              <w:top w:val="single" w:sz="5" w:space="0" w:color="000000"/>
              <w:left w:val="single" w:sz="5" w:space="0" w:color="000000"/>
              <w:bottom w:val="single" w:sz="6" w:space="0" w:color="000000"/>
              <w:right w:val="single" w:sz="6" w:space="0" w:color="000000"/>
            </w:tcBorders>
          </w:tcPr>
          <w:p w14:paraId="23937545" w14:textId="77777777" w:rsidR="00972D3C" w:rsidRPr="00D6167B" w:rsidRDefault="00972D3C" w:rsidP="00D37692">
            <w:pPr>
              <w:pStyle w:val="TableParagraph"/>
              <w:widowControl/>
              <w:spacing w:before="19"/>
              <w:jc w:val="center"/>
              <w:rPr>
                <w:rFonts w:ascii="Times New Roman" w:eastAsia="Times New Roman" w:hAnsi="Times New Roman"/>
                <w:lang w:val="hr-HR"/>
              </w:rPr>
            </w:pPr>
            <w:r w:rsidRPr="00D6167B">
              <w:rPr>
                <w:rFonts w:ascii="Times New Roman" w:hAnsi="Times New Roman"/>
                <w:lang w:val="hr-HR"/>
              </w:rPr>
              <w:t>(vrijednost p = 0,3113)</w:t>
            </w:r>
          </w:p>
        </w:tc>
      </w:tr>
    </w:tbl>
    <w:p w14:paraId="76E770DC"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5,0 mg/kg na svake 2 nedjelje ili 7,5 mg/kg na svake 3 nedjelje</w:t>
      </w:r>
    </w:p>
    <w:p w14:paraId="27E1ACEC" w14:textId="77777777" w:rsidR="00D15122" w:rsidRPr="00D6167B" w:rsidRDefault="00D15122" w:rsidP="007608DF">
      <w:pPr>
        <w:widowControl/>
        <w:jc w:val="both"/>
        <w:rPr>
          <w:rFonts w:ascii="Times New Roman" w:eastAsia="Times New Roman" w:hAnsi="Times New Roman"/>
          <w:lang w:val="hr-HR"/>
        </w:rPr>
      </w:pPr>
    </w:p>
    <w:p w14:paraId="17B39D19" w14:textId="77777777" w:rsidR="00D15122" w:rsidRPr="00D6167B" w:rsidRDefault="009B0756" w:rsidP="007608DF">
      <w:pPr>
        <w:pStyle w:val="BodyText"/>
        <w:widowControl/>
        <w:ind w:left="0"/>
        <w:jc w:val="both"/>
        <w:rPr>
          <w:lang w:val="hr-HR"/>
        </w:rPr>
      </w:pPr>
      <w:r w:rsidRPr="00D6167B">
        <w:rPr>
          <w:lang w:val="hr-HR"/>
        </w:rPr>
        <w:t>Prim</w:t>
      </w:r>
      <w:r w:rsidR="001054C9" w:rsidRPr="00D6167B">
        <w:rPr>
          <w:lang w:val="hr-HR"/>
        </w:rPr>
        <w:t>i</w:t>
      </w:r>
      <w:r w:rsidRPr="00D6167B">
        <w:rPr>
          <w:lang w:val="hr-HR"/>
        </w:rPr>
        <w:t>jećeno je i statistički značajno produženje preživljavanja bez progresije bolesti. Stopa objektivnog odgovora je bila niska u ob</w:t>
      </w:r>
      <w:r w:rsidR="00BA6F28" w:rsidRPr="00D6167B">
        <w:rPr>
          <w:lang w:val="hr-HR"/>
        </w:rPr>
        <w:t>j</w:t>
      </w:r>
      <w:r w:rsidR="007907BF" w:rsidRPr="00D6167B">
        <w:rPr>
          <w:lang w:val="hr-HR"/>
        </w:rPr>
        <w:t>e</w:t>
      </w:r>
      <w:r w:rsidRPr="00D6167B">
        <w:rPr>
          <w:lang w:val="hr-HR"/>
        </w:rPr>
        <w:t xml:space="preserve"> </w:t>
      </w:r>
      <w:r w:rsidR="007907BF" w:rsidRPr="00D6167B">
        <w:rPr>
          <w:lang w:val="hr-HR"/>
        </w:rPr>
        <w:t xml:space="preserve">grupe </w:t>
      </w:r>
      <w:r w:rsidRPr="00D6167B">
        <w:rPr>
          <w:lang w:val="hr-HR"/>
        </w:rPr>
        <w:t>liječenja i razlika nije bila značajna.</w:t>
      </w:r>
    </w:p>
    <w:p w14:paraId="609E86DF" w14:textId="77777777" w:rsidR="00D15122" w:rsidRPr="00D6167B" w:rsidRDefault="00D15122" w:rsidP="007608DF">
      <w:pPr>
        <w:widowControl/>
        <w:jc w:val="both"/>
        <w:rPr>
          <w:rFonts w:ascii="Times New Roman" w:eastAsia="Times New Roman" w:hAnsi="Times New Roman"/>
          <w:lang w:val="hr-HR"/>
        </w:rPr>
      </w:pPr>
    </w:p>
    <w:p w14:paraId="3CA8FB18" w14:textId="77777777" w:rsidR="00D15122" w:rsidRPr="00D6167B" w:rsidRDefault="009B0756" w:rsidP="007608DF">
      <w:pPr>
        <w:pStyle w:val="BodyText"/>
        <w:widowControl/>
        <w:ind w:left="0"/>
        <w:jc w:val="both"/>
        <w:rPr>
          <w:lang w:val="hr-HR"/>
        </w:rPr>
      </w:pPr>
      <w:r w:rsidRPr="00D6167B">
        <w:rPr>
          <w:lang w:val="hr-HR"/>
        </w:rPr>
        <w:t>U studiji E3200 je korišćena ekvivalentna doza od 5mg/kg/nedjeljno bevacizumaba kod pacijenata koji nijesu ranije primali bevacizumab, dok je u studiji ML18147 korišćena ekvivalentna doza od 2,5mg/kg/nedjeljno bevacizumaba kod pacijenata koji su ranije liječeni bevacizumabom. Poređenje podataka o efikasnosti i bezbjednosti u različitim ispitivanjima ograničeno je razlikama između ovih studija, od kojih su najznačajnije razlike u populaciji pacijenata, prethodnom izlaganju bevacizumabu i režimima hemoterapije. Ob</w:t>
      </w:r>
      <w:r w:rsidR="00A97CAB" w:rsidRPr="00D6167B">
        <w:rPr>
          <w:lang w:val="hr-HR"/>
        </w:rPr>
        <w:t>j</w:t>
      </w:r>
      <w:r w:rsidRPr="00D6167B">
        <w:rPr>
          <w:lang w:val="hr-HR"/>
        </w:rPr>
        <w:t xml:space="preserve">e ekvivalentne doze bevacizumaba, od 5 mg/kg/nedjeljno i 2,5 mg/kg/nedjeljno, pokazale su statistički značajnu korist u pogledu ukupnog preživljavanja (HR 0,751 u studiji E3200; HR 0.81 u studiji ML18147) i preživljavanju bez progresije bolesti (HR 0,518 u studiji </w:t>
      </w:r>
      <w:r w:rsidRPr="00D6167B">
        <w:rPr>
          <w:lang w:val="hr-HR"/>
        </w:rPr>
        <w:lastRenderedPageBreak/>
        <w:t>E3200; HR 0,68 u studiji ML18147). U pogledu bezbjednosti, postojala je veća ukupna incidencija neželjenih događaja gradusa 3–5 u studiji E3200 u odnosu na studiju ML18147.</w:t>
      </w:r>
    </w:p>
    <w:p w14:paraId="39B598A4" w14:textId="77777777" w:rsidR="00D15122" w:rsidRPr="00D6167B" w:rsidRDefault="00D15122" w:rsidP="007608DF">
      <w:pPr>
        <w:widowControl/>
        <w:jc w:val="both"/>
        <w:rPr>
          <w:rFonts w:ascii="Times New Roman" w:eastAsia="Times New Roman" w:hAnsi="Times New Roman"/>
          <w:lang w:val="hr-HR"/>
        </w:rPr>
      </w:pPr>
    </w:p>
    <w:p w14:paraId="06ADAC04"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Metastatski karcinom dojke (mBC)</w:t>
      </w:r>
    </w:p>
    <w:p w14:paraId="4FACC029" w14:textId="77777777" w:rsidR="002E30F6" w:rsidRPr="00D6167B" w:rsidRDefault="002E30F6" w:rsidP="007608DF">
      <w:pPr>
        <w:keepNext/>
        <w:widowControl/>
        <w:jc w:val="both"/>
        <w:rPr>
          <w:rFonts w:ascii="Times New Roman" w:eastAsia="Times New Roman" w:hAnsi="Times New Roman"/>
          <w:lang w:val="hr-HR"/>
        </w:rPr>
      </w:pPr>
    </w:p>
    <w:p w14:paraId="3154D344" w14:textId="38415021"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Dva velika ispitivanja faze III osmišljena su kako bi se </w:t>
      </w:r>
      <w:r w:rsidR="007879C6" w:rsidRPr="00D6167B">
        <w:rPr>
          <w:rFonts w:ascii="Times New Roman" w:hAnsi="Times New Roman"/>
          <w:lang w:val="hr-HR"/>
        </w:rPr>
        <w:t>is</w:t>
      </w:r>
      <w:r w:rsidR="007879C6">
        <w:rPr>
          <w:rFonts w:ascii="Times New Roman" w:hAnsi="Times New Roman"/>
          <w:lang w:val="hr-HR"/>
        </w:rPr>
        <w:t>pitala</w:t>
      </w:r>
      <w:r w:rsidR="007879C6" w:rsidRPr="00D6167B">
        <w:rPr>
          <w:rFonts w:ascii="Times New Roman" w:hAnsi="Times New Roman"/>
          <w:lang w:val="hr-HR"/>
        </w:rPr>
        <w:t xml:space="preserve"> </w:t>
      </w:r>
      <w:r w:rsidR="007879C6">
        <w:rPr>
          <w:rFonts w:ascii="Times New Roman" w:hAnsi="Times New Roman"/>
          <w:lang w:val="hr-HR"/>
        </w:rPr>
        <w:t>efikasnost</w:t>
      </w:r>
      <w:r w:rsidR="007879C6" w:rsidRPr="00D37692">
        <w:rPr>
          <w:rFonts w:ascii="Times New Roman" w:hAnsi="Times New Roman"/>
          <w:lang w:val="hr-HR"/>
        </w:rPr>
        <w:t xml:space="preserve"> </w:t>
      </w:r>
      <w:r w:rsidRPr="00D37692">
        <w:rPr>
          <w:rFonts w:ascii="Times New Roman" w:hAnsi="Times New Roman"/>
          <w:lang w:val="hr-HR"/>
        </w:rPr>
        <w:t xml:space="preserve">liječenja </w:t>
      </w:r>
      <w:r w:rsidRPr="00D6167B">
        <w:rPr>
          <w:rFonts w:ascii="Times New Roman" w:hAnsi="Times New Roman"/>
          <w:lang w:val="hr-HR"/>
        </w:rPr>
        <w:t>bevacizumabom</w:t>
      </w:r>
      <w:r w:rsidRPr="00D37692">
        <w:rPr>
          <w:rFonts w:ascii="Times New Roman" w:hAnsi="Times New Roman"/>
          <w:lang w:val="hr-HR"/>
        </w:rPr>
        <w:t xml:space="preserve"> u kombinaciji sa dva individualna hemoterapijska agensa, primarni parametar efikasnosti bio je preživljavanje bez progresije bolesti. U oba ispitivanja prim</w:t>
      </w:r>
      <w:r w:rsidR="001054C9" w:rsidRPr="00D37692">
        <w:rPr>
          <w:rFonts w:ascii="Times New Roman" w:hAnsi="Times New Roman"/>
          <w:lang w:val="hr-HR"/>
        </w:rPr>
        <w:t>i</w:t>
      </w:r>
      <w:r w:rsidRPr="00D37692">
        <w:rPr>
          <w:rFonts w:ascii="Times New Roman" w:hAnsi="Times New Roman"/>
          <w:lang w:val="hr-HR"/>
        </w:rPr>
        <w:t>jećeno je klinički i statistički značajno poboljšanje u preživljavanju bez progresije bolesti.</w:t>
      </w:r>
    </w:p>
    <w:p w14:paraId="1E39A089" w14:textId="77777777" w:rsidR="002E30F6" w:rsidRPr="00D37692" w:rsidRDefault="002E30F6" w:rsidP="007608DF">
      <w:pPr>
        <w:widowControl/>
        <w:autoSpaceDE w:val="0"/>
        <w:autoSpaceDN w:val="0"/>
        <w:adjustRightInd w:val="0"/>
        <w:jc w:val="both"/>
        <w:rPr>
          <w:rFonts w:ascii="Times New Roman" w:hAnsi="Times New Roman"/>
          <w:lang w:val="hr-HR"/>
        </w:rPr>
      </w:pPr>
    </w:p>
    <w:p w14:paraId="23D07087"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U nastavku su rezimirani rezultati za pojedinačne hemoterapijske agense uključene u indikaciju:</w:t>
      </w:r>
    </w:p>
    <w:p w14:paraId="0E79ACD5" w14:textId="77777777" w:rsidR="002E30F6" w:rsidRPr="00D37692" w:rsidRDefault="002E30F6" w:rsidP="007608DF">
      <w:pPr>
        <w:widowControl/>
        <w:autoSpaceDE w:val="0"/>
        <w:autoSpaceDN w:val="0"/>
        <w:adjustRightInd w:val="0"/>
        <w:jc w:val="both"/>
        <w:rPr>
          <w:rFonts w:ascii="Times New Roman" w:hAnsi="Times New Roman"/>
          <w:lang w:val="hr-HR"/>
        </w:rPr>
      </w:pPr>
    </w:p>
    <w:p w14:paraId="6CE82D49" w14:textId="77777777" w:rsidR="002E30F6" w:rsidRPr="00D37692" w:rsidRDefault="002E30F6" w:rsidP="007608DF">
      <w:pPr>
        <w:widowControl/>
        <w:numPr>
          <w:ilvl w:val="0"/>
          <w:numId w:val="32"/>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Studija E2100 (paklitaksel)</w:t>
      </w:r>
    </w:p>
    <w:p w14:paraId="221E356B" w14:textId="77777777" w:rsidR="002E30F6" w:rsidRPr="00D37692" w:rsidRDefault="002E30F6" w:rsidP="007608DF">
      <w:pPr>
        <w:widowControl/>
        <w:numPr>
          <w:ilvl w:val="1"/>
          <w:numId w:val="32"/>
        </w:numPr>
        <w:autoSpaceDE w:val="0"/>
        <w:autoSpaceDN w:val="0"/>
        <w:adjustRightInd w:val="0"/>
        <w:jc w:val="both"/>
        <w:rPr>
          <w:rFonts w:ascii="Times New Roman" w:hAnsi="Times New Roman"/>
          <w:lang w:val="hr-HR"/>
        </w:rPr>
      </w:pPr>
      <w:r w:rsidRPr="00D37692">
        <w:rPr>
          <w:rFonts w:ascii="Times New Roman" w:hAnsi="Times New Roman"/>
          <w:lang w:val="hr-HR"/>
        </w:rPr>
        <w:t>Povećanje srednje vrijednosti za PFS za 5,6 mjeseci, HR 0,421 (p &lt; 0,0001, 95% CI 0,343; 0,516)</w:t>
      </w:r>
    </w:p>
    <w:p w14:paraId="7BF412EC" w14:textId="77777777" w:rsidR="002E30F6" w:rsidRPr="00D37692" w:rsidRDefault="002E30F6" w:rsidP="007608DF">
      <w:pPr>
        <w:widowControl/>
        <w:numPr>
          <w:ilvl w:val="0"/>
          <w:numId w:val="32"/>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Studija AVF3694g (kapecitabin)</w:t>
      </w:r>
    </w:p>
    <w:p w14:paraId="5D86EBC2" w14:textId="77777777" w:rsidR="002E30F6" w:rsidRPr="00D37692" w:rsidRDefault="002E30F6" w:rsidP="007608DF">
      <w:pPr>
        <w:widowControl/>
        <w:numPr>
          <w:ilvl w:val="1"/>
          <w:numId w:val="32"/>
        </w:numPr>
        <w:autoSpaceDE w:val="0"/>
        <w:autoSpaceDN w:val="0"/>
        <w:adjustRightInd w:val="0"/>
        <w:jc w:val="both"/>
        <w:rPr>
          <w:rFonts w:ascii="Times New Roman" w:hAnsi="Times New Roman"/>
          <w:lang w:val="hr-HR"/>
        </w:rPr>
      </w:pPr>
      <w:r w:rsidRPr="00D37692">
        <w:rPr>
          <w:rFonts w:ascii="Times New Roman" w:hAnsi="Times New Roman"/>
          <w:lang w:val="hr-HR"/>
        </w:rPr>
        <w:t>Povećanje srednje vrijednosti za PFS za 2,9 mjeseci, HR 0,69 (p= 0,0002, 95% CI 0,56; 0,84)</w:t>
      </w:r>
    </w:p>
    <w:p w14:paraId="1C0F4D6B" w14:textId="77777777" w:rsidR="002E30F6" w:rsidRPr="00D37692" w:rsidRDefault="002E30F6" w:rsidP="007608DF">
      <w:pPr>
        <w:widowControl/>
        <w:autoSpaceDE w:val="0"/>
        <w:autoSpaceDN w:val="0"/>
        <w:adjustRightInd w:val="0"/>
        <w:jc w:val="both"/>
        <w:rPr>
          <w:rFonts w:ascii="Times New Roman" w:hAnsi="Times New Roman"/>
          <w:lang w:val="hr-HR"/>
        </w:rPr>
      </w:pPr>
    </w:p>
    <w:p w14:paraId="1219B07B" w14:textId="77777777" w:rsidR="00D15122" w:rsidRPr="00D37692" w:rsidRDefault="002E30F6" w:rsidP="007608DF">
      <w:pPr>
        <w:keepNext/>
        <w:widowControl/>
        <w:jc w:val="both"/>
        <w:rPr>
          <w:rFonts w:ascii="Times New Roman" w:hAnsi="Times New Roman"/>
          <w:lang w:val="hr-HR"/>
        </w:rPr>
      </w:pPr>
      <w:r w:rsidRPr="00D37692">
        <w:rPr>
          <w:rFonts w:ascii="Times New Roman" w:hAnsi="Times New Roman"/>
          <w:lang w:val="hr-HR"/>
        </w:rPr>
        <w:t>U nastavku su navedene dodatne pojedinosti o svakoj studiji i rezultati.</w:t>
      </w:r>
    </w:p>
    <w:p w14:paraId="7E941168" w14:textId="77777777" w:rsidR="002E30F6" w:rsidRPr="00D6167B" w:rsidRDefault="002E30F6" w:rsidP="007608DF">
      <w:pPr>
        <w:keepNext/>
        <w:widowControl/>
        <w:jc w:val="both"/>
        <w:rPr>
          <w:rFonts w:ascii="Times New Roman" w:eastAsia="Times New Roman" w:hAnsi="Times New Roman"/>
          <w:lang w:val="hr-HR"/>
        </w:rPr>
      </w:pPr>
    </w:p>
    <w:p w14:paraId="116CC1DD" w14:textId="77777777" w:rsidR="00D15122" w:rsidRPr="00D6167B" w:rsidRDefault="009B0756" w:rsidP="007608DF">
      <w:pPr>
        <w:keepNext/>
        <w:widowControl/>
        <w:spacing w:line="252" w:lineRule="exact"/>
        <w:jc w:val="both"/>
        <w:rPr>
          <w:rFonts w:ascii="Times New Roman" w:eastAsia="Times New Roman" w:hAnsi="Times New Roman"/>
          <w:lang w:val="hr-HR"/>
        </w:rPr>
      </w:pPr>
      <w:r w:rsidRPr="00D6167B">
        <w:rPr>
          <w:rFonts w:ascii="Times New Roman" w:hAnsi="Times New Roman"/>
          <w:i/>
          <w:lang w:val="hr-HR"/>
        </w:rPr>
        <w:t>ECOG E2100</w:t>
      </w:r>
    </w:p>
    <w:p w14:paraId="1455F129" w14:textId="3CABC93F" w:rsidR="00D15122" w:rsidRPr="00D6167B" w:rsidRDefault="009B0756" w:rsidP="007608DF">
      <w:pPr>
        <w:pStyle w:val="BodyText"/>
        <w:widowControl/>
        <w:ind w:left="0"/>
        <w:jc w:val="both"/>
        <w:rPr>
          <w:lang w:val="hr-HR"/>
        </w:rPr>
      </w:pPr>
      <w:r w:rsidRPr="00D6167B">
        <w:rPr>
          <w:lang w:val="hr-HR"/>
        </w:rPr>
        <w:t>Studija E2100 je bila otvoreno, randomizovano, aktivno kontrolisano, multicentrično kliničko ispitivanje u kom je procjenjivan bevacizumab u kombinaciji sa paklitakselom za lokalno rekurentni ili metastatski karcinom dojke kod pacijenata koji prethodno nijesu primali hemoterapiju za lokalno rekurentnu ili metastatsku bolest. Pacijenti su raspoređeni tako da primaju samo paklitaksel (90 mg/m</w:t>
      </w:r>
      <w:r w:rsidRPr="00D6167B">
        <w:rPr>
          <w:vertAlign w:val="superscript"/>
          <w:lang w:val="hr-HR"/>
        </w:rPr>
        <w:t>2</w:t>
      </w:r>
      <w:r w:rsidRPr="00D6167B">
        <w:rPr>
          <w:sz w:val="14"/>
          <w:lang w:val="hr-HR"/>
        </w:rPr>
        <w:t xml:space="preserve"> </w:t>
      </w:r>
      <w:r w:rsidRPr="00D6167B">
        <w:rPr>
          <w:lang w:val="hr-HR"/>
        </w:rPr>
        <w:t>intravenski tokom 1 sata jednom nedjeljno tokom tri od četiri nedjelje) ili kombinaciju sa bevacizumabom (10 mg/kg intravenska infuzija na svake dvije nedjelje). Prethodna hormonska terapija za liječenje metastatske bolesti bila je dozvoljena. Adjuvantna terapija taksanom bila je dozvoljena samo ako je bila završena najmanje 12 mjeseci prije uključivanja u ispitivanje. Od 722 pacijenata u ovom ispitivanju, većina je imala HER-2 negativnu bolest (90%), a za mali broj pacijenata nije bilo poznato (8%) ili su imali potvrđeni HER-2 pozitivni status (2%) i oni su prethodno bili liječeni trastuzumabom ili su smatrani neodgovarajućim za terapiju trastuzumabom. Nadalje, 65% ovih pacijenata su primali adjuvantnu hemoterapiju, uključujući 19% prethodno l</w:t>
      </w:r>
      <w:r w:rsidR="00A80648">
        <w:rPr>
          <w:lang w:val="hr-HR"/>
        </w:rPr>
        <w:t>ij</w:t>
      </w:r>
      <w:r w:rsidRPr="00D6167B">
        <w:rPr>
          <w:lang w:val="hr-HR"/>
        </w:rPr>
        <w:t>ečenih taksanima i 49% antraciklinima. Isključeni su svi pacijenti sa metastazama na centralnom nervnom sistemu, uključujući i one kojima su prethodno liječene ili resecirane lezije na mozgu.</w:t>
      </w:r>
    </w:p>
    <w:p w14:paraId="40117C60" w14:textId="77777777" w:rsidR="00D15122" w:rsidRPr="00D6167B" w:rsidRDefault="00D15122" w:rsidP="007608DF">
      <w:pPr>
        <w:widowControl/>
        <w:jc w:val="both"/>
        <w:rPr>
          <w:rFonts w:ascii="Times New Roman" w:eastAsia="Times New Roman" w:hAnsi="Times New Roman"/>
          <w:lang w:val="hr-HR"/>
        </w:rPr>
      </w:pPr>
    </w:p>
    <w:p w14:paraId="79DD377A" w14:textId="77777777" w:rsidR="00D15122" w:rsidRPr="00D6167B" w:rsidRDefault="009B0756" w:rsidP="007608DF">
      <w:pPr>
        <w:pStyle w:val="BodyText"/>
        <w:widowControl/>
        <w:ind w:left="0"/>
        <w:jc w:val="both"/>
        <w:rPr>
          <w:lang w:val="hr-HR"/>
        </w:rPr>
      </w:pPr>
      <w:r w:rsidRPr="00D6167B">
        <w:rPr>
          <w:lang w:val="hr-HR"/>
        </w:rPr>
        <w:t xml:space="preserve">U ispitivanju E2100 pacijenti su liječeni do progresije bolesti. U situacijama u kojima je bio potreban rani prekid hemoterapije, nastavljena je terapija bevacizumabom kao jedinim agensom sve do progresije bolesti. Karakteristike pacijenata bile su slične u svim </w:t>
      </w:r>
      <w:r w:rsidR="007907BF" w:rsidRPr="00D6167B">
        <w:rPr>
          <w:lang w:val="hr-HR"/>
        </w:rPr>
        <w:t xml:space="preserve">grupama </w:t>
      </w:r>
      <w:r w:rsidRPr="00D6167B">
        <w:rPr>
          <w:lang w:val="hr-HR"/>
        </w:rPr>
        <w:t>ispitivanja. Primarni parametar efikasnosti ovog ispitivanja bilo je preživljavanje bez progresije bolesti (PFS), na osnovu procjene progresije bolesti od strane istraživača u ispitivanju. Pored toga je sprovedena i nezavisna procjena primarnog parametra efikasnosti. Rezultati ovog ispitivanja su prikazani u tabeli 10.</w:t>
      </w:r>
    </w:p>
    <w:p w14:paraId="36A643E6" w14:textId="77777777" w:rsidR="00D15122" w:rsidRPr="00D6167B" w:rsidRDefault="00D15122" w:rsidP="007608DF">
      <w:pPr>
        <w:widowControl/>
        <w:jc w:val="both"/>
        <w:rPr>
          <w:rFonts w:ascii="Times New Roman" w:eastAsia="Times New Roman" w:hAnsi="Times New Roman"/>
          <w:lang w:val="hr-HR"/>
        </w:rPr>
      </w:pPr>
    </w:p>
    <w:p w14:paraId="23879CB5" w14:textId="77777777" w:rsidR="00D15122" w:rsidRPr="00D6167B" w:rsidRDefault="009B0756" w:rsidP="007608DF">
      <w:pPr>
        <w:pStyle w:val="Heading1"/>
        <w:keepNext/>
        <w:widowControl/>
        <w:tabs>
          <w:tab w:val="left" w:pos="1353"/>
        </w:tabs>
        <w:ind w:left="0"/>
        <w:jc w:val="both"/>
        <w:rPr>
          <w:bCs w:val="0"/>
          <w:lang w:val="hr-HR"/>
        </w:rPr>
      </w:pPr>
      <w:r w:rsidRPr="00D6167B">
        <w:rPr>
          <w:lang w:val="hr-HR"/>
        </w:rPr>
        <w:t>Tabela 10</w:t>
      </w:r>
      <w:r w:rsidRPr="00D6167B">
        <w:rPr>
          <w:lang w:val="hr-HR"/>
        </w:rPr>
        <w:tab/>
        <w:t>Rezultati efikasnosti studije E2100</w:t>
      </w:r>
    </w:p>
    <w:p w14:paraId="2493908A"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Layout w:type="fixed"/>
        <w:tblCellMar>
          <w:left w:w="115" w:type="dxa"/>
          <w:right w:w="115" w:type="dxa"/>
        </w:tblCellMar>
        <w:tblLook w:val="01E0" w:firstRow="1" w:lastRow="1" w:firstColumn="1" w:lastColumn="1" w:noHBand="0" w:noVBand="0"/>
      </w:tblPr>
      <w:tblGrid>
        <w:gridCol w:w="2358"/>
        <w:gridCol w:w="1493"/>
        <w:gridCol w:w="1866"/>
        <w:gridCol w:w="1493"/>
        <w:gridCol w:w="1866"/>
      </w:tblGrid>
      <w:tr w:rsidR="00D15122" w:rsidRPr="00D6167B" w14:paraId="08208DF2" w14:textId="77777777" w:rsidTr="00FB19BF">
        <w:trPr>
          <w:cantSplit/>
        </w:trPr>
        <w:tc>
          <w:tcPr>
            <w:tcW w:w="8756" w:type="dxa"/>
            <w:gridSpan w:val="5"/>
            <w:tcBorders>
              <w:top w:val="single" w:sz="5" w:space="0" w:color="000000"/>
              <w:left w:val="single" w:sz="5" w:space="0" w:color="000000"/>
              <w:bottom w:val="single" w:sz="5" w:space="0" w:color="000000"/>
              <w:right w:val="single" w:sz="5" w:space="0" w:color="000000"/>
            </w:tcBorders>
          </w:tcPr>
          <w:p w14:paraId="4C1CCE3B" w14:textId="77777777" w:rsidR="00D15122" w:rsidRPr="00D6167B" w:rsidRDefault="009B0756" w:rsidP="007608DF">
            <w:pPr>
              <w:pStyle w:val="TableParagraph"/>
              <w:keepNext/>
              <w:widowControl/>
              <w:spacing w:line="246" w:lineRule="exact"/>
              <w:jc w:val="both"/>
              <w:rPr>
                <w:rFonts w:ascii="Times New Roman" w:eastAsia="Times New Roman" w:hAnsi="Times New Roman"/>
                <w:lang w:val="hr-HR"/>
              </w:rPr>
            </w:pPr>
            <w:r w:rsidRPr="00D6167B">
              <w:rPr>
                <w:rFonts w:ascii="Times New Roman" w:hAnsi="Times New Roman"/>
                <w:lang w:val="hr-HR"/>
              </w:rPr>
              <w:t>Preživljavanje bez progresije</w:t>
            </w:r>
          </w:p>
        </w:tc>
      </w:tr>
      <w:tr w:rsidR="00D15122" w:rsidRPr="00D6167B" w14:paraId="42FAC8B0"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63F22E97" w14:textId="77777777" w:rsidR="00D15122" w:rsidRPr="00D6167B" w:rsidRDefault="00D15122" w:rsidP="007608DF">
            <w:pPr>
              <w:keepNext/>
              <w:widowControl/>
              <w:jc w:val="both"/>
              <w:rPr>
                <w:rFonts w:ascii="Times New Roman" w:hAnsi="Times New Roman"/>
                <w:lang w:val="hr-HR"/>
              </w:rPr>
            </w:pPr>
          </w:p>
        </w:tc>
        <w:tc>
          <w:tcPr>
            <w:tcW w:w="3240" w:type="dxa"/>
            <w:gridSpan w:val="2"/>
            <w:tcBorders>
              <w:top w:val="single" w:sz="5" w:space="0" w:color="000000"/>
              <w:left w:val="single" w:sz="5" w:space="0" w:color="000000"/>
              <w:bottom w:val="single" w:sz="5" w:space="0" w:color="000000"/>
              <w:right w:val="single" w:sz="5" w:space="0" w:color="000000"/>
            </w:tcBorders>
          </w:tcPr>
          <w:p w14:paraId="5CF2411A" w14:textId="77777777" w:rsidR="00D15122" w:rsidRPr="00D6167B" w:rsidRDefault="009B0756" w:rsidP="00D37692">
            <w:pPr>
              <w:pStyle w:val="TableParagraph"/>
              <w:keepNext/>
              <w:widowControl/>
              <w:spacing w:line="246" w:lineRule="exact"/>
              <w:jc w:val="center"/>
              <w:rPr>
                <w:rFonts w:ascii="Times New Roman" w:eastAsia="Times New Roman" w:hAnsi="Times New Roman"/>
                <w:lang w:val="hr-HR"/>
              </w:rPr>
            </w:pPr>
            <w:r w:rsidRPr="00D6167B">
              <w:rPr>
                <w:rFonts w:ascii="Times New Roman" w:hAnsi="Times New Roman"/>
                <w:lang w:val="hr-HR"/>
              </w:rPr>
              <w:t>Procjena istraživača*</w:t>
            </w:r>
          </w:p>
        </w:tc>
        <w:tc>
          <w:tcPr>
            <w:tcW w:w="3240" w:type="dxa"/>
            <w:gridSpan w:val="2"/>
            <w:tcBorders>
              <w:top w:val="single" w:sz="5" w:space="0" w:color="000000"/>
              <w:left w:val="single" w:sz="5" w:space="0" w:color="000000"/>
              <w:bottom w:val="single" w:sz="5" w:space="0" w:color="000000"/>
              <w:right w:val="single" w:sz="5" w:space="0" w:color="000000"/>
            </w:tcBorders>
          </w:tcPr>
          <w:p w14:paraId="54B87203" w14:textId="77777777" w:rsidR="00D15122" w:rsidRPr="00D6167B" w:rsidRDefault="009B0756" w:rsidP="00D37692">
            <w:pPr>
              <w:pStyle w:val="TableParagraph"/>
              <w:keepNext/>
              <w:widowControl/>
              <w:spacing w:line="246" w:lineRule="exact"/>
              <w:jc w:val="center"/>
              <w:rPr>
                <w:rFonts w:ascii="Times New Roman" w:eastAsia="Times New Roman" w:hAnsi="Times New Roman"/>
                <w:lang w:val="hr-HR"/>
              </w:rPr>
            </w:pPr>
            <w:r w:rsidRPr="00D6167B">
              <w:rPr>
                <w:rFonts w:ascii="Times New Roman" w:hAnsi="Times New Roman"/>
                <w:lang w:val="hr-HR"/>
              </w:rPr>
              <w:t>Procjena IRF</w:t>
            </w:r>
          </w:p>
        </w:tc>
      </w:tr>
      <w:tr w:rsidR="00D15122" w:rsidRPr="00D6167B" w14:paraId="61967A47"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29F1DB7C" w14:textId="77777777" w:rsidR="00D15122" w:rsidRPr="00D6167B" w:rsidRDefault="00D15122" w:rsidP="007608DF">
            <w:pPr>
              <w:widowControl/>
              <w:jc w:val="both"/>
              <w:rPr>
                <w:rFonts w:ascii="Times New Roman" w:hAnsi="Times New Roman"/>
                <w:lang w:val="hr-HR"/>
              </w:rPr>
            </w:pPr>
          </w:p>
        </w:tc>
        <w:tc>
          <w:tcPr>
            <w:tcW w:w="1440" w:type="dxa"/>
            <w:tcBorders>
              <w:top w:val="single" w:sz="5" w:space="0" w:color="000000"/>
              <w:left w:val="single" w:sz="5" w:space="0" w:color="000000"/>
              <w:bottom w:val="single" w:sz="5" w:space="0" w:color="000000"/>
              <w:right w:val="single" w:sz="5" w:space="0" w:color="000000"/>
            </w:tcBorders>
          </w:tcPr>
          <w:p w14:paraId="3E7DEBD4"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Paklitaksel</w:t>
            </w:r>
          </w:p>
          <w:p w14:paraId="7FCCFE4D" w14:textId="77777777" w:rsidR="00FE1157" w:rsidRPr="00D6167B" w:rsidRDefault="00FE1157" w:rsidP="00D37692">
            <w:pPr>
              <w:pStyle w:val="TableParagraph"/>
              <w:widowControl/>
              <w:jc w:val="center"/>
              <w:rPr>
                <w:rFonts w:ascii="Times New Roman" w:hAnsi="Times New Roman"/>
                <w:lang w:val="hr-HR"/>
              </w:rPr>
            </w:pPr>
          </w:p>
          <w:p w14:paraId="7644CB7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(n=354)</w:t>
            </w:r>
          </w:p>
        </w:tc>
        <w:tc>
          <w:tcPr>
            <w:tcW w:w="1800" w:type="dxa"/>
            <w:tcBorders>
              <w:top w:val="single" w:sz="5" w:space="0" w:color="000000"/>
              <w:left w:val="single" w:sz="5" w:space="0" w:color="000000"/>
              <w:bottom w:val="single" w:sz="5" w:space="0" w:color="000000"/>
              <w:right w:val="single" w:sz="5" w:space="0" w:color="000000"/>
            </w:tcBorders>
          </w:tcPr>
          <w:p w14:paraId="483E082B"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Paklitaksel/bevacizumab (n=368)</w:t>
            </w:r>
          </w:p>
        </w:tc>
        <w:tc>
          <w:tcPr>
            <w:tcW w:w="1440" w:type="dxa"/>
            <w:tcBorders>
              <w:top w:val="single" w:sz="5" w:space="0" w:color="000000"/>
              <w:left w:val="single" w:sz="5" w:space="0" w:color="000000"/>
              <w:bottom w:val="single" w:sz="5" w:space="0" w:color="000000"/>
              <w:right w:val="single" w:sz="5" w:space="0" w:color="000000"/>
            </w:tcBorders>
          </w:tcPr>
          <w:p w14:paraId="0ECC2A2C"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Paklitaksel</w:t>
            </w:r>
          </w:p>
          <w:p w14:paraId="497A9793" w14:textId="77777777" w:rsidR="00D15122" w:rsidRPr="00D6167B" w:rsidRDefault="00D15122" w:rsidP="00D37692">
            <w:pPr>
              <w:pStyle w:val="TableParagraph"/>
              <w:widowControl/>
              <w:spacing w:line="246" w:lineRule="exact"/>
              <w:jc w:val="center"/>
              <w:rPr>
                <w:rFonts w:ascii="Times New Roman" w:hAnsi="Times New Roman"/>
                <w:lang w:val="hr-HR"/>
              </w:rPr>
            </w:pPr>
          </w:p>
          <w:p w14:paraId="7F15C814"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(n=354)</w:t>
            </w:r>
          </w:p>
        </w:tc>
        <w:tc>
          <w:tcPr>
            <w:tcW w:w="1800" w:type="dxa"/>
            <w:tcBorders>
              <w:top w:val="single" w:sz="5" w:space="0" w:color="000000"/>
              <w:left w:val="single" w:sz="5" w:space="0" w:color="000000"/>
              <w:bottom w:val="single" w:sz="5" w:space="0" w:color="000000"/>
              <w:right w:val="single" w:sz="5" w:space="0" w:color="000000"/>
            </w:tcBorders>
          </w:tcPr>
          <w:p w14:paraId="01A993C4"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Paklitaksel/bevacizumab (n=368)</w:t>
            </w:r>
          </w:p>
        </w:tc>
      </w:tr>
      <w:tr w:rsidR="00D15122" w:rsidRPr="00D6167B" w14:paraId="248F02EF"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64DDD8D9" w14:textId="77777777" w:rsidR="00D15122" w:rsidRPr="00D6167B" w:rsidRDefault="009B0756" w:rsidP="00D37692">
            <w:pPr>
              <w:pStyle w:val="TableParagraph"/>
              <w:widowControl/>
              <w:spacing w:line="246" w:lineRule="exact"/>
              <w:rPr>
                <w:rFonts w:ascii="Times New Roman" w:eastAsia="Times New Roman" w:hAnsi="Times New Roman"/>
                <w:lang w:val="hr-HR"/>
              </w:rPr>
            </w:pPr>
            <w:r w:rsidRPr="00D6167B">
              <w:rPr>
                <w:rFonts w:ascii="Times New Roman" w:hAnsi="Times New Roman"/>
                <w:lang w:val="hr-HR"/>
              </w:rPr>
              <w:t>Srednja vrijednost PFS (mjeseci)</w:t>
            </w:r>
          </w:p>
        </w:tc>
        <w:tc>
          <w:tcPr>
            <w:tcW w:w="1440" w:type="dxa"/>
            <w:tcBorders>
              <w:top w:val="single" w:sz="5" w:space="0" w:color="000000"/>
              <w:left w:val="single" w:sz="5" w:space="0" w:color="000000"/>
              <w:bottom w:val="single" w:sz="5" w:space="0" w:color="000000"/>
              <w:right w:val="single" w:sz="5" w:space="0" w:color="000000"/>
            </w:tcBorders>
          </w:tcPr>
          <w:p w14:paraId="2DD4E715"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5,8</w:t>
            </w:r>
          </w:p>
        </w:tc>
        <w:tc>
          <w:tcPr>
            <w:tcW w:w="1800" w:type="dxa"/>
            <w:tcBorders>
              <w:top w:val="single" w:sz="5" w:space="0" w:color="000000"/>
              <w:left w:val="single" w:sz="5" w:space="0" w:color="000000"/>
              <w:bottom w:val="single" w:sz="5" w:space="0" w:color="000000"/>
              <w:right w:val="single" w:sz="5" w:space="0" w:color="000000"/>
            </w:tcBorders>
          </w:tcPr>
          <w:p w14:paraId="5BB1D9D5"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11,4</w:t>
            </w:r>
          </w:p>
        </w:tc>
        <w:tc>
          <w:tcPr>
            <w:tcW w:w="1440" w:type="dxa"/>
            <w:tcBorders>
              <w:top w:val="single" w:sz="5" w:space="0" w:color="000000"/>
              <w:left w:val="single" w:sz="5" w:space="0" w:color="000000"/>
              <w:bottom w:val="single" w:sz="5" w:space="0" w:color="000000"/>
              <w:right w:val="single" w:sz="5" w:space="0" w:color="000000"/>
            </w:tcBorders>
          </w:tcPr>
          <w:p w14:paraId="50FEABFA"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5,8</w:t>
            </w:r>
          </w:p>
        </w:tc>
        <w:tc>
          <w:tcPr>
            <w:tcW w:w="1800" w:type="dxa"/>
            <w:tcBorders>
              <w:top w:val="single" w:sz="5" w:space="0" w:color="000000"/>
              <w:left w:val="single" w:sz="5" w:space="0" w:color="000000"/>
              <w:bottom w:val="single" w:sz="5" w:space="0" w:color="000000"/>
              <w:right w:val="single" w:sz="5" w:space="0" w:color="000000"/>
            </w:tcBorders>
          </w:tcPr>
          <w:p w14:paraId="5518695D"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11,3</w:t>
            </w:r>
          </w:p>
        </w:tc>
      </w:tr>
      <w:tr w:rsidR="00D15122" w:rsidRPr="00D6167B" w14:paraId="5E317EE5"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1D703EC1" w14:textId="77777777" w:rsidR="00FE1157" w:rsidRPr="00D6167B" w:rsidRDefault="009B0756" w:rsidP="00D37692">
            <w:pPr>
              <w:pStyle w:val="TableParagraph"/>
              <w:widowControl/>
              <w:spacing w:line="239" w:lineRule="auto"/>
              <w:ind w:right="717" w:firstLine="261"/>
              <w:rPr>
                <w:rFonts w:ascii="Times New Roman" w:hAnsi="Times New Roman"/>
                <w:lang w:val="hr-HR"/>
              </w:rPr>
            </w:pPr>
            <w:r w:rsidRPr="00D6167B">
              <w:rPr>
                <w:rFonts w:ascii="Times New Roman" w:hAnsi="Times New Roman"/>
                <w:lang w:val="hr-HR"/>
              </w:rPr>
              <w:t>Odnos rizika</w:t>
            </w:r>
          </w:p>
          <w:p w14:paraId="762420DE" w14:textId="77777777" w:rsidR="00D15122" w:rsidRPr="00D6167B" w:rsidRDefault="009B0756" w:rsidP="00D37692">
            <w:pPr>
              <w:pStyle w:val="TableParagraph"/>
              <w:widowControl/>
              <w:spacing w:line="239" w:lineRule="auto"/>
              <w:ind w:right="717" w:firstLine="261"/>
              <w:rPr>
                <w:rFonts w:ascii="Times New Roman" w:eastAsia="Times New Roman" w:hAnsi="Times New Roman"/>
                <w:lang w:val="hr-HR"/>
              </w:rPr>
            </w:pPr>
            <w:r w:rsidRPr="00D6167B">
              <w:rPr>
                <w:rFonts w:ascii="Times New Roman" w:hAnsi="Times New Roman"/>
                <w:lang w:val="hr-HR"/>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630DCBAC"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0,421</w:t>
            </w:r>
          </w:p>
          <w:p w14:paraId="234B7C66"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21F012A6"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0,483</w:t>
            </w:r>
          </w:p>
          <w:p w14:paraId="1208299F" w14:textId="77777777" w:rsidR="00D15122" w:rsidRPr="00D6167B" w:rsidRDefault="009B0756" w:rsidP="00D37692">
            <w:pPr>
              <w:pStyle w:val="TableParagraph"/>
              <w:widowControl/>
              <w:spacing w:line="252" w:lineRule="exact"/>
              <w:jc w:val="center"/>
              <w:rPr>
                <w:rFonts w:ascii="Times New Roman" w:eastAsia="Times New Roman" w:hAnsi="Times New Roman"/>
                <w:lang w:val="hr-HR"/>
              </w:rPr>
            </w:pPr>
            <w:r w:rsidRPr="00D6167B">
              <w:rPr>
                <w:rFonts w:ascii="Times New Roman" w:hAnsi="Times New Roman"/>
                <w:lang w:val="hr-HR"/>
              </w:rPr>
              <w:t>(0,385; 0,607)</w:t>
            </w:r>
          </w:p>
        </w:tc>
      </w:tr>
      <w:tr w:rsidR="00D15122" w:rsidRPr="00D6167B" w14:paraId="39CBB274"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2BDDF1A2" w14:textId="77777777" w:rsidR="00D15122" w:rsidRPr="00D6167B" w:rsidRDefault="009B0756" w:rsidP="00D37692">
            <w:pPr>
              <w:pStyle w:val="TableParagraph"/>
              <w:widowControl/>
              <w:spacing w:line="239" w:lineRule="auto"/>
              <w:ind w:right="717" w:firstLine="261"/>
              <w:rPr>
                <w:rFonts w:ascii="Times New Roman" w:eastAsia="Times New Roman" w:hAnsi="Times New Roman"/>
                <w:lang w:val="hr-HR"/>
              </w:rPr>
            </w:pPr>
            <w:r w:rsidRPr="00D6167B">
              <w:rPr>
                <w:rFonts w:ascii="Times New Roman" w:hAnsi="Times New Roman"/>
                <w:lang w:val="hr-HR"/>
              </w:rPr>
              <w:t>Vrijednost p</w:t>
            </w:r>
          </w:p>
        </w:tc>
        <w:tc>
          <w:tcPr>
            <w:tcW w:w="3240" w:type="dxa"/>
            <w:gridSpan w:val="2"/>
            <w:tcBorders>
              <w:top w:val="single" w:sz="5" w:space="0" w:color="000000"/>
              <w:left w:val="single" w:sz="5" w:space="0" w:color="000000"/>
              <w:bottom w:val="single" w:sz="5" w:space="0" w:color="000000"/>
              <w:right w:val="single" w:sz="5" w:space="0" w:color="000000"/>
            </w:tcBorders>
          </w:tcPr>
          <w:p w14:paraId="7C8B908A"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11350349"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&lt; 0,0001</w:t>
            </w:r>
          </w:p>
        </w:tc>
      </w:tr>
      <w:tr w:rsidR="00D15122" w:rsidRPr="00D6167B" w14:paraId="03BE7A8F" w14:textId="77777777" w:rsidTr="00FB19BF">
        <w:trPr>
          <w:cantSplit/>
        </w:trPr>
        <w:tc>
          <w:tcPr>
            <w:tcW w:w="8756" w:type="dxa"/>
            <w:gridSpan w:val="5"/>
            <w:tcBorders>
              <w:top w:val="single" w:sz="5" w:space="0" w:color="000000"/>
              <w:left w:val="single" w:sz="5" w:space="0" w:color="000000"/>
              <w:bottom w:val="single" w:sz="5" w:space="0" w:color="000000"/>
              <w:right w:val="single" w:sz="5" w:space="0" w:color="000000"/>
            </w:tcBorders>
          </w:tcPr>
          <w:p w14:paraId="5689E90D" w14:textId="77777777" w:rsidR="00D15122" w:rsidRPr="00D6167B" w:rsidRDefault="009B0756" w:rsidP="00D37692">
            <w:pPr>
              <w:pStyle w:val="TableParagraph"/>
              <w:widowControl/>
              <w:spacing w:before="120"/>
              <w:rPr>
                <w:rFonts w:ascii="Times New Roman" w:eastAsia="Times New Roman" w:hAnsi="Times New Roman"/>
                <w:lang w:val="hr-HR"/>
              </w:rPr>
            </w:pPr>
            <w:r w:rsidRPr="00D6167B">
              <w:rPr>
                <w:rFonts w:ascii="Times New Roman" w:hAnsi="Times New Roman"/>
                <w:lang w:val="hr-HR"/>
              </w:rPr>
              <w:lastRenderedPageBreak/>
              <w:t>Stope odgovora (za pacijente sa mjerljivom bolesti)</w:t>
            </w:r>
          </w:p>
        </w:tc>
      </w:tr>
      <w:tr w:rsidR="00D15122" w:rsidRPr="00D6167B" w14:paraId="63E4E98A"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3D706377" w14:textId="77777777" w:rsidR="00D15122" w:rsidRPr="00D6167B" w:rsidRDefault="00D15122" w:rsidP="00D37692">
            <w:pPr>
              <w:widowControl/>
              <w:rPr>
                <w:rFonts w:ascii="Times New Roman" w:hAnsi="Times New Roman"/>
                <w:lang w:val="hr-HR"/>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BA4A9D2"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Procjena istraživača</w:t>
            </w:r>
          </w:p>
        </w:tc>
        <w:tc>
          <w:tcPr>
            <w:tcW w:w="3240" w:type="dxa"/>
            <w:gridSpan w:val="2"/>
            <w:tcBorders>
              <w:top w:val="single" w:sz="5" w:space="0" w:color="000000"/>
              <w:left w:val="single" w:sz="5" w:space="0" w:color="000000"/>
              <w:bottom w:val="single" w:sz="5" w:space="0" w:color="000000"/>
              <w:right w:val="single" w:sz="5" w:space="0" w:color="000000"/>
            </w:tcBorders>
          </w:tcPr>
          <w:p w14:paraId="17138BBF"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Procjena IRF</w:t>
            </w:r>
          </w:p>
        </w:tc>
      </w:tr>
      <w:tr w:rsidR="00D15122" w:rsidRPr="00D6167B" w14:paraId="092342C4"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5FE03417" w14:textId="77777777" w:rsidR="00D15122" w:rsidRPr="00D6167B" w:rsidRDefault="00D15122" w:rsidP="00D37692">
            <w:pPr>
              <w:widowControl/>
              <w:rPr>
                <w:rFonts w:ascii="Times New Roman" w:hAnsi="Times New Roman"/>
                <w:lang w:val="hr-HR"/>
              </w:rPr>
            </w:pPr>
          </w:p>
        </w:tc>
        <w:tc>
          <w:tcPr>
            <w:tcW w:w="1440" w:type="dxa"/>
            <w:tcBorders>
              <w:top w:val="single" w:sz="5" w:space="0" w:color="000000"/>
              <w:left w:val="single" w:sz="5" w:space="0" w:color="000000"/>
              <w:bottom w:val="single" w:sz="5" w:space="0" w:color="000000"/>
              <w:right w:val="single" w:sz="5" w:space="0" w:color="000000"/>
            </w:tcBorders>
          </w:tcPr>
          <w:p w14:paraId="373B31D8"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Paklitaksel</w:t>
            </w:r>
          </w:p>
          <w:p w14:paraId="74F3FCFD" w14:textId="77777777" w:rsidR="00D15122" w:rsidRPr="00D6167B" w:rsidRDefault="00D15122" w:rsidP="00D37692">
            <w:pPr>
              <w:pStyle w:val="TableParagraph"/>
              <w:widowControl/>
              <w:spacing w:line="246" w:lineRule="exact"/>
              <w:jc w:val="center"/>
              <w:rPr>
                <w:rFonts w:ascii="Times New Roman" w:hAnsi="Times New Roman"/>
                <w:lang w:val="hr-HR"/>
              </w:rPr>
            </w:pPr>
          </w:p>
          <w:p w14:paraId="4F3D67BA"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(n=273)</w:t>
            </w:r>
          </w:p>
        </w:tc>
        <w:tc>
          <w:tcPr>
            <w:tcW w:w="1800" w:type="dxa"/>
            <w:tcBorders>
              <w:top w:val="single" w:sz="5" w:space="0" w:color="000000"/>
              <w:left w:val="single" w:sz="5" w:space="0" w:color="000000"/>
              <w:bottom w:val="single" w:sz="5" w:space="0" w:color="000000"/>
              <w:right w:val="single" w:sz="5" w:space="0" w:color="000000"/>
            </w:tcBorders>
          </w:tcPr>
          <w:p w14:paraId="01C1211E"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Paklitaksel/bevacizumab (n=252)</w:t>
            </w:r>
          </w:p>
        </w:tc>
        <w:tc>
          <w:tcPr>
            <w:tcW w:w="1440" w:type="dxa"/>
            <w:tcBorders>
              <w:top w:val="single" w:sz="5" w:space="0" w:color="000000"/>
              <w:left w:val="single" w:sz="5" w:space="0" w:color="000000"/>
              <w:bottom w:val="single" w:sz="5" w:space="0" w:color="000000"/>
              <w:right w:val="single" w:sz="5" w:space="0" w:color="000000"/>
            </w:tcBorders>
          </w:tcPr>
          <w:p w14:paraId="69202781"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Paklitaksel</w:t>
            </w:r>
          </w:p>
          <w:p w14:paraId="11987522" w14:textId="77777777" w:rsidR="00D15122" w:rsidRPr="00D6167B" w:rsidRDefault="00D15122" w:rsidP="00D37692">
            <w:pPr>
              <w:pStyle w:val="TableParagraph"/>
              <w:widowControl/>
              <w:spacing w:line="246" w:lineRule="exact"/>
              <w:jc w:val="center"/>
              <w:rPr>
                <w:rFonts w:ascii="Times New Roman" w:hAnsi="Times New Roman"/>
                <w:lang w:val="hr-HR"/>
              </w:rPr>
            </w:pPr>
          </w:p>
          <w:p w14:paraId="20D247BC"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(n=243)</w:t>
            </w:r>
          </w:p>
        </w:tc>
        <w:tc>
          <w:tcPr>
            <w:tcW w:w="1800" w:type="dxa"/>
            <w:tcBorders>
              <w:top w:val="single" w:sz="5" w:space="0" w:color="000000"/>
              <w:left w:val="single" w:sz="5" w:space="0" w:color="000000"/>
              <w:bottom w:val="single" w:sz="5" w:space="0" w:color="000000"/>
              <w:right w:val="single" w:sz="5" w:space="0" w:color="000000"/>
            </w:tcBorders>
          </w:tcPr>
          <w:p w14:paraId="3E16BB7B" w14:textId="77777777" w:rsidR="00D15122" w:rsidRPr="00D6167B" w:rsidRDefault="009B0756" w:rsidP="00D37692">
            <w:pPr>
              <w:pStyle w:val="TableParagraph"/>
              <w:widowControl/>
              <w:spacing w:line="246" w:lineRule="exact"/>
              <w:ind w:right="427"/>
              <w:jc w:val="center"/>
              <w:rPr>
                <w:rFonts w:ascii="Times New Roman" w:hAnsi="Times New Roman"/>
                <w:lang w:val="hr-HR"/>
              </w:rPr>
            </w:pPr>
            <w:r w:rsidRPr="00D6167B">
              <w:rPr>
                <w:rFonts w:ascii="Times New Roman" w:hAnsi="Times New Roman"/>
                <w:lang w:val="hr-HR"/>
              </w:rPr>
              <w:t>Paklitaksel/bevacizumab (n=229)</w:t>
            </w:r>
          </w:p>
        </w:tc>
      </w:tr>
      <w:tr w:rsidR="00D15122" w:rsidRPr="00D6167B" w14:paraId="6C26F6F6"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28C50DF4" w14:textId="77777777" w:rsidR="00D15122" w:rsidRPr="00D6167B" w:rsidRDefault="00FE1157" w:rsidP="00D37692">
            <w:pPr>
              <w:pStyle w:val="TableParagraph"/>
              <w:widowControl/>
              <w:spacing w:line="239" w:lineRule="auto"/>
              <w:ind w:right="225"/>
              <w:rPr>
                <w:rFonts w:ascii="Times New Roman" w:eastAsia="Times New Roman" w:hAnsi="Times New Roman"/>
                <w:lang w:val="hr-HR"/>
              </w:rPr>
            </w:pPr>
            <w:r w:rsidRPr="00D6167B">
              <w:rPr>
                <w:rFonts w:ascii="Times New Roman" w:hAnsi="Times New Roman"/>
                <w:lang w:val="hr-HR"/>
              </w:rPr>
              <w:t>% pacijenata sa objektivnim odgovorom</w:t>
            </w:r>
          </w:p>
        </w:tc>
        <w:tc>
          <w:tcPr>
            <w:tcW w:w="1440" w:type="dxa"/>
            <w:tcBorders>
              <w:top w:val="single" w:sz="5" w:space="0" w:color="000000"/>
              <w:left w:val="single" w:sz="5" w:space="0" w:color="000000"/>
              <w:bottom w:val="single" w:sz="5" w:space="0" w:color="000000"/>
              <w:right w:val="single" w:sz="5" w:space="0" w:color="000000"/>
            </w:tcBorders>
          </w:tcPr>
          <w:p w14:paraId="2AB51EB0"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23,4</w:t>
            </w:r>
          </w:p>
        </w:tc>
        <w:tc>
          <w:tcPr>
            <w:tcW w:w="1800" w:type="dxa"/>
            <w:tcBorders>
              <w:top w:val="single" w:sz="5" w:space="0" w:color="000000"/>
              <w:left w:val="single" w:sz="5" w:space="0" w:color="000000"/>
              <w:bottom w:val="single" w:sz="5" w:space="0" w:color="000000"/>
              <w:right w:val="single" w:sz="5" w:space="0" w:color="000000"/>
            </w:tcBorders>
          </w:tcPr>
          <w:p w14:paraId="0166FFA3"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48,0</w:t>
            </w:r>
          </w:p>
        </w:tc>
        <w:tc>
          <w:tcPr>
            <w:tcW w:w="1440" w:type="dxa"/>
            <w:tcBorders>
              <w:top w:val="single" w:sz="5" w:space="0" w:color="000000"/>
              <w:left w:val="single" w:sz="5" w:space="0" w:color="000000"/>
              <w:bottom w:val="single" w:sz="5" w:space="0" w:color="000000"/>
              <w:right w:val="single" w:sz="5" w:space="0" w:color="000000"/>
            </w:tcBorders>
          </w:tcPr>
          <w:p w14:paraId="6769BE72"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22,2</w:t>
            </w:r>
          </w:p>
        </w:tc>
        <w:tc>
          <w:tcPr>
            <w:tcW w:w="1800" w:type="dxa"/>
            <w:tcBorders>
              <w:top w:val="single" w:sz="5" w:space="0" w:color="000000"/>
              <w:left w:val="single" w:sz="5" w:space="0" w:color="000000"/>
              <w:bottom w:val="single" w:sz="5" w:space="0" w:color="000000"/>
              <w:right w:val="single" w:sz="5" w:space="0" w:color="000000"/>
            </w:tcBorders>
          </w:tcPr>
          <w:p w14:paraId="5EBBF806"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49,8</w:t>
            </w:r>
          </w:p>
        </w:tc>
      </w:tr>
      <w:tr w:rsidR="00D15122" w:rsidRPr="00D6167B" w14:paraId="27D68B11"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2DDD3414" w14:textId="77777777" w:rsidR="00D15122" w:rsidRPr="00D6167B" w:rsidRDefault="009B0756" w:rsidP="007608DF">
            <w:pPr>
              <w:pStyle w:val="TableParagraph"/>
              <w:widowControl/>
              <w:spacing w:line="246" w:lineRule="exact"/>
              <w:jc w:val="both"/>
              <w:rPr>
                <w:rFonts w:ascii="Times New Roman" w:eastAsia="Times New Roman" w:hAnsi="Times New Roman"/>
                <w:lang w:val="hr-HR"/>
              </w:rPr>
            </w:pPr>
            <w:r w:rsidRPr="00D6167B">
              <w:rPr>
                <w:rFonts w:ascii="Times New Roman" w:hAnsi="Times New Roman"/>
                <w:lang w:val="hr-HR"/>
              </w:rPr>
              <w:t>Vrijednost p</w:t>
            </w:r>
          </w:p>
        </w:tc>
        <w:tc>
          <w:tcPr>
            <w:tcW w:w="3240" w:type="dxa"/>
            <w:gridSpan w:val="2"/>
            <w:tcBorders>
              <w:top w:val="single" w:sz="5" w:space="0" w:color="000000"/>
              <w:left w:val="single" w:sz="5" w:space="0" w:color="000000"/>
              <w:bottom w:val="single" w:sz="5" w:space="0" w:color="000000"/>
              <w:right w:val="single" w:sz="5" w:space="0" w:color="000000"/>
            </w:tcBorders>
          </w:tcPr>
          <w:p w14:paraId="1A23AEB9"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65F29F4F"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&lt; 0,0001</w:t>
            </w:r>
          </w:p>
        </w:tc>
      </w:tr>
    </w:tbl>
    <w:p w14:paraId="6CA1DE32" w14:textId="77777777" w:rsidR="00D15122" w:rsidRPr="00D6167B" w:rsidRDefault="009B0756" w:rsidP="007608DF">
      <w:pPr>
        <w:widowControl/>
        <w:spacing w:line="222" w:lineRule="exact"/>
        <w:jc w:val="both"/>
        <w:rPr>
          <w:rFonts w:ascii="Times New Roman" w:eastAsia="Times New Roman" w:hAnsi="Times New Roman"/>
          <w:sz w:val="20"/>
          <w:szCs w:val="20"/>
          <w:lang w:val="hr-HR"/>
        </w:rPr>
      </w:pPr>
      <w:r w:rsidRPr="00D6167B">
        <w:rPr>
          <w:rFonts w:ascii="Times New Roman" w:hAnsi="Times New Roman"/>
          <w:sz w:val="20"/>
          <w:lang w:val="hr-HR"/>
        </w:rPr>
        <w:t>* primarna analiza</w:t>
      </w:r>
    </w:p>
    <w:p w14:paraId="18D607E5" w14:textId="77777777" w:rsidR="00D15122" w:rsidRPr="00D6167B" w:rsidRDefault="00D15122" w:rsidP="007608DF">
      <w:pPr>
        <w:widowControl/>
        <w:jc w:val="both"/>
        <w:rPr>
          <w:rFonts w:ascii="Times New Roman" w:eastAsia="Times New Roman" w:hAnsi="Times New Roman"/>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5"/>
        <w:gridCol w:w="3359"/>
        <w:gridCol w:w="3474"/>
      </w:tblGrid>
      <w:tr w:rsidR="00D15122" w:rsidRPr="00D6167B" w14:paraId="36703219" w14:textId="77777777" w:rsidTr="009C1DDB">
        <w:trPr>
          <w:trHeight w:hRule="exact" w:val="262"/>
        </w:trPr>
        <w:tc>
          <w:tcPr>
            <w:tcW w:w="9172" w:type="dxa"/>
            <w:gridSpan w:val="3"/>
            <w:shd w:val="clear" w:color="auto" w:fill="auto"/>
          </w:tcPr>
          <w:p w14:paraId="65F9AD09" w14:textId="77777777" w:rsidR="00D15122" w:rsidRPr="00D6167B" w:rsidRDefault="009B0756" w:rsidP="007608DF">
            <w:pPr>
              <w:pStyle w:val="TableParagraph"/>
              <w:widowControl/>
              <w:spacing w:line="246" w:lineRule="exact"/>
              <w:jc w:val="both"/>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633F855D" w14:textId="77777777" w:rsidTr="009C1DDB">
        <w:trPr>
          <w:trHeight w:hRule="exact" w:val="579"/>
        </w:trPr>
        <w:tc>
          <w:tcPr>
            <w:tcW w:w="2268" w:type="dxa"/>
            <w:shd w:val="clear" w:color="auto" w:fill="auto"/>
          </w:tcPr>
          <w:p w14:paraId="093EBE47" w14:textId="77777777" w:rsidR="00D15122" w:rsidRPr="00D6167B" w:rsidRDefault="00D15122" w:rsidP="007608DF">
            <w:pPr>
              <w:widowControl/>
              <w:jc w:val="both"/>
              <w:rPr>
                <w:rFonts w:ascii="Times New Roman" w:hAnsi="Times New Roman"/>
                <w:lang w:val="hr-HR"/>
              </w:rPr>
            </w:pPr>
          </w:p>
        </w:tc>
        <w:tc>
          <w:tcPr>
            <w:tcW w:w="3394" w:type="dxa"/>
            <w:shd w:val="clear" w:color="auto" w:fill="auto"/>
          </w:tcPr>
          <w:p w14:paraId="4716716D"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Paklitaksel</w:t>
            </w:r>
          </w:p>
          <w:p w14:paraId="430A2EF3"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(n=354)</w:t>
            </w:r>
          </w:p>
        </w:tc>
        <w:tc>
          <w:tcPr>
            <w:tcW w:w="3510" w:type="dxa"/>
            <w:shd w:val="clear" w:color="auto" w:fill="auto"/>
          </w:tcPr>
          <w:p w14:paraId="78B7FDA3" w14:textId="77777777" w:rsidR="00FE1157"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Paklitaksel/bevacizumab</w:t>
            </w:r>
          </w:p>
          <w:p w14:paraId="458A3C7E"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(n=368)</w:t>
            </w:r>
          </w:p>
        </w:tc>
      </w:tr>
      <w:tr w:rsidR="00D15122" w:rsidRPr="00D6167B" w14:paraId="6A08F3F4" w14:textId="77777777" w:rsidTr="009C1DDB">
        <w:trPr>
          <w:trHeight w:hRule="exact" w:val="262"/>
        </w:trPr>
        <w:tc>
          <w:tcPr>
            <w:tcW w:w="2268" w:type="dxa"/>
            <w:shd w:val="clear" w:color="auto" w:fill="auto"/>
          </w:tcPr>
          <w:p w14:paraId="16EC2797" w14:textId="77777777" w:rsidR="00D15122" w:rsidRPr="00D6167B" w:rsidRDefault="009B0756" w:rsidP="00D37692">
            <w:pPr>
              <w:pStyle w:val="TableParagraph"/>
              <w:widowControl/>
              <w:spacing w:line="246" w:lineRule="exact"/>
              <w:rPr>
                <w:rFonts w:ascii="Times New Roman" w:eastAsia="Times New Roman" w:hAnsi="Times New Roman"/>
                <w:lang w:val="hr-HR"/>
              </w:rPr>
            </w:pPr>
            <w:r w:rsidRPr="00D6167B">
              <w:rPr>
                <w:rFonts w:ascii="Times New Roman" w:hAnsi="Times New Roman"/>
                <w:lang w:val="hr-HR"/>
              </w:rPr>
              <w:t>Srednja vrijednost OS (mjeseci)</w:t>
            </w:r>
          </w:p>
        </w:tc>
        <w:tc>
          <w:tcPr>
            <w:tcW w:w="3394" w:type="dxa"/>
            <w:shd w:val="clear" w:color="auto" w:fill="auto"/>
          </w:tcPr>
          <w:p w14:paraId="7CB7876C"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24,8</w:t>
            </w:r>
          </w:p>
        </w:tc>
        <w:tc>
          <w:tcPr>
            <w:tcW w:w="3510" w:type="dxa"/>
            <w:shd w:val="clear" w:color="auto" w:fill="auto"/>
          </w:tcPr>
          <w:p w14:paraId="27D32396"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26,5</w:t>
            </w:r>
          </w:p>
        </w:tc>
      </w:tr>
      <w:tr w:rsidR="00D15122" w:rsidRPr="00D6167B" w14:paraId="267B9DA6" w14:textId="77777777" w:rsidTr="009C1DDB">
        <w:trPr>
          <w:trHeight w:hRule="exact" w:val="516"/>
        </w:trPr>
        <w:tc>
          <w:tcPr>
            <w:tcW w:w="2268" w:type="dxa"/>
            <w:shd w:val="clear" w:color="auto" w:fill="auto"/>
          </w:tcPr>
          <w:p w14:paraId="7483B5E6" w14:textId="77777777" w:rsidR="00FE1157" w:rsidRPr="00D6167B" w:rsidRDefault="009B0756" w:rsidP="00D37692">
            <w:pPr>
              <w:pStyle w:val="TableParagraph"/>
              <w:widowControl/>
              <w:spacing w:line="239" w:lineRule="auto"/>
              <w:rPr>
                <w:rFonts w:ascii="Times New Roman" w:hAnsi="Times New Roman"/>
                <w:lang w:val="hr-HR"/>
              </w:rPr>
            </w:pPr>
            <w:r w:rsidRPr="00D6167B">
              <w:rPr>
                <w:rFonts w:ascii="Times New Roman" w:hAnsi="Times New Roman"/>
                <w:lang w:val="hr-HR"/>
              </w:rPr>
              <w:t>Odnos rizika</w:t>
            </w:r>
          </w:p>
          <w:p w14:paraId="7BE625B9" w14:textId="77777777" w:rsidR="00D15122" w:rsidRPr="00D6167B" w:rsidRDefault="009B0756" w:rsidP="00D37692">
            <w:pPr>
              <w:pStyle w:val="TableParagraph"/>
              <w:widowControl/>
              <w:spacing w:line="239" w:lineRule="auto"/>
              <w:rPr>
                <w:rFonts w:ascii="Times New Roman" w:eastAsia="Times New Roman" w:hAnsi="Times New Roman"/>
                <w:lang w:val="hr-HR"/>
              </w:rPr>
            </w:pPr>
            <w:r w:rsidRPr="00D6167B">
              <w:rPr>
                <w:rFonts w:ascii="Times New Roman" w:hAnsi="Times New Roman"/>
                <w:lang w:val="hr-HR"/>
              </w:rPr>
              <w:t>(95% CI)</w:t>
            </w:r>
          </w:p>
        </w:tc>
        <w:tc>
          <w:tcPr>
            <w:tcW w:w="6904" w:type="dxa"/>
            <w:gridSpan w:val="2"/>
            <w:shd w:val="clear" w:color="auto" w:fill="auto"/>
          </w:tcPr>
          <w:p w14:paraId="47421D12"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0,869</w:t>
            </w:r>
          </w:p>
          <w:p w14:paraId="4E6226E9"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(0,722; 1,046)</w:t>
            </w:r>
          </w:p>
        </w:tc>
      </w:tr>
      <w:tr w:rsidR="00D15122" w:rsidRPr="00D6167B" w14:paraId="18A6A663" w14:textId="77777777" w:rsidTr="009C1DDB">
        <w:trPr>
          <w:trHeight w:hRule="exact" w:val="264"/>
        </w:trPr>
        <w:tc>
          <w:tcPr>
            <w:tcW w:w="2268" w:type="dxa"/>
            <w:shd w:val="clear" w:color="auto" w:fill="auto"/>
          </w:tcPr>
          <w:p w14:paraId="6F5BBD72" w14:textId="77777777" w:rsidR="00D15122" w:rsidRPr="00D6167B" w:rsidRDefault="009B0756" w:rsidP="00D37692">
            <w:pPr>
              <w:pStyle w:val="TableParagraph"/>
              <w:widowControl/>
              <w:spacing w:line="239" w:lineRule="auto"/>
              <w:rPr>
                <w:rFonts w:ascii="Times New Roman" w:eastAsia="Times New Roman" w:hAnsi="Times New Roman"/>
                <w:lang w:val="hr-HR"/>
              </w:rPr>
            </w:pPr>
            <w:r w:rsidRPr="00D6167B">
              <w:rPr>
                <w:rFonts w:ascii="Times New Roman" w:hAnsi="Times New Roman"/>
                <w:lang w:val="hr-HR"/>
              </w:rPr>
              <w:t>Vrijednost p</w:t>
            </w:r>
          </w:p>
        </w:tc>
        <w:tc>
          <w:tcPr>
            <w:tcW w:w="6904" w:type="dxa"/>
            <w:gridSpan w:val="2"/>
            <w:shd w:val="clear" w:color="auto" w:fill="auto"/>
          </w:tcPr>
          <w:p w14:paraId="2D7FBDF2" w14:textId="77777777" w:rsidR="00D15122" w:rsidRPr="00D6167B" w:rsidRDefault="009B0756" w:rsidP="00D37692">
            <w:pPr>
              <w:pStyle w:val="TableParagraph"/>
              <w:widowControl/>
              <w:spacing w:line="246" w:lineRule="exact"/>
              <w:jc w:val="center"/>
              <w:rPr>
                <w:rFonts w:ascii="Times New Roman" w:hAnsi="Times New Roman"/>
                <w:lang w:val="hr-HR"/>
              </w:rPr>
            </w:pPr>
            <w:r w:rsidRPr="00D6167B">
              <w:rPr>
                <w:rFonts w:ascii="Times New Roman" w:hAnsi="Times New Roman"/>
                <w:lang w:val="hr-HR"/>
              </w:rPr>
              <w:t>0,1374</w:t>
            </w:r>
          </w:p>
        </w:tc>
      </w:tr>
    </w:tbl>
    <w:p w14:paraId="4C49E3A7" w14:textId="77777777" w:rsidR="00D15122" w:rsidRPr="00D6167B" w:rsidRDefault="00D15122" w:rsidP="007608DF">
      <w:pPr>
        <w:widowControl/>
        <w:jc w:val="both"/>
        <w:rPr>
          <w:rFonts w:ascii="Times New Roman" w:eastAsia="Times New Roman" w:hAnsi="Times New Roman"/>
          <w:lang w:val="hr-HR"/>
        </w:rPr>
      </w:pPr>
    </w:p>
    <w:p w14:paraId="49AF66A4" w14:textId="2D051572" w:rsidR="00D15122" w:rsidRPr="00D6167B" w:rsidRDefault="009B0756" w:rsidP="007608DF">
      <w:pPr>
        <w:pStyle w:val="BodyText"/>
        <w:widowControl/>
        <w:ind w:left="0"/>
        <w:jc w:val="both"/>
        <w:rPr>
          <w:lang w:val="hr-HR"/>
        </w:rPr>
      </w:pPr>
      <w:r w:rsidRPr="00D6167B">
        <w:rPr>
          <w:lang w:val="hr-HR"/>
        </w:rPr>
        <w:t xml:space="preserve">Klinička korist od bevacizumaba </w:t>
      </w:r>
      <w:r w:rsidR="00EF358E">
        <w:rPr>
          <w:lang w:val="hr-HR"/>
        </w:rPr>
        <w:t>određena prema</w:t>
      </w:r>
      <w:r w:rsidRPr="00D6167B">
        <w:rPr>
          <w:lang w:val="hr-HR"/>
        </w:rPr>
        <w:t xml:space="preserve"> PFS (preživljavanje bez progresije bolesti) zab</w:t>
      </w:r>
      <w:r w:rsidR="00334F49" w:rsidRPr="00D6167B">
        <w:rPr>
          <w:lang w:val="hr-HR"/>
        </w:rPr>
        <w:t>i</w:t>
      </w:r>
      <w:r w:rsidRPr="00D6167B">
        <w:rPr>
          <w:lang w:val="hr-HR"/>
        </w:rPr>
        <w:t>l</w:t>
      </w:r>
      <w:r w:rsidR="00334F49" w:rsidRPr="00D6167B">
        <w:rPr>
          <w:lang w:val="hr-HR"/>
        </w:rPr>
        <w:t>j</w:t>
      </w:r>
      <w:r w:rsidRPr="00D6167B">
        <w:rPr>
          <w:lang w:val="hr-HR"/>
        </w:rPr>
        <w:t xml:space="preserve">ežena je kod svih prethodno definisanih testiranih podgrupa (uključujući i interval bez bolesti, broj lokacija metastaza, prethodno </w:t>
      </w:r>
      <w:r w:rsidR="00EF358E">
        <w:rPr>
          <w:lang w:val="hr-HR"/>
        </w:rPr>
        <w:t>liječenje</w:t>
      </w:r>
      <w:r w:rsidR="00EF358E" w:rsidRPr="00D6167B">
        <w:rPr>
          <w:lang w:val="hr-HR"/>
        </w:rPr>
        <w:t xml:space="preserve"> </w:t>
      </w:r>
      <w:r w:rsidRPr="00D6167B">
        <w:rPr>
          <w:lang w:val="hr-HR"/>
        </w:rPr>
        <w:t>adjuvantn</w:t>
      </w:r>
      <w:r w:rsidR="00EF358E">
        <w:rPr>
          <w:lang w:val="hr-HR"/>
        </w:rPr>
        <w:t>om</w:t>
      </w:r>
      <w:r w:rsidRPr="00D6167B">
        <w:rPr>
          <w:lang w:val="hr-HR"/>
        </w:rPr>
        <w:t xml:space="preserve"> hemoterapij</w:t>
      </w:r>
      <w:r w:rsidR="00EF358E">
        <w:rPr>
          <w:lang w:val="hr-HR"/>
        </w:rPr>
        <w:t>om</w:t>
      </w:r>
      <w:r w:rsidRPr="00D6167B">
        <w:rPr>
          <w:lang w:val="hr-HR"/>
        </w:rPr>
        <w:t xml:space="preserve"> i status estrogenskih receptora (ER)).</w:t>
      </w:r>
    </w:p>
    <w:p w14:paraId="69018DC6" w14:textId="77777777" w:rsidR="002E30F6" w:rsidRPr="00D6167B" w:rsidRDefault="002E30F6" w:rsidP="007608DF">
      <w:pPr>
        <w:pStyle w:val="BodyText"/>
        <w:widowControl/>
        <w:ind w:left="0"/>
        <w:jc w:val="both"/>
        <w:rPr>
          <w:lang w:val="hr-HR"/>
        </w:rPr>
      </w:pPr>
    </w:p>
    <w:p w14:paraId="7BA8C9DB" w14:textId="77777777" w:rsidR="002E30F6" w:rsidRPr="00D37692" w:rsidRDefault="002E30F6" w:rsidP="007608DF">
      <w:pPr>
        <w:keepNext/>
        <w:widowControl/>
        <w:autoSpaceDE w:val="0"/>
        <w:autoSpaceDN w:val="0"/>
        <w:adjustRightInd w:val="0"/>
        <w:jc w:val="both"/>
        <w:rPr>
          <w:rFonts w:ascii="Times New Roman" w:hAnsi="Times New Roman"/>
          <w:lang w:val="hr-HR"/>
        </w:rPr>
      </w:pPr>
      <w:r w:rsidRPr="00D37692">
        <w:rPr>
          <w:rFonts w:ascii="Times New Roman" w:hAnsi="Times New Roman"/>
          <w:i/>
          <w:lang w:val="hr-HR"/>
        </w:rPr>
        <w:t>AVF3694g</w:t>
      </w:r>
    </w:p>
    <w:p w14:paraId="1554CA1A"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Studija AVF3694g je bila multicentrično, randomizovano, placebo-kontrolisano ispitivanje faze III, osmišljeno za procjenu efikasnosti i bezbjednosti </w:t>
      </w:r>
      <w:r w:rsidRPr="00D6167B">
        <w:rPr>
          <w:rFonts w:ascii="Times New Roman" w:hAnsi="Times New Roman"/>
          <w:lang w:val="hr-HR"/>
        </w:rPr>
        <w:t>bevacizumaba</w:t>
      </w:r>
      <w:r w:rsidRPr="00D37692">
        <w:rPr>
          <w:rFonts w:ascii="Times New Roman" w:hAnsi="Times New Roman"/>
          <w:lang w:val="hr-HR"/>
        </w:rPr>
        <w:t>u kombinaciji sa hemoterapijom u poređenju sa hemoterapijom uz placebo, kao prva linija liječenja za pacijente sa HER2 negativnim metastatskim ili lokalno rekurentnim karcinomom dojke.</w:t>
      </w:r>
    </w:p>
    <w:p w14:paraId="70D9FE84" w14:textId="77777777" w:rsidR="002E30F6" w:rsidRPr="00D37692" w:rsidRDefault="002E30F6" w:rsidP="007608DF">
      <w:pPr>
        <w:widowControl/>
        <w:autoSpaceDE w:val="0"/>
        <w:autoSpaceDN w:val="0"/>
        <w:adjustRightInd w:val="0"/>
        <w:jc w:val="both"/>
        <w:rPr>
          <w:rFonts w:ascii="Times New Roman" w:hAnsi="Times New Roman"/>
          <w:lang w:val="hr-HR"/>
        </w:rPr>
      </w:pPr>
    </w:p>
    <w:p w14:paraId="7605FB32"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Hemoterapija je izabrana od strane istraživača prije nego što su pacijenti randomizovani u odnosu 2:1 tako da primaju hemoterapiju plus </w:t>
      </w:r>
      <w:r w:rsidRPr="00D6167B">
        <w:rPr>
          <w:rFonts w:ascii="Times New Roman" w:hAnsi="Times New Roman"/>
          <w:lang w:val="hr-HR"/>
        </w:rPr>
        <w:t>bevacizumab</w:t>
      </w:r>
      <w:r w:rsidRPr="00D37692">
        <w:rPr>
          <w:rFonts w:ascii="Times New Roman" w:hAnsi="Times New Roman"/>
          <w:lang w:val="hr-HR"/>
        </w:rPr>
        <w:t xml:space="preserve"> ili hemoterapiju plus placebo. Izbor hemoterapije je obuhvatao kapecitabin, taksan (paklitaksel vezani za protein, docetaksel) i antraciklinske agense (doksorubicin/ciklofosfamid, epirubicin/ciklofosfamid, 5</w:t>
      </w:r>
      <w:r w:rsidRPr="00D37692">
        <w:rPr>
          <w:rFonts w:ascii="Times New Roman" w:hAnsi="Times New Roman"/>
          <w:lang w:val="hr-HR"/>
        </w:rPr>
        <w:noBreakHyphen/>
        <w:t>fluorouracil/doksorubicin/ciklofosfamid, 5</w:t>
      </w:r>
      <w:r w:rsidRPr="00D37692">
        <w:rPr>
          <w:rFonts w:ascii="Times New Roman" w:hAnsi="Times New Roman"/>
          <w:lang w:val="hr-HR"/>
        </w:rPr>
        <w:noBreakHyphen/>
        <w:t xml:space="preserve">fluorouracil/epirubicin/ciklofosfamid) koji su davani na svake tri nedjelje (q3w). </w:t>
      </w:r>
      <w:r w:rsidRPr="00D6167B">
        <w:rPr>
          <w:rFonts w:ascii="Times New Roman" w:hAnsi="Times New Roman"/>
          <w:lang w:val="hr-HR"/>
        </w:rPr>
        <w:t>Bevacizumab</w:t>
      </w:r>
      <w:r w:rsidRPr="00D37692">
        <w:rPr>
          <w:rFonts w:ascii="Times New Roman" w:hAnsi="Times New Roman"/>
          <w:lang w:val="hr-HR"/>
        </w:rPr>
        <w:t xml:space="preserve"> ili placebo su primjenjivani u dozi od 15mg/kg na svake 3 nedjelje.</w:t>
      </w:r>
    </w:p>
    <w:p w14:paraId="5E82A712" w14:textId="77777777" w:rsidR="002E30F6" w:rsidRPr="00D37692" w:rsidRDefault="002E30F6" w:rsidP="007608DF">
      <w:pPr>
        <w:widowControl/>
        <w:autoSpaceDE w:val="0"/>
        <w:autoSpaceDN w:val="0"/>
        <w:adjustRightInd w:val="0"/>
        <w:jc w:val="both"/>
        <w:rPr>
          <w:rFonts w:ascii="Times New Roman" w:hAnsi="Times New Roman"/>
          <w:lang w:val="hr-HR"/>
        </w:rPr>
      </w:pPr>
    </w:p>
    <w:p w14:paraId="55504BC2"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Ova studija se sastojala iz slijepe faze, opcione otvorene faze nakon progresije i faze praćenja preživljavanja. U toku slijepe faze pacijenti su primali hemoterapiju i medicinski proizvod (</w:t>
      </w:r>
      <w:r w:rsidRPr="00D6167B">
        <w:rPr>
          <w:rFonts w:ascii="Times New Roman" w:hAnsi="Times New Roman"/>
          <w:lang w:val="hr-HR"/>
        </w:rPr>
        <w:t>bevacizumab</w:t>
      </w:r>
      <w:r w:rsidRPr="00D37692">
        <w:rPr>
          <w:rFonts w:ascii="Times New Roman" w:hAnsi="Times New Roman"/>
          <w:lang w:val="hr-HR"/>
        </w:rPr>
        <w:t xml:space="preserve"> ili placebo) na svake 3 nedjelje do progresije bolesti, toksičnosti koja ograničava liječenje ili smrtnog ishoda. Pri dokumentovanoj progresiji bolesti, pacijenti koji su ušli u opcionu fazu otvorenog ispitivanja mogli su da primaju otkriveni </w:t>
      </w:r>
      <w:r w:rsidRPr="00D6167B">
        <w:rPr>
          <w:rFonts w:ascii="Times New Roman" w:hAnsi="Times New Roman"/>
          <w:lang w:val="hr-HR"/>
        </w:rPr>
        <w:t>bevacizumab</w:t>
      </w:r>
      <w:r w:rsidRPr="00D37692">
        <w:rPr>
          <w:rFonts w:ascii="Times New Roman" w:hAnsi="Times New Roman"/>
          <w:lang w:val="hr-HR"/>
        </w:rPr>
        <w:t xml:space="preserve"> sa širokom paletom terapija druge linije.</w:t>
      </w:r>
    </w:p>
    <w:p w14:paraId="047732BD" w14:textId="77777777" w:rsidR="002E30F6" w:rsidRPr="00D37692" w:rsidRDefault="002E30F6" w:rsidP="007608DF">
      <w:pPr>
        <w:widowControl/>
        <w:autoSpaceDE w:val="0"/>
        <w:autoSpaceDN w:val="0"/>
        <w:adjustRightInd w:val="0"/>
        <w:jc w:val="both"/>
        <w:rPr>
          <w:rFonts w:ascii="Times New Roman" w:hAnsi="Times New Roman"/>
          <w:lang w:val="hr-HR"/>
        </w:rPr>
      </w:pPr>
    </w:p>
    <w:p w14:paraId="6BE2274B"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Statističke analize su rađene nezavisno za 1) pacijente koji su primali kapecitabin u kombinaciji sa </w:t>
      </w:r>
      <w:r w:rsidRPr="00D6167B">
        <w:rPr>
          <w:rFonts w:ascii="Times New Roman" w:hAnsi="Times New Roman"/>
          <w:lang w:val="hr-HR"/>
        </w:rPr>
        <w:t>bevacizumabom</w:t>
      </w:r>
      <w:r w:rsidRPr="00D37692">
        <w:rPr>
          <w:rFonts w:ascii="Times New Roman" w:hAnsi="Times New Roman"/>
          <w:lang w:val="hr-HR"/>
        </w:rPr>
        <w:t xml:space="preserve"> ili placebom; 2) pacijente koji su primali hemoterapiju na bazi taksana ili antraciklina u kombinaciji sa </w:t>
      </w:r>
      <w:r w:rsidRPr="00D6167B">
        <w:rPr>
          <w:rFonts w:ascii="Times New Roman" w:hAnsi="Times New Roman"/>
          <w:lang w:val="hr-HR"/>
        </w:rPr>
        <w:t>bevacizumabom</w:t>
      </w:r>
      <w:r w:rsidRPr="00D37692">
        <w:rPr>
          <w:rFonts w:ascii="Times New Roman" w:hAnsi="Times New Roman"/>
          <w:lang w:val="hr-HR"/>
        </w:rPr>
        <w:t xml:space="preserve"> ili placebom. Primarni parametar efikasnosti studije je bilo preživljavanje bez progresije bolesti (PFS) prema procjeni istraživača. Dodatno, primarni parametar efikasnosti je bio procjenjivan i od strane nezavisne komisije (IRC). </w:t>
      </w:r>
    </w:p>
    <w:p w14:paraId="5E0A4FA5" w14:textId="77777777" w:rsidR="002E30F6" w:rsidRPr="00D37692" w:rsidRDefault="002E30F6" w:rsidP="007608DF">
      <w:pPr>
        <w:widowControl/>
        <w:autoSpaceDE w:val="0"/>
        <w:autoSpaceDN w:val="0"/>
        <w:adjustRightInd w:val="0"/>
        <w:jc w:val="both"/>
        <w:rPr>
          <w:rFonts w:ascii="Times New Roman" w:hAnsi="Times New Roman"/>
          <w:lang w:val="hr-HR"/>
        </w:rPr>
      </w:pPr>
    </w:p>
    <w:p w14:paraId="4C9E6041" w14:textId="77777777" w:rsidR="002E30F6" w:rsidRPr="00D37692" w:rsidRDefault="002E30F6" w:rsidP="007608DF">
      <w:pPr>
        <w:pStyle w:val="BodyText"/>
        <w:widowControl/>
        <w:ind w:left="0"/>
        <w:jc w:val="both"/>
        <w:rPr>
          <w:rFonts w:eastAsia="Calibri"/>
          <w:lang w:val="hr-HR"/>
        </w:rPr>
      </w:pPr>
      <w:r w:rsidRPr="00D37692">
        <w:rPr>
          <w:lang w:val="hr-HR"/>
        </w:rPr>
        <w:t xml:space="preserve">Rezultati ove studije iz analize preživljavanja bez progresije bolesti i stepena odgovora, definisane finalnim protokolom, za nezavisni dio studije AVF3694g sa primjenom kapecitabina prikazani su u Tabeli 11. Takođe su prikazani i rezultati iz eksploratorne analize ukupnog preživljavanja koja je uključivala još dodatnih 7 mjeseci praćenja (približno 46% pacijenata je umrlo). Procenat pacijenata koji su primali </w:t>
      </w:r>
      <w:r w:rsidRPr="00D6167B">
        <w:rPr>
          <w:lang w:val="hr-HR"/>
        </w:rPr>
        <w:t>bevacizumab</w:t>
      </w:r>
      <w:r w:rsidRPr="00D37692">
        <w:rPr>
          <w:lang w:val="hr-HR"/>
        </w:rPr>
        <w:t xml:space="preserve"> u fazi otvorenog ispitivanja je iznosio 62,1% u </w:t>
      </w:r>
      <w:r w:rsidR="007907BF" w:rsidRPr="00D37692">
        <w:rPr>
          <w:lang w:val="hr-HR"/>
        </w:rPr>
        <w:t xml:space="preserve">grupi </w:t>
      </w:r>
      <w:r w:rsidRPr="00D37692">
        <w:rPr>
          <w:lang w:val="hr-HR"/>
        </w:rPr>
        <w:t>koj</w:t>
      </w:r>
      <w:r w:rsidR="007907BF" w:rsidRPr="00D37692">
        <w:rPr>
          <w:lang w:val="hr-HR"/>
        </w:rPr>
        <w:t>a</w:t>
      </w:r>
      <w:r w:rsidRPr="00D37692">
        <w:rPr>
          <w:lang w:val="hr-HR"/>
        </w:rPr>
        <w:t xml:space="preserve"> je prethodno prima</w:t>
      </w:r>
      <w:r w:rsidR="007907BF" w:rsidRPr="00D37692">
        <w:rPr>
          <w:lang w:val="hr-HR"/>
        </w:rPr>
        <w:t>la</w:t>
      </w:r>
      <w:r w:rsidRPr="00D37692">
        <w:rPr>
          <w:lang w:val="hr-HR"/>
        </w:rPr>
        <w:t xml:space="preserve"> kapecitabin</w:t>
      </w:r>
      <w:r w:rsidR="007907BF" w:rsidRPr="00D37692">
        <w:rPr>
          <w:lang w:val="hr-HR"/>
        </w:rPr>
        <w:t xml:space="preserve"> </w:t>
      </w:r>
      <w:r w:rsidRPr="00D37692">
        <w:rPr>
          <w:lang w:val="hr-HR"/>
        </w:rPr>
        <w:t xml:space="preserve">+ placebo i 49,9% u </w:t>
      </w:r>
      <w:r w:rsidR="007907BF" w:rsidRPr="00D37692">
        <w:rPr>
          <w:lang w:val="hr-HR"/>
        </w:rPr>
        <w:t xml:space="preserve">grupi </w:t>
      </w:r>
      <w:r w:rsidRPr="00D37692">
        <w:rPr>
          <w:lang w:val="hr-HR"/>
        </w:rPr>
        <w:t>koj</w:t>
      </w:r>
      <w:r w:rsidR="007907BF" w:rsidRPr="00D37692">
        <w:rPr>
          <w:lang w:val="hr-HR"/>
        </w:rPr>
        <w:t>a</w:t>
      </w:r>
      <w:r w:rsidRPr="00D37692">
        <w:rPr>
          <w:lang w:val="hr-HR"/>
        </w:rPr>
        <w:t xml:space="preserve"> je prethodno prima</w:t>
      </w:r>
      <w:r w:rsidR="007907BF" w:rsidRPr="00D37692">
        <w:rPr>
          <w:lang w:val="hr-HR"/>
        </w:rPr>
        <w:t>la</w:t>
      </w:r>
      <w:r w:rsidRPr="00D37692">
        <w:rPr>
          <w:lang w:val="hr-HR"/>
        </w:rPr>
        <w:t xml:space="preserve"> kapecitabin + </w:t>
      </w:r>
      <w:r w:rsidRPr="00D6167B">
        <w:rPr>
          <w:lang w:val="hr-HR"/>
        </w:rPr>
        <w:t>bevacizumab</w:t>
      </w:r>
      <w:r w:rsidRPr="00D37692">
        <w:rPr>
          <w:lang w:val="hr-HR"/>
        </w:rPr>
        <w:t>.</w:t>
      </w:r>
    </w:p>
    <w:p w14:paraId="72DF8C5B" w14:textId="77777777" w:rsidR="002E30F6" w:rsidRPr="00D6167B" w:rsidRDefault="002E30F6" w:rsidP="007608DF">
      <w:pPr>
        <w:pStyle w:val="BodyText"/>
        <w:widowControl/>
        <w:ind w:left="0"/>
        <w:jc w:val="both"/>
        <w:rPr>
          <w:lang w:val="hr-HR"/>
        </w:rPr>
      </w:pPr>
    </w:p>
    <w:p w14:paraId="05186ABC" w14:textId="77777777" w:rsidR="002E30F6" w:rsidRPr="000F6A78" w:rsidRDefault="002E30F6" w:rsidP="00D37692">
      <w:pPr>
        <w:pStyle w:val="Heading1"/>
        <w:keepNext/>
        <w:widowControl/>
        <w:tabs>
          <w:tab w:val="left" w:pos="1198"/>
        </w:tabs>
        <w:ind w:left="1198" w:right="377" w:hanging="1080"/>
        <w:rPr>
          <w:b w:val="0"/>
          <w:bCs w:val="0"/>
          <w:lang w:val="hr-HR"/>
        </w:rPr>
      </w:pPr>
      <w:r w:rsidRPr="00D6167B">
        <w:rPr>
          <w:lang w:val="hr-HR"/>
        </w:rPr>
        <w:lastRenderedPageBreak/>
        <w:t>Tabela 11</w:t>
      </w:r>
      <w:r w:rsidRPr="00D6167B">
        <w:rPr>
          <w:lang w:val="hr-HR"/>
        </w:rPr>
        <w:tab/>
      </w:r>
      <w:r w:rsidRPr="000F6A78">
        <w:rPr>
          <w:lang w:val="hr-HR"/>
        </w:rPr>
        <w:t>Rezultati efikasnosti za studiju AVF3694g: – Kapecitabin</w:t>
      </w:r>
      <w:r w:rsidRPr="00D37692">
        <w:rPr>
          <w:vertAlign w:val="superscript"/>
          <w:lang w:val="hr-HR"/>
        </w:rPr>
        <w:t>a</w:t>
      </w:r>
      <w:r w:rsidRPr="00D37692">
        <w:rPr>
          <w:lang w:val="hr-HR"/>
        </w:rPr>
        <w:t xml:space="preserve"> </w:t>
      </w:r>
      <w:r w:rsidRPr="000F6A78">
        <w:rPr>
          <w:lang w:val="hr-HR"/>
        </w:rPr>
        <w:t>i bevacizumab/placebo (kap + bevacizumab/pl)</w:t>
      </w:r>
    </w:p>
    <w:p w14:paraId="14C36286" w14:textId="77777777" w:rsidR="002E30F6" w:rsidRPr="00D6167B" w:rsidRDefault="002E30F6" w:rsidP="007608DF">
      <w:pPr>
        <w:keepNext/>
        <w:widowControl/>
        <w:jc w:val="both"/>
        <w:rPr>
          <w:rFonts w:ascii="Times New Roman" w:eastAsia="Times New Roman" w:hAnsi="Times New Roman"/>
          <w:b/>
          <w:bCs/>
          <w:lang w:val="hr-HR"/>
        </w:rPr>
      </w:pPr>
    </w:p>
    <w:tbl>
      <w:tblPr>
        <w:tblW w:w="5000" w:type="pct"/>
        <w:tblLayout w:type="fixed"/>
        <w:tblCellMar>
          <w:left w:w="115" w:type="dxa"/>
          <w:right w:w="115" w:type="dxa"/>
        </w:tblCellMar>
        <w:tblLook w:val="01E0" w:firstRow="1" w:lastRow="1" w:firstColumn="1" w:lastColumn="1" w:noHBand="0" w:noVBand="0"/>
      </w:tblPr>
      <w:tblGrid>
        <w:gridCol w:w="2235"/>
        <w:gridCol w:w="1520"/>
        <w:gridCol w:w="1773"/>
        <w:gridCol w:w="1636"/>
        <w:gridCol w:w="1909"/>
      </w:tblGrid>
      <w:tr w:rsidR="002E30F6" w:rsidRPr="00D6167B" w14:paraId="01E5A23F" w14:textId="77777777" w:rsidTr="002C0B97">
        <w:trPr>
          <w:cantSplit/>
          <w:tblHeader/>
        </w:trPr>
        <w:tc>
          <w:tcPr>
            <w:tcW w:w="8985" w:type="dxa"/>
            <w:gridSpan w:val="5"/>
            <w:tcBorders>
              <w:top w:val="single" w:sz="8" w:space="0" w:color="000000"/>
              <w:left w:val="single" w:sz="4" w:space="0" w:color="auto"/>
              <w:bottom w:val="single" w:sz="8" w:space="0" w:color="000000"/>
              <w:right w:val="single" w:sz="8" w:space="0" w:color="000000"/>
            </w:tcBorders>
          </w:tcPr>
          <w:p w14:paraId="26A7794F" w14:textId="77777777" w:rsidR="002E30F6" w:rsidRPr="00D6167B" w:rsidRDefault="002E30F6" w:rsidP="007608DF">
            <w:pPr>
              <w:pStyle w:val="TableParagraph"/>
              <w:keepNext/>
              <w:widowControl/>
              <w:jc w:val="both"/>
              <w:rPr>
                <w:rFonts w:ascii="Times New Roman" w:eastAsia="Times New Roman" w:hAnsi="Times New Roman"/>
                <w:sz w:val="14"/>
                <w:szCs w:val="14"/>
                <w:lang w:val="hr-HR"/>
              </w:rPr>
            </w:pPr>
            <w:r w:rsidRPr="00D6167B">
              <w:rPr>
                <w:rFonts w:ascii="Times New Roman"/>
                <w:lang w:val="hr-HR"/>
              </w:rPr>
              <w:t>Pre</w:t>
            </w:r>
            <w:r w:rsidRPr="00D6167B">
              <w:rPr>
                <w:rFonts w:ascii="Times New Roman"/>
                <w:lang w:val="hr-HR"/>
              </w:rPr>
              <w:t>ž</w:t>
            </w:r>
            <w:r w:rsidRPr="00D6167B">
              <w:rPr>
                <w:rFonts w:ascii="Times New Roman"/>
                <w:lang w:val="hr-HR"/>
              </w:rPr>
              <w:t>ivljavanje bez progresije</w:t>
            </w:r>
            <w:r w:rsidRPr="00D6167B">
              <w:rPr>
                <w:rFonts w:ascii="Times New Roman" w:hAnsi="Times New Roman"/>
                <w:sz w:val="14"/>
                <w:vertAlign w:val="superscript"/>
                <w:lang w:val="hr-HR"/>
              </w:rPr>
              <w:t>b</w:t>
            </w:r>
          </w:p>
        </w:tc>
      </w:tr>
      <w:tr w:rsidR="002E30F6" w:rsidRPr="00D6167B" w14:paraId="58786E6C" w14:textId="77777777" w:rsidTr="002C0B97">
        <w:trPr>
          <w:cantSplit/>
          <w:tblHeader/>
        </w:trPr>
        <w:tc>
          <w:tcPr>
            <w:tcW w:w="2214" w:type="dxa"/>
            <w:tcBorders>
              <w:top w:val="single" w:sz="8" w:space="0" w:color="000000"/>
              <w:left w:val="single" w:sz="4" w:space="0" w:color="auto"/>
              <w:bottom w:val="single" w:sz="8" w:space="0" w:color="000000"/>
              <w:right w:val="single" w:sz="8" w:space="0" w:color="000000"/>
            </w:tcBorders>
          </w:tcPr>
          <w:p w14:paraId="618DF67E" w14:textId="77777777" w:rsidR="002E30F6" w:rsidRPr="00D6167B" w:rsidRDefault="002E30F6" w:rsidP="007608DF">
            <w:pPr>
              <w:keepNext/>
              <w:widowControl/>
              <w:jc w:val="both"/>
              <w:rPr>
                <w:lang w:val="hr-HR"/>
              </w:rPr>
            </w:pPr>
          </w:p>
        </w:tc>
        <w:tc>
          <w:tcPr>
            <w:tcW w:w="3261" w:type="dxa"/>
            <w:gridSpan w:val="2"/>
            <w:tcBorders>
              <w:top w:val="single" w:sz="8" w:space="0" w:color="000000"/>
              <w:left w:val="single" w:sz="8" w:space="0" w:color="000000"/>
              <w:bottom w:val="single" w:sz="8" w:space="0" w:color="000000"/>
              <w:right w:val="single" w:sz="8" w:space="0" w:color="000000"/>
            </w:tcBorders>
          </w:tcPr>
          <w:p w14:paraId="1E36350A" w14:textId="77777777" w:rsidR="002E30F6" w:rsidRPr="00D6167B" w:rsidRDefault="002E30F6" w:rsidP="007608DF">
            <w:pPr>
              <w:pStyle w:val="TableParagraph"/>
              <w:keepNext/>
              <w:widowControl/>
              <w:jc w:val="both"/>
              <w:rPr>
                <w:rFonts w:ascii="Times New Roman" w:eastAsia="Times New Roman" w:hAnsi="Times New Roman"/>
                <w:lang w:val="hr-HR"/>
              </w:rPr>
            </w:pPr>
            <w:r w:rsidRPr="00D6167B">
              <w:rPr>
                <w:rFonts w:ascii="Times New Roman"/>
                <w:lang w:val="hr-HR"/>
              </w:rPr>
              <w:t>Procjena istra</w:t>
            </w:r>
            <w:r w:rsidRPr="00D6167B">
              <w:rPr>
                <w:rFonts w:ascii="Times New Roman"/>
                <w:lang w:val="hr-HR"/>
              </w:rPr>
              <w:t>ž</w:t>
            </w:r>
            <w:r w:rsidRPr="00D6167B">
              <w:rPr>
                <w:rFonts w:ascii="Times New Roman"/>
                <w:lang w:val="hr-HR"/>
              </w:rPr>
              <w:t>iva</w:t>
            </w:r>
            <w:r w:rsidRPr="00D6167B">
              <w:rPr>
                <w:rFonts w:ascii="Times New Roman"/>
                <w:lang w:val="hr-HR"/>
              </w:rPr>
              <w:t>č</w:t>
            </w:r>
            <w:r w:rsidRPr="00D6167B">
              <w:rPr>
                <w:rFonts w:ascii="Times New Roman"/>
                <w:lang w:val="hr-HR"/>
              </w:rPr>
              <w:t>a</w:t>
            </w:r>
          </w:p>
        </w:tc>
        <w:tc>
          <w:tcPr>
            <w:tcW w:w="3510" w:type="dxa"/>
            <w:gridSpan w:val="2"/>
            <w:tcBorders>
              <w:top w:val="single" w:sz="8" w:space="0" w:color="000000"/>
              <w:left w:val="single" w:sz="8" w:space="0" w:color="000000"/>
              <w:bottom w:val="single" w:sz="8" w:space="0" w:color="000000"/>
              <w:right w:val="single" w:sz="8" w:space="0" w:color="000000"/>
            </w:tcBorders>
          </w:tcPr>
          <w:p w14:paraId="209D9561" w14:textId="77777777" w:rsidR="002E30F6" w:rsidRPr="00D6167B" w:rsidRDefault="002E30F6" w:rsidP="007608DF">
            <w:pPr>
              <w:pStyle w:val="TableParagraph"/>
              <w:keepNext/>
              <w:widowControl/>
              <w:jc w:val="both"/>
              <w:rPr>
                <w:rFonts w:ascii="Times New Roman" w:eastAsia="Times New Roman" w:hAnsi="Times New Roman"/>
                <w:lang w:val="hr-HR"/>
              </w:rPr>
            </w:pPr>
            <w:r w:rsidRPr="00D6167B">
              <w:rPr>
                <w:rFonts w:ascii="Times New Roman"/>
                <w:lang w:val="hr-HR"/>
              </w:rPr>
              <w:t>Procjena IRC</w:t>
            </w:r>
          </w:p>
        </w:tc>
      </w:tr>
      <w:tr w:rsidR="002E30F6" w:rsidRPr="00D6167B" w14:paraId="4DE2F845" w14:textId="77777777" w:rsidTr="002C0B97">
        <w:trPr>
          <w:cantSplit/>
          <w:tblHeader/>
        </w:trPr>
        <w:tc>
          <w:tcPr>
            <w:tcW w:w="2214" w:type="dxa"/>
            <w:tcBorders>
              <w:top w:val="single" w:sz="8" w:space="0" w:color="000000"/>
              <w:left w:val="single" w:sz="4" w:space="0" w:color="auto"/>
              <w:bottom w:val="single" w:sz="8" w:space="0" w:color="000000"/>
              <w:right w:val="single" w:sz="8" w:space="0" w:color="000000"/>
            </w:tcBorders>
          </w:tcPr>
          <w:p w14:paraId="1F310A51" w14:textId="77777777" w:rsidR="002E30F6" w:rsidRPr="00D6167B" w:rsidRDefault="002E30F6" w:rsidP="007608DF">
            <w:pPr>
              <w:keepNext/>
              <w:widowControl/>
              <w:jc w:val="both"/>
              <w:rPr>
                <w:lang w:val="hr-HR"/>
              </w:rPr>
            </w:pPr>
          </w:p>
        </w:tc>
        <w:tc>
          <w:tcPr>
            <w:tcW w:w="1505" w:type="dxa"/>
            <w:tcBorders>
              <w:top w:val="single" w:sz="8" w:space="0" w:color="000000"/>
              <w:left w:val="single" w:sz="8" w:space="0" w:color="000000"/>
              <w:bottom w:val="single" w:sz="8" w:space="0" w:color="000000"/>
              <w:right w:val="single" w:sz="8" w:space="0" w:color="000000"/>
            </w:tcBorders>
          </w:tcPr>
          <w:p w14:paraId="37657A2D" w14:textId="77777777" w:rsidR="002E30F6" w:rsidRPr="00D6167B" w:rsidRDefault="002E30F6" w:rsidP="00D37692">
            <w:pPr>
              <w:pStyle w:val="TableParagraph"/>
              <w:keepNext/>
              <w:widowControl/>
              <w:ind w:hanging="34"/>
              <w:jc w:val="center"/>
              <w:rPr>
                <w:rFonts w:ascii="Times New Roman" w:eastAsia="Times New Roman" w:hAnsi="Times New Roman"/>
                <w:lang w:val="hr-HR"/>
              </w:rPr>
            </w:pPr>
            <w:r w:rsidRPr="00D6167B">
              <w:rPr>
                <w:rFonts w:ascii="Times New Roman"/>
                <w:lang w:val="hr-HR"/>
              </w:rPr>
              <w:t>Kap + pl (n=206)</w:t>
            </w:r>
          </w:p>
        </w:tc>
        <w:tc>
          <w:tcPr>
            <w:tcW w:w="1756" w:type="dxa"/>
            <w:tcBorders>
              <w:top w:val="single" w:sz="8" w:space="0" w:color="000000"/>
              <w:left w:val="single" w:sz="8" w:space="0" w:color="000000"/>
              <w:bottom w:val="single" w:sz="8" w:space="0" w:color="000000"/>
              <w:right w:val="single" w:sz="8" w:space="0" w:color="000000"/>
            </w:tcBorders>
          </w:tcPr>
          <w:p w14:paraId="4B0CE564" w14:textId="77777777" w:rsidR="002E30F6" w:rsidRPr="00D6167B" w:rsidRDefault="002E30F6" w:rsidP="00D37692">
            <w:pPr>
              <w:pStyle w:val="TableParagraph"/>
              <w:keepNext/>
              <w:widowControl/>
              <w:jc w:val="center"/>
              <w:rPr>
                <w:rFonts w:ascii="Times New Roman"/>
                <w:lang w:val="hr-HR"/>
              </w:rPr>
            </w:pPr>
            <w:r w:rsidRPr="00D6167B">
              <w:rPr>
                <w:rFonts w:ascii="Times New Roman"/>
                <w:lang w:val="hr-HR"/>
              </w:rPr>
              <w:t>Kap + bevacizumab</w:t>
            </w:r>
          </w:p>
          <w:p w14:paraId="48C90D63" w14:textId="77777777" w:rsidR="002E30F6" w:rsidRPr="00D6167B" w:rsidRDefault="002E30F6" w:rsidP="00D37692">
            <w:pPr>
              <w:pStyle w:val="TableParagraph"/>
              <w:keepNext/>
              <w:widowControl/>
              <w:jc w:val="center"/>
              <w:rPr>
                <w:rFonts w:ascii="Times New Roman" w:eastAsia="Times New Roman" w:hAnsi="Times New Roman"/>
                <w:lang w:val="hr-HR"/>
              </w:rPr>
            </w:pPr>
            <w:r w:rsidRPr="00D6167B">
              <w:rPr>
                <w:rFonts w:ascii="Times New Roman"/>
                <w:lang w:val="hr-HR"/>
              </w:rPr>
              <w:t>(n=409)</w:t>
            </w:r>
          </w:p>
        </w:tc>
        <w:tc>
          <w:tcPr>
            <w:tcW w:w="1620" w:type="dxa"/>
            <w:tcBorders>
              <w:top w:val="single" w:sz="8" w:space="0" w:color="000000"/>
              <w:left w:val="single" w:sz="8" w:space="0" w:color="000000"/>
              <w:bottom w:val="single" w:sz="8" w:space="0" w:color="000000"/>
              <w:right w:val="single" w:sz="8" w:space="0" w:color="000000"/>
            </w:tcBorders>
          </w:tcPr>
          <w:p w14:paraId="6413638F" w14:textId="77777777" w:rsidR="002E30F6" w:rsidRPr="00D6167B" w:rsidRDefault="002E30F6" w:rsidP="00D37692">
            <w:pPr>
              <w:pStyle w:val="TableParagraph"/>
              <w:keepNext/>
              <w:widowControl/>
              <w:ind w:hanging="34"/>
              <w:jc w:val="center"/>
              <w:rPr>
                <w:rFonts w:ascii="Times New Roman" w:eastAsia="Times New Roman" w:hAnsi="Times New Roman"/>
                <w:lang w:val="hr-HR"/>
              </w:rPr>
            </w:pPr>
            <w:r w:rsidRPr="00D6167B">
              <w:rPr>
                <w:rFonts w:ascii="Times New Roman"/>
                <w:lang w:val="hr-HR"/>
              </w:rPr>
              <w:t>Kap + pl (n=206)</w:t>
            </w:r>
          </w:p>
        </w:tc>
        <w:tc>
          <w:tcPr>
            <w:tcW w:w="1890" w:type="dxa"/>
            <w:tcBorders>
              <w:top w:val="single" w:sz="8" w:space="0" w:color="000000"/>
              <w:left w:val="single" w:sz="8" w:space="0" w:color="000000"/>
              <w:bottom w:val="single" w:sz="8" w:space="0" w:color="000000"/>
              <w:right w:val="single" w:sz="8" w:space="0" w:color="000000"/>
            </w:tcBorders>
          </w:tcPr>
          <w:p w14:paraId="56DF418F" w14:textId="77777777" w:rsidR="002E30F6" w:rsidRPr="00D6167B" w:rsidRDefault="002E30F6" w:rsidP="00D37692">
            <w:pPr>
              <w:pStyle w:val="TableParagraph"/>
              <w:keepNext/>
              <w:widowControl/>
              <w:jc w:val="center"/>
              <w:rPr>
                <w:rFonts w:ascii="Times New Roman" w:eastAsia="Times New Roman" w:hAnsi="Times New Roman"/>
                <w:lang w:val="hr-HR"/>
              </w:rPr>
            </w:pPr>
            <w:r w:rsidRPr="00D6167B">
              <w:rPr>
                <w:rFonts w:ascii="Times New Roman"/>
                <w:lang w:val="hr-HR"/>
              </w:rPr>
              <w:t>Kap + bevacizumab (n=409)</w:t>
            </w:r>
          </w:p>
        </w:tc>
      </w:tr>
      <w:tr w:rsidR="002E30F6" w:rsidRPr="00D6167B" w14:paraId="76E4BF22"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175B496F"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Srednja vrijednost PFS (mjeseci)</w:t>
            </w:r>
          </w:p>
        </w:tc>
        <w:tc>
          <w:tcPr>
            <w:tcW w:w="1505" w:type="dxa"/>
            <w:tcBorders>
              <w:top w:val="single" w:sz="8" w:space="0" w:color="000000"/>
              <w:left w:val="single" w:sz="8" w:space="0" w:color="000000"/>
              <w:bottom w:val="single" w:sz="8" w:space="0" w:color="000000"/>
              <w:right w:val="single" w:sz="8" w:space="0" w:color="000000"/>
            </w:tcBorders>
          </w:tcPr>
          <w:p w14:paraId="241CDD0D"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5,7</w:t>
            </w:r>
          </w:p>
        </w:tc>
        <w:tc>
          <w:tcPr>
            <w:tcW w:w="1756" w:type="dxa"/>
            <w:tcBorders>
              <w:top w:val="single" w:sz="8" w:space="0" w:color="000000"/>
              <w:left w:val="single" w:sz="8" w:space="0" w:color="000000"/>
              <w:bottom w:val="single" w:sz="8" w:space="0" w:color="000000"/>
              <w:right w:val="single" w:sz="8" w:space="0" w:color="000000"/>
            </w:tcBorders>
          </w:tcPr>
          <w:p w14:paraId="0258F845"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8,6</w:t>
            </w:r>
          </w:p>
        </w:tc>
        <w:tc>
          <w:tcPr>
            <w:tcW w:w="1620" w:type="dxa"/>
            <w:tcBorders>
              <w:top w:val="single" w:sz="8" w:space="0" w:color="000000"/>
              <w:left w:val="single" w:sz="8" w:space="0" w:color="000000"/>
              <w:bottom w:val="single" w:sz="8" w:space="0" w:color="000000"/>
              <w:right w:val="single" w:sz="8" w:space="0" w:color="000000"/>
            </w:tcBorders>
          </w:tcPr>
          <w:p w14:paraId="2A39198D"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6,2</w:t>
            </w:r>
          </w:p>
        </w:tc>
        <w:tc>
          <w:tcPr>
            <w:tcW w:w="1890" w:type="dxa"/>
            <w:tcBorders>
              <w:top w:val="single" w:sz="8" w:space="0" w:color="000000"/>
              <w:left w:val="single" w:sz="8" w:space="0" w:color="000000"/>
              <w:bottom w:val="single" w:sz="8" w:space="0" w:color="000000"/>
              <w:right w:val="single" w:sz="8" w:space="0" w:color="000000"/>
            </w:tcBorders>
          </w:tcPr>
          <w:p w14:paraId="6B960FB0"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9,8</w:t>
            </w:r>
          </w:p>
        </w:tc>
      </w:tr>
      <w:tr w:rsidR="002E30F6" w:rsidRPr="00D6167B" w14:paraId="1D1DF576"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40856048"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 xml:space="preserve">Odnos rizika u odnosu na </w:t>
            </w:r>
            <w:r w:rsidR="007907BF" w:rsidRPr="00D6167B">
              <w:rPr>
                <w:rFonts w:ascii="Times New Roman"/>
                <w:lang w:val="hr-HR"/>
              </w:rPr>
              <w:t xml:space="preserve">grupu </w:t>
            </w:r>
            <w:r w:rsidRPr="00D6167B">
              <w:rPr>
                <w:rFonts w:ascii="Times New Roman"/>
                <w:lang w:val="hr-HR"/>
              </w:rPr>
              <w:t>sa placebom (95% CI)</w:t>
            </w:r>
          </w:p>
        </w:tc>
        <w:tc>
          <w:tcPr>
            <w:tcW w:w="3261" w:type="dxa"/>
            <w:gridSpan w:val="2"/>
            <w:tcBorders>
              <w:top w:val="single" w:sz="8" w:space="0" w:color="000000"/>
              <w:left w:val="single" w:sz="8" w:space="0" w:color="000000"/>
              <w:bottom w:val="single" w:sz="8" w:space="0" w:color="000000"/>
              <w:right w:val="single" w:sz="8" w:space="0" w:color="000000"/>
            </w:tcBorders>
          </w:tcPr>
          <w:p w14:paraId="57CB7768"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0,69 (0,56; 0,84)</w:t>
            </w:r>
          </w:p>
        </w:tc>
        <w:tc>
          <w:tcPr>
            <w:tcW w:w="3510" w:type="dxa"/>
            <w:gridSpan w:val="2"/>
            <w:tcBorders>
              <w:top w:val="single" w:sz="8" w:space="0" w:color="000000"/>
              <w:left w:val="single" w:sz="8" w:space="0" w:color="000000"/>
              <w:bottom w:val="single" w:sz="8" w:space="0" w:color="000000"/>
              <w:right w:val="single" w:sz="8" w:space="0" w:color="000000"/>
            </w:tcBorders>
          </w:tcPr>
          <w:p w14:paraId="33B0B509"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0,68 (0,54; 0,86)</w:t>
            </w:r>
          </w:p>
        </w:tc>
      </w:tr>
      <w:tr w:rsidR="002E30F6" w:rsidRPr="00D6167B" w14:paraId="1BCF0234"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215E6585"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Vrijednost p</w:t>
            </w:r>
          </w:p>
        </w:tc>
        <w:tc>
          <w:tcPr>
            <w:tcW w:w="3261" w:type="dxa"/>
            <w:gridSpan w:val="2"/>
            <w:tcBorders>
              <w:top w:val="single" w:sz="8" w:space="0" w:color="000000"/>
              <w:left w:val="single" w:sz="8" w:space="0" w:color="000000"/>
              <w:bottom w:val="single" w:sz="8" w:space="0" w:color="000000"/>
              <w:right w:val="single" w:sz="8" w:space="0" w:color="000000"/>
            </w:tcBorders>
          </w:tcPr>
          <w:p w14:paraId="3D6954E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0CEA83CD"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0,0011</w:t>
            </w:r>
          </w:p>
        </w:tc>
      </w:tr>
      <w:tr w:rsidR="002E30F6" w:rsidRPr="00D6167B" w14:paraId="241821C3" w14:textId="77777777" w:rsidTr="00FB19BF">
        <w:trPr>
          <w:cantSplit/>
        </w:trPr>
        <w:tc>
          <w:tcPr>
            <w:tcW w:w="8985" w:type="dxa"/>
            <w:gridSpan w:val="5"/>
            <w:tcBorders>
              <w:top w:val="single" w:sz="8" w:space="0" w:color="000000"/>
              <w:left w:val="single" w:sz="4" w:space="0" w:color="auto"/>
              <w:bottom w:val="single" w:sz="8" w:space="0" w:color="000000"/>
              <w:right w:val="single" w:sz="8" w:space="0" w:color="000000"/>
            </w:tcBorders>
          </w:tcPr>
          <w:p w14:paraId="6F94373D" w14:textId="77777777" w:rsidR="002E30F6" w:rsidRPr="00D6167B" w:rsidRDefault="002E30F6" w:rsidP="00D37692">
            <w:pPr>
              <w:pStyle w:val="TableParagraph"/>
              <w:widowControl/>
              <w:rPr>
                <w:rFonts w:ascii="Times New Roman" w:eastAsia="Times New Roman" w:hAnsi="Times New Roman"/>
                <w:sz w:val="14"/>
                <w:szCs w:val="14"/>
                <w:lang w:val="hr-HR"/>
              </w:rPr>
            </w:pPr>
            <w:r w:rsidRPr="00D6167B">
              <w:rPr>
                <w:rFonts w:ascii="Times New Roman"/>
                <w:lang w:val="hr-HR"/>
              </w:rPr>
              <w:t>Stope odgovora (za pacijente sa mjerljivom bolesti)</w:t>
            </w:r>
            <w:r w:rsidRPr="00D6167B">
              <w:rPr>
                <w:rFonts w:ascii="Times New Roman" w:hAnsi="Times New Roman"/>
                <w:sz w:val="14"/>
                <w:vertAlign w:val="superscript"/>
                <w:lang w:val="hr-HR"/>
              </w:rPr>
              <w:t>b</w:t>
            </w:r>
          </w:p>
        </w:tc>
      </w:tr>
      <w:tr w:rsidR="002E30F6" w:rsidRPr="00D6167B" w14:paraId="762B90B5"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4CD40065" w14:textId="77777777" w:rsidR="002E30F6" w:rsidRPr="00D6167B" w:rsidRDefault="002E30F6" w:rsidP="00D37692">
            <w:pPr>
              <w:widowControl/>
              <w:rPr>
                <w:lang w:val="hr-HR"/>
              </w:rPr>
            </w:pPr>
          </w:p>
        </w:tc>
        <w:tc>
          <w:tcPr>
            <w:tcW w:w="3261" w:type="dxa"/>
            <w:gridSpan w:val="2"/>
            <w:tcBorders>
              <w:top w:val="single" w:sz="8" w:space="0" w:color="000000"/>
              <w:left w:val="single" w:sz="8" w:space="0" w:color="000000"/>
              <w:bottom w:val="single" w:sz="8" w:space="0" w:color="000000"/>
              <w:right w:val="single" w:sz="8" w:space="0" w:color="000000"/>
            </w:tcBorders>
          </w:tcPr>
          <w:p w14:paraId="7C1FF243"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Kap + pl (n=161)</w:t>
            </w:r>
          </w:p>
        </w:tc>
        <w:tc>
          <w:tcPr>
            <w:tcW w:w="3510" w:type="dxa"/>
            <w:gridSpan w:val="2"/>
            <w:tcBorders>
              <w:top w:val="single" w:sz="8" w:space="0" w:color="000000"/>
              <w:left w:val="single" w:sz="8" w:space="0" w:color="000000"/>
              <w:bottom w:val="single" w:sz="8" w:space="0" w:color="000000"/>
              <w:right w:val="single" w:sz="8" w:space="0" w:color="000000"/>
            </w:tcBorders>
          </w:tcPr>
          <w:p w14:paraId="709DF0CB"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Kap + bevacizumab (n=325)</w:t>
            </w:r>
          </w:p>
        </w:tc>
      </w:tr>
      <w:tr w:rsidR="002E30F6" w:rsidRPr="00D6167B" w14:paraId="74E1FC36"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005B5E6D"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 pacijenata sa objektivnim odgovorom</w:t>
            </w:r>
          </w:p>
        </w:tc>
        <w:tc>
          <w:tcPr>
            <w:tcW w:w="3261" w:type="dxa"/>
            <w:gridSpan w:val="2"/>
            <w:tcBorders>
              <w:top w:val="single" w:sz="8" w:space="0" w:color="000000"/>
              <w:left w:val="single" w:sz="8" w:space="0" w:color="000000"/>
              <w:bottom w:val="single" w:sz="8" w:space="0" w:color="000000"/>
              <w:right w:val="single" w:sz="8" w:space="0" w:color="000000"/>
            </w:tcBorders>
          </w:tcPr>
          <w:p w14:paraId="4C423A03"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23B86AB2"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35,4</w:t>
            </w:r>
          </w:p>
        </w:tc>
      </w:tr>
      <w:tr w:rsidR="002E30F6" w:rsidRPr="00D6167B" w14:paraId="26B18C9C"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1C95A3BF"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Vrijednost p</w:t>
            </w:r>
          </w:p>
        </w:tc>
        <w:tc>
          <w:tcPr>
            <w:tcW w:w="6771" w:type="dxa"/>
            <w:gridSpan w:val="4"/>
            <w:tcBorders>
              <w:top w:val="single" w:sz="8" w:space="0" w:color="000000"/>
              <w:left w:val="single" w:sz="8" w:space="0" w:color="000000"/>
              <w:bottom w:val="single" w:sz="8" w:space="0" w:color="000000"/>
              <w:right w:val="single" w:sz="8" w:space="0" w:color="000000"/>
            </w:tcBorders>
          </w:tcPr>
          <w:p w14:paraId="33B7A13E"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0,0097</w:t>
            </w:r>
          </w:p>
        </w:tc>
      </w:tr>
      <w:tr w:rsidR="002E30F6" w:rsidRPr="00D6167B" w14:paraId="3EA0542E" w14:textId="77777777" w:rsidTr="00FB19BF">
        <w:trPr>
          <w:cantSplit/>
        </w:trPr>
        <w:tc>
          <w:tcPr>
            <w:tcW w:w="8985" w:type="dxa"/>
            <w:gridSpan w:val="5"/>
            <w:tcBorders>
              <w:top w:val="single" w:sz="8" w:space="0" w:color="000000"/>
              <w:left w:val="single" w:sz="4" w:space="0" w:color="auto"/>
              <w:bottom w:val="single" w:sz="8" w:space="0" w:color="000000"/>
              <w:right w:val="single" w:sz="8" w:space="0" w:color="000000"/>
            </w:tcBorders>
          </w:tcPr>
          <w:p w14:paraId="046C0249" w14:textId="77777777" w:rsidR="002E30F6" w:rsidRPr="00D6167B" w:rsidRDefault="002E30F6" w:rsidP="00D37692">
            <w:pPr>
              <w:pStyle w:val="TableParagraph"/>
              <w:widowControl/>
              <w:rPr>
                <w:rFonts w:ascii="Times New Roman" w:eastAsia="Times New Roman" w:hAnsi="Times New Roman"/>
                <w:sz w:val="14"/>
                <w:szCs w:val="14"/>
                <w:lang w:val="hr-HR"/>
              </w:rPr>
            </w:pPr>
            <w:r w:rsidRPr="00D6167B">
              <w:rPr>
                <w:rFonts w:ascii="Times New Roman"/>
                <w:lang w:val="hr-HR"/>
              </w:rPr>
              <w:t>Ukupno pre</w:t>
            </w:r>
            <w:r w:rsidRPr="00D6167B">
              <w:rPr>
                <w:rFonts w:ascii="Times New Roman"/>
                <w:lang w:val="hr-HR"/>
              </w:rPr>
              <w:t>ž</w:t>
            </w:r>
            <w:r w:rsidRPr="00D6167B">
              <w:rPr>
                <w:rFonts w:ascii="Times New Roman"/>
                <w:lang w:val="hr-HR"/>
              </w:rPr>
              <w:t>ivljavanje</w:t>
            </w:r>
            <w:r w:rsidRPr="00D6167B">
              <w:rPr>
                <w:rFonts w:ascii="Times New Roman" w:hAnsi="Times New Roman"/>
                <w:sz w:val="14"/>
                <w:vertAlign w:val="superscript"/>
                <w:lang w:val="hr-HR"/>
              </w:rPr>
              <w:t>b</w:t>
            </w:r>
          </w:p>
        </w:tc>
      </w:tr>
      <w:tr w:rsidR="002E30F6" w:rsidRPr="00D6167B" w14:paraId="15DE3F05" w14:textId="77777777" w:rsidTr="00FB19BF">
        <w:trPr>
          <w:cantSplit/>
        </w:trPr>
        <w:tc>
          <w:tcPr>
            <w:tcW w:w="2214" w:type="dxa"/>
            <w:tcBorders>
              <w:top w:val="single" w:sz="8" w:space="0" w:color="000000"/>
              <w:left w:val="single" w:sz="11" w:space="0" w:color="000000"/>
              <w:bottom w:val="single" w:sz="8" w:space="0" w:color="000000"/>
              <w:right w:val="single" w:sz="8" w:space="0" w:color="000000"/>
            </w:tcBorders>
          </w:tcPr>
          <w:p w14:paraId="27CA4241" w14:textId="77777777" w:rsidR="002E30F6" w:rsidRPr="00D6167B" w:rsidRDefault="002E30F6" w:rsidP="00D37692">
            <w:pPr>
              <w:pStyle w:val="TableParagraph"/>
              <w:widowControl/>
              <w:spacing w:line="298" w:lineRule="auto"/>
              <w:rPr>
                <w:rFonts w:ascii="Times New Roman" w:eastAsia="Times New Roman" w:hAnsi="Times New Roman"/>
                <w:lang w:val="hr-HR"/>
              </w:rPr>
            </w:pPr>
            <w:r w:rsidRPr="00D6167B">
              <w:rPr>
                <w:rFonts w:ascii="Times New Roman"/>
                <w:lang w:val="hr-HR"/>
              </w:rPr>
              <w:t>Odnos rizika (95% CI)</w:t>
            </w:r>
          </w:p>
        </w:tc>
        <w:tc>
          <w:tcPr>
            <w:tcW w:w="6771" w:type="dxa"/>
            <w:gridSpan w:val="4"/>
            <w:tcBorders>
              <w:top w:val="single" w:sz="8" w:space="0" w:color="000000"/>
              <w:left w:val="single" w:sz="8" w:space="0" w:color="000000"/>
              <w:bottom w:val="single" w:sz="8" w:space="0" w:color="000000"/>
              <w:right w:val="single" w:sz="8" w:space="0" w:color="000000"/>
            </w:tcBorders>
          </w:tcPr>
          <w:p w14:paraId="155C6D6A"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0,88 (0,69; 1,13)</w:t>
            </w:r>
          </w:p>
        </w:tc>
      </w:tr>
      <w:tr w:rsidR="002E30F6" w:rsidRPr="00D6167B" w14:paraId="23B811EB" w14:textId="77777777" w:rsidTr="00FB19BF">
        <w:trPr>
          <w:cantSplit/>
        </w:trPr>
        <w:tc>
          <w:tcPr>
            <w:tcW w:w="2214" w:type="dxa"/>
            <w:tcBorders>
              <w:top w:val="single" w:sz="8" w:space="0" w:color="000000"/>
              <w:left w:val="single" w:sz="11" w:space="0" w:color="000000"/>
              <w:bottom w:val="single" w:sz="8" w:space="0" w:color="000000"/>
              <w:right w:val="single" w:sz="8" w:space="0" w:color="000000"/>
            </w:tcBorders>
          </w:tcPr>
          <w:p w14:paraId="0A246F8C"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Vrijednost p (eksploratorno)</w:t>
            </w:r>
          </w:p>
        </w:tc>
        <w:tc>
          <w:tcPr>
            <w:tcW w:w="6771" w:type="dxa"/>
            <w:gridSpan w:val="4"/>
            <w:tcBorders>
              <w:top w:val="single" w:sz="8" w:space="0" w:color="000000"/>
              <w:left w:val="single" w:sz="8" w:space="0" w:color="000000"/>
              <w:bottom w:val="single" w:sz="8" w:space="0" w:color="000000"/>
              <w:right w:val="single" w:sz="8" w:space="0" w:color="000000"/>
            </w:tcBorders>
          </w:tcPr>
          <w:p w14:paraId="32D80156"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0,33</w:t>
            </w:r>
          </w:p>
        </w:tc>
      </w:tr>
    </w:tbl>
    <w:p w14:paraId="67941765" w14:textId="77777777" w:rsidR="002E30F6" w:rsidRPr="00D6167B" w:rsidRDefault="00D970C2" w:rsidP="007608DF">
      <w:pPr>
        <w:widowControl/>
        <w:ind w:left="288" w:hanging="288"/>
        <w:jc w:val="both"/>
        <w:rPr>
          <w:rFonts w:ascii="Times New Roman" w:eastAsia="Times New Roman" w:hAnsi="Times New Roman"/>
          <w:sz w:val="20"/>
          <w:szCs w:val="20"/>
          <w:lang w:val="hr-HR"/>
        </w:rPr>
      </w:pPr>
      <w:r w:rsidRPr="00D6167B">
        <w:rPr>
          <w:rFonts w:ascii="Times New Roman"/>
          <w:sz w:val="13"/>
          <w:lang w:val="hr-HR"/>
        </w:rPr>
        <w:t>a</w:t>
      </w:r>
      <w:r w:rsidRPr="00D6167B">
        <w:rPr>
          <w:rFonts w:ascii="Times New Roman"/>
          <w:sz w:val="13"/>
          <w:lang w:val="hr-HR"/>
        </w:rPr>
        <w:tab/>
      </w:r>
      <w:r w:rsidRPr="00D6167B">
        <w:rPr>
          <w:rFonts w:ascii="Times New Roman"/>
          <w:sz w:val="20"/>
          <w:lang w:val="hr-HR"/>
        </w:rPr>
        <w:t>1000 mg/m</w:t>
      </w:r>
      <w:r w:rsidRPr="00D6167B">
        <w:rPr>
          <w:rFonts w:ascii="Times New Roman" w:hAnsi="Times New Roman"/>
          <w:vertAlign w:val="superscript"/>
          <w:lang w:val="hr-HR"/>
        </w:rPr>
        <w:t>2</w:t>
      </w:r>
      <w:r w:rsidRPr="00D6167B">
        <w:rPr>
          <w:rFonts w:ascii="Times New Roman"/>
          <w:sz w:val="13"/>
          <w:lang w:val="hr-HR"/>
        </w:rPr>
        <w:t xml:space="preserve"> </w:t>
      </w:r>
      <w:r w:rsidRPr="00D6167B">
        <w:rPr>
          <w:rFonts w:ascii="Times New Roman"/>
          <w:sz w:val="20"/>
          <w:lang w:val="hr-HR"/>
        </w:rPr>
        <w:t>oralno dva puta dnevno tokom 14 dana, primjenjuje se na svake 3 nedjelje.</w:t>
      </w:r>
    </w:p>
    <w:p w14:paraId="37527248" w14:textId="77777777" w:rsidR="002E30F6" w:rsidRPr="00D6167B" w:rsidRDefault="00D970C2" w:rsidP="007608DF">
      <w:pPr>
        <w:widowControl/>
        <w:ind w:left="288" w:hanging="288"/>
        <w:jc w:val="both"/>
        <w:rPr>
          <w:rFonts w:ascii="Times New Roman" w:eastAsia="Times New Roman" w:hAnsi="Times New Roman"/>
          <w:sz w:val="20"/>
          <w:szCs w:val="20"/>
          <w:lang w:val="hr-HR"/>
        </w:rPr>
      </w:pPr>
      <w:r w:rsidRPr="00D6167B">
        <w:rPr>
          <w:rFonts w:ascii="Times New Roman"/>
          <w:sz w:val="13"/>
          <w:lang w:val="hr-HR"/>
        </w:rPr>
        <w:t>b</w:t>
      </w:r>
      <w:r w:rsidRPr="00D6167B">
        <w:rPr>
          <w:rFonts w:ascii="Times New Roman"/>
          <w:sz w:val="13"/>
          <w:lang w:val="hr-HR"/>
        </w:rPr>
        <w:tab/>
      </w:r>
      <w:r w:rsidRPr="00D6167B">
        <w:rPr>
          <w:rFonts w:ascii="Times New Roman"/>
          <w:sz w:val="20"/>
          <w:lang w:val="hr-HR"/>
        </w:rPr>
        <w:t xml:space="preserve"> Stratifikovana analiza je uklju</w:t>
      </w:r>
      <w:r w:rsidRPr="00D6167B">
        <w:rPr>
          <w:rFonts w:ascii="Times New Roman"/>
          <w:sz w:val="20"/>
          <w:lang w:val="hr-HR"/>
        </w:rPr>
        <w:t>č</w:t>
      </w:r>
      <w:r w:rsidRPr="00D6167B">
        <w:rPr>
          <w:rFonts w:ascii="Times New Roman"/>
          <w:sz w:val="20"/>
          <w:lang w:val="hr-HR"/>
        </w:rPr>
        <w:t>ivala sve progresije i smrtne ishode, osim kod onih pacijenata kod kojih je zapo</w:t>
      </w:r>
      <w:r w:rsidRPr="00D6167B">
        <w:rPr>
          <w:rFonts w:ascii="Times New Roman"/>
          <w:sz w:val="20"/>
          <w:lang w:val="hr-HR"/>
        </w:rPr>
        <w:t>č</w:t>
      </w:r>
      <w:r w:rsidRPr="00D6167B">
        <w:rPr>
          <w:rFonts w:ascii="Times New Roman"/>
          <w:sz w:val="20"/>
          <w:lang w:val="hr-HR"/>
        </w:rPr>
        <w:t>eta terapija koja nije po protokolu prije dokumentovane progresije; podaci za ove pacijente su izostavljeni na posl</w:t>
      </w:r>
      <w:r w:rsidR="00334F49" w:rsidRPr="00D6167B">
        <w:rPr>
          <w:rFonts w:ascii="Times New Roman"/>
          <w:sz w:val="20"/>
          <w:lang w:val="hr-HR"/>
        </w:rPr>
        <w:t>j</w:t>
      </w:r>
      <w:r w:rsidRPr="00D6167B">
        <w:rPr>
          <w:rFonts w:ascii="Times New Roman"/>
          <w:sz w:val="20"/>
          <w:lang w:val="hr-HR"/>
        </w:rPr>
        <w:t>ednjoj procjeni tumora prije zapo</w:t>
      </w:r>
      <w:r w:rsidRPr="00D6167B">
        <w:rPr>
          <w:rFonts w:ascii="Times New Roman"/>
          <w:sz w:val="20"/>
          <w:lang w:val="hr-HR"/>
        </w:rPr>
        <w:t>č</w:t>
      </w:r>
      <w:r w:rsidRPr="00D6167B">
        <w:rPr>
          <w:rFonts w:ascii="Times New Roman"/>
          <w:sz w:val="20"/>
          <w:lang w:val="hr-HR"/>
        </w:rPr>
        <w:t>injanja terapije po protokolu.</w:t>
      </w:r>
    </w:p>
    <w:p w14:paraId="70F6FFE8" w14:textId="77777777" w:rsidR="002E30F6" w:rsidRPr="00D6167B" w:rsidRDefault="002E30F6" w:rsidP="007608DF">
      <w:pPr>
        <w:widowControl/>
        <w:jc w:val="both"/>
        <w:rPr>
          <w:rFonts w:ascii="Times New Roman" w:eastAsia="Times New Roman" w:hAnsi="Times New Roman"/>
          <w:sz w:val="20"/>
          <w:szCs w:val="20"/>
          <w:lang w:val="hr-HR"/>
        </w:rPr>
      </w:pPr>
    </w:p>
    <w:p w14:paraId="4EC4599F" w14:textId="77777777" w:rsidR="002E30F6" w:rsidRPr="00D6167B" w:rsidRDefault="002E30F6" w:rsidP="007608DF">
      <w:pPr>
        <w:pStyle w:val="BodyText"/>
        <w:widowControl/>
        <w:jc w:val="both"/>
        <w:rPr>
          <w:lang w:val="hr-HR"/>
        </w:rPr>
      </w:pPr>
      <w:r w:rsidRPr="00D6167B">
        <w:rPr>
          <w:lang w:val="hr-HR"/>
        </w:rPr>
        <w:t>Sprovedena je i nestratifikovana analiza preživljavanja bez progresije bolesti (procijenjena od strane istraživača), koja nije cenzurisala podatke iz terapije koja nije po protokolu, a koja je prim</w:t>
      </w:r>
      <w:r w:rsidR="00334F49" w:rsidRPr="00D6167B">
        <w:rPr>
          <w:lang w:val="hr-HR"/>
        </w:rPr>
        <w:t>i</w:t>
      </w:r>
      <w:r w:rsidRPr="00D6167B">
        <w:rPr>
          <w:lang w:val="hr-HR"/>
        </w:rPr>
        <w:t>jenjena prije progresije bolesti. Rezultati ove analize su bili vrlo slični primarnim rezultatima preživljavanja bez progresije bolesti.</w:t>
      </w:r>
    </w:p>
    <w:p w14:paraId="5DAF09CB" w14:textId="77777777" w:rsidR="002E30F6" w:rsidRPr="00D6167B" w:rsidRDefault="002E30F6" w:rsidP="007608DF">
      <w:pPr>
        <w:pStyle w:val="BodyText"/>
        <w:widowControl/>
        <w:ind w:left="0"/>
        <w:jc w:val="both"/>
        <w:rPr>
          <w:lang w:val="hr-HR"/>
        </w:rPr>
      </w:pPr>
    </w:p>
    <w:p w14:paraId="1F179334"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Karcinom pluća koji nije mikrokarcinom (NSCLC)</w:t>
      </w:r>
    </w:p>
    <w:p w14:paraId="6676FF4A" w14:textId="77777777" w:rsidR="00D15122" w:rsidRPr="00D6167B" w:rsidRDefault="00D15122" w:rsidP="007608DF">
      <w:pPr>
        <w:keepNext/>
        <w:widowControl/>
        <w:jc w:val="both"/>
        <w:rPr>
          <w:rFonts w:ascii="Times New Roman" w:eastAsia="Times New Roman" w:hAnsi="Times New Roman"/>
          <w:lang w:val="hr-HR"/>
        </w:rPr>
      </w:pPr>
    </w:p>
    <w:p w14:paraId="7E2CAC12" w14:textId="77777777" w:rsidR="00D15122" w:rsidRPr="00D6167B" w:rsidRDefault="009B0756" w:rsidP="007608DF">
      <w:pPr>
        <w:widowControl/>
        <w:jc w:val="both"/>
        <w:rPr>
          <w:rFonts w:ascii="Times New Roman" w:eastAsia="Times New Roman" w:hAnsi="Times New Roman"/>
          <w:i/>
          <w:iCs/>
          <w:lang w:val="hr-HR"/>
        </w:rPr>
      </w:pPr>
      <w:r w:rsidRPr="00D6167B">
        <w:rPr>
          <w:rFonts w:ascii="Times New Roman" w:hAnsi="Times New Roman"/>
          <w:i/>
          <w:lang w:val="hr-HR"/>
        </w:rPr>
        <w:t>Prva linija liječenja NSCLC karcinoma koji ne obuhvata skvamozne ćelije u kombinaciji sa hemoterapijom zasnovanom na platini.</w:t>
      </w:r>
    </w:p>
    <w:p w14:paraId="12D227DA" w14:textId="77777777" w:rsidR="00D15122" w:rsidRPr="00D6167B" w:rsidRDefault="00D15122" w:rsidP="007608DF">
      <w:pPr>
        <w:widowControl/>
        <w:jc w:val="both"/>
        <w:rPr>
          <w:rFonts w:ascii="Times New Roman" w:eastAsia="Times New Roman" w:hAnsi="Times New Roman"/>
          <w:lang w:val="hr-HR"/>
        </w:rPr>
      </w:pPr>
    </w:p>
    <w:p w14:paraId="234F8CAC" w14:textId="37147475" w:rsidR="00D15122" w:rsidRPr="00D6167B" w:rsidRDefault="009B0756" w:rsidP="007608DF">
      <w:pPr>
        <w:pStyle w:val="BodyText"/>
        <w:widowControl/>
        <w:ind w:left="0"/>
        <w:jc w:val="both"/>
        <w:rPr>
          <w:lang w:val="hr-HR"/>
        </w:rPr>
      </w:pPr>
      <w:r w:rsidRPr="00D6167B">
        <w:rPr>
          <w:lang w:val="hr-HR"/>
        </w:rPr>
        <w:t xml:space="preserve">Bezbjednost i efikasnost bevacizumaba, kao dodatka hemoterapiji zasnovanu na platini, u prvoj liniji liječenja pacijenata sa neskvamoznim karcinomom pluća koji nije mikrokarcinom (NSCLC) </w:t>
      </w:r>
      <w:r w:rsidR="000B4044" w:rsidRPr="00D6167B">
        <w:rPr>
          <w:lang w:val="hr-HR"/>
        </w:rPr>
        <w:t>is</w:t>
      </w:r>
      <w:r w:rsidR="000B4044">
        <w:rPr>
          <w:lang w:val="hr-HR"/>
        </w:rPr>
        <w:t xml:space="preserve">pitane </w:t>
      </w:r>
      <w:r w:rsidRPr="00D6167B">
        <w:rPr>
          <w:lang w:val="hr-HR"/>
        </w:rPr>
        <w:t>su u ispitivanjima E4599 i BO17704. Ukupna korist u pogledu preživljavanja dokazana je u ispitivanju E4599 sa dozom bevacizumaba od 15 mg/kg jednom u 3 nedjelje. Ispitivanje BO17704 je dokazalo da doze od 7,5 mg/kg jednom u 3 nedjelje i 15 mg/kg jednom u 3 nedjelje povećavaju preživljavanje bez progresije bolesti i stopu odgovora</w:t>
      </w:r>
      <w:r w:rsidR="000B4044">
        <w:rPr>
          <w:lang w:val="hr-HR"/>
        </w:rPr>
        <w:t xml:space="preserve"> na liječenje</w:t>
      </w:r>
      <w:r w:rsidRPr="00D6167B">
        <w:rPr>
          <w:lang w:val="hr-HR"/>
        </w:rPr>
        <w:t>.</w:t>
      </w:r>
    </w:p>
    <w:p w14:paraId="3DD457FC" w14:textId="77777777" w:rsidR="00D15122" w:rsidRPr="00D6167B" w:rsidRDefault="00D15122" w:rsidP="007608DF">
      <w:pPr>
        <w:widowControl/>
        <w:jc w:val="both"/>
        <w:rPr>
          <w:rFonts w:ascii="Times New Roman" w:eastAsia="Times New Roman" w:hAnsi="Times New Roman"/>
          <w:lang w:val="hr-HR"/>
        </w:rPr>
      </w:pPr>
    </w:p>
    <w:p w14:paraId="16402C8D" w14:textId="77777777"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E4599</w:t>
      </w:r>
    </w:p>
    <w:p w14:paraId="36F9D412" w14:textId="77777777" w:rsidR="00D15122" w:rsidRPr="00D6167B" w:rsidRDefault="009B0756" w:rsidP="007608DF">
      <w:pPr>
        <w:pStyle w:val="BodyText"/>
        <w:widowControl/>
        <w:ind w:left="0"/>
        <w:jc w:val="both"/>
        <w:rPr>
          <w:lang w:val="hr-HR"/>
        </w:rPr>
      </w:pPr>
      <w:r w:rsidRPr="00D6167B">
        <w:rPr>
          <w:lang w:val="hr-HR"/>
        </w:rPr>
        <w:t>E4599 je bilo otvoreno, randomizovano, aktivno kontrolisano multicentrično kliničko ispitivanje za procjenu bevacizumaba kao prve linije liječenja za pacijente sa lokalno uznapredovalim (stadijum IIIb sa malignom pleuralnom efuzijom), metastatskim ili rekurentnim NSCLC kada nema pretežno skvamoznu histologiju.</w:t>
      </w:r>
    </w:p>
    <w:p w14:paraId="29498EE2" w14:textId="77777777" w:rsidR="00772EFE" w:rsidRPr="00D6167B" w:rsidRDefault="00772EFE" w:rsidP="007608DF">
      <w:pPr>
        <w:pStyle w:val="BodyText"/>
        <w:widowControl/>
        <w:ind w:left="0"/>
        <w:jc w:val="both"/>
        <w:rPr>
          <w:lang w:val="hr-HR"/>
        </w:rPr>
      </w:pPr>
    </w:p>
    <w:p w14:paraId="05FB2D80" w14:textId="26C46F44" w:rsidR="00D15122" w:rsidRPr="00D6167B" w:rsidRDefault="009B0756" w:rsidP="007608DF">
      <w:pPr>
        <w:pStyle w:val="BodyText"/>
        <w:widowControl/>
        <w:ind w:left="0" w:hanging="1"/>
        <w:jc w:val="both"/>
        <w:rPr>
          <w:lang w:val="hr-HR"/>
        </w:rPr>
      </w:pPr>
      <w:r w:rsidRPr="00D6167B">
        <w:rPr>
          <w:lang w:val="hr-HR"/>
        </w:rPr>
        <w:t>Pacijenti su randomiz</w:t>
      </w:r>
      <w:r w:rsidR="000B4044">
        <w:rPr>
          <w:lang w:val="hr-HR"/>
        </w:rPr>
        <w:t xml:space="preserve">ovani u grupu koja je primala </w:t>
      </w:r>
      <w:r w:rsidRPr="00D6167B">
        <w:rPr>
          <w:lang w:val="hr-HR"/>
        </w:rPr>
        <w:t>hemoterapij</w:t>
      </w:r>
      <w:r w:rsidR="000B4044">
        <w:rPr>
          <w:lang w:val="hr-HR"/>
        </w:rPr>
        <w:t>u</w:t>
      </w:r>
      <w:r w:rsidRPr="00D6167B">
        <w:rPr>
          <w:lang w:val="hr-HR"/>
        </w:rPr>
        <w:t xml:space="preserve"> na bazi platine (paklitaksel 200 mg/m</w:t>
      </w:r>
      <w:r w:rsidRPr="00D6167B">
        <w:rPr>
          <w:vertAlign w:val="superscript"/>
          <w:lang w:val="hr-HR"/>
        </w:rPr>
        <w:t>2</w:t>
      </w:r>
      <w:r w:rsidRPr="00D6167B">
        <w:rPr>
          <w:lang w:val="hr-HR"/>
        </w:rPr>
        <w:t xml:space="preserve"> i karboplatin AUC =6,0, oba kao intravenska infuzija) (PC) 1. dana svakog 3-nedjeljnog ciklusa tokom </w:t>
      </w:r>
      <w:r w:rsidRPr="00D6167B">
        <w:rPr>
          <w:lang w:val="hr-HR"/>
        </w:rPr>
        <w:lastRenderedPageBreak/>
        <w:t>najviše 6 ciklusa ili terapiji PC u kombinaciji sa bevacizumabom u dozi od 15 mg/kg u intravenskoj infuziji 1. dana svakog 3</w:t>
      </w:r>
      <w:r w:rsidRPr="00D6167B">
        <w:rPr>
          <w:lang w:val="hr-HR"/>
        </w:rPr>
        <w:noBreakHyphen/>
        <w:t xml:space="preserve">nedjeljnog ciklusa. Po okončanju šest ciklusa hemoterapije karboplatinom-paklitakselom ili po preranom prekidu hemoterapije, pacijenti u </w:t>
      </w:r>
      <w:r w:rsidR="007907BF" w:rsidRPr="00D6167B">
        <w:rPr>
          <w:lang w:val="hr-HR"/>
        </w:rPr>
        <w:t xml:space="preserve">grupi </w:t>
      </w:r>
      <w:r w:rsidRPr="00D6167B">
        <w:rPr>
          <w:lang w:val="hr-HR"/>
        </w:rPr>
        <w:t>koj</w:t>
      </w:r>
      <w:r w:rsidR="007907BF" w:rsidRPr="00D6167B">
        <w:rPr>
          <w:lang w:val="hr-HR"/>
        </w:rPr>
        <w:t>a</w:t>
      </w:r>
      <w:r w:rsidRPr="00D6167B">
        <w:rPr>
          <w:lang w:val="hr-HR"/>
        </w:rPr>
        <w:t xml:space="preserve"> je primal</w:t>
      </w:r>
      <w:r w:rsidR="007907BF" w:rsidRPr="00D6167B">
        <w:rPr>
          <w:lang w:val="hr-HR"/>
        </w:rPr>
        <w:t>a</w:t>
      </w:r>
      <w:r w:rsidRPr="00D6167B">
        <w:rPr>
          <w:lang w:val="hr-HR"/>
        </w:rPr>
        <w:t xml:space="preserve"> bevacizumab + karboplatin-paklitaksel nastavili su da primaju bevacizumab kao monoterapiju svake 3 nedjelje do progresije bolesti. U ov</w:t>
      </w:r>
      <w:r w:rsidR="00BA6F28" w:rsidRPr="00D6167B">
        <w:rPr>
          <w:lang w:val="hr-HR"/>
        </w:rPr>
        <w:t>e</w:t>
      </w:r>
      <w:r w:rsidRPr="00D6167B">
        <w:rPr>
          <w:lang w:val="hr-HR"/>
        </w:rPr>
        <w:t xml:space="preserve"> dv</w:t>
      </w:r>
      <w:r w:rsidR="007907BF" w:rsidRPr="00D6167B">
        <w:rPr>
          <w:lang w:val="hr-HR"/>
        </w:rPr>
        <w:t xml:space="preserve">ije grupe </w:t>
      </w:r>
      <w:r w:rsidRPr="00D6167B">
        <w:rPr>
          <w:lang w:val="hr-HR"/>
        </w:rPr>
        <w:t>randomizovano je 878 pacijenata.</w:t>
      </w:r>
    </w:p>
    <w:p w14:paraId="100D4039" w14:textId="77777777" w:rsidR="00D15122" w:rsidRPr="00D6167B" w:rsidRDefault="00D15122" w:rsidP="007608DF">
      <w:pPr>
        <w:widowControl/>
        <w:jc w:val="both"/>
        <w:rPr>
          <w:rFonts w:ascii="Times New Roman" w:eastAsia="Times New Roman" w:hAnsi="Times New Roman"/>
          <w:lang w:val="hr-HR"/>
        </w:rPr>
      </w:pPr>
    </w:p>
    <w:p w14:paraId="67659170" w14:textId="58ED5779" w:rsidR="00D15122" w:rsidRPr="00D6167B" w:rsidRDefault="009B0756" w:rsidP="007608DF">
      <w:pPr>
        <w:pStyle w:val="BodyText"/>
        <w:widowControl/>
        <w:spacing w:line="252" w:lineRule="exact"/>
        <w:ind w:left="0"/>
        <w:jc w:val="both"/>
        <w:rPr>
          <w:lang w:val="hr-HR"/>
        </w:rPr>
      </w:pPr>
      <w:r w:rsidRPr="00D6167B">
        <w:rPr>
          <w:lang w:val="hr-HR"/>
        </w:rPr>
        <w:t>Tokom ovog ispitivanja, od pacijenata koji su prim</w:t>
      </w:r>
      <w:r w:rsidR="001848C0">
        <w:rPr>
          <w:lang w:val="hr-HR"/>
        </w:rPr>
        <w:t>a</w:t>
      </w:r>
      <w:r w:rsidRPr="00D6167B">
        <w:rPr>
          <w:lang w:val="hr-HR"/>
        </w:rPr>
        <w:t>li ispitivan</w:t>
      </w:r>
      <w:r w:rsidR="001848C0">
        <w:rPr>
          <w:lang w:val="hr-HR"/>
        </w:rPr>
        <w:t>i</w:t>
      </w:r>
      <w:r w:rsidRPr="00D6167B">
        <w:rPr>
          <w:lang w:val="hr-HR"/>
        </w:rPr>
        <w:t xml:space="preserve"> lije</w:t>
      </w:r>
      <w:r w:rsidR="001848C0">
        <w:rPr>
          <w:lang w:val="hr-HR"/>
        </w:rPr>
        <w:t>k, njih</w:t>
      </w:r>
      <w:r w:rsidRPr="00D6167B">
        <w:rPr>
          <w:lang w:val="hr-HR"/>
        </w:rPr>
        <w:t xml:space="preserve"> 32,2% (136/422) pacijenata je primilo bevacizumab 7–12 puta, a 21,1% (89/422) je primilo bevacizumab 13 ili više puta.</w:t>
      </w:r>
    </w:p>
    <w:p w14:paraId="3E896182" w14:textId="77777777" w:rsidR="00D15122" w:rsidRPr="00D6167B" w:rsidRDefault="00D15122" w:rsidP="007608DF">
      <w:pPr>
        <w:widowControl/>
        <w:jc w:val="both"/>
        <w:rPr>
          <w:rFonts w:ascii="Times New Roman" w:eastAsia="Times New Roman" w:hAnsi="Times New Roman"/>
          <w:lang w:val="hr-HR"/>
        </w:rPr>
      </w:pPr>
    </w:p>
    <w:p w14:paraId="376EA0AD" w14:textId="77777777" w:rsidR="00D15122" w:rsidRPr="00D6167B" w:rsidRDefault="009B0756" w:rsidP="007608DF">
      <w:pPr>
        <w:pStyle w:val="BodyText"/>
        <w:widowControl/>
        <w:ind w:left="0"/>
        <w:jc w:val="both"/>
        <w:rPr>
          <w:lang w:val="hr-HR"/>
        </w:rPr>
      </w:pPr>
      <w:r w:rsidRPr="00D6167B">
        <w:rPr>
          <w:lang w:val="hr-HR"/>
        </w:rPr>
        <w:t>Primarni parametar efikasnosti bilo je trajanje preživljavanja. Rezultati su prikazani u tabeli 12.</w:t>
      </w:r>
    </w:p>
    <w:p w14:paraId="2A16EEA1" w14:textId="77777777" w:rsidR="00D15122" w:rsidRPr="00D6167B" w:rsidRDefault="00D15122" w:rsidP="007608DF">
      <w:pPr>
        <w:widowControl/>
        <w:jc w:val="both"/>
        <w:rPr>
          <w:rFonts w:ascii="Times New Roman" w:eastAsia="Times New Roman" w:hAnsi="Times New Roman"/>
          <w:lang w:val="hr-HR"/>
        </w:rPr>
      </w:pPr>
    </w:p>
    <w:p w14:paraId="4CCD71E6" w14:textId="77777777" w:rsidR="00D15122" w:rsidRPr="00D6167B" w:rsidRDefault="009B0756" w:rsidP="007608DF">
      <w:pPr>
        <w:pStyle w:val="Heading1"/>
        <w:keepNext/>
        <w:widowControl/>
        <w:tabs>
          <w:tab w:val="left" w:pos="1293"/>
        </w:tabs>
        <w:ind w:left="0"/>
        <w:jc w:val="both"/>
        <w:rPr>
          <w:bCs w:val="0"/>
          <w:lang w:val="hr-HR"/>
        </w:rPr>
      </w:pPr>
      <w:r w:rsidRPr="00D6167B">
        <w:rPr>
          <w:lang w:val="hr-HR"/>
        </w:rPr>
        <w:t>Tabela 12</w:t>
      </w:r>
      <w:r w:rsidRPr="00D6167B">
        <w:rPr>
          <w:lang w:val="hr-HR"/>
        </w:rPr>
        <w:tab/>
        <w:t>Rezultati efikasnosti za ispitivanje E4599</w:t>
      </w:r>
    </w:p>
    <w:p w14:paraId="0097757A"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15"/>
        <w:gridCol w:w="2325"/>
        <w:gridCol w:w="3038"/>
      </w:tblGrid>
      <w:tr w:rsidR="00D15122" w:rsidRPr="00D6167B" w14:paraId="664F8E40" w14:textId="77777777" w:rsidTr="002C0B97">
        <w:trPr>
          <w:cantSplit/>
          <w:tblHeader/>
        </w:trPr>
        <w:tc>
          <w:tcPr>
            <w:tcW w:w="2693" w:type="dxa"/>
          </w:tcPr>
          <w:p w14:paraId="4D827288" w14:textId="77777777" w:rsidR="00D15122" w:rsidRPr="00D6167B" w:rsidRDefault="00D15122" w:rsidP="007608DF">
            <w:pPr>
              <w:widowControl/>
              <w:jc w:val="both"/>
              <w:rPr>
                <w:rFonts w:ascii="Times New Roman" w:hAnsi="Times New Roman"/>
                <w:lang w:val="hr-HR"/>
              </w:rPr>
            </w:pPr>
          </w:p>
        </w:tc>
        <w:tc>
          <w:tcPr>
            <w:tcW w:w="1685" w:type="dxa"/>
          </w:tcPr>
          <w:p w14:paraId="2070A181" w14:textId="77777777" w:rsidR="00D15122" w:rsidRPr="00D6167B" w:rsidRDefault="007907BF" w:rsidP="00D37692">
            <w:pPr>
              <w:pStyle w:val="TableParagraph"/>
              <w:widowControl/>
              <w:tabs>
                <w:tab w:val="left" w:pos="1632"/>
              </w:tabs>
              <w:spacing w:line="246" w:lineRule="exact"/>
              <w:ind w:right="53"/>
              <w:jc w:val="center"/>
              <w:rPr>
                <w:rFonts w:ascii="Times New Roman" w:eastAsia="Times New Roman" w:hAnsi="Times New Roman"/>
                <w:lang w:val="hr-HR"/>
              </w:rPr>
            </w:pPr>
            <w:r w:rsidRPr="00D6167B">
              <w:rPr>
                <w:rFonts w:ascii="Times New Roman" w:hAnsi="Times New Roman"/>
                <w:lang w:val="hr-HR"/>
              </w:rPr>
              <w:t xml:space="preserve">Grupa </w:t>
            </w:r>
            <w:r w:rsidR="009B0756" w:rsidRPr="00D6167B">
              <w:rPr>
                <w:rFonts w:ascii="Times New Roman" w:hAnsi="Times New Roman"/>
                <w:lang w:val="hr-HR"/>
              </w:rPr>
              <w:t>1</w:t>
            </w:r>
          </w:p>
          <w:p w14:paraId="1BF0857E" w14:textId="77777777" w:rsidR="00D15122" w:rsidRPr="00D6167B" w:rsidRDefault="00D15122" w:rsidP="00D37692">
            <w:pPr>
              <w:pStyle w:val="TableParagraph"/>
              <w:widowControl/>
              <w:jc w:val="center"/>
              <w:rPr>
                <w:rFonts w:ascii="Times New Roman" w:eastAsia="Times New Roman" w:hAnsi="Times New Roman"/>
                <w:bCs/>
                <w:lang w:val="hr-HR"/>
              </w:rPr>
            </w:pPr>
          </w:p>
          <w:p w14:paraId="753DEC04"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Karboplatin/paklitaksel</w:t>
            </w:r>
          </w:p>
        </w:tc>
        <w:tc>
          <w:tcPr>
            <w:tcW w:w="2202" w:type="dxa"/>
          </w:tcPr>
          <w:p w14:paraId="63944CF6" w14:textId="77777777" w:rsidR="00D15122" w:rsidRPr="00D6167B" w:rsidRDefault="007907BF"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 xml:space="preserve">Grupa </w:t>
            </w:r>
            <w:r w:rsidR="009B0756" w:rsidRPr="00D6167B">
              <w:rPr>
                <w:rFonts w:ascii="Times New Roman" w:hAnsi="Times New Roman"/>
                <w:lang w:val="hr-HR"/>
              </w:rPr>
              <w:t>2</w:t>
            </w:r>
          </w:p>
          <w:p w14:paraId="4B596EC8" w14:textId="77777777" w:rsidR="00D15122" w:rsidRPr="00D6167B" w:rsidRDefault="00D15122" w:rsidP="00D37692">
            <w:pPr>
              <w:pStyle w:val="TableParagraph"/>
              <w:widowControl/>
              <w:jc w:val="center"/>
              <w:rPr>
                <w:rFonts w:ascii="Times New Roman" w:eastAsia="Times New Roman" w:hAnsi="Times New Roman"/>
                <w:bCs/>
                <w:lang w:val="hr-HR"/>
              </w:rPr>
            </w:pPr>
          </w:p>
          <w:p w14:paraId="40FBBA56" w14:textId="77777777" w:rsidR="00D15122" w:rsidRPr="00D6167B" w:rsidRDefault="009B0756" w:rsidP="00D37692">
            <w:pPr>
              <w:pStyle w:val="TableParagraph"/>
              <w:widowControl/>
              <w:ind w:right="5"/>
              <w:jc w:val="center"/>
              <w:rPr>
                <w:rFonts w:ascii="Times New Roman" w:eastAsia="Times New Roman" w:hAnsi="Times New Roman"/>
                <w:lang w:val="hr-HR"/>
              </w:rPr>
            </w:pPr>
            <w:r w:rsidRPr="00D6167B">
              <w:rPr>
                <w:rFonts w:ascii="Times New Roman" w:hAnsi="Times New Roman"/>
                <w:lang w:val="hr-HR"/>
              </w:rPr>
              <w:t>Karboplatin/paklitaksel + bevacizumab</w:t>
            </w:r>
          </w:p>
          <w:p w14:paraId="14283A41" w14:textId="77777777" w:rsidR="00D15122" w:rsidRPr="00D6167B" w:rsidRDefault="009B0756" w:rsidP="00D37692">
            <w:pPr>
              <w:pStyle w:val="TableParagraph"/>
              <w:widowControl/>
              <w:spacing w:line="252" w:lineRule="exact"/>
              <w:jc w:val="center"/>
              <w:rPr>
                <w:rFonts w:ascii="Times New Roman" w:eastAsia="Times New Roman" w:hAnsi="Times New Roman"/>
                <w:lang w:val="hr-HR"/>
              </w:rPr>
            </w:pPr>
            <w:r w:rsidRPr="00D6167B">
              <w:rPr>
                <w:rFonts w:ascii="Times New Roman" w:hAnsi="Times New Roman"/>
                <w:lang w:val="hr-HR"/>
              </w:rPr>
              <w:t>15 mg/kg na svake 3 nedjelje</w:t>
            </w:r>
          </w:p>
        </w:tc>
      </w:tr>
      <w:tr w:rsidR="00D15122" w:rsidRPr="00D6167B" w14:paraId="16F9EF75" w14:textId="77777777" w:rsidTr="002C0B97">
        <w:trPr>
          <w:cantSplit/>
        </w:trPr>
        <w:tc>
          <w:tcPr>
            <w:tcW w:w="2693" w:type="dxa"/>
          </w:tcPr>
          <w:p w14:paraId="151127C3" w14:textId="77777777" w:rsidR="00D15122" w:rsidRPr="00D6167B" w:rsidRDefault="009B0756" w:rsidP="007608DF">
            <w:pPr>
              <w:pStyle w:val="TableParagraph"/>
              <w:widowControl/>
              <w:jc w:val="both"/>
              <w:rPr>
                <w:rFonts w:ascii="Times New Roman" w:eastAsia="Times New Roman" w:hAnsi="Times New Roman"/>
                <w:lang w:val="hr-HR"/>
              </w:rPr>
            </w:pPr>
            <w:r w:rsidRPr="00D6167B">
              <w:rPr>
                <w:rFonts w:ascii="Times New Roman" w:hAnsi="Times New Roman"/>
                <w:lang w:val="hr-HR"/>
              </w:rPr>
              <w:t>Broj pacijenata</w:t>
            </w:r>
          </w:p>
        </w:tc>
        <w:tc>
          <w:tcPr>
            <w:tcW w:w="1685" w:type="dxa"/>
          </w:tcPr>
          <w:p w14:paraId="4E2F16A4"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444</w:t>
            </w:r>
          </w:p>
        </w:tc>
        <w:tc>
          <w:tcPr>
            <w:tcW w:w="2202" w:type="dxa"/>
          </w:tcPr>
          <w:p w14:paraId="7F847142"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434</w:t>
            </w:r>
          </w:p>
        </w:tc>
      </w:tr>
      <w:tr w:rsidR="00D15122" w:rsidRPr="00D6167B" w14:paraId="56205C81" w14:textId="77777777" w:rsidTr="002C0B97">
        <w:trPr>
          <w:cantSplit/>
        </w:trPr>
        <w:tc>
          <w:tcPr>
            <w:tcW w:w="6580" w:type="dxa"/>
            <w:gridSpan w:val="3"/>
          </w:tcPr>
          <w:p w14:paraId="0D64265C"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6439B22F" w14:textId="77777777" w:rsidTr="002C0B97">
        <w:trPr>
          <w:cantSplit/>
        </w:trPr>
        <w:tc>
          <w:tcPr>
            <w:tcW w:w="2693" w:type="dxa"/>
          </w:tcPr>
          <w:p w14:paraId="3289ACD6" w14:textId="77777777" w:rsidR="00D15122" w:rsidRPr="00D6167B" w:rsidRDefault="009B0756" w:rsidP="007608DF">
            <w:pPr>
              <w:pStyle w:val="TableParagraph"/>
              <w:widowControl/>
              <w:spacing w:line="248" w:lineRule="exact"/>
              <w:ind w:left="275"/>
              <w:jc w:val="both"/>
              <w:rPr>
                <w:rFonts w:ascii="Times New Roman" w:eastAsia="Times New Roman" w:hAnsi="Times New Roman"/>
                <w:lang w:val="hr-HR"/>
              </w:rPr>
            </w:pPr>
            <w:r w:rsidRPr="00D6167B">
              <w:rPr>
                <w:rFonts w:ascii="Times New Roman" w:hAnsi="Times New Roman"/>
                <w:lang w:val="hr-HR"/>
              </w:rPr>
              <w:t>Srednja vrijednost (mjeseci)</w:t>
            </w:r>
          </w:p>
        </w:tc>
        <w:tc>
          <w:tcPr>
            <w:tcW w:w="1685" w:type="dxa"/>
          </w:tcPr>
          <w:p w14:paraId="66B85DC3" w14:textId="77777777" w:rsidR="00D15122" w:rsidRPr="00D6167B" w:rsidRDefault="009B075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10,3</w:t>
            </w:r>
          </w:p>
        </w:tc>
        <w:tc>
          <w:tcPr>
            <w:tcW w:w="2202" w:type="dxa"/>
          </w:tcPr>
          <w:p w14:paraId="49F201BE" w14:textId="77777777" w:rsidR="00D15122" w:rsidRPr="00D6167B" w:rsidRDefault="009B075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12,3</w:t>
            </w:r>
          </w:p>
        </w:tc>
      </w:tr>
      <w:tr w:rsidR="00D15122" w:rsidRPr="00D6167B" w14:paraId="18C8E1A4" w14:textId="77777777" w:rsidTr="002C0B97">
        <w:trPr>
          <w:cantSplit/>
        </w:trPr>
        <w:tc>
          <w:tcPr>
            <w:tcW w:w="2693" w:type="dxa"/>
          </w:tcPr>
          <w:p w14:paraId="14759EF3"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Odnos rizika</w:t>
            </w:r>
          </w:p>
        </w:tc>
        <w:tc>
          <w:tcPr>
            <w:tcW w:w="3887" w:type="dxa"/>
            <w:gridSpan w:val="2"/>
          </w:tcPr>
          <w:p w14:paraId="7F5F9D00"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0,80 (p= 0,003)</w:t>
            </w:r>
          </w:p>
          <w:p w14:paraId="12170935"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95% CI (0,69; 0,93)</w:t>
            </w:r>
          </w:p>
        </w:tc>
      </w:tr>
      <w:tr w:rsidR="00D15122" w:rsidRPr="00D6167B" w14:paraId="23F37382" w14:textId="77777777" w:rsidTr="002C0B97">
        <w:trPr>
          <w:cantSplit/>
        </w:trPr>
        <w:tc>
          <w:tcPr>
            <w:tcW w:w="6580" w:type="dxa"/>
            <w:gridSpan w:val="3"/>
          </w:tcPr>
          <w:p w14:paraId="6D850A92"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Preživljavanje bez progresije</w:t>
            </w:r>
          </w:p>
        </w:tc>
      </w:tr>
      <w:tr w:rsidR="00D15122" w:rsidRPr="00D6167B" w14:paraId="5E0C0B07" w14:textId="77777777" w:rsidTr="002C0B97">
        <w:trPr>
          <w:cantSplit/>
        </w:trPr>
        <w:tc>
          <w:tcPr>
            <w:tcW w:w="2693" w:type="dxa"/>
          </w:tcPr>
          <w:p w14:paraId="4DA30E6E"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Srednja vrijednost (mjeseci)</w:t>
            </w:r>
          </w:p>
        </w:tc>
        <w:tc>
          <w:tcPr>
            <w:tcW w:w="1685" w:type="dxa"/>
          </w:tcPr>
          <w:p w14:paraId="036D6164"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4,8</w:t>
            </w:r>
          </w:p>
        </w:tc>
        <w:tc>
          <w:tcPr>
            <w:tcW w:w="2202" w:type="dxa"/>
          </w:tcPr>
          <w:p w14:paraId="163DDB20"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6,4</w:t>
            </w:r>
          </w:p>
        </w:tc>
      </w:tr>
      <w:tr w:rsidR="00D15122" w:rsidRPr="00D6167B" w14:paraId="7255C9DE" w14:textId="77777777" w:rsidTr="002C0B97">
        <w:trPr>
          <w:cantSplit/>
        </w:trPr>
        <w:tc>
          <w:tcPr>
            <w:tcW w:w="2693" w:type="dxa"/>
          </w:tcPr>
          <w:p w14:paraId="0F0FF26C"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Odnos rizika</w:t>
            </w:r>
          </w:p>
        </w:tc>
        <w:tc>
          <w:tcPr>
            <w:tcW w:w="3887" w:type="dxa"/>
            <w:gridSpan w:val="2"/>
          </w:tcPr>
          <w:p w14:paraId="71D3DBC5"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0,65 (p&lt; 0,0001)</w:t>
            </w:r>
          </w:p>
          <w:p w14:paraId="67A2F9CB" w14:textId="77777777" w:rsidR="00D15122" w:rsidRPr="00D6167B" w:rsidRDefault="009B0756" w:rsidP="00D37692">
            <w:pPr>
              <w:pStyle w:val="TableParagraph"/>
              <w:widowControl/>
              <w:jc w:val="center"/>
              <w:rPr>
                <w:rFonts w:ascii="Times New Roman" w:eastAsia="Times New Roman" w:hAnsi="Times New Roman"/>
                <w:lang w:val="hr-HR"/>
              </w:rPr>
            </w:pPr>
            <w:r w:rsidRPr="00D6167B">
              <w:rPr>
                <w:rFonts w:ascii="Times New Roman" w:hAnsi="Times New Roman"/>
                <w:lang w:val="hr-HR"/>
              </w:rPr>
              <w:t>95% CI (0,56; 0,76)</w:t>
            </w:r>
          </w:p>
        </w:tc>
      </w:tr>
      <w:tr w:rsidR="00D15122" w:rsidRPr="00D6167B" w14:paraId="69EB2C7D" w14:textId="77777777" w:rsidTr="002C0B97">
        <w:trPr>
          <w:cantSplit/>
        </w:trPr>
        <w:tc>
          <w:tcPr>
            <w:tcW w:w="6580" w:type="dxa"/>
            <w:gridSpan w:val="3"/>
          </w:tcPr>
          <w:p w14:paraId="602E43C8"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Stopa ukupnog odgovora</w:t>
            </w:r>
          </w:p>
        </w:tc>
      </w:tr>
      <w:tr w:rsidR="00D15122" w:rsidRPr="00D6167B" w14:paraId="1787CF04" w14:textId="77777777" w:rsidTr="002C0B97">
        <w:trPr>
          <w:cantSplit/>
        </w:trPr>
        <w:tc>
          <w:tcPr>
            <w:tcW w:w="2693" w:type="dxa"/>
          </w:tcPr>
          <w:p w14:paraId="7E16B9A2" w14:textId="77777777" w:rsidR="00D15122" w:rsidRPr="00D6167B" w:rsidRDefault="009B0756" w:rsidP="007608DF">
            <w:pPr>
              <w:pStyle w:val="TableParagraph"/>
              <w:widowControl/>
              <w:spacing w:line="246" w:lineRule="exact"/>
              <w:ind w:left="275"/>
              <w:jc w:val="both"/>
              <w:rPr>
                <w:rFonts w:ascii="Times New Roman" w:eastAsia="Times New Roman" w:hAnsi="Times New Roman"/>
                <w:lang w:val="hr-HR"/>
              </w:rPr>
            </w:pPr>
            <w:r w:rsidRPr="00D6167B">
              <w:rPr>
                <w:rFonts w:ascii="Times New Roman" w:hAnsi="Times New Roman"/>
                <w:lang w:val="hr-HR"/>
              </w:rPr>
              <w:t>Stopa (procenat)</w:t>
            </w:r>
          </w:p>
        </w:tc>
        <w:tc>
          <w:tcPr>
            <w:tcW w:w="1685" w:type="dxa"/>
          </w:tcPr>
          <w:p w14:paraId="48DC7037"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12,9</w:t>
            </w:r>
          </w:p>
        </w:tc>
        <w:tc>
          <w:tcPr>
            <w:tcW w:w="2202" w:type="dxa"/>
          </w:tcPr>
          <w:p w14:paraId="4BC9CB44" w14:textId="77777777" w:rsidR="00D15122" w:rsidRPr="00D6167B" w:rsidRDefault="009B075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29,0 (p&lt; 0,0001)</w:t>
            </w:r>
          </w:p>
        </w:tc>
      </w:tr>
    </w:tbl>
    <w:p w14:paraId="501D81BA" w14:textId="77777777" w:rsidR="00D15122" w:rsidRPr="00D6167B" w:rsidRDefault="00D15122" w:rsidP="007608DF">
      <w:pPr>
        <w:widowControl/>
        <w:jc w:val="both"/>
        <w:rPr>
          <w:rFonts w:ascii="Times New Roman" w:eastAsia="Times New Roman" w:hAnsi="Times New Roman"/>
          <w:bCs/>
          <w:lang w:val="hr-HR"/>
        </w:rPr>
      </w:pPr>
    </w:p>
    <w:p w14:paraId="17069C08" w14:textId="77777777" w:rsidR="00D15122" w:rsidRPr="00D6167B" w:rsidRDefault="009B0756" w:rsidP="007608DF">
      <w:pPr>
        <w:pStyle w:val="BodyText"/>
        <w:widowControl/>
        <w:ind w:left="0"/>
        <w:jc w:val="both"/>
        <w:rPr>
          <w:lang w:val="hr-HR"/>
        </w:rPr>
      </w:pPr>
      <w:r w:rsidRPr="00D6167B">
        <w:rPr>
          <w:lang w:val="hr-HR"/>
        </w:rPr>
        <w:t>U jednoj eksploratornoj analizi, obim koristi od bevacizumaba za ukupno preživljavanje bio je manje izražen u podgrupi pacijenata koji nijesu imali histološki adenokarcinom.</w:t>
      </w:r>
    </w:p>
    <w:p w14:paraId="739CA21D" w14:textId="77777777" w:rsidR="00D15122" w:rsidRPr="00D6167B" w:rsidRDefault="00D15122" w:rsidP="007608DF">
      <w:pPr>
        <w:widowControl/>
        <w:jc w:val="both"/>
        <w:rPr>
          <w:rFonts w:ascii="Times New Roman" w:eastAsia="Times New Roman" w:hAnsi="Times New Roman"/>
          <w:lang w:val="hr-HR"/>
        </w:rPr>
      </w:pPr>
    </w:p>
    <w:p w14:paraId="5B04301D" w14:textId="77777777"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BO17704</w:t>
      </w:r>
    </w:p>
    <w:p w14:paraId="4AB6B2DC" w14:textId="77777777" w:rsidR="00D15122" w:rsidRPr="00D6167B" w:rsidRDefault="009B0756" w:rsidP="007608DF">
      <w:pPr>
        <w:pStyle w:val="BodyText"/>
        <w:widowControl/>
        <w:ind w:left="0"/>
        <w:jc w:val="both"/>
        <w:rPr>
          <w:lang w:val="hr-HR"/>
        </w:rPr>
      </w:pPr>
      <w:r w:rsidRPr="00D6167B">
        <w:rPr>
          <w:lang w:val="hr-HR"/>
        </w:rPr>
        <w:t>Ispitivanje BO17704 bilo je randomizovano, dvostruko slijepo ispitivanje faze III bevacizumaba kao dodatka cisplatinu i gemcitabinu u poređenju sa terapijom koja se sastojala od placeba, cisplatina i gemcitabina kod pacijenata sa lokalno uznapredovalim (stadijum IIIb sa metastazama u supraklavikularnom limfnom čvoru ili malignom pleuralnom ili perikardijalnom efuzijom), metastatskim ili rekurentnim neskvamoznim NSCLC koji ranije nijesu primali hemoterapiju. Primarni parametar efikasnosti bio je preživljavanje bez progresije (PFS), a sekundarni parametri efikasnosti ispitivanja obuhvatali su trajanje ukupnog preživljavanja.</w:t>
      </w:r>
    </w:p>
    <w:p w14:paraId="5DF87218" w14:textId="77777777" w:rsidR="00D15122" w:rsidRPr="00D6167B" w:rsidRDefault="00D15122" w:rsidP="007608DF">
      <w:pPr>
        <w:widowControl/>
        <w:jc w:val="both"/>
        <w:rPr>
          <w:rFonts w:ascii="Times New Roman" w:eastAsia="Times New Roman" w:hAnsi="Times New Roman"/>
          <w:lang w:val="hr-HR"/>
        </w:rPr>
      </w:pPr>
    </w:p>
    <w:p w14:paraId="1F3DEA32" w14:textId="78EC7743" w:rsidR="00D15122" w:rsidRPr="00D6167B" w:rsidRDefault="009B0756" w:rsidP="007608DF">
      <w:pPr>
        <w:pStyle w:val="BodyText"/>
        <w:widowControl/>
        <w:spacing w:line="234" w:lineRule="auto"/>
        <w:ind w:left="0"/>
        <w:jc w:val="both"/>
        <w:rPr>
          <w:lang w:val="hr-HR"/>
        </w:rPr>
      </w:pPr>
      <w:r w:rsidRPr="00D6167B">
        <w:rPr>
          <w:lang w:val="hr-HR"/>
        </w:rPr>
        <w:t>Pacijenti su randomiz</w:t>
      </w:r>
      <w:r w:rsidR="0054799F">
        <w:rPr>
          <w:lang w:val="hr-HR"/>
        </w:rPr>
        <w:t xml:space="preserve">ovani ili u grupu koja je primala </w:t>
      </w:r>
      <w:r w:rsidRPr="00D6167B">
        <w:rPr>
          <w:lang w:val="hr-HR"/>
        </w:rPr>
        <w:t>hemoterapij</w:t>
      </w:r>
      <w:r w:rsidR="0054799F">
        <w:rPr>
          <w:lang w:val="hr-HR"/>
        </w:rPr>
        <w:t>u</w:t>
      </w:r>
      <w:r w:rsidRPr="00D6167B">
        <w:rPr>
          <w:lang w:val="hr-HR"/>
        </w:rPr>
        <w:t xml:space="preserve"> na bazi platine, cisplatin </w:t>
      </w:r>
      <w:r w:rsidR="0054799F">
        <w:rPr>
          <w:lang w:val="hr-HR"/>
        </w:rPr>
        <w:t xml:space="preserve">u dozi od </w:t>
      </w:r>
      <w:r w:rsidRPr="00D6167B">
        <w:rPr>
          <w:lang w:val="hr-HR"/>
        </w:rPr>
        <w:t>80 mg/m</w:t>
      </w:r>
      <w:r w:rsidRPr="00D6167B">
        <w:rPr>
          <w:vertAlign w:val="superscript"/>
          <w:lang w:val="hr-HR"/>
        </w:rPr>
        <w:t>2</w:t>
      </w:r>
      <w:r w:rsidRPr="00D6167B">
        <w:rPr>
          <w:lang w:val="hr-HR"/>
        </w:rPr>
        <w:t xml:space="preserve"> putem intravenske infuzije 1. dana i gemcitabin </w:t>
      </w:r>
      <w:r w:rsidR="0054799F">
        <w:rPr>
          <w:lang w:val="hr-HR"/>
        </w:rPr>
        <w:t xml:space="preserve">u dozi od </w:t>
      </w:r>
      <w:r w:rsidRPr="00D6167B">
        <w:rPr>
          <w:lang w:val="hr-HR"/>
        </w:rPr>
        <w:t>1250 mg/m</w:t>
      </w:r>
      <w:r w:rsidRPr="00D6167B">
        <w:rPr>
          <w:vertAlign w:val="superscript"/>
          <w:lang w:val="hr-HR"/>
        </w:rPr>
        <w:t>2</w:t>
      </w:r>
      <w:r w:rsidRPr="00D6167B">
        <w:rPr>
          <w:lang w:val="hr-HR"/>
        </w:rPr>
        <w:t xml:space="preserve"> putem intravenske infuzije 1. i 8. dana svakog 3-nedjeljnog ciklusa tokom najviše 6 ciklusa (CG) sa placebom ili </w:t>
      </w:r>
      <w:r w:rsidR="0054799F">
        <w:rPr>
          <w:lang w:val="hr-HR"/>
        </w:rPr>
        <w:t>u grupu koja je primala</w:t>
      </w:r>
      <w:r w:rsidR="0054799F" w:rsidRPr="00D6167B">
        <w:rPr>
          <w:lang w:val="hr-HR"/>
        </w:rPr>
        <w:t xml:space="preserve"> </w:t>
      </w:r>
      <w:r w:rsidRPr="00D6167B">
        <w:rPr>
          <w:lang w:val="hr-HR"/>
        </w:rPr>
        <w:t>C</w:t>
      </w:r>
      <w:r w:rsidR="0054799F">
        <w:rPr>
          <w:lang w:val="hr-HR"/>
        </w:rPr>
        <w:t>G</w:t>
      </w:r>
      <w:r w:rsidRPr="00D6167B">
        <w:rPr>
          <w:lang w:val="hr-HR"/>
        </w:rPr>
        <w:t xml:space="preserve"> u kombinaciji sa bevacizumabom u dozi od 7,5 ili 15 mg/kg u intravenskoj infuziji 1. dana svakog 3-nedjeljnog ciklusa. U </w:t>
      </w:r>
      <w:r w:rsidR="007907BF" w:rsidRPr="00D6167B">
        <w:rPr>
          <w:lang w:val="hr-HR"/>
        </w:rPr>
        <w:t xml:space="preserve">grupama </w:t>
      </w:r>
      <w:r w:rsidRPr="00D6167B">
        <w:rPr>
          <w:lang w:val="hr-HR"/>
        </w:rPr>
        <w:t>koj</w:t>
      </w:r>
      <w:r w:rsidR="007907BF" w:rsidRPr="00D6167B">
        <w:rPr>
          <w:lang w:val="hr-HR"/>
        </w:rPr>
        <w:t>e</w:t>
      </w:r>
      <w:r w:rsidRPr="00D6167B">
        <w:rPr>
          <w:lang w:val="hr-HR"/>
        </w:rPr>
        <w:t xml:space="preserve"> su </w:t>
      </w:r>
      <w:r w:rsidR="0054799F">
        <w:rPr>
          <w:lang w:val="hr-HR"/>
        </w:rPr>
        <w:t>primale</w:t>
      </w:r>
      <w:r w:rsidR="0054799F" w:rsidRPr="00D6167B">
        <w:rPr>
          <w:lang w:val="hr-HR"/>
        </w:rPr>
        <w:t xml:space="preserve"> </w:t>
      </w:r>
      <w:r w:rsidRPr="00D6167B">
        <w:rPr>
          <w:lang w:val="hr-HR"/>
        </w:rPr>
        <w:t>bevacizumab pacijenti su mogli da primaju bevacizumab kao monoterapiju svake 3 nedjelje do progresije bolesti ili neprihvatljive toksičnosti. Rezultati ovog ispitivanja pokazuju da je 94% (277/296) pacijenata koji su ispunjavali uslove nastavilo da prima monoterapiju bevacizumabom u 7. ciklusu. Veliki procenat pacijenata (približno 62%) nastavio je da prima različite terapije protiv karcinoma, koje nijesu bile predviđene protokolom, što je moglo da utiče na analizu ukupnog preživljavanja.</w:t>
      </w:r>
    </w:p>
    <w:p w14:paraId="254E5416" w14:textId="77777777" w:rsidR="00897DAB" w:rsidRPr="00D6167B" w:rsidRDefault="00897DAB" w:rsidP="007608DF">
      <w:pPr>
        <w:pStyle w:val="BodyText"/>
        <w:widowControl/>
        <w:spacing w:line="234" w:lineRule="auto"/>
        <w:ind w:left="0"/>
        <w:jc w:val="both"/>
        <w:rPr>
          <w:lang w:val="hr-HR"/>
        </w:rPr>
      </w:pPr>
    </w:p>
    <w:p w14:paraId="48FC9440" w14:textId="77777777" w:rsidR="00D15122" w:rsidRPr="00D6167B" w:rsidRDefault="009B0756" w:rsidP="007608DF">
      <w:pPr>
        <w:pStyle w:val="BodyText"/>
        <w:keepNext/>
        <w:widowControl/>
        <w:ind w:left="0"/>
        <w:jc w:val="both"/>
        <w:rPr>
          <w:lang w:val="hr-HR"/>
        </w:rPr>
      </w:pPr>
      <w:r w:rsidRPr="00D6167B">
        <w:rPr>
          <w:lang w:val="hr-HR"/>
        </w:rPr>
        <w:lastRenderedPageBreak/>
        <w:t>Rezultati efikasnosti su prikazani u tabeli 13.</w:t>
      </w:r>
    </w:p>
    <w:p w14:paraId="1CD0474D" w14:textId="77777777" w:rsidR="00D15122" w:rsidRPr="00D6167B" w:rsidRDefault="00D15122" w:rsidP="007608DF">
      <w:pPr>
        <w:keepNext/>
        <w:widowControl/>
        <w:jc w:val="both"/>
        <w:rPr>
          <w:rFonts w:ascii="Times New Roman" w:eastAsia="Times New Roman" w:hAnsi="Times New Roman"/>
          <w:lang w:val="hr-HR"/>
        </w:rPr>
      </w:pPr>
    </w:p>
    <w:p w14:paraId="7D4C0599" w14:textId="77777777" w:rsidR="00D15122" w:rsidRPr="00D6167B" w:rsidRDefault="009B0756" w:rsidP="007608DF">
      <w:pPr>
        <w:pStyle w:val="Heading1"/>
        <w:keepNext/>
        <w:widowControl/>
        <w:ind w:left="0"/>
        <w:jc w:val="both"/>
        <w:rPr>
          <w:bCs w:val="0"/>
          <w:lang w:val="hr-HR"/>
        </w:rPr>
      </w:pPr>
      <w:r w:rsidRPr="00D6167B">
        <w:rPr>
          <w:lang w:val="hr-HR"/>
        </w:rPr>
        <w:t>Tabela 13</w:t>
      </w:r>
      <w:r w:rsidRPr="00D6167B">
        <w:rPr>
          <w:lang w:val="hr-HR"/>
        </w:rPr>
        <w:tab/>
        <w:t>Rezultati efikasnosti za ispitivanje BO17704</w:t>
      </w:r>
    </w:p>
    <w:p w14:paraId="687FBA5D" w14:textId="77777777" w:rsidR="00D15122" w:rsidRPr="00D6167B" w:rsidRDefault="00D15122" w:rsidP="007608DF">
      <w:pPr>
        <w:keepNext/>
        <w:widowControl/>
        <w:jc w:val="both"/>
        <w:rPr>
          <w:rFonts w:ascii="Times New Roman" w:eastAsia="Times New Roman" w:hAnsi="Times New Roman"/>
          <w:bCs/>
          <w:sz w:val="20"/>
          <w:szCs w:val="20"/>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024"/>
        <w:gridCol w:w="2316"/>
        <w:gridCol w:w="2393"/>
        <w:gridCol w:w="2345"/>
      </w:tblGrid>
      <w:tr w:rsidR="004C384A" w:rsidRPr="00D6167B" w14:paraId="17F4B0C4" w14:textId="77777777" w:rsidTr="002C0B97">
        <w:trPr>
          <w:cantSplit/>
        </w:trPr>
        <w:tc>
          <w:tcPr>
            <w:tcW w:w="1884" w:type="dxa"/>
          </w:tcPr>
          <w:p w14:paraId="071D5E53" w14:textId="77777777" w:rsidR="004C384A" w:rsidRPr="00D6167B" w:rsidRDefault="004C384A" w:rsidP="007608DF">
            <w:pPr>
              <w:keepNext/>
              <w:widowControl/>
              <w:jc w:val="both"/>
              <w:rPr>
                <w:rFonts w:ascii="Times New Roman" w:hAnsi="Times New Roman"/>
                <w:lang w:val="hr-HR"/>
              </w:rPr>
            </w:pPr>
          </w:p>
        </w:tc>
        <w:tc>
          <w:tcPr>
            <w:tcW w:w="2155" w:type="dxa"/>
          </w:tcPr>
          <w:p w14:paraId="0CB85625" w14:textId="77777777" w:rsidR="004C384A" w:rsidRPr="00D6167B" w:rsidRDefault="004C384A" w:rsidP="00D37692">
            <w:pPr>
              <w:pStyle w:val="TableParagraph"/>
              <w:keepNext/>
              <w:widowControl/>
              <w:jc w:val="center"/>
              <w:rPr>
                <w:rFonts w:ascii="Times New Roman" w:eastAsia="Times New Roman" w:hAnsi="Times New Roman"/>
                <w:sz w:val="23"/>
                <w:szCs w:val="23"/>
                <w:lang w:val="hr-HR"/>
              </w:rPr>
            </w:pPr>
          </w:p>
          <w:p w14:paraId="16CD8191"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Cisplatin/gemcitabin + placebo</w:t>
            </w:r>
          </w:p>
        </w:tc>
        <w:tc>
          <w:tcPr>
            <w:tcW w:w="2227" w:type="dxa"/>
          </w:tcPr>
          <w:p w14:paraId="64F04D06"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Cisplatin/gemcitabin + bevacizumab 7,5 mg/kg na svake 3 nedjelje</w:t>
            </w:r>
          </w:p>
        </w:tc>
        <w:tc>
          <w:tcPr>
            <w:tcW w:w="2182" w:type="dxa"/>
          </w:tcPr>
          <w:p w14:paraId="71C7C59B"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Cisplatin/gemcitabin + bevacizumab 15 mg/kg na svake 3 nedjelje</w:t>
            </w:r>
          </w:p>
        </w:tc>
      </w:tr>
      <w:tr w:rsidR="004C384A" w:rsidRPr="00D6167B" w14:paraId="7D23D24A" w14:textId="77777777" w:rsidTr="002C0B97">
        <w:trPr>
          <w:cantSplit/>
        </w:trPr>
        <w:tc>
          <w:tcPr>
            <w:tcW w:w="1884" w:type="dxa"/>
            <w:tcBorders>
              <w:bottom w:val="single" w:sz="4" w:space="0" w:color="000000"/>
            </w:tcBorders>
          </w:tcPr>
          <w:p w14:paraId="212E0095" w14:textId="77777777" w:rsidR="004C384A" w:rsidRPr="00D6167B" w:rsidRDefault="004C384A"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Broj pacijenata</w:t>
            </w:r>
          </w:p>
        </w:tc>
        <w:tc>
          <w:tcPr>
            <w:tcW w:w="2155" w:type="dxa"/>
            <w:tcBorders>
              <w:bottom w:val="single" w:sz="4" w:space="0" w:color="000000"/>
            </w:tcBorders>
          </w:tcPr>
          <w:p w14:paraId="7CD92280"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347</w:t>
            </w:r>
          </w:p>
        </w:tc>
        <w:tc>
          <w:tcPr>
            <w:tcW w:w="2227" w:type="dxa"/>
            <w:tcBorders>
              <w:bottom w:val="single" w:sz="4" w:space="0" w:color="000000"/>
            </w:tcBorders>
          </w:tcPr>
          <w:p w14:paraId="310D888E"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345</w:t>
            </w:r>
          </w:p>
        </w:tc>
        <w:tc>
          <w:tcPr>
            <w:tcW w:w="2182" w:type="dxa"/>
            <w:tcBorders>
              <w:bottom w:val="single" w:sz="4" w:space="0" w:color="000000"/>
            </w:tcBorders>
          </w:tcPr>
          <w:p w14:paraId="6F3C7365"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351</w:t>
            </w:r>
          </w:p>
        </w:tc>
      </w:tr>
      <w:tr w:rsidR="004C384A" w:rsidRPr="00D6167B" w14:paraId="237DA6AF" w14:textId="77777777" w:rsidTr="002C0B97">
        <w:trPr>
          <w:cantSplit/>
        </w:trPr>
        <w:tc>
          <w:tcPr>
            <w:tcW w:w="1884" w:type="dxa"/>
            <w:tcBorders>
              <w:bottom w:val="nil"/>
            </w:tcBorders>
          </w:tcPr>
          <w:p w14:paraId="62475099" w14:textId="77777777" w:rsidR="004C384A" w:rsidRPr="00D6167B" w:rsidRDefault="004C384A" w:rsidP="00D37692">
            <w:pPr>
              <w:pStyle w:val="TableParagraph"/>
              <w:keepNext/>
              <w:widowControl/>
              <w:rPr>
                <w:rFonts w:ascii="Times New Roman" w:hAnsi="Times New Roman"/>
                <w:spacing w:val="-1"/>
                <w:lang w:val="hr-HR"/>
              </w:rPr>
            </w:pPr>
            <w:r w:rsidRPr="00D6167B">
              <w:rPr>
                <w:rFonts w:ascii="Times New Roman" w:hAnsi="Times New Roman"/>
                <w:lang w:val="hr-HR"/>
              </w:rPr>
              <w:t>Preživljavanje bez progresije</w:t>
            </w:r>
          </w:p>
        </w:tc>
        <w:tc>
          <w:tcPr>
            <w:tcW w:w="2155" w:type="dxa"/>
            <w:tcBorders>
              <w:bottom w:val="nil"/>
            </w:tcBorders>
          </w:tcPr>
          <w:p w14:paraId="64EBF730" w14:textId="77777777" w:rsidR="004C384A" w:rsidRPr="00D6167B" w:rsidRDefault="004C384A" w:rsidP="007608DF">
            <w:pPr>
              <w:pStyle w:val="TableParagraph"/>
              <w:keepNext/>
              <w:widowControl/>
              <w:jc w:val="both"/>
              <w:rPr>
                <w:rFonts w:ascii="Times New Roman" w:hAnsi="Times New Roman"/>
                <w:spacing w:val="-1"/>
                <w:lang w:val="hr-HR"/>
              </w:rPr>
            </w:pPr>
          </w:p>
        </w:tc>
        <w:tc>
          <w:tcPr>
            <w:tcW w:w="2227" w:type="dxa"/>
            <w:tcBorders>
              <w:bottom w:val="nil"/>
            </w:tcBorders>
          </w:tcPr>
          <w:p w14:paraId="4B76E512" w14:textId="77777777" w:rsidR="004C384A" w:rsidRPr="00D6167B" w:rsidRDefault="004C384A" w:rsidP="007608DF">
            <w:pPr>
              <w:pStyle w:val="TableParagraph"/>
              <w:keepNext/>
              <w:widowControl/>
              <w:jc w:val="both"/>
              <w:rPr>
                <w:rFonts w:ascii="Times New Roman" w:hAnsi="Times New Roman"/>
                <w:spacing w:val="-1"/>
                <w:lang w:val="hr-HR"/>
              </w:rPr>
            </w:pPr>
          </w:p>
        </w:tc>
        <w:tc>
          <w:tcPr>
            <w:tcW w:w="2182" w:type="dxa"/>
            <w:tcBorders>
              <w:bottom w:val="nil"/>
            </w:tcBorders>
          </w:tcPr>
          <w:p w14:paraId="2B3ECE50" w14:textId="77777777" w:rsidR="004C384A" w:rsidRPr="00D6167B" w:rsidRDefault="004C384A" w:rsidP="007608DF">
            <w:pPr>
              <w:pStyle w:val="TableParagraph"/>
              <w:keepNext/>
              <w:widowControl/>
              <w:jc w:val="both"/>
              <w:rPr>
                <w:rFonts w:ascii="Times New Roman" w:hAnsi="Times New Roman"/>
                <w:spacing w:val="-1"/>
                <w:lang w:val="hr-HR"/>
              </w:rPr>
            </w:pPr>
          </w:p>
        </w:tc>
      </w:tr>
      <w:tr w:rsidR="004C384A" w:rsidRPr="00D6167B" w14:paraId="280594BD" w14:textId="77777777" w:rsidTr="002C0B97">
        <w:trPr>
          <w:cantSplit/>
        </w:trPr>
        <w:tc>
          <w:tcPr>
            <w:tcW w:w="1884" w:type="dxa"/>
            <w:tcBorders>
              <w:top w:val="nil"/>
              <w:bottom w:val="nil"/>
            </w:tcBorders>
          </w:tcPr>
          <w:p w14:paraId="26705653" w14:textId="77777777" w:rsidR="004C384A" w:rsidRPr="00D6167B" w:rsidRDefault="004C384A" w:rsidP="00D37692">
            <w:pPr>
              <w:pStyle w:val="TableParagraph"/>
              <w:keepNext/>
              <w:widowControl/>
              <w:rPr>
                <w:rFonts w:ascii="Times New Roman" w:eastAsia="Times New Roman" w:hAnsi="Times New Roman"/>
                <w:lang w:val="hr-HR"/>
              </w:rPr>
            </w:pPr>
            <w:r w:rsidRPr="00D6167B">
              <w:rPr>
                <w:rFonts w:ascii="Times New Roman" w:hAnsi="Times New Roman"/>
                <w:lang w:val="hr-HR"/>
              </w:rPr>
              <w:t>Srednja vrijednost (mjeseci)</w:t>
            </w:r>
          </w:p>
        </w:tc>
        <w:tc>
          <w:tcPr>
            <w:tcW w:w="2155" w:type="dxa"/>
            <w:tcBorders>
              <w:top w:val="nil"/>
              <w:bottom w:val="nil"/>
            </w:tcBorders>
          </w:tcPr>
          <w:p w14:paraId="3EAC8452"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6,1</w:t>
            </w:r>
          </w:p>
        </w:tc>
        <w:tc>
          <w:tcPr>
            <w:tcW w:w="2227" w:type="dxa"/>
            <w:tcBorders>
              <w:top w:val="nil"/>
              <w:bottom w:val="nil"/>
            </w:tcBorders>
          </w:tcPr>
          <w:p w14:paraId="7B5D1347" w14:textId="77777777" w:rsidR="00AD0244" w:rsidRPr="00D6167B" w:rsidRDefault="004C384A" w:rsidP="00D37692">
            <w:pPr>
              <w:pStyle w:val="TableParagraph"/>
              <w:keepNext/>
              <w:widowControl/>
              <w:jc w:val="center"/>
              <w:rPr>
                <w:rFonts w:ascii="Times New Roman" w:hAnsi="Times New Roman"/>
                <w:lang w:val="hr-HR"/>
              </w:rPr>
            </w:pPr>
            <w:r w:rsidRPr="00D6167B">
              <w:rPr>
                <w:rFonts w:ascii="Times New Roman" w:hAnsi="Times New Roman"/>
                <w:lang w:val="hr-HR"/>
              </w:rPr>
              <w:t>6,7</w:t>
            </w:r>
          </w:p>
          <w:p w14:paraId="3CB994A9"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 0,0026)</w:t>
            </w:r>
          </w:p>
        </w:tc>
        <w:tc>
          <w:tcPr>
            <w:tcW w:w="2182" w:type="dxa"/>
            <w:tcBorders>
              <w:top w:val="nil"/>
              <w:bottom w:val="nil"/>
            </w:tcBorders>
          </w:tcPr>
          <w:p w14:paraId="3688F9A0" w14:textId="22A84E50" w:rsidR="00AD0244" w:rsidRPr="00D6167B" w:rsidRDefault="004C384A" w:rsidP="00D37692">
            <w:pPr>
              <w:pStyle w:val="TableParagraph"/>
              <w:keepNext/>
              <w:widowControl/>
              <w:jc w:val="center"/>
              <w:rPr>
                <w:rFonts w:ascii="Times New Roman" w:hAnsi="Times New Roman"/>
                <w:lang w:val="hr-HR"/>
              </w:rPr>
            </w:pPr>
            <w:r w:rsidRPr="00D6167B">
              <w:rPr>
                <w:rFonts w:ascii="Times New Roman" w:hAnsi="Times New Roman"/>
                <w:lang w:val="hr-HR"/>
              </w:rPr>
              <w:t>6,5</w:t>
            </w:r>
          </w:p>
          <w:p w14:paraId="3FDD4DFC"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 0,0301)</w:t>
            </w:r>
          </w:p>
        </w:tc>
      </w:tr>
      <w:tr w:rsidR="004C384A" w:rsidRPr="00D6167B" w14:paraId="7B960B96" w14:textId="77777777" w:rsidTr="002C0B97">
        <w:trPr>
          <w:cantSplit/>
        </w:trPr>
        <w:tc>
          <w:tcPr>
            <w:tcW w:w="1884" w:type="dxa"/>
            <w:tcBorders>
              <w:top w:val="nil"/>
            </w:tcBorders>
          </w:tcPr>
          <w:p w14:paraId="7927E87B" w14:textId="77777777" w:rsidR="004C384A" w:rsidRPr="00D6167B" w:rsidRDefault="004C384A" w:rsidP="00D37692">
            <w:pPr>
              <w:pStyle w:val="TableParagraph"/>
              <w:keepNext/>
              <w:widowControl/>
              <w:rPr>
                <w:rFonts w:ascii="Times New Roman" w:hAnsi="Times New Roman"/>
                <w:spacing w:val="-1"/>
                <w:lang w:val="hr-HR"/>
              </w:rPr>
            </w:pPr>
            <w:r w:rsidRPr="00D6167B">
              <w:rPr>
                <w:rFonts w:ascii="Times New Roman" w:hAnsi="Times New Roman"/>
                <w:lang w:val="hr-HR"/>
              </w:rPr>
              <w:t>Odnos rizika</w:t>
            </w:r>
          </w:p>
        </w:tc>
        <w:tc>
          <w:tcPr>
            <w:tcW w:w="2155" w:type="dxa"/>
            <w:tcBorders>
              <w:top w:val="nil"/>
            </w:tcBorders>
          </w:tcPr>
          <w:p w14:paraId="0B0E9E03" w14:textId="77777777" w:rsidR="004C384A" w:rsidRPr="00D6167B" w:rsidRDefault="004C384A" w:rsidP="007608DF">
            <w:pPr>
              <w:pStyle w:val="TableParagraph"/>
              <w:keepNext/>
              <w:widowControl/>
              <w:jc w:val="both"/>
              <w:rPr>
                <w:rFonts w:ascii="Times New Roman" w:hAnsi="Times New Roman"/>
                <w:spacing w:val="-1"/>
                <w:lang w:val="hr-HR"/>
              </w:rPr>
            </w:pPr>
          </w:p>
        </w:tc>
        <w:tc>
          <w:tcPr>
            <w:tcW w:w="2227" w:type="dxa"/>
            <w:tcBorders>
              <w:top w:val="nil"/>
            </w:tcBorders>
          </w:tcPr>
          <w:p w14:paraId="4AD09F26" w14:textId="77777777" w:rsidR="004C384A" w:rsidRPr="00D6167B" w:rsidRDefault="004C384A" w:rsidP="00D37692">
            <w:pPr>
              <w:pStyle w:val="TableParagraph"/>
              <w:keepNext/>
              <w:widowControl/>
              <w:jc w:val="center"/>
              <w:rPr>
                <w:rFonts w:ascii="Times New Roman" w:hAnsi="Times New Roman"/>
                <w:spacing w:val="-1"/>
                <w:lang w:val="hr-HR"/>
              </w:rPr>
            </w:pPr>
            <w:r w:rsidRPr="00D6167B">
              <w:rPr>
                <w:rFonts w:ascii="Times New Roman" w:hAnsi="Times New Roman"/>
                <w:lang w:val="hr-HR"/>
              </w:rPr>
              <w:t>0,75</w:t>
            </w:r>
          </w:p>
          <w:p w14:paraId="40764846" w14:textId="77777777" w:rsidR="004C384A" w:rsidRPr="00D6167B" w:rsidRDefault="004C384A" w:rsidP="00D37692">
            <w:pPr>
              <w:pStyle w:val="TableParagraph"/>
              <w:keepNext/>
              <w:widowControl/>
              <w:jc w:val="center"/>
              <w:rPr>
                <w:rFonts w:ascii="Times New Roman" w:hAnsi="Times New Roman"/>
                <w:spacing w:val="-1"/>
                <w:lang w:val="hr-HR"/>
              </w:rPr>
            </w:pPr>
            <w:r w:rsidRPr="00D6167B">
              <w:rPr>
                <w:rFonts w:ascii="Times New Roman" w:hAnsi="Times New Roman"/>
                <w:lang w:val="hr-HR"/>
              </w:rPr>
              <w:t>[0,62; 0,91]</w:t>
            </w:r>
          </w:p>
        </w:tc>
        <w:tc>
          <w:tcPr>
            <w:tcW w:w="2182" w:type="dxa"/>
            <w:tcBorders>
              <w:top w:val="nil"/>
            </w:tcBorders>
          </w:tcPr>
          <w:p w14:paraId="14BF8C9C" w14:textId="77777777" w:rsidR="004C384A" w:rsidRPr="00D6167B" w:rsidRDefault="004C384A" w:rsidP="00D37692">
            <w:pPr>
              <w:pStyle w:val="TableParagraph"/>
              <w:keepNext/>
              <w:widowControl/>
              <w:jc w:val="center"/>
              <w:rPr>
                <w:rFonts w:ascii="Times New Roman" w:hAnsi="Times New Roman"/>
                <w:spacing w:val="-1"/>
                <w:lang w:val="hr-HR"/>
              </w:rPr>
            </w:pPr>
            <w:r w:rsidRPr="00D6167B">
              <w:rPr>
                <w:rFonts w:ascii="Times New Roman" w:hAnsi="Times New Roman"/>
                <w:lang w:val="hr-HR"/>
              </w:rPr>
              <w:t>0,82</w:t>
            </w:r>
          </w:p>
          <w:p w14:paraId="1381F4B9" w14:textId="77777777" w:rsidR="004C384A" w:rsidRPr="00D6167B" w:rsidRDefault="004C384A" w:rsidP="00D37692">
            <w:pPr>
              <w:pStyle w:val="TableParagraph"/>
              <w:keepNext/>
              <w:widowControl/>
              <w:jc w:val="center"/>
              <w:rPr>
                <w:rFonts w:ascii="Times New Roman" w:hAnsi="Times New Roman"/>
                <w:spacing w:val="-1"/>
                <w:lang w:val="hr-HR"/>
              </w:rPr>
            </w:pPr>
            <w:r w:rsidRPr="00D6167B">
              <w:rPr>
                <w:rFonts w:ascii="Times New Roman" w:hAnsi="Times New Roman"/>
                <w:lang w:val="hr-HR"/>
              </w:rPr>
              <w:t>[0,68; 0,98]</w:t>
            </w:r>
          </w:p>
        </w:tc>
      </w:tr>
      <w:tr w:rsidR="004C384A" w:rsidRPr="00D6167B" w14:paraId="4B8823CE" w14:textId="77777777" w:rsidTr="002C0B97">
        <w:trPr>
          <w:cantSplit/>
        </w:trPr>
        <w:tc>
          <w:tcPr>
            <w:tcW w:w="1884" w:type="dxa"/>
          </w:tcPr>
          <w:p w14:paraId="4647640A" w14:textId="77777777" w:rsidR="004C384A" w:rsidRPr="00D6167B" w:rsidRDefault="004C384A" w:rsidP="007608DF">
            <w:pPr>
              <w:pStyle w:val="TableParagraph"/>
              <w:keepNext/>
              <w:widowControl/>
              <w:ind w:right="597"/>
              <w:jc w:val="both"/>
              <w:rPr>
                <w:rFonts w:ascii="Times New Roman" w:eastAsia="Times New Roman" w:hAnsi="Times New Roman"/>
                <w:sz w:val="14"/>
                <w:szCs w:val="14"/>
                <w:lang w:val="hr-HR"/>
              </w:rPr>
            </w:pPr>
            <w:r w:rsidRPr="00D6167B">
              <w:rPr>
                <w:rFonts w:ascii="Times New Roman" w:hAnsi="Times New Roman"/>
                <w:lang w:val="hr-HR"/>
              </w:rPr>
              <w:t>Najbolja stopa ukupnog odgovora</w:t>
            </w:r>
            <w:r w:rsidRPr="00D6167B">
              <w:rPr>
                <w:rFonts w:ascii="Times New Roman" w:hAnsi="Times New Roman"/>
                <w:vertAlign w:val="superscript"/>
                <w:lang w:val="hr-HR"/>
              </w:rPr>
              <w:t>a</w:t>
            </w:r>
          </w:p>
        </w:tc>
        <w:tc>
          <w:tcPr>
            <w:tcW w:w="2155" w:type="dxa"/>
          </w:tcPr>
          <w:p w14:paraId="3BD5B8DD" w14:textId="77777777" w:rsidR="004C384A" w:rsidRPr="00D6167B" w:rsidRDefault="004C384A" w:rsidP="00D37692">
            <w:pPr>
              <w:pStyle w:val="TableParagraph"/>
              <w:keepNext/>
              <w:widowControl/>
              <w:ind w:right="1"/>
              <w:jc w:val="center"/>
              <w:rPr>
                <w:rFonts w:ascii="Times New Roman" w:eastAsia="Times New Roman" w:hAnsi="Times New Roman"/>
                <w:lang w:val="hr-HR"/>
              </w:rPr>
            </w:pPr>
            <w:r w:rsidRPr="00D6167B">
              <w:rPr>
                <w:rFonts w:ascii="Times New Roman" w:hAnsi="Times New Roman"/>
                <w:lang w:val="hr-HR"/>
              </w:rPr>
              <w:t>20,1%</w:t>
            </w:r>
          </w:p>
        </w:tc>
        <w:tc>
          <w:tcPr>
            <w:tcW w:w="2227" w:type="dxa"/>
          </w:tcPr>
          <w:p w14:paraId="1121B8F9"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34,1%</w:t>
            </w:r>
          </w:p>
          <w:p w14:paraId="55C1F542"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(p&lt; 0,0001)</w:t>
            </w:r>
          </w:p>
        </w:tc>
        <w:tc>
          <w:tcPr>
            <w:tcW w:w="2182" w:type="dxa"/>
          </w:tcPr>
          <w:p w14:paraId="0CEAC5CA" w14:textId="2DD1080A" w:rsidR="00AD0244" w:rsidRPr="00D6167B" w:rsidRDefault="004C384A" w:rsidP="00D37692">
            <w:pPr>
              <w:pStyle w:val="TableParagraph"/>
              <w:keepNext/>
              <w:widowControl/>
              <w:jc w:val="center"/>
              <w:rPr>
                <w:rFonts w:ascii="Times New Roman" w:hAnsi="Times New Roman"/>
                <w:lang w:val="hr-HR"/>
              </w:rPr>
            </w:pPr>
            <w:r w:rsidRPr="00D6167B">
              <w:rPr>
                <w:rFonts w:ascii="Times New Roman" w:hAnsi="Times New Roman"/>
                <w:lang w:val="hr-HR"/>
              </w:rPr>
              <w:t>30,4%</w:t>
            </w:r>
          </w:p>
          <w:p w14:paraId="25B27D92" w14:textId="77777777" w:rsidR="004C384A" w:rsidRPr="00D6167B" w:rsidRDefault="004C384A"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(p= 0,0023)</w:t>
            </w:r>
          </w:p>
        </w:tc>
      </w:tr>
    </w:tbl>
    <w:p w14:paraId="40D2608A" w14:textId="77777777" w:rsidR="00D15122" w:rsidRPr="00D6167B" w:rsidRDefault="00AD0244" w:rsidP="007608DF">
      <w:pPr>
        <w:keepNext/>
        <w:widowControl/>
        <w:ind w:left="1080" w:hanging="540"/>
        <w:jc w:val="both"/>
        <w:rPr>
          <w:rFonts w:ascii="Times New Roman" w:eastAsia="Times New Roman" w:hAnsi="Times New Roman"/>
          <w:sz w:val="20"/>
          <w:szCs w:val="20"/>
          <w:lang w:val="hr-HR"/>
        </w:rPr>
      </w:pPr>
      <w:r w:rsidRPr="00D6167B">
        <w:rPr>
          <w:rFonts w:ascii="Times New Roman" w:hAnsi="Times New Roman"/>
          <w:vertAlign w:val="superscript"/>
          <w:lang w:val="hr-HR"/>
        </w:rPr>
        <w:t xml:space="preserve">a </w:t>
      </w:r>
      <w:r w:rsidRPr="00D6167B">
        <w:rPr>
          <w:rFonts w:ascii="Times New Roman" w:hAnsi="Times New Roman"/>
          <w:sz w:val="20"/>
          <w:lang w:val="hr-HR"/>
        </w:rPr>
        <w:t>pacijenti sa mjerljivom bolešću na početnom nivou</w:t>
      </w:r>
    </w:p>
    <w:p w14:paraId="61CE6BA4" w14:textId="77777777" w:rsidR="00D15122" w:rsidRPr="00D6167B" w:rsidRDefault="00D15122" w:rsidP="007608DF">
      <w:pPr>
        <w:keepNext/>
        <w:widowControl/>
        <w:jc w:val="both"/>
        <w:rPr>
          <w:rFonts w:ascii="Times New Roman" w:eastAsia="Times New Roman" w:hAnsi="Times New Roman"/>
          <w:sz w:val="19"/>
          <w:szCs w:val="19"/>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28"/>
        <w:gridCol w:w="2318"/>
        <w:gridCol w:w="2414"/>
        <w:gridCol w:w="2318"/>
      </w:tblGrid>
      <w:tr w:rsidR="00D15122" w:rsidRPr="00D6167B" w14:paraId="0EE84906" w14:textId="77777777" w:rsidTr="002C0B97">
        <w:trPr>
          <w:cantSplit/>
        </w:trPr>
        <w:tc>
          <w:tcPr>
            <w:tcW w:w="8460" w:type="dxa"/>
            <w:gridSpan w:val="4"/>
          </w:tcPr>
          <w:p w14:paraId="470466CB"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Ukupno preživljavanje</w:t>
            </w:r>
          </w:p>
        </w:tc>
      </w:tr>
      <w:tr w:rsidR="00D15122" w:rsidRPr="00D6167B" w14:paraId="37671B5B" w14:textId="77777777" w:rsidTr="002C0B97">
        <w:trPr>
          <w:cantSplit/>
        </w:trPr>
        <w:tc>
          <w:tcPr>
            <w:tcW w:w="1890" w:type="dxa"/>
            <w:tcBorders>
              <w:bottom w:val="nil"/>
            </w:tcBorders>
          </w:tcPr>
          <w:p w14:paraId="00462567" w14:textId="77777777" w:rsidR="00D15122" w:rsidRPr="00D6167B" w:rsidRDefault="009B0756" w:rsidP="00D37692">
            <w:pPr>
              <w:pStyle w:val="TableParagraph"/>
              <w:keepNext/>
              <w:widowControl/>
              <w:rPr>
                <w:rFonts w:ascii="Times New Roman" w:eastAsia="Times New Roman" w:hAnsi="Times New Roman"/>
                <w:lang w:val="hr-HR"/>
              </w:rPr>
            </w:pPr>
            <w:r w:rsidRPr="00D6167B">
              <w:rPr>
                <w:rFonts w:ascii="Times New Roman" w:hAnsi="Times New Roman"/>
                <w:lang w:val="hr-HR"/>
              </w:rPr>
              <w:t>Srednja vrijednost (mjeseci)</w:t>
            </w:r>
          </w:p>
        </w:tc>
        <w:tc>
          <w:tcPr>
            <w:tcW w:w="2160" w:type="dxa"/>
            <w:tcBorders>
              <w:bottom w:val="nil"/>
            </w:tcBorders>
          </w:tcPr>
          <w:p w14:paraId="1E15991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13,1</w:t>
            </w:r>
          </w:p>
        </w:tc>
        <w:tc>
          <w:tcPr>
            <w:tcW w:w="2250" w:type="dxa"/>
            <w:tcBorders>
              <w:bottom w:val="nil"/>
            </w:tcBorders>
          </w:tcPr>
          <w:p w14:paraId="3D9DE0F1" w14:textId="472E2B38" w:rsidR="00AD0244" w:rsidRPr="00D6167B" w:rsidRDefault="009B0756" w:rsidP="00D37692">
            <w:pPr>
              <w:pStyle w:val="TableParagraph"/>
              <w:keepNext/>
              <w:widowControl/>
              <w:ind w:right="5"/>
              <w:jc w:val="center"/>
              <w:rPr>
                <w:rFonts w:ascii="Times New Roman" w:hAnsi="Times New Roman"/>
                <w:lang w:val="hr-HR"/>
              </w:rPr>
            </w:pPr>
            <w:r w:rsidRPr="00D6167B">
              <w:rPr>
                <w:rFonts w:ascii="Times New Roman" w:hAnsi="Times New Roman"/>
                <w:lang w:val="hr-HR"/>
              </w:rPr>
              <w:t>13,6</w:t>
            </w:r>
          </w:p>
          <w:p w14:paraId="6CCB5584" w14:textId="77777777" w:rsidR="00D15122" w:rsidRPr="00D6167B" w:rsidRDefault="009B0756" w:rsidP="00D37692">
            <w:pPr>
              <w:pStyle w:val="TableParagraph"/>
              <w:keepNext/>
              <w:widowControl/>
              <w:ind w:right="5"/>
              <w:jc w:val="center"/>
              <w:rPr>
                <w:rFonts w:ascii="Times New Roman" w:eastAsia="Times New Roman" w:hAnsi="Times New Roman"/>
                <w:lang w:val="hr-HR"/>
              </w:rPr>
            </w:pPr>
            <w:r w:rsidRPr="00D6167B">
              <w:rPr>
                <w:rFonts w:ascii="Times New Roman" w:hAnsi="Times New Roman"/>
                <w:lang w:val="hr-HR"/>
              </w:rPr>
              <w:t>(p= 0,4203)</w:t>
            </w:r>
          </w:p>
        </w:tc>
        <w:tc>
          <w:tcPr>
            <w:tcW w:w="2160" w:type="dxa"/>
            <w:tcBorders>
              <w:bottom w:val="nil"/>
            </w:tcBorders>
          </w:tcPr>
          <w:p w14:paraId="4F9C8C3C" w14:textId="513CD70A" w:rsidR="00AD0244" w:rsidRPr="00D6167B" w:rsidRDefault="009B0756" w:rsidP="00D37692">
            <w:pPr>
              <w:pStyle w:val="TableParagraph"/>
              <w:keepNext/>
              <w:widowControl/>
              <w:ind w:right="5"/>
              <w:jc w:val="center"/>
              <w:rPr>
                <w:rFonts w:ascii="Times New Roman" w:hAnsi="Times New Roman"/>
                <w:lang w:val="hr-HR"/>
              </w:rPr>
            </w:pPr>
            <w:r w:rsidRPr="00D6167B">
              <w:rPr>
                <w:rFonts w:ascii="Times New Roman" w:hAnsi="Times New Roman"/>
                <w:lang w:val="hr-HR"/>
              </w:rPr>
              <w:t>13,4</w:t>
            </w:r>
          </w:p>
          <w:p w14:paraId="43BCA733" w14:textId="77777777" w:rsidR="00D15122" w:rsidRPr="00D6167B" w:rsidRDefault="009B0756" w:rsidP="00D37692">
            <w:pPr>
              <w:pStyle w:val="TableParagraph"/>
              <w:keepNext/>
              <w:widowControl/>
              <w:ind w:right="5"/>
              <w:jc w:val="center"/>
              <w:rPr>
                <w:rFonts w:ascii="Times New Roman" w:eastAsia="Times New Roman" w:hAnsi="Times New Roman"/>
                <w:lang w:val="hr-HR"/>
              </w:rPr>
            </w:pPr>
            <w:r w:rsidRPr="00D6167B">
              <w:rPr>
                <w:rFonts w:ascii="Times New Roman" w:hAnsi="Times New Roman"/>
                <w:lang w:val="hr-HR"/>
              </w:rPr>
              <w:t>(p= 0,7613)</w:t>
            </w:r>
          </w:p>
        </w:tc>
      </w:tr>
      <w:tr w:rsidR="00D15122" w:rsidRPr="00D6167B" w14:paraId="23B74380" w14:textId="77777777" w:rsidTr="002C0B97">
        <w:trPr>
          <w:cantSplit/>
        </w:trPr>
        <w:tc>
          <w:tcPr>
            <w:tcW w:w="1890" w:type="dxa"/>
            <w:tcBorders>
              <w:top w:val="nil"/>
            </w:tcBorders>
          </w:tcPr>
          <w:p w14:paraId="09914502" w14:textId="77777777" w:rsidR="00D15122" w:rsidRPr="00D6167B" w:rsidRDefault="009B0756" w:rsidP="00D37692">
            <w:pPr>
              <w:pStyle w:val="TableParagraph"/>
              <w:keepNext/>
              <w:widowControl/>
              <w:rPr>
                <w:rFonts w:ascii="Times New Roman" w:eastAsia="Times New Roman" w:hAnsi="Times New Roman"/>
                <w:lang w:val="hr-HR"/>
              </w:rPr>
            </w:pPr>
            <w:r w:rsidRPr="00D6167B">
              <w:rPr>
                <w:rFonts w:ascii="Times New Roman" w:hAnsi="Times New Roman"/>
                <w:lang w:val="hr-HR"/>
              </w:rPr>
              <w:t>Odnos rizika</w:t>
            </w:r>
          </w:p>
        </w:tc>
        <w:tc>
          <w:tcPr>
            <w:tcW w:w="2160" w:type="dxa"/>
            <w:tcBorders>
              <w:top w:val="nil"/>
            </w:tcBorders>
          </w:tcPr>
          <w:p w14:paraId="25111420" w14:textId="77777777" w:rsidR="00D15122" w:rsidRPr="00D6167B" w:rsidRDefault="00D15122" w:rsidP="007608DF">
            <w:pPr>
              <w:keepNext/>
              <w:widowControl/>
              <w:jc w:val="both"/>
              <w:rPr>
                <w:rFonts w:ascii="Times New Roman" w:hAnsi="Times New Roman"/>
                <w:lang w:val="hr-HR"/>
              </w:rPr>
            </w:pPr>
          </w:p>
        </w:tc>
        <w:tc>
          <w:tcPr>
            <w:tcW w:w="2250" w:type="dxa"/>
            <w:tcBorders>
              <w:top w:val="nil"/>
            </w:tcBorders>
          </w:tcPr>
          <w:p w14:paraId="1B3DE485"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0,93</w:t>
            </w:r>
          </w:p>
          <w:p w14:paraId="30749470"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[0,78; 1,11]</w:t>
            </w:r>
          </w:p>
        </w:tc>
        <w:tc>
          <w:tcPr>
            <w:tcW w:w="2160" w:type="dxa"/>
            <w:tcBorders>
              <w:top w:val="nil"/>
            </w:tcBorders>
          </w:tcPr>
          <w:p w14:paraId="036F6987"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1,03</w:t>
            </w:r>
          </w:p>
          <w:p w14:paraId="6430158A" w14:textId="77777777" w:rsidR="00D15122" w:rsidRPr="00D6167B" w:rsidRDefault="009B0756" w:rsidP="00D37692">
            <w:pPr>
              <w:pStyle w:val="TableParagraph"/>
              <w:keepNext/>
              <w:widowControl/>
              <w:ind w:right="1"/>
              <w:jc w:val="center"/>
              <w:rPr>
                <w:rFonts w:ascii="Times New Roman" w:eastAsia="Times New Roman" w:hAnsi="Times New Roman"/>
                <w:lang w:val="hr-HR"/>
              </w:rPr>
            </w:pPr>
            <w:r w:rsidRPr="00D6167B">
              <w:rPr>
                <w:rFonts w:ascii="Times New Roman" w:hAnsi="Times New Roman"/>
                <w:lang w:val="hr-HR"/>
              </w:rPr>
              <w:t>[0,86, 1,23]</w:t>
            </w:r>
          </w:p>
        </w:tc>
      </w:tr>
    </w:tbl>
    <w:p w14:paraId="48A53C59" w14:textId="77777777" w:rsidR="00D15122" w:rsidRPr="00D6167B" w:rsidRDefault="00D15122" w:rsidP="007608DF">
      <w:pPr>
        <w:widowControl/>
        <w:jc w:val="both"/>
        <w:rPr>
          <w:rFonts w:ascii="Times New Roman" w:eastAsia="Times New Roman" w:hAnsi="Times New Roman"/>
          <w:lang w:val="hr-HR"/>
        </w:rPr>
      </w:pPr>
    </w:p>
    <w:p w14:paraId="0608FAAD" w14:textId="77777777" w:rsidR="006F3947" w:rsidRPr="00D6167B" w:rsidRDefault="006F3947" w:rsidP="007608DF">
      <w:pPr>
        <w:widowControl/>
        <w:jc w:val="both"/>
        <w:rPr>
          <w:rFonts w:ascii="Times New Roman" w:eastAsia="Times New Roman" w:hAnsi="Times New Roman"/>
          <w:i/>
          <w:iCs/>
          <w:lang w:val="hr-HR"/>
        </w:rPr>
      </w:pPr>
      <w:r w:rsidRPr="00D6167B">
        <w:rPr>
          <w:rFonts w:ascii="Times New Roman" w:hAnsi="Times New Roman"/>
          <w:i/>
          <w:lang w:val="hr-HR"/>
        </w:rPr>
        <w:t>Prva linija liječenja NSCLC karcinoma koji ne obuhvata skvamozne ćelije sa mutacijama koje aktiviraju EGFR u kombinaciji sa erlotinibom</w:t>
      </w:r>
    </w:p>
    <w:p w14:paraId="2185783F" w14:textId="77777777" w:rsidR="006F3947" w:rsidRPr="00D6167B" w:rsidRDefault="006F3947" w:rsidP="007608DF">
      <w:pPr>
        <w:widowControl/>
        <w:jc w:val="both"/>
        <w:rPr>
          <w:rFonts w:ascii="Times New Roman" w:eastAsia="Times New Roman" w:hAnsi="Times New Roman"/>
          <w:lang w:val="hr-HR"/>
        </w:rPr>
      </w:pPr>
    </w:p>
    <w:p w14:paraId="1862C19C" w14:textId="77777777" w:rsidR="006F3947" w:rsidRPr="00D37692" w:rsidRDefault="006F3947"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 xml:space="preserve">JO25567 </w:t>
      </w:r>
    </w:p>
    <w:p w14:paraId="1FAA4468" w14:textId="2612705A" w:rsidR="006F3947" w:rsidRPr="00D37692" w:rsidRDefault="006F3947"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Studija JO25567 je randomizovana, otvorena, multicentrična studija faze II sprovedena u Japanu sa ciljem da se procijene efikasnost i bezbjednost bevacizumaba kada se koristi kao dodatak uz erlotinib kod pacijenata sa NSCLC karcinomom koji ne obuhvata skvamozne ćelije sa mutacijama koje aktiviraju EGFR (brisanje eksona 19 ili mutacija L858R eksona 21), koji ranije nijesu dobijali sistemsku terapiju za bolest stadijuma IIIB/IV ili recidiv.</w:t>
      </w:r>
    </w:p>
    <w:p w14:paraId="620F0F3D" w14:textId="77777777" w:rsidR="006F3947" w:rsidRPr="00D37692" w:rsidRDefault="006F3947" w:rsidP="007608DF">
      <w:pPr>
        <w:widowControl/>
        <w:autoSpaceDE w:val="0"/>
        <w:autoSpaceDN w:val="0"/>
        <w:adjustRightInd w:val="0"/>
        <w:jc w:val="both"/>
        <w:rPr>
          <w:rFonts w:ascii="Times New Roman" w:hAnsi="Times New Roman"/>
          <w:lang w:val="hr-HR"/>
        </w:rPr>
      </w:pPr>
    </w:p>
    <w:p w14:paraId="76C87F9B" w14:textId="77777777" w:rsidR="006F3947" w:rsidRPr="00D37692" w:rsidRDefault="006F3947"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Primarni parametar efikasnosti bilo je preživljavanje bez progresije bolesti (PFS) na osnovu nezavisne procjene. Sekundarni parametri efikasnosti su obuhvatali ukupno preživljavanje, stopu odgovora, stopu kontrole bolesti, trajanje odgovora i bezbjednost.</w:t>
      </w:r>
    </w:p>
    <w:p w14:paraId="04D46575" w14:textId="77777777" w:rsidR="006F3947" w:rsidRPr="00D37692" w:rsidRDefault="006F3947" w:rsidP="007608DF">
      <w:pPr>
        <w:widowControl/>
        <w:autoSpaceDE w:val="0"/>
        <w:autoSpaceDN w:val="0"/>
        <w:adjustRightInd w:val="0"/>
        <w:jc w:val="both"/>
        <w:rPr>
          <w:rFonts w:ascii="Times New Roman" w:hAnsi="Times New Roman"/>
          <w:lang w:val="hr-HR"/>
        </w:rPr>
      </w:pPr>
    </w:p>
    <w:p w14:paraId="6344EEA0" w14:textId="77777777" w:rsidR="006F3947" w:rsidRPr="00D37692" w:rsidRDefault="006F3947" w:rsidP="007608DF">
      <w:pPr>
        <w:widowControl/>
        <w:jc w:val="both"/>
        <w:rPr>
          <w:rFonts w:ascii="Times New Roman" w:hAnsi="Times New Roman"/>
          <w:lang w:val="hr-HR"/>
        </w:rPr>
      </w:pPr>
      <w:r w:rsidRPr="00D37692">
        <w:rPr>
          <w:rFonts w:ascii="Times New Roman" w:hAnsi="Times New Roman"/>
          <w:lang w:val="hr-HR"/>
        </w:rPr>
        <w:t xml:space="preserve">Status mutacije EGFR utvrđen je za svakog pacijenta prije skrininga i 154 pacijenta je randomizovano tako da primaju ili erlotinib + bevacizumab (erlotinib 150 mg oralno svakog dana + bevacizumab [15 mg/kg intravenski na svake 3 nedjelje]) ili monoterapiju erlotinibom (150 mg oralno svakog dana) do progresije bolesti (PD) ili neprihvatljive toksičnosti. U odsustvu progresije bolesti, prekid primjene jedne komponente ispitivane terapije u </w:t>
      </w:r>
      <w:r w:rsidR="007907BF" w:rsidRPr="00D37692">
        <w:rPr>
          <w:rFonts w:ascii="Times New Roman" w:hAnsi="Times New Roman"/>
          <w:lang w:val="hr-HR"/>
        </w:rPr>
        <w:t xml:space="preserve">grupi </w:t>
      </w:r>
      <w:r w:rsidRPr="00D37692">
        <w:rPr>
          <w:rFonts w:ascii="Times New Roman" w:hAnsi="Times New Roman"/>
          <w:lang w:val="hr-HR"/>
        </w:rPr>
        <w:t>koj</w:t>
      </w:r>
      <w:r w:rsidR="007907BF" w:rsidRPr="00D37692">
        <w:rPr>
          <w:rFonts w:ascii="Times New Roman" w:hAnsi="Times New Roman"/>
          <w:lang w:val="hr-HR"/>
        </w:rPr>
        <w:t>a</w:t>
      </w:r>
      <w:r w:rsidRPr="00D37692">
        <w:rPr>
          <w:rFonts w:ascii="Times New Roman" w:hAnsi="Times New Roman"/>
          <w:lang w:val="hr-HR"/>
        </w:rPr>
        <w:t xml:space="preserve"> je prima</w:t>
      </w:r>
      <w:r w:rsidR="007907BF" w:rsidRPr="00D37692">
        <w:rPr>
          <w:rFonts w:ascii="Times New Roman" w:hAnsi="Times New Roman"/>
          <w:lang w:val="hr-HR"/>
        </w:rPr>
        <w:t>la</w:t>
      </w:r>
      <w:r w:rsidRPr="00D37692">
        <w:rPr>
          <w:rFonts w:ascii="Times New Roman" w:hAnsi="Times New Roman"/>
          <w:lang w:val="hr-HR"/>
        </w:rPr>
        <w:t xml:space="preserve"> erlotinib + bevacizumab nije doveo do prekida druge komponente ispitivane terapije, kao što je navedeno u protokolu studije.</w:t>
      </w:r>
    </w:p>
    <w:p w14:paraId="66836802" w14:textId="77777777" w:rsidR="006F3947" w:rsidRPr="00D37692" w:rsidRDefault="006F3947" w:rsidP="007608DF">
      <w:pPr>
        <w:widowControl/>
        <w:jc w:val="both"/>
        <w:rPr>
          <w:rFonts w:ascii="Times New Roman" w:hAnsi="Times New Roman"/>
          <w:lang w:val="hr-HR"/>
        </w:rPr>
      </w:pPr>
    </w:p>
    <w:p w14:paraId="5A3A068B" w14:textId="77777777" w:rsidR="006F3947" w:rsidRPr="00D37692" w:rsidRDefault="006F3947" w:rsidP="007608DF">
      <w:pPr>
        <w:widowControl/>
        <w:jc w:val="both"/>
        <w:rPr>
          <w:rFonts w:ascii="Times New Roman" w:hAnsi="Times New Roman"/>
          <w:lang w:val="hr-HR"/>
        </w:rPr>
      </w:pPr>
      <w:r w:rsidRPr="00D37692">
        <w:rPr>
          <w:rFonts w:ascii="Times New Roman" w:hAnsi="Times New Roman"/>
          <w:lang w:val="hr-HR"/>
        </w:rPr>
        <w:t>Rezultati efikasnosti ove studije prikazani su u tabeli 14.</w:t>
      </w:r>
    </w:p>
    <w:p w14:paraId="7F19D8F6" w14:textId="77777777" w:rsidR="006F3947" w:rsidRPr="00D37692" w:rsidRDefault="006F3947" w:rsidP="007608DF">
      <w:pPr>
        <w:widowControl/>
        <w:jc w:val="both"/>
        <w:rPr>
          <w:rFonts w:ascii="Times New Roman" w:hAnsi="Times New Roman"/>
          <w:lang w:val="hr-HR"/>
        </w:rPr>
      </w:pPr>
    </w:p>
    <w:p w14:paraId="1DA546BC" w14:textId="77777777" w:rsidR="006F3947" w:rsidRPr="00D6167B" w:rsidRDefault="006F3947" w:rsidP="007608DF">
      <w:pPr>
        <w:pStyle w:val="Heading1"/>
        <w:keepNext/>
        <w:widowControl/>
        <w:ind w:left="0"/>
        <w:jc w:val="both"/>
        <w:rPr>
          <w:bCs w:val="0"/>
          <w:lang w:val="hr-HR"/>
        </w:rPr>
      </w:pPr>
      <w:r w:rsidRPr="00D6167B">
        <w:rPr>
          <w:lang w:val="hr-HR"/>
        </w:rPr>
        <w:lastRenderedPageBreak/>
        <w:t>Tabela 14</w:t>
      </w:r>
      <w:r w:rsidRPr="00D6167B">
        <w:rPr>
          <w:lang w:val="hr-HR"/>
        </w:rPr>
        <w:tab/>
        <w:t>Rezultati efikasnosti za studiju JO25567</w:t>
      </w:r>
    </w:p>
    <w:p w14:paraId="68976D64" w14:textId="77777777" w:rsidR="006F3947" w:rsidRPr="00D37692" w:rsidRDefault="006F3947" w:rsidP="007608DF">
      <w:pPr>
        <w:keepNext/>
        <w:widowControl/>
        <w:jc w:val="both"/>
        <w:rPr>
          <w:rFonts w:ascii="Times New Roman" w:hAnsi="Times New Roman"/>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5"/>
        <w:gridCol w:w="2609"/>
        <w:gridCol w:w="90"/>
        <w:gridCol w:w="2424"/>
      </w:tblGrid>
      <w:tr w:rsidR="006F3947" w:rsidRPr="00D6167B" w14:paraId="65DD41C3" w14:textId="77777777" w:rsidTr="002C0B97">
        <w:trPr>
          <w:cantSplit/>
        </w:trPr>
        <w:tc>
          <w:tcPr>
            <w:tcW w:w="3955" w:type="dxa"/>
            <w:tcBorders>
              <w:bottom w:val="single" w:sz="4" w:space="0" w:color="000000"/>
            </w:tcBorders>
          </w:tcPr>
          <w:p w14:paraId="144C8007" w14:textId="77777777" w:rsidR="006F3947" w:rsidRPr="00D6167B" w:rsidRDefault="006F3947" w:rsidP="007608DF">
            <w:pPr>
              <w:pStyle w:val="TableParagraph"/>
              <w:keepNext/>
              <w:widowControl/>
              <w:jc w:val="both"/>
              <w:rPr>
                <w:rFonts w:ascii="Times New Roman" w:hAnsi="Times New Roman"/>
                <w:lang w:val="hr-HR"/>
              </w:rPr>
            </w:pPr>
          </w:p>
        </w:tc>
        <w:tc>
          <w:tcPr>
            <w:tcW w:w="2610" w:type="dxa"/>
            <w:tcBorders>
              <w:bottom w:val="single" w:sz="4" w:space="0" w:color="000000"/>
            </w:tcBorders>
          </w:tcPr>
          <w:p w14:paraId="55D85932" w14:textId="77777777" w:rsidR="006F3947" w:rsidRPr="00D6167B" w:rsidRDefault="008A13F4" w:rsidP="00D37692">
            <w:pPr>
              <w:pStyle w:val="TableParagraph"/>
              <w:keepNext/>
              <w:widowControl/>
              <w:tabs>
                <w:tab w:val="left" w:pos="2342"/>
              </w:tabs>
              <w:jc w:val="center"/>
              <w:rPr>
                <w:rFonts w:ascii="Times New Roman" w:hAnsi="Times New Roman"/>
                <w:lang w:val="hr-HR"/>
              </w:rPr>
            </w:pPr>
            <w:r w:rsidRPr="00D6167B">
              <w:rPr>
                <w:rFonts w:ascii="Times New Roman" w:hAnsi="Times New Roman"/>
                <w:lang w:val="hr-HR"/>
              </w:rPr>
              <w:t>Erlotinib</w:t>
            </w:r>
          </w:p>
          <w:p w14:paraId="67E2A608" w14:textId="77777777" w:rsidR="008A13F4" w:rsidRPr="00D6167B" w:rsidRDefault="008A13F4" w:rsidP="00D37692">
            <w:pPr>
              <w:pStyle w:val="TableParagraph"/>
              <w:keepNext/>
              <w:widowControl/>
              <w:tabs>
                <w:tab w:val="left" w:pos="2342"/>
              </w:tabs>
              <w:jc w:val="center"/>
              <w:rPr>
                <w:rFonts w:ascii="Times New Roman" w:hAnsi="Times New Roman"/>
                <w:lang w:val="hr-HR"/>
              </w:rPr>
            </w:pPr>
            <w:r w:rsidRPr="00D6167B">
              <w:rPr>
                <w:rFonts w:ascii="Times New Roman" w:hAnsi="Times New Roman"/>
                <w:lang w:val="hr-HR"/>
              </w:rPr>
              <w:t>N = 77</w:t>
            </w:r>
            <w:r w:rsidRPr="00D6167B">
              <w:rPr>
                <w:rFonts w:ascii="Times New Roman" w:hAnsi="Times New Roman"/>
                <w:vertAlign w:val="superscript"/>
                <w:lang w:val="hr-HR"/>
              </w:rPr>
              <w:t>#</w:t>
            </w:r>
          </w:p>
        </w:tc>
        <w:tc>
          <w:tcPr>
            <w:tcW w:w="2515" w:type="dxa"/>
            <w:gridSpan w:val="2"/>
            <w:tcBorders>
              <w:bottom w:val="single" w:sz="4" w:space="0" w:color="000000"/>
            </w:tcBorders>
          </w:tcPr>
          <w:p w14:paraId="7D087D0F" w14:textId="77777777" w:rsidR="006F3947" w:rsidRPr="00D6167B" w:rsidRDefault="008A13F4" w:rsidP="00D37692">
            <w:pPr>
              <w:pStyle w:val="TableParagraph"/>
              <w:keepNext/>
              <w:widowControl/>
              <w:tabs>
                <w:tab w:val="left" w:pos="2342"/>
              </w:tabs>
              <w:jc w:val="center"/>
              <w:rPr>
                <w:rFonts w:ascii="Times New Roman" w:hAnsi="Times New Roman"/>
                <w:lang w:val="hr-HR"/>
              </w:rPr>
            </w:pPr>
            <w:r w:rsidRPr="00D6167B">
              <w:rPr>
                <w:rFonts w:ascii="Times New Roman" w:hAnsi="Times New Roman"/>
                <w:lang w:val="hr-HR"/>
              </w:rPr>
              <w:t>Erlotinib + bevacizumab</w:t>
            </w:r>
          </w:p>
          <w:p w14:paraId="49B2A7D4" w14:textId="77777777" w:rsidR="008A13F4" w:rsidRPr="00D6167B" w:rsidRDefault="008A13F4" w:rsidP="00D37692">
            <w:pPr>
              <w:pStyle w:val="TableParagraph"/>
              <w:keepNext/>
              <w:widowControl/>
              <w:tabs>
                <w:tab w:val="left" w:pos="2342"/>
              </w:tabs>
              <w:jc w:val="center"/>
              <w:rPr>
                <w:rFonts w:ascii="Times New Roman" w:hAnsi="Times New Roman"/>
                <w:lang w:val="hr-HR"/>
              </w:rPr>
            </w:pPr>
            <w:r w:rsidRPr="00D6167B">
              <w:rPr>
                <w:rFonts w:ascii="Times New Roman" w:hAnsi="Times New Roman"/>
                <w:lang w:val="hr-HR"/>
              </w:rPr>
              <w:t>N = 75</w:t>
            </w:r>
            <w:r w:rsidRPr="00D6167B">
              <w:rPr>
                <w:rFonts w:ascii="Times New Roman" w:hAnsi="Times New Roman"/>
                <w:vertAlign w:val="superscript"/>
                <w:lang w:val="hr-HR"/>
              </w:rPr>
              <w:t>#</w:t>
            </w:r>
          </w:p>
        </w:tc>
      </w:tr>
      <w:tr w:rsidR="006F3947" w:rsidRPr="00D6167B" w14:paraId="5B65B50B" w14:textId="77777777" w:rsidTr="002C0B97">
        <w:trPr>
          <w:cantSplit/>
        </w:trPr>
        <w:tc>
          <w:tcPr>
            <w:tcW w:w="3955" w:type="dxa"/>
            <w:tcBorders>
              <w:bottom w:val="nil"/>
            </w:tcBorders>
          </w:tcPr>
          <w:p w14:paraId="7430B632" w14:textId="77777777" w:rsidR="006F3947" w:rsidRPr="00D6167B" w:rsidRDefault="004554E9" w:rsidP="007608DF">
            <w:pPr>
              <w:pStyle w:val="TableParagraph"/>
              <w:keepNext/>
              <w:widowControl/>
              <w:ind w:right="1346" w:firstLine="1"/>
              <w:jc w:val="both"/>
              <w:rPr>
                <w:rFonts w:ascii="Times New Roman" w:hAnsi="Times New Roman"/>
                <w:lang w:val="hr-HR"/>
              </w:rPr>
            </w:pPr>
            <w:r w:rsidRPr="00D6167B">
              <w:rPr>
                <w:rFonts w:ascii="Times New Roman" w:hAnsi="Times New Roman"/>
                <w:b/>
                <w:lang w:val="hr-HR"/>
              </w:rPr>
              <w:t>PFS</w:t>
            </w:r>
            <w:r w:rsidRPr="00D37692">
              <w:rPr>
                <w:rFonts w:ascii="Times New Roman" w:hAnsi="Times New Roman"/>
                <w:lang w:val="hr-HR"/>
              </w:rPr>
              <w:t>^ (mjeseci)</w:t>
            </w:r>
          </w:p>
          <w:p w14:paraId="0BCA8CA3" w14:textId="77777777" w:rsidR="008A13F4" w:rsidRPr="00D6167B" w:rsidRDefault="006F3947" w:rsidP="007608DF">
            <w:pPr>
              <w:pStyle w:val="TableParagraph"/>
              <w:keepNext/>
              <w:widowControl/>
              <w:ind w:left="360" w:right="1339" w:firstLine="1"/>
              <w:jc w:val="both"/>
              <w:rPr>
                <w:rFonts w:ascii="Times New Roman" w:hAnsi="Times New Roman"/>
                <w:lang w:val="hr-HR"/>
              </w:rPr>
            </w:pPr>
            <w:r w:rsidRPr="00D6167B">
              <w:rPr>
                <w:rFonts w:ascii="Times New Roman" w:hAnsi="Times New Roman"/>
                <w:lang w:val="hr-HR"/>
              </w:rPr>
              <w:t>Srednja vrijednost</w:t>
            </w:r>
          </w:p>
        </w:tc>
        <w:tc>
          <w:tcPr>
            <w:tcW w:w="2610" w:type="dxa"/>
            <w:tcBorders>
              <w:bottom w:val="nil"/>
            </w:tcBorders>
          </w:tcPr>
          <w:p w14:paraId="7481EF0D" w14:textId="77777777" w:rsidR="006F3947" w:rsidRPr="00D6167B" w:rsidRDefault="006F3947" w:rsidP="00D37692">
            <w:pPr>
              <w:pStyle w:val="TableParagraph"/>
              <w:keepNext/>
              <w:widowControl/>
              <w:jc w:val="center"/>
              <w:rPr>
                <w:rFonts w:ascii="Times New Roman" w:eastAsia="Times New Roman" w:hAnsi="Times New Roman"/>
                <w:bCs/>
                <w:lang w:val="hr-HR"/>
              </w:rPr>
            </w:pPr>
          </w:p>
          <w:p w14:paraId="37BCBB83" w14:textId="77777777" w:rsidR="006F3947" w:rsidRPr="00D6167B" w:rsidRDefault="008A13F4" w:rsidP="00D37692">
            <w:pPr>
              <w:pStyle w:val="TableParagraph"/>
              <w:keepNext/>
              <w:widowControl/>
              <w:ind w:right="1"/>
              <w:jc w:val="center"/>
              <w:rPr>
                <w:rFonts w:ascii="Times New Roman" w:eastAsia="Times New Roman" w:hAnsi="Times New Roman"/>
                <w:lang w:val="hr-HR"/>
              </w:rPr>
            </w:pPr>
            <w:r w:rsidRPr="00D6167B">
              <w:rPr>
                <w:rFonts w:ascii="Times New Roman" w:hAnsi="Times New Roman"/>
                <w:lang w:val="hr-HR"/>
              </w:rPr>
              <w:t>9,7</w:t>
            </w:r>
          </w:p>
        </w:tc>
        <w:tc>
          <w:tcPr>
            <w:tcW w:w="2515" w:type="dxa"/>
            <w:gridSpan w:val="2"/>
            <w:tcBorders>
              <w:bottom w:val="nil"/>
            </w:tcBorders>
          </w:tcPr>
          <w:p w14:paraId="5E7258BF" w14:textId="77777777" w:rsidR="006F3947" w:rsidRPr="00D6167B" w:rsidRDefault="006F3947" w:rsidP="00D37692">
            <w:pPr>
              <w:pStyle w:val="TableParagraph"/>
              <w:keepNext/>
              <w:widowControl/>
              <w:jc w:val="center"/>
              <w:rPr>
                <w:rFonts w:ascii="Times New Roman" w:eastAsia="Times New Roman" w:hAnsi="Times New Roman"/>
                <w:bCs/>
                <w:lang w:val="hr-HR"/>
              </w:rPr>
            </w:pPr>
          </w:p>
          <w:p w14:paraId="63C36E27"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16,0</w:t>
            </w:r>
          </w:p>
        </w:tc>
      </w:tr>
      <w:tr w:rsidR="008A13F4" w:rsidRPr="00D6167B" w14:paraId="0ABD3052" w14:textId="77777777" w:rsidTr="002C0B97">
        <w:trPr>
          <w:cantSplit/>
        </w:trPr>
        <w:tc>
          <w:tcPr>
            <w:tcW w:w="3955" w:type="dxa"/>
            <w:tcBorders>
              <w:top w:val="nil"/>
              <w:bottom w:val="single" w:sz="4" w:space="0" w:color="000000"/>
            </w:tcBorders>
          </w:tcPr>
          <w:p w14:paraId="67DF4FE5" w14:textId="77777777" w:rsidR="008A13F4" w:rsidRPr="00D6167B" w:rsidRDefault="008A13F4" w:rsidP="007608DF">
            <w:pPr>
              <w:pStyle w:val="TableParagraph"/>
              <w:keepNext/>
              <w:widowControl/>
              <w:ind w:left="360" w:right="1339"/>
              <w:jc w:val="both"/>
              <w:rPr>
                <w:rFonts w:ascii="Times New Roman" w:hAnsi="Times New Roman"/>
                <w:lang w:val="hr-HR"/>
              </w:rPr>
            </w:pPr>
            <w:r w:rsidRPr="00D6167B">
              <w:rPr>
                <w:rFonts w:ascii="Times New Roman" w:hAnsi="Times New Roman"/>
                <w:lang w:val="hr-HR"/>
              </w:rPr>
              <w:t>HR (95% CI)</w:t>
            </w:r>
          </w:p>
          <w:p w14:paraId="7D08E96B" w14:textId="77777777" w:rsidR="008A13F4" w:rsidRPr="00D6167B" w:rsidRDefault="008A13F4" w:rsidP="007608DF">
            <w:pPr>
              <w:pStyle w:val="TableParagraph"/>
              <w:keepNext/>
              <w:widowControl/>
              <w:ind w:left="360" w:right="1346" w:firstLine="1"/>
              <w:jc w:val="both"/>
              <w:rPr>
                <w:rFonts w:ascii="Times New Roman" w:hAnsi="Times New Roman"/>
                <w:lang w:val="hr-HR"/>
              </w:rPr>
            </w:pPr>
            <w:r w:rsidRPr="00D6167B">
              <w:rPr>
                <w:rFonts w:ascii="Times New Roman" w:hAnsi="Times New Roman"/>
                <w:lang w:val="hr-HR"/>
              </w:rPr>
              <w:t>Vrijednost p</w:t>
            </w:r>
          </w:p>
        </w:tc>
        <w:tc>
          <w:tcPr>
            <w:tcW w:w="5125" w:type="dxa"/>
            <w:gridSpan w:val="3"/>
            <w:tcBorders>
              <w:top w:val="nil"/>
              <w:bottom w:val="single" w:sz="4" w:space="0" w:color="000000"/>
            </w:tcBorders>
          </w:tcPr>
          <w:p w14:paraId="59EF96EB"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0,54 (0,36; 0,79)</w:t>
            </w:r>
          </w:p>
          <w:p w14:paraId="577DA8AF"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0,0015</w:t>
            </w:r>
          </w:p>
        </w:tc>
      </w:tr>
      <w:tr w:rsidR="006F3947" w:rsidRPr="00D6167B" w14:paraId="708B6C6D" w14:textId="77777777" w:rsidTr="002C0B97">
        <w:trPr>
          <w:cantSplit/>
        </w:trPr>
        <w:tc>
          <w:tcPr>
            <w:tcW w:w="3955" w:type="dxa"/>
            <w:tcBorders>
              <w:bottom w:val="nil"/>
            </w:tcBorders>
          </w:tcPr>
          <w:p w14:paraId="16F37F1A" w14:textId="77777777" w:rsidR="006F3947" w:rsidRPr="00D6167B" w:rsidRDefault="008A13F4" w:rsidP="007608DF">
            <w:pPr>
              <w:pStyle w:val="TableParagraph"/>
              <w:keepNext/>
              <w:widowControl/>
              <w:ind w:right="135"/>
              <w:jc w:val="both"/>
              <w:rPr>
                <w:rFonts w:ascii="Times New Roman" w:eastAsia="Times New Roman" w:hAnsi="Times New Roman"/>
                <w:b/>
                <w:bCs/>
                <w:lang w:val="hr-HR"/>
              </w:rPr>
            </w:pPr>
            <w:r w:rsidRPr="00D6167B">
              <w:rPr>
                <w:rFonts w:ascii="Times New Roman" w:hAnsi="Times New Roman"/>
                <w:b/>
                <w:lang w:val="hr-HR"/>
              </w:rPr>
              <w:t>Stopa ukupnog odgovora</w:t>
            </w:r>
          </w:p>
          <w:p w14:paraId="165FBC99" w14:textId="77777777" w:rsidR="006F3947" w:rsidRPr="00D6167B" w:rsidRDefault="008A13F4" w:rsidP="007608DF">
            <w:pPr>
              <w:pStyle w:val="TableParagraph"/>
              <w:keepNext/>
              <w:widowControl/>
              <w:ind w:left="360"/>
              <w:jc w:val="both"/>
              <w:rPr>
                <w:rFonts w:ascii="Times New Roman" w:eastAsia="Times New Roman" w:hAnsi="Times New Roman"/>
                <w:lang w:val="hr-HR"/>
              </w:rPr>
            </w:pPr>
            <w:r w:rsidRPr="00D6167B">
              <w:rPr>
                <w:rFonts w:ascii="Times New Roman" w:hAnsi="Times New Roman"/>
                <w:lang w:val="hr-HR"/>
              </w:rPr>
              <w:t>Stopa (n)</w:t>
            </w:r>
          </w:p>
        </w:tc>
        <w:tc>
          <w:tcPr>
            <w:tcW w:w="2610" w:type="dxa"/>
            <w:tcBorders>
              <w:bottom w:val="nil"/>
            </w:tcBorders>
          </w:tcPr>
          <w:p w14:paraId="71D2FD3D" w14:textId="77777777" w:rsidR="006F3947" w:rsidRPr="00D6167B" w:rsidRDefault="006F3947" w:rsidP="00D37692">
            <w:pPr>
              <w:pStyle w:val="TableParagraph"/>
              <w:keepNext/>
              <w:widowControl/>
              <w:jc w:val="center"/>
              <w:rPr>
                <w:rFonts w:ascii="Times New Roman" w:eastAsia="Times New Roman" w:hAnsi="Times New Roman"/>
                <w:bCs/>
                <w:lang w:val="hr-HR"/>
              </w:rPr>
            </w:pPr>
          </w:p>
          <w:p w14:paraId="464A0E30" w14:textId="77777777" w:rsidR="006F3947"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63,6% (49)</w:t>
            </w:r>
          </w:p>
        </w:tc>
        <w:tc>
          <w:tcPr>
            <w:tcW w:w="2515" w:type="dxa"/>
            <w:gridSpan w:val="2"/>
            <w:tcBorders>
              <w:bottom w:val="nil"/>
            </w:tcBorders>
          </w:tcPr>
          <w:p w14:paraId="220F1930" w14:textId="77777777" w:rsidR="006F3947" w:rsidRPr="00D6167B" w:rsidRDefault="006F3947" w:rsidP="00D37692">
            <w:pPr>
              <w:pStyle w:val="TableParagraph"/>
              <w:keepNext/>
              <w:widowControl/>
              <w:jc w:val="center"/>
              <w:rPr>
                <w:rFonts w:ascii="Times New Roman" w:eastAsia="Times New Roman" w:hAnsi="Times New Roman"/>
                <w:bCs/>
                <w:lang w:val="hr-HR"/>
              </w:rPr>
            </w:pPr>
          </w:p>
          <w:p w14:paraId="3846006F"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69,3% (52)</w:t>
            </w:r>
          </w:p>
        </w:tc>
      </w:tr>
      <w:tr w:rsidR="008A13F4" w:rsidRPr="00D6167B" w14:paraId="1BEBADD8" w14:textId="77777777" w:rsidTr="002C0B97">
        <w:trPr>
          <w:cantSplit/>
        </w:trPr>
        <w:tc>
          <w:tcPr>
            <w:tcW w:w="3955" w:type="dxa"/>
            <w:tcBorders>
              <w:top w:val="nil"/>
              <w:bottom w:val="single" w:sz="4" w:space="0" w:color="000000"/>
            </w:tcBorders>
          </w:tcPr>
          <w:p w14:paraId="2FCB8417" w14:textId="77777777" w:rsidR="008A13F4" w:rsidRPr="00D6167B" w:rsidRDefault="008A13F4" w:rsidP="007608DF">
            <w:pPr>
              <w:pStyle w:val="TableParagraph"/>
              <w:keepNext/>
              <w:widowControl/>
              <w:ind w:left="360" w:right="130"/>
              <w:jc w:val="both"/>
              <w:rPr>
                <w:rFonts w:ascii="Times New Roman" w:hAnsi="Times New Roman"/>
                <w:lang w:val="hr-HR"/>
              </w:rPr>
            </w:pPr>
            <w:r w:rsidRPr="00D6167B">
              <w:rPr>
                <w:rFonts w:ascii="Times New Roman" w:hAnsi="Times New Roman"/>
                <w:lang w:val="hr-HR"/>
              </w:rPr>
              <w:t>Vrijednost p</w:t>
            </w:r>
          </w:p>
        </w:tc>
        <w:tc>
          <w:tcPr>
            <w:tcW w:w="5125" w:type="dxa"/>
            <w:gridSpan w:val="3"/>
            <w:tcBorders>
              <w:top w:val="nil"/>
              <w:bottom w:val="single" w:sz="4" w:space="0" w:color="000000"/>
            </w:tcBorders>
          </w:tcPr>
          <w:p w14:paraId="2D972ED0"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0,4951</w:t>
            </w:r>
          </w:p>
        </w:tc>
      </w:tr>
      <w:tr w:rsidR="008A13F4" w:rsidRPr="00D6167B" w14:paraId="053DDEFE" w14:textId="77777777" w:rsidTr="002C0B97">
        <w:trPr>
          <w:cantSplit/>
        </w:trPr>
        <w:tc>
          <w:tcPr>
            <w:tcW w:w="3955" w:type="dxa"/>
            <w:tcBorders>
              <w:bottom w:val="nil"/>
            </w:tcBorders>
          </w:tcPr>
          <w:p w14:paraId="3B78E780" w14:textId="77777777" w:rsidR="008A13F4" w:rsidRPr="00D6167B" w:rsidRDefault="008A13F4" w:rsidP="007608DF">
            <w:pPr>
              <w:pStyle w:val="TableParagraph"/>
              <w:keepNext/>
              <w:widowControl/>
              <w:ind w:right="135"/>
              <w:jc w:val="both"/>
              <w:rPr>
                <w:rFonts w:ascii="Times New Roman" w:hAnsi="Times New Roman"/>
                <w:lang w:val="hr-HR"/>
              </w:rPr>
            </w:pPr>
            <w:r w:rsidRPr="00D6167B">
              <w:rPr>
                <w:rFonts w:ascii="Times New Roman" w:hAnsi="Times New Roman"/>
                <w:b/>
                <w:lang w:val="hr-HR"/>
              </w:rPr>
              <w:t>Ukupno preživljavanje</w:t>
            </w:r>
            <w:r w:rsidRPr="00D6167B">
              <w:rPr>
                <w:rFonts w:ascii="Times New Roman" w:hAnsi="Times New Roman"/>
                <w:lang w:val="hr-HR"/>
              </w:rPr>
              <w:t>* (mjeseci)</w:t>
            </w:r>
          </w:p>
          <w:p w14:paraId="2855DD89" w14:textId="77777777" w:rsidR="008A13F4" w:rsidRPr="00D6167B" w:rsidRDefault="008A13F4" w:rsidP="007608DF">
            <w:pPr>
              <w:pStyle w:val="TableParagraph"/>
              <w:keepNext/>
              <w:widowControl/>
              <w:ind w:left="360" w:right="130"/>
              <w:jc w:val="both"/>
              <w:rPr>
                <w:rFonts w:ascii="Times New Roman" w:hAnsi="Times New Roman"/>
                <w:lang w:val="hr-HR"/>
              </w:rPr>
            </w:pPr>
            <w:r w:rsidRPr="00D6167B">
              <w:rPr>
                <w:rFonts w:ascii="Times New Roman" w:hAnsi="Times New Roman"/>
                <w:lang w:val="hr-HR"/>
              </w:rPr>
              <w:t>Srednja vrijednost</w:t>
            </w:r>
          </w:p>
        </w:tc>
        <w:tc>
          <w:tcPr>
            <w:tcW w:w="2700" w:type="dxa"/>
            <w:gridSpan w:val="2"/>
            <w:tcBorders>
              <w:bottom w:val="nil"/>
            </w:tcBorders>
          </w:tcPr>
          <w:p w14:paraId="0120A7EA" w14:textId="77777777" w:rsidR="008A13F4" w:rsidRPr="00D6167B" w:rsidRDefault="008A13F4" w:rsidP="00D37692">
            <w:pPr>
              <w:pStyle w:val="TableParagraph"/>
              <w:keepNext/>
              <w:widowControl/>
              <w:jc w:val="center"/>
              <w:rPr>
                <w:rFonts w:ascii="Times New Roman" w:eastAsia="Times New Roman" w:hAnsi="Times New Roman"/>
                <w:bCs/>
                <w:lang w:val="hr-HR"/>
              </w:rPr>
            </w:pPr>
          </w:p>
          <w:p w14:paraId="5CD678FF"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47,4</w:t>
            </w:r>
          </w:p>
        </w:tc>
        <w:tc>
          <w:tcPr>
            <w:tcW w:w="2425" w:type="dxa"/>
            <w:tcBorders>
              <w:bottom w:val="nil"/>
            </w:tcBorders>
          </w:tcPr>
          <w:p w14:paraId="2AECC94C" w14:textId="77777777" w:rsidR="008A13F4" w:rsidRPr="00D6167B" w:rsidRDefault="008A13F4" w:rsidP="00D37692">
            <w:pPr>
              <w:pStyle w:val="TableParagraph"/>
              <w:keepNext/>
              <w:widowControl/>
              <w:jc w:val="center"/>
              <w:rPr>
                <w:rFonts w:ascii="Times New Roman" w:eastAsia="Times New Roman" w:hAnsi="Times New Roman"/>
                <w:bCs/>
                <w:lang w:val="hr-HR"/>
              </w:rPr>
            </w:pPr>
          </w:p>
          <w:p w14:paraId="58F334CF"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47,0</w:t>
            </w:r>
          </w:p>
        </w:tc>
      </w:tr>
      <w:tr w:rsidR="008A13F4" w:rsidRPr="00D6167B" w14:paraId="2A93393D" w14:textId="77777777" w:rsidTr="002C0B97">
        <w:trPr>
          <w:cantSplit/>
        </w:trPr>
        <w:tc>
          <w:tcPr>
            <w:tcW w:w="3955" w:type="dxa"/>
            <w:tcBorders>
              <w:top w:val="nil"/>
            </w:tcBorders>
          </w:tcPr>
          <w:p w14:paraId="31A05811" w14:textId="77777777" w:rsidR="008A13F4" w:rsidRPr="00D6167B" w:rsidRDefault="004554E9" w:rsidP="007608DF">
            <w:pPr>
              <w:pStyle w:val="TableParagraph"/>
              <w:keepNext/>
              <w:widowControl/>
              <w:ind w:left="360" w:right="130"/>
              <w:jc w:val="both"/>
              <w:rPr>
                <w:rFonts w:ascii="Times New Roman" w:hAnsi="Times New Roman"/>
                <w:lang w:val="hr-HR"/>
              </w:rPr>
            </w:pPr>
            <w:r w:rsidRPr="00D6167B">
              <w:rPr>
                <w:rFonts w:ascii="Times New Roman" w:hAnsi="Times New Roman"/>
                <w:lang w:val="hr-HR"/>
              </w:rPr>
              <w:t>HR (95% CI)</w:t>
            </w:r>
          </w:p>
          <w:p w14:paraId="6F5F5AF1" w14:textId="77777777" w:rsidR="008A13F4" w:rsidRPr="00D6167B" w:rsidRDefault="008A13F4" w:rsidP="007608DF">
            <w:pPr>
              <w:pStyle w:val="TableParagraph"/>
              <w:keepNext/>
              <w:widowControl/>
              <w:ind w:left="360" w:right="135"/>
              <w:jc w:val="both"/>
              <w:rPr>
                <w:rFonts w:ascii="Times New Roman" w:hAnsi="Times New Roman"/>
                <w:lang w:val="hr-HR"/>
              </w:rPr>
            </w:pPr>
            <w:r w:rsidRPr="00D6167B">
              <w:rPr>
                <w:rFonts w:ascii="Times New Roman" w:hAnsi="Times New Roman"/>
                <w:lang w:val="hr-HR"/>
              </w:rPr>
              <w:t>Vrijednost p</w:t>
            </w:r>
          </w:p>
        </w:tc>
        <w:tc>
          <w:tcPr>
            <w:tcW w:w="5125" w:type="dxa"/>
            <w:gridSpan w:val="3"/>
            <w:tcBorders>
              <w:top w:val="nil"/>
            </w:tcBorders>
          </w:tcPr>
          <w:p w14:paraId="3830B66E"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0,81 (0,53; 1,23)</w:t>
            </w:r>
          </w:p>
          <w:p w14:paraId="3FD35C93" w14:textId="77777777" w:rsidR="008A13F4" w:rsidRPr="00D6167B" w:rsidRDefault="008A13F4" w:rsidP="00D37692">
            <w:pPr>
              <w:pStyle w:val="TableParagraph"/>
              <w:keepNext/>
              <w:widowControl/>
              <w:jc w:val="center"/>
              <w:rPr>
                <w:rFonts w:ascii="Times New Roman" w:eastAsia="Times New Roman" w:hAnsi="Times New Roman"/>
                <w:bCs/>
                <w:lang w:val="hr-HR"/>
              </w:rPr>
            </w:pPr>
            <w:r w:rsidRPr="00D6167B">
              <w:rPr>
                <w:rFonts w:ascii="Times New Roman" w:hAnsi="Times New Roman"/>
                <w:lang w:val="hr-HR"/>
              </w:rPr>
              <w:t>0,3267</w:t>
            </w:r>
          </w:p>
        </w:tc>
      </w:tr>
    </w:tbl>
    <w:p w14:paraId="6D0797B9" w14:textId="77777777" w:rsidR="00DF47F4" w:rsidRPr="00D37692" w:rsidRDefault="00DF47F4"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w:t>
      </w:r>
      <w:r w:rsidRPr="00D37692">
        <w:rPr>
          <w:rFonts w:ascii="Times New Roman" w:hAnsi="Times New Roman"/>
          <w:sz w:val="20"/>
          <w:lang w:val="hr-HR"/>
        </w:rPr>
        <w:t xml:space="preserve"> </w:t>
      </w:r>
      <w:r w:rsidRPr="00D37692">
        <w:rPr>
          <w:rFonts w:ascii="Times New Roman" w:hAnsi="Times New Roman"/>
          <w:sz w:val="20"/>
          <w:lang w:val="hr-HR"/>
        </w:rPr>
        <w:tab/>
        <w:t>Randomizovana su ukupno 154 pacijenta (ECOG performans status 0 ili 1). Međutim, dva randomizovana pacijenta su prekinula učešće u studiji prije nego što su dobili liječenje u okviru studije.</w:t>
      </w:r>
    </w:p>
    <w:p w14:paraId="575487BF" w14:textId="77777777" w:rsidR="00DF47F4" w:rsidRPr="00D37692" w:rsidRDefault="00DF47F4"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lang w:val="hr-HR"/>
        </w:rPr>
        <w:t xml:space="preserve">^ </w:t>
      </w:r>
      <w:r w:rsidRPr="00D37692">
        <w:rPr>
          <w:rFonts w:ascii="Times New Roman" w:hAnsi="Times New Roman"/>
          <w:sz w:val="20"/>
          <w:lang w:val="hr-HR"/>
        </w:rPr>
        <w:tab/>
        <w:t>Slijepa nezavisna procjena (primarna analiza definisana protokolom).</w:t>
      </w:r>
    </w:p>
    <w:p w14:paraId="60E887D2" w14:textId="77777777" w:rsidR="006F3947" w:rsidRPr="00D6167B" w:rsidRDefault="00DF47F4" w:rsidP="007608DF">
      <w:pPr>
        <w:widowControl/>
        <w:ind w:left="288" w:hanging="288"/>
        <w:jc w:val="both"/>
        <w:rPr>
          <w:rFonts w:ascii="Times New Roman" w:hAnsi="Times New Roman"/>
          <w:i/>
          <w:iCs/>
          <w:sz w:val="20"/>
          <w:szCs w:val="20"/>
          <w:lang w:val="hr-HR"/>
        </w:rPr>
      </w:pPr>
      <w:r w:rsidRPr="00D37692">
        <w:rPr>
          <w:rFonts w:ascii="Times New Roman" w:hAnsi="Times New Roman"/>
          <w:sz w:val="20"/>
          <w:lang w:val="hr-HR"/>
        </w:rPr>
        <w:t xml:space="preserve">* </w:t>
      </w:r>
      <w:r w:rsidRPr="00D37692">
        <w:rPr>
          <w:rFonts w:ascii="Times New Roman" w:hAnsi="Times New Roman"/>
          <w:sz w:val="20"/>
          <w:lang w:val="hr-HR"/>
        </w:rPr>
        <w:tab/>
        <w:t>Eksploratorna analiza: konačna analiza ukupnog preživljavanja, sa kliničkim presjekom 31. oktobra 2017, pribl. 59% pacijenata je umrlo.</w:t>
      </w:r>
    </w:p>
    <w:p w14:paraId="53AF7089" w14:textId="77777777" w:rsidR="00DF47F4" w:rsidRPr="00D6167B" w:rsidRDefault="00DF47F4" w:rsidP="007608DF">
      <w:pPr>
        <w:keepNext/>
        <w:widowControl/>
        <w:jc w:val="both"/>
        <w:rPr>
          <w:rFonts w:ascii="Times New Roman" w:eastAsia="Times New Roman" w:hAnsi="Times New Roman"/>
          <w:sz w:val="20"/>
          <w:szCs w:val="20"/>
          <w:lang w:val="hr-HR"/>
        </w:rPr>
      </w:pPr>
    </w:p>
    <w:p w14:paraId="0C7D0B2B" w14:textId="77777777" w:rsidR="00DF47F4" w:rsidRPr="00D6167B" w:rsidRDefault="00DF47F4" w:rsidP="007608DF">
      <w:pPr>
        <w:keepNext/>
        <w:widowControl/>
        <w:jc w:val="both"/>
        <w:rPr>
          <w:rFonts w:ascii="Times New Roman" w:eastAsia="Times New Roman" w:hAnsi="Times New Roman"/>
          <w:sz w:val="20"/>
          <w:szCs w:val="20"/>
          <w:lang w:val="hr-HR"/>
        </w:rPr>
      </w:pPr>
      <w:r w:rsidRPr="00D6167B">
        <w:rPr>
          <w:rFonts w:ascii="Times New Roman" w:hAnsi="Times New Roman"/>
          <w:sz w:val="20"/>
          <w:lang w:val="hr-HR"/>
        </w:rPr>
        <w:t>CI, interval pouzdanosti; HR, odnos rizika iz nestratifikovane Koksove regresione analize; NR, nije dostignuto.</w:t>
      </w:r>
    </w:p>
    <w:p w14:paraId="34222A77" w14:textId="77777777" w:rsidR="00DF47F4" w:rsidRPr="00D6167B" w:rsidRDefault="00DF47F4" w:rsidP="007608DF">
      <w:pPr>
        <w:keepNext/>
        <w:widowControl/>
        <w:jc w:val="both"/>
        <w:rPr>
          <w:rFonts w:ascii="Times New Roman" w:hAnsi="Times New Roman"/>
          <w:i/>
          <w:iCs/>
          <w:lang w:val="hr-HR"/>
        </w:rPr>
      </w:pPr>
    </w:p>
    <w:p w14:paraId="1DC3F9C3" w14:textId="77777777" w:rsidR="00D15122" w:rsidRPr="00D6167B" w:rsidRDefault="009B0756" w:rsidP="007608DF">
      <w:pPr>
        <w:widowControl/>
        <w:jc w:val="both"/>
        <w:rPr>
          <w:rFonts w:ascii="Times New Roman" w:eastAsia="Times New Roman" w:hAnsi="Times New Roman"/>
          <w:lang w:val="hr-HR"/>
        </w:rPr>
      </w:pPr>
      <w:r w:rsidRPr="00D6167B">
        <w:rPr>
          <w:rFonts w:ascii="Times New Roman" w:hAnsi="Times New Roman"/>
          <w:i/>
          <w:u w:val="single" w:color="000000"/>
          <w:lang w:val="hr-HR"/>
        </w:rPr>
        <w:t>Uznapredovali i/ili metastatski karcinom renalnih ćelija (mRCC)</w:t>
      </w:r>
    </w:p>
    <w:p w14:paraId="02518237" w14:textId="77777777" w:rsidR="00D15122" w:rsidRPr="00D6167B" w:rsidRDefault="00D15122" w:rsidP="007608DF">
      <w:pPr>
        <w:widowControl/>
        <w:jc w:val="both"/>
        <w:rPr>
          <w:rFonts w:ascii="Times New Roman" w:eastAsia="Times New Roman" w:hAnsi="Times New Roman"/>
          <w:lang w:val="hr-HR"/>
        </w:rPr>
      </w:pPr>
    </w:p>
    <w:p w14:paraId="0BFD1954" w14:textId="2C6CFEBE" w:rsidR="00D15122" w:rsidRPr="00D6167B" w:rsidRDefault="00007842" w:rsidP="007608DF">
      <w:pPr>
        <w:widowControl/>
        <w:jc w:val="both"/>
        <w:rPr>
          <w:rFonts w:ascii="Times New Roman" w:eastAsia="Times New Roman" w:hAnsi="Times New Roman"/>
          <w:lang w:val="hr-HR"/>
        </w:rPr>
      </w:pPr>
      <w:r w:rsidRPr="00D6167B">
        <w:rPr>
          <w:rFonts w:ascii="Times New Roman" w:hAnsi="Times New Roman"/>
          <w:i/>
          <w:lang w:val="hr-HR"/>
        </w:rPr>
        <w:t>Bevacizumab</w:t>
      </w:r>
      <w:r w:rsidR="00BB3069">
        <w:rPr>
          <w:rFonts w:ascii="Times New Roman" w:hAnsi="Times New Roman"/>
          <w:i/>
          <w:lang w:val="hr-HR"/>
        </w:rPr>
        <w:t xml:space="preserve"> u</w:t>
      </w:r>
      <w:r w:rsidRPr="00D6167B">
        <w:rPr>
          <w:rFonts w:ascii="Times New Roman" w:hAnsi="Times New Roman"/>
          <w:i/>
          <w:lang w:val="hr-HR"/>
        </w:rPr>
        <w:t xml:space="preserve"> kombinaciji sa interferonom alfa-2a </w:t>
      </w:r>
      <w:r w:rsidR="00BB3069">
        <w:rPr>
          <w:rFonts w:ascii="Times New Roman" w:hAnsi="Times New Roman"/>
          <w:i/>
          <w:lang w:val="hr-HR"/>
        </w:rPr>
        <w:t>u</w:t>
      </w:r>
      <w:r w:rsidR="00BB3069" w:rsidRPr="00D6167B">
        <w:rPr>
          <w:rFonts w:ascii="Times New Roman" w:hAnsi="Times New Roman"/>
          <w:i/>
          <w:lang w:val="hr-HR"/>
        </w:rPr>
        <w:t xml:space="preserve"> </w:t>
      </w:r>
      <w:r w:rsidRPr="00D6167B">
        <w:rPr>
          <w:rFonts w:ascii="Times New Roman" w:hAnsi="Times New Roman"/>
          <w:i/>
          <w:lang w:val="hr-HR"/>
        </w:rPr>
        <w:t>prv</w:t>
      </w:r>
      <w:r w:rsidR="00BB3069">
        <w:rPr>
          <w:rFonts w:ascii="Times New Roman" w:hAnsi="Times New Roman"/>
          <w:i/>
          <w:lang w:val="hr-HR"/>
        </w:rPr>
        <w:t>oj</w:t>
      </w:r>
      <w:r w:rsidRPr="00D6167B">
        <w:rPr>
          <w:rFonts w:ascii="Times New Roman" w:hAnsi="Times New Roman"/>
          <w:i/>
          <w:lang w:val="hr-HR"/>
        </w:rPr>
        <w:t xml:space="preserve"> linij</w:t>
      </w:r>
      <w:r w:rsidR="00BB3069">
        <w:rPr>
          <w:rFonts w:ascii="Times New Roman" w:hAnsi="Times New Roman"/>
          <w:i/>
          <w:lang w:val="hr-HR"/>
        </w:rPr>
        <w:t>i</w:t>
      </w:r>
      <w:r w:rsidRPr="00D6167B">
        <w:rPr>
          <w:rFonts w:ascii="Times New Roman" w:hAnsi="Times New Roman"/>
          <w:i/>
          <w:lang w:val="hr-HR"/>
        </w:rPr>
        <w:t xml:space="preserve"> liječenja uznapredovalog i/ili metastatskog karcinoma renalnih ćelija (BO17705)</w:t>
      </w:r>
    </w:p>
    <w:p w14:paraId="07C1587B" w14:textId="4DF3B954" w:rsidR="00D15122" w:rsidRPr="00D6167B" w:rsidRDefault="009B0756" w:rsidP="007608DF">
      <w:pPr>
        <w:pStyle w:val="BodyText"/>
        <w:widowControl/>
        <w:ind w:left="0"/>
        <w:jc w:val="both"/>
        <w:rPr>
          <w:lang w:val="hr-HR"/>
        </w:rPr>
      </w:pPr>
      <w:r w:rsidRPr="00D6167B">
        <w:rPr>
          <w:lang w:val="hr-HR"/>
        </w:rPr>
        <w:t>Ovo je bilo randomizovano dvostruko slijepo ispitivanje faze III sprovedeno da bi se procijenile efikasnost i bezbjednost bevacizumaba u kombinaciji sa interferonom (IFN) alfa-2a u poređenju sa IFN alfa-2a monoterapijom kao prvom linijom liječenja za mRCC. Randomizovano je 649 bolesnika (liječeno 641) koji su imali Karnofski performans status (KPS) ≥ 70%, bez metastaza na CNS-u i sa adekvatnom funkcijom organa. Pacijenti su nefrektomisani zbog primarnog karcinoma bubrega. Bevacizumab</w:t>
      </w:r>
      <w:r w:rsidR="00D341B5">
        <w:rPr>
          <w:lang w:val="hr-HR"/>
        </w:rPr>
        <w:t xml:space="preserve"> u dozi od</w:t>
      </w:r>
      <w:r w:rsidRPr="00D6167B">
        <w:rPr>
          <w:lang w:val="hr-HR"/>
        </w:rPr>
        <w:t xml:space="preserve"> 10 mg/kg </w:t>
      </w:r>
      <w:r w:rsidR="00D341B5">
        <w:rPr>
          <w:lang w:val="hr-HR"/>
        </w:rPr>
        <w:t>se primjenjivao</w:t>
      </w:r>
      <w:r w:rsidRPr="00D6167B">
        <w:rPr>
          <w:lang w:val="hr-HR"/>
        </w:rPr>
        <w:t xml:space="preserve"> na svake 2 nedjelje do progresije bolesti. IFN alfa-2a </w:t>
      </w:r>
      <w:r w:rsidR="00D341B5">
        <w:rPr>
          <w:lang w:val="hr-HR"/>
        </w:rPr>
        <w:t>se primjenjivao</w:t>
      </w:r>
      <w:r w:rsidRPr="00D6167B">
        <w:rPr>
          <w:lang w:val="hr-HR"/>
        </w:rPr>
        <w:t xml:space="preserve"> najduže do 52 nedjelje ili do progresije bolesti u preporučenoj početnoj dozi od 9 </w:t>
      </w:r>
      <w:r w:rsidR="00D341B5">
        <w:rPr>
          <w:lang w:val="hr-HR"/>
        </w:rPr>
        <w:t xml:space="preserve">miliona </w:t>
      </w:r>
      <w:r w:rsidRPr="00D6167B">
        <w:rPr>
          <w:lang w:val="hr-HR"/>
        </w:rPr>
        <w:t xml:space="preserve">IU tri puta nedjeljno, a dozvoljavalo se </w:t>
      </w:r>
      <w:r w:rsidR="00D341B5">
        <w:rPr>
          <w:lang w:val="hr-HR"/>
        </w:rPr>
        <w:t xml:space="preserve">postupno (u dva koraka) </w:t>
      </w:r>
      <w:r w:rsidRPr="00D6167B">
        <w:rPr>
          <w:lang w:val="hr-HR"/>
        </w:rPr>
        <w:t xml:space="preserve">smanjenje doze do 3 </w:t>
      </w:r>
      <w:r w:rsidR="00D341B5">
        <w:rPr>
          <w:lang w:val="hr-HR"/>
        </w:rPr>
        <w:t xml:space="preserve">miliona </w:t>
      </w:r>
      <w:r w:rsidRPr="00D6167B">
        <w:rPr>
          <w:lang w:val="hr-HR"/>
        </w:rPr>
        <w:t xml:space="preserve">IU tri puta nedjeljno. Pacijenti su </w:t>
      </w:r>
      <w:r w:rsidR="00D341B5">
        <w:rPr>
          <w:lang w:val="hr-HR"/>
        </w:rPr>
        <w:t xml:space="preserve">bili </w:t>
      </w:r>
      <w:r w:rsidRPr="00D6167B">
        <w:rPr>
          <w:lang w:val="hr-HR"/>
        </w:rPr>
        <w:t xml:space="preserve">stratifikovani po zemljama i po Motzerovom skoru, i pokazalo se da su </w:t>
      </w:r>
      <w:r w:rsidR="007907BF" w:rsidRPr="00D6167B">
        <w:rPr>
          <w:lang w:val="hr-HR"/>
        </w:rPr>
        <w:t xml:space="preserve">grupe </w:t>
      </w:r>
      <w:r w:rsidRPr="00D6167B">
        <w:rPr>
          <w:lang w:val="hr-HR"/>
        </w:rPr>
        <w:t>liječenja dobro uravnotežen</w:t>
      </w:r>
      <w:r w:rsidR="007907BF" w:rsidRPr="00D6167B">
        <w:rPr>
          <w:lang w:val="hr-HR"/>
        </w:rPr>
        <w:t>e</w:t>
      </w:r>
      <w:r w:rsidRPr="00D6167B">
        <w:rPr>
          <w:lang w:val="hr-HR"/>
        </w:rPr>
        <w:t xml:space="preserve"> u pogledu prognostičkih faktora.</w:t>
      </w:r>
    </w:p>
    <w:p w14:paraId="1F6C0A31" w14:textId="77777777" w:rsidR="00D15122" w:rsidRPr="00D6167B" w:rsidRDefault="00D15122" w:rsidP="007608DF">
      <w:pPr>
        <w:widowControl/>
        <w:jc w:val="both"/>
        <w:rPr>
          <w:rFonts w:ascii="Times New Roman" w:eastAsia="Times New Roman" w:hAnsi="Times New Roman"/>
          <w:lang w:val="hr-HR"/>
        </w:rPr>
      </w:pPr>
    </w:p>
    <w:p w14:paraId="0ECFC822" w14:textId="7D0ECF2F" w:rsidR="00D15122" w:rsidRPr="00D6167B" w:rsidRDefault="009B0756" w:rsidP="007608DF">
      <w:pPr>
        <w:pStyle w:val="BodyText"/>
        <w:widowControl/>
        <w:ind w:left="0"/>
        <w:jc w:val="both"/>
        <w:rPr>
          <w:lang w:val="hr-HR"/>
        </w:rPr>
      </w:pPr>
      <w:r w:rsidRPr="00D6167B">
        <w:rPr>
          <w:lang w:val="hr-HR"/>
        </w:rPr>
        <w:t xml:space="preserve">Primarni parametar efikasnosti je bio ukupno preživljavanje, sa sekundarnim parametrima efikasnosti za ispitivanje koji su obuhvatali vrijeme do progresije bolesti. Dodavanje bevacizumaba terapiji IFN alfa-2a dovelo je do značajnog povećanja PFS i stope </w:t>
      </w:r>
      <w:r w:rsidR="00D341B5">
        <w:rPr>
          <w:lang w:val="hr-HR"/>
        </w:rPr>
        <w:t xml:space="preserve">objektivnog tumorskog </w:t>
      </w:r>
      <w:r w:rsidRPr="00D6167B">
        <w:rPr>
          <w:lang w:val="hr-HR"/>
        </w:rPr>
        <w:t>odgovora. Ovi rezultati su potvrđeni putem nezavisne radiološke analize. Međutim, p</w:t>
      </w:r>
      <w:r w:rsidR="00C3325E">
        <w:rPr>
          <w:lang w:val="hr-HR"/>
        </w:rPr>
        <w:t>roduženje</w:t>
      </w:r>
      <w:r w:rsidRPr="00D6167B">
        <w:rPr>
          <w:lang w:val="hr-HR"/>
        </w:rPr>
        <w:t xml:space="preserve"> primarnog parametra efikasnosti ukupnog preživljavanja za 2 mjeseca nije bilo značajno (HR=0,91). Visok procenat pacijenata (prosječno 63% IFN/placebo; 55% bevacizumab/IFN) dobio je različite nespecifične terapije protiv karcinoma nakon studije, uključujući i antineoplastične agense, što može da ima uticaja na analizu ukupnog preživljavanja.</w:t>
      </w:r>
    </w:p>
    <w:p w14:paraId="543D7420" w14:textId="77777777" w:rsidR="00203535" w:rsidRPr="00D6167B" w:rsidRDefault="00203535" w:rsidP="007608DF">
      <w:pPr>
        <w:pStyle w:val="BodyText"/>
        <w:widowControl/>
        <w:ind w:left="0"/>
        <w:jc w:val="both"/>
        <w:rPr>
          <w:lang w:val="hr-HR"/>
        </w:rPr>
      </w:pPr>
    </w:p>
    <w:p w14:paraId="549CDD2B" w14:textId="77777777" w:rsidR="00D15122" w:rsidRPr="00D6167B" w:rsidRDefault="009B0756" w:rsidP="007608DF">
      <w:pPr>
        <w:pStyle w:val="BodyText"/>
        <w:widowControl/>
        <w:ind w:left="0"/>
        <w:jc w:val="both"/>
        <w:rPr>
          <w:lang w:val="hr-HR"/>
        </w:rPr>
      </w:pPr>
      <w:r w:rsidRPr="00D6167B">
        <w:rPr>
          <w:lang w:val="hr-HR"/>
        </w:rPr>
        <w:t>Rezultati efikasnosti su prikazani u tabeli 15.</w:t>
      </w:r>
    </w:p>
    <w:p w14:paraId="20DDA9E4" w14:textId="77777777" w:rsidR="00D15122" w:rsidRPr="00D6167B" w:rsidRDefault="00D15122" w:rsidP="007608DF">
      <w:pPr>
        <w:widowControl/>
        <w:jc w:val="both"/>
        <w:rPr>
          <w:rFonts w:ascii="Times New Roman" w:eastAsia="Times New Roman" w:hAnsi="Times New Roman"/>
          <w:lang w:val="hr-HR"/>
        </w:rPr>
      </w:pPr>
    </w:p>
    <w:p w14:paraId="72CB5F8D" w14:textId="77777777" w:rsidR="00D15122" w:rsidRPr="00D6167B" w:rsidRDefault="009B0756" w:rsidP="007608DF">
      <w:pPr>
        <w:pStyle w:val="Heading1"/>
        <w:keepNext/>
        <w:widowControl/>
        <w:ind w:left="0"/>
        <w:jc w:val="both"/>
        <w:rPr>
          <w:bCs w:val="0"/>
          <w:lang w:val="hr-HR"/>
        </w:rPr>
      </w:pPr>
      <w:r w:rsidRPr="00D6167B">
        <w:rPr>
          <w:lang w:val="hr-HR"/>
        </w:rPr>
        <w:lastRenderedPageBreak/>
        <w:t>Tabela 15</w:t>
      </w:r>
      <w:r w:rsidRPr="00D6167B">
        <w:rPr>
          <w:lang w:val="hr-HR"/>
        </w:rPr>
        <w:tab/>
        <w:t>Rezultati efikasnosti za ispitivanje BO17705</w:t>
      </w:r>
    </w:p>
    <w:p w14:paraId="7F1D8840"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347"/>
        <w:gridCol w:w="4731"/>
      </w:tblGrid>
      <w:tr w:rsidR="00D15122" w:rsidRPr="00D6167B" w14:paraId="32411740" w14:textId="77777777" w:rsidTr="002C0B97">
        <w:trPr>
          <w:cantSplit/>
        </w:trPr>
        <w:tc>
          <w:tcPr>
            <w:tcW w:w="4135" w:type="dxa"/>
            <w:vMerge w:val="restart"/>
          </w:tcPr>
          <w:p w14:paraId="2B00EBF9" w14:textId="77777777" w:rsidR="00D15122" w:rsidRPr="00D6167B" w:rsidRDefault="00D15122" w:rsidP="007608DF">
            <w:pPr>
              <w:keepNext/>
              <w:widowControl/>
              <w:jc w:val="both"/>
              <w:rPr>
                <w:rFonts w:ascii="Times New Roman" w:hAnsi="Times New Roman"/>
                <w:lang w:val="hr-HR"/>
              </w:rPr>
            </w:pPr>
          </w:p>
        </w:tc>
        <w:tc>
          <w:tcPr>
            <w:tcW w:w="4500" w:type="dxa"/>
          </w:tcPr>
          <w:p w14:paraId="5D697883"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BO17705</w:t>
            </w:r>
          </w:p>
        </w:tc>
      </w:tr>
      <w:tr w:rsidR="00D15122" w:rsidRPr="00D6167B" w14:paraId="7C7E8716" w14:textId="77777777" w:rsidTr="002C0B97">
        <w:trPr>
          <w:cantSplit/>
        </w:trPr>
        <w:tc>
          <w:tcPr>
            <w:tcW w:w="4135" w:type="dxa"/>
            <w:vMerge/>
          </w:tcPr>
          <w:p w14:paraId="0625CE0A" w14:textId="77777777" w:rsidR="00D15122" w:rsidRPr="00D6167B" w:rsidRDefault="00D15122" w:rsidP="007608DF">
            <w:pPr>
              <w:keepNext/>
              <w:widowControl/>
              <w:jc w:val="both"/>
              <w:rPr>
                <w:rFonts w:ascii="Times New Roman" w:hAnsi="Times New Roman"/>
                <w:lang w:val="hr-HR"/>
              </w:rPr>
            </w:pPr>
          </w:p>
        </w:tc>
        <w:tc>
          <w:tcPr>
            <w:tcW w:w="4500" w:type="dxa"/>
          </w:tcPr>
          <w:p w14:paraId="735E1CA9" w14:textId="77777777" w:rsidR="00D15122" w:rsidRPr="00D6167B" w:rsidRDefault="009B0756" w:rsidP="00D37692">
            <w:pPr>
              <w:pStyle w:val="TableParagraph"/>
              <w:keepNext/>
              <w:widowControl/>
              <w:tabs>
                <w:tab w:val="left" w:pos="2922"/>
              </w:tabs>
              <w:jc w:val="center"/>
              <w:rPr>
                <w:rFonts w:ascii="Times New Roman" w:eastAsia="Times New Roman" w:hAnsi="Times New Roman"/>
                <w:sz w:val="14"/>
                <w:szCs w:val="14"/>
                <w:lang w:val="hr-HR"/>
              </w:rPr>
            </w:pPr>
            <w:r w:rsidRPr="00D6167B">
              <w:rPr>
                <w:rFonts w:ascii="Times New Roman" w:hAnsi="Times New Roman"/>
                <w:lang w:val="hr-HR"/>
              </w:rPr>
              <w:t>Placebo + IFN</w:t>
            </w:r>
            <w:r w:rsidRPr="00D6167B">
              <w:rPr>
                <w:rFonts w:ascii="Times New Roman" w:hAnsi="Times New Roman"/>
                <w:vertAlign w:val="superscript"/>
                <w:lang w:val="hr-HR"/>
              </w:rPr>
              <w:t>a</w:t>
            </w:r>
            <w:r w:rsidRPr="00D6167B">
              <w:rPr>
                <w:rFonts w:ascii="Times New Roman" w:hAnsi="Times New Roman"/>
                <w:sz w:val="14"/>
                <w:lang w:val="hr-HR"/>
              </w:rPr>
              <w:tab/>
            </w:r>
            <w:r w:rsidRPr="00D6167B">
              <w:rPr>
                <w:rFonts w:ascii="Times New Roman" w:hAnsi="Times New Roman"/>
                <w:lang w:val="hr-HR"/>
              </w:rPr>
              <w:t>Bv</w:t>
            </w:r>
            <w:r w:rsidRPr="00D6167B">
              <w:rPr>
                <w:rFonts w:ascii="Times New Roman" w:hAnsi="Times New Roman"/>
                <w:vertAlign w:val="superscript"/>
                <w:lang w:val="hr-HR"/>
              </w:rPr>
              <w:t>b</w:t>
            </w:r>
            <w:r w:rsidRPr="00D6167B">
              <w:rPr>
                <w:rFonts w:ascii="Times New Roman" w:hAnsi="Times New Roman"/>
                <w:sz w:val="14"/>
                <w:lang w:val="hr-HR"/>
              </w:rPr>
              <w:t xml:space="preserve"> </w:t>
            </w:r>
            <w:r w:rsidRPr="00D6167B">
              <w:rPr>
                <w:rFonts w:ascii="Times New Roman" w:hAnsi="Times New Roman"/>
                <w:lang w:val="hr-HR"/>
              </w:rPr>
              <w:t>+ IFN</w:t>
            </w:r>
            <w:r w:rsidRPr="00D6167B">
              <w:rPr>
                <w:rFonts w:ascii="Times New Roman" w:hAnsi="Times New Roman"/>
                <w:vertAlign w:val="superscript"/>
                <w:lang w:val="hr-HR"/>
              </w:rPr>
              <w:t>a</w:t>
            </w:r>
          </w:p>
        </w:tc>
      </w:tr>
      <w:tr w:rsidR="00D15122" w:rsidRPr="00D6167B" w14:paraId="2788DFA1" w14:textId="77777777" w:rsidTr="002C0B97">
        <w:trPr>
          <w:cantSplit/>
        </w:trPr>
        <w:tc>
          <w:tcPr>
            <w:tcW w:w="4135" w:type="dxa"/>
          </w:tcPr>
          <w:p w14:paraId="1D115566" w14:textId="77777777" w:rsidR="00D15122" w:rsidRPr="00D6167B" w:rsidRDefault="009B0756" w:rsidP="007608DF">
            <w:pPr>
              <w:pStyle w:val="TableParagraph"/>
              <w:keepNext/>
              <w:widowControl/>
              <w:jc w:val="both"/>
              <w:rPr>
                <w:rFonts w:ascii="Times New Roman" w:eastAsia="Times New Roman" w:hAnsi="Times New Roman"/>
                <w:lang w:val="hr-HR"/>
              </w:rPr>
            </w:pPr>
            <w:r w:rsidRPr="00D6167B">
              <w:rPr>
                <w:rFonts w:ascii="Times New Roman" w:hAnsi="Times New Roman"/>
                <w:lang w:val="hr-HR"/>
              </w:rPr>
              <w:t>Broj pacijenata</w:t>
            </w:r>
          </w:p>
        </w:tc>
        <w:tc>
          <w:tcPr>
            <w:tcW w:w="4500" w:type="dxa"/>
          </w:tcPr>
          <w:p w14:paraId="3D05EE04" w14:textId="77777777" w:rsidR="00D15122" w:rsidRPr="00D6167B" w:rsidRDefault="009B0756" w:rsidP="00D37692">
            <w:pPr>
              <w:pStyle w:val="TableParagraph"/>
              <w:keepNext/>
              <w:widowControl/>
              <w:tabs>
                <w:tab w:val="left" w:pos="2342"/>
              </w:tabs>
              <w:jc w:val="center"/>
              <w:rPr>
                <w:rFonts w:ascii="Times New Roman" w:eastAsia="Times New Roman" w:hAnsi="Times New Roman"/>
                <w:lang w:val="hr-HR"/>
              </w:rPr>
            </w:pPr>
            <w:r w:rsidRPr="00D6167B">
              <w:rPr>
                <w:rFonts w:ascii="Times New Roman" w:hAnsi="Times New Roman"/>
                <w:lang w:val="hr-HR"/>
              </w:rPr>
              <w:t>322</w:t>
            </w:r>
            <w:r w:rsidRPr="00D6167B">
              <w:rPr>
                <w:rFonts w:ascii="Times New Roman" w:hAnsi="Times New Roman"/>
                <w:lang w:val="hr-HR"/>
              </w:rPr>
              <w:tab/>
              <w:t>327</w:t>
            </w:r>
          </w:p>
        </w:tc>
      </w:tr>
      <w:tr w:rsidR="00D15122" w:rsidRPr="00D6167B" w14:paraId="7086292C" w14:textId="77777777" w:rsidTr="002C0B97">
        <w:trPr>
          <w:cantSplit/>
        </w:trPr>
        <w:tc>
          <w:tcPr>
            <w:tcW w:w="4135" w:type="dxa"/>
          </w:tcPr>
          <w:p w14:paraId="48F7E49A" w14:textId="77777777" w:rsidR="00583644" w:rsidRPr="00D6167B" w:rsidRDefault="009B0756" w:rsidP="007608DF">
            <w:pPr>
              <w:pStyle w:val="TableParagraph"/>
              <w:keepNext/>
              <w:widowControl/>
              <w:ind w:right="1346" w:firstLine="1"/>
              <w:jc w:val="both"/>
              <w:rPr>
                <w:rFonts w:ascii="Times New Roman" w:hAnsi="Times New Roman"/>
                <w:lang w:val="hr-HR"/>
              </w:rPr>
            </w:pPr>
            <w:r w:rsidRPr="00D6167B">
              <w:rPr>
                <w:rFonts w:ascii="Times New Roman" w:hAnsi="Times New Roman"/>
                <w:lang w:val="hr-HR"/>
              </w:rPr>
              <w:t>Preživljavanje bez progresije</w:t>
            </w:r>
          </w:p>
          <w:p w14:paraId="6909BBDD" w14:textId="77777777" w:rsidR="006C0348" w:rsidRPr="00D6167B" w:rsidRDefault="009B0756" w:rsidP="00D37692">
            <w:pPr>
              <w:pStyle w:val="TableParagraph"/>
              <w:keepNext/>
              <w:widowControl/>
              <w:ind w:left="355" w:right="1346" w:firstLine="1"/>
              <w:rPr>
                <w:rFonts w:ascii="Times New Roman" w:hAnsi="Times New Roman"/>
                <w:lang w:val="hr-HR"/>
              </w:rPr>
            </w:pPr>
            <w:r w:rsidRPr="00D6167B">
              <w:rPr>
                <w:rFonts w:ascii="Times New Roman" w:hAnsi="Times New Roman"/>
                <w:lang w:val="hr-HR"/>
              </w:rPr>
              <w:t xml:space="preserve">Srednja vrijednost (mjeseci) </w:t>
            </w:r>
          </w:p>
          <w:p w14:paraId="3578F7E9" w14:textId="77777777" w:rsidR="00D15122" w:rsidRPr="00D6167B" w:rsidRDefault="009B0756" w:rsidP="00D37692">
            <w:pPr>
              <w:pStyle w:val="TableParagraph"/>
              <w:keepNext/>
              <w:widowControl/>
              <w:ind w:left="355" w:right="1346"/>
              <w:rPr>
                <w:rFonts w:ascii="Times New Roman" w:eastAsia="Times New Roman" w:hAnsi="Times New Roman"/>
                <w:lang w:val="hr-HR"/>
              </w:rPr>
            </w:pPr>
            <w:r w:rsidRPr="00D6167B">
              <w:rPr>
                <w:rFonts w:ascii="Times New Roman" w:hAnsi="Times New Roman"/>
                <w:lang w:val="hr-HR"/>
              </w:rPr>
              <w:t>Odnos rizika</w:t>
            </w:r>
          </w:p>
          <w:p w14:paraId="7CCB6B53" w14:textId="77777777" w:rsidR="00D15122" w:rsidRPr="00D6167B" w:rsidRDefault="009B0756" w:rsidP="00D37692">
            <w:pPr>
              <w:pStyle w:val="TableParagraph"/>
              <w:keepNext/>
              <w:widowControl/>
              <w:ind w:left="355"/>
              <w:rPr>
                <w:rFonts w:ascii="Times New Roman" w:eastAsia="Times New Roman" w:hAnsi="Times New Roman"/>
                <w:lang w:val="hr-HR"/>
              </w:rPr>
            </w:pPr>
            <w:r w:rsidRPr="00D6167B">
              <w:rPr>
                <w:rFonts w:ascii="Times New Roman" w:hAnsi="Times New Roman"/>
                <w:lang w:val="hr-HR"/>
              </w:rPr>
              <w:t>95% CI</w:t>
            </w:r>
          </w:p>
        </w:tc>
        <w:tc>
          <w:tcPr>
            <w:tcW w:w="4500" w:type="dxa"/>
          </w:tcPr>
          <w:p w14:paraId="22E14C82" w14:textId="77777777" w:rsidR="00D15122" w:rsidRPr="00D6167B" w:rsidRDefault="00D15122" w:rsidP="007608DF">
            <w:pPr>
              <w:pStyle w:val="TableParagraph"/>
              <w:keepNext/>
              <w:widowControl/>
              <w:jc w:val="both"/>
              <w:rPr>
                <w:rFonts w:ascii="Times New Roman" w:eastAsia="Times New Roman" w:hAnsi="Times New Roman"/>
                <w:bCs/>
                <w:lang w:val="hr-HR"/>
              </w:rPr>
            </w:pPr>
          </w:p>
          <w:p w14:paraId="3840ECB8" w14:textId="77777777" w:rsidR="00D15122" w:rsidRPr="00D6167B" w:rsidRDefault="009B0756" w:rsidP="00D37692">
            <w:pPr>
              <w:pStyle w:val="TableParagraph"/>
              <w:keepNext/>
              <w:widowControl/>
              <w:tabs>
                <w:tab w:val="left" w:pos="2342"/>
              </w:tabs>
              <w:jc w:val="center"/>
              <w:rPr>
                <w:rFonts w:ascii="Times New Roman" w:eastAsia="Times New Roman" w:hAnsi="Times New Roman"/>
                <w:lang w:val="hr-HR"/>
              </w:rPr>
            </w:pPr>
            <w:r w:rsidRPr="00D6167B">
              <w:rPr>
                <w:rFonts w:ascii="Times New Roman" w:hAnsi="Times New Roman"/>
                <w:lang w:val="hr-HR"/>
              </w:rPr>
              <w:t>5,4</w:t>
            </w:r>
            <w:r w:rsidRPr="00D6167B">
              <w:rPr>
                <w:rFonts w:ascii="Times New Roman" w:hAnsi="Times New Roman"/>
                <w:lang w:val="hr-HR"/>
              </w:rPr>
              <w:tab/>
              <w:t>10,2</w:t>
            </w:r>
          </w:p>
          <w:p w14:paraId="2DC6325A"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0,63</w:t>
            </w:r>
          </w:p>
          <w:p w14:paraId="27866291" w14:textId="77777777" w:rsidR="00D15122" w:rsidRPr="00D6167B" w:rsidRDefault="009B0756" w:rsidP="00D37692">
            <w:pPr>
              <w:pStyle w:val="TableParagraph"/>
              <w:keepNext/>
              <w:widowControl/>
              <w:jc w:val="center"/>
              <w:rPr>
                <w:rFonts w:ascii="Times New Roman" w:eastAsia="Times New Roman" w:hAnsi="Times New Roman"/>
                <w:lang w:val="hr-HR"/>
              </w:rPr>
            </w:pPr>
            <w:r w:rsidRPr="00D6167B">
              <w:rPr>
                <w:rFonts w:ascii="Times New Roman" w:hAnsi="Times New Roman"/>
                <w:lang w:val="hr-HR"/>
              </w:rPr>
              <w:t>0,52, 0,75</w:t>
            </w:r>
          </w:p>
          <w:p w14:paraId="69800D2B" w14:textId="77777777" w:rsidR="00D15122" w:rsidRPr="00D6167B" w:rsidRDefault="009B0756" w:rsidP="00D37692">
            <w:pPr>
              <w:pStyle w:val="TableParagraph"/>
              <w:keepNext/>
              <w:widowControl/>
              <w:ind w:right="1"/>
              <w:jc w:val="center"/>
              <w:rPr>
                <w:rFonts w:ascii="Times New Roman" w:eastAsia="Times New Roman" w:hAnsi="Times New Roman"/>
                <w:lang w:val="hr-HR"/>
              </w:rPr>
            </w:pPr>
            <w:r w:rsidRPr="00D6167B">
              <w:rPr>
                <w:rFonts w:ascii="Times New Roman" w:hAnsi="Times New Roman"/>
                <w:lang w:val="hr-HR"/>
              </w:rPr>
              <w:t>(vrijednost p &lt; 0,0001)</w:t>
            </w:r>
          </w:p>
        </w:tc>
      </w:tr>
      <w:tr w:rsidR="00D15122" w:rsidRPr="00D6167B" w14:paraId="2481B2FD" w14:textId="77777777" w:rsidTr="002C0B97">
        <w:trPr>
          <w:cantSplit/>
        </w:trPr>
        <w:tc>
          <w:tcPr>
            <w:tcW w:w="4135" w:type="dxa"/>
          </w:tcPr>
          <w:p w14:paraId="65E6752B" w14:textId="77777777" w:rsidR="00D15122" w:rsidRPr="00D6167B" w:rsidRDefault="009B0756" w:rsidP="007608DF">
            <w:pPr>
              <w:pStyle w:val="TableParagraph"/>
              <w:keepNext/>
              <w:widowControl/>
              <w:ind w:right="135"/>
              <w:jc w:val="both"/>
              <w:rPr>
                <w:rFonts w:ascii="Times New Roman" w:eastAsia="Times New Roman" w:hAnsi="Times New Roman"/>
                <w:lang w:val="hr-HR"/>
              </w:rPr>
            </w:pPr>
            <w:r w:rsidRPr="00D6167B">
              <w:rPr>
                <w:rFonts w:ascii="Times New Roman" w:hAnsi="Times New Roman"/>
                <w:lang w:val="hr-HR"/>
              </w:rPr>
              <w:t>Stopa objektivnog odgovora (%) za pacijente sa mjerljivom bolesti</w:t>
            </w:r>
          </w:p>
          <w:p w14:paraId="5529D9F2" w14:textId="77777777" w:rsidR="00D15122" w:rsidRPr="00D6167B" w:rsidRDefault="009B0756" w:rsidP="00D37692">
            <w:pPr>
              <w:pStyle w:val="TableParagraph"/>
              <w:keepNext/>
              <w:widowControl/>
              <w:ind w:left="355"/>
              <w:rPr>
                <w:rFonts w:ascii="Times New Roman" w:eastAsia="Times New Roman" w:hAnsi="Times New Roman"/>
                <w:lang w:val="hr-HR"/>
              </w:rPr>
            </w:pPr>
            <w:r w:rsidRPr="00D6167B">
              <w:rPr>
                <w:rFonts w:ascii="Times New Roman" w:hAnsi="Times New Roman"/>
                <w:lang w:val="hr-HR"/>
              </w:rPr>
              <w:t>N</w:t>
            </w:r>
          </w:p>
          <w:p w14:paraId="419B0543" w14:textId="77777777" w:rsidR="00D15122" w:rsidRPr="00D6167B" w:rsidRDefault="009B0756" w:rsidP="00D37692">
            <w:pPr>
              <w:pStyle w:val="TableParagraph"/>
              <w:keepNext/>
              <w:widowControl/>
              <w:ind w:left="355"/>
              <w:rPr>
                <w:rFonts w:ascii="Times New Roman" w:eastAsia="Times New Roman" w:hAnsi="Times New Roman"/>
                <w:lang w:val="hr-HR"/>
              </w:rPr>
            </w:pPr>
            <w:r w:rsidRPr="00D6167B">
              <w:rPr>
                <w:rFonts w:ascii="Times New Roman" w:hAnsi="Times New Roman"/>
                <w:lang w:val="hr-HR"/>
              </w:rPr>
              <w:t>Stopa odgovora</w:t>
            </w:r>
          </w:p>
        </w:tc>
        <w:tc>
          <w:tcPr>
            <w:tcW w:w="4500" w:type="dxa"/>
          </w:tcPr>
          <w:p w14:paraId="7325A7D7" w14:textId="77777777" w:rsidR="00D15122" w:rsidRPr="00D6167B" w:rsidRDefault="00D15122" w:rsidP="007608DF">
            <w:pPr>
              <w:pStyle w:val="TableParagraph"/>
              <w:keepNext/>
              <w:widowControl/>
              <w:jc w:val="both"/>
              <w:rPr>
                <w:rFonts w:ascii="Times New Roman" w:eastAsia="Times New Roman" w:hAnsi="Times New Roman"/>
                <w:bCs/>
                <w:lang w:val="hr-HR"/>
              </w:rPr>
            </w:pPr>
          </w:p>
          <w:p w14:paraId="06A4CE68" w14:textId="77777777" w:rsidR="00D15122" w:rsidRPr="00D6167B" w:rsidRDefault="00D15122" w:rsidP="007608DF">
            <w:pPr>
              <w:pStyle w:val="TableParagraph"/>
              <w:keepNext/>
              <w:widowControl/>
              <w:jc w:val="both"/>
              <w:rPr>
                <w:rFonts w:ascii="Times New Roman" w:eastAsia="Times New Roman" w:hAnsi="Times New Roman"/>
                <w:bCs/>
                <w:lang w:val="hr-HR"/>
              </w:rPr>
            </w:pPr>
          </w:p>
          <w:p w14:paraId="7B8F2373" w14:textId="77777777" w:rsidR="00D15122" w:rsidRPr="00D6167B" w:rsidRDefault="009B0756" w:rsidP="00D37692">
            <w:pPr>
              <w:pStyle w:val="TableParagraph"/>
              <w:keepNext/>
              <w:widowControl/>
              <w:tabs>
                <w:tab w:val="left" w:pos="2339"/>
              </w:tabs>
              <w:jc w:val="center"/>
              <w:rPr>
                <w:rFonts w:ascii="Times New Roman" w:eastAsia="Times New Roman" w:hAnsi="Times New Roman"/>
                <w:lang w:val="hr-HR"/>
              </w:rPr>
            </w:pPr>
            <w:r w:rsidRPr="00D6167B">
              <w:rPr>
                <w:rFonts w:ascii="Times New Roman" w:hAnsi="Times New Roman"/>
                <w:lang w:val="hr-HR"/>
              </w:rPr>
              <w:t>289</w:t>
            </w:r>
            <w:r w:rsidRPr="00D6167B">
              <w:rPr>
                <w:rFonts w:ascii="Times New Roman" w:hAnsi="Times New Roman"/>
                <w:lang w:val="hr-HR"/>
              </w:rPr>
              <w:tab/>
              <w:t>306</w:t>
            </w:r>
          </w:p>
          <w:p w14:paraId="3D4FF168" w14:textId="77777777" w:rsidR="00054CB9" w:rsidRPr="00D6167B" w:rsidRDefault="009B0756" w:rsidP="00D37692">
            <w:pPr>
              <w:pStyle w:val="TableParagraph"/>
              <w:keepNext/>
              <w:widowControl/>
              <w:tabs>
                <w:tab w:val="left" w:pos="2339"/>
              </w:tabs>
              <w:jc w:val="center"/>
              <w:rPr>
                <w:rFonts w:ascii="Times New Roman" w:eastAsia="Times New Roman" w:hAnsi="Times New Roman"/>
                <w:lang w:val="hr-HR"/>
              </w:rPr>
            </w:pPr>
            <w:r w:rsidRPr="00D6167B">
              <w:rPr>
                <w:rFonts w:ascii="Times New Roman" w:hAnsi="Times New Roman"/>
                <w:lang w:val="hr-HR"/>
              </w:rPr>
              <w:t>12,8%</w:t>
            </w:r>
            <w:r w:rsidRPr="00D6167B">
              <w:rPr>
                <w:rFonts w:ascii="Times New Roman" w:hAnsi="Times New Roman"/>
                <w:lang w:val="hr-HR"/>
              </w:rPr>
              <w:tab/>
              <w:t>31,4%</w:t>
            </w:r>
          </w:p>
          <w:p w14:paraId="3EECFBB9" w14:textId="77777777" w:rsidR="00D15122" w:rsidRPr="00D6167B" w:rsidRDefault="009B0756" w:rsidP="00D37692">
            <w:pPr>
              <w:pStyle w:val="TableParagraph"/>
              <w:keepNext/>
              <w:widowControl/>
              <w:ind w:right="1"/>
              <w:jc w:val="center"/>
              <w:rPr>
                <w:rFonts w:ascii="Times New Roman" w:eastAsia="Times New Roman" w:hAnsi="Times New Roman"/>
                <w:lang w:val="hr-HR"/>
              </w:rPr>
            </w:pPr>
            <w:r w:rsidRPr="00D6167B">
              <w:rPr>
                <w:rFonts w:ascii="Times New Roman" w:hAnsi="Times New Roman"/>
                <w:lang w:val="hr-HR"/>
              </w:rPr>
              <w:t>(vrijednost p &lt; 0,0001)</w:t>
            </w:r>
          </w:p>
        </w:tc>
      </w:tr>
    </w:tbl>
    <w:p w14:paraId="1EBC5207"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a</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Interferon alfa-2a 9 MIU 3x nedjeljno</w:t>
      </w:r>
    </w:p>
    <w:p w14:paraId="39A3A046"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b</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Bevacizumab 10 mg/kg jednom u 2 nedjelje</w:t>
      </w:r>
    </w:p>
    <w:p w14:paraId="55486D14" w14:textId="77777777" w:rsidR="00D15122" w:rsidRPr="00D6167B" w:rsidRDefault="00D15122" w:rsidP="007608DF">
      <w:pPr>
        <w:widowControl/>
        <w:jc w:val="both"/>
        <w:rPr>
          <w:rFonts w:ascii="Times New Roman" w:eastAsia="Times New Roman" w:hAnsi="Times New Roman"/>
          <w:sz w:val="25"/>
          <w:szCs w:val="25"/>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50"/>
        <w:gridCol w:w="4728"/>
      </w:tblGrid>
      <w:tr w:rsidR="00583644" w:rsidRPr="00D6167B" w14:paraId="429EAC2D" w14:textId="77777777" w:rsidTr="002C0B97">
        <w:trPr>
          <w:cantSplit/>
        </w:trPr>
        <w:tc>
          <w:tcPr>
            <w:tcW w:w="4140" w:type="dxa"/>
            <w:shd w:val="clear" w:color="auto" w:fill="auto"/>
          </w:tcPr>
          <w:p w14:paraId="568D7553" w14:textId="77777777" w:rsidR="00583644" w:rsidRPr="00D6167B" w:rsidRDefault="00583644" w:rsidP="007608DF">
            <w:pPr>
              <w:widowControl/>
              <w:ind w:left="288" w:right="1952" w:hanging="185"/>
              <w:jc w:val="both"/>
              <w:rPr>
                <w:rFonts w:ascii="Times New Roman"/>
                <w:spacing w:val="27"/>
                <w:lang w:val="hr-HR"/>
              </w:rPr>
            </w:pPr>
            <w:r w:rsidRPr="00D6167B">
              <w:rPr>
                <w:rFonts w:ascii="Times New Roman"/>
                <w:lang w:val="hr-HR"/>
              </w:rPr>
              <w:t>Ukupno pre</w:t>
            </w:r>
            <w:r w:rsidRPr="00D6167B">
              <w:rPr>
                <w:rFonts w:ascii="Times New Roman"/>
                <w:lang w:val="hr-HR"/>
              </w:rPr>
              <w:t>ž</w:t>
            </w:r>
            <w:r w:rsidRPr="00D6167B">
              <w:rPr>
                <w:rFonts w:ascii="Times New Roman"/>
                <w:lang w:val="hr-HR"/>
              </w:rPr>
              <w:t xml:space="preserve">ivljavanje </w:t>
            </w:r>
          </w:p>
          <w:p w14:paraId="0BDAE1EC" w14:textId="77777777" w:rsidR="00583644" w:rsidRPr="00D6167B" w:rsidRDefault="00583644" w:rsidP="00D37692">
            <w:pPr>
              <w:widowControl/>
              <w:ind w:left="288" w:right="1952" w:hanging="185"/>
              <w:rPr>
                <w:rFonts w:ascii="Times New Roman" w:eastAsia="Times New Roman" w:hAnsi="Times New Roman"/>
                <w:lang w:val="hr-HR"/>
              </w:rPr>
            </w:pPr>
            <w:r w:rsidRPr="00D6167B">
              <w:rPr>
                <w:rFonts w:ascii="Times New Roman"/>
                <w:lang w:val="hr-HR"/>
              </w:rPr>
              <w:tab/>
              <w:t>Srednja vrijednost (mjeseci)</w:t>
            </w:r>
          </w:p>
          <w:p w14:paraId="6719DC5F" w14:textId="77777777" w:rsidR="00583644" w:rsidRPr="00D6167B" w:rsidRDefault="00583644" w:rsidP="00D37692">
            <w:pPr>
              <w:widowControl/>
              <w:ind w:left="288" w:right="2378"/>
              <w:rPr>
                <w:rFonts w:ascii="Times New Roman"/>
                <w:spacing w:val="22"/>
                <w:lang w:val="hr-HR"/>
              </w:rPr>
            </w:pPr>
            <w:r w:rsidRPr="00D6167B">
              <w:rPr>
                <w:rFonts w:ascii="Times New Roman"/>
                <w:lang w:val="hr-HR"/>
              </w:rPr>
              <w:t xml:space="preserve">Odnos rizika </w:t>
            </w:r>
          </w:p>
          <w:p w14:paraId="662806D8" w14:textId="77777777" w:rsidR="00583644" w:rsidRPr="00D6167B" w:rsidRDefault="00583644" w:rsidP="00D37692">
            <w:pPr>
              <w:widowControl/>
              <w:ind w:left="288" w:right="2378"/>
              <w:rPr>
                <w:rFonts w:ascii="Times New Roman" w:eastAsia="Times New Roman" w:hAnsi="Times New Roman"/>
                <w:lang w:val="hr-HR"/>
              </w:rPr>
            </w:pPr>
            <w:r w:rsidRPr="00D6167B">
              <w:rPr>
                <w:rFonts w:ascii="Times New Roman"/>
                <w:lang w:val="hr-HR"/>
              </w:rPr>
              <w:t>95% CI</w:t>
            </w:r>
          </w:p>
          <w:p w14:paraId="289B809C" w14:textId="77777777" w:rsidR="00583644" w:rsidRPr="00D6167B" w:rsidRDefault="00583644" w:rsidP="007608DF">
            <w:pPr>
              <w:widowControl/>
              <w:jc w:val="both"/>
              <w:rPr>
                <w:rFonts w:ascii="Times New Roman" w:eastAsia="Times New Roman" w:hAnsi="Times New Roman"/>
                <w:sz w:val="25"/>
                <w:szCs w:val="25"/>
                <w:lang w:val="hr-HR"/>
              </w:rPr>
            </w:pPr>
          </w:p>
        </w:tc>
        <w:tc>
          <w:tcPr>
            <w:tcW w:w="4500" w:type="dxa"/>
            <w:shd w:val="clear" w:color="auto" w:fill="auto"/>
          </w:tcPr>
          <w:p w14:paraId="70A1A8FA" w14:textId="77777777" w:rsidR="00583644" w:rsidRPr="00D6167B" w:rsidRDefault="00583644" w:rsidP="007608DF">
            <w:pPr>
              <w:widowControl/>
              <w:tabs>
                <w:tab w:val="left" w:pos="2281"/>
              </w:tabs>
              <w:ind w:left="62"/>
              <w:jc w:val="both"/>
              <w:rPr>
                <w:rFonts w:ascii="Times New Roman"/>
                <w:lang w:val="hr-HR"/>
              </w:rPr>
            </w:pPr>
          </w:p>
          <w:p w14:paraId="04DC6387" w14:textId="77777777" w:rsidR="00583644" w:rsidRPr="00D6167B" w:rsidRDefault="00583644" w:rsidP="00D37692">
            <w:pPr>
              <w:widowControl/>
              <w:tabs>
                <w:tab w:val="left" w:pos="2281"/>
              </w:tabs>
              <w:ind w:left="62"/>
              <w:jc w:val="center"/>
              <w:rPr>
                <w:rFonts w:ascii="Times New Roman" w:eastAsia="Times New Roman" w:hAnsi="Times New Roman"/>
                <w:lang w:val="hr-HR"/>
              </w:rPr>
            </w:pPr>
            <w:r w:rsidRPr="00D6167B">
              <w:rPr>
                <w:rFonts w:ascii="Times New Roman"/>
                <w:lang w:val="hr-HR"/>
              </w:rPr>
              <w:t>21,3</w:t>
            </w:r>
            <w:r w:rsidRPr="00D6167B">
              <w:rPr>
                <w:rFonts w:ascii="Times New Roman"/>
                <w:lang w:val="hr-HR"/>
              </w:rPr>
              <w:tab/>
              <w:t>23,3</w:t>
            </w:r>
          </w:p>
          <w:p w14:paraId="15E2EA51" w14:textId="77777777" w:rsidR="00583644" w:rsidRPr="00D6167B" w:rsidRDefault="00583644" w:rsidP="00D37692">
            <w:pPr>
              <w:widowControl/>
              <w:ind w:left="2"/>
              <w:jc w:val="center"/>
              <w:rPr>
                <w:rFonts w:ascii="Times New Roman" w:eastAsia="Times New Roman" w:hAnsi="Times New Roman"/>
                <w:lang w:val="hr-HR"/>
              </w:rPr>
            </w:pPr>
            <w:r w:rsidRPr="00D6167B">
              <w:rPr>
                <w:rFonts w:ascii="Times New Roman"/>
                <w:lang w:val="hr-HR"/>
              </w:rPr>
              <w:t>0,91</w:t>
            </w:r>
          </w:p>
          <w:p w14:paraId="3D43E8B6" w14:textId="77777777" w:rsidR="00583644" w:rsidRPr="00D6167B" w:rsidRDefault="00583644" w:rsidP="00D37692">
            <w:pPr>
              <w:widowControl/>
              <w:jc w:val="center"/>
              <w:rPr>
                <w:rFonts w:ascii="Times New Roman" w:eastAsia="Times New Roman" w:hAnsi="Times New Roman"/>
                <w:lang w:val="hr-HR"/>
              </w:rPr>
            </w:pPr>
            <w:r w:rsidRPr="00D6167B">
              <w:rPr>
                <w:rFonts w:ascii="Times New Roman"/>
                <w:lang w:val="hr-HR"/>
              </w:rPr>
              <w:t>0,76, 1,10</w:t>
            </w:r>
          </w:p>
          <w:p w14:paraId="71436C4D" w14:textId="77777777" w:rsidR="00583644" w:rsidRPr="00D6167B" w:rsidRDefault="00583644" w:rsidP="00D37692">
            <w:pPr>
              <w:widowControl/>
              <w:jc w:val="center"/>
              <w:rPr>
                <w:rFonts w:ascii="Times New Roman" w:eastAsia="Times New Roman" w:hAnsi="Times New Roman"/>
                <w:sz w:val="25"/>
                <w:szCs w:val="25"/>
                <w:lang w:val="hr-HR"/>
              </w:rPr>
            </w:pPr>
            <w:r w:rsidRPr="00D6167B">
              <w:rPr>
                <w:rFonts w:ascii="Times New Roman"/>
                <w:lang w:val="hr-HR"/>
              </w:rPr>
              <w:t>(vrijednost p 0,3360)</w:t>
            </w:r>
          </w:p>
        </w:tc>
      </w:tr>
    </w:tbl>
    <w:p w14:paraId="5C400AE5" w14:textId="77777777" w:rsidR="00583644" w:rsidRPr="00D6167B" w:rsidRDefault="00583644" w:rsidP="007608DF">
      <w:pPr>
        <w:widowControl/>
        <w:jc w:val="both"/>
        <w:rPr>
          <w:rFonts w:ascii="Times New Roman" w:eastAsia="Times New Roman" w:hAnsi="Times New Roman"/>
          <w:sz w:val="25"/>
          <w:szCs w:val="25"/>
          <w:lang w:val="hr-HR"/>
        </w:rPr>
      </w:pPr>
    </w:p>
    <w:p w14:paraId="1FEED726" w14:textId="3C2F4878" w:rsidR="00D15122" w:rsidRPr="00D6167B" w:rsidRDefault="009B0756" w:rsidP="007608DF">
      <w:pPr>
        <w:pStyle w:val="BodyText"/>
        <w:widowControl/>
        <w:ind w:left="0"/>
        <w:jc w:val="both"/>
        <w:rPr>
          <w:lang w:val="hr-HR"/>
        </w:rPr>
      </w:pPr>
      <w:r w:rsidRPr="00D6167B">
        <w:rPr>
          <w:lang w:val="hr-HR"/>
        </w:rPr>
        <w:t xml:space="preserve">Eksplorativni multivarijantni Koksov regresioni model </w:t>
      </w:r>
      <w:r w:rsidR="00C3325E">
        <w:rPr>
          <w:lang w:val="hr-HR"/>
        </w:rPr>
        <w:t>sa selekcijom</w:t>
      </w:r>
      <w:r w:rsidRPr="00D6167B">
        <w:rPr>
          <w:lang w:val="hr-HR"/>
        </w:rPr>
        <w:t xml:space="preserve"> unazad </w:t>
      </w:r>
      <w:r w:rsidR="00C3325E" w:rsidRPr="00C106C9">
        <w:rPr>
          <w:lang w:val="hr-HR"/>
        </w:rPr>
        <w:t xml:space="preserve">(engl. </w:t>
      </w:r>
      <w:r w:rsidR="00C3325E" w:rsidRPr="00C106C9">
        <w:rPr>
          <w:i/>
          <w:lang w:val="hr-HR"/>
        </w:rPr>
        <w:t>backward</w:t>
      </w:r>
      <w:r w:rsidR="00C3325E" w:rsidRPr="00C106C9">
        <w:rPr>
          <w:i/>
          <w:lang w:val="hr-HR"/>
        </w:rPr>
        <w:br/>
        <w:t>selection</w:t>
      </w:r>
      <w:r w:rsidR="00C3325E" w:rsidRPr="00C106C9">
        <w:rPr>
          <w:lang w:val="hr-HR"/>
        </w:rPr>
        <w:t>)</w:t>
      </w:r>
      <w:r w:rsidR="00C3325E" w:rsidRPr="00D6167B">
        <w:rPr>
          <w:lang w:val="hr-HR"/>
        </w:rPr>
        <w:t xml:space="preserve"> </w:t>
      </w:r>
      <w:r w:rsidRPr="00D6167B">
        <w:rPr>
          <w:lang w:val="hr-HR"/>
        </w:rPr>
        <w:t xml:space="preserve">pokazao je da su sljedeći prognostički faktori na početnom nivou bili u bliskoj vezi sa preživljavanjem nezavisno od liječenja: pol, broj leukocita, trombociti, gubitak tjelesne mase tokom 6 mjeseci prije učešća u ispitivanju, broj lokacija sa metastazama, zbir najvećih prečnika ciljanih lezija, Motzerov skor. Korektivnim usklađivanjem sa ovim faktorima na početnom nivou dobijen je odnos rizika od 0,78 (95% CI [0,63;0,96], p= 0,0219), što ukazuje na smanjenje rizika od smrti za 22% kod pacijenata u </w:t>
      </w:r>
      <w:r w:rsidR="007907BF" w:rsidRPr="00D6167B">
        <w:rPr>
          <w:lang w:val="hr-HR"/>
        </w:rPr>
        <w:t xml:space="preserve">grupi </w:t>
      </w:r>
      <w:r w:rsidRPr="00D6167B">
        <w:rPr>
          <w:lang w:val="hr-HR"/>
        </w:rPr>
        <w:t xml:space="preserve">bevacizumab + IFN alfa-2a u poređenju sa </w:t>
      </w:r>
      <w:r w:rsidR="007907BF" w:rsidRPr="00D6167B">
        <w:rPr>
          <w:lang w:val="hr-HR"/>
        </w:rPr>
        <w:t xml:space="preserve">grupom </w:t>
      </w:r>
      <w:r w:rsidR="00E34EC4">
        <w:rPr>
          <w:lang w:val="hr-HR"/>
        </w:rPr>
        <w:t xml:space="preserve">pacijenata koji su primali </w:t>
      </w:r>
      <w:r w:rsidRPr="00D6167B">
        <w:rPr>
          <w:lang w:val="hr-HR"/>
        </w:rPr>
        <w:t>IFN alfa-2a.</w:t>
      </w:r>
    </w:p>
    <w:p w14:paraId="28C08C1F" w14:textId="77777777" w:rsidR="00D15122" w:rsidRPr="00D6167B" w:rsidRDefault="00D15122" w:rsidP="007608DF">
      <w:pPr>
        <w:widowControl/>
        <w:jc w:val="both"/>
        <w:rPr>
          <w:rFonts w:ascii="Times New Roman" w:eastAsia="Times New Roman" w:hAnsi="Times New Roman"/>
          <w:lang w:val="hr-HR"/>
        </w:rPr>
      </w:pPr>
    </w:p>
    <w:p w14:paraId="7DCC4764" w14:textId="7B97F728" w:rsidR="00D15122" w:rsidRPr="00D6167B" w:rsidRDefault="009B0756" w:rsidP="007608DF">
      <w:pPr>
        <w:pStyle w:val="BodyText"/>
        <w:widowControl/>
        <w:ind w:left="0"/>
        <w:jc w:val="both"/>
        <w:rPr>
          <w:lang w:val="hr-HR"/>
        </w:rPr>
      </w:pPr>
      <w:r w:rsidRPr="00D6167B">
        <w:rPr>
          <w:lang w:val="hr-HR"/>
        </w:rPr>
        <w:t xml:space="preserve">Kod 97 pacijenata u </w:t>
      </w:r>
      <w:r w:rsidR="007907BF" w:rsidRPr="00D6167B">
        <w:rPr>
          <w:lang w:val="hr-HR"/>
        </w:rPr>
        <w:t xml:space="preserve">grupi </w:t>
      </w:r>
      <w:r w:rsidRPr="00D6167B">
        <w:rPr>
          <w:lang w:val="hr-HR"/>
        </w:rPr>
        <w:t xml:space="preserve">IFN alfa-2a i 131 pacijenta u </w:t>
      </w:r>
      <w:r w:rsidR="007907BF" w:rsidRPr="00D6167B">
        <w:rPr>
          <w:lang w:val="hr-HR"/>
        </w:rPr>
        <w:t xml:space="preserve">grupi </w:t>
      </w:r>
      <w:r w:rsidRPr="00D6167B">
        <w:rPr>
          <w:lang w:val="hr-HR"/>
        </w:rPr>
        <w:t xml:space="preserve">sa bevacizumabom smanjena je doza IFN alfa-2a sa 9 MIU na </w:t>
      </w:r>
      <w:r w:rsidR="00E34EC4">
        <w:rPr>
          <w:lang w:val="hr-HR"/>
        </w:rPr>
        <w:t xml:space="preserve">miliona </w:t>
      </w:r>
      <w:r w:rsidRPr="00D6167B">
        <w:rPr>
          <w:lang w:val="hr-HR"/>
        </w:rPr>
        <w:t xml:space="preserve">6 ili 3 </w:t>
      </w:r>
      <w:r w:rsidR="00E34EC4">
        <w:rPr>
          <w:lang w:val="hr-HR"/>
        </w:rPr>
        <w:t xml:space="preserve">miliona </w:t>
      </w:r>
      <w:r w:rsidRPr="00D6167B">
        <w:rPr>
          <w:lang w:val="hr-HR"/>
        </w:rPr>
        <w:t xml:space="preserve">IU tri puta nedjeljno, kako je prethodno određeno protokolom. Smanjivanje doze IFN alfa-2a izgleda da nije uticalo na efikasnost kombinacije bevacizumaba i IFN alfa-2a na osnovu stope preživljavanja bez progresije bolesti i događaja tokom vremena, kao što je i pokazano analizom podgrupe. 131 pacijent u </w:t>
      </w:r>
      <w:r w:rsidR="007907BF" w:rsidRPr="00D6167B">
        <w:rPr>
          <w:lang w:val="hr-HR"/>
        </w:rPr>
        <w:t xml:space="preserve">grupi </w:t>
      </w:r>
      <w:r w:rsidRPr="00D6167B">
        <w:rPr>
          <w:lang w:val="hr-HR"/>
        </w:rPr>
        <w:t xml:space="preserve">bevacizumab + IFN alfa-2a kojem je doza IFN alfa-2a smanjena i održavana na 6 ili 3 </w:t>
      </w:r>
      <w:r w:rsidR="00E34EC4">
        <w:rPr>
          <w:lang w:val="hr-HR"/>
        </w:rPr>
        <w:t xml:space="preserve">miliona </w:t>
      </w:r>
      <w:r w:rsidRPr="00D6167B">
        <w:rPr>
          <w:lang w:val="hr-HR"/>
        </w:rPr>
        <w:t>IU tokom ispitivanja pokazao je stope preživljavanja bez progresije bolesti i događaja posl</w:t>
      </w:r>
      <w:r w:rsidR="005A2F27" w:rsidRPr="00D6167B">
        <w:rPr>
          <w:lang w:val="hr-HR"/>
        </w:rPr>
        <w:t>i</w:t>
      </w:r>
      <w:r w:rsidRPr="00D6167B">
        <w:rPr>
          <w:lang w:val="hr-HR"/>
        </w:rPr>
        <w:t>je 6, 12 i 18 m</w:t>
      </w:r>
      <w:r w:rsidR="00EC0637" w:rsidRPr="00D6167B">
        <w:rPr>
          <w:lang w:val="hr-HR"/>
        </w:rPr>
        <w:t>j</w:t>
      </w:r>
      <w:r w:rsidRPr="00D6167B">
        <w:rPr>
          <w:lang w:val="hr-HR"/>
        </w:rPr>
        <w:t>eseci koje su iznosile 73%, 52% i 21%, tim redom, u poređenju sa stopama od 61%, 43% i 17% u ukupnoj populaciji pacijenata koji su primali bevacizumab + IFN alfa-2a.</w:t>
      </w:r>
    </w:p>
    <w:p w14:paraId="20DBC822" w14:textId="77777777" w:rsidR="00D15122" w:rsidRPr="00D6167B" w:rsidRDefault="00D15122" w:rsidP="007608DF">
      <w:pPr>
        <w:widowControl/>
        <w:jc w:val="both"/>
        <w:rPr>
          <w:rFonts w:ascii="Times New Roman" w:eastAsia="Times New Roman" w:hAnsi="Times New Roman"/>
          <w:lang w:val="hr-HR"/>
        </w:rPr>
      </w:pPr>
    </w:p>
    <w:p w14:paraId="2A997D1F" w14:textId="77777777" w:rsidR="00D15122" w:rsidRPr="00D6167B" w:rsidRDefault="009B0756" w:rsidP="007608DF">
      <w:pPr>
        <w:keepNext/>
        <w:widowControl/>
        <w:jc w:val="both"/>
        <w:rPr>
          <w:rFonts w:ascii="Times New Roman" w:eastAsia="Times New Roman" w:hAnsi="Times New Roman"/>
          <w:lang w:val="hr-HR"/>
        </w:rPr>
      </w:pPr>
      <w:r w:rsidRPr="00D6167B">
        <w:rPr>
          <w:rFonts w:ascii="Times New Roman" w:hAnsi="Times New Roman"/>
          <w:i/>
          <w:lang w:val="hr-HR"/>
        </w:rPr>
        <w:t>AVF2938</w:t>
      </w:r>
    </w:p>
    <w:p w14:paraId="5D61CDA6" w14:textId="050A005E" w:rsidR="00D15122" w:rsidRPr="00D6167B" w:rsidRDefault="0009530F"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dvostruko slijepo</w:t>
      </w:r>
      <w:r>
        <w:rPr>
          <w:lang w:val="hr-HR"/>
        </w:rPr>
        <w:t>m</w:t>
      </w:r>
      <w:r w:rsidR="009B0756" w:rsidRPr="00D6167B">
        <w:rPr>
          <w:lang w:val="hr-HR"/>
        </w:rPr>
        <w:t xml:space="preserve"> kliničko</w:t>
      </w:r>
      <w:r>
        <w:rPr>
          <w:lang w:val="hr-HR"/>
        </w:rPr>
        <w:t>m</w:t>
      </w:r>
      <w:r w:rsidR="009B0756" w:rsidRPr="00D6167B">
        <w:rPr>
          <w:lang w:val="hr-HR"/>
        </w:rPr>
        <w:t xml:space="preserve"> ispitivanj</w:t>
      </w:r>
      <w:r>
        <w:rPr>
          <w:lang w:val="hr-HR"/>
        </w:rPr>
        <w:t>u</w:t>
      </w:r>
      <w:r w:rsidR="009B0756" w:rsidRPr="00D6167B">
        <w:rPr>
          <w:lang w:val="hr-HR"/>
        </w:rPr>
        <w:t xml:space="preserve"> faze II u kojem je </w:t>
      </w:r>
      <w:r w:rsidRPr="00D6167B">
        <w:rPr>
          <w:lang w:val="hr-HR"/>
        </w:rPr>
        <w:t>is</w:t>
      </w:r>
      <w:r>
        <w:rPr>
          <w:lang w:val="hr-HR"/>
        </w:rPr>
        <w:t>pitana</w:t>
      </w:r>
      <w:r w:rsidRPr="00D6167B">
        <w:rPr>
          <w:lang w:val="hr-HR"/>
        </w:rPr>
        <w:t xml:space="preserve"> </w:t>
      </w:r>
      <w:r w:rsidR="009B0756" w:rsidRPr="00D6167B">
        <w:rPr>
          <w:lang w:val="hr-HR"/>
        </w:rPr>
        <w:t xml:space="preserve">primjena bevacizumaba 10 mg/kg jednom u 2 nedjelje i ista doza bevacizumaba u kombinaciji sa 150 mg erlotiniba dnevno kod pacijenata sa metastatskim RCC bistrih ćelija. Ukupno je 104 pacijenata randomizovano za liječenje u okviru ovog ispitivanja, 53 tako da primaju bevacizumab </w:t>
      </w:r>
      <w:r>
        <w:rPr>
          <w:lang w:val="hr-HR"/>
        </w:rPr>
        <w:t xml:space="preserve">od </w:t>
      </w:r>
      <w:r w:rsidR="009B0756" w:rsidRPr="00D6167B">
        <w:rPr>
          <w:lang w:val="hr-HR"/>
        </w:rPr>
        <w:t xml:space="preserve">10 mg/kg jednom u 2 nedjelje, plus placebo, a 51 tako prima bevacizumab </w:t>
      </w:r>
      <w:r>
        <w:rPr>
          <w:lang w:val="hr-HR"/>
        </w:rPr>
        <w:t xml:space="preserve">od </w:t>
      </w:r>
      <w:r w:rsidR="009B0756" w:rsidRPr="00D6167B">
        <w:rPr>
          <w:lang w:val="hr-HR"/>
        </w:rPr>
        <w:t>10 mg/kg jednom u 2 ned</w:t>
      </w:r>
      <w:r w:rsidR="004F1EBB" w:rsidRPr="00D6167B">
        <w:rPr>
          <w:lang w:val="hr-HR"/>
        </w:rPr>
        <w:t>j</w:t>
      </w:r>
      <w:r w:rsidR="009B0756" w:rsidRPr="00D6167B">
        <w:rPr>
          <w:lang w:val="hr-HR"/>
        </w:rPr>
        <w:t xml:space="preserve">elje plus erlotinib </w:t>
      </w:r>
      <w:r>
        <w:rPr>
          <w:lang w:val="hr-HR"/>
        </w:rPr>
        <w:t xml:space="preserve">od </w:t>
      </w:r>
      <w:r w:rsidR="009B0756" w:rsidRPr="00D6167B">
        <w:rPr>
          <w:lang w:val="hr-HR"/>
        </w:rPr>
        <w:t xml:space="preserve">150 mg dnevno. Analiza primarnih parametara efikasnosti pokazala je da ne postoji razlika između </w:t>
      </w:r>
      <w:r w:rsidR="007907BF" w:rsidRPr="00D6167B">
        <w:rPr>
          <w:lang w:val="hr-HR"/>
        </w:rPr>
        <w:t xml:space="preserve">grupe </w:t>
      </w:r>
      <w:r w:rsidR="009B0756" w:rsidRPr="00D6167B">
        <w:rPr>
          <w:lang w:val="hr-HR"/>
        </w:rPr>
        <w:t>koj</w:t>
      </w:r>
      <w:r w:rsidR="007907BF" w:rsidRPr="00D6167B">
        <w:rPr>
          <w:lang w:val="hr-HR"/>
        </w:rPr>
        <w:t>a</w:t>
      </w:r>
      <w:r w:rsidR="009B0756" w:rsidRPr="00D6167B">
        <w:rPr>
          <w:lang w:val="hr-HR"/>
        </w:rPr>
        <w:t xml:space="preserve"> je prima</w:t>
      </w:r>
      <w:r w:rsidR="007907BF" w:rsidRPr="00D6167B">
        <w:rPr>
          <w:lang w:val="hr-HR"/>
        </w:rPr>
        <w:t>la</w:t>
      </w:r>
      <w:r w:rsidR="009B0756" w:rsidRPr="00D6167B">
        <w:rPr>
          <w:lang w:val="hr-HR"/>
        </w:rPr>
        <w:t xml:space="preserve"> bevacizumab + placebo i </w:t>
      </w:r>
      <w:r w:rsidR="007907BF" w:rsidRPr="00D6167B">
        <w:rPr>
          <w:lang w:val="hr-HR"/>
        </w:rPr>
        <w:t xml:space="preserve">grupe </w:t>
      </w:r>
      <w:r w:rsidR="009B0756" w:rsidRPr="00D6167B">
        <w:rPr>
          <w:lang w:val="hr-HR"/>
        </w:rPr>
        <w:t>koj</w:t>
      </w:r>
      <w:r w:rsidR="007907BF" w:rsidRPr="00D6167B">
        <w:rPr>
          <w:lang w:val="hr-HR"/>
        </w:rPr>
        <w:t>a</w:t>
      </w:r>
      <w:r w:rsidR="009B0756" w:rsidRPr="00D6167B">
        <w:rPr>
          <w:lang w:val="hr-HR"/>
        </w:rPr>
        <w:t xml:space="preserve"> je prima</w:t>
      </w:r>
      <w:r w:rsidR="007907BF" w:rsidRPr="00D6167B">
        <w:rPr>
          <w:lang w:val="hr-HR"/>
        </w:rPr>
        <w:t>la</w:t>
      </w:r>
      <w:r w:rsidR="009B0756" w:rsidRPr="00D6167B">
        <w:rPr>
          <w:lang w:val="hr-HR"/>
        </w:rPr>
        <w:t xml:space="preserve"> bevacizumab + erlotinib (srednja vrijednost PFS od 8,5 u poređenju sa 9,9 mjeseci). Sedam pacijenata u svako</w:t>
      </w:r>
      <w:r w:rsidR="007907BF" w:rsidRPr="00D6167B">
        <w:rPr>
          <w:lang w:val="hr-HR"/>
        </w:rPr>
        <w:t>j</w:t>
      </w:r>
      <w:r w:rsidR="009B0756" w:rsidRPr="00D6167B">
        <w:rPr>
          <w:lang w:val="hr-HR"/>
        </w:rPr>
        <w:t xml:space="preserve"> od </w:t>
      </w:r>
      <w:r w:rsidR="007907BF" w:rsidRPr="00D6167B">
        <w:rPr>
          <w:lang w:val="hr-HR"/>
        </w:rPr>
        <w:t xml:space="preserve">grupa </w:t>
      </w:r>
      <w:r w:rsidR="009B0756" w:rsidRPr="00D6167B">
        <w:rPr>
          <w:lang w:val="hr-HR"/>
        </w:rPr>
        <w:t xml:space="preserve">imalo je objektivni odgovor. Dodavanje erlotiniba bevacizumabu nije dovodilo do poboljšanja </w:t>
      </w:r>
      <w:r>
        <w:rPr>
          <w:lang w:val="hr-HR"/>
        </w:rPr>
        <w:t>ukupnog preživljavanja</w:t>
      </w:r>
      <w:r w:rsidRPr="00D6167B">
        <w:rPr>
          <w:lang w:val="hr-HR"/>
        </w:rPr>
        <w:t xml:space="preserve"> </w:t>
      </w:r>
      <w:r w:rsidR="009B0756" w:rsidRPr="00D6167B">
        <w:rPr>
          <w:lang w:val="hr-HR"/>
        </w:rPr>
        <w:t>(HR = 1,764; p=0,1789), trajanja objektivnog odgovora (6,7 prema 9,1 mjeseci) ili vremena do progresije simptoma (HR = 1,172; p = 0,5076).</w:t>
      </w:r>
    </w:p>
    <w:p w14:paraId="0C1B4CC6" w14:textId="77777777" w:rsidR="00D15122" w:rsidRPr="00D6167B" w:rsidRDefault="00D15122" w:rsidP="007608DF">
      <w:pPr>
        <w:widowControl/>
        <w:jc w:val="both"/>
        <w:rPr>
          <w:rFonts w:ascii="Times New Roman" w:eastAsia="Times New Roman" w:hAnsi="Times New Roman"/>
          <w:lang w:val="hr-HR"/>
        </w:rPr>
      </w:pPr>
    </w:p>
    <w:p w14:paraId="0E5CF7E3" w14:textId="77777777" w:rsidR="00D15122" w:rsidRPr="00D6167B" w:rsidRDefault="009B0756" w:rsidP="007608DF">
      <w:pPr>
        <w:keepNext/>
        <w:widowControl/>
        <w:spacing w:line="252" w:lineRule="exact"/>
        <w:jc w:val="both"/>
        <w:rPr>
          <w:rFonts w:ascii="Times New Roman" w:eastAsia="Times New Roman" w:hAnsi="Times New Roman"/>
          <w:lang w:val="hr-HR"/>
        </w:rPr>
      </w:pPr>
      <w:r w:rsidRPr="00D6167B">
        <w:rPr>
          <w:rFonts w:ascii="Times New Roman" w:hAnsi="Times New Roman"/>
          <w:i/>
          <w:lang w:val="hr-HR"/>
        </w:rPr>
        <w:t>AVF0890</w:t>
      </w:r>
    </w:p>
    <w:p w14:paraId="1F9E7C89" w14:textId="4BD2B0EB" w:rsidR="00D15122" w:rsidRPr="00D6167B" w:rsidRDefault="0009530F" w:rsidP="007608DF">
      <w:pPr>
        <w:pStyle w:val="BodyText"/>
        <w:widowControl/>
        <w:ind w:left="0"/>
        <w:jc w:val="both"/>
        <w:rPr>
          <w:lang w:val="hr-HR"/>
        </w:rPr>
      </w:pPr>
      <w:r>
        <w:rPr>
          <w:lang w:val="hr-HR"/>
        </w:rPr>
        <w:t>Riječ je o</w:t>
      </w:r>
      <w:r w:rsidR="009B0756" w:rsidRPr="00D6167B">
        <w:rPr>
          <w:lang w:val="hr-HR"/>
        </w:rPr>
        <w:t xml:space="preserve"> randomizovano</w:t>
      </w:r>
      <w:r>
        <w:rPr>
          <w:lang w:val="hr-HR"/>
        </w:rPr>
        <w:t>m</w:t>
      </w:r>
      <w:r w:rsidR="009B0756" w:rsidRPr="00D6167B">
        <w:rPr>
          <w:lang w:val="hr-HR"/>
        </w:rPr>
        <w:t xml:space="preserve"> ispitivanj</w:t>
      </w:r>
      <w:r>
        <w:rPr>
          <w:lang w:val="hr-HR"/>
        </w:rPr>
        <w:t>u</w:t>
      </w:r>
      <w:r w:rsidR="009B0756" w:rsidRPr="00D6167B">
        <w:rPr>
          <w:lang w:val="hr-HR"/>
        </w:rPr>
        <w:t xml:space="preserve"> faze II sprovedeno</w:t>
      </w:r>
      <w:r>
        <w:rPr>
          <w:lang w:val="hr-HR"/>
        </w:rPr>
        <w:t>m</w:t>
      </w:r>
      <w:r w:rsidR="009B0756" w:rsidRPr="00D6167B">
        <w:rPr>
          <w:lang w:val="hr-HR"/>
        </w:rPr>
        <w:t xml:space="preserve"> sa ciljem da se uporede efikasnost i bezbjednost bevacizumaba u poređenju sa placebom. </w:t>
      </w:r>
      <w:r>
        <w:rPr>
          <w:lang w:val="hr-HR"/>
        </w:rPr>
        <w:t>U</w:t>
      </w:r>
      <w:r w:rsidR="009B0756" w:rsidRPr="00D6167B">
        <w:rPr>
          <w:lang w:val="hr-HR"/>
        </w:rPr>
        <w:t xml:space="preserve">kupno </w:t>
      </w:r>
      <w:r>
        <w:rPr>
          <w:lang w:val="hr-HR"/>
        </w:rPr>
        <w:t xml:space="preserve">je </w:t>
      </w:r>
      <w:r w:rsidR="009B0756" w:rsidRPr="00D6167B">
        <w:rPr>
          <w:lang w:val="hr-HR"/>
        </w:rPr>
        <w:t xml:space="preserve">116 pacijenata </w:t>
      </w:r>
      <w:r>
        <w:rPr>
          <w:lang w:val="hr-HR"/>
        </w:rPr>
        <w:t xml:space="preserve">bilo randomizovano u 3 grupe, </w:t>
      </w:r>
      <w:r w:rsidR="009B0756" w:rsidRPr="00D6167B">
        <w:rPr>
          <w:lang w:val="hr-HR"/>
        </w:rPr>
        <w:t xml:space="preserve">tako da </w:t>
      </w:r>
      <w:r>
        <w:rPr>
          <w:lang w:val="hr-HR"/>
        </w:rPr>
        <w:t xml:space="preserve">je jedna grupa </w:t>
      </w:r>
      <w:r w:rsidR="009B0756" w:rsidRPr="00D6167B">
        <w:rPr>
          <w:lang w:val="hr-HR"/>
        </w:rPr>
        <w:t>prima</w:t>
      </w:r>
      <w:r>
        <w:rPr>
          <w:lang w:val="hr-HR"/>
        </w:rPr>
        <w:t>la</w:t>
      </w:r>
      <w:r w:rsidR="009B0756" w:rsidRPr="00D6167B">
        <w:rPr>
          <w:lang w:val="hr-HR"/>
        </w:rPr>
        <w:t xml:space="preserve"> bevacizumab 3 mg/kg na svake 2 nedjelje (n=39), </w:t>
      </w:r>
      <w:r>
        <w:rPr>
          <w:lang w:val="hr-HR"/>
        </w:rPr>
        <w:t>druga grupa je primala</w:t>
      </w:r>
      <w:r w:rsidR="009B0756" w:rsidRPr="00D6167B">
        <w:rPr>
          <w:lang w:val="hr-HR"/>
        </w:rPr>
        <w:t>10 mg/kg na svake 2 nedjelje; (n=37)</w:t>
      </w:r>
      <w:r>
        <w:rPr>
          <w:lang w:val="hr-HR"/>
        </w:rPr>
        <w:t>, a treća grupa je primala</w:t>
      </w:r>
      <w:r w:rsidR="009B0756" w:rsidRPr="00D6167B">
        <w:rPr>
          <w:lang w:val="hr-HR"/>
        </w:rPr>
        <w:t xml:space="preserve"> placebo (n=40). Međuanaliza je pokazala značajno produženje vremena do progresije bolesti u grupi koja je primala 10 mg/kg u poređenju sa placebom (odnos rizika 2,55; p&lt;0,001). Postojala je mala razlika, graničn</w:t>
      </w:r>
      <w:r>
        <w:rPr>
          <w:lang w:val="hr-HR"/>
        </w:rPr>
        <w:t>e</w:t>
      </w:r>
      <w:r w:rsidR="009B0756" w:rsidRPr="00D6167B">
        <w:rPr>
          <w:lang w:val="hr-HR"/>
        </w:rPr>
        <w:t xml:space="preserve"> značaj</w:t>
      </w:r>
      <w:r>
        <w:rPr>
          <w:lang w:val="hr-HR"/>
        </w:rPr>
        <w:t>nosti</w:t>
      </w:r>
      <w:r w:rsidR="009B0756" w:rsidRPr="00D6167B">
        <w:rPr>
          <w:lang w:val="hr-HR"/>
        </w:rPr>
        <w:t>, između vremena do progresije bolesti između grupe koja je primala 3 mg/kg i grupe koja je primala placebo (odnos rizika, 1,26; p=0,053). Četiri pacijenta su imala objektivni (</w:t>
      </w:r>
      <w:r>
        <w:rPr>
          <w:lang w:val="hr-HR"/>
        </w:rPr>
        <w:t>djelimičan</w:t>
      </w:r>
      <w:r w:rsidR="009B0756" w:rsidRPr="00D6167B">
        <w:rPr>
          <w:lang w:val="hr-HR"/>
        </w:rPr>
        <w:t>) odgovor, a svi oni su primali dozu od 10 mg/kg bevacizumaba</w:t>
      </w:r>
      <w:r>
        <w:rPr>
          <w:lang w:val="hr-HR"/>
        </w:rPr>
        <w:t>,</w:t>
      </w:r>
      <w:r w:rsidR="009B0756" w:rsidRPr="00D6167B">
        <w:rPr>
          <w:lang w:val="hr-HR"/>
        </w:rPr>
        <w:t xml:space="preserve"> </w:t>
      </w:r>
      <w:r>
        <w:rPr>
          <w:lang w:val="hr-HR"/>
        </w:rPr>
        <w:t xml:space="preserve">a </w:t>
      </w:r>
      <w:r w:rsidR="008865C4">
        <w:rPr>
          <w:lang w:val="hr-HR"/>
        </w:rPr>
        <w:t>stopa ukupnog odgovora  na</w:t>
      </w:r>
      <w:r>
        <w:rPr>
          <w:lang w:val="hr-HR"/>
        </w:rPr>
        <w:t xml:space="preserve"> liječenje </w:t>
      </w:r>
      <w:r w:rsidR="009B0756" w:rsidRPr="00D6167B">
        <w:rPr>
          <w:lang w:val="hr-HR"/>
        </w:rPr>
        <w:t>za dozu od 10 mg/kg iznosi</w:t>
      </w:r>
      <w:r>
        <w:rPr>
          <w:lang w:val="hr-HR"/>
        </w:rPr>
        <w:t>la</w:t>
      </w:r>
      <w:r w:rsidR="009B0756" w:rsidRPr="00D6167B">
        <w:rPr>
          <w:lang w:val="hr-HR"/>
        </w:rPr>
        <w:t xml:space="preserve"> je 10%.</w:t>
      </w:r>
    </w:p>
    <w:p w14:paraId="1E1C48AC" w14:textId="77777777" w:rsidR="002E30F6" w:rsidRPr="00D6167B" w:rsidRDefault="002E30F6" w:rsidP="007608DF">
      <w:pPr>
        <w:widowControl/>
        <w:jc w:val="both"/>
        <w:rPr>
          <w:rFonts w:ascii="Times New Roman" w:eastAsia="Times New Roman" w:hAnsi="Times New Roman"/>
          <w:lang w:val="hr-HR"/>
        </w:rPr>
      </w:pPr>
    </w:p>
    <w:p w14:paraId="3E1CAB1A"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i/>
          <w:u w:val="single" w:color="000000"/>
          <w:lang w:val="hr-HR"/>
        </w:rPr>
        <w:t>Epitelni karcinom jajnika, jajovoda ili primarni peritonealni karcinom</w:t>
      </w:r>
    </w:p>
    <w:p w14:paraId="6CDCDC42" w14:textId="77777777" w:rsidR="002E30F6" w:rsidRPr="00D6167B" w:rsidRDefault="002E30F6" w:rsidP="007608DF">
      <w:pPr>
        <w:widowControl/>
        <w:jc w:val="both"/>
        <w:rPr>
          <w:rFonts w:ascii="Times New Roman" w:eastAsia="Times New Roman" w:hAnsi="Times New Roman"/>
          <w:i/>
          <w:sz w:val="15"/>
          <w:szCs w:val="15"/>
          <w:lang w:val="hr-HR"/>
        </w:rPr>
      </w:pPr>
    </w:p>
    <w:p w14:paraId="6FFACBAE"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i/>
          <w:lang w:val="hr-HR"/>
        </w:rPr>
        <w:t>Prva linija lije</w:t>
      </w:r>
      <w:r w:rsidRPr="00D6167B">
        <w:rPr>
          <w:rFonts w:ascii="Times New Roman"/>
          <w:i/>
          <w:lang w:val="hr-HR"/>
        </w:rPr>
        <w:t>č</w:t>
      </w:r>
      <w:r w:rsidRPr="00D6167B">
        <w:rPr>
          <w:rFonts w:ascii="Times New Roman"/>
          <w:i/>
          <w:lang w:val="hr-HR"/>
        </w:rPr>
        <w:t>enja karcinoma jajnika</w:t>
      </w:r>
    </w:p>
    <w:p w14:paraId="0364CE39" w14:textId="77777777" w:rsidR="002E30F6" w:rsidRPr="00D6167B" w:rsidRDefault="002E30F6" w:rsidP="007608DF">
      <w:pPr>
        <w:widowControl/>
        <w:jc w:val="both"/>
        <w:rPr>
          <w:rFonts w:ascii="Times New Roman" w:eastAsia="Times New Roman" w:hAnsi="Times New Roman"/>
          <w:i/>
          <w:sz w:val="21"/>
          <w:szCs w:val="21"/>
          <w:lang w:val="hr-HR"/>
        </w:rPr>
      </w:pPr>
    </w:p>
    <w:p w14:paraId="4D48057F" w14:textId="77777777" w:rsidR="002E30F6" w:rsidRPr="00D6167B" w:rsidRDefault="002E30F6" w:rsidP="007608DF">
      <w:pPr>
        <w:pStyle w:val="BodyText"/>
        <w:widowControl/>
        <w:ind w:left="0"/>
        <w:jc w:val="both"/>
        <w:rPr>
          <w:lang w:val="hr-HR"/>
        </w:rPr>
      </w:pPr>
      <w:r w:rsidRPr="00D6167B">
        <w:rPr>
          <w:lang w:val="hr-HR"/>
        </w:rPr>
        <w:t>Bezbjednost i efikasnost primjene bevacizumaba u prvoj liniji liječenja kod pacijenata sa epitelnim karcinomom jajnika, jajovoda ili primarnim peritonealnim karcinomom ispitivani su u dva ispitivanja faze III (GOG-0218 i BO17707), koja su procjenjivala efekat dodavanja bevacizumaba karboplatinu i paklitakselu u poređenju sa primjenom samo hemoterapije.</w:t>
      </w:r>
    </w:p>
    <w:p w14:paraId="5F07BA18" w14:textId="77777777" w:rsidR="002E30F6" w:rsidRPr="00D6167B" w:rsidRDefault="002E30F6" w:rsidP="007608DF">
      <w:pPr>
        <w:widowControl/>
        <w:jc w:val="both"/>
        <w:rPr>
          <w:rFonts w:ascii="Times New Roman" w:eastAsia="Times New Roman" w:hAnsi="Times New Roman"/>
          <w:lang w:val="hr-HR"/>
        </w:rPr>
      </w:pPr>
    </w:p>
    <w:p w14:paraId="467B0635"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i/>
          <w:lang w:val="hr-HR"/>
        </w:rPr>
        <w:t>GOG-0218</w:t>
      </w:r>
    </w:p>
    <w:p w14:paraId="78A9F0C6" w14:textId="77777777" w:rsidR="002E30F6" w:rsidRPr="00D6167B" w:rsidRDefault="002E30F6" w:rsidP="007608DF">
      <w:pPr>
        <w:pStyle w:val="BodyText"/>
        <w:widowControl/>
        <w:ind w:left="0"/>
        <w:jc w:val="both"/>
        <w:rPr>
          <w:lang w:val="hr-HR"/>
        </w:rPr>
      </w:pPr>
      <w:r w:rsidRPr="00D6167B">
        <w:rPr>
          <w:lang w:val="hr-HR"/>
        </w:rPr>
        <w:t xml:space="preserve">GOG-0218 je multicentrična, randomizovana, dvostruko slijepa, placebo-kontrolisana studija faze III sa tri </w:t>
      </w:r>
      <w:r w:rsidR="007907BF" w:rsidRPr="00D6167B">
        <w:rPr>
          <w:lang w:val="hr-HR"/>
        </w:rPr>
        <w:t xml:space="preserve">grupe </w:t>
      </w:r>
      <w:r w:rsidRPr="00D6167B">
        <w:rPr>
          <w:lang w:val="hr-HR"/>
        </w:rPr>
        <w:t>koja je procjenjivala efekat dodavanja bevacizumaba odobrenom režimu hemoterapije (karboplatin i paklitaksel) kod pacijenata sa uznapredovalim (stadijumi IIIB, IIIC i IV prema verziji FIGO stadijuma iz 1988. godine) epitelnim karcinomom jajnika, jajovoda ili primarnim peritonealnim karcinomom.</w:t>
      </w:r>
    </w:p>
    <w:p w14:paraId="2A86CDBF" w14:textId="77777777" w:rsidR="002E30F6" w:rsidRPr="00D6167B" w:rsidRDefault="002E30F6" w:rsidP="007608DF">
      <w:pPr>
        <w:widowControl/>
        <w:jc w:val="both"/>
        <w:rPr>
          <w:rFonts w:ascii="Times New Roman" w:eastAsia="Times New Roman" w:hAnsi="Times New Roman"/>
          <w:lang w:val="hr-HR"/>
        </w:rPr>
      </w:pPr>
    </w:p>
    <w:p w14:paraId="108FEEEF" w14:textId="77777777" w:rsidR="002E30F6" w:rsidRPr="00D6167B" w:rsidRDefault="002E30F6" w:rsidP="007608DF">
      <w:pPr>
        <w:pStyle w:val="BodyText"/>
        <w:widowControl/>
        <w:ind w:left="0"/>
        <w:jc w:val="both"/>
        <w:rPr>
          <w:lang w:val="hr-HR"/>
        </w:rPr>
      </w:pPr>
      <w:r w:rsidRPr="00D6167B">
        <w:rPr>
          <w:lang w:val="hr-HR"/>
        </w:rPr>
        <w:t>Pacijenti koji su prethodno primali terapiju bevacizumabom ili sistemsku anti-karcinomsku terapiju za karcinom jajnika (npr. hemoterapiju, terapiju monoklonskim antitijelima, terapiju inhibitorima tirozin kinaze ili hormonsku terapiju), odnosno koji su prethodno bili podvrgnuti radioterapiji abdomena ili karlice bili su isključeni iz studije.</w:t>
      </w:r>
    </w:p>
    <w:p w14:paraId="7CCDF26E" w14:textId="77777777" w:rsidR="002E30F6" w:rsidRPr="00D6167B" w:rsidRDefault="002E30F6" w:rsidP="007608DF">
      <w:pPr>
        <w:widowControl/>
        <w:jc w:val="both"/>
        <w:rPr>
          <w:rFonts w:ascii="Times New Roman" w:eastAsia="Times New Roman" w:hAnsi="Times New Roman"/>
          <w:lang w:val="hr-HR"/>
        </w:rPr>
      </w:pPr>
    </w:p>
    <w:p w14:paraId="03DA5B3A" w14:textId="6CD9FA04" w:rsidR="002E30F6" w:rsidRPr="00D6167B" w:rsidRDefault="002E30F6" w:rsidP="007608DF">
      <w:pPr>
        <w:pStyle w:val="BodyText"/>
        <w:widowControl/>
        <w:ind w:left="0"/>
        <w:jc w:val="both"/>
        <w:rPr>
          <w:lang w:val="hr-HR"/>
        </w:rPr>
      </w:pPr>
      <w:r w:rsidRPr="00D6167B">
        <w:rPr>
          <w:lang w:val="hr-HR"/>
        </w:rPr>
        <w:t>Randomizovana su ukupno 1873 pacijenta, u jednakim razm</w:t>
      </w:r>
      <w:r w:rsidR="00D231B7">
        <w:rPr>
          <w:lang w:val="hr-HR"/>
        </w:rPr>
        <w:t>j</w:t>
      </w:r>
      <w:r w:rsidRPr="00D6167B">
        <w:rPr>
          <w:lang w:val="hr-HR"/>
        </w:rPr>
        <w:t>erama, u sljedeć</w:t>
      </w:r>
      <w:r w:rsidR="007907BF" w:rsidRPr="00D6167B">
        <w:rPr>
          <w:lang w:val="hr-HR"/>
        </w:rPr>
        <w:t>e</w:t>
      </w:r>
      <w:r w:rsidRPr="00D6167B">
        <w:rPr>
          <w:lang w:val="hr-HR"/>
        </w:rPr>
        <w:t xml:space="preserve"> tri </w:t>
      </w:r>
      <w:r w:rsidR="007907BF" w:rsidRPr="00D6167B">
        <w:rPr>
          <w:lang w:val="hr-HR"/>
        </w:rPr>
        <w:t>grupe</w:t>
      </w:r>
      <w:r w:rsidRPr="00D6167B">
        <w:rPr>
          <w:lang w:val="hr-HR"/>
        </w:rPr>
        <w:t>:</w:t>
      </w:r>
    </w:p>
    <w:p w14:paraId="6AEA7DE2" w14:textId="77777777" w:rsidR="002E30F6" w:rsidRPr="00D6167B" w:rsidRDefault="002E30F6" w:rsidP="007608DF">
      <w:pPr>
        <w:widowControl/>
        <w:jc w:val="both"/>
        <w:rPr>
          <w:rFonts w:ascii="Times New Roman" w:eastAsia="Times New Roman" w:hAnsi="Times New Roman"/>
          <w:lang w:val="hr-HR"/>
        </w:rPr>
      </w:pPr>
    </w:p>
    <w:p w14:paraId="40EC41AF" w14:textId="124B1DEF" w:rsidR="002E30F6" w:rsidRPr="00D6167B" w:rsidRDefault="002E30F6" w:rsidP="007608DF">
      <w:pPr>
        <w:pStyle w:val="BodyText"/>
        <w:widowControl/>
        <w:numPr>
          <w:ilvl w:val="1"/>
          <w:numId w:val="33"/>
        </w:numPr>
        <w:spacing w:line="229" w:lineRule="auto"/>
        <w:ind w:left="562" w:hanging="562"/>
        <w:jc w:val="both"/>
        <w:rPr>
          <w:lang w:val="hr-HR"/>
        </w:rPr>
      </w:pPr>
      <w:r w:rsidRPr="00D6167B">
        <w:rPr>
          <w:lang w:val="hr-HR"/>
        </w:rPr>
        <w:t xml:space="preserve">CPP </w:t>
      </w:r>
      <w:r w:rsidR="007907BF" w:rsidRPr="00D6167B">
        <w:rPr>
          <w:lang w:val="hr-HR"/>
        </w:rPr>
        <w:t>grupa</w:t>
      </w:r>
      <w:r w:rsidRPr="00D6167B">
        <w:rPr>
          <w:lang w:val="hr-HR"/>
        </w:rPr>
        <w:t xml:space="preserve">: Pet ciklusa placeba (počinje od 2. ciklusa) u kombinaciji sa </w:t>
      </w:r>
      <w:r w:rsidR="00D231B7">
        <w:rPr>
          <w:lang w:val="hr-HR"/>
        </w:rPr>
        <w:t xml:space="preserve">6 ciklusa </w:t>
      </w:r>
      <w:r w:rsidRPr="00D6167B">
        <w:rPr>
          <w:lang w:val="hr-HR"/>
        </w:rPr>
        <w:t>karboplatin</w:t>
      </w:r>
      <w:r w:rsidR="00D231B7">
        <w:rPr>
          <w:lang w:val="hr-HR"/>
        </w:rPr>
        <w:t>a</w:t>
      </w:r>
      <w:r w:rsidRPr="00D6167B">
        <w:rPr>
          <w:lang w:val="hr-HR"/>
        </w:rPr>
        <w:t xml:space="preserve"> (AUC 6) i paklitaksel</w:t>
      </w:r>
      <w:r w:rsidR="00D231B7">
        <w:rPr>
          <w:lang w:val="hr-HR"/>
        </w:rPr>
        <w:t>a</w:t>
      </w:r>
      <w:r w:rsidRPr="00D6167B">
        <w:rPr>
          <w:lang w:val="hr-HR"/>
        </w:rPr>
        <w:t xml:space="preserve"> (175 mg/m</w:t>
      </w:r>
      <w:r w:rsidRPr="00D6167B">
        <w:rPr>
          <w:vertAlign w:val="superscript"/>
          <w:lang w:val="hr-HR"/>
        </w:rPr>
        <w:t>2</w:t>
      </w:r>
      <w:r w:rsidRPr="00D6167B">
        <w:rPr>
          <w:lang w:val="hr-HR"/>
        </w:rPr>
        <w:t>), nakon čega slijedi samo placebo, tokom ukupno najviše 15 mjeseci terapije</w:t>
      </w:r>
    </w:p>
    <w:p w14:paraId="42A0B6B5" w14:textId="77777777" w:rsidR="002E30F6" w:rsidRPr="00D6167B" w:rsidRDefault="002E30F6" w:rsidP="007608DF">
      <w:pPr>
        <w:pStyle w:val="BodyText"/>
        <w:widowControl/>
        <w:numPr>
          <w:ilvl w:val="1"/>
          <w:numId w:val="33"/>
        </w:numPr>
        <w:spacing w:line="228" w:lineRule="auto"/>
        <w:ind w:left="562" w:hanging="562"/>
        <w:jc w:val="both"/>
        <w:rPr>
          <w:lang w:val="hr-HR"/>
        </w:rPr>
      </w:pPr>
      <w:r w:rsidRPr="00D6167B">
        <w:rPr>
          <w:lang w:val="hr-HR"/>
        </w:rPr>
        <w:t xml:space="preserve">CPB15 </w:t>
      </w:r>
      <w:r w:rsidR="007907BF" w:rsidRPr="00D6167B">
        <w:rPr>
          <w:lang w:val="hr-HR"/>
        </w:rPr>
        <w:t>grupa</w:t>
      </w:r>
      <w:r w:rsidRPr="00D6167B">
        <w:rPr>
          <w:lang w:val="hr-HR"/>
        </w:rPr>
        <w:t>: Pet ciklusa bevacizumaba (15 mg/kg jednom u 3 nedjelje, počinje od 2. ciklusa) u kombinaciji sa karboplatinom (AUC 6) i paklitakselom (175 mg/m</w:t>
      </w:r>
      <w:r w:rsidRPr="00D6167B">
        <w:rPr>
          <w:vertAlign w:val="superscript"/>
          <w:lang w:val="hr-HR"/>
        </w:rPr>
        <w:t>2</w:t>
      </w:r>
      <w:r w:rsidRPr="00D6167B">
        <w:rPr>
          <w:lang w:val="hr-HR"/>
        </w:rPr>
        <w:t>) tokom 6 ciklusa, nakon čega slijedi samo placebo tokom ukupno najviše 15 mjeseci terapije</w:t>
      </w:r>
    </w:p>
    <w:p w14:paraId="2A8E1951" w14:textId="77777777" w:rsidR="002E30F6" w:rsidRPr="00D6167B" w:rsidRDefault="002E30F6" w:rsidP="007608DF">
      <w:pPr>
        <w:pStyle w:val="BodyText"/>
        <w:widowControl/>
        <w:numPr>
          <w:ilvl w:val="1"/>
          <w:numId w:val="33"/>
        </w:numPr>
        <w:ind w:left="562" w:hanging="562"/>
        <w:jc w:val="both"/>
        <w:rPr>
          <w:lang w:val="hr-HR"/>
        </w:rPr>
      </w:pPr>
      <w:r w:rsidRPr="00D6167B">
        <w:rPr>
          <w:lang w:val="hr-HR"/>
        </w:rPr>
        <w:t xml:space="preserve">CPB15+ </w:t>
      </w:r>
      <w:r w:rsidR="007907BF" w:rsidRPr="00D6167B">
        <w:rPr>
          <w:lang w:val="hr-HR"/>
        </w:rPr>
        <w:t>grupa</w:t>
      </w:r>
      <w:r w:rsidRPr="00D6167B">
        <w:rPr>
          <w:lang w:val="hr-HR"/>
        </w:rPr>
        <w:t>: Pet ciklusa bevacizumaba (15 mg/kg jednom u 3 nedjelje, počinje od 2. ciklusa) u kombinaciji sa karboplatinom (AUC 6) i paklitakselom (175 mg/m</w:t>
      </w:r>
      <w:r w:rsidRPr="00D6167B">
        <w:rPr>
          <w:vertAlign w:val="superscript"/>
          <w:lang w:val="hr-HR"/>
        </w:rPr>
        <w:t>2</w:t>
      </w:r>
      <w:r w:rsidRPr="00D6167B">
        <w:rPr>
          <w:lang w:val="hr-HR"/>
        </w:rPr>
        <w:t>) tokom 6 ciklusa, nakon čega slijedi monoterapija bevacizumabom (15 mg/kg jednom u 3 nedjelje) tokom ukupno najviše 15 mjeseci terapije.</w:t>
      </w:r>
    </w:p>
    <w:p w14:paraId="286E10EB" w14:textId="77777777" w:rsidR="002E30F6" w:rsidRPr="00D6167B" w:rsidRDefault="002E30F6" w:rsidP="007608DF">
      <w:pPr>
        <w:widowControl/>
        <w:jc w:val="both"/>
        <w:rPr>
          <w:rFonts w:ascii="Times New Roman" w:eastAsia="Times New Roman" w:hAnsi="Times New Roman"/>
          <w:sz w:val="21"/>
          <w:szCs w:val="21"/>
          <w:lang w:val="hr-HR"/>
        </w:rPr>
      </w:pPr>
    </w:p>
    <w:p w14:paraId="218BCEB4"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hAnsi="Times New Roman"/>
          <w:lang w:val="hr-HR"/>
        </w:rPr>
        <w:t>Većina pacijenata uključenih u studiju bili su bijele rase (87% u sv</w:t>
      </w:r>
      <w:r w:rsidR="007907BF" w:rsidRPr="00D6167B">
        <w:rPr>
          <w:rFonts w:ascii="Times New Roman" w:hAnsi="Times New Roman"/>
          <w:lang w:val="hr-HR"/>
        </w:rPr>
        <w:t>e</w:t>
      </w:r>
      <w:r w:rsidRPr="00D6167B">
        <w:rPr>
          <w:rFonts w:ascii="Times New Roman" w:hAnsi="Times New Roman"/>
          <w:lang w:val="hr-HR"/>
        </w:rPr>
        <w:t xml:space="preserve"> tri </w:t>
      </w:r>
      <w:r w:rsidR="007907BF" w:rsidRPr="00D6167B">
        <w:rPr>
          <w:rFonts w:ascii="Times New Roman" w:hAnsi="Times New Roman"/>
          <w:lang w:val="hr-HR"/>
        </w:rPr>
        <w:t>grupe</w:t>
      </w:r>
      <w:r w:rsidRPr="00D6167B">
        <w:rPr>
          <w:rFonts w:ascii="Times New Roman" w:hAnsi="Times New Roman"/>
          <w:lang w:val="hr-HR"/>
        </w:rPr>
        <w:t xml:space="preserve">); srednja vrijednost godina starosti iznosila je 60 godina u </w:t>
      </w:r>
      <w:r w:rsidR="007907BF" w:rsidRPr="00D6167B">
        <w:rPr>
          <w:rFonts w:ascii="Times New Roman" w:hAnsi="Times New Roman"/>
          <w:lang w:val="hr-HR"/>
        </w:rPr>
        <w:t xml:space="preserve">grupama </w:t>
      </w:r>
      <w:r w:rsidRPr="00D6167B">
        <w:rPr>
          <w:rFonts w:ascii="Times New Roman" w:hAnsi="Times New Roman"/>
          <w:lang w:val="hr-HR"/>
        </w:rPr>
        <w:t xml:space="preserve">CPP i CPB15 i 59 godina u </w:t>
      </w:r>
      <w:r w:rsidR="007907BF" w:rsidRPr="00D6167B">
        <w:rPr>
          <w:rFonts w:ascii="Times New Roman" w:hAnsi="Times New Roman"/>
          <w:lang w:val="hr-HR"/>
        </w:rPr>
        <w:t xml:space="preserve">grupi </w:t>
      </w:r>
      <w:r w:rsidRPr="00D6167B">
        <w:rPr>
          <w:rFonts w:ascii="Times New Roman" w:hAnsi="Times New Roman"/>
          <w:lang w:val="hr-HR"/>
        </w:rPr>
        <w:t xml:space="preserve">CPB15+; a 29% pacijenata u </w:t>
      </w:r>
      <w:r w:rsidR="007907BF" w:rsidRPr="00D6167B">
        <w:rPr>
          <w:rFonts w:ascii="Times New Roman" w:hAnsi="Times New Roman"/>
          <w:lang w:val="hr-HR"/>
        </w:rPr>
        <w:t xml:space="preserve">grupama </w:t>
      </w:r>
      <w:r w:rsidRPr="00D6167B">
        <w:rPr>
          <w:rFonts w:ascii="Times New Roman" w:hAnsi="Times New Roman"/>
          <w:lang w:val="hr-HR"/>
        </w:rPr>
        <w:t xml:space="preserve">CPP ili CPB15 i 26% u </w:t>
      </w:r>
      <w:r w:rsidR="007907BF" w:rsidRPr="00D6167B">
        <w:rPr>
          <w:rFonts w:ascii="Times New Roman" w:hAnsi="Times New Roman"/>
          <w:lang w:val="hr-HR"/>
        </w:rPr>
        <w:t xml:space="preserve">grupi </w:t>
      </w:r>
      <w:r w:rsidRPr="00D6167B">
        <w:rPr>
          <w:rFonts w:ascii="Times New Roman" w:hAnsi="Times New Roman"/>
          <w:lang w:val="hr-HR"/>
        </w:rPr>
        <w:t xml:space="preserve">CPB15+ bilo je starije od 65 godina. Sveukupno, približno 50% pacijenata je imalo GOG PS 0 na početnom nivou, 43% ocjenu GOG PS 1, a 7% ocjenu GOG PS 2. Većina pacijenata je imala epitelni karcinom jajnika (EOC) (82% u CPP i CPB15, 85% u CPB15+), zatim primarni peritonealni karcinom (PPC) (16% u CPP, 15% u CPB15, 13% u CPB15+) i karcinom jajovoda (FTC) (1% u CPP, 3% u CPB15, 2% u CPB15+). Većina pacijenata je imala ozbiljan tip histologije adenokarcinoma (85% u </w:t>
      </w:r>
      <w:r w:rsidR="007907BF" w:rsidRPr="00D6167B">
        <w:rPr>
          <w:rFonts w:ascii="Times New Roman" w:hAnsi="Times New Roman"/>
          <w:lang w:val="hr-HR"/>
        </w:rPr>
        <w:t xml:space="preserve">grupama </w:t>
      </w:r>
      <w:r w:rsidRPr="00D6167B">
        <w:rPr>
          <w:rFonts w:ascii="Times New Roman" w:hAnsi="Times New Roman"/>
          <w:lang w:val="hr-HR"/>
        </w:rPr>
        <w:t>CPP i CPB15, 86% u CPB15+). Približno 34% pacijenata je prema FIGO klasifikaciji imalo oboljenje u stadijumu III sa optimalno odstranjenom tumorskom masom sa rezidualnom bolešću, 40% u stadijumu III sa suboptimalno odstranjenom tumorskom masom, a 26% u stadijumu IV.</w:t>
      </w:r>
    </w:p>
    <w:p w14:paraId="0B85A63C" w14:textId="77777777" w:rsidR="002E30F6" w:rsidRPr="00D6167B" w:rsidRDefault="002E30F6" w:rsidP="007608DF">
      <w:pPr>
        <w:widowControl/>
        <w:jc w:val="both"/>
        <w:rPr>
          <w:rFonts w:ascii="Times New Roman" w:eastAsia="Times New Roman" w:hAnsi="Times New Roman"/>
          <w:lang w:val="hr-HR"/>
        </w:rPr>
      </w:pPr>
    </w:p>
    <w:p w14:paraId="21471348" w14:textId="77777777" w:rsidR="002E30F6" w:rsidRPr="00D6167B" w:rsidRDefault="002E30F6" w:rsidP="007608DF">
      <w:pPr>
        <w:pStyle w:val="BodyText"/>
        <w:widowControl/>
        <w:ind w:left="0"/>
        <w:jc w:val="both"/>
        <w:rPr>
          <w:lang w:val="hr-HR"/>
        </w:rPr>
      </w:pPr>
      <w:r w:rsidRPr="00D6167B">
        <w:rPr>
          <w:lang w:val="hr-HR"/>
        </w:rPr>
        <w:t>Primarni parametar efikasnosti je bio preživljavanje bez progresije bolesti (PFS) na osnovu procjene istraživača o progresiji bolesti, koja se zasniva na nalazima radioloških snimanja ili vrijednostima CA 125, odnosno na pogoršanju simptoma prema protokolu. Dodatno, sprovedena je i analiza podataka koja cenzuriše događaje sa progresijom CA-125, kao i nezavisna procjena preživljavanja bez progresije bolesti, koje je utvrđeno na osnovu radioloških nalaza.</w:t>
      </w:r>
    </w:p>
    <w:p w14:paraId="3EBB6F92" w14:textId="77777777" w:rsidR="002E30F6" w:rsidRPr="00D6167B" w:rsidRDefault="002E30F6" w:rsidP="007608DF">
      <w:pPr>
        <w:pStyle w:val="BodyText"/>
        <w:widowControl/>
        <w:ind w:left="0"/>
        <w:jc w:val="both"/>
        <w:rPr>
          <w:lang w:val="hr-HR"/>
        </w:rPr>
      </w:pPr>
    </w:p>
    <w:p w14:paraId="37B419A5" w14:textId="77777777" w:rsidR="002E30F6" w:rsidRPr="00D6167B" w:rsidRDefault="002E30F6" w:rsidP="007608DF">
      <w:pPr>
        <w:pStyle w:val="BodyText"/>
        <w:widowControl/>
        <w:ind w:left="0"/>
        <w:jc w:val="both"/>
        <w:rPr>
          <w:lang w:val="hr-HR"/>
        </w:rPr>
      </w:pPr>
      <w:r w:rsidRPr="00D6167B">
        <w:rPr>
          <w:lang w:val="hr-HR"/>
        </w:rPr>
        <w:t>Ispitivanje je postiglo svoj primarni cilj poboljšanja preživljavanja bez progresije bolesti. U poređenju sa pacijentima koji su primali samo hemoterapiju (karboplatin i paklitaksel) u prvoj liniji, pacijenti koju su primali bevacizumab u dozi od 15 mg/kg jednom u 3 nedjelje u kombinaciji sa hemoterapijom i zatim nastavili da primaju samo bevacizumab (CPB15+) imali su klinički i statistički značajno poboljšanje preživljavanja bez progresije bolesti.</w:t>
      </w:r>
    </w:p>
    <w:p w14:paraId="13488E1C" w14:textId="77777777" w:rsidR="002E30F6" w:rsidRPr="00D6167B" w:rsidRDefault="002E30F6" w:rsidP="007608DF">
      <w:pPr>
        <w:widowControl/>
        <w:jc w:val="both"/>
        <w:rPr>
          <w:rFonts w:ascii="Times New Roman" w:eastAsia="Times New Roman" w:hAnsi="Times New Roman"/>
          <w:lang w:val="hr-HR"/>
        </w:rPr>
      </w:pPr>
    </w:p>
    <w:p w14:paraId="6180805E" w14:textId="77777777" w:rsidR="002E30F6" w:rsidRPr="00D6167B" w:rsidRDefault="002E30F6" w:rsidP="007608DF">
      <w:pPr>
        <w:pStyle w:val="BodyText"/>
        <w:widowControl/>
        <w:ind w:left="0"/>
        <w:jc w:val="both"/>
        <w:rPr>
          <w:lang w:val="hr-HR"/>
        </w:rPr>
      </w:pPr>
      <w:r w:rsidRPr="00D6167B">
        <w:rPr>
          <w:lang w:val="hr-HR"/>
        </w:rPr>
        <w:t>Kod pacijenata koji su primali bevacizumab u kombinaciji sa hemoterapijom, ali nijesu nastavili da primaju monoterapiju bevacizumabom (CPB15) nije prim</w:t>
      </w:r>
      <w:r w:rsidR="001054C9" w:rsidRPr="00D6167B">
        <w:rPr>
          <w:lang w:val="hr-HR"/>
        </w:rPr>
        <w:t>i</w:t>
      </w:r>
      <w:r w:rsidRPr="00D6167B">
        <w:rPr>
          <w:lang w:val="hr-HR"/>
        </w:rPr>
        <w:t>jećena klinički značajna prom</w:t>
      </w:r>
      <w:r w:rsidR="00FA3926" w:rsidRPr="00D6167B">
        <w:rPr>
          <w:lang w:val="hr-HR"/>
        </w:rPr>
        <w:t>j</w:t>
      </w:r>
      <w:r w:rsidRPr="00D6167B">
        <w:rPr>
          <w:lang w:val="hr-HR"/>
        </w:rPr>
        <w:t>ena preživljavanja bez progresije bolesti.</w:t>
      </w:r>
    </w:p>
    <w:p w14:paraId="19C978D5" w14:textId="77777777" w:rsidR="002E30F6" w:rsidRPr="00D6167B" w:rsidRDefault="002E30F6" w:rsidP="007608DF">
      <w:pPr>
        <w:widowControl/>
        <w:jc w:val="both"/>
        <w:rPr>
          <w:rFonts w:ascii="Times New Roman" w:eastAsia="Times New Roman" w:hAnsi="Times New Roman"/>
          <w:lang w:val="hr-HR"/>
        </w:rPr>
      </w:pPr>
    </w:p>
    <w:p w14:paraId="612D3F52"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lang w:val="hr-HR"/>
        </w:rPr>
        <w:t>Rezultati ove studije su rezimirani u tabeli 16.</w:t>
      </w:r>
    </w:p>
    <w:p w14:paraId="1FE3129E" w14:textId="77777777" w:rsidR="002E30F6" w:rsidRPr="00D6167B" w:rsidRDefault="002E30F6" w:rsidP="007608DF">
      <w:pPr>
        <w:widowControl/>
        <w:jc w:val="both"/>
        <w:rPr>
          <w:rFonts w:ascii="Times New Roman" w:eastAsia="Times New Roman" w:hAnsi="Times New Roman"/>
          <w:lang w:val="hr-HR"/>
        </w:rPr>
      </w:pPr>
    </w:p>
    <w:p w14:paraId="654E0B77"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b/>
          <w:lang w:val="hr-HR"/>
        </w:rPr>
        <w:t>Tabela 16</w:t>
      </w:r>
      <w:r w:rsidRPr="00D6167B">
        <w:rPr>
          <w:rFonts w:ascii="Times New Roman"/>
          <w:b/>
          <w:lang w:val="hr-HR"/>
        </w:rPr>
        <w:tab/>
        <w:t>Rezultati efikasnosti iz studije GOG-0218</w:t>
      </w:r>
    </w:p>
    <w:p w14:paraId="7E1ACCC9" w14:textId="77777777" w:rsidR="002E30F6" w:rsidRPr="00D6167B" w:rsidRDefault="002E30F6" w:rsidP="007608DF">
      <w:pPr>
        <w:widowControl/>
        <w:jc w:val="both"/>
        <w:rPr>
          <w:rFonts w:ascii="Times New Roman" w:eastAsia="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057"/>
        <w:gridCol w:w="2057"/>
        <w:gridCol w:w="2059"/>
      </w:tblGrid>
      <w:tr w:rsidR="002E30F6" w:rsidRPr="00D6167B" w14:paraId="617E1A2D"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652F452F"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hAnsi="Times New Roman"/>
                <w:lang w:val="hr-HR"/>
              </w:rPr>
              <w:t xml:space="preserve">Preživljavanje bez progresije </w:t>
            </w:r>
            <w:r w:rsidRPr="00D6167B">
              <w:rPr>
                <w:rFonts w:ascii="Times New Roman" w:hAnsi="Times New Roman"/>
                <w:vertAlign w:val="superscript"/>
                <w:lang w:val="hr-HR"/>
              </w:rPr>
              <w:t>1</w:t>
            </w:r>
          </w:p>
        </w:tc>
      </w:tr>
      <w:tr w:rsidR="002E30F6" w:rsidRPr="00D6167B" w14:paraId="0FF2F55C" w14:textId="77777777" w:rsidTr="002C0B97">
        <w:trPr>
          <w:cantSplit/>
        </w:trPr>
        <w:tc>
          <w:tcPr>
            <w:tcW w:w="2970" w:type="dxa"/>
            <w:tcBorders>
              <w:left w:val="single" w:sz="4" w:space="0" w:color="auto"/>
              <w:bottom w:val="nil"/>
              <w:right w:val="single" w:sz="4" w:space="0" w:color="auto"/>
            </w:tcBorders>
            <w:shd w:val="clear" w:color="auto" w:fill="auto"/>
          </w:tcPr>
          <w:p w14:paraId="3DBF2516"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single" w:sz="4" w:space="0" w:color="auto"/>
              <w:left w:val="single" w:sz="4" w:space="0" w:color="auto"/>
              <w:bottom w:val="nil"/>
              <w:right w:val="single" w:sz="4" w:space="0" w:color="auto"/>
            </w:tcBorders>
            <w:shd w:val="clear" w:color="auto" w:fill="auto"/>
          </w:tcPr>
          <w:p w14:paraId="68FE96AE" w14:textId="77777777" w:rsidR="002E30F6" w:rsidRPr="00D37692" w:rsidRDefault="002E30F6" w:rsidP="00D37692">
            <w:pPr>
              <w:pStyle w:val="Default"/>
              <w:jc w:val="center"/>
              <w:rPr>
                <w:color w:val="auto"/>
                <w:sz w:val="22"/>
                <w:lang w:val="hr-HR"/>
              </w:rPr>
            </w:pPr>
            <w:r w:rsidRPr="00D37692">
              <w:rPr>
                <w:color w:val="auto"/>
                <w:sz w:val="22"/>
                <w:lang w:val="hr-HR"/>
              </w:rPr>
              <w:t>CPP</w:t>
            </w:r>
          </w:p>
        </w:tc>
        <w:tc>
          <w:tcPr>
            <w:tcW w:w="2103" w:type="dxa"/>
            <w:tcBorders>
              <w:left w:val="single" w:sz="4" w:space="0" w:color="auto"/>
              <w:bottom w:val="nil"/>
            </w:tcBorders>
            <w:shd w:val="clear" w:color="auto" w:fill="auto"/>
          </w:tcPr>
          <w:p w14:paraId="09E77B50" w14:textId="77777777" w:rsidR="002E30F6" w:rsidRPr="00D37692" w:rsidRDefault="002E30F6" w:rsidP="00D37692">
            <w:pPr>
              <w:pStyle w:val="Defaul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10726756" w14:textId="77777777" w:rsidR="002E30F6" w:rsidRPr="00D37692" w:rsidRDefault="002E30F6" w:rsidP="00D37692">
            <w:pPr>
              <w:pStyle w:val="Default"/>
              <w:jc w:val="center"/>
              <w:rPr>
                <w:color w:val="auto"/>
                <w:sz w:val="22"/>
                <w:lang w:val="hr-HR"/>
              </w:rPr>
            </w:pPr>
            <w:r w:rsidRPr="00D37692">
              <w:rPr>
                <w:color w:val="auto"/>
                <w:sz w:val="22"/>
                <w:lang w:val="hr-HR"/>
              </w:rPr>
              <w:t>CPB15+</w:t>
            </w:r>
          </w:p>
        </w:tc>
      </w:tr>
      <w:tr w:rsidR="002E30F6" w:rsidRPr="00D6167B" w14:paraId="4FBE8CC9" w14:textId="77777777" w:rsidTr="002C0B97">
        <w:trPr>
          <w:cantSplit/>
        </w:trPr>
        <w:tc>
          <w:tcPr>
            <w:tcW w:w="2970" w:type="dxa"/>
            <w:tcBorders>
              <w:top w:val="nil"/>
              <w:left w:val="single" w:sz="4" w:space="0" w:color="auto"/>
              <w:bottom w:val="nil"/>
              <w:right w:val="single" w:sz="4" w:space="0" w:color="auto"/>
            </w:tcBorders>
            <w:shd w:val="clear" w:color="auto" w:fill="auto"/>
          </w:tcPr>
          <w:p w14:paraId="76BB76DA"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nil"/>
              <w:left w:val="single" w:sz="4" w:space="0" w:color="auto"/>
              <w:bottom w:val="nil"/>
              <w:right w:val="single" w:sz="4" w:space="0" w:color="auto"/>
            </w:tcBorders>
            <w:shd w:val="clear" w:color="auto" w:fill="auto"/>
          </w:tcPr>
          <w:p w14:paraId="10CB7E63" w14:textId="77777777" w:rsidR="002E30F6" w:rsidRPr="00D37692" w:rsidRDefault="002E30F6" w:rsidP="00D37692">
            <w:pPr>
              <w:pStyle w:val="Default"/>
              <w:jc w:val="center"/>
              <w:rPr>
                <w:color w:val="auto"/>
                <w:sz w:val="22"/>
                <w:lang w:val="hr-HR"/>
              </w:rPr>
            </w:pPr>
            <w:r w:rsidRPr="00D37692">
              <w:rPr>
                <w:color w:val="auto"/>
                <w:sz w:val="22"/>
                <w:lang w:val="hr-HR"/>
              </w:rPr>
              <w:t>(n=625)</w:t>
            </w:r>
          </w:p>
        </w:tc>
        <w:tc>
          <w:tcPr>
            <w:tcW w:w="2103" w:type="dxa"/>
            <w:tcBorders>
              <w:top w:val="nil"/>
              <w:left w:val="single" w:sz="4" w:space="0" w:color="auto"/>
              <w:bottom w:val="nil"/>
            </w:tcBorders>
            <w:shd w:val="clear" w:color="auto" w:fill="auto"/>
          </w:tcPr>
          <w:p w14:paraId="69BC52BC" w14:textId="77777777" w:rsidR="002E30F6" w:rsidRPr="00D37692" w:rsidRDefault="002E30F6" w:rsidP="00D37692">
            <w:pPr>
              <w:pStyle w:val="Default"/>
              <w:jc w:val="center"/>
              <w:rPr>
                <w:color w:val="auto"/>
                <w:sz w:val="22"/>
                <w:lang w:val="hr-HR"/>
              </w:rPr>
            </w:pPr>
            <w:r w:rsidRPr="00D37692">
              <w:rPr>
                <w:color w:val="auto"/>
                <w:sz w:val="22"/>
                <w:lang w:val="hr-HR"/>
              </w:rPr>
              <w:t>(n=625)</w:t>
            </w:r>
          </w:p>
        </w:tc>
        <w:tc>
          <w:tcPr>
            <w:tcW w:w="2103" w:type="dxa"/>
            <w:tcBorders>
              <w:top w:val="nil"/>
              <w:bottom w:val="nil"/>
              <w:right w:val="single" w:sz="4" w:space="0" w:color="auto"/>
            </w:tcBorders>
            <w:shd w:val="clear" w:color="auto" w:fill="auto"/>
          </w:tcPr>
          <w:p w14:paraId="78BEEE07" w14:textId="77777777" w:rsidR="002E30F6" w:rsidRPr="00D37692" w:rsidRDefault="002E30F6" w:rsidP="00D37692">
            <w:pPr>
              <w:pStyle w:val="Default"/>
              <w:jc w:val="center"/>
              <w:rPr>
                <w:color w:val="auto"/>
                <w:sz w:val="22"/>
                <w:lang w:val="hr-HR"/>
              </w:rPr>
            </w:pPr>
            <w:r w:rsidRPr="00D37692">
              <w:rPr>
                <w:color w:val="auto"/>
                <w:sz w:val="22"/>
                <w:lang w:val="hr-HR"/>
              </w:rPr>
              <w:t>(n=623)</w:t>
            </w:r>
          </w:p>
        </w:tc>
      </w:tr>
      <w:tr w:rsidR="002E30F6" w:rsidRPr="00D6167B" w14:paraId="61B920A9" w14:textId="77777777" w:rsidTr="002C0B97">
        <w:trPr>
          <w:cantSplit/>
        </w:trPr>
        <w:tc>
          <w:tcPr>
            <w:tcW w:w="2970" w:type="dxa"/>
            <w:tcBorders>
              <w:top w:val="nil"/>
              <w:left w:val="single" w:sz="4" w:space="0" w:color="auto"/>
              <w:bottom w:val="nil"/>
              <w:right w:val="single" w:sz="4" w:space="0" w:color="auto"/>
            </w:tcBorders>
            <w:shd w:val="clear" w:color="auto" w:fill="auto"/>
          </w:tcPr>
          <w:p w14:paraId="5C2BD9CD"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p>
        </w:tc>
        <w:tc>
          <w:tcPr>
            <w:tcW w:w="2102" w:type="dxa"/>
            <w:tcBorders>
              <w:top w:val="nil"/>
              <w:left w:val="single" w:sz="4" w:space="0" w:color="auto"/>
              <w:bottom w:val="nil"/>
              <w:right w:val="single" w:sz="4" w:space="0" w:color="auto"/>
            </w:tcBorders>
            <w:shd w:val="clear" w:color="auto" w:fill="auto"/>
          </w:tcPr>
          <w:p w14:paraId="194F8510" w14:textId="77777777" w:rsidR="002E30F6" w:rsidRPr="00D37692" w:rsidRDefault="002E30F6" w:rsidP="00D37692">
            <w:pPr>
              <w:pStyle w:val="Default"/>
              <w:jc w:val="center"/>
              <w:rPr>
                <w:color w:val="auto"/>
                <w:sz w:val="22"/>
                <w:lang w:val="hr-HR"/>
              </w:rPr>
            </w:pPr>
            <w:r w:rsidRPr="00D37692">
              <w:rPr>
                <w:color w:val="auto"/>
                <w:sz w:val="22"/>
                <w:lang w:val="hr-HR"/>
              </w:rPr>
              <w:t>10,6</w:t>
            </w:r>
          </w:p>
        </w:tc>
        <w:tc>
          <w:tcPr>
            <w:tcW w:w="2103" w:type="dxa"/>
            <w:tcBorders>
              <w:top w:val="nil"/>
              <w:left w:val="single" w:sz="4" w:space="0" w:color="auto"/>
              <w:bottom w:val="nil"/>
            </w:tcBorders>
            <w:shd w:val="clear" w:color="auto" w:fill="auto"/>
          </w:tcPr>
          <w:p w14:paraId="1AB06665" w14:textId="77777777" w:rsidR="002E30F6" w:rsidRPr="00D37692" w:rsidRDefault="002E30F6" w:rsidP="00D37692">
            <w:pPr>
              <w:pStyle w:val="Default"/>
              <w:jc w:val="center"/>
              <w:rPr>
                <w:color w:val="auto"/>
                <w:sz w:val="22"/>
                <w:lang w:val="hr-HR"/>
              </w:rPr>
            </w:pPr>
            <w:r w:rsidRPr="00D37692">
              <w:rPr>
                <w:color w:val="auto"/>
                <w:sz w:val="22"/>
                <w:lang w:val="hr-HR"/>
              </w:rPr>
              <w:t>11,6</w:t>
            </w:r>
          </w:p>
        </w:tc>
        <w:tc>
          <w:tcPr>
            <w:tcW w:w="2103" w:type="dxa"/>
            <w:tcBorders>
              <w:top w:val="nil"/>
              <w:bottom w:val="nil"/>
              <w:right w:val="single" w:sz="4" w:space="0" w:color="auto"/>
            </w:tcBorders>
            <w:shd w:val="clear" w:color="auto" w:fill="auto"/>
          </w:tcPr>
          <w:p w14:paraId="7C54F147" w14:textId="77777777" w:rsidR="002E30F6" w:rsidRPr="00D37692" w:rsidRDefault="002E30F6" w:rsidP="00D37692">
            <w:pPr>
              <w:pStyle w:val="Default"/>
              <w:jc w:val="center"/>
              <w:rPr>
                <w:color w:val="auto"/>
                <w:sz w:val="22"/>
                <w:lang w:val="hr-HR"/>
              </w:rPr>
            </w:pPr>
            <w:r w:rsidRPr="00D37692">
              <w:rPr>
                <w:color w:val="auto"/>
                <w:sz w:val="22"/>
                <w:lang w:val="hr-HR"/>
              </w:rPr>
              <w:t>14,7</w:t>
            </w:r>
          </w:p>
        </w:tc>
      </w:tr>
      <w:tr w:rsidR="002E30F6" w:rsidRPr="00D6167B" w14:paraId="41A772D8" w14:textId="77777777" w:rsidTr="002C0B97">
        <w:trPr>
          <w:cantSplit/>
        </w:trPr>
        <w:tc>
          <w:tcPr>
            <w:tcW w:w="2970" w:type="dxa"/>
            <w:tcBorders>
              <w:top w:val="nil"/>
              <w:left w:val="single" w:sz="4" w:space="0" w:color="auto"/>
              <w:bottom w:val="nil"/>
              <w:right w:val="single" w:sz="4" w:space="0" w:color="auto"/>
            </w:tcBorders>
            <w:shd w:val="clear" w:color="auto" w:fill="auto"/>
          </w:tcPr>
          <w:p w14:paraId="1626D494"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2</w:t>
            </w:r>
            <w:r w:rsidRPr="00D37692">
              <w:rPr>
                <w:color w:val="auto"/>
                <w:sz w:val="22"/>
                <w:lang w:val="hr-HR"/>
              </w:rPr>
              <w:t xml:space="preserve"> </w:t>
            </w:r>
          </w:p>
        </w:tc>
        <w:tc>
          <w:tcPr>
            <w:tcW w:w="2102" w:type="dxa"/>
            <w:tcBorders>
              <w:top w:val="nil"/>
              <w:left w:val="single" w:sz="4" w:space="0" w:color="auto"/>
              <w:bottom w:val="nil"/>
              <w:right w:val="single" w:sz="4" w:space="0" w:color="auto"/>
            </w:tcBorders>
            <w:shd w:val="clear" w:color="auto" w:fill="auto"/>
          </w:tcPr>
          <w:p w14:paraId="6AB5FBCB"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left w:val="single" w:sz="4" w:space="0" w:color="auto"/>
              <w:bottom w:val="nil"/>
            </w:tcBorders>
            <w:shd w:val="clear" w:color="auto" w:fill="auto"/>
          </w:tcPr>
          <w:p w14:paraId="62898644" w14:textId="77777777" w:rsidR="002E30F6" w:rsidRPr="00D37692" w:rsidRDefault="002E30F6" w:rsidP="00D37692">
            <w:pPr>
              <w:pStyle w:val="Default"/>
              <w:jc w:val="center"/>
              <w:rPr>
                <w:color w:val="auto"/>
                <w:sz w:val="22"/>
                <w:lang w:val="hr-HR"/>
              </w:rPr>
            </w:pPr>
            <w:r w:rsidRPr="00D37692">
              <w:rPr>
                <w:color w:val="auto"/>
                <w:sz w:val="22"/>
                <w:lang w:val="hr-HR"/>
              </w:rPr>
              <w:t>0,89</w:t>
            </w:r>
          </w:p>
        </w:tc>
        <w:tc>
          <w:tcPr>
            <w:tcW w:w="2103" w:type="dxa"/>
            <w:tcBorders>
              <w:top w:val="nil"/>
              <w:bottom w:val="nil"/>
              <w:right w:val="single" w:sz="4" w:space="0" w:color="auto"/>
            </w:tcBorders>
            <w:shd w:val="clear" w:color="auto" w:fill="auto"/>
          </w:tcPr>
          <w:p w14:paraId="50F0D1A4" w14:textId="77777777" w:rsidR="002E30F6" w:rsidRPr="00D37692" w:rsidRDefault="002E30F6" w:rsidP="00D37692">
            <w:pPr>
              <w:pStyle w:val="Default"/>
              <w:jc w:val="center"/>
              <w:rPr>
                <w:color w:val="auto"/>
                <w:sz w:val="22"/>
                <w:lang w:val="hr-HR"/>
              </w:rPr>
            </w:pPr>
            <w:r w:rsidRPr="00D37692">
              <w:rPr>
                <w:color w:val="auto"/>
                <w:sz w:val="22"/>
                <w:lang w:val="hr-HR"/>
              </w:rPr>
              <w:t>0,70</w:t>
            </w:r>
          </w:p>
        </w:tc>
      </w:tr>
      <w:tr w:rsidR="002E30F6" w:rsidRPr="00D6167B" w14:paraId="5DA47190" w14:textId="77777777" w:rsidTr="002C0B97">
        <w:trPr>
          <w:cantSplit/>
        </w:trPr>
        <w:tc>
          <w:tcPr>
            <w:tcW w:w="2970" w:type="dxa"/>
            <w:tcBorders>
              <w:top w:val="nil"/>
              <w:left w:val="single" w:sz="4" w:space="0" w:color="auto"/>
              <w:bottom w:val="nil"/>
              <w:right w:val="single" w:sz="4" w:space="0" w:color="auto"/>
            </w:tcBorders>
            <w:shd w:val="clear" w:color="auto" w:fill="auto"/>
          </w:tcPr>
          <w:p w14:paraId="4FEDA262" w14:textId="77777777" w:rsidR="002E30F6" w:rsidRPr="00D6167B" w:rsidRDefault="002E30F6" w:rsidP="00D37692">
            <w:pPr>
              <w:widowControl/>
              <w:rPr>
                <w:rFonts w:ascii="Times New Roman" w:eastAsia="Times New Roman" w:hAnsi="Times New Roman"/>
                <w:lang w:val="hr-HR"/>
              </w:rPr>
            </w:pPr>
          </w:p>
        </w:tc>
        <w:tc>
          <w:tcPr>
            <w:tcW w:w="2102" w:type="dxa"/>
            <w:tcBorders>
              <w:top w:val="nil"/>
              <w:left w:val="single" w:sz="4" w:space="0" w:color="auto"/>
              <w:bottom w:val="nil"/>
              <w:right w:val="single" w:sz="4" w:space="0" w:color="auto"/>
            </w:tcBorders>
            <w:shd w:val="clear" w:color="auto" w:fill="auto"/>
          </w:tcPr>
          <w:p w14:paraId="6A7B623D"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left w:val="single" w:sz="4" w:space="0" w:color="auto"/>
              <w:bottom w:val="nil"/>
            </w:tcBorders>
            <w:shd w:val="clear" w:color="auto" w:fill="auto"/>
          </w:tcPr>
          <w:p w14:paraId="1A74B9CB" w14:textId="77777777" w:rsidR="002E30F6" w:rsidRPr="00D37692" w:rsidRDefault="002E30F6" w:rsidP="00D37692">
            <w:pPr>
              <w:pStyle w:val="Default"/>
              <w:jc w:val="center"/>
              <w:rPr>
                <w:color w:val="auto"/>
                <w:sz w:val="22"/>
                <w:lang w:val="hr-HR"/>
              </w:rPr>
            </w:pPr>
            <w:r w:rsidRPr="00D37692">
              <w:rPr>
                <w:color w:val="auto"/>
                <w:sz w:val="22"/>
                <w:lang w:val="hr-HR"/>
              </w:rPr>
              <w:t>(0,78; 1,02)</w:t>
            </w:r>
          </w:p>
        </w:tc>
        <w:tc>
          <w:tcPr>
            <w:tcW w:w="2103" w:type="dxa"/>
            <w:tcBorders>
              <w:top w:val="nil"/>
              <w:bottom w:val="nil"/>
              <w:right w:val="single" w:sz="4" w:space="0" w:color="auto"/>
            </w:tcBorders>
            <w:shd w:val="clear" w:color="auto" w:fill="auto"/>
          </w:tcPr>
          <w:p w14:paraId="0B086F59" w14:textId="77777777" w:rsidR="002E30F6" w:rsidRPr="00D37692" w:rsidRDefault="002E30F6" w:rsidP="00D37692">
            <w:pPr>
              <w:pStyle w:val="Default"/>
              <w:jc w:val="center"/>
              <w:rPr>
                <w:color w:val="auto"/>
                <w:sz w:val="22"/>
                <w:lang w:val="hr-HR"/>
              </w:rPr>
            </w:pPr>
            <w:r w:rsidRPr="00D37692">
              <w:rPr>
                <w:color w:val="auto"/>
                <w:sz w:val="22"/>
                <w:lang w:val="hr-HR"/>
              </w:rPr>
              <w:t>(0,61, 0,81)</w:t>
            </w:r>
          </w:p>
        </w:tc>
      </w:tr>
      <w:tr w:rsidR="002E30F6" w:rsidRPr="00D6167B" w14:paraId="3D0649BA" w14:textId="77777777" w:rsidTr="002C0B97">
        <w:trPr>
          <w:cantSplit/>
        </w:trPr>
        <w:tc>
          <w:tcPr>
            <w:tcW w:w="2970" w:type="dxa"/>
            <w:tcBorders>
              <w:top w:val="nil"/>
              <w:left w:val="single" w:sz="4" w:space="0" w:color="auto"/>
              <w:bottom w:val="single" w:sz="4" w:space="0" w:color="auto"/>
              <w:right w:val="single" w:sz="4" w:space="0" w:color="auto"/>
            </w:tcBorders>
            <w:shd w:val="clear" w:color="auto" w:fill="auto"/>
          </w:tcPr>
          <w:p w14:paraId="08A57F0D"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r w:rsidRPr="00D37692">
              <w:rPr>
                <w:color w:val="auto"/>
                <w:sz w:val="22"/>
                <w:vertAlign w:val="superscript"/>
                <w:lang w:val="hr-HR"/>
              </w:rPr>
              <w:t>3,4</w:t>
            </w:r>
            <w:r w:rsidRPr="00D37692">
              <w:rPr>
                <w:color w:val="auto"/>
                <w:sz w:val="22"/>
                <w:lang w:val="hr-HR"/>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5007D21D"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left w:val="single" w:sz="4" w:space="0" w:color="auto"/>
              <w:bottom w:val="single" w:sz="4" w:space="0" w:color="auto"/>
            </w:tcBorders>
            <w:shd w:val="clear" w:color="auto" w:fill="auto"/>
          </w:tcPr>
          <w:p w14:paraId="57148BCF" w14:textId="77777777" w:rsidR="002E30F6" w:rsidRPr="00D37692" w:rsidRDefault="002E30F6" w:rsidP="00D37692">
            <w:pPr>
              <w:pStyle w:val="Default"/>
              <w:jc w:val="center"/>
              <w:rPr>
                <w:color w:val="auto"/>
                <w:sz w:val="22"/>
                <w:lang w:val="hr-HR"/>
              </w:rPr>
            </w:pPr>
            <w:r w:rsidRPr="00D37692">
              <w:rPr>
                <w:color w:val="auto"/>
                <w:sz w:val="22"/>
                <w:lang w:val="hr-HR"/>
              </w:rPr>
              <w:t>0,0437</w:t>
            </w:r>
          </w:p>
        </w:tc>
        <w:tc>
          <w:tcPr>
            <w:tcW w:w="2103" w:type="dxa"/>
            <w:tcBorders>
              <w:top w:val="nil"/>
              <w:bottom w:val="single" w:sz="4" w:space="0" w:color="auto"/>
              <w:right w:val="single" w:sz="4" w:space="0" w:color="auto"/>
            </w:tcBorders>
            <w:shd w:val="clear" w:color="auto" w:fill="auto"/>
          </w:tcPr>
          <w:p w14:paraId="4A4465E8" w14:textId="77777777" w:rsidR="002E30F6" w:rsidRPr="00D37692" w:rsidRDefault="002E30F6" w:rsidP="00D37692">
            <w:pPr>
              <w:pStyle w:val="Default"/>
              <w:jc w:val="center"/>
              <w:rPr>
                <w:color w:val="auto"/>
                <w:sz w:val="22"/>
                <w:lang w:val="hr-HR"/>
              </w:rPr>
            </w:pPr>
            <w:r w:rsidRPr="00D37692">
              <w:rPr>
                <w:color w:val="auto"/>
                <w:sz w:val="22"/>
                <w:lang w:val="hr-HR"/>
              </w:rPr>
              <w:t>&lt; 0,0001</w:t>
            </w:r>
          </w:p>
        </w:tc>
      </w:tr>
      <w:tr w:rsidR="002E30F6" w:rsidRPr="00D6167B" w14:paraId="0785C717"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3547333F" w14:textId="77777777" w:rsidR="002E30F6" w:rsidRPr="00D6167B" w:rsidRDefault="002E30F6" w:rsidP="00D37692">
            <w:pPr>
              <w:widowControl/>
              <w:rPr>
                <w:rFonts w:ascii="Times New Roman" w:eastAsia="Times New Roman" w:hAnsi="Times New Roman"/>
                <w:lang w:val="hr-HR"/>
              </w:rPr>
            </w:pPr>
            <w:r w:rsidRPr="00D6167B">
              <w:rPr>
                <w:rFonts w:ascii="Times New Roman" w:hAnsi="Times New Roman"/>
                <w:lang w:val="hr-HR"/>
              </w:rPr>
              <w:t xml:space="preserve">Stopa objektivnog odgovora </w:t>
            </w:r>
            <w:r w:rsidRPr="00D6167B">
              <w:rPr>
                <w:rFonts w:ascii="Times New Roman" w:hAnsi="Times New Roman"/>
                <w:vertAlign w:val="superscript"/>
                <w:lang w:val="hr-HR"/>
              </w:rPr>
              <w:t>5</w:t>
            </w:r>
          </w:p>
        </w:tc>
      </w:tr>
      <w:tr w:rsidR="002E30F6" w:rsidRPr="00D6167B" w14:paraId="37FC593A" w14:textId="77777777" w:rsidTr="002C0B97">
        <w:trPr>
          <w:cantSplit/>
        </w:trPr>
        <w:tc>
          <w:tcPr>
            <w:tcW w:w="2970" w:type="dxa"/>
            <w:tcBorders>
              <w:left w:val="single" w:sz="4" w:space="0" w:color="auto"/>
              <w:bottom w:val="nil"/>
            </w:tcBorders>
            <w:shd w:val="clear" w:color="auto" w:fill="auto"/>
          </w:tcPr>
          <w:p w14:paraId="3233709C" w14:textId="77777777" w:rsidR="002E30F6" w:rsidRPr="00D6167B" w:rsidRDefault="002E30F6" w:rsidP="007608DF">
            <w:pPr>
              <w:widowControl/>
              <w:jc w:val="both"/>
              <w:rPr>
                <w:rFonts w:ascii="Times New Roman" w:eastAsia="Times New Roman" w:hAnsi="Times New Roman"/>
                <w:lang w:val="hr-HR"/>
              </w:rPr>
            </w:pPr>
          </w:p>
        </w:tc>
        <w:tc>
          <w:tcPr>
            <w:tcW w:w="2102" w:type="dxa"/>
            <w:tcBorders>
              <w:bottom w:val="nil"/>
            </w:tcBorders>
            <w:shd w:val="clear" w:color="auto" w:fill="auto"/>
          </w:tcPr>
          <w:p w14:paraId="7A73CD6F" w14:textId="77777777" w:rsidR="002E30F6" w:rsidRPr="00D37692" w:rsidRDefault="002E30F6" w:rsidP="00D37692">
            <w:pPr>
              <w:pStyle w:val="Default"/>
              <w:jc w:val="center"/>
              <w:rPr>
                <w:color w:val="auto"/>
                <w:sz w:val="22"/>
                <w:lang w:val="hr-HR"/>
              </w:rPr>
            </w:pPr>
            <w:r w:rsidRPr="00D37692">
              <w:rPr>
                <w:color w:val="auto"/>
                <w:sz w:val="22"/>
                <w:lang w:val="hr-HR"/>
              </w:rPr>
              <w:t>CPP</w:t>
            </w:r>
          </w:p>
        </w:tc>
        <w:tc>
          <w:tcPr>
            <w:tcW w:w="2103" w:type="dxa"/>
            <w:tcBorders>
              <w:bottom w:val="nil"/>
            </w:tcBorders>
            <w:shd w:val="clear" w:color="auto" w:fill="auto"/>
          </w:tcPr>
          <w:p w14:paraId="479D2771" w14:textId="77777777" w:rsidR="002E30F6" w:rsidRPr="00D37692" w:rsidRDefault="002E30F6" w:rsidP="00D37692">
            <w:pPr>
              <w:pStyle w:val="Defaul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72FEE74D" w14:textId="77777777" w:rsidR="002E30F6" w:rsidRPr="00D37692" w:rsidRDefault="002E30F6" w:rsidP="00D37692">
            <w:pPr>
              <w:pStyle w:val="Default"/>
              <w:jc w:val="center"/>
              <w:rPr>
                <w:color w:val="auto"/>
                <w:sz w:val="22"/>
                <w:lang w:val="hr-HR"/>
              </w:rPr>
            </w:pPr>
            <w:r w:rsidRPr="00D37692">
              <w:rPr>
                <w:color w:val="auto"/>
                <w:sz w:val="22"/>
                <w:lang w:val="hr-HR"/>
              </w:rPr>
              <w:t>CPB15+</w:t>
            </w:r>
          </w:p>
        </w:tc>
      </w:tr>
      <w:tr w:rsidR="002E30F6" w:rsidRPr="00D6167B" w14:paraId="39F9AE4D" w14:textId="77777777" w:rsidTr="002C0B97">
        <w:trPr>
          <w:cantSplit/>
        </w:trPr>
        <w:tc>
          <w:tcPr>
            <w:tcW w:w="2970" w:type="dxa"/>
            <w:tcBorders>
              <w:top w:val="nil"/>
              <w:left w:val="single" w:sz="4" w:space="0" w:color="auto"/>
              <w:bottom w:val="nil"/>
            </w:tcBorders>
            <w:shd w:val="clear" w:color="auto" w:fill="auto"/>
          </w:tcPr>
          <w:p w14:paraId="66F7E168"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nil"/>
              <w:bottom w:val="nil"/>
            </w:tcBorders>
            <w:shd w:val="clear" w:color="auto" w:fill="auto"/>
          </w:tcPr>
          <w:p w14:paraId="4E8F3CBB" w14:textId="77777777" w:rsidR="002E30F6" w:rsidRPr="00D37692" w:rsidRDefault="002E30F6" w:rsidP="00D37692">
            <w:pPr>
              <w:pStyle w:val="Default"/>
              <w:jc w:val="center"/>
              <w:rPr>
                <w:color w:val="auto"/>
                <w:sz w:val="22"/>
                <w:lang w:val="hr-HR"/>
              </w:rPr>
            </w:pPr>
            <w:r w:rsidRPr="00D37692">
              <w:rPr>
                <w:color w:val="auto"/>
                <w:sz w:val="22"/>
                <w:lang w:val="hr-HR"/>
              </w:rPr>
              <w:t>(n=396)</w:t>
            </w:r>
          </w:p>
        </w:tc>
        <w:tc>
          <w:tcPr>
            <w:tcW w:w="2103" w:type="dxa"/>
            <w:tcBorders>
              <w:top w:val="nil"/>
              <w:bottom w:val="nil"/>
            </w:tcBorders>
            <w:shd w:val="clear" w:color="auto" w:fill="auto"/>
          </w:tcPr>
          <w:p w14:paraId="6819A5A0" w14:textId="77777777" w:rsidR="002E30F6" w:rsidRPr="00D37692" w:rsidRDefault="002E30F6" w:rsidP="00D37692">
            <w:pPr>
              <w:pStyle w:val="Default"/>
              <w:jc w:val="center"/>
              <w:rPr>
                <w:color w:val="auto"/>
                <w:sz w:val="22"/>
                <w:lang w:val="hr-HR"/>
              </w:rPr>
            </w:pPr>
            <w:r w:rsidRPr="00D37692">
              <w:rPr>
                <w:color w:val="auto"/>
                <w:sz w:val="22"/>
                <w:lang w:val="hr-HR"/>
              </w:rPr>
              <w:t>(n=393)</w:t>
            </w:r>
          </w:p>
        </w:tc>
        <w:tc>
          <w:tcPr>
            <w:tcW w:w="2103" w:type="dxa"/>
            <w:tcBorders>
              <w:top w:val="nil"/>
              <w:bottom w:val="nil"/>
              <w:right w:val="single" w:sz="4" w:space="0" w:color="auto"/>
            </w:tcBorders>
            <w:shd w:val="clear" w:color="auto" w:fill="auto"/>
          </w:tcPr>
          <w:p w14:paraId="3AF3E735" w14:textId="77777777" w:rsidR="002E30F6" w:rsidRPr="00D37692" w:rsidRDefault="002E30F6" w:rsidP="00D37692">
            <w:pPr>
              <w:pStyle w:val="Default"/>
              <w:jc w:val="center"/>
              <w:rPr>
                <w:color w:val="auto"/>
                <w:sz w:val="22"/>
                <w:lang w:val="hr-HR"/>
              </w:rPr>
            </w:pPr>
            <w:r w:rsidRPr="00D37692">
              <w:rPr>
                <w:color w:val="auto"/>
                <w:sz w:val="22"/>
                <w:lang w:val="hr-HR"/>
              </w:rPr>
              <w:t>(n=403)</w:t>
            </w:r>
          </w:p>
        </w:tc>
      </w:tr>
      <w:tr w:rsidR="002E30F6" w:rsidRPr="00D6167B" w14:paraId="5E07FB07" w14:textId="77777777" w:rsidTr="002C0B97">
        <w:trPr>
          <w:cantSplit/>
        </w:trPr>
        <w:tc>
          <w:tcPr>
            <w:tcW w:w="2970" w:type="dxa"/>
            <w:tcBorders>
              <w:top w:val="nil"/>
              <w:left w:val="single" w:sz="4" w:space="0" w:color="auto"/>
              <w:bottom w:val="nil"/>
            </w:tcBorders>
            <w:shd w:val="clear" w:color="auto" w:fill="auto"/>
          </w:tcPr>
          <w:p w14:paraId="3AA095D7" w14:textId="77777777" w:rsidR="002E30F6" w:rsidRPr="00D37692" w:rsidRDefault="002E30F6" w:rsidP="00D37692">
            <w:pPr>
              <w:pStyle w:val="Default"/>
              <w:rPr>
                <w:color w:val="auto"/>
                <w:sz w:val="22"/>
                <w:lang w:val="hr-HR"/>
              </w:rPr>
            </w:pPr>
            <w:r w:rsidRPr="00D37692">
              <w:rPr>
                <w:color w:val="auto"/>
                <w:sz w:val="22"/>
                <w:lang w:val="hr-HR"/>
              </w:rPr>
              <w:t xml:space="preserve">% pacijenata sa objektivnim odgovorom </w:t>
            </w:r>
          </w:p>
        </w:tc>
        <w:tc>
          <w:tcPr>
            <w:tcW w:w="2102" w:type="dxa"/>
            <w:tcBorders>
              <w:top w:val="nil"/>
              <w:bottom w:val="nil"/>
            </w:tcBorders>
            <w:shd w:val="clear" w:color="auto" w:fill="auto"/>
          </w:tcPr>
          <w:p w14:paraId="3DA13917" w14:textId="77777777" w:rsidR="002E30F6" w:rsidRPr="00D37692" w:rsidRDefault="002E30F6" w:rsidP="00D37692">
            <w:pPr>
              <w:pStyle w:val="Default"/>
              <w:jc w:val="center"/>
              <w:rPr>
                <w:color w:val="auto"/>
                <w:sz w:val="22"/>
                <w:lang w:val="hr-HR"/>
              </w:rPr>
            </w:pPr>
            <w:r w:rsidRPr="00D37692">
              <w:rPr>
                <w:color w:val="auto"/>
                <w:sz w:val="22"/>
                <w:lang w:val="hr-HR"/>
              </w:rPr>
              <w:t>63,4</w:t>
            </w:r>
          </w:p>
        </w:tc>
        <w:tc>
          <w:tcPr>
            <w:tcW w:w="2103" w:type="dxa"/>
            <w:tcBorders>
              <w:top w:val="nil"/>
              <w:bottom w:val="nil"/>
            </w:tcBorders>
            <w:shd w:val="clear" w:color="auto" w:fill="auto"/>
          </w:tcPr>
          <w:p w14:paraId="6D17F4FB" w14:textId="77777777" w:rsidR="002E30F6" w:rsidRPr="00D37692" w:rsidRDefault="002E30F6" w:rsidP="00D37692">
            <w:pPr>
              <w:pStyle w:val="Default"/>
              <w:jc w:val="center"/>
              <w:rPr>
                <w:color w:val="auto"/>
                <w:sz w:val="22"/>
                <w:lang w:val="hr-HR"/>
              </w:rPr>
            </w:pPr>
            <w:r w:rsidRPr="00D37692">
              <w:rPr>
                <w:color w:val="auto"/>
                <w:sz w:val="22"/>
                <w:lang w:val="hr-HR"/>
              </w:rPr>
              <w:t>66,2</w:t>
            </w:r>
          </w:p>
        </w:tc>
        <w:tc>
          <w:tcPr>
            <w:tcW w:w="2103" w:type="dxa"/>
            <w:tcBorders>
              <w:top w:val="nil"/>
              <w:bottom w:val="nil"/>
              <w:right w:val="single" w:sz="4" w:space="0" w:color="auto"/>
            </w:tcBorders>
            <w:shd w:val="clear" w:color="auto" w:fill="auto"/>
          </w:tcPr>
          <w:p w14:paraId="4B1E21EA" w14:textId="77777777" w:rsidR="002E30F6" w:rsidRPr="00D37692" w:rsidRDefault="002E30F6" w:rsidP="00D37692">
            <w:pPr>
              <w:pStyle w:val="Default"/>
              <w:jc w:val="center"/>
              <w:rPr>
                <w:color w:val="auto"/>
                <w:sz w:val="22"/>
                <w:lang w:val="hr-HR"/>
              </w:rPr>
            </w:pPr>
            <w:r w:rsidRPr="00D37692">
              <w:rPr>
                <w:color w:val="auto"/>
                <w:sz w:val="22"/>
                <w:lang w:val="hr-HR"/>
              </w:rPr>
              <w:t>66,0</w:t>
            </w:r>
          </w:p>
        </w:tc>
      </w:tr>
      <w:tr w:rsidR="002E30F6" w:rsidRPr="00D6167B" w14:paraId="3BFB26B6" w14:textId="77777777" w:rsidTr="002C0B97">
        <w:trPr>
          <w:cantSplit/>
        </w:trPr>
        <w:tc>
          <w:tcPr>
            <w:tcW w:w="2970" w:type="dxa"/>
            <w:tcBorders>
              <w:top w:val="nil"/>
              <w:left w:val="single" w:sz="4" w:space="0" w:color="auto"/>
            </w:tcBorders>
            <w:shd w:val="clear" w:color="auto" w:fill="auto"/>
          </w:tcPr>
          <w:p w14:paraId="73362065"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p>
        </w:tc>
        <w:tc>
          <w:tcPr>
            <w:tcW w:w="2102" w:type="dxa"/>
            <w:tcBorders>
              <w:top w:val="nil"/>
            </w:tcBorders>
            <w:shd w:val="clear" w:color="auto" w:fill="auto"/>
          </w:tcPr>
          <w:p w14:paraId="7E85AF42" w14:textId="77777777" w:rsidR="002E30F6" w:rsidRPr="00D6167B" w:rsidRDefault="002E30F6" w:rsidP="007608DF">
            <w:pPr>
              <w:widowControl/>
              <w:jc w:val="both"/>
              <w:rPr>
                <w:rFonts w:ascii="Times New Roman" w:eastAsia="Times New Roman" w:hAnsi="Times New Roman"/>
                <w:lang w:val="hr-HR"/>
              </w:rPr>
            </w:pPr>
          </w:p>
        </w:tc>
        <w:tc>
          <w:tcPr>
            <w:tcW w:w="2103" w:type="dxa"/>
            <w:tcBorders>
              <w:top w:val="nil"/>
            </w:tcBorders>
            <w:shd w:val="clear" w:color="auto" w:fill="auto"/>
          </w:tcPr>
          <w:p w14:paraId="69A17ED2" w14:textId="77777777" w:rsidR="002E30F6" w:rsidRPr="00D37692" w:rsidRDefault="002E30F6" w:rsidP="00D37692">
            <w:pPr>
              <w:pStyle w:val="Default"/>
              <w:jc w:val="center"/>
              <w:rPr>
                <w:color w:val="auto"/>
                <w:sz w:val="22"/>
                <w:lang w:val="hr-HR"/>
              </w:rPr>
            </w:pPr>
            <w:r w:rsidRPr="00D37692">
              <w:rPr>
                <w:color w:val="auto"/>
                <w:sz w:val="22"/>
                <w:lang w:val="hr-HR"/>
              </w:rPr>
              <w:t>0,2341</w:t>
            </w:r>
          </w:p>
        </w:tc>
        <w:tc>
          <w:tcPr>
            <w:tcW w:w="2103" w:type="dxa"/>
            <w:tcBorders>
              <w:top w:val="nil"/>
              <w:right w:val="single" w:sz="4" w:space="0" w:color="auto"/>
            </w:tcBorders>
            <w:shd w:val="clear" w:color="auto" w:fill="auto"/>
          </w:tcPr>
          <w:p w14:paraId="738B2443" w14:textId="77777777" w:rsidR="002E30F6" w:rsidRPr="00D37692" w:rsidRDefault="002E30F6" w:rsidP="00D37692">
            <w:pPr>
              <w:pStyle w:val="Default"/>
              <w:jc w:val="center"/>
              <w:rPr>
                <w:color w:val="auto"/>
                <w:sz w:val="22"/>
                <w:lang w:val="hr-HR"/>
              </w:rPr>
            </w:pPr>
            <w:r w:rsidRPr="00D37692">
              <w:rPr>
                <w:color w:val="auto"/>
                <w:sz w:val="22"/>
                <w:lang w:val="hr-HR"/>
              </w:rPr>
              <w:t>0,2041</w:t>
            </w:r>
          </w:p>
        </w:tc>
      </w:tr>
      <w:tr w:rsidR="002E30F6" w:rsidRPr="00D6167B" w14:paraId="483C3D18" w14:textId="77777777" w:rsidTr="002C0B97">
        <w:trPr>
          <w:cantSplit/>
        </w:trPr>
        <w:tc>
          <w:tcPr>
            <w:tcW w:w="9278" w:type="dxa"/>
            <w:gridSpan w:val="4"/>
            <w:tcBorders>
              <w:left w:val="single" w:sz="4" w:space="0" w:color="auto"/>
              <w:bottom w:val="single" w:sz="4" w:space="0" w:color="auto"/>
              <w:right w:val="single" w:sz="4" w:space="0" w:color="auto"/>
            </w:tcBorders>
            <w:shd w:val="clear" w:color="auto" w:fill="auto"/>
          </w:tcPr>
          <w:p w14:paraId="2D08DE13" w14:textId="77777777" w:rsidR="002E30F6" w:rsidRPr="00D37692" w:rsidRDefault="002E30F6" w:rsidP="00D37692">
            <w:pPr>
              <w:pStyle w:val="Default"/>
              <w:rPr>
                <w:color w:val="auto"/>
                <w:sz w:val="22"/>
                <w:lang w:val="hr-HR"/>
              </w:rPr>
            </w:pPr>
            <w:r w:rsidRPr="00D37692">
              <w:rPr>
                <w:color w:val="auto"/>
                <w:sz w:val="22"/>
                <w:lang w:val="hr-HR"/>
              </w:rPr>
              <w:t xml:space="preserve">Ukupno preživljavanje </w:t>
            </w:r>
            <w:r w:rsidRPr="00D37692">
              <w:rPr>
                <w:color w:val="auto"/>
                <w:sz w:val="22"/>
                <w:vertAlign w:val="superscript"/>
                <w:lang w:val="hr-HR"/>
              </w:rPr>
              <w:t>6</w:t>
            </w:r>
          </w:p>
        </w:tc>
      </w:tr>
      <w:tr w:rsidR="002E30F6" w:rsidRPr="00D6167B" w14:paraId="4223346D" w14:textId="77777777" w:rsidTr="002C0B97">
        <w:trPr>
          <w:cantSplit/>
        </w:trPr>
        <w:tc>
          <w:tcPr>
            <w:tcW w:w="2970" w:type="dxa"/>
            <w:tcBorders>
              <w:left w:val="single" w:sz="4" w:space="0" w:color="auto"/>
              <w:bottom w:val="nil"/>
            </w:tcBorders>
            <w:shd w:val="clear" w:color="auto" w:fill="auto"/>
          </w:tcPr>
          <w:p w14:paraId="4A00926B" w14:textId="77777777" w:rsidR="002E30F6" w:rsidRPr="00D37692" w:rsidRDefault="002E30F6" w:rsidP="007608DF">
            <w:pPr>
              <w:pStyle w:val="Default"/>
              <w:jc w:val="both"/>
              <w:rPr>
                <w:color w:val="auto"/>
                <w:sz w:val="22"/>
                <w:lang w:val="hr-HR"/>
              </w:rPr>
            </w:pPr>
          </w:p>
        </w:tc>
        <w:tc>
          <w:tcPr>
            <w:tcW w:w="2102" w:type="dxa"/>
            <w:tcBorders>
              <w:bottom w:val="nil"/>
            </w:tcBorders>
            <w:shd w:val="clear" w:color="auto" w:fill="auto"/>
          </w:tcPr>
          <w:p w14:paraId="12FDDE67" w14:textId="77777777" w:rsidR="002E30F6" w:rsidRPr="00D37692" w:rsidRDefault="002E30F6" w:rsidP="00D37692">
            <w:pPr>
              <w:pStyle w:val="Default"/>
              <w:jc w:val="center"/>
              <w:rPr>
                <w:color w:val="auto"/>
                <w:sz w:val="22"/>
                <w:lang w:val="hr-HR"/>
              </w:rPr>
            </w:pPr>
            <w:r w:rsidRPr="00D37692">
              <w:rPr>
                <w:color w:val="auto"/>
                <w:sz w:val="22"/>
                <w:lang w:val="hr-HR"/>
              </w:rPr>
              <w:t>CPP</w:t>
            </w:r>
          </w:p>
        </w:tc>
        <w:tc>
          <w:tcPr>
            <w:tcW w:w="2103" w:type="dxa"/>
            <w:tcBorders>
              <w:bottom w:val="nil"/>
            </w:tcBorders>
            <w:shd w:val="clear" w:color="auto" w:fill="auto"/>
          </w:tcPr>
          <w:p w14:paraId="3049CC7E" w14:textId="77777777" w:rsidR="002E30F6" w:rsidRPr="00D37692" w:rsidRDefault="002E30F6" w:rsidP="00D37692">
            <w:pPr>
              <w:pStyle w:val="Defaul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1A36C4A9" w14:textId="77777777" w:rsidR="002E30F6" w:rsidRPr="00D37692" w:rsidRDefault="002E30F6" w:rsidP="00D37692">
            <w:pPr>
              <w:pStyle w:val="Default"/>
              <w:jc w:val="center"/>
              <w:rPr>
                <w:color w:val="auto"/>
                <w:sz w:val="22"/>
                <w:lang w:val="hr-HR"/>
              </w:rPr>
            </w:pPr>
            <w:r w:rsidRPr="00D37692">
              <w:rPr>
                <w:color w:val="auto"/>
                <w:sz w:val="22"/>
                <w:lang w:val="hr-HR"/>
              </w:rPr>
              <w:t>CPB15+</w:t>
            </w:r>
          </w:p>
        </w:tc>
      </w:tr>
      <w:tr w:rsidR="002E30F6" w:rsidRPr="00D6167B" w14:paraId="476CD67E" w14:textId="77777777" w:rsidTr="002C0B97">
        <w:trPr>
          <w:cantSplit/>
        </w:trPr>
        <w:tc>
          <w:tcPr>
            <w:tcW w:w="2970" w:type="dxa"/>
            <w:tcBorders>
              <w:top w:val="nil"/>
              <w:left w:val="single" w:sz="4" w:space="0" w:color="auto"/>
              <w:bottom w:val="nil"/>
            </w:tcBorders>
            <w:shd w:val="clear" w:color="auto" w:fill="auto"/>
          </w:tcPr>
          <w:p w14:paraId="5B9F19CE"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nil"/>
              <w:bottom w:val="nil"/>
            </w:tcBorders>
            <w:shd w:val="clear" w:color="auto" w:fill="auto"/>
          </w:tcPr>
          <w:p w14:paraId="01ADD65F" w14:textId="77777777" w:rsidR="002E30F6" w:rsidRPr="00D37692" w:rsidRDefault="002E30F6" w:rsidP="00D37692">
            <w:pPr>
              <w:pStyle w:val="Default"/>
              <w:jc w:val="center"/>
              <w:rPr>
                <w:color w:val="auto"/>
                <w:sz w:val="22"/>
                <w:lang w:val="hr-HR"/>
              </w:rPr>
            </w:pPr>
            <w:r w:rsidRPr="00D37692">
              <w:rPr>
                <w:color w:val="auto"/>
                <w:sz w:val="22"/>
                <w:lang w:val="hr-HR"/>
              </w:rPr>
              <w:t>(n=625)</w:t>
            </w:r>
          </w:p>
        </w:tc>
        <w:tc>
          <w:tcPr>
            <w:tcW w:w="2103" w:type="dxa"/>
            <w:tcBorders>
              <w:top w:val="nil"/>
              <w:bottom w:val="nil"/>
            </w:tcBorders>
            <w:shd w:val="clear" w:color="auto" w:fill="auto"/>
          </w:tcPr>
          <w:p w14:paraId="0505A886" w14:textId="77777777" w:rsidR="002E30F6" w:rsidRPr="00D37692" w:rsidRDefault="002E30F6" w:rsidP="00D37692">
            <w:pPr>
              <w:pStyle w:val="Default"/>
              <w:jc w:val="center"/>
              <w:rPr>
                <w:color w:val="auto"/>
                <w:sz w:val="22"/>
                <w:lang w:val="hr-HR"/>
              </w:rPr>
            </w:pPr>
            <w:r w:rsidRPr="00D37692">
              <w:rPr>
                <w:color w:val="auto"/>
                <w:sz w:val="22"/>
                <w:lang w:val="hr-HR"/>
              </w:rPr>
              <w:t>(n=625)</w:t>
            </w:r>
          </w:p>
        </w:tc>
        <w:tc>
          <w:tcPr>
            <w:tcW w:w="2103" w:type="dxa"/>
            <w:tcBorders>
              <w:top w:val="nil"/>
              <w:bottom w:val="nil"/>
              <w:right w:val="single" w:sz="4" w:space="0" w:color="auto"/>
            </w:tcBorders>
            <w:shd w:val="clear" w:color="auto" w:fill="auto"/>
          </w:tcPr>
          <w:p w14:paraId="451EBE06" w14:textId="77777777" w:rsidR="002E30F6" w:rsidRPr="00D37692" w:rsidRDefault="002E30F6" w:rsidP="00D37692">
            <w:pPr>
              <w:pStyle w:val="Default"/>
              <w:jc w:val="center"/>
              <w:rPr>
                <w:color w:val="auto"/>
                <w:sz w:val="22"/>
                <w:lang w:val="hr-HR"/>
              </w:rPr>
            </w:pPr>
            <w:r w:rsidRPr="00D37692">
              <w:rPr>
                <w:color w:val="auto"/>
                <w:sz w:val="22"/>
                <w:lang w:val="hr-HR"/>
              </w:rPr>
              <w:t>(n=623)</w:t>
            </w:r>
          </w:p>
        </w:tc>
      </w:tr>
      <w:tr w:rsidR="002E30F6" w:rsidRPr="00D6167B" w14:paraId="273959ED" w14:textId="77777777" w:rsidTr="002C0B97">
        <w:trPr>
          <w:cantSplit/>
        </w:trPr>
        <w:tc>
          <w:tcPr>
            <w:tcW w:w="2970" w:type="dxa"/>
            <w:tcBorders>
              <w:top w:val="nil"/>
              <w:left w:val="single" w:sz="4" w:space="0" w:color="auto"/>
              <w:bottom w:val="nil"/>
            </w:tcBorders>
            <w:shd w:val="clear" w:color="auto" w:fill="auto"/>
          </w:tcPr>
          <w:p w14:paraId="356D8707"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OS (mjeseci) </w:t>
            </w:r>
          </w:p>
        </w:tc>
        <w:tc>
          <w:tcPr>
            <w:tcW w:w="2102" w:type="dxa"/>
            <w:tcBorders>
              <w:top w:val="nil"/>
              <w:bottom w:val="nil"/>
            </w:tcBorders>
            <w:shd w:val="clear" w:color="auto" w:fill="auto"/>
          </w:tcPr>
          <w:p w14:paraId="45E1D68F" w14:textId="77777777" w:rsidR="002E30F6" w:rsidRPr="00D37692" w:rsidRDefault="002E30F6" w:rsidP="00D37692">
            <w:pPr>
              <w:pStyle w:val="Default"/>
              <w:jc w:val="center"/>
              <w:rPr>
                <w:color w:val="auto"/>
                <w:sz w:val="22"/>
                <w:lang w:val="hr-HR"/>
              </w:rPr>
            </w:pPr>
            <w:r w:rsidRPr="00D37692">
              <w:rPr>
                <w:color w:val="auto"/>
                <w:sz w:val="22"/>
                <w:lang w:val="hr-HR"/>
              </w:rPr>
              <w:t>40,6</w:t>
            </w:r>
          </w:p>
        </w:tc>
        <w:tc>
          <w:tcPr>
            <w:tcW w:w="2103" w:type="dxa"/>
            <w:tcBorders>
              <w:top w:val="nil"/>
              <w:bottom w:val="nil"/>
            </w:tcBorders>
            <w:shd w:val="clear" w:color="auto" w:fill="auto"/>
          </w:tcPr>
          <w:p w14:paraId="03F0FC93" w14:textId="77777777" w:rsidR="002E30F6" w:rsidRPr="00D37692" w:rsidRDefault="002E30F6" w:rsidP="00D37692">
            <w:pPr>
              <w:pStyle w:val="Default"/>
              <w:jc w:val="center"/>
              <w:rPr>
                <w:color w:val="auto"/>
                <w:sz w:val="22"/>
                <w:lang w:val="hr-HR"/>
              </w:rPr>
            </w:pPr>
            <w:r w:rsidRPr="00D37692">
              <w:rPr>
                <w:color w:val="auto"/>
                <w:sz w:val="22"/>
                <w:lang w:val="hr-HR"/>
              </w:rPr>
              <w:t>38,8</w:t>
            </w:r>
          </w:p>
        </w:tc>
        <w:tc>
          <w:tcPr>
            <w:tcW w:w="2103" w:type="dxa"/>
            <w:tcBorders>
              <w:top w:val="nil"/>
              <w:bottom w:val="nil"/>
              <w:right w:val="single" w:sz="4" w:space="0" w:color="auto"/>
            </w:tcBorders>
            <w:shd w:val="clear" w:color="auto" w:fill="auto"/>
          </w:tcPr>
          <w:p w14:paraId="4F1657F6" w14:textId="77777777" w:rsidR="002E30F6" w:rsidRPr="00D37692" w:rsidRDefault="002E30F6" w:rsidP="00D37692">
            <w:pPr>
              <w:pStyle w:val="Default"/>
              <w:jc w:val="center"/>
              <w:rPr>
                <w:color w:val="auto"/>
                <w:sz w:val="22"/>
                <w:lang w:val="hr-HR"/>
              </w:rPr>
            </w:pPr>
            <w:r w:rsidRPr="00D37692">
              <w:rPr>
                <w:color w:val="auto"/>
                <w:sz w:val="22"/>
                <w:lang w:val="hr-HR"/>
              </w:rPr>
              <w:t>43,8</w:t>
            </w:r>
          </w:p>
        </w:tc>
      </w:tr>
      <w:tr w:rsidR="002E30F6" w:rsidRPr="00D6167B" w14:paraId="3BF6E796" w14:textId="77777777" w:rsidTr="002C0B97">
        <w:trPr>
          <w:cantSplit/>
        </w:trPr>
        <w:tc>
          <w:tcPr>
            <w:tcW w:w="2970" w:type="dxa"/>
            <w:tcBorders>
              <w:top w:val="nil"/>
              <w:left w:val="single" w:sz="4" w:space="0" w:color="auto"/>
              <w:bottom w:val="nil"/>
            </w:tcBorders>
            <w:shd w:val="clear" w:color="auto" w:fill="auto"/>
          </w:tcPr>
          <w:p w14:paraId="5E3B9F9B"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2</w:t>
            </w:r>
          </w:p>
        </w:tc>
        <w:tc>
          <w:tcPr>
            <w:tcW w:w="2102" w:type="dxa"/>
            <w:tcBorders>
              <w:top w:val="nil"/>
              <w:bottom w:val="nil"/>
            </w:tcBorders>
            <w:shd w:val="clear" w:color="auto" w:fill="auto"/>
          </w:tcPr>
          <w:p w14:paraId="3066D43A"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bottom w:val="nil"/>
            </w:tcBorders>
            <w:shd w:val="clear" w:color="auto" w:fill="auto"/>
          </w:tcPr>
          <w:p w14:paraId="73E88384" w14:textId="77777777" w:rsidR="002E30F6" w:rsidRPr="00D37692" w:rsidRDefault="002E30F6" w:rsidP="00D37692">
            <w:pPr>
              <w:pStyle w:val="Default"/>
              <w:jc w:val="center"/>
              <w:rPr>
                <w:color w:val="auto"/>
                <w:sz w:val="22"/>
                <w:lang w:val="hr-HR"/>
              </w:rPr>
            </w:pPr>
            <w:r w:rsidRPr="00D37692">
              <w:rPr>
                <w:color w:val="auto"/>
                <w:sz w:val="22"/>
                <w:lang w:val="hr-HR"/>
              </w:rPr>
              <w:t>1,07 (0,91; 1,25)</w:t>
            </w:r>
          </w:p>
        </w:tc>
        <w:tc>
          <w:tcPr>
            <w:tcW w:w="2103" w:type="dxa"/>
            <w:tcBorders>
              <w:top w:val="nil"/>
              <w:bottom w:val="nil"/>
              <w:right w:val="single" w:sz="4" w:space="0" w:color="auto"/>
            </w:tcBorders>
            <w:shd w:val="clear" w:color="auto" w:fill="auto"/>
          </w:tcPr>
          <w:p w14:paraId="3A0A65F9" w14:textId="77777777" w:rsidR="002E30F6" w:rsidRPr="00D37692" w:rsidRDefault="002E30F6" w:rsidP="00D37692">
            <w:pPr>
              <w:pStyle w:val="Default"/>
              <w:jc w:val="center"/>
              <w:rPr>
                <w:color w:val="auto"/>
                <w:sz w:val="22"/>
                <w:lang w:val="hr-HR"/>
              </w:rPr>
            </w:pPr>
            <w:r w:rsidRPr="00D37692">
              <w:rPr>
                <w:color w:val="auto"/>
                <w:sz w:val="22"/>
                <w:lang w:val="hr-HR"/>
              </w:rPr>
              <w:t>0,88 (0,75; 1,04)</w:t>
            </w:r>
          </w:p>
        </w:tc>
      </w:tr>
      <w:tr w:rsidR="002E30F6" w:rsidRPr="00D6167B" w14:paraId="651BA705" w14:textId="77777777" w:rsidTr="002C0B97">
        <w:trPr>
          <w:cantSplit/>
        </w:trPr>
        <w:tc>
          <w:tcPr>
            <w:tcW w:w="2970" w:type="dxa"/>
            <w:tcBorders>
              <w:top w:val="nil"/>
              <w:left w:val="single" w:sz="4" w:space="0" w:color="auto"/>
              <w:bottom w:val="single" w:sz="4" w:space="0" w:color="auto"/>
            </w:tcBorders>
            <w:shd w:val="clear" w:color="auto" w:fill="auto"/>
          </w:tcPr>
          <w:p w14:paraId="0A1F2F13"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r w:rsidRPr="00D37692">
              <w:rPr>
                <w:color w:val="auto"/>
                <w:sz w:val="22"/>
                <w:vertAlign w:val="superscript"/>
                <w:lang w:val="hr-HR"/>
              </w:rPr>
              <w:t>3</w:t>
            </w:r>
          </w:p>
        </w:tc>
        <w:tc>
          <w:tcPr>
            <w:tcW w:w="2102" w:type="dxa"/>
            <w:tcBorders>
              <w:top w:val="nil"/>
              <w:bottom w:val="single" w:sz="4" w:space="0" w:color="auto"/>
            </w:tcBorders>
            <w:shd w:val="clear" w:color="auto" w:fill="auto"/>
          </w:tcPr>
          <w:p w14:paraId="695DAD9D" w14:textId="77777777" w:rsidR="002E30F6" w:rsidRPr="00D6167B" w:rsidRDefault="002E30F6" w:rsidP="007608DF">
            <w:pPr>
              <w:widowControl/>
              <w:jc w:val="both"/>
              <w:rPr>
                <w:rFonts w:ascii="Times New Roman" w:eastAsia="Times New Roman" w:hAnsi="Times New Roman"/>
                <w:lang w:val="hr-HR"/>
              </w:rPr>
            </w:pPr>
          </w:p>
        </w:tc>
        <w:tc>
          <w:tcPr>
            <w:tcW w:w="2103" w:type="dxa"/>
            <w:tcBorders>
              <w:top w:val="nil"/>
              <w:bottom w:val="single" w:sz="4" w:space="0" w:color="auto"/>
            </w:tcBorders>
            <w:shd w:val="clear" w:color="auto" w:fill="auto"/>
          </w:tcPr>
          <w:p w14:paraId="49DA4557" w14:textId="77777777" w:rsidR="002E30F6" w:rsidRPr="00D37692" w:rsidRDefault="002E30F6" w:rsidP="00D37692">
            <w:pPr>
              <w:pStyle w:val="Default"/>
              <w:jc w:val="center"/>
              <w:rPr>
                <w:color w:val="auto"/>
                <w:sz w:val="22"/>
                <w:lang w:val="hr-HR"/>
              </w:rPr>
            </w:pPr>
            <w:r w:rsidRPr="00D37692">
              <w:rPr>
                <w:color w:val="auto"/>
                <w:sz w:val="22"/>
                <w:lang w:val="hr-HR"/>
              </w:rPr>
              <w:t>0,2197</w:t>
            </w:r>
          </w:p>
        </w:tc>
        <w:tc>
          <w:tcPr>
            <w:tcW w:w="2103" w:type="dxa"/>
            <w:tcBorders>
              <w:top w:val="nil"/>
              <w:bottom w:val="single" w:sz="4" w:space="0" w:color="auto"/>
              <w:right w:val="single" w:sz="4" w:space="0" w:color="auto"/>
            </w:tcBorders>
            <w:shd w:val="clear" w:color="auto" w:fill="auto"/>
          </w:tcPr>
          <w:p w14:paraId="55A2E442" w14:textId="77777777" w:rsidR="002E30F6" w:rsidRPr="00D37692" w:rsidRDefault="002E30F6" w:rsidP="00D37692">
            <w:pPr>
              <w:pStyle w:val="Default"/>
              <w:jc w:val="center"/>
              <w:rPr>
                <w:color w:val="auto"/>
                <w:sz w:val="22"/>
                <w:lang w:val="hr-HR"/>
              </w:rPr>
            </w:pPr>
            <w:r w:rsidRPr="00D37692">
              <w:rPr>
                <w:color w:val="auto"/>
                <w:sz w:val="22"/>
                <w:lang w:val="hr-HR"/>
              </w:rPr>
              <w:t>0,0641</w:t>
            </w:r>
          </w:p>
        </w:tc>
      </w:tr>
    </w:tbl>
    <w:p w14:paraId="70E34BFF"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1</w:t>
      </w:r>
      <w:r w:rsidRPr="00D6167B">
        <w:rPr>
          <w:rFonts w:ascii="Times New Roman"/>
          <w:sz w:val="20"/>
          <w:lang w:val="hr-HR"/>
        </w:rPr>
        <w:t xml:space="preserve"> </w:t>
      </w:r>
      <w:r w:rsidRPr="00D6167B">
        <w:rPr>
          <w:rFonts w:ascii="Times New Roman"/>
          <w:sz w:val="20"/>
          <w:lang w:val="hr-HR"/>
        </w:rPr>
        <w:tab/>
        <w:t>Istra</w:t>
      </w:r>
      <w:r w:rsidRPr="00D6167B">
        <w:rPr>
          <w:rFonts w:ascii="Times New Roman"/>
          <w:sz w:val="20"/>
          <w:lang w:val="hr-HR"/>
        </w:rPr>
        <w:t>ž</w:t>
      </w:r>
      <w:r w:rsidRPr="00D6167B">
        <w:rPr>
          <w:rFonts w:ascii="Times New Roman"/>
          <w:sz w:val="20"/>
          <w:lang w:val="hr-HR"/>
        </w:rPr>
        <w:t>iva</w:t>
      </w:r>
      <w:r w:rsidRPr="00D6167B">
        <w:rPr>
          <w:rFonts w:ascii="Times New Roman"/>
          <w:sz w:val="20"/>
          <w:lang w:val="hr-HR"/>
        </w:rPr>
        <w:t>č</w:t>
      </w:r>
      <w:r w:rsidRPr="00D6167B">
        <w:rPr>
          <w:rFonts w:ascii="Times New Roman"/>
          <w:sz w:val="20"/>
          <w:lang w:val="hr-HR"/>
        </w:rPr>
        <w:t>i su procjenjivali PFS specificiran u GOG protokolu (nije bilo cenzure za CA-125 progresiju ni za NPT prije progresije bolesti) sa datumom presjeka za podatke 25. februara 2010.</w:t>
      </w:r>
    </w:p>
    <w:p w14:paraId="5AE76607"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2</w:t>
      </w:r>
      <w:r w:rsidRPr="00D6167B">
        <w:rPr>
          <w:rFonts w:ascii="Times New Roman"/>
          <w:sz w:val="20"/>
          <w:lang w:val="hr-HR"/>
        </w:rPr>
        <w:t xml:space="preserve"> </w:t>
      </w:r>
      <w:r w:rsidRPr="00D6167B">
        <w:rPr>
          <w:rFonts w:ascii="Times New Roman"/>
          <w:sz w:val="20"/>
          <w:lang w:val="hr-HR"/>
        </w:rPr>
        <w:tab/>
        <w:t>U odnosu na kontrolnu grupu, stratifikovani odnos rizika.</w:t>
      </w:r>
    </w:p>
    <w:p w14:paraId="7A420610"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3</w:t>
      </w:r>
      <w:r w:rsidRPr="00D6167B">
        <w:rPr>
          <w:rFonts w:ascii="Times New Roman"/>
          <w:sz w:val="20"/>
          <w:lang w:val="hr-HR"/>
        </w:rPr>
        <w:t xml:space="preserve"> </w:t>
      </w:r>
      <w:r w:rsidRPr="00D6167B">
        <w:rPr>
          <w:rFonts w:ascii="Times New Roman"/>
          <w:sz w:val="20"/>
          <w:lang w:val="hr-HR"/>
        </w:rPr>
        <w:tab/>
        <w:t>Jednostrana log-rank vrijednost p</w:t>
      </w:r>
    </w:p>
    <w:p w14:paraId="51EF86C0"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4</w:t>
      </w:r>
      <w:r w:rsidRPr="00D6167B">
        <w:rPr>
          <w:rFonts w:ascii="Times New Roman"/>
          <w:sz w:val="20"/>
          <w:lang w:val="hr-HR"/>
        </w:rPr>
        <w:t xml:space="preserve"> </w:t>
      </w:r>
      <w:r w:rsidRPr="00D6167B">
        <w:rPr>
          <w:rFonts w:ascii="Times New Roman"/>
          <w:sz w:val="20"/>
          <w:lang w:val="hr-HR"/>
        </w:rPr>
        <w:tab/>
        <w:t>Podlije</w:t>
      </w:r>
      <w:r w:rsidRPr="00D6167B">
        <w:rPr>
          <w:rFonts w:ascii="Times New Roman"/>
          <w:sz w:val="20"/>
          <w:lang w:val="hr-HR"/>
        </w:rPr>
        <w:t>ž</w:t>
      </w:r>
      <w:r w:rsidRPr="00D6167B">
        <w:rPr>
          <w:rFonts w:ascii="Times New Roman"/>
          <w:sz w:val="20"/>
          <w:lang w:val="hr-HR"/>
        </w:rPr>
        <w:t>e granici vrijednosti p od 0,0116.</w:t>
      </w:r>
    </w:p>
    <w:p w14:paraId="6D11662A"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 xml:space="preserve">5 </w:t>
      </w:r>
      <w:r w:rsidRPr="00D6167B">
        <w:rPr>
          <w:rFonts w:ascii="Times New Roman"/>
          <w:sz w:val="20"/>
          <w:lang w:val="hr-HR"/>
        </w:rPr>
        <w:tab/>
        <w:t>Pacijenti sa mjerljivom bole</w:t>
      </w:r>
      <w:r w:rsidRPr="00D6167B">
        <w:rPr>
          <w:rFonts w:ascii="Times New Roman"/>
          <w:sz w:val="20"/>
          <w:lang w:val="hr-HR"/>
        </w:rPr>
        <w:t>šć</w:t>
      </w:r>
      <w:r w:rsidRPr="00D6167B">
        <w:rPr>
          <w:rFonts w:ascii="Times New Roman"/>
          <w:sz w:val="20"/>
          <w:lang w:val="hr-HR"/>
        </w:rPr>
        <w:t>u na po</w:t>
      </w:r>
      <w:r w:rsidRPr="00D6167B">
        <w:rPr>
          <w:rFonts w:ascii="Times New Roman"/>
          <w:sz w:val="20"/>
          <w:lang w:val="hr-HR"/>
        </w:rPr>
        <w:t>č</w:t>
      </w:r>
      <w:r w:rsidRPr="00D6167B">
        <w:rPr>
          <w:rFonts w:ascii="Times New Roman"/>
          <w:sz w:val="20"/>
          <w:lang w:val="hr-HR"/>
        </w:rPr>
        <w:t>etnom nivou.</w:t>
      </w:r>
    </w:p>
    <w:p w14:paraId="4F89411C" w14:textId="77777777" w:rsidR="002E30F6" w:rsidRPr="00D6167B" w:rsidRDefault="002E30F6" w:rsidP="007608DF">
      <w:pPr>
        <w:widowControl/>
        <w:ind w:left="288" w:hanging="288"/>
        <w:jc w:val="both"/>
        <w:rPr>
          <w:rFonts w:ascii="Times New Roman"/>
          <w:spacing w:val="-1"/>
          <w:sz w:val="20"/>
          <w:szCs w:val="20"/>
          <w:lang w:val="hr-HR"/>
        </w:rPr>
      </w:pPr>
      <w:r w:rsidRPr="00D6167B">
        <w:rPr>
          <w:rFonts w:ascii="Times New Roman"/>
          <w:sz w:val="20"/>
          <w:vertAlign w:val="superscript"/>
          <w:lang w:val="hr-HR"/>
        </w:rPr>
        <w:t>6</w:t>
      </w:r>
      <w:r w:rsidRPr="00D6167B">
        <w:rPr>
          <w:rFonts w:ascii="Times New Roman"/>
          <w:sz w:val="20"/>
          <w:lang w:val="hr-HR"/>
        </w:rPr>
        <w:t xml:space="preserve"> </w:t>
      </w:r>
      <w:r w:rsidRPr="00D6167B">
        <w:rPr>
          <w:rFonts w:ascii="Times New Roman"/>
          <w:sz w:val="20"/>
          <w:lang w:val="hr-HR"/>
        </w:rPr>
        <w:tab/>
        <w:t>Finalna analiza ukupnog pre</w:t>
      </w:r>
      <w:r w:rsidRPr="00D6167B">
        <w:rPr>
          <w:rFonts w:ascii="Times New Roman"/>
          <w:sz w:val="20"/>
          <w:lang w:val="hr-HR"/>
        </w:rPr>
        <w:t>ž</w:t>
      </w:r>
      <w:r w:rsidRPr="00D6167B">
        <w:rPr>
          <w:rFonts w:ascii="Times New Roman"/>
          <w:sz w:val="20"/>
          <w:lang w:val="hr-HR"/>
        </w:rPr>
        <w:t>ivljavanja je sprovedena kada je kod 46,9% pacijenata zabilje</w:t>
      </w:r>
      <w:r w:rsidRPr="00D6167B">
        <w:rPr>
          <w:rFonts w:ascii="Times New Roman"/>
          <w:sz w:val="20"/>
          <w:lang w:val="hr-HR"/>
        </w:rPr>
        <w:t>ž</w:t>
      </w:r>
      <w:r w:rsidRPr="00D6167B">
        <w:rPr>
          <w:rFonts w:ascii="Times New Roman"/>
          <w:sz w:val="20"/>
          <w:lang w:val="hr-HR"/>
        </w:rPr>
        <w:t>en smrtni ishod.</w:t>
      </w:r>
    </w:p>
    <w:p w14:paraId="5F939FB8" w14:textId="77777777" w:rsidR="002E30F6" w:rsidRPr="00D6167B" w:rsidRDefault="002E30F6" w:rsidP="007608DF">
      <w:pPr>
        <w:widowControl/>
        <w:jc w:val="both"/>
        <w:rPr>
          <w:rFonts w:ascii="Times New Roman" w:eastAsia="Times New Roman" w:hAnsi="Times New Roman"/>
          <w:lang w:val="hr-HR"/>
        </w:rPr>
      </w:pPr>
    </w:p>
    <w:p w14:paraId="3D6339CC" w14:textId="77777777" w:rsidR="002E30F6" w:rsidRPr="00D6167B" w:rsidRDefault="002E30F6" w:rsidP="007608DF">
      <w:pPr>
        <w:pStyle w:val="BodyText"/>
        <w:widowControl/>
        <w:ind w:left="0"/>
        <w:jc w:val="both"/>
        <w:rPr>
          <w:lang w:val="hr-HR"/>
        </w:rPr>
      </w:pPr>
      <w:r w:rsidRPr="00D6167B">
        <w:rPr>
          <w:lang w:val="hr-HR"/>
        </w:rPr>
        <w:t>Prethodno definisane PFS analize su izvršene sa datumom presjeka 29. septembra 2009. Rezultati ovih analiza su sljedeći:</w:t>
      </w:r>
    </w:p>
    <w:p w14:paraId="22AD2CCA" w14:textId="77777777" w:rsidR="002E30F6" w:rsidRPr="00D6167B" w:rsidRDefault="002E30F6" w:rsidP="007608DF">
      <w:pPr>
        <w:widowControl/>
        <w:jc w:val="both"/>
        <w:rPr>
          <w:rFonts w:ascii="Times New Roman" w:eastAsia="Times New Roman" w:hAnsi="Times New Roman"/>
          <w:lang w:val="hr-HR"/>
        </w:rPr>
      </w:pPr>
    </w:p>
    <w:p w14:paraId="689C0783" w14:textId="77777777" w:rsidR="002E30F6" w:rsidRPr="00D6167B" w:rsidRDefault="002E30F6" w:rsidP="007608DF">
      <w:pPr>
        <w:pStyle w:val="BodyText"/>
        <w:widowControl/>
        <w:numPr>
          <w:ilvl w:val="2"/>
          <w:numId w:val="33"/>
        </w:numPr>
        <w:ind w:left="562" w:hanging="562"/>
        <w:jc w:val="both"/>
        <w:rPr>
          <w:lang w:val="hr-HR"/>
        </w:rPr>
      </w:pPr>
      <w:r w:rsidRPr="00D6167B">
        <w:rPr>
          <w:lang w:val="hr-HR"/>
        </w:rPr>
        <w:t>Protokolom definisana analiza PFS koji su procjenjivali istraživači (bez cenzurisanja progresije na osnovu CA</w:t>
      </w:r>
      <w:r w:rsidRPr="00D6167B">
        <w:rPr>
          <w:lang w:val="hr-HR"/>
        </w:rPr>
        <w:noBreakHyphen/>
        <w:t xml:space="preserve">125 ili terapije koja nije bila po protokolu [NPT]), pokazala je stratifikovan odnos rizika od 0,71 (95% CI: 0,61–0,83, jednostrana log-rank vrijednost p &lt;0,0001) kada je </w:t>
      </w:r>
      <w:r w:rsidR="007907BF" w:rsidRPr="00D6167B">
        <w:rPr>
          <w:lang w:val="hr-HR"/>
        </w:rPr>
        <w:t xml:space="preserve">grupa </w:t>
      </w:r>
      <w:r w:rsidRPr="00D6167B">
        <w:rPr>
          <w:lang w:val="hr-HR"/>
        </w:rPr>
        <w:lastRenderedPageBreak/>
        <w:t>CPB15+ poređen</w:t>
      </w:r>
      <w:r w:rsidR="00950CD9" w:rsidRPr="00D6167B">
        <w:rPr>
          <w:lang w:val="hr-HR"/>
        </w:rPr>
        <w:t>a</w:t>
      </w:r>
      <w:r w:rsidRPr="00D6167B">
        <w:rPr>
          <w:lang w:val="hr-HR"/>
        </w:rPr>
        <w:t xml:space="preserve"> sa CPP, sa srednjom vrijednošću za PFS 10,4 mjeseci u CPP </w:t>
      </w:r>
      <w:r w:rsidR="00950CD9" w:rsidRPr="00D6167B">
        <w:rPr>
          <w:lang w:val="hr-HR"/>
        </w:rPr>
        <w:t xml:space="preserve">grupi </w:t>
      </w:r>
      <w:r w:rsidRPr="00D6167B">
        <w:rPr>
          <w:lang w:val="hr-HR"/>
        </w:rPr>
        <w:t xml:space="preserve">i 14,1 mjeseci u CPB15+ </w:t>
      </w:r>
      <w:r w:rsidR="00950CD9" w:rsidRPr="00D6167B">
        <w:rPr>
          <w:lang w:val="hr-HR"/>
        </w:rPr>
        <w:t>grupi</w:t>
      </w:r>
      <w:r w:rsidRPr="00D6167B">
        <w:rPr>
          <w:lang w:val="hr-HR"/>
        </w:rPr>
        <w:t>.</w:t>
      </w:r>
    </w:p>
    <w:p w14:paraId="44D92D64" w14:textId="77777777" w:rsidR="002E30F6" w:rsidRPr="00D6167B" w:rsidRDefault="002E30F6" w:rsidP="007608DF">
      <w:pPr>
        <w:widowControl/>
        <w:ind w:left="562" w:hanging="562"/>
        <w:jc w:val="both"/>
        <w:rPr>
          <w:rFonts w:ascii="Times New Roman" w:eastAsia="Times New Roman" w:hAnsi="Times New Roman"/>
          <w:lang w:val="hr-HR"/>
        </w:rPr>
      </w:pPr>
    </w:p>
    <w:p w14:paraId="5AAF3862" w14:textId="77777777" w:rsidR="002E30F6" w:rsidRPr="00D6167B" w:rsidRDefault="002E30F6" w:rsidP="007608DF">
      <w:pPr>
        <w:pStyle w:val="BodyText"/>
        <w:widowControl/>
        <w:numPr>
          <w:ilvl w:val="2"/>
          <w:numId w:val="33"/>
        </w:numPr>
        <w:ind w:left="562" w:hanging="562"/>
        <w:jc w:val="both"/>
        <w:rPr>
          <w:lang w:val="hr-HR"/>
        </w:rPr>
      </w:pPr>
      <w:r w:rsidRPr="00D6167B">
        <w:rPr>
          <w:lang w:val="hr-HR"/>
        </w:rPr>
        <w:t xml:space="preserve">Primarna analiza PFS koji su procjenjivali istraživači (bez cenzurisanja progresije na osnovu CA-125 ili NPT terapije), pokazala je stratifikovan odnos rizika od 0,62 (95% CI: 0,52–0,75, jednostrana log-rank vrijednost p &lt;0,0001) kada je </w:t>
      </w:r>
      <w:r w:rsidR="00950CD9" w:rsidRPr="00D6167B">
        <w:rPr>
          <w:lang w:val="hr-HR"/>
        </w:rPr>
        <w:t xml:space="preserve">grupa </w:t>
      </w:r>
      <w:r w:rsidRPr="00D6167B">
        <w:rPr>
          <w:lang w:val="hr-HR"/>
        </w:rPr>
        <w:t>CPB15+ poređen</w:t>
      </w:r>
      <w:r w:rsidR="00950CD9" w:rsidRPr="00D6167B">
        <w:rPr>
          <w:lang w:val="hr-HR"/>
        </w:rPr>
        <w:t>a</w:t>
      </w:r>
      <w:r w:rsidRPr="00D6167B">
        <w:rPr>
          <w:lang w:val="hr-HR"/>
        </w:rPr>
        <w:t xml:space="preserve"> sa CPP, sa srednjom vrijednošću za PFS 12,0 mjeseci u CPP </w:t>
      </w:r>
      <w:r w:rsidR="00950CD9" w:rsidRPr="00D6167B">
        <w:rPr>
          <w:lang w:val="hr-HR"/>
        </w:rPr>
        <w:t xml:space="preserve">grupi </w:t>
      </w:r>
      <w:r w:rsidRPr="00D6167B">
        <w:rPr>
          <w:lang w:val="hr-HR"/>
        </w:rPr>
        <w:t xml:space="preserve">i 18,2 mjeseci u CPB15+ </w:t>
      </w:r>
      <w:r w:rsidR="00950CD9" w:rsidRPr="00D6167B">
        <w:rPr>
          <w:lang w:val="hr-HR"/>
        </w:rPr>
        <w:t>grupi</w:t>
      </w:r>
      <w:r w:rsidRPr="00D6167B">
        <w:rPr>
          <w:lang w:val="hr-HR"/>
        </w:rPr>
        <w:t>.</w:t>
      </w:r>
    </w:p>
    <w:p w14:paraId="0F12E664" w14:textId="77777777" w:rsidR="002E30F6" w:rsidRPr="00D6167B" w:rsidRDefault="002E30F6" w:rsidP="007608DF">
      <w:pPr>
        <w:widowControl/>
        <w:ind w:left="562" w:hanging="562"/>
        <w:jc w:val="both"/>
        <w:rPr>
          <w:rFonts w:ascii="Times New Roman" w:eastAsia="Times New Roman" w:hAnsi="Times New Roman"/>
          <w:sz w:val="21"/>
          <w:szCs w:val="21"/>
          <w:lang w:val="hr-HR"/>
        </w:rPr>
      </w:pPr>
    </w:p>
    <w:p w14:paraId="631D352F" w14:textId="77777777" w:rsidR="002E30F6" w:rsidRPr="00D6167B" w:rsidRDefault="002E30F6" w:rsidP="007608DF">
      <w:pPr>
        <w:pStyle w:val="BodyText"/>
        <w:widowControl/>
        <w:numPr>
          <w:ilvl w:val="2"/>
          <w:numId w:val="33"/>
        </w:numPr>
        <w:ind w:left="562" w:hanging="562"/>
        <w:jc w:val="both"/>
        <w:rPr>
          <w:lang w:val="hr-HR"/>
        </w:rPr>
      </w:pPr>
      <w:r w:rsidRPr="00D6167B">
        <w:rPr>
          <w:lang w:val="hr-HR"/>
        </w:rPr>
        <w:t xml:space="preserve">Analiza PFS koju je sprovela nezavisna reviziona komisija (sa cenzurom za NPT) pokazala je stratifikovan odnos rizika od 0,62 (95% CI: 0,50–0,77, jednostrana log-rank vrijednost p &lt;0,0001) kada je </w:t>
      </w:r>
      <w:r w:rsidR="00950CD9" w:rsidRPr="00D6167B">
        <w:rPr>
          <w:lang w:val="hr-HR"/>
        </w:rPr>
        <w:t xml:space="preserve">grupa </w:t>
      </w:r>
      <w:r w:rsidRPr="00D6167B">
        <w:rPr>
          <w:lang w:val="hr-HR"/>
        </w:rPr>
        <w:t>CPB15+ poređen</w:t>
      </w:r>
      <w:r w:rsidR="00950CD9" w:rsidRPr="00D6167B">
        <w:rPr>
          <w:lang w:val="hr-HR"/>
        </w:rPr>
        <w:t>a</w:t>
      </w:r>
      <w:r w:rsidRPr="00D6167B">
        <w:rPr>
          <w:lang w:val="hr-HR"/>
        </w:rPr>
        <w:t xml:space="preserve"> sa CPP, sa srednjom vrijednošću za PFS 13,1 u CPP </w:t>
      </w:r>
      <w:r w:rsidR="00950CD9" w:rsidRPr="00D6167B">
        <w:rPr>
          <w:lang w:val="hr-HR"/>
        </w:rPr>
        <w:t xml:space="preserve">grupi </w:t>
      </w:r>
      <w:r w:rsidRPr="00D6167B">
        <w:rPr>
          <w:lang w:val="hr-HR"/>
        </w:rPr>
        <w:t xml:space="preserve">i 19,1 mjeseci u CPB15+ </w:t>
      </w:r>
      <w:r w:rsidR="00950CD9" w:rsidRPr="00D6167B">
        <w:rPr>
          <w:lang w:val="hr-HR"/>
        </w:rPr>
        <w:t>grupi</w:t>
      </w:r>
      <w:r w:rsidRPr="00D6167B">
        <w:rPr>
          <w:lang w:val="hr-HR"/>
        </w:rPr>
        <w:t>.</w:t>
      </w:r>
    </w:p>
    <w:p w14:paraId="728E4861" w14:textId="77777777" w:rsidR="002E30F6" w:rsidRPr="00D6167B" w:rsidRDefault="002E30F6" w:rsidP="007608DF">
      <w:pPr>
        <w:widowControl/>
        <w:jc w:val="both"/>
        <w:rPr>
          <w:rFonts w:ascii="Times New Roman" w:eastAsia="Times New Roman" w:hAnsi="Times New Roman"/>
          <w:sz w:val="21"/>
          <w:szCs w:val="21"/>
          <w:lang w:val="hr-HR"/>
        </w:rPr>
      </w:pPr>
    </w:p>
    <w:p w14:paraId="577B9830" w14:textId="64B5EFB3" w:rsidR="002E30F6" w:rsidRPr="00D6167B" w:rsidRDefault="002E30F6" w:rsidP="007608DF">
      <w:pPr>
        <w:pStyle w:val="BodyText"/>
        <w:widowControl/>
        <w:ind w:left="0"/>
        <w:jc w:val="both"/>
        <w:rPr>
          <w:lang w:val="hr-HR"/>
        </w:rPr>
      </w:pPr>
      <w:r w:rsidRPr="00D6167B">
        <w:rPr>
          <w:lang w:val="hr-HR"/>
        </w:rPr>
        <w:t xml:space="preserve">Analiza preživljavanja bez progresije bolesti </w:t>
      </w:r>
      <w:r w:rsidR="00B049ED">
        <w:rPr>
          <w:lang w:val="hr-HR"/>
        </w:rPr>
        <w:t xml:space="preserve">po podgrupama </w:t>
      </w:r>
      <w:r w:rsidRPr="00D6167B">
        <w:rPr>
          <w:lang w:val="hr-HR"/>
        </w:rPr>
        <w:t xml:space="preserve">prema stadijumu bolesti i statusu </w:t>
      </w:r>
      <w:r w:rsidR="00B049ED">
        <w:rPr>
          <w:lang w:val="hr-HR"/>
        </w:rPr>
        <w:t>smanjenja</w:t>
      </w:r>
      <w:r w:rsidR="00B049ED" w:rsidRPr="00D6167B">
        <w:rPr>
          <w:lang w:val="hr-HR"/>
        </w:rPr>
        <w:t xml:space="preserve"> </w:t>
      </w:r>
      <w:r w:rsidRPr="00D6167B">
        <w:rPr>
          <w:lang w:val="hr-HR"/>
        </w:rPr>
        <w:t xml:space="preserve">tumorske mase rezimirana je u tabeli 17. Ovi rezultati pokazuju </w:t>
      </w:r>
      <w:r w:rsidR="00B049ED">
        <w:rPr>
          <w:lang w:val="hr-HR"/>
        </w:rPr>
        <w:t>robusnost</w:t>
      </w:r>
      <w:r w:rsidR="00B049ED" w:rsidRPr="00D6167B">
        <w:rPr>
          <w:lang w:val="hr-HR"/>
        </w:rPr>
        <w:t xml:space="preserve"> </w:t>
      </w:r>
      <w:r w:rsidRPr="00D6167B">
        <w:rPr>
          <w:lang w:val="hr-HR"/>
        </w:rPr>
        <w:t>analize PFS, kao što je prikazano u tabeli 16.</w:t>
      </w:r>
    </w:p>
    <w:p w14:paraId="3B8A5975" w14:textId="77777777" w:rsidR="002E30F6" w:rsidRPr="00D6167B" w:rsidRDefault="002E30F6" w:rsidP="007608DF">
      <w:pPr>
        <w:widowControl/>
        <w:jc w:val="both"/>
        <w:rPr>
          <w:rFonts w:ascii="Times New Roman" w:eastAsia="Times New Roman" w:hAnsi="Times New Roman"/>
          <w:lang w:val="hr-HR"/>
        </w:rPr>
      </w:pPr>
    </w:p>
    <w:p w14:paraId="4596A62F" w14:textId="77777777" w:rsidR="002E30F6" w:rsidRPr="00D6167B" w:rsidRDefault="002E30F6" w:rsidP="007608DF">
      <w:pPr>
        <w:pStyle w:val="Heading1"/>
        <w:keepNext/>
        <w:widowControl/>
        <w:tabs>
          <w:tab w:val="left" w:pos="1333"/>
        </w:tabs>
        <w:ind w:left="202"/>
        <w:jc w:val="both"/>
        <w:rPr>
          <w:b w:val="0"/>
          <w:bCs w:val="0"/>
          <w:lang w:val="hr-HR"/>
        </w:rPr>
      </w:pPr>
      <w:r w:rsidRPr="00D6167B">
        <w:rPr>
          <w:lang w:val="hr-HR"/>
        </w:rPr>
        <w:t>Tabela 17</w:t>
      </w:r>
      <w:r w:rsidRPr="00D6167B">
        <w:rPr>
          <w:lang w:val="hr-HR"/>
        </w:rPr>
        <w:tab/>
        <w:t>Rezultati PFS</w:t>
      </w:r>
      <w:r w:rsidRPr="00D37692">
        <w:rPr>
          <w:sz w:val="14"/>
          <w:vertAlign w:val="superscript"/>
          <w:lang w:val="hr-HR"/>
        </w:rPr>
        <w:t>1</w:t>
      </w:r>
      <w:r w:rsidRPr="00D6167B">
        <w:rPr>
          <w:sz w:val="14"/>
          <w:lang w:val="hr-HR"/>
        </w:rPr>
        <w:t xml:space="preserve"> </w:t>
      </w:r>
      <w:r w:rsidRPr="00D6167B">
        <w:rPr>
          <w:lang w:val="hr-HR"/>
        </w:rPr>
        <w:t>prema stadijumu bolesti i statusu odstranjivanja tumorske mase iz studije GOG-0218</w:t>
      </w:r>
    </w:p>
    <w:p w14:paraId="3F723A42" w14:textId="77777777" w:rsidR="002E30F6" w:rsidRPr="00D6167B" w:rsidRDefault="002E30F6" w:rsidP="007608DF">
      <w:pPr>
        <w:keepNext/>
        <w:widowControl/>
        <w:jc w:val="both"/>
        <w:rPr>
          <w:rFonts w:ascii="Times New Roman" w:eastAsia="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058"/>
        <w:gridCol w:w="2059"/>
        <w:gridCol w:w="2061"/>
      </w:tblGrid>
      <w:tr w:rsidR="002E30F6" w:rsidRPr="00D6167B" w14:paraId="3B9FD1E3"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1C31C002" w14:textId="13652290" w:rsidR="002E30F6" w:rsidRPr="00D37692" w:rsidRDefault="002E30F6" w:rsidP="00B049ED">
            <w:pPr>
              <w:pStyle w:val="Default"/>
              <w:keepNext/>
              <w:jc w:val="both"/>
              <w:rPr>
                <w:color w:val="auto"/>
                <w:sz w:val="22"/>
                <w:lang w:val="hr-HR"/>
              </w:rPr>
            </w:pPr>
            <w:r w:rsidRPr="00D37692">
              <w:rPr>
                <w:color w:val="auto"/>
                <w:sz w:val="22"/>
                <w:lang w:val="hr-HR"/>
              </w:rPr>
              <w:t xml:space="preserve">Randomizovani pacijenti sa bolešću stadijuma III i optimalno </w:t>
            </w:r>
            <w:r w:rsidR="00B049ED">
              <w:rPr>
                <w:color w:val="auto"/>
                <w:sz w:val="22"/>
                <w:lang w:val="hr-HR"/>
              </w:rPr>
              <w:t>smanjenu</w:t>
            </w:r>
            <w:r w:rsidR="00B049ED" w:rsidRPr="00D6167B">
              <w:rPr>
                <w:color w:val="auto"/>
                <w:sz w:val="22"/>
                <w:lang w:val="hr-HR"/>
              </w:rPr>
              <w:t xml:space="preserve"> </w:t>
            </w:r>
            <w:r w:rsidRPr="00D6167B">
              <w:rPr>
                <w:color w:val="auto"/>
                <w:sz w:val="22"/>
                <w:lang w:val="hr-HR"/>
              </w:rPr>
              <w:t>tumorsk</w:t>
            </w:r>
            <w:r w:rsidR="00B049ED">
              <w:rPr>
                <w:color w:val="auto"/>
                <w:sz w:val="22"/>
                <w:lang w:val="hr-HR"/>
              </w:rPr>
              <w:t>u</w:t>
            </w:r>
            <w:r w:rsidRPr="00D6167B">
              <w:rPr>
                <w:color w:val="auto"/>
                <w:sz w:val="22"/>
                <w:lang w:val="hr-HR"/>
              </w:rPr>
              <w:t xml:space="preserve"> mas</w:t>
            </w:r>
            <w:r w:rsidR="00B049ED">
              <w:rPr>
                <w:color w:val="auto"/>
                <w:sz w:val="22"/>
                <w:lang w:val="hr-HR"/>
              </w:rPr>
              <w:t>u</w:t>
            </w:r>
            <w:r w:rsidRPr="00D6167B">
              <w:rPr>
                <w:color w:val="auto"/>
                <w:sz w:val="22"/>
                <w:vertAlign w:val="superscript"/>
                <w:lang w:val="hr-HR"/>
              </w:rPr>
              <w:t>2</w:t>
            </w:r>
            <w:r w:rsidRPr="00D37692">
              <w:rPr>
                <w:color w:val="auto"/>
                <w:sz w:val="22"/>
                <w:vertAlign w:val="superscript"/>
                <w:lang w:val="hr-HR"/>
              </w:rPr>
              <w:t>,3</w:t>
            </w:r>
          </w:p>
        </w:tc>
      </w:tr>
      <w:tr w:rsidR="002E30F6" w:rsidRPr="00D6167B" w14:paraId="654B2CF4" w14:textId="77777777" w:rsidTr="002C0B97">
        <w:trPr>
          <w:cantSplit/>
        </w:trPr>
        <w:tc>
          <w:tcPr>
            <w:tcW w:w="2970" w:type="dxa"/>
            <w:tcBorders>
              <w:left w:val="single" w:sz="4" w:space="0" w:color="auto"/>
              <w:bottom w:val="nil"/>
              <w:right w:val="single" w:sz="4" w:space="0" w:color="auto"/>
            </w:tcBorders>
            <w:shd w:val="clear" w:color="auto" w:fill="auto"/>
          </w:tcPr>
          <w:p w14:paraId="7D43BE0A" w14:textId="77777777" w:rsidR="002E30F6" w:rsidRPr="00D6167B" w:rsidRDefault="002E30F6" w:rsidP="007608DF">
            <w:pPr>
              <w:keepNext/>
              <w:widowControl/>
              <w:jc w:val="both"/>
              <w:rPr>
                <w:rFonts w:ascii="Times New Roman" w:eastAsia="Times New Roman" w:hAnsi="Times New Roman"/>
                <w:lang w:val="hr-HR"/>
              </w:rPr>
            </w:pPr>
          </w:p>
        </w:tc>
        <w:tc>
          <w:tcPr>
            <w:tcW w:w="2102" w:type="dxa"/>
            <w:tcBorders>
              <w:top w:val="single" w:sz="4" w:space="0" w:color="auto"/>
              <w:left w:val="single" w:sz="4" w:space="0" w:color="auto"/>
              <w:bottom w:val="nil"/>
              <w:right w:val="single" w:sz="4" w:space="0" w:color="auto"/>
            </w:tcBorders>
            <w:shd w:val="clear" w:color="auto" w:fill="auto"/>
          </w:tcPr>
          <w:p w14:paraId="2ADE77E6" w14:textId="29EBA4F0" w:rsidR="002E30F6" w:rsidRPr="00D37692" w:rsidRDefault="002E30F6" w:rsidP="00D37692">
            <w:pPr>
              <w:pStyle w:val="Default"/>
              <w:keepNext/>
              <w:jc w:val="center"/>
              <w:rPr>
                <w:color w:val="auto"/>
                <w:sz w:val="22"/>
                <w:lang w:val="hr-HR"/>
              </w:rPr>
            </w:pPr>
            <w:r w:rsidRPr="00D37692">
              <w:rPr>
                <w:color w:val="auto"/>
                <w:sz w:val="22"/>
                <w:lang w:val="hr-HR"/>
              </w:rPr>
              <w:t>CPP</w:t>
            </w:r>
          </w:p>
        </w:tc>
        <w:tc>
          <w:tcPr>
            <w:tcW w:w="2103" w:type="dxa"/>
            <w:tcBorders>
              <w:left w:val="single" w:sz="4" w:space="0" w:color="auto"/>
              <w:bottom w:val="nil"/>
            </w:tcBorders>
            <w:shd w:val="clear" w:color="auto" w:fill="auto"/>
          </w:tcPr>
          <w:p w14:paraId="33AA8C8B" w14:textId="50234E9F" w:rsidR="002E30F6" w:rsidRPr="00D37692" w:rsidRDefault="002E30F6" w:rsidP="00D37692">
            <w:pPr>
              <w:pStyle w:val="Default"/>
              <w:keepNex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30DE901B" w14:textId="758C15E1" w:rsidR="002E30F6" w:rsidRPr="00D37692" w:rsidRDefault="002E30F6" w:rsidP="00D37692">
            <w:pPr>
              <w:pStyle w:val="Default"/>
              <w:keepNext/>
              <w:jc w:val="center"/>
              <w:rPr>
                <w:color w:val="auto"/>
                <w:sz w:val="22"/>
                <w:lang w:val="hr-HR"/>
              </w:rPr>
            </w:pPr>
            <w:r w:rsidRPr="00D37692">
              <w:rPr>
                <w:color w:val="auto"/>
                <w:sz w:val="22"/>
                <w:lang w:val="hr-HR"/>
              </w:rPr>
              <w:t>CPB15+</w:t>
            </w:r>
          </w:p>
        </w:tc>
      </w:tr>
      <w:tr w:rsidR="002E30F6" w:rsidRPr="00D6167B" w14:paraId="2DE0368A" w14:textId="77777777" w:rsidTr="002C0B97">
        <w:trPr>
          <w:cantSplit/>
        </w:trPr>
        <w:tc>
          <w:tcPr>
            <w:tcW w:w="2970" w:type="dxa"/>
            <w:tcBorders>
              <w:top w:val="nil"/>
              <w:left w:val="single" w:sz="4" w:space="0" w:color="auto"/>
              <w:bottom w:val="nil"/>
              <w:right w:val="single" w:sz="4" w:space="0" w:color="auto"/>
            </w:tcBorders>
            <w:shd w:val="clear" w:color="auto" w:fill="auto"/>
          </w:tcPr>
          <w:p w14:paraId="100881FB" w14:textId="77777777" w:rsidR="002E30F6" w:rsidRPr="00D6167B" w:rsidRDefault="002E30F6" w:rsidP="007608DF">
            <w:pPr>
              <w:keepNext/>
              <w:widowControl/>
              <w:jc w:val="both"/>
              <w:rPr>
                <w:rFonts w:ascii="Times New Roman" w:eastAsia="Times New Roman" w:hAnsi="Times New Roman"/>
                <w:lang w:val="hr-HR"/>
              </w:rPr>
            </w:pPr>
          </w:p>
        </w:tc>
        <w:tc>
          <w:tcPr>
            <w:tcW w:w="2102" w:type="dxa"/>
            <w:tcBorders>
              <w:top w:val="nil"/>
              <w:left w:val="single" w:sz="4" w:space="0" w:color="auto"/>
              <w:bottom w:val="nil"/>
              <w:right w:val="single" w:sz="4" w:space="0" w:color="auto"/>
            </w:tcBorders>
            <w:shd w:val="clear" w:color="auto" w:fill="auto"/>
          </w:tcPr>
          <w:p w14:paraId="316F3EE5" w14:textId="77777777" w:rsidR="002E30F6" w:rsidRPr="00D37692" w:rsidRDefault="002E30F6" w:rsidP="00D37692">
            <w:pPr>
              <w:pStyle w:val="Default"/>
              <w:keepNext/>
              <w:jc w:val="center"/>
              <w:rPr>
                <w:color w:val="auto"/>
                <w:sz w:val="22"/>
                <w:lang w:val="hr-HR"/>
              </w:rPr>
            </w:pPr>
            <w:r w:rsidRPr="00D37692">
              <w:rPr>
                <w:color w:val="auto"/>
                <w:sz w:val="22"/>
                <w:lang w:val="hr-HR"/>
              </w:rPr>
              <w:t>(n=219)</w:t>
            </w:r>
          </w:p>
        </w:tc>
        <w:tc>
          <w:tcPr>
            <w:tcW w:w="2103" w:type="dxa"/>
            <w:tcBorders>
              <w:top w:val="nil"/>
              <w:left w:val="single" w:sz="4" w:space="0" w:color="auto"/>
              <w:bottom w:val="nil"/>
            </w:tcBorders>
            <w:shd w:val="clear" w:color="auto" w:fill="auto"/>
          </w:tcPr>
          <w:p w14:paraId="13CCA053" w14:textId="1A305D10" w:rsidR="002E30F6" w:rsidRPr="00D37692" w:rsidRDefault="002E30F6" w:rsidP="00D37692">
            <w:pPr>
              <w:pStyle w:val="Default"/>
              <w:keepNext/>
              <w:jc w:val="center"/>
              <w:rPr>
                <w:color w:val="auto"/>
                <w:sz w:val="22"/>
                <w:lang w:val="hr-HR"/>
              </w:rPr>
            </w:pPr>
            <w:r w:rsidRPr="00D37692">
              <w:rPr>
                <w:color w:val="auto"/>
                <w:sz w:val="22"/>
                <w:lang w:val="hr-HR"/>
              </w:rPr>
              <w:t>(n=204)</w:t>
            </w:r>
          </w:p>
        </w:tc>
        <w:tc>
          <w:tcPr>
            <w:tcW w:w="2103" w:type="dxa"/>
            <w:tcBorders>
              <w:top w:val="nil"/>
              <w:bottom w:val="nil"/>
              <w:right w:val="single" w:sz="4" w:space="0" w:color="auto"/>
            </w:tcBorders>
            <w:shd w:val="clear" w:color="auto" w:fill="auto"/>
          </w:tcPr>
          <w:p w14:paraId="2C2F4E6B" w14:textId="4C6F0042" w:rsidR="002E30F6" w:rsidRPr="00D37692" w:rsidRDefault="002E30F6" w:rsidP="00D37692">
            <w:pPr>
              <w:pStyle w:val="Default"/>
              <w:keepNext/>
              <w:jc w:val="center"/>
              <w:rPr>
                <w:color w:val="auto"/>
                <w:sz w:val="22"/>
                <w:lang w:val="hr-HR"/>
              </w:rPr>
            </w:pPr>
            <w:r w:rsidRPr="00D37692">
              <w:rPr>
                <w:color w:val="auto"/>
                <w:sz w:val="22"/>
                <w:lang w:val="hr-HR"/>
              </w:rPr>
              <w:t>(n=216)</w:t>
            </w:r>
          </w:p>
        </w:tc>
      </w:tr>
      <w:tr w:rsidR="002E30F6" w:rsidRPr="00D6167B" w14:paraId="0DB48937" w14:textId="77777777" w:rsidTr="002C0B97">
        <w:trPr>
          <w:cantSplit/>
        </w:trPr>
        <w:tc>
          <w:tcPr>
            <w:tcW w:w="2970" w:type="dxa"/>
            <w:tcBorders>
              <w:top w:val="nil"/>
              <w:left w:val="single" w:sz="4" w:space="0" w:color="auto"/>
              <w:bottom w:val="nil"/>
              <w:right w:val="single" w:sz="4" w:space="0" w:color="auto"/>
            </w:tcBorders>
            <w:shd w:val="clear" w:color="auto" w:fill="auto"/>
          </w:tcPr>
          <w:p w14:paraId="0D99138B" w14:textId="77777777" w:rsidR="002E30F6" w:rsidRPr="00D37692" w:rsidRDefault="002E30F6" w:rsidP="00D37692">
            <w:pPr>
              <w:pStyle w:val="Default"/>
              <w:keepNext/>
              <w:rPr>
                <w:color w:val="auto"/>
                <w:sz w:val="22"/>
                <w:lang w:val="hr-HR"/>
              </w:rPr>
            </w:pPr>
            <w:r w:rsidRPr="00D37692">
              <w:rPr>
                <w:color w:val="auto"/>
                <w:sz w:val="22"/>
                <w:lang w:val="hr-HR"/>
              </w:rPr>
              <w:t xml:space="preserve">Srednja vrijednost PFS (mjeseci) </w:t>
            </w:r>
          </w:p>
        </w:tc>
        <w:tc>
          <w:tcPr>
            <w:tcW w:w="2102" w:type="dxa"/>
            <w:tcBorders>
              <w:top w:val="nil"/>
              <w:left w:val="single" w:sz="4" w:space="0" w:color="auto"/>
              <w:bottom w:val="nil"/>
              <w:right w:val="single" w:sz="4" w:space="0" w:color="auto"/>
            </w:tcBorders>
            <w:shd w:val="clear" w:color="auto" w:fill="auto"/>
          </w:tcPr>
          <w:p w14:paraId="448F72F1" w14:textId="77777777" w:rsidR="002E30F6" w:rsidRPr="00D37692" w:rsidRDefault="002E30F6" w:rsidP="00D37692">
            <w:pPr>
              <w:pStyle w:val="Default"/>
              <w:keepNext/>
              <w:jc w:val="center"/>
              <w:rPr>
                <w:color w:val="auto"/>
                <w:sz w:val="22"/>
                <w:lang w:val="hr-HR"/>
              </w:rPr>
            </w:pPr>
            <w:r w:rsidRPr="00D37692">
              <w:rPr>
                <w:color w:val="auto"/>
                <w:sz w:val="22"/>
                <w:lang w:val="hr-HR"/>
              </w:rPr>
              <w:t>12,4</w:t>
            </w:r>
          </w:p>
        </w:tc>
        <w:tc>
          <w:tcPr>
            <w:tcW w:w="2103" w:type="dxa"/>
            <w:tcBorders>
              <w:top w:val="nil"/>
              <w:left w:val="single" w:sz="4" w:space="0" w:color="auto"/>
              <w:bottom w:val="nil"/>
            </w:tcBorders>
            <w:shd w:val="clear" w:color="auto" w:fill="auto"/>
          </w:tcPr>
          <w:p w14:paraId="4E397146" w14:textId="5969CED3" w:rsidR="002E30F6" w:rsidRPr="00D37692" w:rsidRDefault="002E30F6" w:rsidP="00D37692">
            <w:pPr>
              <w:pStyle w:val="Default"/>
              <w:keepNext/>
              <w:jc w:val="center"/>
              <w:rPr>
                <w:color w:val="auto"/>
                <w:sz w:val="22"/>
                <w:lang w:val="hr-HR"/>
              </w:rPr>
            </w:pPr>
            <w:r w:rsidRPr="00D37692">
              <w:rPr>
                <w:color w:val="auto"/>
                <w:sz w:val="22"/>
                <w:lang w:val="hr-HR"/>
              </w:rPr>
              <w:t>14,3</w:t>
            </w:r>
          </w:p>
        </w:tc>
        <w:tc>
          <w:tcPr>
            <w:tcW w:w="2103" w:type="dxa"/>
            <w:tcBorders>
              <w:top w:val="nil"/>
              <w:bottom w:val="nil"/>
              <w:right w:val="single" w:sz="4" w:space="0" w:color="auto"/>
            </w:tcBorders>
            <w:shd w:val="clear" w:color="auto" w:fill="auto"/>
          </w:tcPr>
          <w:p w14:paraId="0CBB6F96" w14:textId="4B304F3E" w:rsidR="002E30F6" w:rsidRPr="00D37692" w:rsidRDefault="002E30F6" w:rsidP="00D37692">
            <w:pPr>
              <w:pStyle w:val="Default"/>
              <w:keepNext/>
              <w:jc w:val="center"/>
              <w:rPr>
                <w:color w:val="auto"/>
                <w:sz w:val="22"/>
                <w:lang w:val="hr-HR"/>
              </w:rPr>
            </w:pPr>
            <w:r w:rsidRPr="00D37692">
              <w:rPr>
                <w:color w:val="auto"/>
                <w:sz w:val="22"/>
                <w:lang w:val="hr-HR"/>
              </w:rPr>
              <w:t>17,5</w:t>
            </w:r>
          </w:p>
        </w:tc>
      </w:tr>
      <w:tr w:rsidR="002E30F6" w:rsidRPr="00D6167B" w14:paraId="58AE3A61" w14:textId="77777777" w:rsidTr="002C0B97">
        <w:trPr>
          <w:cantSplit/>
        </w:trPr>
        <w:tc>
          <w:tcPr>
            <w:tcW w:w="2970" w:type="dxa"/>
            <w:tcBorders>
              <w:top w:val="nil"/>
              <w:left w:val="single" w:sz="4" w:space="0" w:color="auto"/>
              <w:bottom w:val="nil"/>
              <w:right w:val="single" w:sz="4" w:space="0" w:color="auto"/>
            </w:tcBorders>
            <w:shd w:val="clear" w:color="auto" w:fill="auto"/>
          </w:tcPr>
          <w:p w14:paraId="6200AD8A" w14:textId="77777777" w:rsidR="002E30F6" w:rsidRPr="00D37692" w:rsidRDefault="002E30F6" w:rsidP="00D37692">
            <w:pPr>
              <w:pStyle w:val="Default"/>
              <w:keepNext/>
              <w:rPr>
                <w:color w:val="auto"/>
                <w:sz w:val="22"/>
                <w:lang w:val="hr-HR"/>
              </w:rPr>
            </w:pPr>
            <w:r w:rsidRPr="00D37692">
              <w:rPr>
                <w:color w:val="auto"/>
                <w:sz w:val="22"/>
                <w:lang w:val="hr-HR"/>
              </w:rPr>
              <w:t>Odnos rizika (95% CI)</w:t>
            </w:r>
            <w:r w:rsidRPr="00D37692">
              <w:rPr>
                <w:color w:val="auto"/>
                <w:sz w:val="22"/>
                <w:vertAlign w:val="superscript"/>
                <w:lang w:val="hr-HR"/>
              </w:rPr>
              <w:t>4</w:t>
            </w:r>
          </w:p>
        </w:tc>
        <w:tc>
          <w:tcPr>
            <w:tcW w:w="2102" w:type="dxa"/>
            <w:tcBorders>
              <w:top w:val="nil"/>
              <w:left w:val="single" w:sz="4" w:space="0" w:color="auto"/>
              <w:bottom w:val="nil"/>
              <w:right w:val="single" w:sz="4" w:space="0" w:color="auto"/>
            </w:tcBorders>
            <w:shd w:val="clear" w:color="auto" w:fill="auto"/>
          </w:tcPr>
          <w:p w14:paraId="4F0E6791" w14:textId="77777777" w:rsidR="002E30F6" w:rsidRPr="00D6167B" w:rsidRDefault="002E30F6" w:rsidP="00D37692">
            <w:pPr>
              <w:keepNext/>
              <w:widowControl/>
              <w:jc w:val="center"/>
              <w:rPr>
                <w:rFonts w:ascii="Times New Roman" w:eastAsia="Times New Roman" w:hAnsi="Times New Roman"/>
                <w:lang w:val="hr-HR"/>
              </w:rPr>
            </w:pPr>
          </w:p>
        </w:tc>
        <w:tc>
          <w:tcPr>
            <w:tcW w:w="2103" w:type="dxa"/>
            <w:tcBorders>
              <w:top w:val="nil"/>
              <w:left w:val="single" w:sz="4" w:space="0" w:color="auto"/>
              <w:bottom w:val="nil"/>
            </w:tcBorders>
            <w:shd w:val="clear" w:color="auto" w:fill="auto"/>
          </w:tcPr>
          <w:p w14:paraId="76A7F6BF" w14:textId="77777777" w:rsidR="002E30F6" w:rsidRPr="00D37692" w:rsidRDefault="002E30F6" w:rsidP="00D37692">
            <w:pPr>
              <w:pStyle w:val="Default"/>
              <w:keepNext/>
              <w:jc w:val="center"/>
              <w:rPr>
                <w:color w:val="auto"/>
                <w:sz w:val="22"/>
                <w:lang w:val="hr-HR"/>
              </w:rPr>
            </w:pPr>
            <w:r w:rsidRPr="00D37692">
              <w:rPr>
                <w:color w:val="auto"/>
                <w:sz w:val="22"/>
                <w:lang w:val="hr-HR"/>
              </w:rPr>
              <w:t>0,81</w:t>
            </w:r>
          </w:p>
        </w:tc>
        <w:tc>
          <w:tcPr>
            <w:tcW w:w="2103" w:type="dxa"/>
            <w:tcBorders>
              <w:top w:val="nil"/>
              <w:bottom w:val="nil"/>
              <w:right w:val="single" w:sz="4" w:space="0" w:color="auto"/>
            </w:tcBorders>
            <w:shd w:val="clear" w:color="auto" w:fill="auto"/>
          </w:tcPr>
          <w:p w14:paraId="24B1EBC2" w14:textId="175CC828" w:rsidR="002E30F6" w:rsidRPr="00D37692" w:rsidRDefault="002E30F6" w:rsidP="00D37692">
            <w:pPr>
              <w:pStyle w:val="Default"/>
              <w:keepNext/>
              <w:jc w:val="center"/>
              <w:rPr>
                <w:color w:val="auto"/>
                <w:sz w:val="22"/>
                <w:lang w:val="hr-HR"/>
              </w:rPr>
            </w:pPr>
            <w:r w:rsidRPr="00D37692">
              <w:rPr>
                <w:color w:val="auto"/>
                <w:sz w:val="22"/>
                <w:lang w:val="hr-HR"/>
              </w:rPr>
              <w:t>0,66</w:t>
            </w:r>
          </w:p>
        </w:tc>
      </w:tr>
      <w:tr w:rsidR="002E30F6" w:rsidRPr="00D6167B" w14:paraId="4DCE1A23" w14:textId="77777777" w:rsidTr="002C0B97">
        <w:trPr>
          <w:cantSplit/>
        </w:trPr>
        <w:tc>
          <w:tcPr>
            <w:tcW w:w="2970" w:type="dxa"/>
            <w:tcBorders>
              <w:top w:val="nil"/>
              <w:left w:val="single" w:sz="4" w:space="0" w:color="auto"/>
              <w:bottom w:val="nil"/>
              <w:right w:val="single" w:sz="4" w:space="0" w:color="auto"/>
            </w:tcBorders>
            <w:shd w:val="clear" w:color="auto" w:fill="auto"/>
          </w:tcPr>
          <w:p w14:paraId="2F029154" w14:textId="77777777" w:rsidR="002E30F6" w:rsidRPr="00D37692" w:rsidRDefault="002E30F6" w:rsidP="007608DF">
            <w:pPr>
              <w:pStyle w:val="Default"/>
              <w:keepNext/>
              <w:jc w:val="both"/>
              <w:rPr>
                <w:color w:val="auto"/>
                <w:sz w:val="22"/>
                <w:lang w:val="hr-HR"/>
              </w:rPr>
            </w:pPr>
          </w:p>
        </w:tc>
        <w:tc>
          <w:tcPr>
            <w:tcW w:w="2102" w:type="dxa"/>
            <w:tcBorders>
              <w:top w:val="nil"/>
              <w:left w:val="single" w:sz="4" w:space="0" w:color="auto"/>
              <w:bottom w:val="nil"/>
              <w:right w:val="single" w:sz="4" w:space="0" w:color="auto"/>
            </w:tcBorders>
            <w:shd w:val="clear" w:color="auto" w:fill="auto"/>
          </w:tcPr>
          <w:p w14:paraId="108E012F" w14:textId="77777777" w:rsidR="002E30F6" w:rsidRPr="00D6167B" w:rsidRDefault="002E30F6" w:rsidP="00D37692">
            <w:pPr>
              <w:keepNext/>
              <w:widowControl/>
              <w:jc w:val="center"/>
              <w:rPr>
                <w:rFonts w:ascii="Times New Roman" w:eastAsia="Times New Roman" w:hAnsi="Times New Roman"/>
                <w:lang w:val="hr-HR"/>
              </w:rPr>
            </w:pPr>
          </w:p>
        </w:tc>
        <w:tc>
          <w:tcPr>
            <w:tcW w:w="2103" w:type="dxa"/>
            <w:tcBorders>
              <w:top w:val="nil"/>
              <w:left w:val="single" w:sz="4" w:space="0" w:color="auto"/>
              <w:bottom w:val="nil"/>
            </w:tcBorders>
            <w:shd w:val="clear" w:color="auto" w:fill="auto"/>
          </w:tcPr>
          <w:p w14:paraId="32D02E5C" w14:textId="77777777" w:rsidR="002E30F6" w:rsidRPr="00D37692" w:rsidRDefault="002E30F6" w:rsidP="00D37692">
            <w:pPr>
              <w:pStyle w:val="Default"/>
              <w:keepNext/>
              <w:jc w:val="center"/>
              <w:rPr>
                <w:color w:val="auto"/>
                <w:sz w:val="22"/>
                <w:lang w:val="hr-HR"/>
              </w:rPr>
            </w:pPr>
            <w:r w:rsidRPr="00D37692">
              <w:rPr>
                <w:color w:val="auto"/>
                <w:sz w:val="22"/>
                <w:lang w:val="hr-HR"/>
              </w:rPr>
              <w:t>(0,62; 1,05)</w:t>
            </w:r>
          </w:p>
        </w:tc>
        <w:tc>
          <w:tcPr>
            <w:tcW w:w="2103" w:type="dxa"/>
            <w:tcBorders>
              <w:top w:val="nil"/>
              <w:bottom w:val="nil"/>
              <w:right w:val="single" w:sz="4" w:space="0" w:color="auto"/>
            </w:tcBorders>
            <w:shd w:val="clear" w:color="auto" w:fill="auto"/>
          </w:tcPr>
          <w:p w14:paraId="778F416E" w14:textId="77777777" w:rsidR="002E30F6" w:rsidRPr="00D37692" w:rsidRDefault="002E30F6" w:rsidP="00D37692">
            <w:pPr>
              <w:pStyle w:val="Default"/>
              <w:keepNext/>
              <w:jc w:val="center"/>
              <w:rPr>
                <w:color w:val="auto"/>
                <w:sz w:val="22"/>
                <w:lang w:val="hr-HR"/>
              </w:rPr>
            </w:pPr>
            <w:r w:rsidRPr="00D37692">
              <w:rPr>
                <w:color w:val="auto"/>
                <w:sz w:val="22"/>
                <w:lang w:val="hr-HR"/>
              </w:rPr>
              <w:t>(0,50, 0,86)</w:t>
            </w:r>
          </w:p>
        </w:tc>
      </w:tr>
      <w:tr w:rsidR="002E30F6" w:rsidRPr="00D6167B" w14:paraId="4723B16E"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76CD903F" w14:textId="77777777" w:rsidR="002E30F6" w:rsidRPr="00D37692" w:rsidRDefault="002E30F6" w:rsidP="007608DF">
            <w:pPr>
              <w:pStyle w:val="Default"/>
              <w:jc w:val="both"/>
              <w:rPr>
                <w:color w:val="auto"/>
                <w:sz w:val="22"/>
                <w:lang w:val="hr-HR"/>
              </w:rPr>
            </w:pPr>
            <w:r w:rsidRPr="00D37692">
              <w:rPr>
                <w:color w:val="auto"/>
                <w:sz w:val="22"/>
                <w:lang w:val="hr-HR"/>
              </w:rPr>
              <w:t>Randomizovani pacijenti sa bolešću stadijuma III i suboptimalno odstranjenom tumorskom masom</w:t>
            </w:r>
            <w:r w:rsidRPr="00D37692">
              <w:rPr>
                <w:color w:val="auto"/>
                <w:sz w:val="22"/>
                <w:vertAlign w:val="superscript"/>
                <w:lang w:val="hr-HR"/>
              </w:rPr>
              <w:t>3</w:t>
            </w:r>
          </w:p>
        </w:tc>
      </w:tr>
      <w:tr w:rsidR="002E30F6" w:rsidRPr="00D6167B" w14:paraId="01A9AA98" w14:textId="77777777" w:rsidTr="002C0B97">
        <w:trPr>
          <w:cantSplit/>
        </w:trPr>
        <w:tc>
          <w:tcPr>
            <w:tcW w:w="2970" w:type="dxa"/>
            <w:tcBorders>
              <w:left w:val="single" w:sz="4" w:space="0" w:color="auto"/>
              <w:bottom w:val="nil"/>
            </w:tcBorders>
            <w:shd w:val="clear" w:color="auto" w:fill="auto"/>
          </w:tcPr>
          <w:p w14:paraId="3F5A9C35" w14:textId="77777777" w:rsidR="002E30F6" w:rsidRPr="00D6167B" w:rsidRDefault="002E30F6" w:rsidP="007608DF">
            <w:pPr>
              <w:widowControl/>
              <w:jc w:val="both"/>
              <w:rPr>
                <w:rFonts w:ascii="Times New Roman" w:eastAsia="Times New Roman" w:hAnsi="Times New Roman"/>
                <w:lang w:val="hr-HR"/>
              </w:rPr>
            </w:pPr>
          </w:p>
        </w:tc>
        <w:tc>
          <w:tcPr>
            <w:tcW w:w="2102" w:type="dxa"/>
            <w:tcBorders>
              <w:bottom w:val="nil"/>
            </w:tcBorders>
            <w:shd w:val="clear" w:color="auto" w:fill="auto"/>
          </w:tcPr>
          <w:p w14:paraId="12276F87" w14:textId="5D7756B5" w:rsidR="002E30F6" w:rsidRPr="00D37692" w:rsidRDefault="002E30F6" w:rsidP="00D37692">
            <w:pPr>
              <w:pStyle w:val="Default"/>
              <w:jc w:val="center"/>
              <w:rPr>
                <w:color w:val="auto"/>
                <w:sz w:val="22"/>
                <w:lang w:val="hr-HR"/>
              </w:rPr>
            </w:pPr>
            <w:r w:rsidRPr="00D37692">
              <w:rPr>
                <w:color w:val="auto"/>
                <w:sz w:val="22"/>
                <w:lang w:val="hr-HR"/>
              </w:rPr>
              <w:t>CPP</w:t>
            </w:r>
          </w:p>
        </w:tc>
        <w:tc>
          <w:tcPr>
            <w:tcW w:w="2103" w:type="dxa"/>
            <w:tcBorders>
              <w:bottom w:val="nil"/>
            </w:tcBorders>
            <w:shd w:val="clear" w:color="auto" w:fill="auto"/>
          </w:tcPr>
          <w:p w14:paraId="0DEE5275" w14:textId="46465617" w:rsidR="002E30F6" w:rsidRPr="00D37692" w:rsidRDefault="002E30F6" w:rsidP="00D37692">
            <w:pPr>
              <w:pStyle w:val="Defaul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0ADDFFC4" w14:textId="13617F42" w:rsidR="002E30F6" w:rsidRPr="00D37692" w:rsidRDefault="002E30F6" w:rsidP="00D37692">
            <w:pPr>
              <w:pStyle w:val="Default"/>
              <w:jc w:val="center"/>
              <w:rPr>
                <w:color w:val="auto"/>
                <w:sz w:val="22"/>
                <w:lang w:val="hr-HR"/>
              </w:rPr>
            </w:pPr>
            <w:r w:rsidRPr="00D37692">
              <w:rPr>
                <w:color w:val="auto"/>
                <w:sz w:val="22"/>
                <w:lang w:val="hr-HR"/>
              </w:rPr>
              <w:t>CPB15+</w:t>
            </w:r>
          </w:p>
        </w:tc>
      </w:tr>
      <w:tr w:rsidR="002E30F6" w:rsidRPr="00D6167B" w14:paraId="401F8A36" w14:textId="77777777" w:rsidTr="002C0B97">
        <w:trPr>
          <w:cantSplit/>
        </w:trPr>
        <w:tc>
          <w:tcPr>
            <w:tcW w:w="2970" w:type="dxa"/>
            <w:tcBorders>
              <w:top w:val="nil"/>
              <w:left w:val="single" w:sz="4" w:space="0" w:color="auto"/>
              <w:bottom w:val="nil"/>
            </w:tcBorders>
            <w:shd w:val="clear" w:color="auto" w:fill="auto"/>
          </w:tcPr>
          <w:p w14:paraId="65023905"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nil"/>
              <w:bottom w:val="nil"/>
            </w:tcBorders>
            <w:shd w:val="clear" w:color="auto" w:fill="auto"/>
          </w:tcPr>
          <w:p w14:paraId="215270AD" w14:textId="1E5BC4B8" w:rsidR="002E30F6" w:rsidRPr="00D37692" w:rsidRDefault="002E30F6" w:rsidP="00D37692">
            <w:pPr>
              <w:pStyle w:val="Default"/>
              <w:jc w:val="center"/>
              <w:rPr>
                <w:color w:val="auto"/>
                <w:sz w:val="22"/>
                <w:lang w:val="hr-HR"/>
              </w:rPr>
            </w:pPr>
            <w:r w:rsidRPr="00D37692">
              <w:rPr>
                <w:color w:val="auto"/>
                <w:sz w:val="22"/>
                <w:lang w:val="hr-HR"/>
              </w:rPr>
              <w:t>(n=253)</w:t>
            </w:r>
          </w:p>
        </w:tc>
        <w:tc>
          <w:tcPr>
            <w:tcW w:w="2103" w:type="dxa"/>
            <w:tcBorders>
              <w:top w:val="nil"/>
              <w:bottom w:val="nil"/>
            </w:tcBorders>
            <w:shd w:val="clear" w:color="auto" w:fill="auto"/>
          </w:tcPr>
          <w:p w14:paraId="72B96573" w14:textId="41969418" w:rsidR="002E30F6" w:rsidRPr="00D37692" w:rsidRDefault="002E30F6" w:rsidP="00D37692">
            <w:pPr>
              <w:pStyle w:val="Default"/>
              <w:jc w:val="center"/>
              <w:rPr>
                <w:color w:val="auto"/>
                <w:sz w:val="22"/>
                <w:lang w:val="hr-HR"/>
              </w:rPr>
            </w:pPr>
            <w:r w:rsidRPr="00D37692">
              <w:rPr>
                <w:color w:val="auto"/>
                <w:sz w:val="22"/>
                <w:lang w:val="hr-HR"/>
              </w:rPr>
              <w:t>(n=256)</w:t>
            </w:r>
          </w:p>
        </w:tc>
        <w:tc>
          <w:tcPr>
            <w:tcW w:w="2103" w:type="dxa"/>
            <w:tcBorders>
              <w:top w:val="nil"/>
              <w:bottom w:val="nil"/>
              <w:right w:val="single" w:sz="4" w:space="0" w:color="auto"/>
            </w:tcBorders>
            <w:shd w:val="clear" w:color="auto" w:fill="auto"/>
          </w:tcPr>
          <w:p w14:paraId="4D75ED5B" w14:textId="48BC40F9" w:rsidR="002E30F6" w:rsidRPr="00D37692" w:rsidRDefault="002E30F6" w:rsidP="00D37692">
            <w:pPr>
              <w:pStyle w:val="Default"/>
              <w:jc w:val="center"/>
              <w:rPr>
                <w:color w:val="auto"/>
                <w:sz w:val="22"/>
                <w:lang w:val="hr-HR"/>
              </w:rPr>
            </w:pPr>
            <w:r w:rsidRPr="00D37692">
              <w:rPr>
                <w:color w:val="auto"/>
                <w:sz w:val="22"/>
                <w:lang w:val="hr-HR"/>
              </w:rPr>
              <w:t>(n=242)</w:t>
            </w:r>
          </w:p>
        </w:tc>
      </w:tr>
      <w:tr w:rsidR="002E30F6" w:rsidRPr="00D6167B" w14:paraId="16B1DD88" w14:textId="77777777" w:rsidTr="002C0B97">
        <w:trPr>
          <w:cantSplit/>
        </w:trPr>
        <w:tc>
          <w:tcPr>
            <w:tcW w:w="2970" w:type="dxa"/>
            <w:tcBorders>
              <w:top w:val="nil"/>
              <w:left w:val="single" w:sz="4" w:space="0" w:color="auto"/>
              <w:bottom w:val="nil"/>
            </w:tcBorders>
            <w:shd w:val="clear" w:color="auto" w:fill="auto"/>
          </w:tcPr>
          <w:p w14:paraId="1505FE68"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p>
        </w:tc>
        <w:tc>
          <w:tcPr>
            <w:tcW w:w="2102" w:type="dxa"/>
            <w:tcBorders>
              <w:top w:val="nil"/>
              <w:bottom w:val="nil"/>
            </w:tcBorders>
            <w:shd w:val="clear" w:color="auto" w:fill="auto"/>
          </w:tcPr>
          <w:p w14:paraId="21FD8585" w14:textId="79156BA4" w:rsidR="002E30F6" w:rsidRPr="00D37692" w:rsidRDefault="002E30F6" w:rsidP="00D37692">
            <w:pPr>
              <w:pStyle w:val="Default"/>
              <w:jc w:val="center"/>
              <w:rPr>
                <w:color w:val="auto"/>
                <w:sz w:val="22"/>
                <w:lang w:val="hr-HR"/>
              </w:rPr>
            </w:pPr>
            <w:r w:rsidRPr="00D37692">
              <w:rPr>
                <w:color w:val="auto"/>
                <w:sz w:val="22"/>
                <w:lang w:val="hr-HR"/>
              </w:rPr>
              <w:t>10,1</w:t>
            </w:r>
          </w:p>
        </w:tc>
        <w:tc>
          <w:tcPr>
            <w:tcW w:w="2103" w:type="dxa"/>
            <w:tcBorders>
              <w:top w:val="nil"/>
              <w:bottom w:val="nil"/>
            </w:tcBorders>
            <w:shd w:val="clear" w:color="auto" w:fill="auto"/>
          </w:tcPr>
          <w:p w14:paraId="15F7F977" w14:textId="45CF74F4" w:rsidR="002E30F6" w:rsidRPr="00D37692" w:rsidRDefault="002E30F6" w:rsidP="00D37692">
            <w:pPr>
              <w:pStyle w:val="Default"/>
              <w:jc w:val="center"/>
              <w:rPr>
                <w:color w:val="auto"/>
                <w:sz w:val="22"/>
                <w:lang w:val="hr-HR"/>
              </w:rPr>
            </w:pPr>
            <w:r w:rsidRPr="00D37692">
              <w:rPr>
                <w:color w:val="auto"/>
                <w:sz w:val="22"/>
                <w:lang w:val="hr-HR"/>
              </w:rPr>
              <w:t>10,9</w:t>
            </w:r>
          </w:p>
        </w:tc>
        <w:tc>
          <w:tcPr>
            <w:tcW w:w="2103" w:type="dxa"/>
            <w:tcBorders>
              <w:top w:val="nil"/>
              <w:bottom w:val="nil"/>
              <w:right w:val="single" w:sz="4" w:space="0" w:color="auto"/>
            </w:tcBorders>
            <w:shd w:val="clear" w:color="auto" w:fill="auto"/>
          </w:tcPr>
          <w:p w14:paraId="6529FBE8" w14:textId="42C69094" w:rsidR="002E30F6" w:rsidRPr="00D37692" w:rsidRDefault="002E30F6" w:rsidP="00D37692">
            <w:pPr>
              <w:pStyle w:val="Default"/>
              <w:jc w:val="center"/>
              <w:rPr>
                <w:color w:val="auto"/>
                <w:sz w:val="22"/>
                <w:lang w:val="hr-HR"/>
              </w:rPr>
            </w:pPr>
            <w:r w:rsidRPr="00D37692">
              <w:rPr>
                <w:color w:val="auto"/>
                <w:sz w:val="22"/>
                <w:lang w:val="hr-HR"/>
              </w:rPr>
              <w:t>13,9</w:t>
            </w:r>
          </w:p>
        </w:tc>
      </w:tr>
      <w:tr w:rsidR="002E30F6" w:rsidRPr="00D6167B" w14:paraId="2C26DB37" w14:textId="77777777" w:rsidTr="002C0B97">
        <w:trPr>
          <w:cantSplit/>
        </w:trPr>
        <w:tc>
          <w:tcPr>
            <w:tcW w:w="2970" w:type="dxa"/>
            <w:tcBorders>
              <w:top w:val="nil"/>
              <w:left w:val="single" w:sz="4" w:space="0" w:color="auto"/>
              <w:bottom w:val="nil"/>
            </w:tcBorders>
            <w:shd w:val="clear" w:color="auto" w:fill="auto"/>
          </w:tcPr>
          <w:p w14:paraId="408C739D"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4</w:t>
            </w:r>
            <w:r w:rsidRPr="00D37692">
              <w:rPr>
                <w:color w:val="auto"/>
                <w:sz w:val="22"/>
                <w:lang w:val="hr-HR"/>
              </w:rPr>
              <w:t xml:space="preserve"> </w:t>
            </w:r>
          </w:p>
        </w:tc>
        <w:tc>
          <w:tcPr>
            <w:tcW w:w="2102" w:type="dxa"/>
            <w:tcBorders>
              <w:top w:val="nil"/>
              <w:bottom w:val="nil"/>
            </w:tcBorders>
            <w:shd w:val="clear" w:color="auto" w:fill="auto"/>
          </w:tcPr>
          <w:p w14:paraId="673C1344"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bottom w:val="nil"/>
            </w:tcBorders>
            <w:shd w:val="clear" w:color="auto" w:fill="auto"/>
          </w:tcPr>
          <w:p w14:paraId="06BC119E" w14:textId="56A552BC" w:rsidR="002E30F6" w:rsidRPr="00D37692" w:rsidRDefault="002E30F6" w:rsidP="00D37692">
            <w:pPr>
              <w:pStyle w:val="Default"/>
              <w:jc w:val="center"/>
              <w:rPr>
                <w:color w:val="auto"/>
                <w:sz w:val="22"/>
                <w:lang w:val="hr-HR"/>
              </w:rPr>
            </w:pPr>
            <w:r w:rsidRPr="00D37692">
              <w:rPr>
                <w:color w:val="auto"/>
                <w:sz w:val="22"/>
                <w:lang w:val="hr-HR"/>
              </w:rPr>
              <w:t>0,93</w:t>
            </w:r>
          </w:p>
        </w:tc>
        <w:tc>
          <w:tcPr>
            <w:tcW w:w="2103" w:type="dxa"/>
            <w:tcBorders>
              <w:top w:val="nil"/>
              <w:bottom w:val="nil"/>
              <w:right w:val="single" w:sz="4" w:space="0" w:color="auto"/>
            </w:tcBorders>
            <w:shd w:val="clear" w:color="auto" w:fill="auto"/>
          </w:tcPr>
          <w:p w14:paraId="77FC7BD0" w14:textId="1F63CF64" w:rsidR="002E30F6" w:rsidRPr="00D37692" w:rsidRDefault="002E30F6" w:rsidP="00D37692">
            <w:pPr>
              <w:pStyle w:val="Default"/>
              <w:jc w:val="center"/>
              <w:rPr>
                <w:color w:val="auto"/>
                <w:sz w:val="22"/>
                <w:lang w:val="hr-HR"/>
              </w:rPr>
            </w:pPr>
            <w:r w:rsidRPr="00D37692">
              <w:rPr>
                <w:color w:val="auto"/>
                <w:sz w:val="22"/>
                <w:lang w:val="hr-HR"/>
              </w:rPr>
              <w:t>0,78</w:t>
            </w:r>
          </w:p>
        </w:tc>
      </w:tr>
      <w:tr w:rsidR="002E30F6" w:rsidRPr="00D6167B" w14:paraId="743AD543" w14:textId="77777777" w:rsidTr="002C0B97">
        <w:trPr>
          <w:cantSplit/>
        </w:trPr>
        <w:tc>
          <w:tcPr>
            <w:tcW w:w="2970" w:type="dxa"/>
            <w:tcBorders>
              <w:top w:val="nil"/>
              <w:left w:val="single" w:sz="4" w:space="0" w:color="auto"/>
            </w:tcBorders>
            <w:shd w:val="clear" w:color="auto" w:fill="auto"/>
          </w:tcPr>
          <w:p w14:paraId="69B4A22C" w14:textId="77777777" w:rsidR="002E30F6" w:rsidRPr="00D37692" w:rsidRDefault="002E30F6" w:rsidP="007608DF">
            <w:pPr>
              <w:pStyle w:val="Default"/>
              <w:jc w:val="both"/>
              <w:rPr>
                <w:color w:val="auto"/>
                <w:sz w:val="22"/>
                <w:lang w:val="hr-HR"/>
              </w:rPr>
            </w:pPr>
          </w:p>
        </w:tc>
        <w:tc>
          <w:tcPr>
            <w:tcW w:w="2102" w:type="dxa"/>
            <w:tcBorders>
              <w:top w:val="nil"/>
            </w:tcBorders>
            <w:shd w:val="clear" w:color="auto" w:fill="auto"/>
          </w:tcPr>
          <w:p w14:paraId="51BE5FFA"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tcBorders>
            <w:shd w:val="clear" w:color="auto" w:fill="auto"/>
          </w:tcPr>
          <w:p w14:paraId="0F74EC8A" w14:textId="5317E1AE" w:rsidR="002E30F6" w:rsidRPr="00D37692" w:rsidRDefault="002E30F6" w:rsidP="00D37692">
            <w:pPr>
              <w:pStyle w:val="Default"/>
              <w:jc w:val="center"/>
              <w:rPr>
                <w:color w:val="auto"/>
                <w:sz w:val="22"/>
                <w:lang w:val="hr-HR"/>
              </w:rPr>
            </w:pPr>
            <w:r w:rsidRPr="00D37692">
              <w:rPr>
                <w:color w:val="auto"/>
                <w:sz w:val="22"/>
                <w:lang w:val="hr-HR"/>
              </w:rPr>
              <w:t>(0,77; 1,14)</w:t>
            </w:r>
          </w:p>
        </w:tc>
        <w:tc>
          <w:tcPr>
            <w:tcW w:w="2103" w:type="dxa"/>
            <w:tcBorders>
              <w:top w:val="nil"/>
              <w:right w:val="single" w:sz="4" w:space="0" w:color="auto"/>
            </w:tcBorders>
            <w:shd w:val="clear" w:color="auto" w:fill="auto"/>
          </w:tcPr>
          <w:p w14:paraId="13A32122" w14:textId="5639AC72" w:rsidR="002E30F6" w:rsidRPr="00D37692" w:rsidRDefault="002E30F6" w:rsidP="00D37692">
            <w:pPr>
              <w:pStyle w:val="Default"/>
              <w:jc w:val="center"/>
              <w:rPr>
                <w:color w:val="auto"/>
                <w:sz w:val="22"/>
                <w:lang w:val="hr-HR"/>
              </w:rPr>
            </w:pPr>
            <w:r w:rsidRPr="00D37692">
              <w:rPr>
                <w:color w:val="auto"/>
                <w:sz w:val="22"/>
                <w:lang w:val="hr-HR"/>
              </w:rPr>
              <w:t>(0,63, 0,96)</w:t>
            </w:r>
          </w:p>
        </w:tc>
      </w:tr>
      <w:tr w:rsidR="002E30F6" w:rsidRPr="00D6167B" w14:paraId="7A15692C" w14:textId="77777777" w:rsidTr="002C0B97">
        <w:trPr>
          <w:cantSplit/>
        </w:trPr>
        <w:tc>
          <w:tcPr>
            <w:tcW w:w="9278" w:type="dxa"/>
            <w:gridSpan w:val="4"/>
            <w:tcBorders>
              <w:left w:val="single" w:sz="4" w:space="0" w:color="auto"/>
              <w:bottom w:val="single" w:sz="4" w:space="0" w:color="auto"/>
              <w:right w:val="single" w:sz="4" w:space="0" w:color="auto"/>
            </w:tcBorders>
            <w:shd w:val="clear" w:color="auto" w:fill="auto"/>
          </w:tcPr>
          <w:p w14:paraId="10146939" w14:textId="77777777" w:rsidR="002E30F6" w:rsidRPr="00D37692" w:rsidRDefault="002E30F6" w:rsidP="007608DF">
            <w:pPr>
              <w:pStyle w:val="Default"/>
              <w:jc w:val="both"/>
              <w:rPr>
                <w:color w:val="auto"/>
                <w:sz w:val="22"/>
                <w:lang w:val="hr-HR"/>
              </w:rPr>
            </w:pPr>
            <w:r w:rsidRPr="00D37692">
              <w:rPr>
                <w:color w:val="auto"/>
                <w:sz w:val="22"/>
                <w:lang w:val="hr-HR"/>
              </w:rPr>
              <w:t xml:space="preserve">Randomizovani pacijenti sa bolešću stadijuma IV </w:t>
            </w:r>
          </w:p>
        </w:tc>
      </w:tr>
      <w:tr w:rsidR="002E30F6" w:rsidRPr="00D6167B" w14:paraId="177ED471" w14:textId="77777777" w:rsidTr="002C0B97">
        <w:trPr>
          <w:cantSplit/>
        </w:trPr>
        <w:tc>
          <w:tcPr>
            <w:tcW w:w="2970" w:type="dxa"/>
            <w:tcBorders>
              <w:left w:val="single" w:sz="4" w:space="0" w:color="auto"/>
              <w:bottom w:val="nil"/>
            </w:tcBorders>
            <w:shd w:val="clear" w:color="auto" w:fill="auto"/>
          </w:tcPr>
          <w:p w14:paraId="2270C967" w14:textId="77777777" w:rsidR="002E30F6" w:rsidRPr="00D37692" w:rsidRDefault="002E30F6" w:rsidP="007608DF">
            <w:pPr>
              <w:pStyle w:val="Default"/>
              <w:jc w:val="both"/>
              <w:rPr>
                <w:color w:val="auto"/>
                <w:sz w:val="22"/>
                <w:lang w:val="hr-HR"/>
              </w:rPr>
            </w:pPr>
          </w:p>
        </w:tc>
        <w:tc>
          <w:tcPr>
            <w:tcW w:w="2102" w:type="dxa"/>
            <w:tcBorders>
              <w:bottom w:val="nil"/>
            </w:tcBorders>
            <w:shd w:val="clear" w:color="auto" w:fill="auto"/>
          </w:tcPr>
          <w:p w14:paraId="5BEB372D" w14:textId="7D998241" w:rsidR="002E30F6" w:rsidRPr="00D37692" w:rsidRDefault="002E30F6" w:rsidP="00D37692">
            <w:pPr>
              <w:pStyle w:val="Default"/>
              <w:jc w:val="center"/>
              <w:rPr>
                <w:color w:val="auto"/>
                <w:sz w:val="22"/>
                <w:lang w:val="hr-HR"/>
              </w:rPr>
            </w:pPr>
            <w:r w:rsidRPr="00D37692">
              <w:rPr>
                <w:color w:val="auto"/>
                <w:sz w:val="22"/>
                <w:lang w:val="hr-HR"/>
              </w:rPr>
              <w:t>CPP</w:t>
            </w:r>
          </w:p>
        </w:tc>
        <w:tc>
          <w:tcPr>
            <w:tcW w:w="2103" w:type="dxa"/>
            <w:tcBorders>
              <w:bottom w:val="nil"/>
            </w:tcBorders>
            <w:shd w:val="clear" w:color="auto" w:fill="auto"/>
          </w:tcPr>
          <w:p w14:paraId="69B0B37B" w14:textId="0526E696" w:rsidR="002E30F6" w:rsidRPr="00D37692" w:rsidRDefault="002E30F6" w:rsidP="00D37692">
            <w:pPr>
              <w:pStyle w:val="Default"/>
              <w:jc w:val="center"/>
              <w:rPr>
                <w:color w:val="auto"/>
                <w:sz w:val="22"/>
                <w:lang w:val="hr-HR"/>
              </w:rPr>
            </w:pPr>
            <w:r w:rsidRPr="00D37692">
              <w:rPr>
                <w:color w:val="auto"/>
                <w:sz w:val="22"/>
                <w:lang w:val="hr-HR"/>
              </w:rPr>
              <w:t>CPB15</w:t>
            </w:r>
          </w:p>
        </w:tc>
        <w:tc>
          <w:tcPr>
            <w:tcW w:w="2103" w:type="dxa"/>
            <w:tcBorders>
              <w:bottom w:val="nil"/>
              <w:right w:val="single" w:sz="4" w:space="0" w:color="auto"/>
            </w:tcBorders>
            <w:shd w:val="clear" w:color="auto" w:fill="auto"/>
          </w:tcPr>
          <w:p w14:paraId="3AE2525F" w14:textId="4068BC6B" w:rsidR="002E30F6" w:rsidRPr="00D37692" w:rsidRDefault="002E30F6" w:rsidP="00D37692">
            <w:pPr>
              <w:pStyle w:val="Default"/>
              <w:jc w:val="center"/>
              <w:rPr>
                <w:color w:val="auto"/>
                <w:sz w:val="22"/>
                <w:lang w:val="hr-HR"/>
              </w:rPr>
            </w:pPr>
            <w:r w:rsidRPr="00D37692">
              <w:rPr>
                <w:color w:val="auto"/>
                <w:sz w:val="22"/>
                <w:lang w:val="hr-HR"/>
              </w:rPr>
              <w:t>CPB15+</w:t>
            </w:r>
          </w:p>
        </w:tc>
      </w:tr>
      <w:tr w:rsidR="002E30F6" w:rsidRPr="00D6167B" w14:paraId="06C905FD" w14:textId="77777777" w:rsidTr="002C0B97">
        <w:trPr>
          <w:cantSplit/>
        </w:trPr>
        <w:tc>
          <w:tcPr>
            <w:tcW w:w="2970" w:type="dxa"/>
            <w:tcBorders>
              <w:top w:val="nil"/>
              <w:left w:val="single" w:sz="4" w:space="0" w:color="auto"/>
              <w:bottom w:val="nil"/>
            </w:tcBorders>
            <w:shd w:val="clear" w:color="auto" w:fill="auto"/>
          </w:tcPr>
          <w:p w14:paraId="77A8A2ED" w14:textId="77777777" w:rsidR="002E30F6" w:rsidRPr="00D6167B" w:rsidRDefault="002E30F6" w:rsidP="007608DF">
            <w:pPr>
              <w:widowControl/>
              <w:jc w:val="both"/>
              <w:rPr>
                <w:rFonts w:ascii="Times New Roman" w:eastAsia="Times New Roman" w:hAnsi="Times New Roman"/>
                <w:lang w:val="hr-HR"/>
              </w:rPr>
            </w:pPr>
          </w:p>
        </w:tc>
        <w:tc>
          <w:tcPr>
            <w:tcW w:w="2102" w:type="dxa"/>
            <w:tcBorders>
              <w:top w:val="nil"/>
              <w:bottom w:val="nil"/>
            </w:tcBorders>
            <w:shd w:val="clear" w:color="auto" w:fill="auto"/>
          </w:tcPr>
          <w:p w14:paraId="1B7F60ED" w14:textId="0D1129FE" w:rsidR="002E30F6" w:rsidRPr="00D37692" w:rsidRDefault="002E30F6" w:rsidP="00D37692">
            <w:pPr>
              <w:pStyle w:val="Default"/>
              <w:jc w:val="center"/>
              <w:rPr>
                <w:color w:val="auto"/>
                <w:sz w:val="22"/>
                <w:lang w:val="hr-HR"/>
              </w:rPr>
            </w:pPr>
            <w:r w:rsidRPr="00D37692">
              <w:rPr>
                <w:color w:val="auto"/>
                <w:sz w:val="22"/>
                <w:lang w:val="hr-HR"/>
              </w:rPr>
              <w:t>(n=153)</w:t>
            </w:r>
          </w:p>
        </w:tc>
        <w:tc>
          <w:tcPr>
            <w:tcW w:w="2103" w:type="dxa"/>
            <w:tcBorders>
              <w:top w:val="nil"/>
              <w:bottom w:val="nil"/>
            </w:tcBorders>
            <w:shd w:val="clear" w:color="auto" w:fill="auto"/>
          </w:tcPr>
          <w:p w14:paraId="00B61D46" w14:textId="6684B5EF" w:rsidR="002E30F6" w:rsidRPr="00D37692" w:rsidRDefault="002E30F6" w:rsidP="00D37692">
            <w:pPr>
              <w:pStyle w:val="Default"/>
              <w:jc w:val="center"/>
              <w:rPr>
                <w:color w:val="auto"/>
                <w:sz w:val="22"/>
                <w:lang w:val="hr-HR"/>
              </w:rPr>
            </w:pPr>
            <w:r w:rsidRPr="00D37692">
              <w:rPr>
                <w:color w:val="auto"/>
                <w:sz w:val="22"/>
                <w:lang w:val="hr-HR"/>
              </w:rPr>
              <w:t>(n=165)</w:t>
            </w:r>
          </w:p>
        </w:tc>
        <w:tc>
          <w:tcPr>
            <w:tcW w:w="2103" w:type="dxa"/>
            <w:tcBorders>
              <w:top w:val="nil"/>
              <w:bottom w:val="nil"/>
              <w:right w:val="single" w:sz="4" w:space="0" w:color="auto"/>
            </w:tcBorders>
            <w:shd w:val="clear" w:color="auto" w:fill="auto"/>
          </w:tcPr>
          <w:p w14:paraId="658DAA3E" w14:textId="77777777" w:rsidR="002E30F6" w:rsidRPr="00D37692" w:rsidRDefault="002E30F6" w:rsidP="00D37692">
            <w:pPr>
              <w:pStyle w:val="Default"/>
              <w:jc w:val="center"/>
              <w:rPr>
                <w:color w:val="auto"/>
                <w:sz w:val="22"/>
                <w:lang w:val="hr-HR"/>
              </w:rPr>
            </w:pPr>
            <w:r w:rsidRPr="00D37692">
              <w:rPr>
                <w:color w:val="auto"/>
                <w:sz w:val="22"/>
                <w:lang w:val="hr-HR"/>
              </w:rPr>
              <w:t>(n=165)</w:t>
            </w:r>
          </w:p>
        </w:tc>
      </w:tr>
      <w:tr w:rsidR="002E30F6" w:rsidRPr="00D6167B" w14:paraId="2D716706" w14:textId="77777777" w:rsidTr="002C0B97">
        <w:trPr>
          <w:cantSplit/>
        </w:trPr>
        <w:tc>
          <w:tcPr>
            <w:tcW w:w="2970" w:type="dxa"/>
            <w:tcBorders>
              <w:top w:val="nil"/>
              <w:left w:val="single" w:sz="4" w:space="0" w:color="auto"/>
              <w:bottom w:val="nil"/>
            </w:tcBorders>
            <w:shd w:val="clear" w:color="auto" w:fill="auto"/>
          </w:tcPr>
          <w:p w14:paraId="68F76458"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p>
        </w:tc>
        <w:tc>
          <w:tcPr>
            <w:tcW w:w="2102" w:type="dxa"/>
            <w:tcBorders>
              <w:top w:val="nil"/>
              <w:bottom w:val="nil"/>
            </w:tcBorders>
            <w:shd w:val="clear" w:color="auto" w:fill="auto"/>
          </w:tcPr>
          <w:p w14:paraId="75D16EF7" w14:textId="0C4488AA" w:rsidR="002E30F6" w:rsidRPr="00D37692" w:rsidRDefault="002E30F6" w:rsidP="00D37692">
            <w:pPr>
              <w:pStyle w:val="Default"/>
              <w:jc w:val="center"/>
              <w:rPr>
                <w:color w:val="auto"/>
                <w:sz w:val="22"/>
                <w:lang w:val="hr-HR"/>
              </w:rPr>
            </w:pPr>
            <w:r w:rsidRPr="00D37692">
              <w:rPr>
                <w:color w:val="auto"/>
                <w:sz w:val="22"/>
                <w:lang w:val="hr-HR"/>
              </w:rPr>
              <w:t>9,5</w:t>
            </w:r>
          </w:p>
        </w:tc>
        <w:tc>
          <w:tcPr>
            <w:tcW w:w="2103" w:type="dxa"/>
            <w:tcBorders>
              <w:top w:val="nil"/>
              <w:bottom w:val="nil"/>
            </w:tcBorders>
            <w:shd w:val="clear" w:color="auto" w:fill="auto"/>
          </w:tcPr>
          <w:p w14:paraId="7E9AE240" w14:textId="3C3B9862" w:rsidR="002E30F6" w:rsidRPr="00D37692" w:rsidRDefault="002E30F6" w:rsidP="00D37692">
            <w:pPr>
              <w:pStyle w:val="Default"/>
              <w:jc w:val="center"/>
              <w:rPr>
                <w:color w:val="auto"/>
                <w:sz w:val="22"/>
                <w:lang w:val="hr-HR"/>
              </w:rPr>
            </w:pPr>
            <w:r w:rsidRPr="00D37692">
              <w:rPr>
                <w:color w:val="auto"/>
                <w:sz w:val="22"/>
                <w:lang w:val="hr-HR"/>
              </w:rPr>
              <w:t>10,4</w:t>
            </w:r>
          </w:p>
        </w:tc>
        <w:tc>
          <w:tcPr>
            <w:tcW w:w="2103" w:type="dxa"/>
            <w:tcBorders>
              <w:top w:val="nil"/>
              <w:bottom w:val="nil"/>
              <w:right w:val="single" w:sz="4" w:space="0" w:color="auto"/>
            </w:tcBorders>
            <w:shd w:val="clear" w:color="auto" w:fill="auto"/>
          </w:tcPr>
          <w:p w14:paraId="16E6C071" w14:textId="77777777" w:rsidR="002E30F6" w:rsidRPr="00D37692" w:rsidRDefault="002E30F6" w:rsidP="00D37692">
            <w:pPr>
              <w:pStyle w:val="Default"/>
              <w:jc w:val="center"/>
              <w:rPr>
                <w:color w:val="auto"/>
                <w:sz w:val="22"/>
                <w:lang w:val="hr-HR"/>
              </w:rPr>
            </w:pPr>
            <w:r w:rsidRPr="00D37692">
              <w:rPr>
                <w:color w:val="auto"/>
                <w:sz w:val="22"/>
                <w:lang w:val="hr-HR"/>
              </w:rPr>
              <w:t>12,8</w:t>
            </w:r>
          </w:p>
        </w:tc>
      </w:tr>
      <w:tr w:rsidR="002E30F6" w:rsidRPr="00D6167B" w14:paraId="58AF6843" w14:textId="77777777" w:rsidTr="002C0B97">
        <w:trPr>
          <w:cantSplit/>
        </w:trPr>
        <w:tc>
          <w:tcPr>
            <w:tcW w:w="2970" w:type="dxa"/>
            <w:tcBorders>
              <w:top w:val="nil"/>
              <w:left w:val="single" w:sz="4" w:space="0" w:color="auto"/>
              <w:bottom w:val="nil"/>
            </w:tcBorders>
            <w:shd w:val="clear" w:color="auto" w:fill="auto"/>
          </w:tcPr>
          <w:p w14:paraId="728A1EF4"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4</w:t>
            </w:r>
            <w:r w:rsidRPr="00D37692">
              <w:rPr>
                <w:color w:val="auto"/>
                <w:sz w:val="22"/>
                <w:lang w:val="hr-HR"/>
              </w:rPr>
              <w:t xml:space="preserve"> </w:t>
            </w:r>
          </w:p>
        </w:tc>
        <w:tc>
          <w:tcPr>
            <w:tcW w:w="2102" w:type="dxa"/>
            <w:tcBorders>
              <w:top w:val="nil"/>
              <w:bottom w:val="nil"/>
            </w:tcBorders>
            <w:shd w:val="clear" w:color="auto" w:fill="auto"/>
          </w:tcPr>
          <w:p w14:paraId="37D2654F" w14:textId="77777777" w:rsidR="002E30F6" w:rsidRPr="00D6167B" w:rsidRDefault="002E30F6" w:rsidP="00D37692">
            <w:pPr>
              <w:widowControl/>
              <w:jc w:val="center"/>
              <w:rPr>
                <w:rFonts w:ascii="Times New Roman" w:eastAsia="Times New Roman" w:hAnsi="Times New Roman"/>
                <w:lang w:val="hr-HR"/>
              </w:rPr>
            </w:pPr>
          </w:p>
        </w:tc>
        <w:tc>
          <w:tcPr>
            <w:tcW w:w="2103" w:type="dxa"/>
            <w:tcBorders>
              <w:top w:val="nil"/>
              <w:bottom w:val="nil"/>
            </w:tcBorders>
            <w:shd w:val="clear" w:color="auto" w:fill="auto"/>
          </w:tcPr>
          <w:p w14:paraId="1D856C7B" w14:textId="5551AB09" w:rsidR="002E30F6" w:rsidRPr="00D37692" w:rsidRDefault="002E30F6" w:rsidP="00D37692">
            <w:pPr>
              <w:pStyle w:val="Default"/>
              <w:jc w:val="center"/>
              <w:rPr>
                <w:color w:val="auto"/>
                <w:sz w:val="22"/>
                <w:lang w:val="hr-HR"/>
              </w:rPr>
            </w:pPr>
            <w:r w:rsidRPr="00D37692">
              <w:rPr>
                <w:color w:val="auto"/>
                <w:sz w:val="22"/>
                <w:lang w:val="hr-HR"/>
              </w:rPr>
              <w:t>0,90</w:t>
            </w:r>
          </w:p>
        </w:tc>
        <w:tc>
          <w:tcPr>
            <w:tcW w:w="2103" w:type="dxa"/>
            <w:tcBorders>
              <w:top w:val="nil"/>
              <w:bottom w:val="nil"/>
              <w:right w:val="single" w:sz="4" w:space="0" w:color="auto"/>
            </w:tcBorders>
            <w:shd w:val="clear" w:color="auto" w:fill="auto"/>
          </w:tcPr>
          <w:p w14:paraId="229F69ED" w14:textId="391B6464" w:rsidR="002E30F6" w:rsidRPr="00D37692" w:rsidRDefault="002E30F6" w:rsidP="00D37692">
            <w:pPr>
              <w:pStyle w:val="Default"/>
              <w:jc w:val="center"/>
              <w:rPr>
                <w:color w:val="auto"/>
                <w:sz w:val="22"/>
                <w:lang w:val="hr-HR"/>
              </w:rPr>
            </w:pPr>
            <w:r w:rsidRPr="00D37692">
              <w:rPr>
                <w:color w:val="auto"/>
                <w:sz w:val="22"/>
                <w:lang w:val="hr-HR"/>
              </w:rPr>
              <w:t>0,64</w:t>
            </w:r>
          </w:p>
        </w:tc>
      </w:tr>
      <w:tr w:rsidR="002E30F6" w:rsidRPr="00D6167B" w14:paraId="1CEB6280" w14:textId="77777777" w:rsidTr="002C0B97">
        <w:trPr>
          <w:cantSplit/>
        </w:trPr>
        <w:tc>
          <w:tcPr>
            <w:tcW w:w="2970" w:type="dxa"/>
            <w:tcBorders>
              <w:top w:val="nil"/>
              <w:left w:val="single" w:sz="4" w:space="0" w:color="auto"/>
              <w:bottom w:val="single" w:sz="4" w:space="0" w:color="auto"/>
            </w:tcBorders>
            <w:shd w:val="clear" w:color="auto" w:fill="auto"/>
          </w:tcPr>
          <w:p w14:paraId="5C3FB0E6" w14:textId="77777777" w:rsidR="002E30F6" w:rsidRPr="00D37692" w:rsidRDefault="002E30F6" w:rsidP="007608DF">
            <w:pPr>
              <w:pStyle w:val="Default"/>
              <w:jc w:val="both"/>
              <w:rPr>
                <w:color w:val="auto"/>
                <w:sz w:val="22"/>
                <w:lang w:val="hr-HR"/>
              </w:rPr>
            </w:pPr>
          </w:p>
        </w:tc>
        <w:tc>
          <w:tcPr>
            <w:tcW w:w="2102" w:type="dxa"/>
            <w:tcBorders>
              <w:top w:val="nil"/>
              <w:bottom w:val="single" w:sz="4" w:space="0" w:color="auto"/>
            </w:tcBorders>
            <w:shd w:val="clear" w:color="auto" w:fill="auto"/>
          </w:tcPr>
          <w:p w14:paraId="12724A3D" w14:textId="77777777" w:rsidR="002E30F6" w:rsidRPr="00D6167B" w:rsidRDefault="002E30F6" w:rsidP="007608DF">
            <w:pPr>
              <w:widowControl/>
              <w:jc w:val="both"/>
              <w:rPr>
                <w:rFonts w:ascii="Times New Roman" w:eastAsia="Times New Roman" w:hAnsi="Times New Roman"/>
                <w:lang w:val="hr-HR"/>
              </w:rPr>
            </w:pPr>
          </w:p>
        </w:tc>
        <w:tc>
          <w:tcPr>
            <w:tcW w:w="2103" w:type="dxa"/>
            <w:tcBorders>
              <w:top w:val="nil"/>
              <w:bottom w:val="single" w:sz="4" w:space="0" w:color="auto"/>
            </w:tcBorders>
            <w:shd w:val="clear" w:color="auto" w:fill="auto"/>
          </w:tcPr>
          <w:p w14:paraId="4596C21A" w14:textId="6AE72E49" w:rsidR="002E30F6" w:rsidRPr="00D37692" w:rsidRDefault="002E30F6" w:rsidP="00D37692">
            <w:pPr>
              <w:pStyle w:val="Default"/>
              <w:jc w:val="center"/>
              <w:rPr>
                <w:color w:val="auto"/>
                <w:sz w:val="22"/>
                <w:lang w:val="hr-HR"/>
              </w:rPr>
            </w:pPr>
            <w:r w:rsidRPr="00D37692">
              <w:rPr>
                <w:color w:val="auto"/>
                <w:sz w:val="22"/>
                <w:lang w:val="hr-HR"/>
              </w:rPr>
              <w:t>(0,70; 1,16)</w:t>
            </w:r>
          </w:p>
        </w:tc>
        <w:tc>
          <w:tcPr>
            <w:tcW w:w="2103" w:type="dxa"/>
            <w:tcBorders>
              <w:top w:val="nil"/>
              <w:bottom w:val="single" w:sz="4" w:space="0" w:color="auto"/>
              <w:right w:val="single" w:sz="4" w:space="0" w:color="auto"/>
            </w:tcBorders>
            <w:shd w:val="clear" w:color="auto" w:fill="auto"/>
          </w:tcPr>
          <w:p w14:paraId="43A14546" w14:textId="41E79E2E" w:rsidR="002E30F6" w:rsidRPr="00D37692" w:rsidRDefault="002E30F6" w:rsidP="00D37692">
            <w:pPr>
              <w:pStyle w:val="Default"/>
              <w:jc w:val="center"/>
              <w:rPr>
                <w:color w:val="auto"/>
                <w:sz w:val="22"/>
                <w:lang w:val="hr-HR"/>
              </w:rPr>
            </w:pPr>
            <w:r w:rsidRPr="00D37692">
              <w:rPr>
                <w:color w:val="auto"/>
                <w:sz w:val="22"/>
                <w:lang w:val="hr-HR"/>
              </w:rPr>
              <w:t>(0,49, 0,82)</w:t>
            </w:r>
          </w:p>
        </w:tc>
      </w:tr>
    </w:tbl>
    <w:p w14:paraId="0D2E9AB3"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1</w:t>
      </w:r>
      <w:r w:rsidRPr="00D37692">
        <w:rPr>
          <w:rFonts w:ascii="Times New Roman" w:hAnsi="Times New Roman"/>
          <w:sz w:val="20"/>
          <w:lang w:val="hr-HR"/>
        </w:rPr>
        <w:t xml:space="preserve"> </w:t>
      </w:r>
      <w:r w:rsidRPr="00D37692">
        <w:rPr>
          <w:rFonts w:ascii="Times New Roman" w:hAnsi="Times New Roman"/>
          <w:sz w:val="20"/>
          <w:lang w:val="hr-HR"/>
        </w:rPr>
        <w:tab/>
        <w:t>Istraživači su procjenjivali PFS specificiran u GOG protokolu (nije bilo cenzure za CA-125 progresiju ni za NPT prije progresije bolesti) sa datumom presjeka za podatke 25. februara 2010.</w:t>
      </w:r>
    </w:p>
    <w:p w14:paraId="4FF18278"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2</w:t>
      </w:r>
      <w:r w:rsidRPr="00D37692">
        <w:rPr>
          <w:rFonts w:ascii="Times New Roman" w:hAnsi="Times New Roman"/>
          <w:sz w:val="20"/>
          <w:lang w:val="hr-HR"/>
        </w:rPr>
        <w:t xml:space="preserve"> </w:t>
      </w:r>
      <w:r w:rsidRPr="00D37692">
        <w:rPr>
          <w:rFonts w:ascii="Times New Roman" w:hAnsi="Times New Roman"/>
          <w:sz w:val="20"/>
          <w:lang w:val="hr-HR"/>
        </w:rPr>
        <w:tab/>
        <w:t>Sa velikim rezidualnim tumorom.</w:t>
      </w:r>
    </w:p>
    <w:p w14:paraId="7F270D55"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3</w:t>
      </w:r>
      <w:r w:rsidRPr="00D37692">
        <w:rPr>
          <w:rFonts w:ascii="Times New Roman" w:hAnsi="Times New Roman"/>
          <w:sz w:val="20"/>
          <w:lang w:val="hr-HR"/>
        </w:rPr>
        <w:t xml:space="preserve"> </w:t>
      </w:r>
      <w:r w:rsidRPr="00D37692">
        <w:rPr>
          <w:rFonts w:ascii="Times New Roman" w:hAnsi="Times New Roman"/>
          <w:sz w:val="20"/>
          <w:lang w:val="hr-HR"/>
        </w:rPr>
        <w:tab/>
        <w:t>3,7% ukupne populacije randomizovanih pacijenata imalo je bolest stadijuma IIIB.</w:t>
      </w:r>
    </w:p>
    <w:p w14:paraId="18376A9F" w14:textId="77777777" w:rsidR="002E30F6" w:rsidRPr="00D6167B" w:rsidRDefault="002E30F6" w:rsidP="007608DF">
      <w:pPr>
        <w:widowControl/>
        <w:ind w:left="288" w:hanging="288"/>
        <w:jc w:val="both"/>
        <w:rPr>
          <w:rFonts w:ascii="Times New Roman" w:eastAsia="Times New Roman" w:hAnsi="Times New Roman"/>
          <w:lang w:val="hr-HR"/>
        </w:rPr>
      </w:pPr>
      <w:r w:rsidRPr="00D37692">
        <w:rPr>
          <w:rFonts w:ascii="Times New Roman" w:hAnsi="Times New Roman"/>
          <w:sz w:val="20"/>
          <w:vertAlign w:val="superscript"/>
          <w:lang w:val="hr-HR"/>
        </w:rPr>
        <w:t>4</w:t>
      </w:r>
      <w:r w:rsidRPr="00D37692">
        <w:rPr>
          <w:rFonts w:ascii="Times New Roman" w:hAnsi="Times New Roman"/>
          <w:sz w:val="20"/>
          <w:lang w:val="hr-HR"/>
        </w:rPr>
        <w:t xml:space="preserve"> </w:t>
      </w:r>
      <w:r w:rsidRPr="00D37692">
        <w:rPr>
          <w:rFonts w:ascii="Times New Roman" w:hAnsi="Times New Roman"/>
          <w:sz w:val="20"/>
          <w:lang w:val="hr-HR"/>
        </w:rPr>
        <w:tab/>
        <w:t>U odnosu na kontroln</w:t>
      </w:r>
      <w:r w:rsidR="00950CD9" w:rsidRPr="00D37692">
        <w:rPr>
          <w:rFonts w:ascii="Times New Roman" w:hAnsi="Times New Roman"/>
          <w:sz w:val="20"/>
          <w:lang w:val="hr-HR"/>
        </w:rPr>
        <w:t>u</w:t>
      </w:r>
      <w:r w:rsidRPr="00D37692">
        <w:rPr>
          <w:rFonts w:ascii="Times New Roman" w:hAnsi="Times New Roman"/>
          <w:sz w:val="20"/>
          <w:lang w:val="hr-HR"/>
        </w:rPr>
        <w:t xml:space="preserve"> </w:t>
      </w:r>
      <w:r w:rsidR="00950CD9" w:rsidRPr="00D37692">
        <w:rPr>
          <w:rFonts w:ascii="Times New Roman" w:hAnsi="Times New Roman"/>
          <w:sz w:val="20"/>
          <w:lang w:val="hr-HR"/>
        </w:rPr>
        <w:t>grupu</w:t>
      </w:r>
      <w:r w:rsidRPr="00D37692">
        <w:rPr>
          <w:rFonts w:ascii="Times New Roman" w:hAnsi="Times New Roman"/>
          <w:sz w:val="20"/>
          <w:lang w:val="hr-HR"/>
        </w:rPr>
        <w:t>.</w:t>
      </w:r>
    </w:p>
    <w:p w14:paraId="2102093D" w14:textId="77777777" w:rsidR="002E30F6" w:rsidRPr="00D6167B" w:rsidRDefault="002E30F6" w:rsidP="007608DF">
      <w:pPr>
        <w:widowControl/>
        <w:jc w:val="both"/>
        <w:rPr>
          <w:rFonts w:ascii="Times New Roman" w:eastAsia="Times New Roman" w:hAnsi="Times New Roman"/>
          <w:lang w:val="hr-HR"/>
        </w:rPr>
      </w:pPr>
    </w:p>
    <w:p w14:paraId="66293AD4" w14:textId="77777777" w:rsidR="002E30F6" w:rsidRPr="00D6167B" w:rsidRDefault="002E30F6" w:rsidP="007608DF">
      <w:pPr>
        <w:widowControl/>
        <w:spacing w:line="252" w:lineRule="exact"/>
        <w:jc w:val="both"/>
        <w:rPr>
          <w:rFonts w:ascii="Times New Roman" w:eastAsia="Times New Roman" w:hAnsi="Times New Roman"/>
          <w:lang w:val="hr-HR"/>
        </w:rPr>
      </w:pPr>
      <w:r w:rsidRPr="00D6167B">
        <w:rPr>
          <w:rFonts w:ascii="Times New Roman"/>
          <w:i/>
          <w:lang w:val="hr-HR"/>
        </w:rPr>
        <w:t>BO17707 (ICON7)</w:t>
      </w:r>
    </w:p>
    <w:p w14:paraId="56C2D6C4" w14:textId="6DAC27B2" w:rsidR="002E30F6" w:rsidRPr="00D6167B" w:rsidRDefault="002E30F6" w:rsidP="007608DF">
      <w:pPr>
        <w:pStyle w:val="BodyText"/>
        <w:widowControl/>
        <w:ind w:left="0"/>
        <w:jc w:val="both"/>
        <w:rPr>
          <w:lang w:val="hr-HR"/>
        </w:rPr>
      </w:pPr>
      <w:r w:rsidRPr="00D6167B">
        <w:rPr>
          <w:lang w:val="hr-HR"/>
        </w:rPr>
        <w:t>BO17707 je bila multicentrična randomizovana kontrolisana otvorena studija faze III sa dv</w:t>
      </w:r>
      <w:r w:rsidR="00BA6F28" w:rsidRPr="00D6167B">
        <w:rPr>
          <w:lang w:val="hr-HR"/>
        </w:rPr>
        <w:t>ij</w:t>
      </w:r>
      <w:r w:rsidR="00950CD9" w:rsidRPr="00D6167B">
        <w:rPr>
          <w:lang w:val="hr-HR"/>
        </w:rPr>
        <w:t>e</w:t>
      </w:r>
      <w:r w:rsidRPr="00D6167B">
        <w:rPr>
          <w:lang w:val="hr-HR"/>
        </w:rPr>
        <w:t xml:space="preserve"> </w:t>
      </w:r>
      <w:r w:rsidR="00950CD9" w:rsidRPr="00D6167B">
        <w:rPr>
          <w:lang w:val="hr-HR"/>
        </w:rPr>
        <w:t>grupe</w:t>
      </w:r>
      <w:r w:rsidRPr="00D6167B">
        <w:rPr>
          <w:lang w:val="hr-HR"/>
        </w:rPr>
        <w:t>, koja je poredila dejstvo dodavanja bevacizumaba terapiji karboplatinom i paklitakselom kod pacijenata obol</w:t>
      </w:r>
      <w:r w:rsidR="00FA3926" w:rsidRPr="00D6167B">
        <w:rPr>
          <w:lang w:val="hr-HR"/>
        </w:rPr>
        <w:t>j</w:t>
      </w:r>
      <w:r w:rsidRPr="00D6167B">
        <w:rPr>
          <w:lang w:val="hr-HR"/>
        </w:rPr>
        <w:t>elih od epitelnog karcinoma jajnika, jajovoda ili primarnog peritonealnog karcinoma u FIGO stadijumu I ili IIA (gradus 3 ili samo svijetloćelijski karcinom; n=142) ili FIGO stadijumu IIB-IV (svi gradusi i svi histološki tipovi, n=1386), nakon hirurške intervencije (NCI</w:t>
      </w:r>
      <w:r w:rsidRPr="00D6167B">
        <w:rPr>
          <w:lang w:val="hr-HR"/>
        </w:rPr>
        <w:noBreakHyphen/>
        <w:t xml:space="preserve">CTCAE v.3). U ovom ispitivanju je korišćena verzija FIGO </w:t>
      </w:r>
      <w:r w:rsidR="005F4DC5">
        <w:rPr>
          <w:lang w:val="hr-HR"/>
        </w:rPr>
        <w:t xml:space="preserve">klasifikacije </w:t>
      </w:r>
      <w:r w:rsidRPr="00D6167B">
        <w:rPr>
          <w:lang w:val="hr-HR"/>
        </w:rPr>
        <w:t>iz 1988. godine.</w:t>
      </w:r>
    </w:p>
    <w:p w14:paraId="0BB611CC" w14:textId="77777777" w:rsidR="002E30F6" w:rsidRPr="00D6167B" w:rsidRDefault="002E30F6" w:rsidP="007608DF">
      <w:pPr>
        <w:widowControl/>
        <w:jc w:val="both"/>
        <w:rPr>
          <w:rFonts w:ascii="Times New Roman" w:eastAsia="Times New Roman" w:hAnsi="Times New Roman"/>
          <w:sz w:val="21"/>
          <w:szCs w:val="21"/>
          <w:lang w:val="hr-HR"/>
        </w:rPr>
      </w:pPr>
    </w:p>
    <w:p w14:paraId="62D5647F" w14:textId="77777777" w:rsidR="002E30F6" w:rsidRPr="00D6167B" w:rsidRDefault="002E30F6" w:rsidP="007608DF">
      <w:pPr>
        <w:pStyle w:val="BodyText"/>
        <w:widowControl/>
        <w:ind w:left="0"/>
        <w:jc w:val="both"/>
        <w:rPr>
          <w:lang w:val="hr-HR"/>
        </w:rPr>
      </w:pPr>
      <w:r w:rsidRPr="00D6167B">
        <w:rPr>
          <w:lang w:val="hr-HR"/>
        </w:rPr>
        <w:t xml:space="preserve">Pacijenti koji su prethodno primali terapiju bevacizumabom ili sistemsku anti-karcinomsku terapiju za karcinom jajnika (npr. hemoterapiju, terapiju monoklonskim antitijelima, terapiju inhibitorima tirozin </w:t>
      </w:r>
      <w:r w:rsidRPr="00D6167B">
        <w:rPr>
          <w:lang w:val="hr-HR"/>
        </w:rPr>
        <w:lastRenderedPageBreak/>
        <w:t>kinaze ili hormonsku terapiju), odnosno koji su prethodno bili podvrgnuti radioterapiji abdomena ili karlice bili su isključeni iz studije.</w:t>
      </w:r>
    </w:p>
    <w:p w14:paraId="2F7D4E7B" w14:textId="77777777" w:rsidR="002E30F6" w:rsidRPr="00D6167B" w:rsidRDefault="002E30F6" w:rsidP="007608DF">
      <w:pPr>
        <w:widowControl/>
        <w:jc w:val="both"/>
        <w:rPr>
          <w:rFonts w:ascii="Times New Roman" w:eastAsia="Times New Roman" w:hAnsi="Times New Roman"/>
          <w:lang w:val="hr-HR"/>
        </w:rPr>
      </w:pPr>
    </w:p>
    <w:p w14:paraId="75387F33" w14:textId="007BC178" w:rsidR="002E30F6" w:rsidRPr="00D6167B" w:rsidRDefault="002E30F6" w:rsidP="007608DF">
      <w:pPr>
        <w:pStyle w:val="BodyText"/>
        <w:widowControl/>
        <w:ind w:left="0"/>
        <w:jc w:val="both"/>
        <w:rPr>
          <w:lang w:val="hr-HR"/>
        </w:rPr>
      </w:pPr>
      <w:r w:rsidRPr="00D6167B">
        <w:rPr>
          <w:lang w:val="hr-HR"/>
        </w:rPr>
        <w:t>Randomizovano je ukupno 1528 pacijenata u jednakim razm</w:t>
      </w:r>
      <w:r w:rsidR="00FA3926" w:rsidRPr="00D6167B">
        <w:rPr>
          <w:lang w:val="hr-HR"/>
        </w:rPr>
        <w:t>j</w:t>
      </w:r>
      <w:r w:rsidRPr="00D6167B">
        <w:rPr>
          <w:lang w:val="hr-HR"/>
        </w:rPr>
        <w:t>erama, u sljedeć</w:t>
      </w:r>
      <w:r w:rsidR="00950CD9" w:rsidRPr="00D6167B">
        <w:rPr>
          <w:lang w:val="hr-HR"/>
        </w:rPr>
        <w:t>e</w:t>
      </w:r>
      <w:r w:rsidRPr="00D6167B">
        <w:rPr>
          <w:lang w:val="hr-HR"/>
        </w:rPr>
        <w:t xml:space="preserve"> dv</w:t>
      </w:r>
      <w:r w:rsidR="00950CD9" w:rsidRPr="00D6167B">
        <w:rPr>
          <w:lang w:val="hr-HR"/>
        </w:rPr>
        <w:t>ije</w:t>
      </w:r>
      <w:r w:rsidRPr="00D6167B">
        <w:rPr>
          <w:lang w:val="hr-HR"/>
        </w:rPr>
        <w:t xml:space="preserve"> </w:t>
      </w:r>
      <w:r w:rsidR="00950CD9" w:rsidRPr="00D6167B">
        <w:rPr>
          <w:lang w:val="hr-HR"/>
        </w:rPr>
        <w:t>grupe</w:t>
      </w:r>
      <w:r w:rsidRPr="00D6167B">
        <w:rPr>
          <w:lang w:val="hr-HR"/>
        </w:rPr>
        <w:t>:</w:t>
      </w:r>
    </w:p>
    <w:p w14:paraId="1374C26A" w14:textId="77777777" w:rsidR="002E30F6" w:rsidRPr="00D6167B" w:rsidRDefault="002E30F6" w:rsidP="007608DF">
      <w:pPr>
        <w:widowControl/>
        <w:jc w:val="both"/>
        <w:rPr>
          <w:rFonts w:ascii="Times New Roman" w:eastAsia="Times New Roman" w:hAnsi="Times New Roman"/>
          <w:sz w:val="21"/>
          <w:szCs w:val="21"/>
          <w:lang w:val="hr-HR"/>
        </w:rPr>
      </w:pPr>
    </w:p>
    <w:p w14:paraId="01530BCB" w14:textId="77777777" w:rsidR="002E30F6" w:rsidRPr="00D6167B" w:rsidRDefault="002E30F6" w:rsidP="007608DF">
      <w:pPr>
        <w:pStyle w:val="BodyText"/>
        <w:widowControl/>
        <w:numPr>
          <w:ilvl w:val="2"/>
          <w:numId w:val="33"/>
        </w:numPr>
        <w:ind w:left="562" w:hanging="562"/>
        <w:jc w:val="both"/>
        <w:rPr>
          <w:lang w:val="hr-HR"/>
        </w:rPr>
      </w:pPr>
      <w:r w:rsidRPr="00D6167B">
        <w:rPr>
          <w:lang w:val="hr-HR"/>
        </w:rPr>
        <w:t xml:space="preserve">CP </w:t>
      </w:r>
      <w:r w:rsidR="00950CD9" w:rsidRPr="00D6167B">
        <w:rPr>
          <w:lang w:val="hr-HR"/>
        </w:rPr>
        <w:t>grupa</w:t>
      </w:r>
      <w:r w:rsidRPr="00D6167B">
        <w:rPr>
          <w:lang w:val="hr-HR"/>
        </w:rPr>
        <w:t>: Karboplatin (AUC 6) i paklitaksel (175 mg/m</w:t>
      </w:r>
      <w:r w:rsidRPr="00D6167B">
        <w:rPr>
          <w:vertAlign w:val="superscript"/>
          <w:lang w:val="hr-HR"/>
        </w:rPr>
        <w:t>2</w:t>
      </w:r>
      <w:r w:rsidRPr="00D6167B">
        <w:rPr>
          <w:lang w:val="hr-HR"/>
        </w:rPr>
        <w:t>) tokom 6 ciklusa na 3 nedjelje</w:t>
      </w:r>
    </w:p>
    <w:p w14:paraId="69F80F75" w14:textId="26B9B7FE" w:rsidR="002E30F6" w:rsidRPr="00D6167B" w:rsidRDefault="002E30F6" w:rsidP="007608DF">
      <w:pPr>
        <w:pStyle w:val="BodyText"/>
        <w:widowControl/>
        <w:numPr>
          <w:ilvl w:val="2"/>
          <w:numId w:val="33"/>
        </w:numPr>
        <w:ind w:left="562" w:hanging="562"/>
        <w:jc w:val="both"/>
        <w:rPr>
          <w:lang w:val="hr-HR"/>
        </w:rPr>
      </w:pPr>
      <w:r w:rsidRPr="00D6167B">
        <w:rPr>
          <w:lang w:val="hr-HR"/>
        </w:rPr>
        <w:t xml:space="preserve">CPB7.5+ </w:t>
      </w:r>
      <w:r w:rsidR="00950CD9" w:rsidRPr="00D6167B">
        <w:rPr>
          <w:lang w:val="hr-HR"/>
        </w:rPr>
        <w:t>grupa</w:t>
      </w:r>
      <w:r w:rsidRPr="00D6167B">
        <w:rPr>
          <w:lang w:val="hr-HR"/>
        </w:rPr>
        <w:t>: Karboplatin (AUC 6) i paklitaksel (175 mg/m</w:t>
      </w:r>
      <w:r w:rsidRPr="00D6167B">
        <w:rPr>
          <w:vertAlign w:val="superscript"/>
          <w:lang w:val="hr-HR"/>
        </w:rPr>
        <w:t>2</w:t>
      </w:r>
      <w:r w:rsidRPr="00D6167B">
        <w:rPr>
          <w:lang w:val="hr-HR"/>
        </w:rPr>
        <w:t xml:space="preserve">) tokom 6 ciklusa na 3 nedjelje plus bevacizumab (7,5 mg/kg svake 3 nedjelje) do </w:t>
      </w:r>
      <w:r w:rsidR="007C575C">
        <w:rPr>
          <w:lang w:val="hr-HR"/>
        </w:rPr>
        <w:t xml:space="preserve">najviše </w:t>
      </w:r>
      <w:r w:rsidRPr="00D6167B">
        <w:rPr>
          <w:lang w:val="hr-HR"/>
        </w:rPr>
        <w:t>12 mjeseci (primjena bevacizumaba je započ</w:t>
      </w:r>
      <w:r w:rsidR="007C575C">
        <w:rPr>
          <w:lang w:val="hr-HR"/>
        </w:rPr>
        <w:t>ela</w:t>
      </w:r>
      <w:r w:rsidRPr="00D6167B">
        <w:rPr>
          <w:lang w:val="hr-HR"/>
        </w:rPr>
        <w:t xml:space="preserve"> u 2. ciklusu hemoterapije ako je liječenje započeto unutar 4 nedjelje od hirurške intervencije ili u 1. ciklusu ako je liječenje započeto nakon više od 4 nedjelje od hirurške intervencije).</w:t>
      </w:r>
    </w:p>
    <w:p w14:paraId="6C75FBDB" w14:textId="77777777" w:rsidR="002E30F6" w:rsidRPr="00D6167B" w:rsidRDefault="002E30F6" w:rsidP="007608DF">
      <w:pPr>
        <w:widowControl/>
        <w:jc w:val="both"/>
        <w:rPr>
          <w:rFonts w:ascii="Times New Roman" w:eastAsia="Times New Roman" w:hAnsi="Times New Roman"/>
          <w:lang w:val="hr-HR"/>
        </w:rPr>
      </w:pPr>
    </w:p>
    <w:p w14:paraId="054BEBA3" w14:textId="77777777" w:rsidR="002E30F6" w:rsidRPr="00D6167B" w:rsidRDefault="002E30F6" w:rsidP="007608DF">
      <w:pPr>
        <w:pStyle w:val="BodyText"/>
        <w:widowControl/>
        <w:ind w:left="0"/>
        <w:jc w:val="both"/>
        <w:rPr>
          <w:lang w:val="hr-HR"/>
        </w:rPr>
      </w:pPr>
      <w:r w:rsidRPr="00D6167B">
        <w:rPr>
          <w:lang w:val="hr-HR"/>
        </w:rPr>
        <w:t>Većina pacijenata uključenih u studiju bili su bijele rase (96%), srednja starost je bila 57 godina u ob</w:t>
      </w:r>
      <w:r w:rsidR="00EA1022" w:rsidRPr="00D6167B">
        <w:rPr>
          <w:lang w:val="hr-HR"/>
        </w:rPr>
        <w:t>j</w:t>
      </w:r>
      <w:r w:rsidR="00950CD9" w:rsidRPr="00D6167B">
        <w:rPr>
          <w:lang w:val="hr-HR"/>
        </w:rPr>
        <w:t>e</w:t>
      </w:r>
      <w:r w:rsidRPr="00D6167B">
        <w:rPr>
          <w:lang w:val="hr-HR"/>
        </w:rPr>
        <w:t xml:space="preserve"> </w:t>
      </w:r>
      <w:r w:rsidR="00950CD9" w:rsidRPr="00D6167B">
        <w:rPr>
          <w:lang w:val="hr-HR"/>
        </w:rPr>
        <w:t xml:space="preserve">grupe </w:t>
      </w:r>
      <w:r w:rsidRPr="00D6167B">
        <w:rPr>
          <w:lang w:val="hr-HR"/>
        </w:rPr>
        <w:t>liječenja, 25% pacijenata u svako</w:t>
      </w:r>
      <w:r w:rsidR="00950CD9" w:rsidRPr="00D6167B">
        <w:rPr>
          <w:lang w:val="hr-HR"/>
        </w:rPr>
        <w:t>j</w:t>
      </w:r>
      <w:r w:rsidRPr="00D6167B">
        <w:rPr>
          <w:lang w:val="hr-HR"/>
        </w:rPr>
        <w:t xml:space="preserve"> </w:t>
      </w:r>
      <w:r w:rsidR="00950CD9" w:rsidRPr="00D6167B">
        <w:rPr>
          <w:lang w:val="hr-HR"/>
        </w:rPr>
        <w:t xml:space="preserve">grupi </w:t>
      </w:r>
      <w:r w:rsidRPr="00D6167B">
        <w:rPr>
          <w:lang w:val="hr-HR"/>
        </w:rPr>
        <w:t xml:space="preserve">liječenja je bilo starije od 65 godina, a približno 50% pacijenata je imalo ECOG PS 1; 7% pacijenata u </w:t>
      </w:r>
      <w:r w:rsidR="00950CD9" w:rsidRPr="00D6167B">
        <w:rPr>
          <w:lang w:val="hr-HR"/>
        </w:rPr>
        <w:t xml:space="preserve">svakoj grupi </w:t>
      </w:r>
      <w:r w:rsidRPr="00D6167B">
        <w:rPr>
          <w:lang w:val="hr-HR"/>
        </w:rPr>
        <w:t>liječenja je imalo ECOG PS 2. Većina pacijenata je imala epitelni karcinom jajnika (EOC) (87,7%), zatim primarni peritonealni karcinom (PPC) (6,9%) i karcinom jajovoda (FTC) (3,7%) ili mješoviti karcinom sva tri tipa (1,7%). Većina pacijenata je imala FIGO stadijum III (68% u ob</w:t>
      </w:r>
      <w:r w:rsidR="00EA1022" w:rsidRPr="00D6167B">
        <w:rPr>
          <w:lang w:val="hr-HR"/>
        </w:rPr>
        <w:t>j</w:t>
      </w:r>
      <w:r w:rsidR="00950CD9" w:rsidRPr="00D6167B">
        <w:rPr>
          <w:lang w:val="hr-HR"/>
        </w:rPr>
        <w:t>e</w:t>
      </w:r>
      <w:r w:rsidRPr="00D6167B">
        <w:rPr>
          <w:lang w:val="hr-HR"/>
        </w:rPr>
        <w:t xml:space="preserve"> </w:t>
      </w:r>
      <w:r w:rsidR="00950CD9" w:rsidRPr="00D6167B">
        <w:rPr>
          <w:lang w:val="hr-HR"/>
        </w:rPr>
        <w:t>grupe</w:t>
      </w:r>
      <w:r w:rsidRPr="00D6167B">
        <w:rPr>
          <w:lang w:val="hr-HR"/>
        </w:rPr>
        <w:t>), zatim FIGO stadijum IV (13% i 14%), FIGO stadijum II (10% i 11%) i FIGO stadijum I (9% i 7%). Većina pacijenata u ob</w:t>
      </w:r>
      <w:r w:rsidR="00EA1022" w:rsidRPr="00D6167B">
        <w:rPr>
          <w:lang w:val="hr-HR"/>
        </w:rPr>
        <w:t>je</w:t>
      </w:r>
      <w:r w:rsidRPr="00D6167B">
        <w:rPr>
          <w:lang w:val="hr-HR"/>
        </w:rPr>
        <w:t xml:space="preserve"> </w:t>
      </w:r>
      <w:r w:rsidR="00950CD9" w:rsidRPr="00D6167B">
        <w:rPr>
          <w:lang w:val="hr-HR"/>
        </w:rPr>
        <w:t xml:space="preserve">grupe </w:t>
      </w:r>
      <w:r w:rsidRPr="00D6167B">
        <w:rPr>
          <w:lang w:val="hr-HR"/>
        </w:rPr>
        <w:t>liječenja (74% i 71%) imala je slabo diferencirane primarne tumore na početnom nivou (gradus 3). Incidencija svake histološke podgrupe epitelnog karcinoma jajnika bila je slična u ob</w:t>
      </w:r>
      <w:r w:rsidR="00EA1022" w:rsidRPr="00D6167B">
        <w:rPr>
          <w:lang w:val="hr-HR"/>
        </w:rPr>
        <w:t xml:space="preserve">je grupe </w:t>
      </w:r>
      <w:r w:rsidRPr="00D6167B">
        <w:rPr>
          <w:lang w:val="hr-HR"/>
        </w:rPr>
        <w:t>liječenja: 69% pacijenata u svako</w:t>
      </w:r>
      <w:r w:rsidR="00EA1022" w:rsidRPr="00D6167B">
        <w:rPr>
          <w:lang w:val="hr-HR"/>
        </w:rPr>
        <w:t>j</w:t>
      </w:r>
      <w:r w:rsidRPr="00D6167B">
        <w:rPr>
          <w:lang w:val="hr-HR"/>
        </w:rPr>
        <w:t xml:space="preserve"> </w:t>
      </w:r>
      <w:r w:rsidR="00EA1022" w:rsidRPr="00D6167B">
        <w:rPr>
          <w:lang w:val="hr-HR"/>
        </w:rPr>
        <w:t xml:space="preserve">grupi </w:t>
      </w:r>
      <w:r w:rsidRPr="00D6167B">
        <w:rPr>
          <w:lang w:val="hr-HR"/>
        </w:rPr>
        <w:t>liječenja imalo je tip histologije ozbiljnog adenokarcinoma.</w:t>
      </w:r>
    </w:p>
    <w:p w14:paraId="4C9B6F0E" w14:textId="77777777" w:rsidR="002E30F6" w:rsidRPr="00D6167B" w:rsidRDefault="002E30F6" w:rsidP="007608DF">
      <w:pPr>
        <w:widowControl/>
        <w:jc w:val="both"/>
        <w:rPr>
          <w:rFonts w:ascii="Times New Roman" w:eastAsia="Times New Roman" w:hAnsi="Times New Roman"/>
          <w:lang w:val="hr-HR"/>
        </w:rPr>
      </w:pPr>
    </w:p>
    <w:p w14:paraId="020057B0" w14:textId="77777777" w:rsidR="002E30F6" w:rsidRPr="00D6167B" w:rsidRDefault="002E30F6" w:rsidP="007608DF">
      <w:pPr>
        <w:pStyle w:val="BodyText"/>
        <w:widowControl/>
        <w:ind w:left="0"/>
        <w:jc w:val="both"/>
        <w:rPr>
          <w:lang w:val="hr-HR"/>
        </w:rPr>
      </w:pPr>
      <w:r w:rsidRPr="00D6167B">
        <w:rPr>
          <w:lang w:val="hr-HR"/>
        </w:rPr>
        <w:t>Primarni parametar efikasnosti bio je PFS, prema procjeni istraživača, koji su koristili RECIST.</w:t>
      </w:r>
    </w:p>
    <w:p w14:paraId="6230A81E" w14:textId="77777777" w:rsidR="002E30F6" w:rsidRPr="00D6167B" w:rsidRDefault="002E30F6" w:rsidP="007608DF">
      <w:pPr>
        <w:widowControl/>
        <w:jc w:val="both"/>
        <w:rPr>
          <w:rFonts w:ascii="Times New Roman" w:eastAsia="Times New Roman" w:hAnsi="Times New Roman"/>
          <w:lang w:val="hr-HR"/>
        </w:rPr>
      </w:pPr>
    </w:p>
    <w:p w14:paraId="7FAE750B" w14:textId="77777777" w:rsidR="002E30F6" w:rsidRPr="00D6167B" w:rsidRDefault="002E30F6" w:rsidP="007608DF">
      <w:pPr>
        <w:pStyle w:val="BodyText"/>
        <w:widowControl/>
        <w:ind w:left="0"/>
        <w:jc w:val="both"/>
        <w:rPr>
          <w:lang w:val="hr-HR"/>
        </w:rPr>
      </w:pPr>
      <w:r w:rsidRPr="00D6167B">
        <w:rPr>
          <w:lang w:val="hr-HR"/>
        </w:rPr>
        <w:t>Ispitivanje je postiglo svoj primarni cilj poboljšanja preživljavanja bez progresije bolesti. U poređenju sa pacijentima koji su primali samo hemoterapiju (karboplatin i paklitaksel) u prvoj liniji, pacijenti koju su primali bevacizumab u dozi od 7,5 mg/kg jednom u 3 nedjelje u kombinaciji sa hemoterapijom i zatim nastavili da primaju bevacizumab tokom najviše 18 ciklusa imali su statistički značajno poboljšanje preživljavanja bez progresije bolesti.</w:t>
      </w:r>
    </w:p>
    <w:p w14:paraId="62CD1849" w14:textId="77777777" w:rsidR="002E30F6" w:rsidRPr="00D6167B" w:rsidRDefault="002E30F6" w:rsidP="007608DF">
      <w:pPr>
        <w:widowControl/>
        <w:jc w:val="both"/>
        <w:rPr>
          <w:rFonts w:ascii="Times New Roman" w:eastAsia="Times New Roman" w:hAnsi="Times New Roman"/>
          <w:lang w:val="hr-HR"/>
        </w:rPr>
      </w:pPr>
    </w:p>
    <w:p w14:paraId="71299AEF" w14:textId="77777777" w:rsidR="002E30F6" w:rsidRPr="00D6167B" w:rsidRDefault="002E30F6" w:rsidP="007608DF">
      <w:pPr>
        <w:pStyle w:val="BodyText"/>
        <w:widowControl/>
        <w:ind w:left="0"/>
        <w:jc w:val="both"/>
        <w:rPr>
          <w:lang w:val="hr-HR"/>
        </w:rPr>
      </w:pPr>
      <w:r w:rsidRPr="00D6167B">
        <w:rPr>
          <w:lang w:val="hr-HR"/>
        </w:rPr>
        <w:t>Rezultati ove studije su rezimirani u tabeli 18.</w:t>
      </w:r>
    </w:p>
    <w:p w14:paraId="6429AAAC" w14:textId="77777777" w:rsidR="002E30F6" w:rsidRPr="00D6167B" w:rsidRDefault="002E30F6" w:rsidP="007608DF">
      <w:pPr>
        <w:widowControl/>
        <w:jc w:val="both"/>
        <w:rPr>
          <w:rFonts w:ascii="Times New Roman" w:eastAsia="Times New Roman" w:hAnsi="Times New Roman"/>
          <w:lang w:val="hr-HR"/>
        </w:rPr>
      </w:pPr>
    </w:p>
    <w:p w14:paraId="2D857F66" w14:textId="77777777" w:rsidR="002E30F6" w:rsidRPr="00D6167B" w:rsidRDefault="002E30F6" w:rsidP="007608DF">
      <w:pPr>
        <w:keepNext/>
        <w:widowControl/>
        <w:jc w:val="both"/>
        <w:rPr>
          <w:rFonts w:ascii="Times New Roman" w:eastAsia="Times New Roman" w:hAnsi="Times New Roman"/>
          <w:lang w:val="hr-HR"/>
        </w:rPr>
      </w:pPr>
      <w:r w:rsidRPr="00D6167B">
        <w:rPr>
          <w:rFonts w:ascii="Times New Roman" w:hAnsi="Times New Roman"/>
          <w:b/>
          <w:lang w:val="hr-HR"/>
        </w:rPr>
        <w:t>Tabela 18</w:t>
      </w:r>
      <w:r w:rsidRPr="00D6167B">
        <w:rPr>
          <w:rFonts w:ascii="Times New Roman" w:hAnsi="Times New Roman"/>
          <w:b/>
          <w:lang w:val="hr-HR"/>
        </w:rPr>
        <w:tab/>
        <w:t>Rezultati efikasnosti iz studije BO17707 (ICON7)</w:t>
      </w:r>
    </w:p>
    <w:p w14:paraId="757529A5" w14:textId="77777777" w:rsidR="002E30F6" w:rsidRPr="00D6167B" w:rsidRDefault="002E30F6" w:rsidP="007608DF">
      <w:pPr>
        <w:keepNext/>
        <w:widowControl/>
        <w:jc w:val="both"/>
        <w:rPr>
          <w:rFonts w:ascii="Times New Roman" w:eastAsia="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063"/>
        <w:gridCol w:w="3063"/>
      </w:tblGrid>
      <w:tr w:rsidR="002E30F6" w:rsidRPr="00D6167B" w14:paraId="5CAB8DF8" w14:textId="77777777" w:rsidTr="002C0B97">
        <w:trPr>
          <w:cantSplit/>
        </w:trPr>
        <w:tc>
          <w:tcPr>
            <w:tcW w:w="8910" w:type="dxa"/>
            <w:gridSpan w:val="3"/>
            <w:tcBorders>
              <w:left w:val="single" w:sz="4" w:space="0" w:color="auto"/>
              <w:bottom w:val="nil"/>
            </w:tcBorders>
            <w:shd w:val="clear" w:color="auto" w:fill="auto"/>
          </w:tcPr>
          <w:p w14:paraId="2ACB849F" w14:textId="77777777" w:rsidR="002E30F6" w:rsidRPr="00D37692" w:rsidRDefault="002E30F6" w:rsidP="007608DF">
            <w:pPr>
              <w:pStyle w:val="Default"/>
              <w:keepNext/>
              <w:jc w:val="both"/>
              <w:rPr>
                <w:color w:val="auto"/>
                <w:sz w:val="22"/>
                <w:lang w:val="hr-HR"/>
              </w:rPr>
            </w:pPr>
            <w:r w:rsidRPr="00D37692">
              <w:rPr>
                <w:color w:val="auto"/>
                <w:sz w:val="22"/>
                <w:lang w:val="hr-HR"/>
              </w:rPr>
              <w:t xml:space="preserve">Preživljavanje bez progresije </w:t>
            </w:r>
          </w:p>
        </w:tc>
      </w:tr>
      <w:tr w:rsidR="002E30F6" w:rsidRPr="00D6167B" w14:paraId="7E1BC8BE" w14:textId="77777777" w:rsidTr="002C0B97">
        <w:trPr>
          <w:cantSplit/>
        </w:trPr>
        <w:tc>
          <w:tcPr>
            <w:tcW w:w="2898" w:type="dxa"/>
            <w:tcBorders>
              <w:left w:val="single" w:sz="4" w:space="0" w:color="auto"/>
              <w:bottom w:val="nil"/>
              <w:right w:val="single" w:sz="4" w:space="0" w:color="auto"/>
            </w:tcBorders>
            <w:shd w:val="clear" w:color="auto" w:fill="auto"/>
          </w:tcPr>
          <w:p w14:paraId="3C724480" w14:textId="77777777" w:rsidR="002E30F6" w:rsidRPr="00D6167B" w:rsidRDefault="002E30F6" w:rsidP="007608DF">
            <w:pPr>
              <w:keepNext/>
              <w:widowControl/>
              <w:jc w:val="both"/>
              <w:rPr>
                <w:rFonts w:ascii="Times New Roman" w:eastAsia="Times New Roman" w:hAnsi="Times New Roman"/>
                <w:lang w:val="hr-HR"/>
              </w:rPr>
            </w:pPr>
          </w:p>
        </w:tc>
        <w:tc>
          <w:tcPr>
            <w:tcW w:w="3006" w:type="dxa"/>
            <w:tcBorders>
              <w:top w:val="single" w:sz="4" w:space="0" w:color="auto"/>
              <w:left w:val="single" w:sz="4" w:space="0" w:color="auto"/>
              <w:bottom w:val="nil"/>
              <w:right w:val="single" w:sz="4" w:space="0" w:color="auto"/>
            </w:tcBorders>
            <w:shd w:val="clear" w:color="auto" w:fill="auto"/>
          </w:tcPr>
          <w:p w14:paraId="06BAC170" w14:textId="3DD442DF" w:rsidR="002E30F6" w:rsidRPr="00D37692" w:rsidRDefault="002E30F6" w:rsidP="00D37692">
            <w:pPr>
              <w:pStyle w:val="Default"/>
              <w:keepNext/>
              <w:jc w:val="center"/>
              <w:rPr>
                <w:color w:val="auto"/>
                <w:sz w:val="22"/>
                <w:lang w:val="hr-HR"/>
              </w:rPr>
            </w:pPr>
            <w:r w:rsidRPr="00D37692">
              <w:rPr>
                <w:color w:val="auto"/>
                <w:sz w:val="22"/>
                <w:lang w:val="hr-HR"/>
              </w:rPr>
              <w:t>CP</w:t>
            </w:r>
          </w:p>
        </w:tc>
        <w:tc>
          <w:tcPr>
            <w:tcW w:w="3006" w:type="dxa"/>
            <w:tcBorders>
              <w:left w:val="single" w:sz="4" w:space="0" w:color="auto"/>
              <w:bottom w:val="nil"/>
            </w:tcBorders>
            <w:shd w:val="clear" w:color="auto" w:fill="auto"/>
          </w:tcPr>
          <w:p w14:paraId="459B9E7C" w14:textId="131641D0" w:rsidR="002E30F6" w:rsidRPr="00D37692" w:rsidRDefault="002E30F6" w:rsidP="00D37692">
            <w:pPr>
              <w:pStyle w:val="Default"/>
              <w:keepNext/>
              <w:jc w:val="center"/>
              <w:rPr>
                <w:color w:val="auto"/>
                <w:sz w:val="22"/>
                <w:lang w:val="hr-HR"/>
              </w:rPr>
            </w:pPr>
            <w:r w:rsidRPr="00D37692">
              <w:rPr>
                <w:color w:val="auto"/>
                <w:sz w:val="22"/>
                <w:lang w:val="hr-HR"/>
              </w:rPr>
              <w:t>CPB7.5+</w:t>
            </w:r>
          </w:p>
        </w:tc>
      </w:tr>
      <w:tr w:rsidR="002E30F6" w:rsidRPr="00D6167B" w14:paraId="6BCC273E" w14:textId="77777777" w:rsidTr="002C0B97">
        <w:trPr>
          <w:cantSplit/>
        </w:trPr>
        <w:tc>
          <w:tcPr>
            <w:tcW w:w="2898" w:type="dxa"/>
            <w:tcBorders>
              <w:top w:val="nil"/>
              <w:left w:val="single" w:sz="4" w:space="0" w:color="auto"/>
              <w:bottom w:val="nil"/>
              <w:right w:val="single" w:sz="4" w:space="0" w:color="auto"/>
            </w:tcBorders>
            <w:shd w:val="clear" w:color="auto" w:fill="auto"/>
          </w:tcPr>
          <w:p w14:paraId="0AF12F17" w14:textId="77777777" w:rsidR="002E30F6" w:rsidRPr="00D6167B" w:rsidRDefault="002E30F6" w:rsidP="007608DF">
            <w:pPr>
              <w:keepNext/>
              <w:widowControl/>
              <w:jc w:val="both"/>
              <w:rPr>
                <w:rFonts w:ascii="Times New Roman" w:eastAsia="Times New Roman" w:hAnsi="Times New Roman"/>
                <w:lang w:val="hr-HR"/>
              </w:rPr>
            </w:pPr>
          </w:p>
        </w:tc>
        <w:tc>
          <w:tcPr>
            <w:tcW w:w="3006" w:type="dxa"/>
            <w:tcBorders>
              <w:top w:val="nil"/>
              <w:left w:val="single" w:sz="4" w:space="0" w:color="auto"/>
              <w:bottom w:val="nil"/>
              <w:right w:val="single" w:sz="4" w:space="0" w:color="auto"/>
            </w:tcBorders>
            <w:shd w:val="clear" w:color="auto" w:fill="auto"/>
          </w:tcPr>
          <w:p w14:paraId="61A847D1" w14:textId="57E78DCC" w:rsidR="002E30F6" w:rsidRPr="00D37692" w:rsidRDefault="002E30F6" w:rsidP="00D37692">
            <w:pPr>
              <w:pStyle w:val="Default"/>
              <w:keepNext/>
              <w:jc w:val="center"/>
              <w:rPr>
                <w:color w:val="auto"/>
                <w:sz w:val="22"/>
                <w:lang w:val="hr-HR"/>
              </w:rPr>
            </w:pPr>
            <w:r w:rsidRPr="00D37692">
              <w:rPr>
                <w:color w:val="auto"/>
                <w:sz w:val="22"/>
                <w:lang w:val="hr-HR"/>
              </w:rPr>
              <w:t>(n=764)</w:t>
            </w:r>
          </w:p>
        </w:tc>
        <w:tc>
          <w:tcPr>
            <w:tcW w:w="3006" w:type="dxa"/>
            <w:tcBorders>
              <w:top w:val="nil"/>
              <w:left w:val="single" w:sz="4" w:space="0" w:color="auto"/>
              <w:bottom w:val="nil"/>
            </w:tcBorders>
            <w:shd w:val="clear" w:color="auto" w:fill="auto"/>
          </w:tcPr>
          <w:p w14:paraId="0FD7FB30" w14:textId="69379EA7" w:rsidR="002E30F6" w:rsidRPr="00D37692" w:rsidRDefault="002E30F6" w:rsidP="00D37692">
            <w:pPr>
              <w:pStyle w:val="Default"/>
              <w:keepNext/>
              <w:jc w:val="center"/>
              <w:rPr>
                <w:color w:val="auto"/>
                <w:sz w:val="22"/>
                <w:lang w:val="hr-HR"/>
              </w:rPr>
            </w:pPr>
            <w:r w:rsidRPr="00D37692">
              <w:rPr>
                <w:color w:val="auto"/>
                <w:sz w:val="22"/>
                <w:lang w:val="hr-HR"/>
              </w:rPr>
              <w:t>(n=764)</w:t>
            </w:r>
          </w:p>
        </w:tc>
      </w:tr>
      <w:tr w:rsidR="002E30F6" w:rsidRPr="00D6167B" w14:paraId="4E4CC3F0" w14:textId="77777777" w:rsidTr="002C0B97">
        <w:trPr>
          <w:cantSplit/>
        </w:trPr>
        <w:tc>
          <w:tcPr>
            <w:tcW w:w="2898" w:type="dxa"/>
            <w:tcBorders>
              <w:top w:val="nil"/>
              <w:left w:val="single" w:sz="4" w:space="0" w:color="auto"/>
              <w:bottom w:val="nil"/>
              <w:right w:val="single" w:sz="4" w:space="0" w:color="auto"/>
            </w:tcBorders>
            <w:shd w:val="clear" w:color="auto" w:fill="auto"/>
          </w:tcPr>
          <w:p w14:paraId="120A6851"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r w:rsidRPr="00D37692">
              <w:rPr>
                <w:color w:val="auto"/>
                <w:sz w:val="22"/>
                <w:vertAlign w:val="superscript"/>
                <w:lang w:val="hr-HR"/>
              </w:rPr>
              <w:t>2</w:t>
            </w:r>
            <w:r w:rsidRPr="00D37692">
              <w:rPr>
                <w:color w:val="auto"/>
                <w:sz w:val="22"/>
                <w:lang w:val="hr-HR"/>
              </w:rPr>
              <w:t xml:space="preserve"> </w:t>
            </w:r>
          </w:p>
        </w:tc>
        <w:tc>
          <w:tcPr>
            <w:tcW w:w="3006" w:type="dxa"/>
            <w:tcBorders>
              <w:top w:val="nil"/>
              <w:left w:val="single" w:sz="4" w:space="0" w:color="auto"/>
              <w:bottom w:val="nil"/>
              <w:right w:val="single" w:sz="4" w:space="0" w:color="auto"/>
            </w:tcBorders>
            <w:shd w:val="clear" w:color="auto" w:fill="auto"/>
          </w:tcPr>
          <w:p w14:paraId="3450A964" w14:textId="15CE5AD1" w:rsidR="002E30F6" w:rsidRPr="00D37692" w:rsidRDefault="002E30F6" w:rsidP="00D37692">
            <w:pPr>
              <w:pStyle w:val="Default"/>
              <w:jc w:val="center"/>
              <w:rPr>
                <w:color w:val="auto"/>
                <w:sz w:val="22"/>
                <w:lang w:val="hr-HR"/>
              </w:rPr>
            </w:pPr>
            <w:r w:rsidRPr="00D37692">
              <w:rPr>
                <w:color w:val="auto"/>
                <w:sz w:val="22"/>
                <w:lang w:val="hr-HR"/>
              </w:rPr>
              <w:t>16,9</w:t>
            </w:r>
          </w:p>
        </w:tc>
        <w:tc>
          <w:tcPr>
            <w:tcW w:w="3006" w:type="dxa"/>
            <w:tcBorders>
              <w:top w:val="nil"/>
              <w:left w:val="single" w:sz="4" w:space="0" w:color="auto"/>
              <w:bottom w:val="nil"/>
            </w:tcBorders>
            <w:shd w:val="clear" w:color="auto" w:fill="auto"/>
          </w:tcPr>
          <w:p w14:paraId="157F437D" w14:textId="287EB7DA" w:rsidR="002E30F6" w:rsidRPr="00D37692" w:rsidRDefault="002E30F6" w:rsidP="00D37692">
            <w:pPr>
              <w:pStyle w:val="Default"/>
              <w:jc w:val="center"/>
              <w:rPr>
                <w:color w:val="auto"/>
                <w:sz w:val="22"/>
                <w:lang w:val="hr-HR"/>
              </w:rPr>
            </w:pPr>
            <w:r w:rsidRPr="00D37692">
              <w:rPr>
                <w:color w:val="auto"/>
                <w:sz w:val="22"/>
                <w:lang w:val="hr-HR"/>
              </w:rPr>
              <w:t>19,3</w:t>
            </w:r>
          </w:p>
        </w:tc>
      </w:tr>
      <w:tr w:rsidR="002E30F6" w:rsidRPr="00D6167B" w14:paraId="409F4BD6" w14:textId="77777777" w:rsidTr="002C0B97">
        <w:trPr>
          <w:cantSplit/>
        </w:trPr>
        <w:tc>
          <w:tcPr>
            <w:tcW w:w="2898" w:type="dxa"/>
            <w:tcBorders>
              <w:top w:val="nil"/>
              <w:left w:val="single" w:sz="4" w:space="0" w:color="auto"/>
              <w:bottom w:val="nil"/>
              <w:right w:val="single" w:sz="4" w:space="0" w:color="auto"/>
            </w:tcBorders>
            <w:shd w:val="clear" w:color="auto" w:fill="auto"/>
          </w:tcPr>
          <w:p w14:paraId="7205AA7F" w14:textId="77777777" w:rsidR="002E30F6" w:rsidRPr="00D37692" w:rsidRDefault="002E30F6" w:rsidP="00D37692">
            <w:pPr>
              <w:pStyle w:val="Default"/>
              <w:rPr>
                <w:color w:val="auto"/>
                <w:sz w:val="22"/>
                <w:lang w:val="hr-HR"/>
              </w:rPr>
            </w:pPr>
            <w:r w:rsidRPr="00D37692">
              <w:rPr>
                <w:color w:val="auto"/>
                <w:sz w:val="22"/>
                <w:lang w:val="hr-HR"/>
              </w:rPr>
              <w:t xml:space="preserve">Odnos rizika [95% CI] </w:t>
            </w:r>
            <w:r w:rsidRPr="00D37692">
              <w:rPr>
                <w:color w:val="auto"/>
                <w:sz w:val="22"/>
                <w:vertAlign w:val="superscript"/>
                <w:lang w:val="hr-HR"/>
              </w:rPr>
              <w:t>2</w:t>
            </w:r>
          </w:p>
        </w:tc>
        <w:tc>
          <w:tcPr>
            <w:tcW w:w="6012" w:type="dxa"/>
            <w:gridSpan w:val="2"/>
            <w:tcBorders>
              <w:top w:val="nil"/>
              <w:left w:val="single" w:sz="4" w:space="0" w:color="auto"/>
              <w:bottom w:val="nil"/>
            </w:tcBorders>
            <w:shd w:val="clear" w:color="auto" w:fill="auto"/>
          </w:tcPr>
          <w:p w14:paraId="5E6AC1F2" w14:textId="205FFB51" w:rsidR="002E30F6" w:rsidRPr="00D37692" w:rsidRDefault="002E30F6" w:rsidP="00D37692">
            <w:pPr>
              <w:pStyle w:val="Default"/>
              <w:jc w:val="center"/>
              <w:rPr>
                <w:color w:val="auto"/>
                <w:sz w:val="22"/>
                <w:lang w:val="hr-HR"/>
              </w:rPr>
            </w:pPr>
            <w:r w:rsidRPr="00D37692">
              <w:rPr>
                <w:color w:val="auto"/>
                <w:sz w:val="22"/>
                <w:lang w:val="hr-HR"/>
              </w:rPr>
              <w:t>0,86 [0,75; 0,98]</w:t>
            </w:r>
          </w:p>
        </w:tc>
      </w:tr>
      <w:tr w:rsidR="002E30F6" w:rsidRPr="00D6167B" w14:paraId="683A9799" w14:textId="77777777" w:rsidTr="002C0B97">
        <w:trPr>
          <w:cantSplit/>
        </w:trPr>
        <w:tc>
          <w:tcPr>
            <w:tcW w:w="2898" w:type="dxa"/>
            <w:tcBorders>
              <w:top w:val="nil"/>
              <w:left w:val="single" w:sz="4" w:space="0" w:color="auto"/>
              <w:bottom w:val="single" w:sz="4" w:space="0" w:color="auto"/>
              <w:right w:val="single" w:sz="4" w:space="0" w:color="auto"/>
            </w:tcBorders>
            <w:shd w:val="clear" w:color="auto" w:fill="auto"/>
          </w:tcPr>
          <w:p w14:paraId="3A2D324D" w14:textId="77777777" w:rsidR="002E30F6" w:rsidRPr="00D37692" w:rsidRDefault="002E30F6" w:rsidP="007608DF">
            <w:pPr>
              <w:pStyle w:val="Default"/>
              <w:jc w:val="both"/>
              <w:rPr>
                <w:color w:val="auto"/>
                <w:sz w:val="22"/>
                <w:lang w:val="hr-HR"/>
              </w:rPr>
            </w:pPr>
          </w:p>
        </w:tc>
        <w:tc>
          <w:tcPr>
            <w:tcW w:w="6012" w:type="dxa"/>
            <w:gridSpan w:val="2"/>
            <w:tcBorders>
              <w:top w:val="nil"/>
              <w:left w:val="single" w:sz="4" w:space="0" w:color="auto"/>
              <w:bottom w:val="single" w:sz="4" w:space="0" w:color="auto"/>
            </w:tcBorders>
            <w:shd w:val="clear" w:color="auto" w:fill="auto"/>
          </w:tcPr>
          <w:p w14:paraId="72EF7A7A" w14:textId="1D391317" w:rsidR="002E30F6" w:rsidRPr="00D37692" w:rsidRDefault="002E30F6" w:rsidP="00D37692">
            <w:pPr>
              <w:pStyle w:val="Default"/>
              <w:jc w:val="center"/>
              <w:rPr>
                <w:color w:val="auto"/>
                <w:sz w:val="22"/>
                <w:lang w:val="hr-HR"/>
              </w:rPr>
            </w:pPr>
            <w:r w:rsidRPr="00D37692">
              <w:rPr>
                <w:color w:val="auto"/>
                <w:sz w:val="22"/>
                <w:lang w:val="hr-HR"/>
              </w:rPr>
              <w:t>(vrijednost p = 0,0185)</w:t>
            </w:r>
          </w:p>
        </w:tc>
      </w:tr>
      <w:tr w:rsidR="002E30F6" w:rsidRPr="00D6167B" w14:paraId="0B2CAC5A" w14:textId="77777777" w:rsidTr="002C0B97">
        <w:trPr>
          <w:cantSplit/>
        </w:trPr>
        <w:tc>
          <w:tcPr>
            <w:tcW w:w="8910" w:type="dxa"/>
            <w:gridSpan w:val="3"/>
            <w:tcBorders>
              <w:left w:val="single" w:sz="4" w:space="0" w:color="auto"/>
              <w:bottom w:val="single" w:sz="4" w:space="0" w:color="auto"/>
            </w:tcBorders>
            <w:shd w:val="clear" w:color="auto" w:fill="auto"/>
          </w:tcPr>
          <w:p w14:paraId="2AD6BD66" w14:textId="77777777" w:rsidR="002E30F6" w:rsidRPr="00D37692" w:rsidRDefault="002E30F6" w:rsidP="00D37692">
            <w:pPr>
              <w:pStyle w:val="Default"/>
              <w:rPr>
                <w:color w:val="auto"/>
                <w:sz w:val="22"/>
                <w:lang w:val="hr-HR"/>
              </w:rPr>
            </w:pPr>
            <w:r w:rsidRPr="00D37692">
              <w:rPr>
                <w:color w:val="auto"/>
                <w:sz w:val="22"/>
                <w:lang w:val="hr-HR"/>
              </w:rPr>
              <w:t xml:space="preserve">Stopa objektivnog odgovora </w:t>
            </w:r>
            <w:r w:rsidRPr="00D37692">
              <w:rPr>
                <w:color w:val="auto"/>
                <w:sz w:val="22"/>
                <w:vertAlign w:val="superscript"/>
                <w:lang w:val="hr-HR"/>
              </w:rPr>
              <w:t>1</w:t>
            </w:r>
            <w:r w:rsidRPr="00D37692">
              <w:rPr>
                <w:color w:val="auto"/>
                <w:sz w:val="22"/>
                <w:lang w:val="hr-HR"/>
              </w:rPr>
              <w:t xml:space="preserve"> </w:t>
            </w:r>
          </w:p>
        </w:tc>
      </w:tr>
      <w:tr w:rsidR="002E30F6" w:rsidRPr="00D6167B" w14:paraId="468DB962" w14:textId="77777777" w:rsidTr="002C0B97">
        <w:trPr>
          <w:cantSplit/>
        </w:trPr>
        <w:tc>
          <w:tcPr>
            <w:tcW w:w="2898" w:type="dxa"/>
            <w:tcBorders>
              <w:top w:val="single" w:sz="4" w:space="0" w:color="auto"/>
              <w:left w:val="single" w:sz="4" w:space="0" w:color="auto"/>
              <w:bottom w:val="nil"/>
              <w:right w:val="single" w:sz="4" w:space="0" w:color="auto"/>
            </w:tcBorders>
            <w:shd w:val="clear" w:color="auto" w:fill="auto"/>
          </w:tcPr>
          <w:p w14:paraId="4BDCB84F" w14:textId="77777777" w:rsidR="002E30F6" w:rsidRPr="00D6167B" w:rsidRDefault="002E30F6" w:rsidP="00D37692">
            <w:pPr>
              <w:widowControl/>
              <w:rPr>
                <w:rFonts w:ascii="Times New Roman" w:eastAsia="Times New Roman" w:hAnsi="Times New Roman"/>
                <w:lang w:val="hr-HR"/>
              </w:rPr>
            </w:pPr>
          </w:p>
        </w:tc>
        <w:tc>
          <w:tcPr>
            <w:tcW w:w="3006" w:type="dxa"/>
            <w:tcBorders>
              <w:top w:val="single" w:sz="4" w:space="0" w:color="auto"/>
              <w:left w:val="single" w:sz="4" w:space="0" w:color="auto"/>
              <w:bottom w:val="nil"/>
              <w:right w:val="single" w:sz="4" w:space="0" w:color="auto"/>
            </w:tcBorders>
            <w:shd w:val="clear" w:color="auto" w:fill="auto"/>
          </w:tcPr>
          <w:p w14:paraId="6D9790B4" w14:textId="77777777" w:rsidR="002E30F6" w:rsidRPr="00D37692" w:rsidRDefault="002E30F6" w:rsidP="00D37692">
            <w:pPr>
              <w:pStyle w:val="Default"/>
              <w:jc w:val="center"/>
              <w:rPr>
                <w:color w:val="auto"/>
                <w:sz w:val="22"/>
                <w:lang w:val="hr-HR"/>
              </w:rPr>
            </w:pPr>
            <w:r w:rsidRPr="00D37692">
              <w:rPr>
                <w:color w:val="auto"/>
                <w:sz w:val="22"/>
                <w:lang w:val="hr-HR"/>
              </w:rPr>
              <w:t>CP</w:t>
            </w:r>
          </w:p>
        </w:tc>
        <w:tc>
          <w:tcPr>
            <w:tcW w:w="3006" w:type="dxa"/>
            <w:tcBorders>
              <w:top w:val="single" w:sz="4" w:space="0" w:color="auto"/>
              <w:left w:val="single" w:sz="4" w:space="0" w:color="auto"/>
              <w:bottom w:val="nil"/>
              <w:right w:val="single" w:sz="4" w:space="0" w:color="auto"/>
            </w:tcBorders>
            <w:shd w:val="clear" w:color="auto" w:fill="auto"/>
          </w:tcPr>
          <w:p w14:paraId="6A9739B5" w14:textId="319E29D4" w:rsidR="002E30F6" w:rsidRPr="00D37692" w:rsidRDefault="002E30F6" w:rsidP="00D37692">
            <w:pPr>
              <w:pStyle w:val="Default"/>
              <w:jc w:val="center"/>
              <w:rPr>
                <w:color w:val="auto"/>
                <w:sz w:val="22"/>
                <w:lang w:val="hr-HR"/>
              </w:rPr>
            </w:pPr>
            <w:r w:rsidRPr="00D37692">
              <w:rPr>
                <w:color w:val="auto"/>
                <w:sz w:val="22"/>
                <w:lang w:val="hr-HR"/>
              </w:rPr>
              <w:t>CPB7.5+</w:t>
            </w:r>
          </w:p>
        </w:tc>
      </w:tr>
      <w:tr w:rsidR="002E30F6" w:rsidRPr="00D6167B" w14:paraId="54B825ED" w14:textId="77777777" w:rsidTr="002C0B97">
        <w:trPr>
          <w:cantSplit/>
        </w:trPr>
        <w:tc>
          <w:tcPr>
            <w:tcW w:w="2898" w:type="dxa"/>
            <w:tcBorders>
              <w:top w:val="nil"/>
              <w:left w:val="single" w:sz="4" w:space="0" w:color="auto"/>
              <w:bottom w:val="nil"/>
              <w:right w:val="single" w:sz="4" w:space="0" w:color="auto"/>
            </w:tcBorders>
            <w:shd w:val="clear" w:color="auto" w:fill="auto"/>
          </w:tcPr>
          <w:p w14:paraId="460DBC45" w14:textId="77777777" w:rsidR="002E30F6" w:rsidRPr="00D6167B" w:rsidRDefault="002E30F6" w:rsidP="00D37692">
            <w:pPr>
              <w:widowControl/>
              <w:rPr>
                <w:rFonts w:ascii="Times New Roman" w:eastAsia="Times New Roman" w:hAnsi="Times New Roman"/>
                <w:lang w:val="hr-HR"/>
              </w:rPr>
            </w:pPr>
          </w:p>
        </w:tc>
        <w:tc>
          <w:tcPr>
            <w:tcW w:w="3006" w:type="dxa"/>
            <w:tcBorders>
              <w:top w:val="nil"/>
              <w:left w:val="single" w:sz="4" w:space="0" w:color="auto"/>
              <w:bottom w:val="nil"/>
              <w:right w:val="single" w:sz="4" w:space="0" w:color="auto"/>
            </w:tcBorders>
            <w:shd w:val="clear" w:color="auto" w:fill="auto"/>
          </w:tcPr>
          <w:p w14:paraId="17FC6A7A" w14:textId="77777777" w:rsidR="002E30F6" w:rsidRPr="00D37692" w:rsidRDefault="002E30F6" w:rsidP="00D37692">
            <w:pPr>
              <w:pStyle w:val="Default"/>
              <w:jc w:val="center"/>
              <w:rPr>
                <w:color w:val="auto"/>
                <w:sz w:val="22"/>
                <w:lang w:val="hr-HR"/>
              </w:rPr>
            </w:pPr>
            <w:r w:rsidRPr="00D37692">
              <w:rPr>
                <w:color w:val="auto"/>
                <w:sz w:val="22"/>
                <w:lang w:val="hr-HR"/>
              </w:rPr>
              <w:t>(n=277)</w:t>
            </w:r>
          </w:p>
        </w:tc>
        <w:tc>
          <w:tcPr>
            <w:tcW w:w="3006" w:type="dxa"/>
            <w:tcBorders>
              <w:top w:val="nil"/>
              <w:left w:val="single" w:sz="4" w:space="0" w:color="auto"/>
              <w:bottom w:val="nil"/>
              <w:right w:val="single" w:sz="4" w:space="0" w:color="auto"/>
            </w:tcBorders>
            <w:shd w:val="clear" w:color="auto" w:fill="auto"/>
          </w:tcPr>
          <w:p w14:paraId="498D81C4" w14:textId="1BB78701" w:rsidR="002E30F6" w:rsidRPr="00D37692" w:rsidRDefault="002E30F6" w:rsidP="00D37692">
            <w:pPr>
              <w:pStyle w:val="Default"/>
              <w:jc w:val="center"/>
              <w:rPr>
                <w:color w:val="auto"/>
                <w:sz w:val="22"/>
                <w:lang w:val="hr-HR"/>
              </w:rPr>
            </w:pPr>
            <w:r w:rsidRPr="00D37692">
              <w:rPr>
                <w:color w:val="auto"/>
                <w:sz w:val="22"/>
                <w:lang w:val="hr-HR"/>
              </w:rPr>
              <w:t>(n=272)</w:t>
            </w:r>
          </w:p>
        </w:tc>
      </w:tr>
      <w:tr w:rsidR="002E30F6" w:rsidRPr="00D6167B" w14:paraId="278F14E8" w14:textId="77777777" w:rsidTr="002C0B97">
        <w:trPr>
          <w:cantSplit/>
        </w:trPr>
        <w:tc>
          <w:tcPr>
            <w:tcW w:w="2898" w:type="dxa"/>
            <w:tcBorders>
              <w:top w:val="nil"/>
              <w:left w:val="single" w:sz="4" w:space="0" w:color="auto"/>
              <w:bottom w:val="nil"/>
            </w:tcBorders>
            <w:shd w:val="clear" w:color="auto" w:fill="auto"/>
          </w:tcPr>
          <w:p w14:paraId="3793DA40" w14:textId="77777777" w:rsidR="002E30F6" w:rsidRPr="00D37692" w:rsidRDefault="002E30F6" w:rsidP="00D37692">
            <w:pPr>
              <w:pStyle w:val="Default"/>
              <w:rPr>
                <w:color w:val="auto"/>
                <w:sz w:val="22"/>
                <w:lang w:val="hr-HR"/>
              </w:rPr>
            </w:pPr>
            <w:r w:rsidRPr="00D37692">
              <w:rPr>
                <w:color w:val="auto"/>
                <w:sz w:val="22"/>
                <w:lang w:val="hr-HR"/>
              </w:rPr>
              <w:t xml:space="preserve">Stopa odgovora </w:t>
            </w:r>
          </w:p>
        </w:tc>
        <w:tc>
          <w:tcPr>
            <w:tcW w:w="3006" w:type="dxa"/>
            <w:tcBorders>
              <w:top w:val="nil"/>
              <w:bottom w:val="nil"/>
            </w:tcBorders>
            <w:shd w:val="clear" w:color="auto" w:fill="auto"/>
          </w:tcPr>
          <w:p w14:paraId="3E28AB55" w14:textId="77777777" w:rsidR="002E30F6" w:rsidRPr="00D37692" w:rsidRDefault="002E30F6" w:rsidP="00D37692">
            <w:pPr>
              <w:pStyle w:val="Default"/>
              <w:jc w:val="center"/>
              <w:rPr>
                <w:color w:val="auto"/>
                <w:sz w:val="22"/>
                <w:lang w:val="hr-HR"/>
              </w:rPr>
            </w:pPr>
            <w:r w:rsidRPr="00D37692">
              <w:rPr>
                <w:color w:val="auto"/>
                <w:sz w:val="22"/>
                <w:lang w:val="hr-HR"/>
              </w:rPr>
              <w:t>54,9%</w:t>
            </w:r>
          </w:p>
        </w:tc>
        <w:tc>
          <w:tcPr>
            <w:tcW w:w="3006" w:type="dxa"/>
            <w:tcBorders>
              <w:top w:val="nil"/>
              <w:bottom w:val="nil"/>
            </w:tcBorders>
            <w:shd w:val="clear" w:color="auto" w:fill="auto"/>
          </w:tcPr>
          <w:p w14:paraId="3941ACCD" w14:textId="77777777" w:rsidR="002E30F6" w:rsidRPr="00D37692" w:rsidRDefault="002E30F6" w:rsidP="00D37692">
            <w:pPr>
              <w:pStyle w:val="Default"/>
              <w:jc w:val="center"/>
              <w:rPr>
                <w:color w:val="auto"/>
                <w:sz w:val="22"/>
                <w:lang w:val="hr-HR"/>
              </w:rPr>
            </w:pPr>
            <w:r w:rsidRPr="00D37692">
              <w:rPr>
                <w:color w:val="auto"/>
                <w:sz w:val="22"/>
                <w:lang w:val="hr-HR"/>
              </w:rPr>
              <w:t>64,7%</w:t>
            </w:r>
          </w:p>
        </w:tc>
      </w:tr>
      <w:tr w:rsidR="002E30F6" w:rsidRPr="00D6167B" w14:paraId="0D529502" w14:textId="77777777" w:rsidTr="002C0B97">
        <w:trPr>
          <w:cantSplit/>
        </w:trPr>
        <w:tc>
          <w:tcPr>
            <w:tcW w:w="2898" w:type="dxa"/>
            <w:tcBorders>
              <w:top w:val="nil"/>
              <w:left w:val="single" w:sz="4" w:space="0" w:color="auto"/>
              <w:bottom w:val="nil"/>
            </w:tcBorders>
            <w:shd w:val="clear" w:color="auto" w:fill="auto"/>
          </w:tcPr>
          <w:p w14:paraId="3721D95B" w14:textId="77777777" w:rsidR="002E30F6" w:rsidRPr="00D6167B" w:rsidRDefault="002E30F6" w:rsidP="00D37692">
            <w:pPr>
              <w:widowControl/>
              <w:rPr>
                <w:rFonts w:ascii="Times New Roman" w:eastAsia="Times New Roman" w:hAnsi="Times New Roman"/>
                <w:lang w:val="hr-HR"/>
              </w:rPr>
            </w:pPr>
          </w:p>
        </w:tc>
        <w:tc>
          <w:tcPr>
            <w:tcW w:w="6012" w:type="dxa"/>
            <w:gridSpan w:val="2"/>
            <w:tcBorders>
              <w:top w:val="nil"/>
              <w:bottom w:val="nil"/>
            </w:tcBorders>
            <w:shd w:val="clear" w:color="auto" w:fill="auto"/>
          </w:tcPr>
          <w:p w14:paraId="289C4011" w14:textId="6AC2F4CC" w:rsidR="002E30F6" w:rsidRPr="00D37692" w:rsidRDefault="002E30F6" w:rsidP="00D37692">
            <w:pPr>
              <w:pStyle w:val="Default"/>
              <w:jc w:val="center"/>
              <w:rPr>
                <w:color w:val="auto"/>
                <w:sz w:val="22"/>
                <w:lang w:val="hr-HR"/>
              </w:rPr>
            </w:pPr>
            <w:r w:rsidRPr="00D37692">
              <w:rPr>
                <w:color w:val="auto"/>
                <w:sz w:val="22"/>
                <w:lang w:val="hr-HR"/>
              </w:rPr>
              <w:t>(vrijednost p = 0,0188)</w:t>
            </w:r>
          </w:p>
        </w:tc>
      </w:tr>
      <w:tr w:rsidR="002E30F6" w:rsidRPr="00D6167B" w14:paraId="78D5F4D5" w14:textId="77777777" w:rsidTr="002C0B97">
        <w:trPr>
          <w:cantSplit/>
        </w:trPr>
        <w:tc>
          <w:tcPr>
            <w:tcW w:w="8910" w:type="dxa"/>
            <w:gridSpan w:val="3"/>
            <w:tcBorders>
              <w:left w:val="single" w:sz="4" w:space="0" w:color="auto"/>
              <w:bottom w:val="nil"/>
            </w:tcBorders>
            <w:shd w:val="clear" w:color="auto" w:fill="auto"/>
          </w:tcPr>
          <w:p w14:paraId="342B367C" w14:textId="77777777" w:rsidR="002E30F6" w:rsidRPr="00D37692" w:rsidRDefault="002E30F6" w:rsidP="00D37692">
            <w:pPr>
              <w:pStyle w:val="Default"/>
              <w:rPr>
                <w:color w:val="auto"/>
                <w:sz w:val="22"/>
                <w:lang w:val="hr-HR"/>
              </w:rPr>
            </w:pPr>
            <w:r w:rsidRPr="00D37692">
              <w:rPr>
                <w:color w:val="auto"/>
                <w:sz w:val="22"/>
                <w:lang w:val="hr-HR"/>
              </w:rPr>
              <w:t xml:space="preserve">Ukupno preživljavanje </w:t>
            </w:r>
            <w:r w:rsidRPr="00D37692">
              <w:rPr>
                <w:color w:val="auto"/>
                <w:sz w:val="22"/>
                <w:vertAlign w:val="superscript"/>
                <w:lang w:val="hr-HR"/>
              </w:rPr>
              <w:t>3</w:t>
            </w:r>
            <w:r w:rsidRPr="00D37692">
              <w:rPr>
                <w:color w:val="auto"/>
                <w:sz w:val="22"/>
                <w:lang w:val="hr-HR"/>
              </w:rPr>
              <w:t xml:space="preserve"> </w:t>
            </w:r>
          </w:p>
        </w:tc>
      </w:tr>
      <w:tr w:rsidR="002E30F6" w:rsidRPr="00D6167B" w14:paraId="5ABC8577" w14:textId="77777777" w:rsidTr="002C0B97">
        <w:trPr>
          <w:cantSplit/>
        </w:trPr>
        <w:tc>
          <w:tcPr>
            <w:tcW w:w="2898" w:type="dxa"/>
            <w:tcBorders>
              <w:left w:val="single" w:sz="4" w:space="0" w:color="auto"/>
              <w:bottom w:val="nil"/>
            </w:tcBorders>
            <w:shd w:val="clear" w:color="auto" w:fill="auto"/>
          </w:tcPr>
          <w:p w14:paraId="431E7BA7" w14:textId="77777777" w:rsidR="002E30F6" w:rsidRPr="00D37692" w:rsidRDefault="002E30F6" w:rsidP="00D37692">
            <w:pPr>
              <w:pStyle w:val="Default"/>
              <w:rPr>
                <w:color w:val="auto"/>
                <w:sz w:val="22"/>
                <w:lang w:val="hr-HR"/>
              </w:rPr>
            </w:pPr>
          </w:p>
        </w:tc>
        <w:tc>
          <w:tcPr>
            <w:tcW w:w="3006" w:type="dxa"/>
            <w:tcBorders>
              <w:bottom w:val="nil"/>
            </w:tcBorders>
            <w:shd w:val="clear" w:color="auto" w:fill="auto"/>
          </w:tcPr>
          <w:p w14:paraId="037A7B48" w14:textId="5436223B" w:rsidR="002E30F6" w:rsidRPr="00D37692" w:rsidRDefault="002E30F6" w:rsidP="00D37692">
            <w:pPr>
              <w:pStyle w:val="Default"/>
              <w:jc w:val="center"/>
              <w:rPr>
                <w:color w:val="auto"/>
                <w:sz w:val="22"/>
                <w:lang w:val="hr-HR"/>
              </w:rPr>
            </w:pPr>
            <w:r w:rsidRPr="00D37692">
              <w:rPr>
                <w:color w:val="auto"/>
                <w:sz w:val="22"/>
                <w:lang w:val="hr-HR"/>
              </w:rPr>
              <w:t>CP</w:t>
            </w:r>
          </w:p>
        </w:tc>
        <w:tc>
          <w:tcPr>
            <w:tcW w:w="3006" w:type="dxa"/>
            <w:tcBorders>
              <w:bottom w:val="nil"/>
            </w:tcBorders>
            <w:shd w:val="clear" w:color="auto" w:fill="auto"/>
          </w:tcPr>
          <w:p w14:paraId="0CD822D2" w14:textId="3BCC0F65" w:rsidR="002E30F6" w:rsidRPr="00D37692" w:rsidRDefault="002E30F6" w:rsidP="00D37692">
            <w:pPr>
              <w:pStyle w:val="Default"/>
              <w:jc w:val="center"/>
              <w:rPr>
                <w:color w:val="auto"/>
                <w:sz w:val="22"/>
                <w:lang w:val="hr-HR"/>
              </w:rPr>
            </w:pPr>
            <w:r w:rsidRPr="00D37692">
              <w:rPr>
                <w:color w:val="auto"/>
                <w:sz w:val="22"/>
                <w:lang w:val="hr-HR"/>
              </w:rPr>
              <w:t>CPB7.5+</w:t>
            </w:r>
          </w:p>
        </w:tc>
      </w:tr>
      <w:tr w:rsidR="002E30F6" w:rsidRPr="00D6167B" w14:paraId="6E0C023C" w14:textId="77777777" w:rsidTr="002C0B97">
        <w:trPr>
          <w:cantSplit/>
        </w:trPr>
        <w:tc>
          <w:tcPr>
            <w:tcW w:w="2898" w:type="dxa"/>
            <w:tcBorders>
              <w:top w:val="nil"/>
              <w:left w:val="single" w:sz="4" w:space="0" w:color="auto"/>
              <w:bottom w:val="nil"/>
            </w:tcBorders>
            <w:shd w:val="clear" w:color="auto" w:fill="auto"/>
          </w:tcPr>
          <w:p w14:paraId="0D590265" w14:textId="77777777" w:rsidR="002E30F6" w:rsidRPr="00D6167B" w:rsidRDefault="002E30F6" w:rsidP="00D37692">
            <w:pPr>
              <w:widowControl/>
              <w:rPr>
                <w:rFonts w:ascii="Times New Roman" w:eastAsia="Times New Roman" w:hAnsi="Times New Roman"/>
                <w:lang w:val="hr-HR"/>
              </w:rPr>
            </w:pPr>
          </w:p>
        </w:tc>
        <w:tc>
          <w:tcPr>
            <w:tcW w:w="3006" w:type="dxa"/>
            <w:tcBorders>
              <w:top w:val="nil"/>
              <w:bottom w:val="nil"/>
            </w:tcBorders>
            <w:shd w:val="clear" w:color="auto" w:fill="auto"/>
          </w:tcPr>
          <w:p w14:paraId="2ABDA034" w14:textId="1E7766FE" w:rsidR="002E30F6" w:rsidRPr="00D37692" w:rsidRDefault="002E30F6" w:rsidP="00D37692">
            <w:pPr>
              <w:pStyle w:val="Default"/>
              <w:jc w:val="center"/>
              <w:rPr>
                <w:color w:val="auto"/>
                <w:sz w:val="22"/>
                <w:lang w:val="hr-HR"/>
              </w:rPr>
            </w:pPr>
            <w:r w:rsidRPr="00D37692">
              <w:rPr>
                <w:color w:val="auto"/>
                <w:sz w:val="22"/>
                <w:lang w:val="hr-HR"/>
              </w:rPr>
              <w:t>(n=764)</w:t>
            </w:r>
          </w:p>
        </w:tc>
        <w:tc>
          <w:tcPr>
            <w:tcW w:w="3006" w:type="dxa"/>
            <w:tcBorders>
              <w:top w:val="nil"/>
              <w:bottom w:val="nil"/>
            </w:tcBorders>
            <w:shd w:val="clear" w:color="auto" w:fill="auto"/>
          </w:tcPr>
          <w:p w14:paraId="47B7B79E" w14:textId="65B6D4D2" w:rsidR="002E30F6" w:rsidRPr="00D37692" w:rsidRDefault="002E30F6" w:rsidP="00D37692">
            <w:pPr>
              <w:pStyle w:val="Default"/>
              <w:jc w:val="center"/>
              <w:rPr>
                <w:color w:val="auto"/>
                <w:sz w:val="22"/>
                <w:lang w:val="hr-HR"/>
              </w:rPr>
            </w:pPr>
            <w:r w:rsidRPr="00D37692">
              <w:rPr>
                <w:color w:val="auto"/>
                <w:sz w:val="22"/>
                <w:lang w:val="hr-HR"/>
              </w:rPr>
              <w:t>(n=764)</w:t>
            </w:r>
          </w:p>
        </w:tc>
      </w:tr>
      <w:tr w:rsidR="002E30F6" w:rsidRPr="00D6167B" w14:paraId="47B5816E" w14:textId="77777777" w:rsidTr="002C0B97">
        <w:trPr>
          <w:cantSplit/>
        </w:trPr>
        <w:tc>
          <w:tcPr>
            <w:tcW w:w="2898" w:type="dxa"/>
            <w:tcBorders>
              <w:top w:val="nil"/>
              <w:left w:val="single" w:sz="4" w:space="0" w:color="auto"/>
              <w:bottom w:val="nil"/>
            </w:tcBorders>
            <w:shd w:val="clear" w:color="auto" w:fill="auto"/>
          </w:tcPr>
          <w:p w14:paraId="5DBEAFD5"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(mjeseci) </w:t>
            </w:r>
          </w:p>
        </w:tc>
        <w:tc>
          <w:tcPr>
            <w:tcW w:w="3006" w:type="dxa"/>
            <w:tcBorders>
              <w:top w:val="nil"/>
              <w:bottom w:val="nil"/>
            </w:tcBorders>
            <w:shd w:val="clear" w:color="auto" w:fill="auto"/>
          </w:tcPr>
          <w:p w14:paraId="776C57EA" w14:textId="320F5F1F" w:rsidR="002E30F6" w:rsidRPr="00D37692" w:rsidRDefault="002E30F6" w:rsidP="00D37692">
            <w:pPr>
              <w:pStyle w:val="Default"/>
              <w:jc w:val="center"/>
              <w:rPr>
                <w:color w:val="auto"/>
                <w:sz w:val="22"/>
                <w:lang w:val="hr-HR"/>
              </w:rPr>
            </w:pPr>
            <w:r w:rsidRPr="00D37692">
              <w:rPr>
                <w:color w:val="auto"/>
                <w:sz w:val="22"/>
                <w:lang w:val="hr-HR"/>
              </w:rPr>
              <w:t>58,0</w:t>
            </w:r>
          </w:p>
        </w:tc>
        <w:tc>
          <w:tcPr>
            <w:tcW w:w="3006" w:type="dxa"/>
            <w:tcBorders>
              <w:top w:val="nil"/>
              <w:bottom w:val="nil"/>
            </w:tcBorders>
            <w:shd w:val="clear" w:color="auto" w:fill="auto"/>
          </w:tcPr>
          <w:p w14:paraId="1275AE89" w14:textId="12C0F225" w:rsidR="002E30F6" w:rsidRPr="00D37692" w:rsidRDefault="002E30F6" w:rsidP="00D37692">
            <w:pPr>
              <w:pStyle w:val="Default"/>
              <w:jc w:val="center"/>
              <w:rPr>
                <w:color w:val="auto"/>
                <w:sz w:val="22"/>
                <w:lang w:val="hr-HR"/>
              </w:rPr>
            </w:pPr>
            <w:r w:rsidRPr="00D37692">
              <w:rPr>
                <w:color w:val="auto"/>
                <w:sz w:val="22"/>
                <w:lang w:val="hr-HR"/>
              </w:rPr>
              <w:t>57,4</w:t>
            </w:r>
          </w:p>
        </w:tc>
      </w:tr>
      <w:tr w:rsidR="002E30F6" w:rsidRPr="00D6167B" w14:paraId="108255A2" w14:textId="77777777" w:rsidTr="002C0B97">
        <w:trPr>
          <w:cantSplit/>
        </w:trPr>
        <w:tc>
          <w:tcPr>
            <w:tcW w:w="2898" w:type="dxa"/>
            <w:tcBorders>
              <w:top w:val="nil"/>
              <w:left w:val="single" w:sz="4" w:space="0" w:color="auto"/>
              <w:bottom w:val="nil"/>
            </w:tcBorders>
            <w:shd w:val="clear" w:color="auto" w:fill="auto"/>
          </w:tcPr>
          <w:p w14:paraId="193333A0" w14:textId="77777777" w:rsidR="002E30F6" w:rsidRPr="00D37692" w:rsidRDefault="002E30F6" w:rsidP="00D37692">
            <w:pPr>
              <w:pStyle w:val="Default"/>
              <w:rPr>
                <w:color w:val="auto"/>
                <w:sz w:val="22"/>
                <w:lang w:val="hr-HR"/>
              </w:rPr>
            </w:pPr>
            <w:r w:rsidRPr="00D37692">
              <w:rPr>
                <w:color w:val="auto"/>
                <w:sz w:val="22"/>
                <w:lang w:val="hr-HR"/>
              </w:rPr>
              <w:t xml:space="preserve">Odnos rizika [95% CI] </w:t>
            </w:r>
          </w:p>
        </w:tc>
        <w:tc>
          <w:tcPr>
            <w:tcW w:w="6012" w:type="dxa"/>
            <w:gridSpan w:val="2"/>
            <w:tcBorders>
              <w:top w:val="nil"/>
              <w:bottom w:val="nil"/>
            </w:tcBorders>
            <w:shd w:val="clear" w:color="auto" w:fill="auto"/>
          </w:tcPr>
          <w:p w14:paraId="5C5052B8" w14:textId="0F162CAB" w:rsidR="002E30F6" w:rsidRPr="00D37692" w:rsidRDefault="002E30F6" w:rsidP="00D37692">
            <w:pPr>
              <w:pStyle w:val="Default"/>
              <w:jc w:val="center"/>
              <w:rPr>
                <w:color w:val="auto"/>
                <w:sz w:val="22"/>
                <w:lang w:val="hr-HR"/>
              </w:rPr>
            </w:pPr>
            <w:r w:rsidRPr="00D37692">
              <w:rPr>
                <w:color w:val="auto"/>
                <w:sz w:val="22"/>
                <w:lang w:val="hr-HR"/>
              </w:rPr>
              <w:t>0,99 [0,85; 1,15]</w:t>
            </w:r>
          </w:p>
        </w:tc>
      </w:tr>
      <w:tr w:rsidR="002E30F6" w:rsidRPr="00D6167B" w14:paraId="7BCB68E8" w14:textId="77777777" w:rsidTr="002C0B97">
        <w:trPr>
          <w:cantSplit/>
        </w:trPr>
        <w:tc>
          <w:tcPr>
            <w:tcW w:w="2898" w:type="dxa"/>
            <w:tcBorders>
              <w:top w:val="nil"/>
              <w:left w:val="single" w:sz="4" w:space="0" w:color="auto"/>
              <w:bottom w:val="single" w:sz="4" w:space="0" w:color="auto"/>
            </w:tcBorders>
            <w:shd w:val="clear" w:color="auto" w:fill="auto"/>
          </w:tcPr>
          <w:p w14:paraId="731BD3D5" w14:textId="77777777" w:rsidR="002E30F6" w:rsidRPr="00D37692" w:rsidRDefault="002E30F6" w:rsidP="007608DF">
            <w:pPr>
              <w:pStyle w:val="Default"/>
              <w:jc w:val="both"/>
              <w:rPr>
                <w:color w:val="auto"/>
                <w:sz w:val="22"/>
                <w:lang w:val="hr-HR"/>
              </w:rPr>
            </w:pPr>
          </w:p>
        </w:tc>
        <w:tc>
          <w:tcPr>
            <w:tcW w:w="6012" w:type="dxa"/>
            <w:gridSpan w:val="2"/>
            <w:tcBorders>
              <w:top w:val="nil"/>
              <w:bottom w:val="single" w:sz="4" w:space="0" w:color="auto"/>
            </w:tcBorders>
            <w:shd w:val="clear" w:color="auto" w:fill="auto"/>
          </w:tcPr>
          <w:p w14:paraId="0D9A8420" w14:textId="60BC4A93" w:rsidR="002E30F6" w:rsidRPr="00D37692" w:rsidRDefault="002E30F6" w:rsidP="00D37692">
            <w:pPr>
              <w:pStyle w:val="Default"/>
              <w:jc w:val="center"/>
              <w:rPr>
                <w:color w:val="auto"/>
                <w:sz w:val="22"/>
                <w:lang w:val="hr-HR"/>
              </w:rPr>
            </w:pPr>
            <w:r w:rsidRPr="00D37692">
              <w:rPr>
                <w:color w:val="auto"/>
                <w:sz w:val="22"/>
                <w:lang w:val="hr-HR"/>
              </w:rPr>
              <w:t>(vrijednost p = 0,8910)</w:t>
            </w:r>
          </w:p>
        </w:tc>
      </w:tr>
    </w:tbl>
    <w:p w14:paraId="45848FB5"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 xml:space="preserve">1 </w:t>
      </w:r>
      <w:r w:rsidRPr="00D37692">
        <w:rPr>
          <w:rFonts w:ascii="Times New Roman" w:hAnsi="Times New Roman"/>
          <w:sz w:val="20"/>
          <w:lang w:val="hr-HR"/>
        </w:rPr>
        <w:tab/>
        <w:t>Kod pacijenata sa mjerljivom bolešću na početnom nivou.</w:t>
      </w:r>
    </w:p>
    <w:p w14:paraId="0989DD50"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2</w:t>
      </w:r>
      <w:r w:rsidRPr="00D37692">
        <w:rPr>
          <w:rFonts w:ascii="Times New Roman" w:hAnsi="Times New Roman"/>
          <w:sz w:val="20"/>
          <w:lang w:val="hr-HR"/>
        </w:rPr>
        <w:t xml:space="preserve"> </w:t>
      </w:r>
      <w:r w:rsidRPr="00D37692">
        <w:rPr>
          <w:rFonts w:ascii="Times New Roman" w:hAnsi="Times New Roman"/>
          <w:sz w:val="20"/>
          <w:lang w:val="hr-HR"/>
        </w:rPr>
        <w:tab/>
        <w:t>Analiza PFS prema procjeni istraživača sa datumom presjeka podataka 30. novembra 2010.</w:t>
      </w:r>
    </w:p>
    <w:p w14:paraId="08FBEF47" w14:textId="77777777" w:rsidR="002E30F6" w:rsidRPr="00D6167B" w:rsidRDefault="002E30F6" w:rsidP="007608DF">
      <w:pPr>
        <w:widowControl/>
        <w:ind w:left="288" w:hanging="288"/>
        <w:jc w:val="both"/>
        <w:rPr>
          <w:rFonts w:ascii="Times New Roman" w:eastAsia="Times New Roman" w:hAnsi="Times New Roman"/>
          <w:lang w:val="hr-HR"/>
        </w:rPr>
      </w:pPr>
      <w:r w:rsidRPr="00D37692">
        <w:rPr>
          <w:rFonts w:ascii="Times New Roman" w:hAnsi="Times New Roman"/>
          <w:sz w:val="20"/>
          <w:vertAlign w:val="superscript"/>
          <w:lang w:val="hr-HR"/>
        </w:rPr>
        <w:t>3</w:t>
      </w:r>
      <w:r w:rsidRPr="00D37692">
        <w:rPr>
          <w:rFonts w:ascii="Times New Roman" w:hAnsi="Times New Roman"/>
          <w:sz w:val="20"/>
          <w:lang w:val="hr-HR"/>
        </w:rPr>
        <w:t xml:space="preserve"> </w:t>
      </w:r>
      <w:r w:rsidRPr="00D37692">
        <w:rPr>
          <w:rFonts w:ascii="Times New Roman" w:hAnsi="Times New Roman"/>
          <w:sz w:val="20"/>
          <w:lang w:val="hr-HR"/>
        </w:rPr>
        <w:tab/>
        <w:t>Finalna analiza ukupnog preživljavanja je sprovedena kada je kod 46,7% pacijenata zabilježen smrtni ishod sa datumom presjeka podataka 31. mart 2013.</w:t>
      </w:r>
    </w:p>
    <w:p w14:paraId="44172686" w14:textId="77777777" w:rsidR="002E30F6" w:rsidRPr="00D6167B" w:rsidRDefault="002E30F6" w:rsidP="007608DF">
      <w:pPr>
        <w:widowControl/>
        <w:jc w:val="both"/>
        <w:rPr>
          <w:rFonts w:ascii="Times New Roman" w:eastAsia="Times New Roman" w:hAnsi="Times New Roman"/>
          <w:lang w:val="hr-HR"/>
        </w:rPr>
      </w:pPr>
    </w:p>
    <w:p w14:paraId="472DB134"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Primarna analiza PFS koji su procjenjivali istraživači sa datumom presjeka podataka 28. februara 2010. pokazala je nestratifikovan odnos rizika od 0,79 (95% CI: 0,68–0,91, dvostrana log-rank vrijednost 0,0010) sa srednjom vrijednošću za PFS 16,0 mjeseci u CP </w:t>
      </w:r>
      <w:r w:rsidR="00EA1022" w:rsidRPr="00D37692">
        <w:rPr>
          <w:rFonts w:ascii="Times New Roman" w:hAnsi="Times New Roman"/>
          <w:lang w:val="hr-HR"/>
        </w:rPr>
        <w:t xml:space="preserve">grupi </w:t>
      </w:r>
      <w:r w:rsidRPr="00D37692">
        <w:rPr>
          <w:rFonts w:ascii="Times New Roman" w:hAnsi="Times New Roman"/>
          <w:lang w:val="hr-HR"/>
        </w:rPr>
        <w:t xml:space="preserve">i 18,3 mjeseci u CPB7.5+ </w:t>
      </w:r>
      <w:r w:rsidR="00EA1022" w:rsidRPr="00D37692">
        <w:rPr>
          <w:rFonts w:ascii="Times New Roman" w:hAnsi="Times New Roman"/>
          <w:lang w:val="hr-HR"/>
        </w:rPr>
        <w:t>grupi</w:t>
      </w:r>
      <w:r w:rsidRPr="00D37692">
        <w:rPr>
          <w:rFonts w:ascii="Times New Roman" w:hAnsi="Times New Roman"/>
          <w:lang w:val="hr-HR"/>
        </w:rPr>
        <w:t>.</w:t>
      </w:r>
    </w:p>
    <w:p w14:paraId="3EF3FF84" w14:textId="77777777" w:rsidR="002E30F6" w:rsidRPr="00D37692" w:rsidRDefault="002E30F6" w:rsidP="007608DF">
      <w:pPr>
        <w:widowControl/>
        <w:autoSpaceDE w:val="0"/>
        <w:autoSpaceDN w:val="0"/>
        <w:adjustRightInd w:val="0"/>
        <w:jc w:val="both"/>
        <w:rPr>
          <w:rFonts w:ascii="Times New Roman" w:hAnsi="Times New Roman"/>
          <w:lang w:val="hr-HR"/>
        </w:rPr>
      </w:pPr>
    </w:p>
    <w:p w14:paraId="319E4CD0" w14:textId="542C4A54" w:rsidR="002E30F6" w:rsidRPr="00D6167B" w:rsidRDefault="002E30F6" w:rsidP="007608DF">
      <w:pPr>
        <w:widowControl/>
        <w:jc w:val="both"/>
        <w:rPr>
          <w:rFonts w:ascii="Times New Roman" w:eastAsia="Times New Roman" w:hAnsi="Times New Roman"/>
          <w:lang w:val="hr-HR"/>
        </w:rPr>
      </w:pPr>
      <w:r w:rsidRPr="00D37692">
        <w:rPr>
          <w:rFonts w:ascii="Times New Roman" w:hAnsi="Times New Roman"/>
          <w:lang w:val="hr-HR"/>
        </w:rPr>
        <w:t xml:space="preserve">Analiza preživljavanja bez progresije bolesti </w:t>
      </w:r>
      <w:r w:rsidR="007F131A">
        <w:rPr>
          <w:rFonts w:ascii="Times New Roman" w:hAnsi="Times New Roman"/>
          <w:lang w:val="hr-HR"/>
        </w:rPr>
        <w:t xml:space="preserve">po podgrupama </w:t>
      </w:r>
      <w:r w:rsidRPr="00D37692">
        <w:rPr>
          <w:rFonts w:ascii="Times New Roman" w:hAnsi="Times New Roman"/>
          <w:lang w:val="hr-HR"/>
        </w:rPr>
        <w:t xml:space="preserve">prema stadijumu bolesti i statusu </w:t>
      </w:r>
      <w:r w:rsidR="007F131A">
        <w:rPr>
          <w:rFonts w:ascii="Times New Roman" w:hAnsi="Times New Roman"/>
          <w:lang w:val="hr-HR"/>
        </w:rPr>
        <w:t>smanjenja</w:t>
      </w:r>
      <w:r w:rsidR="007F131A" w:rsidRPr="00D37692">
        <w:rPr>
          <w:rFonts w:ascii="Times New Roman" w:hAnsi="Times New Roman"/>
          <w:lang w:val="hr-HR"/>
        </w:rPr>
        <w:t xml:space="preserve"> </w:t>
      </w:r>
      <w:r w:rsidRPr="00D37692">
        <w:rPr>
          <w:rFonts w:ascii="Times New Roman" w:hAnsi="Times New Roman"/>
          <w:lang w:val="hr-HR"/>
        </w:rPr>
        <w:t>tumorske mase rezimirana je u tabeli 19. Ovi rezultati pokazuju otpornost primarne analize PFS, kao što je prikazano u tabeli 18.</w:t>
      </w:r>
    </w:p>
    <w:p w14:paraId="20F58395" w14:textId="77777777" w:rsidR="002E30F6" w:rsidRPr="00D6167B" w:rsidRDefault="002E30F6" w:rsidP="007608DF">
      <w:pPr>
        <w:widowControl/>
        <w:jc w:val="both"/>
        <w:rPr>
          <w:rFonts w:ascii="Times New Roman" w:eastAsia="Times New Roman" w:hAnsi="Times New Roman"/>
          <w:lang w:val="hr-HR"/>
        </w:rPr>
      </w:pPr>
    </w:p>
    <w:p w14:paraId="05C5B191" w14:textId="77777777" w:rsidR="002E30F6" w:rsidRPr="00D6167B" w:rsidRDefault="002E30F6" w:rsidP="007608DF">
      <w:pPr>
        <w:keepNext/>
        <w:widowControl/>
        <w:jc w:val="both"/>
        <w:rPr>
          <w:rFonts w:ascii="Times New Roman" w:eastAsia="Times New Roman" w:hAnsi="Times New Roman"/>
          <w:lang w:val="hr-HR"/>
        </w:rPr>
      </w:pPr>
      <w:r w:rsidRPr="00D6167B">
        <w:rPr>
          <w:rFonts w:ascii="Times New Roman" w:hAnsi="Times New Roman"/>
          <w:b/>
          <w:lang w:val="hr-HR"/>
        </w:rPr>
        <w:t>Tabela 19</w:t>
      </w:r>
      <w:r w:rsidRPr="00D6167B">
        <w:rPr>
          <w:rFonts w:ascii="Times New Roman" w:hAnsi="Times New Roman"/>
          <w:b/>
          <w:lang w:val="hr-HR"/>
        </w:rPr>
        <w:tab/>
        <w:t>Rezultati PFS</w:t>
      </w:r>
      <w:r w:rsidRPr="00D6167B">
        <w:rPr>
          <w:rFonts w:ascii="Times New Roman" w:hAnsi="Times New Roman"/>
          <w:b/>
          <w:vertAlign w:val="superscript"/>
          <w:lang w:val="hr-HR"/>
        </w:rPr>
        <w:t>1</w:t>
      </w:r>
      <w:r w:rsidRPr="00D6167B">
        <w:rPr>
          <w:rFonts w:ascii="Times New Roman" w:hAnsi="Times New Roman"/>
          <w:b/>
          <w:lang w:val="hr-HR"/>
        </w:rPr>
        <w:t xml:space="preserve"> prema stadijumu bolesti i statusu odstranjivanja tumorske mase iz studije BO17707 (ICON7)</w:t>
      </w:r>
    </w:p>
    <w:p w14:paraId="0C39B144" w14:textId="77777777" w:rsidR="002E30F6" w:rsidRPr="00D6167B" w:rsidRDefault="002E30F6" w:rsidP="007608DF">
      <w:pPr>
        <w:keepNext/>
        <w:widowControl/>
        <w:jc w:val="both"/>
        <w:rPr>
          <w:rFonts w:ascii="Times New Roman" w:eastAsia="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52"/>
        <w:gridCol w:w="3063"/>
        <w:gridCol w:w="3063"/>
      </w:tblGrid>
      <w:tr w:rsidR="002E30F6" w:rsidRPr="00D6167B" w14:paraId="171EAFEE" w14:textId="77777777" w:rsidTr="002C0B97">
        <w:tc>
          <w:tcPr>
            <w:tcW w:w="8910" w:type="dxa"/>
            <w:gridSpan w:val="3"/>
            <w:tcBorders>
              <w:left w:val="single" w:sz="4" w:space="0" w:color="auto"/>
              <w:bottom w:val="nil"/>
            </w:tcBorders>
            <w:shd w:val="clear" w:color="auto" w:fill="auto"/>
          </w:tcPr>
          <w:p w14:paraId="1C5229EA" w14:textId="77777777" w:rsidR="002E30F6" w:rsidRPr="00D37692" w:rsidRDefault="002E30F6" w:rsidP="007608DF">
            <w:pPr>
              <w:pStyle w:val="Default"/>
              <w:keepNext/>
              <w:jc w:val="both"/>
              <w:rPr>
                <w:color w:val="auto"/>
                <w:sz w:val="22"/>
                <w:lang w:val="hr-HR"/>
              </w:rPr>
            </w:pPr>
            <w:r w:rsidRPr="00D37692">
              <w:rPr>
                <w:color w:val="auto"/>
                <w:sz w:val="22"/>
                <w:lang w:val="hr-HR"/>
              </w:rPr>
              <w:t>Randomizovani pacijenti sa bolešću stadijuma III i optimalno odstranjenom tumorskom masom</w:t>
            </w:r>
            <w:r w:rsidRPr="00D37692">
              <w:rPr>
                <w:color w:val="auto"/>
                <w:sz w:val="22"/>
                <w:vertAlign w:val="superscript"/>
                <w:lang w:val="hr-HR"/>
              </w:rPr>
              <w:t>2,3</w:t>
            </w:r>
            <w:r w:rsidRPr="00D37692">
              <w:rPr>
                <w:color w:val="auto"/>
                <w:sz w:val="22"/>
                <w:lang w:val="hr-HR"/>
              </w:rPr>
              <w:t xml:space="preserve"> </w:t>
            </w:r>
          </w:p>
        </w:tc>
      </w:tr>
      <w:tr w:rsidR="002E30F6" w:rsidRPr="00D6167B" w14:paraId="1E15EAAB" w14:textId="77777777" w:rsidTr="002C0B97">
        <w:tc>
          <w:tcPr>
            <w:tcW w:w="2898" w:type="dxa"/>
            <w:tcBorders>
              <w:left w:val="single" w:sz="4" w:space="0" w:color="auto"/>
              <w:bottom w:val="nil"/>
              <w:right w:val="single" w:sz="4" w:space="0" w:color="auto"/>
            </w:tcBorders>
            <w:shd w:val="clear" w:color="auto" w:fill="auto"/>
          </w:tcPr>
          <w:p w14:paraId="0F50009A" w14:textId="77777777" w:rsidR="002E30F6" w:rsidRPr="00D6167B" w:rsidRDefault="002E30F6" w:rsidP="007608DF">
            <w:pPr>
              <w:keepNext/>
              <w:widowControl/>
              <w:jc w:val="both"/>
              <w:rPr>
                <w:rFonts w:ascii="Times New Roman" w:eastAsia="Times New Roman" w:hAnsi="Times New Roman"/>
                <w:lang w:val="hr-HR"/>
              </w:rPr>
            </w:pPr>
          </w:p>
        </w:tc>
        <w:tc>
          <w:tcPr>
            <w:tcW w:w="3006" w:type="dxa"/>
            <w:tcBorders>
              <w:top w:val="single" w:sz="4" w:space="0" w:color="auto"/>
              <w:left w:val="single" w:sz="4" w:space="0" w:color="auto"/>
              <w:bottom w:val="nil"/>
              <w:right w:val="single" w:sz="4" w:space="0" w:color="auto"/>
            </w:tcBorders>
            <w:shd w:val="clear" w:color="auto" w:fill="auto"/>
          </w:tcPr>
          <w:p w14:paraId="0B33BDD5" w14:textId="422C5401" w:rsidR="002E30F6" w:rsidRPr="00D37692" w:rsidRDefault="002E30F6" w:rsidP="00D37692">
            <w:pPr>
              <w:pStyle w:val="Default"/>
              <w:keepNext/>
              <w:jc w:val="center"/>
              <w:rPr>
                <w:color w:val="auto"/>
                <w:sz w:val="22"/>
                <w:lang w:val="hr-HR"/>
              </w:rPr>
            </w:pPr>
            <w:r w:rsidRPr="00D37692">
              <w:rPr>
                <w:color w:val="auto"/>
                <w:sz w:val="22"/>
                <w:lang w:val="hr-HR"/>
              </w:rPr>
              <w:t>CP</w:t>
            </w:r>
          </w:p>
        </w:tc>
        <w:tc>
          <w:tcPr>
            <w:tcW w:w="3006" w:type="dxa"/>
            <w:tcBorders>
              <w:left w:val="single" w:sz="4" w:space="0" w:color="auto"/>
              <w:bottom w:val="nil"/>
            </w:tcBorders>
            <w:shd w:val="clear" w:color="auto" w:fill="auto"/>
          </w:tcPr>
          <w:p w14:paraId="5B065C75" w14:textId="399F7BE3" w:rsidR="002E30F6" w:rsidRPr="00D37692" w:rsidRDefault="002E30F6" w:rsidP="00D37692">
            <w:pPr>
              <w:pStyle w:val="Default"/>
              <w:keepNext/>
              <w:jc w:val="center"/>
              <w:rPr>
                <w:color w:val="auto"/>
                <w:sz w:val="22"/>
                <w:lang w:val="hr-HR"/>
              </w:rPr>
            </w:pPr>
            <w:r w:rsidRPr="00D37692">
              <w:rPr>
                <w:color w:val="auto"/>
                <w:sz w:val="22"/>
                <w:lang w:val="hr-HR"/>
              </w:rPr>
              <w:t>CPB7.5+</w:t>
            </w:r>
          </w:p>
        </w:tc>
      </w:tr>
      <w:tr w:rsidR="002E30F6" w:rsidRPr="00D6167B" w14:paraId="76A52E05" w14:textId="77777777" w:rsidTr="002C0B97">
        <w:tc>
          <w:tcPr>
            <w:tcW w:w="2898" w:type="dxa"/>
            <w:tcBorders>
              <w:top w:val="nil"/>
              <w:left w:val="single" w:sz="4" w:space="0" w:color="auto"/>
              <w:bottom w:val="nil"/>
              <w:right w:val="single" w:sz="4" w:space="0" w:color="auto"/>
            </w:tcBorders>
            <w:shd w:val="clear" w:color="auto" w:fill="auto"/>
          </w:tcPr>
          <w:p w14:paraId="49D866C1" w14:textId="77777777" w:rsidR="002E30F6" w:rsidRPr="00D6167B" w:rsidRDefault="002E30F6" w:rsidP="007608DF">
            <w:pPr>
              <w:keepNext/>
              <w:widowControl/>
              <w:jc w:val="both"/>
              <w:rPr>
                <w:rFonts w:ascii="Times New Roman" w:eastAsia="Times New Roman" w:hAnsi="Times New Roman"/>
                <w:lang w:val="hr-HR"/>
              </w:rPr>
            </w:pPr>
          </w:p>
        </w:tc>
        <w:tc>
          <w:tcPr>
            <w:tcW w:w="3006" w:type="dxa"/>
            <w:tcBorders>
              <w:top w:val="nil"/>
              <w:left w:val="single" w:sz="4" w:space="0" w:color="auto"/>
              <w:bottom w:val="nil"/>
              <w:right w:val="single" w:sz="4" w:space="0" w:color="auto"/>
            </w:tcBorders>
            <w:shd w:val="clear" w:color="auto" w:fill="auto"/>
          </w:tcPr>
          <w:p w14:paraId="0DEAE2A4" w14:textId="36607EEB" w:rsidR="002E30F6" w:rsidRPr="00D37692" w:rsidRDefault="002E30F6" w:rsidP="00D37692">
            <w:pPr>
              <w:pStyle w:val="Default"/>
              <w:keepNext/>
              <w:jc w:val="center"/>
              <w:rPr>
                <w:color w:val="auto"/>
                <w:sz w:val="22"/>
                <w:lang w:val="hr-HR"/>
              </w:rPr>
            </w:pPr>
            <w:r w:rsidRPr="00D37692">
              <w:rPr>
                <w:color w:val="auto"/>
                <w:sz w:val="22"/>
                <w:lang w:val="hr-HR"/>
              </w:rPr>
              <w:t>(n=368)</w:t>
            </w:r>
          </w:p>
        </w:tc>
        <w:tc>
          <w:tcPr>
            <w:tcW w:w="3006" w:type="dxa"/>
            <w:tcBorders>
              <w:top w:val="nil"/>
              <w:left w:val="single" w:sz="4" w:space="0" w:color="auto"/>
              <w:bottom w:val="nil"/>
            </w:tcBorders>
            <w:shd w:val="clear" w:color="auto" w:fill="auto"/>
          </w:tcPr>
          <w:p w14:paraId="07056FF8" w14:textId="2EF1D3D7" w:rsidR="002E30F6" w:rsidRPr="00D37692" w:rsidRDefault="002E30F6" w:rsidP="00D37692">
            <w:pPr>
              <w:pStyle w:val="Default"/>
              <w:keepNext/>
              <w:jc w:val="center"/>
              <w:rPr>
                <w:color w:val="auto"/>
                <w:sz w:val="22"/>
                <w:lang w:val="hr-HR"/>
              </w:rPr>
            </w:pPr>
            <w:r w:rsidRPr="00D37692">
              <w:rPr>
                <w:color w:val="auto"/>
                <w:sz w:val="22"/>
                <w:lang w:val="hr-HR"/>
              </w:rPr>
              <w:t>(n=383)</w:t>
            </w:r>
          </w:p>
        </w:tc>
      </w:tr>
      <w:tr w:rsidR="002E30F6" w:rsidRPr="00D6167B" w14:paraId="1D9F195A" w14:textId="77777777" w:rsidTr="002C0B97">
        <w:tc>
          <w:tcPr>
            <w:tcW w:w="2898" w:type="dxa"/>
            <w:tcBorders>
              <w:top w:val="nil"/>
              <w:left w:val="single" w:sz="4" w:space="0" w:color="auto"/>
              <w:bottom w:val="nil"/>
              <w:right w:val="single" w:sz="4" w:space="0" w:color="auto"/>
            </w:tcBorders>
            <w:shd w:val="clear" w:color="auto" w:fill="auto"/>
          </w:tcPr>
          <w:p w14:paraId="39E3671C"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p>
        </w:tc>
        <w:tc>
          <w:tcPr>
            <w:tcW w:w="3006" w:type="dxa"/>
            <w:tcBorders>
              <w:top w:val="nil"/>
              <w:left w:val="single" w:sz="4" w:space="0" w:color="auto"/>
              <w:bottom w:val="nil"/>
              <w:right w:val="single" w:sz="4" w:space="0" w:color="auto"/>
            </w:tcBorders>
            <w:shd w:val="clear" w:color="auto" w:fill="auto"/>
          </w:tcPr>
          <w:p w14:paraId="63F76939" w14:textId="0E58AA1D" w:rsidR="002E30F6" w:rsidRPr="00D37692" w:rsidRDefault="002E30F6" w:rsidP="00D37692">
            <w:pPr>
              <w:pStyle w:val="Default"/>
              <w:jc w:val="center"/>
              <w:rPr>
                <w:color w:val="auto"/>
                <w:sz w:val="22"/>
                <w:lang w:val="hr-HR"/>
              </w:rPr>
            </w:pPr>
            <w:r w:rsidRPr="00D37692">
              <w:rPr>
                <w:color w:val="auto"/>
                <w:sz w:val="22"/>
                <w:lang w:val="hr-HR"/>
              </w:rPr>
              <w:t>17,7</w:t>
            </w:r>
          </w:p>
        </w:tc>
        <w:tc>
          <w:tcPr>
            <w:tcW w:w="3006" w:type="dxa"/>
            <w:tcBorders>
              <w:top w:val="nil"/>
              <w:left w:val="single" w:sz="4" w:space="0" w:color="auto"/>
              <w:bottom w:val="nil"/>
            </w:tcBorders>
            <w:shd w:val="clear" w:color="auto" w:fill="auto"/>
          </w:tcPr>
          <w:p w14:paraId="258C978F" w14:textId="7A82C730" w:rsidR="002E30F6" w:rsidRPr="00D37692" w:rsidRDefault="002E30F6" w:rsidP="00D37692">
            <w:pPr>
              <w:pStyle w:val="Default"/>
              <w:jc w:val="center"/>
              <w:rPr>
                <w:color w:val="auto"/>
                <w:sz w:val="22"/>
                <w:lang w:val="hr-HR"/>
              </w:rPr>
            </w:pPr>
            <w:r w:rsidRPr="00D37692">
              <w:rPr>
                <w:color w:val="auto"/>
                <w:sz w:val="22"/>
                <w:lang w:val="hr-HR"/>
              </w:rPr>
              <w:t>19,3</w:t>
            </w:r>
          </w:p>
        </w:tc>
      </w:tr>
      <w:tr w:rsidR="002E30F6" w:rsidRPr="00D6167B" w14:paraId="4157DAFD" w14:textId="77777777" w:rsidTr="002C0B97">
        <w:tc>
          <w:tcPr>
            <w:tcW w:w="2898" w:type="dxa"/>
            <w:tcBorders>
              <w:top w:val="nil"/>
              <w:left w:val="single" w:sz="4" w:space="0" w:color="auto"/>
              <w:bottom w:val="nil"/>
              <w:right w:val="single" w:sz="4" w:space="0" w:color="auto"/>
            </w:tcBorders>
            <w:shd w:val="clear" w:color="auto" w:fill="auto"/>
          </w:tcPr>
          <w:p w14:paraId="7B9C4159"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4</w:t>
            </w:r>
            <w:r w:rsidRPr="00D37692">
              <w:rPr>
                <w:color w:val="auto"/>
                <w:sz w:val="22"/>
                <w:lang w:val="hr-HR"/>
              </w:rPr>
              <w:t xml:space="preserve"> </w:t>
            </w:r>
          </w:p>
        </w:tc>
        <w:tc>
          <w:tcPr>
            <w:tcW w:w="3006" w:type="dxa"/>
            <w:tcBorders>
              <w:top w:val="nil"/>
              <w:left w:val="single" w:sz="4" w:space="0" w:color="auto"/>
              <w:bottom w:val="nil"/>
              <w:right w:val="single" w:sz="4" w:space="0" w:color="auto"/>
            </w:tcBorders>
            <w:shd w:val="clear" w:color="auto" w:fill="auto"/>
          </w:tcPr>
          <w:p w14:paraId="3483E141" w14:textId="77777777" w:rsidR="002E30F6" w:rsidRPr="00D37692" w:rsidRDefault="002E30F6" w:rsidP="00D37692">
            <w:pPr>
              <w:pStyle w:val="Default"/>
              <w:jc w:val="center"/>
              <w:rPr>
                <w:color w:val="auto"/>
                <w:sz w:val="22"/>
                <w:lang w:val="hr-HR"/>
              </w:rPr>
            </w:pPr>
          </w:p>
        </w:tc>
        <w:tc>
          <w:tcPr>
            <w:tcW w:w="3006" w:type="dxa"/>
            <w:tcBorders>
              <w:top w:val="nil"/>
              <w:left w:val="single" w:sz="4" w:space="0" w:color="auto"/>
              <w:bottom w:val="nil"/>
            </w:tcBorders>
            <w:shd w:val="clear" w:color="auto" w:fill="auto"/>
          </w:tcPr>
          <w:p w14:paraId="42654012" w14:textId="06208689" w:rsidR="002E30F6" w:rsidRPr="00D37692" w:rsidRDefault="002E30F6" w:rsidP="00D37692">
            <w:pPr>
              <w:pStyle w:val="Default"/>
              <w:jc w:val="center"/>
              <w:rPr>
                <w:color w:val="auto"/>
                <w:sz w:val="22"/>
                <w:lang w:val="hr-HR"/>
              </w:rPr>
            </w:pPr>
            <w:r w:rsidRPr="00D37692">
              <w:rPr>
                <w:color w:val="auto"/>
                <w:sz w:val="22"/>
                <w:lang w:val="hr-HR"/>
              </w:rPr>
              <w:t>0,89</w:t>
            </w:r>
          </w:p>
        </w:tc>
      </w:tr>
      <w:tr w:rsidR="002E30F6" w:rsidRPr="00D6167B" w14:paraId="2D613DD8" w14:textId="77777777" w:rsidTr="002C0B97">
        <w:tc>
          <w:tcPr>
            <w:tcW w:w="2898" w:type="dxa"/>
            <w:tcBorders>
              <w:top w:val="nil"/>
              <w:left w:val="single" w:sz="4" w:space="0" w:color="auto"/>
              <w:bottom w:val="nil"/>
              <w:right w:val="single" w:sz="4" w:space="0" w:color="auto"/>
            </w:tcBorders>
            <w:shd w:val="clear" w:color="auto" w:fill="auto"/>
          </w:tcPr>
          <w:p w14:paraId="6278FDB1" w14:textId="77777777" w:rsidR="002E30F6" w:rsidRPr="00D37692" w:rsidRDefault="002E30F6" w:rsidP="007608DF">
            <w:pPr>
              <w:pStyle w:val="Default"/>
              <w:jc w:val="both"/>
              <w:rPr>
                <w:color w:val="auto"/>
                <w:sz w:val="22"/>
                <w:lang w:val="hr-HR"/>
              </w:rPr>
            </w:pPr>
          </w:p>
        </w:tc>
        <w:tc>
          <w:tcPr>
            <w:tcW w:w="3006" w:type="dxa"/>
            <w:tcBorders>
              <w:top w:val="nil"/>
              <w:left w:val="single" w:sz="4" w:space="0" w:color="auto"/>
              <w:bottom w:val="nil"/>
              <w:right w:val="single" w:sz="4" w:space="0" w:color="auto"/>
            </w:tcBorders>
            <w:shd w:val="clear" w:color="auto" w:fill="auto"/>
          </w:tcPr>
          <w:p w14:paraId="56A94AB6" w14:textId="77777777" w:rsidR="002E30F6" w:rsidRPr="00D37692" w:rsidRDefault="002E30F6" w:rsidP="007608DF">
            <w:pPr>
              <w:pStyle w:val="Default"/>
              <w:jc w:val="both"/>
              <w:rPr>
                <w:color w:val="auto"/>
                <w:sz w:val="22"/>
                <w:lang w:val="hr-HR"/>
              </w:rPr>
            </w:pPr>
          </w:p>
        </w:tc>
        <w:tc>
          <w:tcPr>
            <w:tcW w:w="3006" w:type="dxa"/>
            <w:tcBorders>
              <w:top w:val="nil"/>
              <w:left w:val="single" w:sz="4" w:space="0" w:color="auto"/>
              <w:bottom w:val="nil"/>
            </w:tcBorders>
            <w:shd w:val="clear" w:color="auto" w:fill="auto"/>
          </w:tcPr>
          <w:p w14:paraId="37A41909" w14:textId="77777777" w:rsidR="002E30F6" w:rsidRPr="00D37692" w:rsidRDefault="002E30F6" w:rsidP="00D37692">
            <w:pPr>
              <w:pStyle w:val="Default"/>
              <w:jc w:val="center"/>
              <w:rPr>
                <w:color w:val="auto"/>
                <w:sz w:val="22"/>
                <w:lang w:val="hr-HR"/>
              </w:rPr>
            </w:pPr>
            <w:r w:rsidRPr="00D37692">
              <w:rPr>
                <w:color w:val="auto"/>
                <w:sz w:val="22"/>
                <w:lang w:val="hr-HR"/>
              </w:rPr>
              <w:t>(0,74; 1,07)</w:t>
            </w:r>
          </w:p>
        </w:tc>
      </w:tr>
      <w:tr w:rsidR="002E30F6" w:rsidRPr="00D6167B" w14:paraId="1EA82BD7" w14:textId="77777777" w:rsidTr="002C0B97">
        <w:tc>
          <w:tcPr>
            <w:tcW w:w="8910" w:type="dxa"/>
            <w:gridSpan w:val="3"/>
            <w:tcBorders>
              <w:left w:val="single" w:sz="4" w:space="0" w:color="auto"/>
              <w:bottom w:val="single" w:sz="4" w:space="0" w:color="auto"/>
            </w:tcBorders>
            <w:shd w:val="clear" w:color="auto" w:fill="auto"/>
          </w:tcPr>
          <w:p w14:paraId="068E5D91" w14:textId="77777777" w:rsidR="002E30F6" w:rsidRPr="00D37692" w:rsidRDefault="002E30F6" w:rsidP="007608DF">
            <w:pPr>
              <w:pStyle w:val="Default"/>
              <w:jc w:val="both"/>
              <w:rPr>
                <w:color w:val="auto"/>
                <w:sz w:val="22"/>
                <w:lang w:val="hr-HR"/>
              </w:rPr>
            </w:pPr>
            <w:r w:rsidRPr="00D37692">
              <w:rPr>
                <w:color w:val="auto"/>
                <w:sz w:val="22"/>
                <w:lang w:val="hr-HR"/>
              </w:rPr>
              <w:t>Randomizovani pacijenti sa bolešću stadijuma III i suboptimalno odstranjenom tumorskom masom</w:t>
            </w:r>
            <w:r w:rsidRPr="00D37692">
              <w:rPr>
                <w:color w:val="auto"/>
                <w:sz w:val="22"/>
                <w:vertAlign w:val="superscript"/>
                <w:lang w:val="hr-HR"/>
              </w:rPr>
              <w:t>3</w:t>
            </w:r>
          </w:p>
        </w:tc>
      </w:tr>
      <w:tr w:rsidR="002E30F6" w:rsidRPr="00D6167B" w14:paraId="0D5AFDE6" w14:textId="77777777" w:rsidTr="002C0B97">
        <w:tc>
          <w:tcPr>
            <w:tcW w:w="2898" w:type="dxa"/>
            <w:tcBorders>
              <w:top w:val="single" w:sz="4" w:space="0" w:color="auto"/>
              <w:left w:val="single" w:sz="4" w:space="0" w:color="auto"/>
              <w:bottom w:val="nil"/>
              <w:right w:val="single" w:sz="4" w:space="0" w:color="auto"/>
            </w:tcBorders>
            <w:shd w:val="clear" w:color="auto" w:fill="auto"/>
          </w:tcPr>
          <w:p w14:paraId="34A6985E" w14:textId="77777777" w:rsidR="002E30F6" w:rsidRPr="00D6167B" w:rsidRDefault="002E30F6" w:rsidP="007608DF">
            <w:pPr>
              <w:widowControl/>
              <w:jc w:val="both"/>
              <w:rPr>
                <w:rFonts w:ascii="Times New Roman" w:eastAsia="Times New Roman" w:hAnsi="Times New Roman"/>
                <w:lang w:val="hr-HR"/>
              </w:rPr>
            </w:pPr>
          </w:p>
        </w:tc>
        <w:tc>
          <w:tcPr>
            <w:tcW w:w="3006" w:type="dxa"/>
            <w:tcBorders>
              <w:top w:val="single" w:sz="4" w:space="0" w:color="auto"/>
              <w:left w:val="single" w:sz="4" w:space="0" w:color="auto"/>
              <w:bottom w:val="nil"/>
              <w:right w:val="single" w:sz="4" w:space="0" w:color="auto"/>
            </w:tcBorders>
            <w:shd w:val="clear" w:color="auto" w:fill="auto"/>
          </w:tcPr>
          <w:p w14:paraId="76303000" w14:textId="28D5E041" w:rsidR="002E30F6" w:rsidRPr="00D37692" w:rsidRDefault="002E30F6" w:rsidP="00D37692">
            <w:pPr>
              <w:pStyle w:val="Default"/>
              <w:jc w:val="center"/>
              <w:rPr>
                <w:color w:val="auto"/>
                <w:sz w:val="22"/>
                <w:lang w:val="hr-HR"/>
              </w:rPr>
            </w:pPr>
            <w:r w:rsidRPr="00D37692">
              <w:rPr>
                <w:color w:val="auto"/>
                <w:sz w:val="22"/>
                <w:lang w:val="hr-HR"/>
              </w:rPr>
              <w:t>CP</w:t>
            </w:r>
          </w:p>
        </w:tc>
        <w:tc>
          <w:tcPr>
            <w:tcW w:w="3006" w:type="dxa"/>
            <w:tcBorders>
              <w:top w:val="single" w:sz="4" w:space="0" w:color="auto"/>
              <w:left w:val="single" w:sz="4" w:space="0" w:color="auto"/>
              <w:bottom w:val="nil"/>
              <w:right w:val="single" w:sz="4" w:space="0" w:color="auto"/>
            </w:tcBorders>
            <w:shd w:val="clear" w:color="auto" w:fill="auto"/>
          </w:tcPr>
          <w:p w14:paraId="31AE78BF" w14:textId="3008F714" w:rsidR="002E30F6" w:rsidRPr="00D37692" w:rsidRDefault="002E30F6" w:rsidP="00D37692">
            <w:pPr>
              <w:pStyle w:val="Default"/>
              <w:jc w:val="center"/>
              <w:rPr>
                <w:color w:val="auto"/>
                <w:sz w:val="22"/>
                <w:lang w:val="hr-HR"/>
              </w:rPr>
            </w:pPr>
            <w:r w:rsidRPr="00D37692">
              <w:rPr>
                <w:color w:val="auto"/>
                <w:sz w:val="22"/>
                <w:lang w:val="hr-HR"/>
              </w:rPr>
              <w:t>CPB7.5+</w:t>
            </w:r>
          </w:p>
        </w:tc>
      </w:tr>
      <w:tr w:rsidR="002E30F6" w:rsidRPr="00D6167B" w14:paraId="31C587B8" w14:textId="77777777" w:rsidTr="002C0B97">
        <w:tc>
          <w:tcPr>
            <w:tcW w:w="2898" w:type="dxa"/>
            <w:tcBorders>
              <w:top w:val="nil"/>
              <w:left w:val="single" w:sz="4" w:space="0" w:color="auto"/>
              <w:bottom w:val="nil"/>
              <w:right w:val="single" w:sz="4" w:space="0" w:color="auto"/>
            </w:tcBorders>
            <w:shd w:val="clear" w:color="auto" w:fill="auto"/>
          </w:tcPr>
          <w:p w14:paraId="76CB111B" w14:textId="77777777" w:rsidR="002E30F6" w:rsidRPr="00D6167B" w:rsidRDefault="002E30F6" w:rsidP="007608DF">
            <w:pPr>
              <w:widowControl/>
              <w:jc w:val="both"/>
              <w:rPr>
                <w:rFonts w:ascii="Times New Roman" w:eastAsia="Times New Roman" w:hAnsi="Times New Roman"/>
                <w:lang w:val="hr-HR"/>
              </w:rPr>
            </w:pPr>
          </w:p>
        </w:tc>
        <w:tc>
          <w:tcPr>
            <w:tcW w:w="3006" w:type="dxa"/>
            <w:tcBorders>
              <w:top w:val="nil"/>
              <w:left w:val="single" w:sz="4" w:space="0" w:color="auto"/>
              <w:bottom w:val="nil"/>
              <w:right w:val="single" w:sz="4" w:space="0" w:color="auto"/>
            </w:tcBorders>
            <w:shd w:val="clear" w:color="auto" w:fill="auto"/>
          </w:tcPr>
          <w:p w14:paraId="675C2D9F" w14:textId="62FB8F75" w:rsidR="002E30F6" w:rsidRPr="00D37692" w:rsidRDefault="002E30F6" w:rsidP="00D37692">
            <w:pPr>
              <w:pStyle w:val="Default"/>
              <w:jc w:val="center"/>
              <w:rPr>
                <w:color w:val="auto"/>
                <w:sz w:val="22"/>
                <w:lang w:val="hr-HR"/>
              </w:rPr>
            </w:pPr>
            <w:r w:rsidRPr="00D37692">
              <w:rPr>
                <w:color w:val="auto"/>
                <w:sz w:val="22"/>
                <w:lang w:val="hr-HR"/>
              </w:rPr>
              <w:t>(n=154)</w:t>
            </w:r>
          </w:p>
        </w:tc>
        <w:tc>
          <w:tcPr>
            <w:tcW w:w="3006" w:type="dxa"/>
            <w:tcBorders>
              <w:top w:val="nil"/>
              <w:left w:val="single" w:sz="4" w:space="0" w:color="auto"/>
              <w:bottom w:val="nil"/>
              <w:right w:val="single" w:sz="4" w:space="0" w:color="auto"/>
            </w:tcBorders>
            <w:shd w:val="clear" w:color="auto" w:fill="auto"/>
          </w:tcPr>
          <w:p w14:paraId="564F0D7E" w14:textId="67BB697F" w:rsidR="002E30F6" w:rsidRPr="00D37692" w:rsidRDefault="002E30F6" w:rsidP="00D37692">
            <w:pPr>
              <w:pStyle w:val="Default"/>
              <w:jc w:val="center"/>
              <w:rPr>
                <w:color w:val="auto"/>
                <w:sz w:val="22"/>
                <w:lang w:val="hr-HR"/>
              </w:rPr>
            </w:pPr>
            <w:r w:rsidRPr="00D37692">
              <w:rPr>
                <w:color w:val="auto"/>
                <w:sz w:val="22"/>
                <w:lang w:val="hr-HR"/>
              </w:rPr>
              <w:t>(n=140)</w:t>
            </w:r>
          </w:p>
        </w:tc>
      </w:tr>
      <w:tr w:rsidR="002E30F6" w:rsidRPr="00D6167B" w14:paraId="68CA4BF8" w14:textId="77777777" w:rsidTr="002C0B97">
        <w:tc>
          <w:tcPr>
            <w:tcW w:w="2898" w:type="dxa"/>
            <w:tcBorders>
              <w:top w:val="nil"/>
              <w:left w:val="single" w:sz="4" w:space="0" w:color="auto"/>
              <w:bottom w:val="nil"/>
              <w:right w:val="single" w:sz="4" w:space="0" w:color="auto"/>
            </w:tcBorders>
            <w:shd w:val="clear" w:color="auto" w:fill="auto"/>
          </w:tcPr>
          <w:p w14:paraId="01F47BBC" w14:textId="77777777" w:rsidR="002E30F6" w:rsidRPr="00D37692" w:rsidRDefault="002E30F6" w:rsidP="00D37692">
            <w:pPr>
              <w:pStyle w:val="Default"/>
              <w:rPr>
                <w:color w:val="auto"/>
                <w:sz w:val="22"/>
                <w:lang w:val="hr-HR"/>
              </w:rPr>
            </w:pPr>
            <w:r w:rsidRPr="00D37692">
              <w:rPr>
                <w:color w:val="auto"/>
                <w:sz w:val="22"/>
                <w:lang w:val="hr-HR"/>
              </w:rPr>
              <w:t>Srednja vrijednost PFS (mjeseci)</w:t>
            </w:r>
          </w:p>
        </w:tc>
        <w:tc>
          <w:tcPr>
            <w:tcW w:w="3006" w:type="dxa"/>
            <w:tcBorders>
              <w:top w:val="nil"/>
              <w:left w:val="single" w:sz="4" w:space="0" w:color="auto"/>
              <w:bottom w:val="nil"/>
              <w:right w:val="single" w:sz="4" w:space="0" w:color="auto"/>
            </w:tcBorders>
            <w:shd w:val="clear" w:color="auto" w:fill="auto"/>
          </w:tcPr>
          <w:p w14:paraId="1B3B7F44" w14:textId="1BCB1FDB" w:rsidR="002E30F6" w:rsidRPr="00D37692" w:rsidRDefault="002E30F6" w:rsidP="00D37692">
            <w:pPr>
              <w:pStyle w:val="Default"/>
              <w:jc w:val="center"/>
              <w:rPr>
                <w:color w:val="auto"/>
                <w:sz w:val="22"/>
                <w:lang w:val="hr-HR"/>
              </w:rPr>
            </w:pPr>
            <w:r w:rsidRPr="00D37692">
              <w:rPr>
                <w:color w:val="auto"/>
                <w:sz w:val="22"/>
                <w:lang w:val="hr-HR"/>
              </w:rPr>
              <w:t>10,1</w:t>
            </w:r>
          </w:p>
        </w:tc>
        <w:tc>
          <w:tcPr>
            <w:tcW w:w="3006" w:type="dxa"/>
            <w:tcBorders>
              <w:top w:val="nil"/>
              <w:left w:val="single" w:sz="4" w:space="0" w:color="auto"/>
              <w:bottom w:val="nil"/>
              <w:right w:val="single" w:sz="4" w:space="0" w:color="auto"/>
            </w:tcBorders>
            <w:shd w:val="clear" w:color="auto" w:fill="auto"/>
          </w:tcPr>
          <w:p w14:paraId="548E0E60" w14:textId="5A91CB8E" w:rsidR="002E30F6" w:rsidRPr="00D37692" w:rsidRDefault="002E30F6" w:rsidP="00D37692">
            <w:pPr>
              <w:pStyle w:val="Default"/>
              <w:jc w:val="center"/>
              <w:rPr>
                <w:color w:val="auto"/>
                <w:sz w:val="22"/>
                <w:lang w:val="hr-HR"/>
              </w:rPr>
            </w:pPr>
            <w:r w:rsidRPr="00D37692">
              <w:rPr>
                <w:color w:val="auto"/>
                <w:sz w:val="22"/>
                <w:lang w:val="hr-HR"/>
              </w:rPr>
              <w:t>16,9</w:t>
            </w:r>
          </w:p>
        </w:tc>
      </w:tr>
      <w:tr w:rsidR="002E30F6" w:rsidRPr="00D6167B" w14:paraId="1A9DBFE5" w14:textId="77777777" w:rsidTr="0022249C">
        <w:tc>
          <w:tcPr>
            <w:tcW w:w="2898" w:type="dxa"/>
            <w:tcBorders>
              <w:top w:val="nil"/>
              <w:left w:val="single" w:sz="4" w:space="0" w:color="auto"/>
              <w:bottom w:val="nil"/>
              <w:right w:val="single" w:sz="4" w:space="0" w:color="auto"/>
            </w:tcBorders>
            <w:shd w:val="clear" w:color="auto" w:fill="auto"/>
          </w:tcPr>
          <w:p w14:paraId="33D153CB" w14:textId="77777777" w:rsidR="002E30F6" w:rsidRPr="00D37692" w:rsidRDefault="002E30F6" w:rsidP="00D37692">
            <w:pPr>
              <w:pStyle w:val="Default"/>
              <w:rPr>
                <w:color w:val="auto"/>
                <w:sz w:val="22"/>
                <w:lang w:val="hr-HR"/>
              </w:rPr>
            </w:pPr>
            <w:r w:rsidRPr="00D37692">
              <w:rPr>
                <w:color w:val="auto"/>
                <w:sz w:val="22"/>
                <w:lang w:val="hr-HR"/>
              </w:rPr>
              <w:t>Odnos rizika (95% CI)</w:t>
            </w:r>
            <w:r w:rsidRPr="00D37692">
              <w:rPr>
                <w:color w:val="auto"/>
                <w:sz w:val="22"/>
                <w:vertAlign w:val="superscript"/>
                <w:lang w:val="hr-HR"/>
              </w:rPr>
              <w:t xml:space="preserve">4 </w:t>
            </w:r>
          </w:p>
        </w:tc>
        <w:tc>
          <w:tcPr>
            <w:tcW w:w="3006" w:type="dxa"/>
            <w:tcBorders>
              <w:top w:val="nil"/>
              <w:left w:val="single" w:sz="4" w:space="0" w:color="auto"/>
              <w:bottom w:val="nil"/>
              <w:right w:val="single" w:sz="4" w:space="0" w:color="auto"/>
            </w:tcBorders>
            <w:shd w:val="clear" w:color="auto" w:fill="auto"/>
          </w:tcPr>
          <w:p w14:paraId="00885F67" w14:textId="77777777" w:rsidR="002E30F6" w:rsidRPr="00D37692" w:rsidRDefault="002E30F6" w:rsidP="00D37692">
            <w:pPr>
              <w:pStyle w:val="Default"/>
              <w:jc w:val="center"/>
              <w:rPr>
                <w:color w:val="auto"/>
                <w:sz w:val="22"/>
                <w:lang w:val="hr-HR"/>
              </w:rPr>
            </w:pPr>
          </w:p>
        </w:tc>
        <w:tc>
          <w:tcPr>
            <w:tcW w:w="3006" w:type="dxa"/>
            <w:tcBorders>
              <w:top w:val="nil"/>
              <w:left w:val="single" w:sz="4" w:space="0" w:color="auto"/>
              <w:bottom w:val="nil"/>
              <w:right w:val="single" w:sz="4" w:space="0" w:color="auto"/>
            </w:tcBorders>
            <w:shd w:val="clear" w:color="auto" w:fill="auto"/>
          </w:tcPr>
          <w:p w14:paraId="0AC09EEE" w14:textId="263AECDD" w:rsidR="002E30F6" w:rsidRPr="00D37692" w:rsidRDefault="002E30F6" w:rsidP="00D37692">
            <w:pPr>
              <w:pStyle w:val="Default"/>
              <w:jc w:val="center"/>
              <w:rPr>
                <w:color w:val="auto"/>
                <w:sz w:val="22"/>
                <w:lang w:val="hr-HR"/>
              </w:rPr>
            </w:pPr>
            <w:r w:rsidRPr="00D37692">
              <w:rPr>
                <w:color w:val="auto"/>
                <w:sz w:val="22"/>
                <w:lang w:val="hr-HR"/>
              </w:rPr>
              <w:t>0,67</w:t>
            </w:r>
          </w:p>
        </w:tc>
      </w:tr>
      <w:tr w:rsidR="002E30F6" w:rsidRPr="00D6167B" w14:paraId="1F4B7ECD" w14:textId="77777777" w:rsidTr="0022249C">
        <w:tc>
          <w:tcPr>
            <w:tcW w:w="2898" w:type="dxa"/>
            <w:tcBorders>
              <w:top w:val="nil"/>
              <w:left w:val="single" w:sz="4" w:space="0" w:color="auto"/>
              <w:bottom w:val="single" w:sz="4" w:space="0" w:color="auto"/>
            </w:tcBorders>
            <w:shd w:val="clear" w:color="auto" w:fill="auto"/>
          </w:tcPr>
          <w:p w14:paraId="30D77258" w14:textId="77777777" w:rsidR="002E30F6" w:rsidRPr="00D37692" w:rsidRDefault="002E30F6" w:rsidP="007608DF">
            <w:pPr>
              <w:pStyle w:val="Default"/>
              <w:jc w:val="both"/>
              <w:rPr>
                <w:color w:val="auto"/>
                <w:sz w:val="22"/>
                <w:lang w:val="hr-HR"/>
              </w:rPr>
            </w:pPr>
          </w:p>
        </w:tc>
        <w:tc>
          <w:tcPr>
            <w:tcW w:w="3006" w:type="dxa"/>
            <w:tcBorders>
              <w:top w:val="nil"/>
              <w:bottom w:val="single" w:sz="4" w:space="0" w:color="auto"/>
            </w:tcBorders>
            <w:shd w:val="clear" w:color="auto" w:fill="auto"/>
          </w:tcPr>
          <w:p w14:paraId="544A7A5D" w14:textId="77777777" w:rsidR="002E30F6" w:rsidRPr="00D37692" w:rsidRDefault="002E30F6" w:rsidP="00D37692">
            <w:pPr>
              <w:pStyle w:val="Default"/>
              <w:jc w:val="center"/>
              <w:rPr>
                <w:color w:val="auto"/>
                <w:sz w:val="22"/>
                <w:lang w:val="hr-HR"/>
              </w:rPr>
            </w:pPr>
          </w:p>
        </w:tc>
        <w:tc>
          <w:tcPr>
            <w:tcW w:w="3006" w:type="dxa"/>
            <w:tcBorders>
              <w:top w:val="nil"/>
              <w:bottom w:val="single" w:sz="4" w:space="0" w:color="auto"/>
            </w:tcBorders>
            <w:shd w:val="clear" w:color="auto" w:fill="auto"/>
          </w:tcPr>
          <w:p w14:paraId="4845228E" w14:textId="3D9DB1CD" w:rsidR="002E30F6" w:rsidRPr="00D37692" w:rsidRDefault="002E30F6" w:rsidP="00D37692">
            <w:pPr>
              <w:pStyle w:val="Default"/>
              <w:jc w:val="center"/>
              <w:rPr>
                <w:color w:val="auto"/>
                <w:sz w:val="22"/>
                <w:lang w:val="hr-HR"/>
              </w:rPr>
            </w:pPr>
            <w:r w:rsidRPr="00D37692">
              <w:rPr>
                <w:color w:val="auto"/>
                <w:sz w:val="22"/>
                <w:lang w:val="hr-HR"/>
              </w:rPr>
              <w:t>(0,52; 0,87)</w:t>
            </w:r>
          </w:p>
        </w:tc>
      </w:tr>
      <w:tr w:rsidR="002E30F6" w:rsidRPr="00D6167B" w14:paraId="3BEB8B89" w14:textId="77777777" w:rsidTr="0022249C">
        <w:tc>
          <w:tcPr>
            <w:tcW w:w="8910" w:type="dxa"/>
            <w:gridSpan w:val="3"/>
            <w:tcBorders>
              <w:top w:val="single" w:sz="4" w:space="0" w:color="auto"/>
              <w:left w:val="single" w:sz="4" w:space="0" w:color="auto"/>
              <w:bottom w:val="nil"/>
            </w:tcBorders>
            <w:shd w:val="clear" w:color="auto" w:fill="auto"/>
          </w:tcPr>
          <w:p w14:paraId="2E4C3074" w14:textId="77777777" w:rsidR="002E30F6" w:rsidRPr="00D37692" w:rsidRDefault="002E30F6" w:rsidP="007608DF">
            <w:pPr>
              <w:pStyle w:val="Default"/>
              <w:keepNext/>
              <w:jc w:val="both"/>
              <w:rPr>
                <w:color w:val="auto"/>
                <w:sz w:val="22"/>
                <w:lang w:val="hr-HR"/>
              </w:rPr>
            </w:pPr>
            <w:r w:rsidRPr="00D37692">
              <w:rPr>
                <w:color w:val="auto"/>
                <w:sz w:val="22"/>
                <w:lang w:val="hr-HR"/>
              </w:rPr>
              <w:t xml:space="preserve">Randomizovani pacijenti sa bolešću stadijuma IV </w:t>
            </w:r>
          </w:p>
        </w:tc>
      </w:tr>
      <w:tr w:rsidR="002E30F6" w:rsidRPr="00D6167B" w14:paraId="2CC16CD8" w14:textId="77777777" w:rsidTr="002C0B97">
        <w:tc>
          <w:tcPr>
            <w:tcW w:w="2898" w:type="dxa"/>
            <w:tcBorders>
              <w:left w:val="single" w:sz="4" w:space="0" w:color="auto"/>
              <w:bottom w:val="nil"/>
            </w:tcBorders>
            <w:shd w:val="clear" w:color="auto" w:fill="auto"/>
          </w:tcPr>
          <w:p w14:paraId="5654E5DA" w14:textId="77777777" w:rsidR="002E30F6" w:rsidRPr="00D37692" w:rsidRDefault="002E30F6" w:rsidP="007608DF">
            <w:pPr>
              <w:pStyle w:val="Default"/>
              <w:keepNext/>
              <w:jc w:val="both"/>
              <w:rPr>
                <w:color w:val="auto"/>
                <w:sz w:val="22"/>
                <w:lang w:val="hr-HR"/>
              </w:rPr>
            </w:pPr>
          </w:p>
        </w:tc>
        <w:tc>
          <w:tcPr>
            <w:tcW w:w="3006" w:type="dxa"/>
            <w:tcBorders>
              <w:bottom w:val="nil"/>
            </w:tcBorders>
            <w:shd w:val="clear" w:color="auto" w:fill="auto"/>
          </w:tcPr>
          <w:p w14:paraId="1202C94B" w14:textId="65BAE54E" w:rsidR="002E30F6" w:rsidRPr="00D37692" w:rsidRDefault="002E30F6" w:rsidP="00D37692">
            <w:pPr>
              <w:pStyle w:val="Default"/>
              <w:keepNext/>
              <w:jc w:val="center"/>
              <w:rPr>
                <w:color w:val="auto"/>
                <w:sz w:val="22"/>
                <w:lang w:val="hr-HR"/>
              </w:rPr>
            </w:pPr>
            <w:r w:rsidRPr="00D37692">
              <w:rPr>
                <w:color w:val="auto"/>
                <w:sz w:val="22"/>
                <w:lang w:val="hr-HR"/>
              </w:rPr>
              <w:t>CP</w:t>
            </w:r>
          </w:p>
        </w:tc>
        <w:tc>
          <w:tcPr>
            <w:tcW w:w="3006" w:type="dxa"/>
            <w:tcBorders>
              <w:bottom w:val="nil"/>
            </w:tcBorders>
            <w:shd w:val="clear" w:color="auto" w:fill="auto"/>
          </w:tcPr>
          <w:p w14:paraId="0FF107B5" w14:textId="4DFBC763" w:rsidR="002E30F6" w:rsidRPr="00D37692" w:rsidRDefault="002E30F6" w:rsidP="00D37692">
            <w:pPr>
              <w:pStyle w:val="Default"/>
              <w:keepNext/>
              <w:jc w:val="center"/>
              <w:rPr>
                <w:color w:val="auto"/>
                <w:sz w:val="22"/>
                <w:lang w:val="hr-HR"/>
              </w:rPr>
            </w:pPr>
            <w:r w:rsidRPr="00D37692">
              <w:rPr>
                <w:color w:val="auto"/>
                <w:sz w:val="22"/>
                <w:lang w:val="hr-HR"/>
              </w:rPr>
              <w:t>CPB7.5+</w:t>
            </w:r>
          </w:p>
        </w:tc>
      </w:tr>
      <w:tr w:rsidR="002E30F6" w:rsidRPr="00D6167B" w14:paraId="708006D1" w14:textId="77777777" w:rsidTr="002C0B97">
        <w:tc>
          <w:tcPr>
            <w:tcW w:w="2898" w:type="dxa"/>
            <w:tcBorders>
              <w:top w:val="nil"/>
              <w:left w:val="single" w:sz="4" w:space="0" w:color="auto"/>
              <w:bottom w:val="nil"/>
            </w:tcBorders>
            <w:shd w:val="clear" w:color="auto" w:fill="auto"/>
          </w:tcPr>
          <w:p w14:paraId="137955E4" w14:textId="77777777" w:rsidR="002E30F6" w:rsidRPr="00D6167B" w:rsidRDefault="002E30F6" w:rsidP="007608DF">
            <w:pPr>
              <w:keepNext/>
              <w:widowControl/>
              <w:jc w:val="both"/>
              <w:rPr>
                <w:rFonts w:ascii="Times New Roman" w:eastAsia="Times New Roman" w:hAnsi="Times New Roman"/>
                <w:lang w:val="hr-HR"/>
              </w:rPr>
            </w:pPr>
          </w:p>
        </w:tc>
        <w:tc>
          <w:tcPr>
            <w:tcW w:w="3006" w:type="dxa"/>
            <w:tcBorders>
              <w:top w:val="nil"/>
              <w:bottom w:val="nil"/>
            </w:tcBorders>
            <w:shd w:val="clear" w:color="auto" w:fill="auto"/>
          </w:tcPr>
          <w:p w14:paraId="30E0C0E1" w14:textId="4F1D09F0" w:rsidR="002E30F6" w:rsidRPr="00D37692" w:rsidRDefault="002E30F6" w:rsidP="00D37692">
            <w:pPr>
              <w:pStyle w:val="Default"/>
              <w:keepNext/>
              <w:jc w:val="center"/>
              <w:rPr>
                <w:color w:val="auto"/>
                <w:sz w:val="22"/>
                <w:lang w:val="hr-HR"/>
              </w:rPr>
            </w:pPr>
            <w:r w:rsidRPr="00D37692">
              <w:rPr>
                <w:color w:val="auto"/>
                <w:sz w:val="22"/>
                <w:lang w:val="hr-HR"/>
              </w:rPr>
              <w:t>(n=97)</w:t>
            </w:r>
          </w:p>
        </w:tc>
        <w:tc>
          <w:tcPr>
            <w:tcW w:w="3006" w:type="dxa"/>
            <w:tcBorders>
              <w:top w:val="nil"/>
              <w:bottom w:val="nil"/>
            </w:tcBorders>
            <w:shd w:val="clear" w:color="auto" w:fill="auto"/>
          </w:tcPr>
          <w:p w14:paraId="3954424B" w14:textId="28132863" w:rsidR="002E30F6" w:rsidRPr="00D37692" w:rsidRDefault="002E30F6" w:rsidP="00D37692">
            <w:pPr>
              <w:pStyle w:val="Default"/>
              <w:keepNext/>
              <w:jc w:val="center"/>
              <w:rPr>
                <w:color w:val="auto"/>
                <w:sz w:val="22"/>
                <w:lang w:val="hr-HR"/>
              </w:rPr>
            </w:pPr>
            <w:r w:rsidRPr="00D37692">
              <w:rPr>
                <w:color w:val="auto"/>
                <w:sz w:val="22"/>
                <w:lang w:val="hr-HR"/>
              </w:rPr>
              <w:t>(n=104)</w:t>
            </w:r>
          </w:p>
        </w:tc>
      </w:tr>
      <w:tr w:rsidR="002E30F6" w:rsidRPr="00D6167B" w14:paraId="1FB823DF" w14:textId="77777777" w:rsidTr="002C0B97">
        <w:tc>
          <w:tcPr>
            <w:tcW w:w="2898" w:type="dxa"/>
            <w:tcBorders>
              <w:top w:val="nil"/>
              <w:left w:val="single" w:sz="4" w:space="0" w:color="auto"/>
              <w:bottom w:val="nil"/>
            </w:tcBorders>
            <w:shd w:val="clear" w:color="auto" w:fill="auto"/>
          </w:tcPr>
          <w:p w14:paraId="7A927C61" w14:textId="77777777" w:rsidR="002E30F6" w:rsidRPr="00D37692" w:rsidRDefault="002E30F6" w:rsidP="00D37692">
            <w:pPr>
              <w:pStyle w:val="Default"/>
              <w:keepNext/>
              <w:rPr>
                <w:color w:val="auto"/>
                <w:sz w:val="22"/>
                <w:lang w:val="hr-HR"/>
              </w:rPr>
            </w:pPr>
            <w:r w:rsidRPr="00D37692">
              <w:rPr>
                <w:color w:val="auto"/>
                <w:sz w:val="22"/>
                <w:lang w:val="hr-HR"/>
              </w:rPr>
              <w:t xml:space="preserve">Srednja vrijednost PFS (mjeseci) </w:t>
            </w:r>
          </w:p>
        </w:tc>
        <w:tc>
          <w:tcPr>
            <w:tcW w:w="3006" w:type="dxa"/>
            <w:tcBorders>
              <w:top w:val="nil"/>
              <w:bottom w:val="nil"/>
            </w:tcBorders>
            <w:shd w:val="clear" w:color="auto" w:fill="auto"/>
          </w:tcPr>
          <w:p w14:paraId="60BA8A33" w14:textId="02011C89" w:rsidR="002E30F6" w:rsidRPr="00D37692" w:rsidRDefault="002E30F6" w:rsidP="00D37692">
            <w:pPr>
              <w:pStyle w:val="Default"/>
              <w:keepNext/>
              <w:jc w:val="center"/>
              <w:rPr>
                <w:color w:val="auto"/>
                <w:sz w:val="22"/>
                <w:lang w:val="hr-HR"/>
              </w:rPr>
            </w:pPr>
            <w:r w:rsidRPr="00D37692">
              <w:rPr>
                <w:color w:val="auto"/>
                <w:sz w:val="22"/>
                <w:lang w:val="hr-HR"/>
              </w:rPr>
              <w:t>10,1</w:t>
            </w:r>
          </w:p>
        </w:tc>
        <w:tc>
          <w:tcPr>
            <w:tcW w:w="3006" w:type="dxa"/>
            <w:tcBorders>
              <w:top w:val="nil"/>
              <w:bottom w:val="nil"/>
            </w:tcBorders>
            <w:shd w:val="clear" w:color="auto" w:fill="auto"/>
          </w:tcPr>
          <w:p w14:paraId="6F54B532" w14:textId="7FB05A94" w:rsidR="002E30F6" w:rsidRPr="00D37692" w:rsidRDefault="002E30F6" w:rsidP="00D37692">
            <w:pPr>
              <w:pStyle w:val="Default"/>
              <w:keepNext/>
              <w:jc w:val="center"/>
              <w:rPr>
                <w:color w:val="auto"/>
                <w:sz w:val="22"/>
                <w:lang w:val="hr-HR"/>
              </w:rPr>
            </w:pPr>
            <w:r w:rsidRPr="00D37692">
              <w:rPr>
                <w:color w:val="auto"/>
                <w:sz w:val="22"/>
                <w:lang w:val="hr-HR"/>
              </w:rPr>
              <w:t>13,5</w:t>
            </w:r>
          </w:p>
        </w:tc>
      </w:tr>
      <w:tr w:rsidR="002E30F6" w:rsidRPr="00D6167B" w14:paraId="116FDBC3" w14:textId="77777777" w:rsidTr="002C0B97">
        <w:tc>
          <w:tcPr>
            <w:tcW w:w="2898" w:type="dxa"/>
            <w:tcBorders>
              <w:top w:val="nil"/>
              <w:left w:val="single" w:sz="4" w:space="0" w:color="auto"/>
              <w:bottom w:val="nil"/>
            </w:tcBorders>
            <w:shd w:val="clear" w:color="auto" w:fill="auto"/>
          </w:tcPr>
          <w:p w14:paraId="7644DA48" w14:textId="77777777" w:rsidR="002E30F6" w:rsidRPr="00D6167B" w:rsidRDefault="00D970C2" w:rsidP="00D37692">
            <w:pPr>
              <w:keepNext/>
              <w:widowControl/>
              <w:rPr>
                <w:rFonts w:ascii="Times New Roman" w:eastAsia="Times New Roman" w:hAnsi="Times New Roman"/>
                <w:lang w:val="hr-HR"/>
              </w:rPr>
            </w:pPr>
            <w:r w:rsidRPr="00D6167B">
              <w:rPr>
                <w:rFonts w:ascii="Times New Roman" w:hAnsi="Times New Roman"/>
                <w:lang w:val="hr-HR"/>
              </w:rPr>
              <w:t>Odnos rizika (95% CI)</w:t>
            </w:r>
            <w:r w:rsidRPr="00D6167B">
              <w:rPr>
                <w:rFonts w:ascii="Times New Roman" w:hAnsi="Times New Roman"/>
                <w:vertAlign w:val="superscript"/>
                <w:lang w:val="hr-HR"/>
              </w:rPr>
              <w:t>4</w:t>
            </w:r>
          </w:p>
        </w:tc>
        <w:tc>
          <w:tcPr>
            <w:tcW w:w="3006" w:type="dxa"/>
            <w:tcBorders>
              <w:top w:val="nil"/>
              <w:bottom w:val="nil"/>
            </w:tcBorders>
            <w:shd w:val="clear" w:color="auto" w:fill="auto"/>
          </w:tcPr>
          <w:p w14:paraId="4A76E5CE" w14:textId="77777777" w:rsidR="002E30F6" w:rsidRPr="00D37692" w:rsidRDefault="002E30F6" w:rsidP="00D37692">
            <w:pPr>
              <w:pStyle w:val="Default"/>
              <w:keepNext/>
              <w:jc w:val="center"/>
              <w:rPr>
                <w:color w:val="auto"/>
                <w:sz w:val="22"/>
                <w:lang w:val="hr-HR"/>
              </w:rPr>
            </w:pPr>
          </w:p>
        </w:tc>
        <w:tc>
          <w:tcPr>
            <w:tcW w:w="3006" w:type="dxa"/>
            <w:tcBorders>
              <w:top w:val="nil"/>
              <w:bottom w:val="nil"/>
            </w:tcBorders>
            <w:shd w:val="clear" w:color="auto" w:fill="auto"/>
          </w:tcPr>
          <w:p w14:paraId="4E5AEE2C" w14:textId="2B8FE36B" w:rsidR="002E30F6" w:rsidRPr="00D37692" w:rsidRDefault="002E30F6" w:rsidP="00D37692">
            <w:pPr>
              <w:pStyle w:val="Default"/>
              <w:keepNext/>
              <w:jc w:val="center"/>
              <w:rPr>
                <w:color w:val="auto"/>
                <w:sz w:val="22"/>
                <w:lang w:val="hr-HR"/>
              </w:rPr>
            </w:pPr>
            <w:r w:rsidRPr="00D37692">
              <w:rPr>
                <w:color w:val="auto"/>
                <w:sz w:val="22"/>
                <w:lang w:val="hr-HR"/>
              </w:rPr>
              <w:t>0,74</w:t>
            </w:r>
          </w:p>
        </w:tc>
      </w:tr>
      <w:tr w:rsidR="002E30F6" w:rsidRPr="00D6167B" w14:paraId="63AF048D" w14:textId="77777777" w:rsidTr="002C0B97">
        <w:tc>
          <w:tcPr>
            <w:tcW w:w="2898" w:type="dxa"/>
            <w:tcBorders>
              <w:top w:val="nil"/>
              <w:left w:val="single" w:sz="4" w:space="0" w:color="auto"/>
              <w:bottom w:val="single" w:sz="4" w:space="0" w:color="auto"/>
            </w:tcBorders>
            <w:shd w:val="clear" w:color="auto" w:fill="auto"/>
          </w:tcPr>
          <w:p w14:paraId="0B4E9026" w14:textId="77777777" w:rsidR="002E30F6" w:rsidRPr="00D37692" w:rsidRDefault="002E30F6" w:rsidP="007608DF">
            <w:pPr>
              <w:pStyle w:val="Default"/>
              <w:jc w:val="both"/>
              <w:rPr>
                <w:color w:val="auto"/>
                <w:sz w:val="22"/>
                <w:lang w:val="hr-HR"/>
              </w:rPr>
            </w:pPr>
          </w:p>
        </w:tc>
        <w:tc>
          <w:tcPr>
            <w:tcW w:w="3006" w:type="dxa"/>
            <w:tcBorders>
              <w:top w:val="nil"/>
              <w:bottom w:val="single" w:sz="4" w:space="0" w:color="auto"/>
            </w:tcBorders>
            <w:shd w:val="clear" w:color="auto" w:fill="auto"/>
          </w:tcPr>
          <w:p w14:paraId="5FFCC025" w14:textId="77777777" w:rsidR="002E30F6" w:rsidRPr="00D37692" w:rsidRDefault="002E30F6" w:rsidP="007608DF">
            <w:pPr>
              <w:pStyle w:val="Default"/>
              <w:jc w:val="both"/>
              <w:rPr>
                <w:color w:val="auto"/>
                <w:sz w:val="22"/>
                <w:lang w:val="hr-HR"/>
              </w:rPr>
            </w:pPr>
          </w:p>
        </w:tc>
        <w:tc>
          <w:tcPr>
            <w:tcW w:w="3006" w:type="dxa"/>
            <w:tcBorders>
              <w:top w:val="nil"/>
              <w:bottom w:val="single" w:sz="4" w:space="0" w:color="auto"/>
            </w:tcBorders>
            <w:shd w:val="clear" w:color="auto" w:fill="auto"/>
          </w:tcPr>
          <w:p w14:paraId="7E642A13" w14:textId="4A144FD2" w:rsidR="002E30F6" w:rsidRPr="00D37692" w:rsidRDefault="002E30F6" w:rsidP="00D37692">
            <w:pPr>
              <w:pStyle w:val="Default"/>
              <w:jc w:val="center"/>
              <w:rPr>
                <w:color w:val="auto"/>
                <w:sz w:val="22"/>
                <w:lang w:val="hr-HR"/>
              </w:rPr>
            </w:pPr>
            <w:r w:rsidRPr="00D37692">
              <w:rPr>
                <w:color w:val="auto"/>
                <w:sz w:val="22"/>
                <w:lang w:val="hr-HR"/>
              </w:rPr>
              <w:t>(0,55; 1,01)</w:t>
            </w:r>
          </w:p>
        </w:tc>
      </w:tr>
    </w:tbl>
    <w:p w14:paraId="4C4E738F"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1</w:t>
      </w:r>
      <w:r w:rsidRPr="00D37692">
        <w:rPr>
          <w:rFonts w:ascii="Times New Roman" w:hAnsi="Times New Roman"/>
          <w:sz w:val="20"/>
          <w:lang w:val="hr-HR"/>
        </w:rPr>
        <w:t xml:space="preserve"> </w:t>
      </w:r>
      <w:r w:rsidRPr="00D37692">
        <w:rPr>
          <w:rFonts w:ascii="Times New Roman" w:hAnsi="Times New Roman"/>
          <w:sz w:val="20"/>
          <w:lang w:val="hr-HR"/>
        </w:rPr>
        <w:tab/>
        <w:t>Analiza PFS prema procjeni istraživača sa datumom presjeka podataka 30. novembra 2010.</w:t>
      </w:r>
    </w:p>
    <w:p w14:paraId="78B402B9"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2</w:t>
      </w:r>
      <w:r w:rsidRPr="00D37692">
        <w:rPr>
          <w:rFonts w:ascii="Times New Roman" w:hAnsi="Times New Roman"/>
          <w:sz w:val="20"/>
          <w:lang w:val="hr-HR"/>
        </w:rPr>
        <w:t xml:space="preserve"> </w:t>
      </w:r>
      <w:r w:rsidRPr="00D37692">
        <w:rPr>
          <w:rFonts w:ascii="Times New Roman" w:hAnsi="Times New Roman"/>
          <w:sz w:val="20"/>
          <w:lang w:val="hr-HR"/>
        </w:rPr>
        <w:tab/>
        <w:t>Sa velikim rezidualnim tumorom ili bez njega.</w:t>
      </w:r>
    </w:p>
    <w:p w14:paraId="2CD961E1"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3</w:t>
      </w:r>
      <w:r w:rsidRPr="00D37692">
        <w:rPr>
          <w:rFonts w:ascii="Times New Roman" w:hAnsi="Times New Roman"/>
          <w:sz w:val="20"/>
          <w:lang w:val="hr-HR"/>
        </w:rPr>
        <w:t xml:space="preserve"> </w:t>
      </w:r>
      <w:r w:rsidRPr="00D37692">
        <w:rPr>
          <w:rFonts w:ascii="Times New Roman" w:hAnsi="Times New Roman"/>
          <w:sz w:val="20"/>
          <w:lang w:val="hr-HR"/>
        </w:rPr>
        <w:tab/>
        <w:t>5,8% ukupne populacije randomizovanih pacijenata imalo je bolest stadijuma IIIB.</w:t>
      </w:r>
    </w:p>
    <w:p w14:paraId="2A8CB328" w14:textId="77777777" w:rsidR="002E30F6" w:rsidRPr="00D6167B" w:rsidRDefault="002E30F6" w:rsidP="007608DF">
      <w:pPr>
        <w:widowControl/>
        <w:ind w:left="288" w:hanging="288"/>
        <w:jc w:val="both"/>
        <w:rPr>
          <w:rFonts w:ascii="Times New Roman" w:eastAsia="Times New Roman" w:hAnsi="Times New Roman"/>
          <w:lang w:val="hr-HR"/>
        </w:rPr>
      </w:pPr>
      <w:r w:rsidRPr="00D37692">
        <w:rPr>
          <w:rFonts w:ascii="Times New Roman" w:hAnsi="Times New Roman"/>
          <w:sz w:val="20"/>
          <w:vertAlign w:val="superscript"/>
          <w:lang w:val="hr-HR"/>
        </w:rPr>
        <w:t>4</w:t>
      </w:r>
      <w:r w:rsidRPr="00D37692">
        <w:rPr>
          <w:rFonts w:ascii="Times New Roman" w:hAnsi="Times New Roman"/>
          <w:sz w:val="20"/>
          <w:lang w:val="hr-HR"/>
        </w:rPr>
        <w:t xml:space="preserve"> </w:t>
      </w:r>
      <w:r w:rsidRPr="00D37692">
        <w:rPr>
          <w:rFonts w:ascii="Times New Roman" w:hAnsi="Times New Roman"/>
          <w:sz w:val="20"/>
          <w:lang w:val="hr-HR"/>
        </w:rPr>
        <w:tab/>
        <w:t>U odnosu na kontroln</w:t>
      </w:r>
      <w:r w:rsidR="00EA1022" w:rsidRPr="00D37692">
        <w:rPr>
          <w:rFonts w:ascii="Times New Roman" w:hAnsi="Times New Roman"/>
          <w:sz w:val="20"/>
          <w:lang w:val="hr-HR"/>
        </w:rPr>
        <w:t>u grupu</w:t>
      </w:r>
      <w:r w:rsidRPr="00D37692">
        <w:rPr>
          <w:rFonts w:ascii="Times New Roman" w:hAnsi="Times New Roman"/>
          <w:sz w:val="20"/>
          <w:lang w:val="hr-HR"/>
        </w:rPr>
        <w:t>.</w:t>
      </w:r>
    </w:p>
    <w:p w14:paraId="72C1C4C5" w14:textId="77777777" w:rsidR="002E30F6" w:rsidRPr="00D6167B" w:rsidRDefault="002E30F6" w:rsidP="007608DF">
      <w:pPr>
        <w:widowControl/>
        <w:jc w:val="both"/>
        <w:rPr>
          <w:rFonts w:ascii="Times New Roman" w:eastAsia="Times New Roman" w:hAnsi="Times New Roman"/>
          <w:lang w:val="hr-HR"/>
        </w:rPr>
      </w:pPr>
    </w:p>
    <w:p w14:paraId="0EA69F19"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 xml:space="preserve">Rekurentni karcinom jajnika </w:t>
      </w:r>
    </w:p>
    <w:p w14:paraId="29323A5B" w14:textId="77777777" w:rsidR="002E30F6" w:rsidRPr="00D37692" w:rsidRDefault="002E30F6" w:rsidP="007608DF">
      <w:pPr>
        <w:widowControl/>
        <w:autoSpaceDE w:val="0"/>
        <w:autoSpaceDN w:val="0"/>
        <w:adjustRightInd w:val="0"/>
        <w:jc w:val="both"/>
        <w:rPr>
          <w:rFonts w:ascii="Times New Roman" w:hAnsi="Times New Roman"/>
          <w:lang w:val="hr-HR"/>
        </w:rPr>
      </w:pPr>
    </w:p>
    <w:p w14:paraId="06F57859"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Bezbjednost i efikasnost </w:t>
      </w:r>
      <w:r w:rsidRPr="00D6167B">
        <w:rPr>
          <w:rFonts w:ascii="Times New Roman" w:hAnsi="Times New Roman"/>
          <w:lang w:val="hr-HR"/>
        </w:rPr>
        <w:t>bevacizumaba</w:t>
      </w:r>
      <w:r w:rsidRPr="00D37692">
        <w:rPr>
          <w:rFonts w:ascii="Times New Roman" w:hAnsi="Times New Roman"/>
          <w:lang w:val="hr-HR"/>
        </w:rPr>
        <w:t xml:space="preserve"> u liječenju rekurentnog epitelnog karcinoma jajnika, jajovoda ili primarnog peritonealnog karcinoma ispitivane su u tri studije faze III (AVF4095g, MO22224 i GOG</w:t>
      </w:r>
      <w:r w:rsidRPr="00D37692">
        <w:rPr>
          <w:rFonts w:ascii="Times New Roman" w:hAnsi="Times New Roman"/>
          <w:lang w:val="hr-HR"/>
        </w:rPr>
        <w:noBreakHyphen/>
        <w:t>0213) sa različitim populacijama pacijenata i različitim hemoterapijskim režimima.</w:t>
      </w:r>
    </w:p>
    <w:p w14:paraId="1216A628" w14:textId="77777777" w:rsidR="002E30F6" w:rsidRPr="00D37692" w:rsidRDefault="002E30F6" w:rsidP="007608DF">
      <w:pPr>
        <w:widowControl/>
        <w:autoSpaceDE w:val="0"/>
        <w:autoSpaceDN w:val="0"/>
        <w:adjustRightInd w:val="0"/>
        <w:jc w:val="both"/>
        <w:rPr>
          <w:rFonts w:ascii="Times New Roman" w:hAnsi="Times New Roman"/>
          <w:lang w:val="hr-HR"/>
        </w:rPr>
      </w:pPr>
    </w:p>
    <w:p w14:paraId="09F10C60" w14:textId="77777777" w:rsidR="002E30F6" w:rsidRPr="00D37692" w:rsidRDefault="002E30F6" w:rsidP="007608DF">
      <w:pPr>
        <w:widowControl/>
        <w:numPr>
          <w:ilvl w:val="0"/>
          <w:numId w:val="34"/>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U studiji AVF4095g procjenjivane su efikasnost i bezbjednost bevacizumaba u kombinaciji sa karboplatinom i gemcitabinom, nakon kojih slijedi monoterapija bevacizumabom, kod pacijenata sa rekurentnim epitelnim karcinomom jajnika, jajovoda ili primarnim peritonealnim karcinom</w:t>
      </w:r>
      <w:r w:rsidR="00AE31F6" w:rsidRPr="00D37692">
        <w:rPr>
          <w:rFonts w:ascii="Times New Roman" w:hAnsi="Times New Roman"/>
          <w:lang w:val="hr-HR"/>
        </w:rPr>
        <w:t>om osjetljivim</w:t>
      </w:r>
      <w:r w:rsidRPr="00D37692">
        <w:rPr>
          <w:rFonts w:ascii="Times New Roman" w:hAnsi="Times New Roman"/>
          <w:lang w:val="hr-HR"/>
        </w:rPr>
        <w:t xml:space="preserve"> otpornim na platinu.</w:t>
      </w:r>
    </w:p>
    <w:p w14:paraId="7F74690E" w14:textId="77777777" w:rsidR="002E30F6" w:rsidRPr="00D37692" w:rsidRDefault="002E30F6" w:rsidP="007608DF">
      <w:pPr>
        <w:widowControl/>
        <w:autoSpaceDE w:val="0"/>
        <w:autoSpaceDN w:val="0"/>
        <w:adjustRightInd w:val="0"/>
        <w:ind w:left="562" w:hanging="562"/>
        <w:jc w:val="both"/>
        <w:rPr>
          <w:rFonts w:ascii="Times New Roman" w:hAnsi="Times New Roman"/>
          <w:lang w:val="hr-HR"/>
        </w:rPr>
      </w:pPr>
    </w:p>
    <w:p w14:paraId="2FEF4868" w14:textId="77777777" w:rsidR="002E30F6" w:rsidRPr="00D37692" w:rsidRDefault="002E30F6" w:rsidP="007608DF">
      <w:pPr>
        <w:widowControl/>
        <w:numPr>
          <w:ilvl w:val="0"/>
          <w:numId w:val="34"/>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U studiji GOG-0213 procjenjivane su efikasnost i bezbjednost bevacizumaba u kombinaciji sa karboplatinom i paklitakselom, nakon kojih slijedi monoterapija bevacizumabom, kod pacijenata sa rekurentnim epitelnim karcinomom jajnika, jajovoda ili primarnim peritonealnim karcinom</w:t>
      </w:r>
      <w:r w:rsidR="00701E0F" w:rsidRPr="00D37692">
        <w:rPr>
          <w:rFonts w:ascii="Times New Roman" w:hAnsi="Times New Roman"/>
          <w:lang w:val="hr-HR"/>
        </w:rPr>
        <w:t>om</w:t>
      </w:r>
      <w:r w:rsidRPr="00D37692">
        <w:rPr>
          <w:rFonts w:ascii="Times New Roman" w:hAnsi="Times New Roman"/>
          <w:lang w:val="hr-HR"/>
        </w:rPr>
        <w:t xml:space="preserve"> </w:t>
      </w:r>
      <w:r w:rsidR="00701E0F" w:rsidRPr="00D37692">
        <w:rPr>
          <w:rFonts w:ascii="Times New Roman" w:hAnsi="Times New Roman"/>
          <w:lang w:val="hr-HR"/>
        </w:rPr>
        <w:t xml:space="preserve">osjetljvim </w:t>
      </w:r>
      <w:r w:rsidRPr="00D37692">
        <w:rPr>
          <w:rFonts w:ascii="Times New Roman" w:hAnsi="Times New Roman"/>
          <w:lang w:val="hr-HR"/>
        </w:rPr>
        <w:t>na platinu.</w:t>
      </w:r>
    </w:p>
    <w:p w14:paraId="09B97D40" w14:textId="77777777" w:rsidR="002E30F6" w:rsidRPr="00D37692" w:rsidRDefault="002E30F6" w:rsidP="007608DF">
      <w:pPr>
        <w:widowControl/>
        <w:autoSpaceDE w:val="0"/>
        <w:autoSpaceDN w:val="0"/>
        <w:adjustRightInd w:val="0"/>
        <w:ind w:left="562" w:hanging="562"/>
        <w:jc w:val="both"/>
        <w:rPr>
          <w:rFonts w:ascii="Times New Roman" w:hAnsi="Times New Roman"/>
          <w:lang w:val="hr-HR"/>
        </w:rPr>
      </w:pPr>
    </w:p>
    <w:p w14:paraId="2C06ADF5" w14:textId="77777777" w:rsidR="002E30F6" w:rsidRPr="00D6167B" w:rsidRDefault="002E30F6" w:rsidP="007608DF">
      <w:pPr>
        <w:widowControl/>
        <w:numPr>
          <w:ilvl w:val="0"/>
          <w:numId w:val="34"/>
        </w:numPr>
        <w:ind w:left="562" w:hanging="562"/>
        <w:jc w:val="both"/>
        <w:rPr>
          <w:rFonts w:ascii="Times New Roman" w:eastAsia="Times New Roman" w:hAnsi="Times New Roman"/>
          <w:lang w:val="hr-HR"/>
        </w:rPr>
      </w:pPr>
      <w:r w:rsidRPr="00D37692">
        <w:rPr>
          <w:rFonts w:ascii="Times New Roman" w:hAnsi="Times New Roman"/>
          <w:lang w:val="hr-HR"/>
        </w:rPr>
        <w:t xml:space="preserve">U studiji MO22224 procjenjivane su efikasnost i bezbjednost bevacizumaba u kombinaciji sa paklitakselom, topotekanom ili pegilisanim lipozomalnim doksorubicinom kod pacijenata sa </w:t>
      </w:r>
      <w:r w:rsidRPr="00D37692">
        <w:rPr>
          <w:rFonts w:ascii="Times New Roman" w:hAnsi="Times New Roman"/>
          <w:lang w:val="hr-HR"/>
        </w:rPr>
        <w:lastRenderedPageBreak/>
        <w:t>rekurentnim epitelnim karcinomom jajnika, jajovoda ili primarnim peritonealnim karcinom</w:t>
      </w:r>
      <w:r w:rsidR="00701E0F" w:rsidRPr="00D37692">
        <w:rPr>
          <w:rFonts w:ascii="Times New Roman" w:hAnsi="Times New Roman"/>
          <w:lang w:val="hr-HR"/>
        </w:rPr>
        <w:t>om</w:t>
      </w:r>
      <w:r w:rsidRPr="00D37692">
        <w:rPr>
          <w:rFonts w:ascii="Times New Roman" w:hAnsi="Times New Roman"/>
          <w:lang w:val="hr-HR"/>
        </w:rPr>
        <w:t xml:space="preserve"> otpornim na platinu.</w:t>
      </w:r>
    </w:p>
    <w:p w14:paraId="174C6234" w14:textId="77777777" w:rsidR="002E30F6" w:rsidRPr="00D6167B" w:rsidRDefault="002E30F6" w:rsidP="007608DF">
      <w:pPr>
        <w:widowControl/>
        <w:jc w:val="both"/>
        <w:rPr>
          <w:rFonts w:ascii="Times New Roman" w:eastAsia="Times New Roman" w:hAnsi="Times New Roman"/>
          <w:lang w:val="hr-HR"/>
        </w:rPr>
      </w:pPr>
    </w:p>
    <w:p w14:paraId="68602254"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 xml:space="preserve">AVF4095g </w:t>
      </w:r>
    </w:p>
    <w:p w14:paraId="4B11EE9F"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Bezbjednost i efikasnost </w:t>
      </w:r>
      <w:r w:rsidRPr="00D6167B">
        <w:rPr>
          <w:rFonts w:ascii="Times New Roman" w:hAnsi="Times New Roman"/>
          <w:lang w:val="hr-HR"/>
        </w:rPr>
        <w:t>bevacizumaba</w:t>
      </w:r>
      <w:r w:rsidRPr="00D37692">
        <w:rPr>
          <w:rFonts w:ascii="Times New Roman" w:hAnsi="Times New Roman"/>
          <w:lang w:val="hr-HR"/>
        </w:rPr>
        <w:t xml:space="preserve"> u liječenju pacijenata sa rekurentnim epitelnim karcinomom jajnika, jajovoda ili primarnim peritonealnim karcinomom koji je osjetljiv na platinu, koji nijesu ranije primali hemoterapiju za rekurentnu bolest niti su prethodno primali bevacizumab, ispitivana je u randomizovanom, dvostruko slijepom, placebo-kontrolisanom ispitivanju faze III (AVF4095g). U studiji je poređen efekat dodavanja </w:t>
      </w:r>
      <w:r w:rsidRPr="00D6167B">
        <w:rPr>
          <w:rFonts w:ascii="Times New Roman" w:hAnsi="Times New Roman"/>
          <w:lang w:val="hr-HR"/>
        </w:rPr>
        <w:t>bevacizumaba</w:t>
      </w:r>
      <w:r w:rsidRPr="00D37692">
        <w:rPr>
          <w:rFonts w:ascii="Times New Roman" w:hAnsi="Times New Roman"/>
          <w:lang w:val="hr-HR"/>
        </w:rPr>
        <w:t xml:space="preserve"> hemoterapiji koja se sastoji od karboplatina i gemcitabina i nastavka primjene </w:t>
      </w:r>
      <w:r w:rsidRPr="00D6167B">
        <w:rPr>
          <w:rFonts w:ascii="Times New Roman" w:hAnsi="Times New Roman"/>
          <w:lang w:val="hr-HR"/>
        </w:rPr>
        <w:t>bevacizumaba</w:t>
      </w:r>
      <w:r w:rsidRPr="00D37692">
        <w:rPr>
          <w:rFonts w:ascii="Times New Roman" w:hAnsi="Times New Roman"/>
          <w:lang w:val="hr-HR"/>
        </w:rPr>
        <w:t xml:space="preserve"> kao monoterapije do progresije, u odnosu na primjenu samo karboplatina i gemcitabina.</w:t>
      </w:r>
    </w:p>
    <w:p w14:paraId="09FC1824" w14:textId="77777777" w:rsidR="002E30F6" w:rsidRPr="00D37692" w:rsidRDefault="002E30F6" w:rsidP="007608DF">
      <w:pPr>
        <w:widowControl/>
        <w:autoSpaceDE w:val="0"/>
        <w:autoSpaceDN w:val="0"/>
        <w:adjustRightInd w:val="0"/>
        <w:jc w:val="both"/>
        <w:rPr>
          <w:rFonts w:ascii="Times New Roman" w:hAnsi="Times New Roman"/>
          <w:lang w:val="hr-HR"/>
        </w:rPr>
      </w:pPr>
    </w:p>
    <w:p w14:paraId="2736D068" w14:textId="77777777" w:rsidR="002E30F6" w:rsidRPr="00D6167B" w:rsidRDefault="002E30F6" w:rsidP="007608DF">
      <w:pPr>
        <w:widowControl/>
        <w:jc w:val="both"/>
        <w:rPr>
          <w:rFonts w:ascii="Times New Roman" w:eastAsia="Times New Roman" w:hAnsi="Times New Roman"/>
          <w:lang w:val="hr-HR"/>
        </w:rPr>
      </w:pPr>
      <w:r w:rsidRPr="00D37692">
        <w:rPr>
          <w:rFonts w:ascii="Times New Roman" w:hAnsi="Times New Roman"/>
          <w:lang w:val="hr-HR"/>
        </w:rPr>
        <w:t>U studiju su uključeni samo pacijenti sa histološki potvrđenim karcinomom jajnika, jajovoda i primarnim peritonealnim karcinomom kod kojih se javila rekurentna bolest nakon više od 6 mjeseci nakon primjene hemoterapije na bazi platine i koji nijesu primili hemoterapiju za rekurentnu bolest niti su ranije primali bevacizumab ili druge VEGF inhibitore ili agense koji ciljaju VEGF receptore.</w:t>
      </w:r>
    </w:p>
    <w:p w14:paraId="7CE5E983" w14:textId="77777777" w:rsidR="002E30F6" w:rsidRPr="00D6167B" w:rsidRDefault="002E30F6" w:rsidP="007608DF">
      <w:pPr>
        <w:widowControl/>
        <w:jc w:val="both"/>
        <w:rPr>
          <w:rFonts w:ascii="Times New Roman" w:eastAsia="Times New Roman" w:hAnsi="Times New Roman"/>
          <w:lang w:val="hr-HR"/>
        </w:rPr>
      </w:pPr>
    </w:p>
    <w:p w14:paraId="1B3C4E96" w14:textId="77777777" w:rsidR="002E30F6" w:rsidRPr="00D37692" w:rsidRDefault="002E30F6" w:rsidP="007608DF">
      <w:pPr>
        <w:keepNext/>
        <w:widowControl/>
        <w:autoSpaceDE w:val="0"/>
        <w:autoSpaceDN w:val="0"/>
        <w:adjustRightInd w:val="0"/>
        <w:jc w:val="both"/>
        <w:rPr>
          <w:rFonts w:ascii="Times New Roman" w:hAnsi="Times New Roman"/>
          <w:lang w:val="hr-HR"/>
        </w:rPr>
      </w:pPr>
      <w:r w:rsidRPr="00D37692">
        <w:rPr>
          <w:rFonts w:ascii="Times New Roman" w:hAnsi="Times New Roman"/>
          <w:lang w:val="hr-HR"/>
        </w:rPr>
        <w:t>Ukupno 484 pacijenta sa mjerljivom bolešću bilo je randomizovano u odnosu 1:1 u sljedeće grupe:</w:t>
      </w:r>
    </w:p>
    <w:p w14:paraId="739F9E0A" w14:textId="77777777" w:rsidR="00C7166B" w:rsidRPr="00D37692" w:rsidRDefault="00C7166B" w:rsidP="007608DF">
      <w:pPr>
        <w:keepNext/>
        <w:widowControl/>
        <w:autoSpaceDE w:val="0"/>
        <w:autoSpaceDN w:val="0"/>
        <w:adjustRightInd w:val="0"/>
        <w:jc w:val="both"/>
        <w:rPr>
          <w:rFonts w:ascii="Times New Roman" w:hAnsi="Times New Roman"/>
          <w:lang w:val="hr-HR"/>
        </w:rPr>
      </w:pPr>
    </w:p>
    <w:p w14:paraId="4D7EE5C2" w14:textId="77777777" w:rsidR="002E30F6" w:rsidRPr="00D37692" w:rsidRDefault="002E30F6" w:rsidP="007608DF">
      <w:pPr>
        <w:widowControl/>
        <w:numPr>
          <w:ilvl w:val="0"/>
          <w:numId w:val="35"/>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Karboplatin (AUC4, 1. dan) i gemcitabin (1000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1. i 8. dana) sa istovremenom primjenom placeba na svake 3 nedjelje tokom 6, a najviše do 10 ciklusa, nakon čega se primjenjuje samo placebo (na svake 3 nedjelje) do progresije bolesti ili neprihvatljive toksičnosti.</w:t>
      </w:r>
    </w:p>
    <w:p w14:paraId="184134B2" w14:textId="77777777" w:rsidR="002E30F6" w:rsidRPr="00D37692" w:rsidRDefault="002E30F6" w:rsidP="007608DF">
      <w:pPr>
        <w:widowControl/>
        <w:numPr>
          <w:ilvl w:val="0"/>
          <w:numId w:val="35"/>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Karboplatin (AUC4, 1. dan) i gemcitabin (1000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1. i 8. dana) sa istovremenom primjenom bevacizumaba (15 mg/kg 1. dan) na svake 3 nedjelje tokom 6, a najviše do 10 ciklusa, nakon čega se primjenjuje samo bevacizumab (15 mg/kg na svake 3 nedjelje) do progresije bolesti ili neprihvatljive toksičnosti.</w:t>
      </w:r>
    </w:p>
    <w:p w14:paraId="188F55C0" w14:textId="77777777" w:rsidR="002E30F6" w:rsidRPr="00D37692" w:rsidRDefault="002E30F6" w:rsidP="007608DF">
      <w:pPr>
        <w:widowControl/>
        <w:autoSpaceDE w:val="0"/>
        <w:autoSpaceDN w:val="0"/>
        <w:adjustRightInd w:val="0"/>
        <w:jc w:val="both"/>
        <w:rPr>
          <w:rFonts w:ascii="Times New Roman" w:hAnsi="Times New Roman"/>
          <w:lang w:val="hr-HR"/>
        </w:rPr>
      </w:pPr>
    </w:p>
    <w:p w14:paraId="4DD96C5C"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Primarni parametar efikasnosti bilo je preživljavanje bez progresije na osnovu procjene istraživača korišćenjem RECIST 1.0. Ostali parametri efikasnosti su bili objektivan odgovor, trajanje odgovora, ukupno preživljavanje i bezbjednost. Sprovedena je i nezavisna procjena primarnog parametra efikasnosti.</w:t>
      </w:r>
    </w:p>
    <w:p w14:paraId="291ED572" w14:textId="77777777" w:rsidR="002E30F6" w:rsidRPr="00D37692" w:rsidRDefault="002E30F6" w:rsidP="007608DF">
      <w:pPr>
        <w:widowControl/>
        <w:jc w:val="both"/>
        <w:rPr>
          <w:rFonts w:ascii="Times New Roman" w:hAnsi="Times New Roman"/>
          <w:lang w:val="hr-HR"/>
        </w:rPr>
      </w:pPr>
    </w:p>
    <w:p w14:paraId="1EEF4FF5" w14:textId="77777777" w:rsidR="002E30F6" w:rsidRPr="00D6167B" w:rsidRDefault="002E30F6" w:rsidP="007608DF">
      <w:pPr>
        <w:widowControl/>
        <w:jc w:val="both"/>
        <w:rPr>
          <w:rFonts w:ascii="Times New Roman" w:eastAsia="Times New Roman" w:hAnsi="Times New Roman"/>
          <w:lang w:val="hr-HR"/>
        </w:rPr>
      </w:pPr>
      <w:r w:rsidRPr="00D37692">
        <w:rPr>
          <w:rFonts w:ascii="Times New Roman" w:hAnsi="Times New Roman"/>
          <w:lang w:val="hr-HR"/>
        </w:rPr>
        <w:t>Rezultati ove studije su rezimirani u tabeli 20.</w:t>
      </w:r>
    </w:p>
    <w:p w14:paraId="5DDB1FCD" w14:textId="77777777" w:rsidR="002E30F6" w:rsidRPr="00D6167B" w:rsidRDefault="002E30F6" w:rsidP="007608DF">
      <w:pPr>
        <w:widowControl/>
        <w:jc w:val="both"/>
        <w:rPr>
          <w:rFonts w:ascii="Times New Roman" w:eastAsia="Times New Roman" w:hAnsi="Times New Roman"/>
          <w:lang w:val="hr-HR"/>
        </w:rPr>
      </w:pPr>
    </w:p>
    <w:p w14:paraId="3A5FE559" w14:textId="77777777" w:rsidR="002E30F6" w:rsidRPr="00D6167B" w:rsidRDefault="002E30F6" w:rsidP="007608DF">
      <w:pPr>
        <w:pStyle w:val="Heading1"/>
        <w:keepNext/>
        <w:widowControl/>
        <w:ind w:left="0"/>
        <w:jc w:val="both"/>
        <w:rPr>
          <w:b w:val="0"/>
          <w:bCs w:val="0"/>
          <w:lang w:val="hr-HR"/>
        </w:rPr>
      </w:pPr>
      <w:r w:rsidRPr="00D6167B">
        <w:rPr>
          <w:lang w:val="hr-HR"/>
        </w:rPr>
        <w:t>Tabela 20</w:t>
      </w:r>
      <w:r w:rsidRPr="00D6167B">
        <w:rPr>
          <w:lang w:val="hr-HR"/>
        </w:rPr>
        <w:tab/>
        <w:t>Rezultati efikasnosti iz studije AVF4095g</w:t>
      </w:r>
    </w:p>
    <w:p w14:paraId="0BEE5410" w14:textId="77777777" w:rsidR="002E30F6" w:rsidRPr="00D6167B" w:rsidRDefault="002E30F6" w:rsidP="007608DF">
      <w:pPr>
        <w:keepNext/>
        <w:widowControl/>
        <w:jc w:val="both"/>
        <w:rPr>
          <w:rFonts w:ascii="Times New Roman" w:eastAsia="Times New Roman" w:hAnsi="Times New Roman"/>
          <w:lang w:val="hr-HR"/>
        </w:rPr>
      </w:pPr>
    </w:p>
    <w:tbl>
      <w:tblPr>
        <w:tblW w:w="5000" w:type="pct"/>
        <w:tblInd w:w="6" w:type="dxa"/>
        <w:tblLayout w:type="fixed"/>
        <w:tblCellMar>
          <w:left w:w="0" w:type="dxa"/>
          <w:right w:w="0" w:type="dxa"/>
        </w:tblCellMar>
        <w:tblLook w:val="01E0" w:firstRow="1" w:lastRow="1" w:firstColumn="1" w:lastColumn="1" w:noHBand="0" w:noVBand="0"/>
      </w:tblPr>
      <w:tblGrid>
        <w:gridCol w:w="2545"/>
        <w:gridCol w:w="1436"/>
        <w:gridCol w:w="1822"/>
        <w:gridCol w:w="348"/>
        <w:gridCol w:w="1159"/>
        <w:gridCol w:w="67"/>
        <w:gridCol w:w="1699"/>
      </w:tblGrid>
      <w:tr w:rsidR="002E30F6" w:rsidRPr="00D6167B" w14:paraId="2B6DF18E" w14:textId="77777777" w:rsidTr="00D37692">
        <w:trPr>
          <w:cantSplit/>
          <w:tblHeader/>
        </w:trPr>
        <w:tc>
          <w:tcPr>
            <w:tcW w:w="9100" w:type="dxa"/>
            <w:gridSpan w:val="7"/>
            <w:tcBorders>
              <w:top w:val="single" w:sz="5" w:space="0" w:color="000000"/>
              <w:left w:val="single" w:sz="5" w:space="0" w:color="000000"/>
              <w:bottom w:val="single" w:sz="5" w:space="0" w:color="000000"/>
              <w:right w:val="single" w:sz="5" w:space="0" w:color="000000"/>
            </w:tcBorders>
          </w:tcPr>
          <w:p w14:paraId="511B9D4A" w14:textId="77777777" w:rsidR="002E30F6" w:rsidRPr="00D6167B" w:rsidRDefault="002E30F6" w:rsidP="00D37692">
            <w:pPr>
              <w:pStyle w:val="TableParagraph"/>
              <w:keepNext/>
              <w:widowControl/>
              <w:spacing w:line="246" w:lineRule="exact"/>
              <w:ind w:left="102"/>
              <w:rPr>
                <w:rFonts w:ascii="Times New Roman" w:eastAsia="Times New Roman" w:hAnsi="Times New Roman"/>
                <w:lang w:val="hr-HR"/>
              </w:rPr>
            </w:pPr>
            <w:r w:rsidRPr="00D6167B">
              <w:rPr>
                <w:rFonts w:ascii="Times New Roman" w:hAnsi="Times New Roman"/>
                <w:lang w:val="hr-HR"/>
              </w:rPr>
              <w:t>Preživljavanje bez progresije</w:t>
            </w:r>
          </w:p>
        </w:tc>
      </w:tr>
      <w:tr w:rsidR="002E30F6" w:rsidRPr="00D6167B" w14:paraId="6DBAEA83" w14:textId="77777777" w:rsidTr="00D37692">
        <w:trPr>
          <w:cantSplit/>
          <w:tblHeader/>
        </w:trPr>
        <w:tc>
          <w:tcPr>
            <w:tcW w:w="2552" w:type="dxa"/>
            <w:tcBorders>
              <w:top w:val="single" w:sz="5" w:space="0" w:color="000000"/>
              <w:left w:val="single" w:sz="5" w:space="0" w:color="000000"/>
              <w:bottom w:val="single" w:sz="5" w:space="0" w:color="000000"/>
              <w:right w:val="single" w:sz="5" w:space="0" w:color="000000"/>
            </w:tcBorders>
          </w:tcPr>
          <w:p w14:paraId="33D8ADFA" w14:textId="77777777" w:rsidR="002E30F6" w:rsidRPr="00D6167B" w:rsidRDefault="002E30F6" w:rsidP="007608DF">
            <w:pPr>
              <w:keepNext/>
              <w:widowControl/>
              <w:jc w:val="both"/>
              <w:rPr>
                <w:rFonts w:ascii="Times New Roman" w:hAnsi="Times New Roman"/>
                <w:lang w:val="hr-HR"/>
              </w:rPr>
            </w:pPr>
          </w:p>
        </w:tc>
        <w:tc>
          <w:tcPr>
            <w:tcW w:w="3267" w:type="dxa"/>
            <w:gridSpan w:val="2"/>
            <w:tcBorders>
              <w:top w:val="single" w:sz="5" w:space="0" w:color="000000"/>
              <w:left w:val="single" w:sz="5" w:space="0" w:color="000000"/>
              <w:bottom w:val="single" w:sz="5" w:space="0" w:color="000000"/>
              <w:right w:val="single" w:sz="5" w:space="0" w:color="000000"/>
            </w:tcBorders>
          </w:tcPr>
          <w:p w14:paraId="1A971E0C" w14:textId="77777777" w:rsidR="002E30F6" w:rsidRPr="00D6167B" w:rsidRDefault="002E30F6" w:rsidP="007608DF">
            <w:pPr>
              <w:pStyle w:val="TableParagraph"/>
              <w:keepNext/>
              <w:widowControl/>
              <w:spacing w:line="246" w:lineRule="exact"/>
              <w:ind w:left="704"/>
              <w:jc w:val="both"/>
              <w:rPr>
                <w:rFonts w:ascii="Times New Roman" w:eastAsia="Times New Roman" w:hAnsi="Times New Roman"/>
                <w:lang w:val="hr-HR"/>
              </w:rPr>
            </w:pPr>
            <w:r w:rsidRPr="00D6167B">
              <w:rPr>
                <w:rFonts w:ascii="Times New Roman" w:hAnsi="Times New Roman"/>
                <w:lang w:val="hr-HR"/>
              </w:rPr>
              <w:t>Procjena istraživača</w:t>
            </w:r>
          </w:p>
        </w:tc>
        <w:tc>
          <w:tcPr>
            <w:tcW w:w="3281" w:type="dxa"/>
            <w:gridSpan w:val="4"/>
            <w:tcBorders>
              <w:top w:val="single" w:sz="5" w:space="0" w:color="000000"/>
              <w:left w:val="single" w:sz="5" w:space="0" w:color="000000"/>
              <w:bottom w:val="single" w:sz="5" w:space="0" w:color="000000"/>
              <w:right w:val="single" w:sz="5" w:space="0" w:color="000000"/>
            </w:tcBorders>
          </w:tcPr>
          <w:p w14:paraId="32687E1D" w14:textId="77777777" w:rsidR="002E30F6" w:rsidRPr="00D6167B" w:rsidRDefault="002E30F6" w:rsidP="007608DF">
            <w:pPr>
              <w:pStyle w:val="TableParagraph"/>
              <w:keepNext/>
              <w:widowControl/>
              <w:spacing w:line="246" w:lineRule="exact"/>
              <w:ind w:left="954"/>
              <w:jc w:val="both"/>
              <w:rPr>
                <w:rFonts w:ascii="Times New Roman" w:eastAsia="Times New Roman" w:hAnsi="Times New Roman"/>
                <w:lang w:val="hr-HR"/>
              </w:rPr>
            </w:pPr>
            <w:r w:rsidRPr="00D6167B">
              <w:rPr>
                <w:rFonts w:ascii="Times New Roman" w:hAnsi="Times New Roman"/>
                <w:lang w:val="hr-HR"/>
              </w:rPr>
              <w:t>Procjena IRC</w:t>
            </w:r>
          </w:p>
        </w:tc>
      </w:tr>
      <w:tr w:rsidR="002E30F6" w:rsidRPr="00D6167B" w14:paraId="6B65446A" w14:textId="77777777" w:rsidTr="00D37692">
        <w:trPr>
          <w:cantSplit/>
          <w:tblHeader/>
        </w:trPr>
        <w:tc>
          <w:tcPr>
            <w:tcW w:w="2552" w:type="dxa"/>
            <w:tcBorders>
              <w:top w:val="single" w:sz="5" w:space="0" w:color="000000"/>
              <w:left w:val="single" w:sz="5" w:space="0" w:color="000000"/>
              <w:bottom w:val="single" w:sz="5" w:space="0" w:color="000000"/>
              <w:right w:val="single" w:sz="5" w:space="0" w:color="000000"/>
            </w:tcBorders>
          </w:tcPr>
          <w:p w14:paraId="36C38479" w14:textId="77777777" w:rsidR="002E30F6" w:rsidRPr="00D6167B" w:rsidRDefault="002E30F6" w:rsidP="007608DF">
            <w:pPr>
              <w:keepNext/>
              <w:widowControl/>
              <w:jc w:val="both"/>
              <w:rPr>
                <w:rFonts w:ascii="Times New Roman" w:hAnsi="Times New Roman"/>
                <w:lang w:val="hr-HR"/>
              </w:rPr>
            </w:pPr>
          </w:p>
        </w:tc>
        <w:tc>
          <w:tcPr>
            <w:tcW w:w="1440" w:type="dxa"/>
            <w:tcBorders>
              <w:top w:val="single" w:sz="5" w:space="0" w:color="000000"/>
              <w:left w:val="single" w:sz="5" w:space="0" w:color="000000"/>
              <w:bottom w:val="single" w:sz="5" w:space="0" w:color="000000"/>
              <w:right w:val="single" w:sz="5" w:space="0" w:color="000000"/>
            </w:tcBorders>
          </w:tcPr>
          <w:p w14:paraId="05BDEA8E" w14:textId="77777777" w:rsidR="002E30F6" w:rsidRPr="00D6167B" w:rsidRDefault="002E30F6" w:rsidP="00D37692">
            <w:pPr>
              <w:pStyle w:val="TableParagraph"/>
              <w:keepNext/>
              <w:widowControl/>
              <w:spacing w:line="241" w:lineRule="auto"/>
              <w:ind w:left="479" w:right="214" w:hanging="267"/>
              <w:jc w:val="center"/>
              <w:rPr>
                <w:rFonts w:ascii="Times New Roman" w:eastAsia="Times New Roman" w:hAnsi="Times New Roman"/>
                <w:lang w:val="hr-HR"/>
              </w:rPr>
            </w:pPr>
            <w:r w:rsidRPr="00D6167B">
              <w:rPr>
                <w:rFonts w:ascii="Times New Roman" w:hAnsi="Times New Roman"/>
                <w:lang w:val="hr-HR"/>
              </w:rPr>
              <w:t>Placebo + C/G (n=242)</w:t>
            </w:r>
          </w:p>
        </w:tc>
        <w:tc>
          <w:tcPr>
            <w:tcW w:w="1827" w:type="dxa"/>
            <w:tcBorders>
              <w:top w:val="single" w:sz="5" w:space="0" w:color="000000"/>
              <w:left w:val="single" w:sz="5" w:space="0" w:color="000000"/>
              <w:bottom w:val="single" w:sz="5" w:space="0" w:color="000000"/>
              <w:right w:val="single" w:sz="5" w:space="0" w:color="000000"/>
            </w:tcBorders>
          </w:tcPr>
          <w:p w14:paraId="61DBFFD5" w14:textId="77777777" w:rsidR="002E30F6" w:rsidRPr="00D6167B" w:rsidRDefault="002E30F6" w:rsidP="00D37692">
            <w:pPr>
              <w:pStyle w:val="TableParagraph"/>
              <w:keepNext/>
              <w:widowControl/>
              <w:spacing w:before="19"/>
              <w:ind w:left="579" w:right="289" w:hanging="288"/>
              <w:jc w:val="center"/>
              <w:rPr>
                <w:rFonts w:ascii="Times New Roman" w:eastAsia="Times New Roman" w:hAnsi="Times New Roman"/>
                <w:lang w:val="hr-HR"/>
              </w:rPr>
            </w:pPr>
            <w:r w:rsidRPr="00D6167B">
              <w:rPr>
                <w:rFonts w:ascii="Times New Roman" w:hAnsi="Times New Roman"/>
                <w:lang w:val="hr-HR"/>
              </w:rPr>
              <w:t>Bevacizumab + C/G (n=242)</w:t>
            </w:r>
          </w:p>
        </w:tc>
        <w:tc>
          <w:tcPr>
            <w:tcW w:w="1511" w:type="dxa"/>
            <w:gridSpan w:val="2"/>
            <w:tcBorders>
              <w:top w:val="single" w:sz="5" w:space="0" w:color="000000"/>
              <w:left w:val="single" w:sz="5" w:space="0" w:color="000000"/>
              <w:bottom w:val="single" w:sz="5" w:space="0" w:color="000000"/>
              <w:right w:val="single" w:sz="5" w:space="0" w:color="000000"/>
            </w:tcBorders>
          </w:tcPr>
          <w:p w14:paraId="4FF27BB3" w14:textId="77777777" w:rsidR="002E30F6" w:rsidRPr="00D6167B" w:rsidRDefault="002E30F6" w:rsidP="00D37692">
            <w:pPr>
              <w:pStyle w:val="TableParagraph"/>
              <w:keepNext/>
              <w:widowControl/>
              <w:spacing w:line="241" w:lineRule="auto"/>
              <w:ind w:left="416" w:right="149" w:hanging="267"/>
              <w:jc w:val="center"/>
              <w:rPr>
                <w:rFonts w:ascii="Times New Roman" w:eastAsia="Times New Roman" w:hAnsi="Times New Roman"/>
                <w:lang w:val="hr-HR"/>
              </w:rPr>
            </w:pPr>
            <w:r w:rsidRPr="00D6167B">
              <w:rPr>
                <w:rFonts w:ascii="Times New Roman" w:hAnsi="Times New Roman"/>
                <w:lang w:val="hr-HR"/>
              </w:rPr>
              <w:t>Placebo + C/G (n=242)</w:t>
            </w:r>
          </w:p>
        </w:tc>
        <w:tc>
          <w:tcPr>
            <w:tcW w:w="1770" w:type="dxa"/>
            <w:gridSpan w:val="2"/>
            <w:tcBorders>
              <w:top w:val="single" w:sz="5" w:space="0" w:color="000000"/>
              <w:left w:val="single" w:sz="5" w:space="0" w:color="000000"/>
              <w:bottom w:val="single" w:sz="5" w:space="0" w:color="000000"/>
              <w:right w:val="single" w:sz="5" w:space="0" w:color="000000"/>
            </w:tcBorders>
          </w:tcPr>
          <w:p w14:paraId="24805C65" w14:textId="77777777" w:rsidR="002E30F6" w:rsidRPr="00D6167B" w:rsidRDefault="002E30F6" w:rsidP="00D37692">
            <w:pPr>
              <w:pStyle w:val="TableParagraph"/>
              <w:keepNext/>
              <w:widowControl/>
              <w:spacing w:before="19"/>
              <w:ind w:left="553" w:right="258" w:hanging="288"/>
              <w:jc w:val="center"/>
              <w:rPr>
                <w:rFonts w:ascii="Times New Roman" w:eastAsia="Times New Roman" w:hAnsi="Times New Roman"/>
                <w:lang w:val="hr-HR"/>
              </w:rPr>
            </w:pPr>
            <w:r w:rsidRPr="00D6167B">
              <w:rPr>
                <w:rFonts w:ascii="Times New Roman" w:hAnsi="Times New Roman"/>
                <w:lang w:val="hr-HR"/>
              </w:rPr>
              <w:t>Bevacizumab + C/G (n=242)</w:t>
            </w:r>
          </w:p>
        </w:tc>
      </w:tr>
      <w:tr w:rsidR="002E30F6" w:rsidRPr="00D6167B" w14:paraId="7B3B8485"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26FE796A" w14:textId="77777777" w:rsidR="002E30F6" w:rsidRPr="00D6167B" w:rsidRDefault="002E30F6" w:rsidP="00D37692">
            <w:pPr>
              <w:pStyle w:val="TableParagraph"/>
              <w:keepNext/>
              <w:widowControl/>
              <w:spacing w:line="248" w:lineRule="exact"/>
              <w:ind w:left="102"/>
              <w:rPr>
                <w:rFonts w:ascii="Times New Roman" w:eastAsia="Times New Roman" w:hAnsi="Times New Roman"/>
                <w:lang w:val="hr-HR"/>
              </w:rPr>
            </w:pPr>
            <w:r w:rsidRPr="00D6167B">
              <w:rPr>
                <w:rFonts w:ascii="Times New Roman" w:hAnsi="Times New Roman"/>
                <w:i/>
                <w:lang w:val="hr-HR"/>
              </w:rPr>
              <w:t>Nije cenzurisano za NPT</w:t>
            </w:r>
          </w:p>
        </w:tc>
        <w:tc>
          <w:tcPr>
            <w:tcW w:w="6548" w:type="dxa"/>
            <w:gridSpan w:val="6"/>
            <w:tcBorders>
              <w:top w:val="single" w:sz="5" w:space="0" w:color="000000"/>
              <w:left w:val="single" w:sz="5" w:space="0" w:color="000000"/>
              <w:bottom w:val="single" w:sz="5" w:space="0" w:color="000000"/>
              <w:right w:val="single" w:sz="5" w:space="0" w:color="000000"/>
            </w:tcBorders>
          </w:tcPr>
          <w:p w14:paraId="0B84A85C" w14:textId="77777777" w:rsidR="002E30F6" w:rsidRPr="00D6167B" w:rsidRDefault="002E30F6" w:rsidP="007608DF">
            <w:pPr>
              <w:keepNext/>
              <w:widowControl/>
              <w:jc w:val="both"/>
              <w:rPr>
                <w:rFonts w:ascii="Times New Roman" w:hAnsi="Times New Roman"/>
                <w:lang w:val="hr-HR"/>
              </w:rPr>
            </w:pPr>
          </w:p>
        </w:tc>
      </w:tr>
      <w:tr w:rsidR="002E30F6" w:rsidRPr="00D6167B" w14:paraId="0357D92E"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3557DDE0" w14:textId="77777777" w:rsidR="002E30F6" w:rsidRPr="00D6167B" w:rsidRDefault="002E30F6" w:rsidP="00D37692">
            <w:pPr>
              <w:pStyle w:val="TableParagraph"/>
              <w:keepNext/>
              <w:widowControl/>
              <w:spacing w:line="246" w:lineRule="exact"/>
              <w:ind w:left="102"/>
              <w:rPr>
                <w:rFonts w:ascii="Times New Roman" w:eastAsia="Times New Roman" w:hAnsi="Times New Roman"/>
                <w:lang w:val="hr-HR"/>
              </w:rPr>
            </w:pPr>
            <w:r w:rsidRPr="00D6167B">
              <w:rPr>
                <w:rFonts w:ascii="Times New Roman" w:hAnsi="Times New Roman"/>
                <w:lang w:val="hr-HR"/>
              </w:rPr>
              <w:t>Srednja vrijednost PFS (mjeseci)</w:t>
            </w:r>
          </w:p>
        </w:tc>
        <w:tc>
          <w:tcPr>
            <w:tcW w:w="1440" w:type="dxa"/>
            <w:tcBorders>
              <w:top w:val="single" w:sz="5" w:space="0" w:color="000000"/>
              <w:left w:val="single" w:sz="5" w:space="0" w:color="000000"/>
              <w:bottom w:val="single" w:sz="5" w:space="0" w:color="000000"/>
              <w:right w:val="single" w:sz="5" w:space="0" w:color="000000"/>
            </w:tcBorders>
          </w:tcPr>
          <w:p w14:paraId="06E7A216" w14:textId="77777777" w:rsidR="002E30F6" w:rsidRPr="00D6167B" w:rsidRDefault="002E30F6" w:rsidP="00D37692">
            <w:pPr>
              <w:pStyle w:val="TableParagraph"/>
              <w:keepNext/>
              <w:widowControl/>
              <w:spacing w:line="246" w:lineRule="exact"/>
              <w:ind w:right="5"/>
              <w:jc w:val="center"/>
              <w:rPr>
                <w:rFonts w:ascii="Times New Roman" w:eastAsia="Times New Roman" w:hAnsi="Times New Roman"/>
                <w:lang w:val="hr-HR"/>
              </w:rPr>
            </w:pPr>
            <w:r w:rsidRPr="00D6167B">
              <w:rPr>
                <w:rFonts w:ascii="Times New Roman" w:hAnsi="Times New Roman"/>
                <w:lang w:val="hr-HR"/>
              </w:rPr>
              <w:t>8,4</w:t>
            </w:r>
          </w:p>
        </w:tc>
        <w:tc>
          <w:tcPr>
            <w:tcW w:w="1827" w:type="dxa"/>
            <w:tcBorders>
              <w:top w:val="single" w:sz="5" w:space="0" w:color="000000"/>
              <w:left w:val="single" w:sz="5" w:space="0" w:color="000000"/>
              <w:bottom w:val="single" w:sz="5" w:space="0" w:color="000000"/>
              <w:right w:val="single" w:sz="5" w:space="0" w:color="000000"/>
            </w:tcBorders>
          </w:tcPr>
          <w:p w14:paraId="7F41D2F2" w14:textId="77777777" w:rsidR="002E30F6" w:rsidRPr="00D6167B" w:rsidRDefault="002E30F6" w:rsidP="00D37692">
            <w:pPr>
              <w:pStyle w:val="TableParagraph"/>
              <w:keepNext/>
              <w:widowControl/>
              <w:spacing w:line="246" w:lineRule="exact"/>
              <w:jc w:val="center"/>
              <w:rPr>
                <w:rFonts w:ascii="Times New Roman" w:eastAsia="Times New Roman" w:hAnsi="Times New Roman"/>
                <w:lang w:val="hr-HR"/>
              </w:rPr>
            </w:pPr>
            <w:r w:rsidRPr="00D6167B">
              <w:rPr>
                <w:rFonts w:ascii="Times New Roman" w:hAnsi="Times New Roman"/>
                <w:lang w:val="hr-HR"/>
              </w:rPr>
              <w:t>12,4</w:t>
            </w:r>
          </w:p>
        </w:tc>
        <w:tc>
          <w:tcPr>
            <w:tcW w:w="1511" w:type="dxa"/>
            <w:gridSpan w:val="2"/>
            <w:tcBorders>
              <w:top w:val="single" w:sz="5" w:space="0" w:color="000000"/>
              <w:left w:val="single" w:sz="5" w:space="0" w:color="000000"/>
              <w:bottom w:val="single" w:sz="5" w:space="0" w:color="000000"/>
              <w:right w:val="single" w:sz="5" w:space="0" w:color="000000"/>
            </w:tcBorders>
          </w:tcPr>
          <w:p w14:paraId="1B468D85" w14:textId="77777777" w:rsidR="002E30F6" w:rsidRPr="00D6167B" w:rsidRDefault="002E30F6" w:rsidP="00D37692">
            <w:pPr>
              <w:pStyle w:val="TableParagraph"/>
              <w:keepNext/>
              <w:widowControl/>
              <w:spacing w:line="246" w:lineRule="exact"/>
              <w:ind w:right="2"/>
              <w:jc w:val="center"/>
              <w:rPr>
                <w:rFonts w:ascii="Times New Roman" w:eastAsia="Times New Roman" w:hAnsi="Times New Roman"/>
                <w:lang w:val="hr-HR"/>
              </w:rPr>
            </w:pPr>
            <w:r w:rsidRPr="00D6167B">
              <w:rPr>
                <w:rFonts w:ascii="Times New Roman" w:hAnsi="Times New Roman"/>
                <w:lang w:val="hr-HR"/>
              </w:rPr>
              <w:t>8,6</w:t>
            </w:r>
          </w:p>
        </w:tc>
        <w:tc>
          <w:tcPr>
            <w:tcW w:w="1770" w:type="dxa"/>
            <w:gridSpan w:val="2"/>
            <w:tcBorders>
              <w:top w:val="single" w:sz="5" w:space="0" w:color="000000"/>
              <w:left w:val="single" w:sz="5" w:space="0" w:color="000000"/>
              <w:bottom w:val="single" w:sz="5" w:space="0" w:color="000000"/>
              <w:right w:val="single" w:sz="5" w:space="0" w:color="000000"/>
            </w:tcBorders>
          </w:tcPr>
          <w:p w14:paraId="7CAFE7AD" w14:textId="77777777" w:rsidR="002E30F6" w:rsidRPr="00D6167B" w:rsidRDefault="002E30F6" w:rsidP="00D37692">
            <w:pPr>
              <w:pStyle w:val="TableParagraph"/>
              <w:keepNext/>
              <w:widowControl/>
              <w:spacing w:line="246" w:lineRule="exact"/>
              <w:ind w:left="4"/>
              <w:jc w:val="center"/>
              <w:rPr>
                <w:rFonts w:ascii="Times New Roman" w:eastAsia="Times New Roman" w:hAnsi="Times New Roman"/>
                <w:lang w:val="hr-HR"/>
              </w:rPr>
            </w:pPr>
            <w:r w:rsidRPr="00D6167B">
              <w:rPr>
                <w:rFonts w:ascii="Times New Roman" w:hAnsi="Times New Roman"/>
                <w:lang w:val="hr-HR"/>
              </w:rPr>
              <w:t>12,3</w:t>
            </w:r>
          </w:p>
        </w:tc>
      </w:tr>
      <w:tr w:rsidR="002E30F6" w:rsidRPr="00D6167B" w14:paraId="5D1E2B40"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5C335A9A" w14:textId="77777777" w:rsidR="002E30F6" w:rsidRPr="00D6167B" w:rsidRDefault="002E30F6" w:rsidP="00D37692">
            <w:pPr>
              <w:pStyle w:val="TableParagraph"/>
              <w:widowControl/>
              <w:spacing w:line="239" w:lineRule="auto"/>
              <w:ind w:left="102" w:right="1122"/>
              <w:rPr>
                <w:rFonts w:ascii="Times New Roman" w:eastAsia="Times New Roman" w:hAnsi="Times New Roman"/>
                <w:lang w:val="hr-HR"/>
              </w:rPr>
            </w:pPr>
            <w:r w:rsidRPr="00D6167B">
              <w:rPr>
                <w:rFonts w:ascii="Times New Roman" w:hAnsi="Times New Roman"/>
                <w:lang w:val="hr-HR"/>
              </w:rPr>
              <w:t>Odnos rizika (95% CI)</w:t>
            </w:r>
          </w:p>
        </w:tc>
        <w:tc>
          <w:tcPr>
            <w:tcW w:w="3267" w:type="dxa"/>
            <w:gridSpan w:val="2"/>
            <w:tcBorders>
              <w:top w:val="single" w:sz="5" w:space="0" w:color="000000"/>
              <w:left w:val="single" w:sz="5" w:space="0" w:color="000000"/>
              <w:bottom w:val="single" w:sz="5" w:space="0" w:color="000000"/>
              <w:right w:val="single" w:sz="5" w:space="0" w:color="000000"/>
            </w:tcBorders>
          </w:tcPr>
          <w:p w14:paraId="3927BC2F" w14:textId="77777777" w:rsidR="002E30F6" w:rsidRPr="00D6167B" w:rsidRDefault="002E30F6" w:rsidP="00D37692">
            <w:pPr>
              <w:pStyle w:val="TableParagraph"/>
              <w:widowControl/>
              <w:spacing w:before="117"/>
              <w:ind w:left="877"/>
              <w:jc w:val="center"/>
              <w:rPr>
                <w:rFonts w:ascii="Times New Roman" w:eastAsia="Times New Roman" w:hAnsi="Times New Roman"/>
                <w:lang w:val="hr-HR"/>
              </w:rPr>
            </w:pPr>
            <w:r w:rsidRPr="00D6167B">
              <w:rPr>
                <w:rFonts w:ascii="Times New Roman" w:hAnsi="Times New Roman"/>
                <w:lang w:val="hr-HR"/>
              </w:rPr>
              <w:t>0,524 [0,425, 0,645]</w:t>
            </w:r>
          </w:p>
        </w:tc>
        <w:tc>
          <w:tcPr>
            <w:tcW w:w="3281" w:type="dxa"/>
            <w:gridSpan w:val="4"/>
            <w:tcBorders>
              <w:top w:val="single" w:sz="5" w:space="0" w:color="000000"/>
              <w:left w:val="single" w:sz="5" w:space="0" w:color="000000"/>
              <w:bottom w:val="single" w:sz="5" w:space="0" w:color="000000"/>
              <w:right w:val="single" w:sz="5" w:space="0" w:color="000000"/>
            </w:tcBorders>
          </w:tcPr>
          <w:p w14:paraId="446B22AD" w14:textId="77777777" w:rsidR="002E30F6" w:rsidRPr="00D6167B" w:rsidRDefault="002E30F6" w:rsidP="00D37692">
            <w:pPr>
              <w:pStyle w:val="TableParagraph"/>
              <w:widowControl/>
              <w:spacing w:before="117"/>
              <w:ind w:left="786"/>
              <w:jc w:val="center"/>
              <w:rPr>
                <w:rFonts w:ascii="Times New Roman" w:eastAsia="Times New Roman" w:hAnsi="Times New Roman"/>
                <w:lang w:val="hr-HR"/>
              </w:rPr>
            </w:pPr>
            <w:r w:rsidRPr="00D6167B">
              <w:rPr>
                <w:rFonts w:ascii="Times New Roman" w:hAnsi="Times New Roman"/>
                <w:lang w:val="hr-HR"/>
              </w:rPr>
              <w:t>0,480 [0,377, 0,613]</w:t>
            </w:r>
          </w:p>
        </w:tc>
      </w:tr>
      <w:tr w:rsidR="002E30F6" w:rsidRPr="00D6167B" w14:paraId="59AA6D6A"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696E1F5F"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Vrijednost p</w:t>
            </w:r>
          </w:p>
        </w:tc>
        <w:tc>
          <w:tcPr>
            <w:tcW w:w="3267" w:type="dxa"/>
            <w:gridSpan w:val="2"/>
            <w:tcBorders>
              <w:top w:val="single" w:sz="5" w:space="0" w:color="000000"/>
              <w:left w:val="single" w:sz="5" w:space="0" w:color="000000"/>
              <w:bottom w:val="single" w:sz="5" w:space="0" w:color="000000"/>
              <w:right w:val="single" w:sz="5" w:space="0" w:color="000000"/>
            </w:tcBorders>
          </w:tcPr>
          <w:p w14:paraId="40B679A5" w14:textId="77777777" w:rsidR="002E30F6" w:rsidRPr="00D6167B" w:rsidRDefault="002E30F6" w:rsidP="00D37692">
            <w:pPr>
              <w:pStyle w:val="TableParagraph"/>
              <w:widowControl/>
              <w:spacing w:line="246" w:lineRule="exact"/>
              <w:ind w:left="52"/>
              <w:jc w:val="center"/>
              <w:rPr>
                <w:rFonts w:ascii="Times New Roman" w:eastAsia="Times New Roman" w:hAnsi="Times New Roman"/>
                <w:lang w:val="hr-HR"/>
              </w:rPr>
            </w:pPr>
            <w:r w:rsidRPr="00D6167B">
              <w:rPr>
                <w:rFonts w:ascii="Times New Roman" w:hAnsi="Times New Roman"/>
                <w:lang w:val="hr-HR"/>
              </w:rPr>
              <w:t>&lt; 0,0001</w:t>
            </w:r>
          </w:p>
        </w:tc>
        <w:tc>
          <w:tcPr>
            <w:tcW w:w="3281" w:type="dxa"/>
            <w:gridSpan w:val="4"/>
            <w:tcBorders>
              <w:top w:val="single" w:sz="5" w:space="0" w:color="000000"/>
              <w:left w:val="single" w:sz="5" w:space="0" w:color="000000"/>
              <w:bottom w:val="single" w:sz="5" w:space="0" w:color="000000"/>
              <w:right w:val="single" w:sz="5" w:space="0" w:color="000000"/>
            </w:tcBorders>
          </w:tcPr>
          <w:p w14:paraId="33658BA1" w14:textId="77777777" w:rsidR="002E30F6" w:rsidRPr="00D6167B" w:rsidRDefault="002E30F6" w:rsidP="00D37692">
            <w:pPr>
              <w:pStyle w:val="TableParagraph"/>
              <w:widowControl/>
              <w:spacing w:line="246" w:lineRule="exact"/>
              <w:ind w:left="2"/>
              <w:jc w:val="center"/>
              <w:rPr>
                <w:rFonts w:ascii="Times New Roman" w:eastAsia="Times New Roman" w:hAnsi="Times New Roman"/>
                <w:lang w:val="hr-HR"/>
              </w:rPr>
            </w:pPr>
            <w:r w:rsidRPr="00D6167B">
              <w:rPr>
                <w:rFonts w:ascii="Times New Roman" w:hAnsi="Times New Roman"/>
                <w:lang w:val="hr-HR"/>
              </w:rPr>
              <w:t>&lt; 0,0001</w:t>
            </w:r>
          </w:p>
        </w:tc>
      </w:tr>
      <w:tr w:rsidR="002E30F6" w:rsidRPr="00D6167B" w14:paraId="29216A27"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7A3451BF"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i/>
                <w:lang w:val="hr-HR"/>
              </w:rPr>
              <w:t>Cenzurisano za NPT</w:t>
            </w:r>
          </w:p>
        </w:tc>
        <w:tc>
          <w:tcPr>
            <w:tcW w:w="6548" w:type="dxa"/>
            <w:gridSpan w:val="6"/>
            <w:tcBorders>
              <w:top w:val="single" w:sz="5" w:space="0" w:color="000000"/>
              <w:left w:val="single" w:sz="5" w:space="0" w:color="000000"/>
              <w:bottom w:val="single" w:sz="5" w:space="0" w:color="000000"/>
              <w:right w:val="single" w:sz="5" w:space="0" w:color="000000"/>
            </w:tcBorders>
          </w:tcPr>
          <w:p w14:paraId="44310F36" w14:textId="77777777" w:rsidR="002E30F6" w:rsidRPr="00D6167B" w:rsidRDefault="002E30F6" w:rsidP="007608DF">
            <w:pPr>
              <w:widowControl/>
              <w:jc w:val="both"/>
              <w:rPr>
                <w:rFonts w:ascii="Times New Roman" w:hAnsi="Times New Roman"/>
                <w:lang w:val="hr-HR"/>
              </w:rPr>
            </w:pPr>
          </w:p>
        </w:tc>
      </w:tr>
      <w:tr w:rsidR="002E30F6" w:rsidRPr="00D6167B" w14:paraId="071DAF97"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01F2245A"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Srednja vrijednost PFS (mjeseci)</w:t>
            </w:r>
          </w:p>
        </w:tc>
        <w:tc>
          <w:tcPr>
            <w:tcW w:w="1440" w:type="dxa"/>
            <w:tcBorders>
              <w:top w:val="single" w:sz="5" w:space="0" w:color="000000"/>
              <w:left w:val="single" w:sz="5" w:space="0" w:color="000000"/>
              <w:bottom w:val="single" w:sz="5" w:space="0" w:color="000000"/>
              <w:right w:val="single" w:sz="5" w:space="0" w:color="000000"/>
            </w:tcBorders>
          </w:tcPr>
          <w:p w14:paraId="41693D6E" w14:textId="77777777" w:rsidR="002E30F6" w:rsidRPr="00D6167B" w:rsidRDefault="002E30F6" w:rsidP="007608DF">
            <w:pPr>
              <w:pStyle w:val="TableParagraph"/>
              <w:widowControl/>
              <w:spacing w:line="246" w:lineRule="exact"/>
              <w:ind w:right="5"/>
              <w:jc w:val="both"/>
              <w:rPr>
                <w:rFonts w:ascii="Times New Roman" w:eastAsia="Times New Roman" w:hAnsi="Times New Roman"/>
                <w:lang w:val="hr-HR"/>
              </w:rPr>
            </w:pPr>
            <w:r w:rsidRPr="00D6167B">
              <w:rPr>
                <w:rFonts w:ascii="Times New Roman" w:hAnsi="Times New Roman"/>
                <w:lang w:val="hr-HR"/>
              </w:rPr>
              <w:t>8,4</w:t>
            </w:r>
          </w:p>
        </w:tc>
        <w:tc>
          <w:tcPr>
            <w:tcW w:w="1827" w:type="dxa"/>
            <w:tcBorders>
              <w:top w:val="single" w:sz="5" w:space="0" w:color="000000"/>
              <w:left w:val="single" w:sz="5" w:space="0" w:color="000000"/>
              <w:bottom w:val="single" w:sz="5" w:space="0" w:color="000000"/>
              <w:right w:val="single" w:sz="5" w:space="0" w:color="000000"/>
            </w:tcBorders>
          </w:tcPr>
          <w:p w14:paraId="7D66694B" w14:textId="77777777" w:rsidR="002E30F6" w:rsidRPr="00D6167B" w:rsidRDefault="002E30F6" w:rsidP="007608DF">
            <w:pPr>
              <w:pStyle w:val="TableParagraph"/>
              <w:widowControl/>
              <w:spacing w:line="246" w:lineRule="exact"/>
              <w:jc w:val="both"/>
              <w:rPr>
                <w:rFonts w:ascii="Times New Roman" w:eastAsia="Times New Roman" w:hAnsi="Times New Roman"/>
                <w:lang w:val="hr-HR"/>
              </w:rPr>
            </w:pPr>
            <w:r w:rsidRPr="00D6167B">
              <w:rPr>
                <w:rFonts w:ascii="Times New Roman" w:hAnsi="Times New Roman"/>
                <w:lang w:val="hr-HR"/>
              </w:rPr>
              <w:t>12,4</w:t>
            </w:r>
          </w:p>
        </w:tc>
        <w:tc>
          <w:tcPr>
            <w:tcW w:w="1511" w:type="dxa"/>
            <w:gridSpan w:val="2"/>
            <w:tcBorders>
              <w:top w:val="single" w:sz="5" w:space="0" w:color="000000"/>
              <w:left w:val="single" w:sz="5" w:space="0" w:color="000000"/>
              <w:bottom w:val="single" w:sz="5" w:space="0" w:color="000000"/>
              <w:right w:val="single" w:sz="5" w:space="0" w:color="000000"/>
            </w:tcBorders>
          </w:tcPr>
          <w:p w14:paraId="5CE26C43" w14:textId="77777777" w:rsidR="002E30F6" w:rsidRPr="00D6167B" w:rsidRDefault="002E30F6" w:rsidP="007608DF">
            <w:pPr>
              <w:pStyle w:val="TableParagraph"/>
              <w:widowControl/>
              <w:spacing w:line="246" w:lineRule="exact"/>
              <w:ind w:right="2"/>
              <w:jc w:val="both"/>
              <w:rPr>
                <w:rFonts w:ascii="Times New Roman" w:eastAsia="Times New Roman" w:hAnsi="Times New Roman"/>
                <w:lang w:val="hr-HR"/>
              </w:rPr>
            </w:pPr>
            <w:r w:rsidRPr="00D6167B">
              <w:rPr>
                <w:rFonts w:ascii="Times New Roman" w:hAnsi="Times New Roman"/>
                <w:lang w:val="hr-HR"/>
              </w:rPr>
              <w:t>8,6</w:t>
            </w:r>
          </w:p>
        </w:tc>
        <w:tc>
          <w:tcPr>
            <w:tcW w:w="1770" w:type="dxa"/>
            <w:gridSpan w:val="2"/>
            <w:tcBorders>
              <w:top w:val="single" w:sz="5" w:space="0" w:color="000000"/>
              <w:left w:val="single" w:sz="5" w:space="0" w:color="000000"/>
              <w:bottom w:val="single" w:sz="5" w:space="0" w:color="000000"/>
              <w:right w:val="single" w:sz="5" w:space="0" w:color="000000"/>
            </w:tcBorders>
          </w:tcPr>
          <w:p w14:paraId="756036A8" w14:textId="77777777" w:rsidR="002E30F6" w:rsidRPr="00D6167B" w:rsidRDefault="002E30F6" w:rsidP="007608DF">
            <w:pPr>
              <w:pStyle w:val="TableParagraph"/>
              <w:widowControl/>
              <w:spacing w:line="246" w:lineRule="exact"/>
              <w:ind w:left="4"/>
              <w:jc w:val="both"/>
              <w:rPr>
                <w:rFonts w:ascii="Times New Roman" w:eastAsia="Times New Roman" w:hAnsi="Times New Roman"/>
                <w:lang w:val="hr-HR"/>
              </w:rPr>
            </w:pPr>
            <w:r w:rsidRPr="00D6167B">
              <w:rPr>
                <w:rFonts w:ascii="Times New Roman" w:hAnsi="Times New Roman"/>
                <w:lang w:val="hr-HR"/>
              </w:rPr>
              <w:t>12,3</w:t>
            </w:r>
          </w:p>
        </w:tc>
      </w:tr>
      <w:tr w:rsidR="002E30F6" w:rsidRPr="00D6167B" w14:paraId="0AAE8FEF"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18E5DE58" w14:textId="77777777" w:rsidR="002E30F6" w:rsidRPr="00D6167B" w:rsidRDefault="002E30F6" w:rsidP="00D37692">
            <w:pPr>
              <w:pStyle w:val="TableParagraph"/>
              <w:widowControl/>
              <w:spacing w:line="241" w:lineRule="auto"/>
              <w:ind w:left="102" w:right="1122"/>
              <w:rPr>
                <w:rFonts w:ascii="Times New Roman" w:eastAsia="Times New Roman" w:hAnsi="Times New Roman"/>
                <w:lang w:val="hr-HR"/>
              </w:rPr>
            </w:pPr>
            <w:r w:rsidRPr="00D6167B">
              <w:rPr>
                <w:rFonts w:ascii="Times New Roman" w:hAnsi="Times New Roman"/>
                <w:lang w:val="hr-HR"/>
              </w:rPr>
              <w:t>Odnos rizika (95% CI)</w:t>
            </w:r>
          </w:p>
        </w:tc>
        <w:tc>
          <w:tcPr>
            <w:tcW w:w="3267" w:type="dxa"/>
            <w:gridSpan w:val="2"/>
            <w:tcBorders>
              <w:top w:val="single" w:sz="5" w:space="0" w:color="000000"/>
              <w:left w:val="single" w:sz="5" w:space="0" w:color="000000"/>
              <w:bottom w:val="single" w:sz="5" w:space="0" w:color="000000"/>
              <w:right w:val="single" w:sz="5" w:space="0" w:color="000000"/>
            </w:tcBorders>
          </w:tcPr>
          <w:p w14:paraId="458F8912" w14:textId="77777777" w:rsidR="002E30F6" w:rsidRPr="00D6167B" w:rsidRDefault="002E30F6" w:rsidP="007608DF">
            <w:pPr>
              <w:pStyle w:val="TableParagraph"/>
              <w:widowControl/>
              <w:spacing w:before="120"/>
              <w:ind w:left="877"/>
              <w:jc w:val="both"/>
              <w:rPr>
                <w:rFonts w:ascii="Times New Roman" w:eastAsia="Times New Roman" w:hAnsi="Times New Roman"/>
                <w:lang w:val="hr-HR"/>
              </w:rPr>
            </w:pPr>
            <w:r w:rsidRPr="00D6167B">
              <w:rPr>
                <w:rFonts w:ascii="Times New Roman" w:hAnsi="Times New Roman"/>
                <w:lang w:val="hr-HR"/>
              </w:rPr>
              <w:t>0,484 [0,388, 0,605]</w:t>
            </w:r>
          </w:p>
        </w:tc>
        <w:tc>
          <w:tcPr>
            <w:tcW w:w="3281" w:type="dxa"/>
            <w:gridSpan w:val="4"/>
            <w:tcBorders>
              <w:top w:val="single" w:sz="5" w:space="0" w:color="000000"/>
              <w:left w:val="single" w:sz="5" w:space="0" w:color="000000"/>
              <w:bottom w:val="single" w:sz="5" w:space="0" w:color="000000"/>
              <w:right w:val="single" w:sz="5" w:space="0" w:color="000000"/>
            </w:tcBorders>
          </w:tcPr>
          <w:p w14:paraId="2E8A4CBC" w14:textId="77777777" w:rsidR="002E30F6" w:rsidRPr="00D6167B" w:rsidRDefault="002E30F6" w:rsidP="007608DF">
            <w:pPr>
              <w:pStyle w:val="TableParagraph"/>
              <w:widowControl/>
              <w:spacing w:before="120"/>
              <w:ind w:left="786"/>
              <w:jc w:val="both"/>
              <w:rPr>
                <w:rFonts w:ascii="Times New Roman" w:eastAsia="Times New Roman" w:hAnsi="Times New Roman"/>
                <w:lang w:val="hr-HR"/>
              </w:rPr>
            </w:pPr>
            <w:r w:rsidRPr="00D6167B">
              <w:rPr>
                <w:rFonts w:ascii="Times New Roman" w:hAnsi="Times New Roman"/>
                <w:lang w:val="hr-HR"/>
              </w:rPr>
              <w:t>0,451 [0,351, 0,580]</w:t>
            </w:r>
          </w:p>
        </w:tc>
      </w:tr>
      <w:tr w:rsidR="002E30F6" w:rsidRPr="00D6167B" w14:paraId="6F56539B"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65D469D0"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Vrijednost p</w:t>
            </w:r>
          </w:p>
        </w:tc>
        <w:tc>
          <w:tcPr>
            <w:tcW w:w="3267" w:type="dxa"/>
            <w:gridSpan w:val="2"/>
            <w:tcBorders>
              <w:top w:val="single" w:sz="5" w:space="0" w:color="000000"/>
              <w:left w:val="single" w:sz="5" w:space="0" w:color="000000"/>
              <w:bottom w:val="single" w:sz="5" w:space="0" w:color="000000"/>
              <w:right w:val="single" w:sz="5" w:space="0" w:color="000000"/>
            </w:tcBorders>
          </w:tcPr>
          <w:p w14:paraId="20EC2DED" w14:textId="77777777" w:rsidR="002E30F6" w:rsidRPr="00D6167B" w:rsidRDefault="002E30F6" w:rsidP="00D37692">
            <w:pPr>
              <w:pStyle w:val="TableParagraph"/>
              <w:widowControl/>
              <w:spacing w:line="246" w:lineRule="exact"/>
              <w:ind w:left="55"/>
              <w:jc w:val="center"/>
              <w:rPr>
                <w:rFonts w:ascii="Times New Roman" w:eastAsia="Times New Roman" w:hAnsi="Times New Roman"/>
                <w:lang w:val="hr-HR"/>
              </w:rPr>
            </w:pPr>
            <w:r w:rsidRPr="00D6167B">
              <w:rPr>
                <w:rFonts w:ascii="Times New Roman" w:hAnsi="Times New Roman"/>
                <w:lang w:val="hr-HR"/>
              </w:rPr>
              <w:t>&lt; 0,0001</w:t>
            </w:r>
          </w:p>
        </w:tc>
        <w:tc>
          <w:tcPr>
            <w:tcW w:w="3281" w:type="dxa"/>
            <w:gridSpan w:val="4"/>
            <w:tcBorders>
              <w:top w:val="single" w:sz="5" w:space="0" w:color="000000"/>
              <w:left w:val="single" w:sz="5" w:space="0" w:color="000000"/>
              <w:bottom w:val="single" w:sz="5" w:space="0" w:color="000000"/>
              <w:right w:val="single" w:sz="5" w:space="0" w:color="000000"/>
            </w:tcBorders>
          </w:tcPr>
          <w:p w14:paraId="1FAA9D04" w14:textId="77777777" w:rsidR="002E30F6" w:rsidRPr="00D6167B" w:rsidRDefault="002E30F6" w:rsidP="00D37692">
            <w:pPr>
              <w:pStyle w:val="TableParagraph"/>
              <w:widowControl/>
              <w:spacing w:line="246" w:lineRule="exact"/>
              <w:ind w:left="2"/>
              <w:jc w:val="center"/>
              <w:rPr>
                <w:rFonts w:ascii="Times New Roman" w:eastAsia="Times New Roman" w:hAnsi="Times New Roman"/>
                <w:lang w:val="hr-HR"/>
              </w:rPr>
            </w:pPr>
            <w:r w:rsidRPr="00D6167B">
              <w:rPr>
                <w:rFonts w:ascii="Times New Roman" w:hAnsi="Times New Roman"/>
                <w:lang w:val="hr-HR"/>
              </w:rPr>
              <w:t>&lt; 0,0001</w:t>
            </w:r>
          </w:p>
        </w:tc>
      </w:tr>
      <w:tr w:rsidR="002E30F6" w:rsidRPr="00D6167B" w14:paraId="6619E834" w14:textId="77777777" w:rsidTr="00D37692">
        <w:trPr>
          <w:cantSplit/>
        </w:trPr>
        <w:tc>
          <w:tcPr>
            <w:tcW w:w="9100" w:type="dxa"/>
            <w:gridSpan w:val="7"/>
            <w:tcBorders>
              <w:top w:val="single" w:sz="5" w:space="0" w:color="000000"/>
              <w:left w:val="single" w:sz="5" w:space="0" w:color="000000"/>
              <w:bottom w:val="single" w:sz="5" w:space="0" w:color="000000"/>
              <w:right w:val="single" w:sz="5" w:space="0" w:color="000000"/>
            </w:tcBorders>
          </w:tcPr>
          <w:p w14:paraId="5DD24124"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Stopa objektivnog odgovora</w:t>
            </w:r>
          </w:p>
        </w:tc>
      </w:tr>
      <w:tr w:rsidR="002E30F6" w:rsidRPr="00D6167B" w14:paraId="1CD65F12"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0AEE02D6" w14:textId="77777777" w:rsidR="002E30F6" w:rsidRPr="00D6167B" w:rsidRDefault="002E30F6" w:rsidP="007608DF">
            <w:pPr>
              <w:widowControl/>
              <w:jc w:val="both"/>
              <w:rPr>
                <w:rFonts w:ascii="Times New Roman" w:hAnsi="Times New Roman"/>
                <w:lang w:val="hr-HR"/>
              </w:rPr>
            </w:pPr>
          </w:p>
        </w:tc>
        <w:tc>
          <w:tcPr>
            <w:tcW w:w="3267" w:type="dxa"/>
            <w:gridSpan w:val="2"/>
            <w:tcBorders>
              <w:top w:val="single" w:sz="5" w:space="0" w:color="000000"/>
              <w:left w:val="single" w:sz="5" w:space="0" w:color="000000"/>
              <w:bottom w:val="single" w:sz="5" w:space="0" w:color="000000"/>
              <w:right w:val="single" w:sz="5" w:space="0" w:color="000000"/>
            </w:tcBorders>
          </w:tcPr>
          <w:p w14:paraId="67EF8D74" w14:textId="77777777" w:rsidR="002E30F6" w:rsidRPr="00D6167B" w:rsidRDefault="002E30F6" w:rsidP="007608DF">
            <w:pPr>
              <w:pStyle w:val="TableParagraph"/>
              <w:widowControl/>
              <w:spacing w:line="248" w:lineRule="exact"/>
              <w:ind w:left="704"/>
              <w:jc w:val="both"/>
              <w:rPr>
                <w:rFonts w:ascii="Times New Roman" w:eastAsia="Times New Roman" w:hAnsi="Times New Roman"/>
                <w:lang w:val="hr-HR"/>
              </w:rPr>
            </w:pPr>
            <w:r w:rsidRPr="00D6167B">
              <w:rPr>
                <w:rFonts w:ascii="Times New Roman" w:hAnsi="Times New Roman"/>
                <w:lang w:val="hr-HR"/>
              </w:rPr>
              <w:t>Procjena istraživača</w:t>
            </w:r>
          </w:p>
        </w:tc>
        <w:tc>
          <w:tcPr>
            <w:tcW w:w="3281" w:type="dxa"/>
            <w:gridSpan w:val="4"/>
            <w:tcBorders>
              <w:top w:val="single" w:sz="5" w:space="0" w:color="000000"/>
              <w:left w:val="single" w:sz="5" w:space="0" w:color="000000"/>
              <w:bottom w:val="single" w:sz="5" w:space="0" w:color="000000"/>
              <w:right w:val="single" w:sz="5" w:space="0" w:color="000000"/>
            </w:tcBorders>
          </w:tcPr>
          <w:p w14:paraId="6C128071" w14:textId="77777777" w:rsidR="002E30F6" w:rsidRPr="00D6167B" w:rsidRDefault="002E30F6" w:rsidP="007608DF">
            <w:pPr>
              <w:pStyle w:val="TableParagraph"/>
              <w:widowControl/>
              <w:spacing w:line="248" w:lineRule="exact"/>
              <w:ind w:left="954"/>
              <w:jc w:val="both"/>
              <w:rPr>
                <w:rFonts w:ascii="Times New Roman" w:eastAsia="Times New Roman" w:hAnsi="Times New Roman"/>
                <w:lang w:val="hr-HR"/>
              </w:rPr>
            </w:pPr>
            <w:r w:rsidRPr="00D6167B">
              <w:rPr>
                <w:rFonts w:ascii="Times New Roman" w:hAnsi="Times New Roman"/>
                <w:u w:val="single" w:color="000000"/>
                <w:lang w:val="hr-HR"/>
              </w:rPr>
              <w:t>Procjena IRC</w:t>
            </w:r>
          </w:p>
        </w:tc>
      </w:tr>
      <w:tr w:rsidR="002E30F6" w:rsidRPr="00D6167B" w14:paraId="3652C6C9"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6709FE4B" w14:textId="77777777" w:rsidR="002E30F6" w:rsidRPr="00D6167B" w:rsidRDefault="002E30F6" w:rsidP="007608DF">
            <w:pPr>
              <w:widowControl/>
              <w:jc w:val="both"/>
              <w:rPr>
                <w:rFonts w:ascii="Times New Roman" w:hAnsi="Times New Roman"/>
                <w:lang w:val="hr-HR"/>
              </w:rPr>
            </w:pPr>
          </w:p>
        </w:tc>
        <w:tc>
          <w:tcPr>
            <w:tcW w:w="1440" w:type="dxa"/>
            <w:tcBorders>
              <w:top w:val="single" w:sz="5" w:space="0" w:color="000000"/>
              <w:left w:val="single" w:sz="5" w:space="0" w:color="000000"/>
              <w:bottom w:val="single" w:sz="5" w:space="0" w:color="000000"/>
              <w:right w:val="single" w:sz="5" w:space="0" w:color="000000"/>
            </w:tcBorders>
          </w:tcPr>
          <w:p w14:paraId="056D6B66" w14:textId="77777777" w:rsidR="002E30F6" w:rsidRPr="00D6167B" w:rsidRDefault="002E30F6" w:rsidP="007608DF">
            <w:pPr>
              <w:pStyle w:val="TableParagraph"/>
              <w:widowControl/>
              <w:spacing w:before="19"/>
              <w:ind w:left="423" w:right="214" w:hanging="212"/>
              <w:jc w:val="both"/>
              <w:rPr>
                <w:rFonts w:ascii="Times New Roman" w:eastAsia="Times New Roman" w:hAnsi="Times New Roman"/>
                <w:lang w:val="hr-HR"/>
              </w:rPr>
            </w:pPr>
            <w:r w:rsidRPr="00D6167B">
              <w:rPr>
                <w:rFonts w:ascii="Times New Roman" w:hAnsi="Times New Roman"/>
                <w:lang w:val="hr-HR"/>
              </w:rPr>
              <w:t>Placebo + C/G (n=242)</w:t>
            </w:r>
          </w:p>
        </w:tc>
        <w:tc>
          <w:tcPr>
            <w:tcW w:w="1827" w:type="dxa"/>
            <w:tcBorders>
              <w:top w:val="single" w:sz="5" w:space="0" w:color="000000"/>
              <w:left w:val="single" w:sz="5" w:space="0" w:color="000000"/>
              <w:bottom w:val="single" w:sz="5" w:space="0" w:color="000000"/>
              <w:right w:val="single" w:sz="5" w:space="0" w:color="000000"/>
            </w:tcBorders>
          </w:tcPr>
          <w:p w14:paraId="51BDEDF6" w14:textId="77777777" w:rsidR="002E30F6" w:rsidRPr="00D6167B" w:rsidRDefault="002E30F6" w:rsidP="007608DF">
            <w:pPr>
              <w:pStyle w:val="TableParagraph"/>
              <w:widowControl/>
              <w:spacing w:before="33"/>
              <w:ind w:left="524" w:right="289" w:hanging="233"/>
              <w:jc w:val="both"/>
              <w:rPr>
                <w:rFonts w:ascii="Times New Roman" w:hAnsi="Times New Roman"/>
                <w:spacing w:val="26"/>
                <w:lang w:val="hr-HR"/>
              </w:rPr>
            </w:pPr>
            <w:r w:rsidRPr="00D6167B">
              <w:rPr>
                <w:rFonts w:ascii="Times New Roman" w:hAnsi="Times New Roman"/>
                <w:lang w:val="hr-HR"/>
              </w:rPr>
              <w:t xml:space="preserve">Bevacizumab + C/G </w:t>
            </w:r>
          </w:p>
          <w:p w14:paraId="7E5EE243" w14:textId="77777777" w:rsidR="002E30F6" w:rsidRPr="00D6167B" w:rsidRDefault="002E30F6" w:rsidP="007608DF">
            <w:pPr>
              <w:pStyle w:val="TableParagraph"/>
              <w:widowControl/>
              <w:spacing w:before="33"/>
              <w:ind w:left="524" w:right="289" w:hanging="233"/>
              <w:jc w:val="both"/>
              <w:rPr>
                <w:rFonts w:ascii="Times New Roman" w:eastAsia="Times New Roman" w:hAnsi="Times New Roman"/>
                <w:lang w:val="hr-HR"/>
              </w:rPr>
            </w:pPr>
            <w:r w:rsidRPr="00D6167B">
              <w:rPr>
                <w:rFonts w:ascii="Times New Roman" w:hAnsi="Times New Roman"/>
                <w:lang w:val="hr-HR"/>
              </w:rPr>
              <w:t>(n = 242)</w:t>
            </w:r>
          </w:p>
        </w:tc>
        <w:tc>
          <w:tcPr>
            <w:tcW w:w="1578" w:type="dxa"/>
            <w:gridSpan w:val="3"/>
            <w:tcBorders>
              <w:top w:val="single" w:sz="5" w:space="0" w:color="000000"/>
              <w:left w:val="single" w:sz="5" w:space="0" w:color="000000"/>
              <w:bottom w:val="single" w:sz="5" w:space="0" w:color="000000"/>
              <w:right w:val="single" w:sz="5" w:space="0" w:color="000000"/>
            </w:tcBorders>
          </w:tcPr>
          <w:p w14:paraId="191B13C3" w14:textId="77777777" w:rsidR="002E30F6" w:rsidRPr="00D6167B" w:rsidRDefault="002E30F6" w:rsidP="007608DF">
            <w:pPr>
              <w:pStyle w:val="TableParagraph"/>
              <w:widowControl/>
              <w:spacing w:line="241" w:lineRule="auto"/>
              <w:ind w:left="397" w:right="182" w:hanging="212"/>
              <w:jc w:val="both"/>
              <w:rPr>
                <w:rFonts w:ascii="Times New Roman" w:eastAsia="Times New Roman" w:hAnsi="Times New Roman"/>
                <w:lang w:val="hr-HR"/>
              </w:rPr>
            </w:pPr>
            <w:r w:rsidRPr="00D6167B">
              <w:rPr>
                <w:rFonts w:ascii="Times New Roman" w:hAnsi="Times New Roman"/>
                <w:lang w:val="hr-HR"/>
              </w:rPr>
              <w:t>Placebo + C/G (n=242)</w:t>
            </w:r>
          </w:p>
        </w:tc>
        <w:tc>
          <w:tcPr>
            <w:tcW w:w="1703" w:type="dxa"/>
            <w:tcBorders>
              <w:top w:val="single" w:sz="5" w:space="0" w:color="000000"/>
              <w:left w:val="single" w:sz="5" w:space="0" w:color="000000"/>
              <w:bottom w:val="single" w:sz="5" w:space="0" w:color="000000"/>
              <w:right w:val="single" w:sz="5" w:space="0" w:color="000000"/>
            </w:tcBorders>
          </w:tcPr>
          <w:p w14:paraId="3ED1D736" w14:textId="77777777" w:rsidR="002E30F6" w:rsidRPr="00D6167B" w:rsidRDefault="002E30F6" w:rsidP="007608DF">
            <w:pPr>
              <w:pStyle w:val="TableParagraph"/>
              <w:widowControl/>
              <w:spacing w:before="19" w:line="266" w:lineRule="auto"/>
              <w:ind w:left="462" w:right="225" w:hanging="233"/>
              <w:jc w:val="both"/>
              <w:rPr>
                <w:rFonts w:ascii="Times New Roman" w:hAnsi="Times New Roman"/>
                <w:spacing w:val="26"/>
                <w:lang w:val="hr-HR"/>
              </w:rPr>
            </w:pPr>
            <w:r w:rsidRPr="00D6167B">
              <w:rPr>
                <w:rFonts w:ascii="Times New Roman" w:hAnsi="Times New Roman"/>
                <w:lang w:val="hr-HR"/>
              </w:rPr>
              <w:t xml:space="preserve">Bevacizumab + C/G </w:t>
            </w:r>
          </w:p>
          <w:p w14:paraId="133A1560" w14:textId="77777777" w:rsidR="002E30F6" w:rsidRPr="00D6167B" w:rsidRDefault="002E30F6" w:rsidP="007608DF">
            <w:pPr>
              <w:pStyle w:val="TableParagraph"/>
              <w:widowControl/>
              <w:spacing w:before="19" w:line="266" w:lineRule="auto"/>
              <w:ind w:left="462" w:right="225" w:hanging="233"/>
              <w:jc w:val="both"/>
              <w:rPr>
                <w:rFonts w:ascii="Times New Roman" w:eastAsia="Times New Roman" w:hAnsi="Times New Roman"/>
                <w:lang w:val="hr-HR"/>
              </w:rPr>
            </w:pPr>
            <w:r w:rsidRPr="00D6167B">
              <w:rPr>
                <w:rFonts w:ascii="Times New Roman" w:hAnsi="Times New Roman"/>
                <w:lang w:val="hr-HR"/>
              </w:rPr>
              <w:t>(n=242)</w:t>
            </w:r>
          </w:p>
        </w:tc>
      </w:tr>
      <w:tr w:rsidR="002E30F6" w:rsidRPr="00D6167B" w14:paraId="3354AFDB"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20A0EEBA" w14:textId="77777777" w:rsidR="002E30F6" w:rsidRPr="00D6167B" w:rsidRDefault="002E30F6" w:rsidP="00D37692">
            <w:pPr>
              <w:pStyle w:val="TableParagraph"/>
              <w:widowControl/>
              <w:spacing w:line="239" w:lineRule="auto"/>
              <w:ind w:left="102" w:right="414"/>
              <w:rPr>
                <w:rFonts w:ascii="Times New Roman" w:eastAsia="Times New Roman" w:hAnsi="Times New Roman"/>
                <w:lang w:val="hr-HR"/>
              </w:rPr>
            </w:pPr>
            <w:r w:rsidRPr="00D6167B">
              <w:rPr>
                <w:rFonts w:ascii="Times New Roman" w:hAnsi="Times New Roman"/>
                <w:lang w:val="hr-HR"/>
              </w:rPr>
              <w:t>% pacijenata sa objektivnim odgovorom</w:t>
            </w:r>
          </w:p>
        </w:tc>
        <w:tc>
          <w:tcPr>
            <w:tcW w:w="1440" w:type="dxa"/>
            <w:tcBorders>
              <w:top w:val="single" w:sz="5" w:space="0" w:color="000000"/>
              <w:left w:val="single" w:sz="5" w:space="0" w:color="000000"/>
              <w:bottom w:val="single" w:sz="5" w:space="0" w:color="000000"/>
              <w:right w:val="single" w:sz="5" w:space="0" w:color="000000"/>
            </w:tcBorders>
          </w:tcPr>
          <w:p w14:paraId="58F32A03" w14:textId="77777777" w:rsidR="002E30F6" w:rsidRPr="00D6167B" w:rsidRDefault="002E30F6" w:rsidP="007608DF">
            <w:pPr>
              <w:pStyle w:val="TableParagraph"/>
              <w:widowControl/>
              <w:spacing w:before="120"/>
              <w:ind w:left="548"/>
              <w:jc w:val="both"/>
              <w:rPr>
                <w:rFonts w:ascii="Times New Roman" w:eastAsia="Times New Roman" w:hAnsi="Times New Roman"/>
                <w:lang w:val="hr-HR"/>
              </w:rPr>
            </w:pPr>
            <w:r w:rsidRPr="00D6167B">
              <w:rPr>
                <w:rFonts w:ascii="Times New Roman" w:hAnsi="Times New Roman"/>
                <w:lang w:val="hr-HR"/>
              </w:rPr>
              <w:t>57,4%</w:t>
            </w:r>
          </w:p>
        </w:tc>
        <w:tc>
          <w:tcPr>
            <w:tcW w:w="1827" w:type="dxa"/>
            <w:tcBorders>
              <w:top w:val="single" w:sz="5" w:space="0" w:color="000000"/>
              <w:left w:val="single" w:sz="5" w:space="0" w:color="000000"/>
              <w:bottom w:val="single" w:sz="5" w:space="0" w:color="000000"/>
              <w:right w:val="single" w:sz="5" w:space="0" w:color="000000"/>
            </w:tcBorders>
          </w:tcPr>
          <w:p w14:paraId="039FAA22" w14:textId="77777777" w:rsidR="002E30F6" w:rsidRPr="00D6167B" w:rsidRDefault="002E30F6" w:rsidP="007608DF">
            <w:pPr>
              <w:pStyle w:val="TableParagraph"/>
              <w:widowControl/>
              <w:spacing w:before="120"/>
              <w:ind w:right="1"/>
              <w:jc w:val="both"/>
              <w:rPr>
                <w:rFonts w:ascii="Times New Roman" w:eastAsia="Times New Roman" w:hAnsi="Times New Roman"/>
                <w:lang w:val="hr-HR"/>
              </w:rPr>
            </w:pPr>
            <w:r w:rsidRPr="00D6167B">
              <w:rPr>
                <w:rFonts w:ascii="Times New Roman" w:hAnsi="Times New Roman"/>
                <w:lang w:val="hr-HR"/>
              </w:rPr>
              <w:t>78,5%</w:t>
            </w:r>
          </w:p>
        </w:tc>
        <w:tc>
          <w:tcPr>
            <w:tcW w:w="1578" w:type="dxa"/>
            <w:gridSpan w:val="3"/>
            <w:tcBorders>
              <w:top w:val="single" w:sz="5" w:space="0" w:color="000000"/>
              <w:left w:val="single" w:sz="5" w:space="0" w:color="000000"/>
              <w:bottom w:val="single" w:sz="5" w:space="0" w:color="000000"/>
              <w:right w:val="single" w:sz="5" w:space="0" w:color="000000"/>
            </w:tcBorders>
          </w:tcPr>
          <w:p w14:paraId="1F4E8331" w14:textId="77777777" w:rsidR="002E30F6" w:rsidRPr="00D6167B" w:rsidRDefault="002E30F6" w:rsidP="007608DF">
            <w:pPr>
              <w:pStyle w:val="TableParagraph"/>
              <w:widowControl/>
              <w:spacing w:before="120"/>
              <w:ind w:left="522"/>
              <w:jc w:val="both"/>
              <w:rPr>
                <w:rFonts w:ascii="Times New Roman" w:eastAsia="Times New Roman" w:hAnsi="Times New Roman"/>
                <w:lang w:val="hr-HR"/>
              </w:rPr>
            </w:pPr>
            <w:r w:rsidRPr="00D6167B">
              <w:rPr>
                <w:rFonts w:ascii="Times New Roman" w:hAnsi="Times New Roman"/>
                <w:lang w:val="hr-HR"/>
              </w:rPr>
              <w:t>53,7%</w:t>
            </w:r>
          </w:p>
        </w:tc>
        <w:tc>
          <w:tcPr>
            <w:tcW w:w="1703" w:type="dxa"/>
            <w:tcBorders>
              <w:top w:val="single" w:sz="5" w:space="0" w:color="000000"/>
              <w:left w:val="single" w:sz="5" w:space="0" w:color="000000"/>
              <w:bottom w:val="single" w:sz="5" w:space="0" w:color="000000"/>
              <w:right w:val="single" w:sz="5" w:space="0" w:color="000000"/>
            </w:tcBorders>
          </w:tcPr>
          <w:p w14:paraId="220BA20E" w14:textId="77777777" w:rsidR="002E30F6" w:rsidRPr="00D6167B" w:rsidRDefault="002E30F6" w:rsidP="007608DF">
            <w:pPr>
              <w:pStyle w:val="TableParagraph"/>
              <w:widowControl/>
              <w:spacing w:before="120"/>
              <w:ind w:right="1"/>
              <w:jc w:val="both"/>
              <w:rPr>
                <w:rFonts w:ascii="Times New Roman" w:eastAsia="Times New Roman" w:hAnsi="Times New Roman"/>
                <w:lang w:val="hr-HR"/>
              </w:rPr>
            </w:pPr>
            <w:r w:rsidRPr="00D6167B">
              <w:rPr>
                <w:rFonts w:ascii="Times New Roman" w:hAnsi="Times New Roman"/>
                <w:lang w:val="hr-HR"/>
              </w:rPr>
              <w:t>74,8%</w:t>
            </w:r>
          </w:p>
        </w:tc>
      </w:tr>
      <w:tr w:rsidR="002E30F6" w:rsidRPr="00D6167B" w14:paraId="675C8C04"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52EB23F2" w14:textId="77777777" w:rsidR="002E30F6" w:rsidRPr="00D6167B" w:rsidRDefault="002E30F6" w:rsidP="00D37692">
            <w:pPr>
              <w:pStyle w:val="TableParagraph"/>
              <w:widowControl/>
              <w:spacing w:line="248" w:lineRule="exact"/>
              <w:ind w:left="102"/>
              <w:rPr>
                <w:rFonts w:ascii="Times New Roman" w:eastAsia="Times New Roman" w:hAnsi="Times New Roman"/>
                <w:lang w:val="hr-HR"/>
              </w:rPr>
            </w:pPr>
            <w:r w:rsidRPr="00D6167B">
              <w:rPr>
                <w:rFonts w:ascii="Times New Roman" w:hAnsi="Times New Roman"/>
                <w:lang w:val="hr-HR"/>
              </w:rPr>
              <w:t>Vrijednost p</w:t>
            </w:r>
          </w:p>
        </w:tc>
        <w:tc>
          <w:tcPr>
            <w:tcW w:w="3267" w:type="dxa"/>
            <w:gridSpan w:val="2"/>
            <w:tcBorders>
              <w:top w:val="single" w:sz="5" w:space="0" w:color="000000"/>
              <w:left w:val="single" w:sz="5" w:space="0" w:color="000000"/>
              <w:bottom w:val="single" w:sz="5" w:space="0" w:color="000000"/>
              <w:right w:val="single" w:sz="5" w:space="0" w:color="000000"/>
            </w:tcBorders>
          </w:tcPr>
          <w:p w14:paraId="21CEEE61" w14:textId="77777777" w:rsidR="002E30F6" w:rsidRPr="00D6167B" w:rsidRDefault="002E30F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&lt; 0,0001</w:t>
            </w:r>
          </w:p>
        </w:tc>
        <w:tc>
          <w:tcPr>
            <w:tcW w:w="3281" w:type="dxa"/>
            <w:gridSpan w:val="4"/>
            <w:tcBorders>
              <w:top w:val="single" w:sz="5" w:space="0" w:color="000000"/>
              <w:left w:val="single" w:sz="5" w:space="0" w:color="000000"/>
              <w:bottom w:val="single" w:sz="5" w:space="0" w:color="000000"/>
              <w:right w:val="single" w:sz="5" w:space="0" w:color="000000"/>
            </w:tcBorders>
          </w:tcPr>
          <w:p w14:paraId="1A9BD58F" w14:textId="77777777" w:rsidR="002E30F6" w:rsidRPr="00D6167B" w:rsidRDefault="002E30F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&lt; 0,0001</w:t>
            </w:r>
          </w:p>
        </w:tc>
      </w:tr>
      <w:tr w:rsidR="002E30F6" w:rsidRPr="00D6167B" w14:paraId="5D495F76" w14:textId="77777777" w:rsidTr="00D37692">
        <w:trPr>
          <w:cantSplit/>
        </w:trPr>
        <w:tc>
          <w:tcPr>
            <w:tcW w:w="9100" w:type="dxa"/>
            <w:gridSpan w:val="7"/>
            <w:tcBorders>
              <w:top w:val="single" w:sz="5" w:space="0" w:color="000000"/>
              <w:left w:val="single" w:sz="5" w:space="0" w:color="000000"/>
              <w:bottom w:val="single" w:sz="5" w:space="0" w:color="000000"/>
              <w:right w:val="single" w:sz="5" w:space="0" w:color="000000"/>
            </w:tcBorders>
          </w:tcPr>
          <w:p w14:paraId="647450B7"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Ukupno preživljavanje</w:t>
            </w:r>
          </w:p>
        </w:tc>
      </w:tr>
      <w:tr w:rsidR="002E30F6" w:rsidRPr="00D6167B" w14:paraId="141CF982"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62E009AE" w14:textId="77777777" w:rsidR="002E30F6" w:rsidRPr="00D6167B" w:rsidRDefault="002E30F6" w:rsidP="007608DF">
            <w:pPr>
              <w:widowControl/>
              <w:jc w:val="both"/>
              <w:rPr>
                <w:rFonts w:ascii="Times New Roman" w:hAnsi="Times New Roman"/>
                <w:lang w:val="hr-HR"/>
              </w:rPr>
            </w:pPr>
          </w:p>
        </w:tc>
        <w:tc>
          <w:tcPr>
            <w:tcW w:w="3616" w:type="dxa"/>
            <w:gridSpan w:val="3"/>
            <w:tcBorders>
              <w:top w:val="single" w:sz="5" w:space="0" w:color="000000"/>
              <w:left w:val="single" w:sz="5" w:space="0" w:color="000000"/>
              <w:bottom w:val="single" w:sz="5" w:space="0" w:color="000000"/>
              <w:right w:val="single" w:sz="5" w:space="0" w:color="000000"/>
            </w:tcBorders>
          </w:tcPr>
          <w:p w14:paraId="47E053EB" w14:textId="77777777" w:rsidR="002E30F6" w:rsidRPr="00D6167B" w:rsidRDefault="002E30F6" w:rsidP="00D37692">
            <w:pPr>
              <w:pStyle w:val="TableParagraph"/>
              <w:widowControl/>
              <w:spacing w:before="5"/>
              <w:ind w:left="1335" w:right="1334"/>
              <w:jc w:val="center"/>
              <w:rPr>
                <w:rFonts w:ascii="Times New Roman" w:eastAsia="Times New Roman" w:hAnsi="Times New Roman"/>
                <w:lang w:val="hr-HR"/>
              </w:rPr>
            </w:pPr>
            <w:r w:rsidRPr="00D6167B">
              <w:rPr>
                <w:rFonts w:ascii="Times New Roman" w:hAnsi="Times New Roman"/>
                <w:lang w:val="hr-HR"/>
              </w:rPr>
              <w:t>Placebo + C/G (n=242)</w:t>
            </w:r>
          </w:p>
        </w:tc>
        <w:tc>
          <w:tcPr>
            <w:tcW w:w="2932" w:type="dxa"/>
            <w:gridSpan w:val="3"/>
            <w:tcBorders>
              <w:top w:val="single" w:sz="5" w:space="0" w:color="000000"/>
              <w:left w:val="single" w:sz="5" w:space="0" w:color="000000"/>
              <w:bottom w:val="single" w:sz="5" w:space="0" w:color="000000"/>
              <w:right w:val="single" w:sz="5" w:space="0" w:color="000000"/>
            </w:tcBorders>
          </w:tcPr>
          <w:p w14:paraId="040033F1" w14:textId="0846FDDD" w:rsidR="002E30F6" w:rsidRPr="00D6167B" w:rsidRDefault="002E30F6" w:rsidP="00D37692">
            <w:pPr>
              <w:pStyle w:val="TableParagraph"/>
              <w:widowControl/>
              <w:spacing w:before="19"/>
              <w:ind w:left="1095" w:right="858" w:hanging="233"/>
              <w:jc w:val="center"/>
              <w:rPr>
                <w:rFonts w:ascii="Times New Roman" w:hAnsi="Times New Roman"/>
                <w:spacing w:val="26"/>
                <w:lang w:val="hr-HR"/>
              </w:rPr>
            </w:pPr>
            <w:r w:rsidRPr="00D6167B">
              <w:rPr>
                <w:rFonts w:ascii="Times New Roman" w:hAnsi="Times New Roman"/>
                <w:lang w:val="hr-HR"/>
              </w:rPr>
              <w:t>Bevacizumab + C/G</w:t>
            </w:r>
          </w:p>
          <w:p w14:paraId="16D568AA" w14:textId="77777777" w:rsidR="002E30F6" w:rsidRPr="00D6167B" w:rsidRDefault="002E30F6" w:rsidP="00D37692">
            <w:pPr>
              <w:pStyle w:val="TableParagraph"/>
              <w:widowControl/>
              <w:spacing w:before="19"/>
              <w:ind w:left="1095" w:right="858" w:hanging="233"/>
              <w:jc w:val="center"/>
              <w:rPr>
                <w:rFonts w:ascii="Times New Roman" w:eastAsia="Times New Roman" w:hAnsi="Times New Roman"/>
                <w:lang w:val="hr-HR"/>
              </w:rPr>
            </w:pPr>
            <w:r w:rsidRPr="00D6167B">
              <w:rPr>
                <w:rFonts w:ascii="Times New Roman" w:hAnsi="Times New Roman"/>
                <w:lang w:val="hr-HR"/>
              </w:rPr>
              <w:t>(n=242)</w:t>
            </w:r>
          </w:p>
        </w:tc>
      </w:tr>
      <w:tr w:rsidR="002E30F6" w:rsidRPr="00D6167B" w14:paraId="11F39CB8"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369CA919" w14:textId="77777777" w:rsidR="002E30F6" w:rsidRPr="00D6167B" w:rsidRDefault="002E30F6" w:rsidP="00D37692">
            <w:pPr>
              <w:pStyle w:val="TableParagraph"/>
              <w:widowControl/>
              <w:spacing w:line="246" w:lineRule="exact"/>
              <w:ind w:left="102"/>
              <w:rPr>
                <w:rFonts w:ascii="Times New Roman" w:eastAsia="Times New Roman" w:hAnsi="Times New Roman"/>
                <w:lang w:val="hr-HR"/>
              </w:rPr>
            </w:pPr>
            <w:r w:rsidRPr="00D6167B">
              <w:rPr>
                <w:rFonts w:ascii="Times New Roman" w:hAnsi="Times New Roman"/>
                <w:lang w:val="hr-HR"/>
              </w:rPr>
              <w:t>Srednja vrijednost OS (mjeseci)</w:t>
            </w:r>
          </w:p>
        </w:tc>
        <w:tc>
          <w:tcPr>
            <w:tcW w:w="3616" w:type="dxa"/>
            <w:gridSpan w:val="3"/>
            <w:tcBorders>
              <w:top w:val="single" w:sz="5" w:space="0" w:color="000000"/>
              <w:left w:val="single" w:sz="5" w:space="0" w:color="000000"/>
              <w:bottom w:val="single" w:sz="5" w:space="0" w:color="000000"/>
              <w:right w:val="single" w:sz="5" w:space="0" w:color="000000"/>
            </w:tcBorders>
          </w:tcPr>
          <w:p w14:paraId="330FF8C1" w14:textId="77777777" w:rsidR="002E30F6" w:rsidRPr="00D6167B" w:rsidRDefault="002E30F6" w:rsidP="00D37692">
            <w:pPr>
              <w:pStyle w:val="TableParagraph"/>
              <w:widowControl/>
              <w:spacing w:line="246" w:lineRule="exact"/>
              <w:jc w:val="center"/>
              <w:rPr>
                <w:rFonts w:ascii="Times New Roman" w:eastAsia="Times New Roman" w:hAnsi="Times New Roman"/>
                <w:lang w:val="hr-HR"/>
              </w:rPr>
            </w:pPr>
            <w:r w:rsidRPr="00D6167B">
              <w:rPr>
                <w:rFonts w:ascii="Times New Roman" w:hAnsi="Times New Roman"/>
                <w:lang w:val="hr-HR"/>
              </w:rPr>
              <w:t>32,9</w:t>
            </w:r>
          </w:p>
        </w:tc>
        <w:tc>
          <w:tcPr>
            <w:tcW w:w="2932" w:type="dxa"/>
            <w:gridSpan w:val="3"/>
            <w:tcBorders>
              <w:top w:val="single" w:sz="5" w:space="0" w:color="000000"/>
              <w:left w:val="single" w:sz="5" w:space="0" w:color="000000"/>
              <w:bottom w:val="single" w:sz="5" w:space="0" w:color="000000"/>
              <w:right w:val="single" w:sz="5" w:space="0" w:color="000000"/>
            </w:tcBorders>
          </w:tcPr>
          <w:p w14:paraId="06C6C155" w14:textId="77777777" w:rsidR="002E30F6" w:rsidRPr="00D6167B" w:rsidRDefault="002E30F6" w:rsidP="00D37692">
            <w:pPr>
              <w:pStyle w:val="TableParagraph"/>
              <w:widowControl/>
              <w:spacing w:line="246" w:lineRule="exact"/>
              <w:ind w:left="2"/>
              <w:jc w:val="center"/>
              <w:rPr>
                <w:rFonts w:ascii="Times New Roman" w:eastAsia="Times New Roman" w:hAnsi="Times New Roman"/>
                <w:lang w:val="hr-HR"/>
              </w:rPr>
            </w:pPr>
            <w:r w:rsidRPr="00D6167B">
              <w:rPr>
                <w:rFonts w:ascii="Times New Roman" w:hAnsi="Times New Roman"/>
                <w:lang w:val="hr-HR"/>
              </w:rPr>
              <w:t>33,6</w:t>
            </w:r>
          </w:p>
        </w:tc>
      </w:tr>
      <w:tr w:rsidR="002E30F6" w:rsidRPr="00D6167B" w14:paraId="607B4FF1"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49CFF338" w14:textId="77777777" w:rsidR="002E30F6" w:rsidRPr="00D6167B" w:rsidRDefault="002E30F6" w:rsidP="00D37692">
            <w:pPr>
              <w:pStyle w:val="TableParagraph"/>
              <w:widowControl/>
              <w:spacing w:line="239" w:lineRule="auto"/>
              <w:ind w:left="157" w:right="1050" w:hanging="56"/>
              <w:rPr>
                <w:rFonts w:ascii="Times New Roman" w:eastAsia="Times New Roman" w:hAnsi="Times New Roman"/>
                <w:lang w:val="hr-HR"/>
              </w:rPr>
            </w:pPr>
            <w:r w:rsidRPr="00D6167B">
              <w:rPr>
                <w:rFonts w:ascii="Times New Roman" w:hAnsi="Times New Roman"/>
                <w:lang w:val="hr-HR"/>
              </w:rPr>
              <w:t>Odnos rizika (95% CI)</w:t>
            </w:r>
          </w:p>
        </w:tc>
        <w:tc>
          <w:tcPr>
            <w:tcW w:w="6548" w:type="dxa"/>
            <w:gridSpan w:val="6"/>
            <w:tcBorders>
              <w:top w:val="single" w:sz="5" w:space="0" w:color="000000"/>
              <w:left w:val="single" w:sz="5" w:space="0" w:color="000000"/>
              <w:bottom w:val="single" w:sz="5" w:space="0" w:color="000000"/>
              <w:right w:val="single" w:sz="5" w:space="0" w:color="000000"/>
            </w:tcBorders>
          </w:tcPr>
          <w:p w14:paraId="49B283E9" w14:textId="77777777" w:rsidR="002E30F6" w:rsidRPr="00D6167B" w:rsidRDefault="002E30F6" w:rsidP="00D37692">
            <w:pPr>
              <w:pStyle w:val="TableParagraph"/>
              <w:widowControl/>
              <w:spacing w:before="131"/>
              <w:ind w:left="49"/>
              <w:jc w:val="center"/>
              <w:rPr>
                <w:rFonts w:ascii="Times New Roman" w:eastAsia="Times New Roman" w:hAnsi="Times New Roman"/>
                <w:lang w:val="hr-HR"/>
              </w:rPr>
            </w:pPr>
            <w:r w:rsidRPr="00D6167B">
              <w:rPr>
                <w:rFonts w:ascii="Times New Roman" w:hAnsi="Times New Roman"/>
                <w:lang w:val="hr-HR"/>
              </w:rPr>
              <w:t>0,952 [0,771, 1,176]</w:t>
            </w:r>
          </w:p>
        </w:tc>
      </w:tr>
      <w:tr w:rsidR="002E30F6" w:rsidRPr="00D6167B" w14:paraId="535AA5DF" w14:textId="77777777" w:rsidTr="00D37692">
        <w:trPr>
          <w:cantSplit/>
        </w:trPr>
        <w:tc>
          <w:tcPr>
            <w:tcW w:w="2552" w:type="dxa"/>
            <w:tcBorders>
              <w:top w:val="single" w:sz="5" w:space="0" w:color="000000"/>
              <w:left w:val="single" w:sz="5" w:space="0" w:color="000000"/>
              <w:bottom w:val="single" w:sz="5" w:space="0" w:color="000000"/>
              <w:right w:val="single" w:sz="5" w:space="0" w:color="000000"/>
            </w:tcBorders>
          </w:tcPr>
          <w:p w14:paraId="75B6C9A2" w14:textId="77777777" w:rsidR="002E30F6" w:rsidRPr="00D6167B" w:rsidRDefault="002E30F6" w:rsidP="00D37692">
            <w:pPr>
              <w:pStyle w:val="TableParagraph"/>
              <w:widowControl/>
              <w:spacing w:line="248" w:lineRule="exact"/>
              <w:ind w:left="102"/>
              <w:rPr>
                <w:rFonts w:ascii="Times New Roman" w:eastAsia="Times New Roman" w:hAnsi="Times New Roman"/>
                <w:lang w:val="hr-HR"/>
              </w:rPr>
            </w:pPr>
            <w:r w:rsidRPr="00D6167B">
              <w:rPr>
                <w:rFonts w:ascii="Times New Roman" w:hAnsi="Times New Roman"/>
                <w:lang w:val="hr-HR"/>
              </w:rPr>
              <w:t>Vrijednost p</w:t>
            </w:r>
          </w:p>
        </w:tc>
        <w:tc>
          <w:tcPr>
            <w:tcW w:w="6548" w:type="dxa"/>
            <w:gridSpan w:val="6"/>
            <w:tcBorders>
              <w:top w:val="single" w:sz="5" w:space="0" w:color="000000"/>
              <w:left w:val="single" w:sz="5" w:space="0" w:color="000000"/>
              <w:bottom w:val="single" w:sz="5" w:space="0" w:color="000000"/>
              <w:right w:val="single" w:sz="5" w:space="0" w:color="000000"/>
            </w:tcBorders>
          </w:tcPr>
          <w:p w14:paraId="00623A13" w14:textId="77777777" w:rsidR="002E30F6" w:rsidRPr="00D6167B" w:rsidRDefault="002E30F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0,6479</w:t>
            </w:r>
          </w:p>
        </w:tc>
      </w:tr>
    </w:tbl>
    <w:p w14:paraId="579A33FA" w14:textId="77777777" w:rsidR="002E30F6" w:rsidRPr="00D6167B" w:rsidRDefault="002E30F6" w:rsidP="007608DF">
      <w:pPr>
        <w:pStyle w:val="BodyText"/>
        <w:widowControl/>
        <w:ind w:left="0"/>
        <w:jc w:val="both"/>
        <w:rPr>
          <w:spacing w:val="-1"/>
          <w:lang w:val="hr-HR"/>
        </w:rPr>
      </w:pPr>
    </w:p>
    <w:p w14:paraId="51C8EF7C" w14:textId="2685C135" w:rsidR="002E30F6" w:rsidRPr="00D6167B" w:rsidRDefault="002E30F6" w:rsidP="007608DF">
      <w:pPr>
        <w:pStyle w:val="BodyText"/>
        <w:widowControl/>
        <w:ind w:left="0"/>
        <w:jc w:val="both"/>
        <w:rPr>
          <w:lang w:val="hr-HR"/>
        </w:rPr>
      </w:pPr>
      <w:r w:rsidRPr="00D6167B">
        <w:rPr>
          <w:lang w:val="hr-HR"/>
        </w:rPr>
        <w:t xml:space="preserve">Analize preživljavanja bez progresije bolesti </w:t>
      </w:r>
      <w:r w:rsidR="00606B31">
        <w:rPr>
          <w:lang w:val="hr-HR"/>
        </w:rPr>
        <w:t xml:space="preserve">po podgrupama </w:t>
      </w:r>
      <w:r w:rsidRPr="00D6167B">
        <w:rPr>
          <w:lang w:val="hr-HR"/>
        </w:rPr>
        <w:t>prema pojavi recidiva od posljednje terapije platinom rezimirane su u tabeli 21.</w:t>
      </w:r>
    </w:p>
    <w:p w14:paraId="249856F1" w14:textId="77777777" w:rsidR="002E30F6" w:rsidRPr="00D6167B" w:rsidRDefault="002E30F6" w:rsidP="007608DF">
      <w:pPr>
        <w:widowControl/>
        <w:jc w:val="both"/>
        <w:rPr>
          <w:rFonts w:ascii="Times New Roman" w:eastAsia="Times New Roman" w:hAnsi="Times New Roman"/>
          <w:lang w:val="hr-HR"/>
        </w:rPr>
      </w:pPr>
    </w:p>
    <w:p w14:paraId="034C2ECD" w14:textId="77777777" w:rsidR="002E30F6" w:rsidRPr="00D6167B" w:rsidRDefault="002E30F6" w:rsidP="007608DF">
      <w:pPr>
        <w:pStyle w:val="Heading1"/>
        <w:keepNext/>
        <w:widowControl/>
        <w:tabs>
          <w:tab w:val="left" w:pos="1353"/>
        </w:tabs>
        <w:ind w:left="0"/>
        <w:jc w:val="both"/>
        <w:rPr>
          <w:b w:val="0"/>
          <w:bCs w:val="0"/>
          <w:lang w:val="hr-HR"/>
        </w:rPr>
      </w:pPr>
      <w:r w:rsidRPr="00D6167B">
        <w:rPr>
          <w:lang w:val="hr-HR"/>
        </w:rPr>
        <w:t>Tabela 21</w:t>
      </w:r>
      <w:r w:rsidRPr="00D6167B">
        <w:rPr>
          <w:lang w:val="hr-HR"/>
        </w:rPr>
        <w:tab/>
        <w:t>Vrijeme preživljavanja bez progresije od posljednje terapije platinom do recidiva</w:t>
      </w:r>
    </w:p>
    <w:p w14:paraId="1CAC1A62" w14:textId="77777777" w:rsidR="002E30F6" w:rsidRPr="00D6167B" w:rsidRDefault="002E30F6" w:rsidP="007608DF">
      <w:pPr>
        <w:keepNext/>
        <w:widowControl/>
        <w:jc w:val="both"/>
        <w:rPr>
          <w:rFonts w:ascii="Times New Roman" w:eastAsia="Times New Roman" w:hAnsi="Times New Roman"/>
          <w:b/>
          <w:bCs/>
          <w:lang w:val="hr-HR"/>
        </w:rPr>
      </w:pPr>
    </w:p>
    <w:tbl>
      <w:tblPr>
        <w:tblW w:w="5000" w:type="pct"/>
        <w:tblInd w:w="6" w:type="dxa"/>
        <w:tblLayout w:type="fixed"/>
        <w:tblCellMar>
          <w:left w:w="115" w:type="dxa"/>
          <w:right w:w="115" w:type="dxa"/>
        </w:tblCellMar>
        <w:tblLook w:val="01E0" w:firstRow="1" w:lastRow="1" w:firstColumn="1" w:lastColumn="1" w:noHBand="0" w:noVBand="0"/>
      </w:tblPr>
      <w:tblGrid>
        <w:gridCol w:w="3088"/>
        <w:gridCol w:w="2994"/>
        <w:gridCol w:w="2994"/>
      </w:tblGrid>
      <w:tr w:rsidR="002E30F6" w:rsidRPr="00D6167B" w14:paraId="75AF9129"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117CE604" w14:textId="77777777" w:rsidR="002E30F6" w:rsidRPr="00D6167B" w:rsidRDefault="002E30F6" w:rsidP="007608DF">
            <w:pPr>
              <w:widowControl/>
              <w:jc w:val="both"/>
              <w:rPr>
                <w:rFonts w:ascii="Times New Roman" w:hAnsi="Times New Roman"/>
                <w:lang w:val="hr-HR"/>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F90EBB6" w14:textId="77777777" w:rsidR="002E30F6" w:rsidRPr="00D6167B" w:rsidRDefault="002E30F6" w:rsidP="007608DF">
            <w:pPr>
              <w:pStyle w:val="TableParagraph"/>
              <w:widowControl/>
              <w:spacing w:line="246" w:lineRule="exact"/>
              <w:ind w:left="2014"/>
              <w:jc w:val="both"/>
              <w:rPr>
                <w:rFonts w:ascii="Times New Roman" w:eastAsia="Times New Roman" w:hAnsi="Times New Roman"/>
                <w:lang w:val="hr-HR"/>
              </w:rPr>
            </w:pPr>
            <w:r w:rsidRPr="00D6167B">
              <w:rPr>
                <w:rFonts w:ascii="Times New Roman" w:hAnsi="Times New Roman"/>
                <w:lang w:val="hr-HR"/>
              </w:rPr>
              <w:t>Procjena istraživača</w:t>
            </w:r>
          </w:p>
        </w:tc>
      </w:tr>
      <w:tr w:rsidR="002E30F6" w:rsidRPr="00D6167B" w14:paraId="697F34C9"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6B60CF66" w14:textId="77777777" w:rsidR="002E30F6" w:rsidRPr="00D6167B" w:rsidRDefault="002E30F6" w:rsidP="007608DF">
            <w:pPr>
              <w:pStyle w:val="TableParagraph"/>
              <w:widowControl/>
              <w:spacing w:line="239" w:lineRule="auto"/>
              <w:ind w:left="102" w:right="117"/>
              <w:jc w:val="both"/>
              <w:rPr>
                <w:rFonts w:ascii="Times New Roman" w:eastAsia="Times New Roman" w:hAnsi="Times New Roman"/>
                <w:lang w:val="hr-HR"/>
              </w:rPr>
            </w:pPr>
            <w:r w:rsidRPr="00D6167B">
              <w:rPr>
                <w:rFonts w:ascii="Times New Roman" w:hAnsi="Times New Roman"/>
                <w:lang w:val="hr-HR"/>
              </w:rPr>
              <w:t>Vrijeme od posljednje terapije platinom do recidiva</w:t>
            </w:r>
          </w:p>
        </w:tc>
        <w:tc>
          <w:tcPr>
            <w:tcW w:w="3096" w:type="dxa"/>
            <w:tcBorders>
              <w:top w:val="single" w:sz="5" w:space="0" w:color="000000"/>
              <w:left w:val="single" w:sz="5" w:space="0" w:color="000000"/>
              <w:bottom w:val="single" w:sz="5" w:space="0" w:color="000000"/>
              <w:right w:val="single" w:sz="5" w:space="0" w:color="000000"/>
            </w:tcBorders>
          </w:tcPr>
          <w:p w14:paraId="7C015F7B" w14:textId="77777777" w:rsidR="002E30F6" w:rsidRPr="00D6167B" w:rsidRDefault="002E30F6" w:rsidP="00D37692">
            <w:pPr>
              <w:pStyle w:val="TableParagraph"/>
              <w:widowControl/>
              <w:spacing w:before="19"/>
              <w:ind w:left="1129" w:right="893" w:hanging="240"/>
              <w:jc w:val="center"/>
              <w:rPr>
                <w:rFonts w:ascii="Times New Roman" w:eastAsia="Times New Roman" w:hAnsi="Times New Roman"/>
                <w:lang w:val="hr-HR"/>
              </w:rPr>
            </w:pPr>
            <w:r w:rsidRPr="00D6167B">
              <w:rPr>
                <w:rFonts w:ascii="Times New Roman" w:hAnsi="Times New Roman"/>
                <w:lang w:val="hr-HR"/>
              </w:rPr>
              <w:t>Placebo + C/G (n=242)</w:t>
            </w:r>
          </w:p>
        </w:tc>
        <w:tc>
          <w:tcPr>
            <w:tcW w:w="3096" w:type="dxa"/>
            <w:tcBorders>
              <w:top w:val="single" w:sz="5" w:space="0" w:color="000000"/>
              <w:left w:val="single" w:sz="5" w:space="0" w:color="000000"/>
              <w:bottom w:val="single" w:sz="5" w:space="0" w:color="000000"/>
              <w:right w:val="single" w:sz="5" w:space="0" w:color="000000"/>
            </w:tcBorders>
          </w:tcPr>
          <w:p w14:paraId="5BB8F362" w14:textId="7451D163" w:rsidR="002E30F6" w:rsidRPr="00D6167B" w:rsidRDefault="002E30F6" w:rsidP="00D37692">
            <w:pPr>
              <w:pStyle w:val="TableParagraph"/>
              <w:widowControl/>
              <w:spacing w:before="17" w:line="243" w:lineRule="auto"/>
              <w:ind w:left="1129" w:right="897" w:hanging="233"/>
              <w:jc w:val="center"/>
              <w:rPr>
                <w:rFonts w:ascii="Times New Roman" w:hAnsi="Times New Roman"/>
                <w:spacing w:val="26"/>
                <w:lang w:val="hr-HR"/>
              </w:rPr>
            </w:pPr>
            <w:r w:rsidRPr="00D6167B">
              <w:rPr>
                <w:rFonts w:ascii="Times New Roman" w:hAnsi="Times New Roman"/>
                <w:lang w:val="hr-HR"/>
              </w:rPr>
              <w:t>Bevacizumab + C/G</w:t>
            </w:r>
          </w:p>
          <w:p w14:paraId="615DE0A0" w14:textId="77777777" w:rsidR="002E30F6" w:rsidRPr="00D6167B" w:rsidRDefault="002E30F6" w:rsidP="00D37692">
            <w:pPr>
              <w:pStyle w:val="TableParagraph"/>
              <w:widowControl/>
              <w:spacing w:before="17" w:line="243" w:lineRule="auto"/>
              <w:ind w:left="1129" w:right="897" w:hanging="233"/>
              <w:jc w:val="center"/>
              <w:rPr>
                <w:rFonts w:ascii="Times New Roman" w:eastAsia="Times New Roman" w:hAnsi="Times New Roman"/>
                <w:lang w:val="hr-HR"/>
              </w:rPr>
            </w:pPr>
            <w:r w:rsidRPr="00D6167B">
              <w:rPr>
                <w:rFonts w:ascii="Times New Roman" w:hAnsi="Times New Roman"/>
                <w:lang w:val="hr-HR"/>
              </w:rPr>
              <w:t>(n=242)</w:t>
            </w:r>
          </w:p>
        </w:tc>
      </w:tr>
      <w:tr w:rsidR="002E30F6" w:rsidRPr="00D6167B" w14:paraId="5A5F5D68"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5018FAFB" w14:textId="77777777" w:rsidR="002E30F6" w:rsidRPr="00D6167B" w:rsidRDefault="002E30F6" w:rsidP="007608DF">
            <w:pPr>
              <w:pStyle w:val="TableParagraph"/>
              <w:widowControl/>
              <w:spacing w:line="251" w:lineRule="exact"/>
              <w:ind w:left="102"/>
              <w:jc w:val="both"/>
              <w:rPr>
                <w:rFonts w:ascii="Times New Roman" w:eastAsia="Times New Roman" w:hAnsi="Times New Roman"/>
                <w:lang w:val="hr-HR"/>
              </w:rPr>
            </w:pPr>
            <w:r w:rsidRPr="00D6167B">
              <w:rPr>
                <w:rFonts w:ascii="Times New Roman" w:hAnsi="Times New Roman"/>
                <w:b/>
                <w:lang w:val="hr-HR"/>
              </w:rPr>
              <w:t>6–12 mjeseci (n=202)</w:t>
            </w:r>
          </w:p>
        </w:tc>
        <w:tc>
          <w:tcPr>
            <w:tcW w:w="3096" w:type="dxa"/>
            <w:tcBorders>
              <w:top w:val="single" w:sz="5" w:space="0" w:color="000000"/>
              <w:left w:val="single" w:sz="5" w:space="0" w:color="000000"/>
              <w:bottom w:val="single" w:sz="5" w:space="0" w:color="000000"/>
              <w:right w:val="single" w:sz="5" w:space="0" w:color="000000"/>
            </w:tcBorders>
          </w:tcPr>
          <w:p w14:paraId="6961419A" w14:textId="77777777" w:rsidR="002E30F6" w:rsidRPr="00D6167B" w:rsidRDefault="002E30F6" w:rsidP="007608DF">
            <w:pPr>
              <w:widowControl/>
              <w:jc w:val="both"/>
              <w:rPr>
                <w:rFonts w:ascii="Times New Roman" w:hAnsi="Times New Roman"/>
                <w:lang w:val="hr-HR"/>
              </w:rPr>
            </w:pPr>
          </w:p>
        </w:tc>
        <w:tc>
          <w:tcPr>
            <w:tcW w:w="3096" w:type="dxa"/>
            <w:tcBorders>
              <w:top w:val="single" w:sz="5" w:space="0" w:color="000000"/>
              <w:left w:val="single" w:sz="5" w:space="0" w:color="000000"/>
              <w:bottom w:val="single" w:sz="5" w:space="0" w:color="000000"/>
              <w:right w:val="single" w:sz="5" w:space="0" w:color="000000"/>
            </w:tcBorders>
          </w:tcPr>
          <w:p w14:paraId="531EA9A7" w14:textId="77777777" w:rsidR="002E30F6" w:rsidRPr="00D6167B" w:rsidRDefault="002E30F6" w:rsidP="007608DF">
            <w:pPr>
              <w:widowControl/>
              <w:jc w:val="both"/>
              <w:rPr>
                <w:rFonts w:ascii="Times New Roman" w:hAnsi="Times New Roman"/>
                <w:lang w:val="hr-HR"/>
              </w:rPr>
            </w:pPr>
          </w:p>
        </w:tc>
      </w:tr>
      <w:tr w:rsidR="002E30F6" w:rsidRPr="00D6167B" w14:paraId="20BFBA9E"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178F54A5" w14:textId="77777777" w:rsidR="002E30F6" w:rsidRPr="00D6167B" w:rsidRDefault="002E30F6" w:rsidP="007608DF">
            <w:pPr>
              <w:pStyle w:val="TableParagraph"/>
              <w:widowControl/>
              <w:spacing w:line="250" w:lineRule="exact"/>
              <w:ind w:left="373"/>
              <w:jc w:val="both"/>
              <w:rPr>
                <w:rFonts w:ascii="Times New Roman" w:eastAsia="Times New Roman" w:hAnsi="Times New Roman"/>
                <w:lang w:val="hr-HR"/>
              </w:rPr>
            </w:pPr>
            <w:r w:rsidRPr="00D6167B">
              <w:rPr>
                <w:rFonts w:ascii="Times New Roman" w:hAnsi="Times New Roman"/>
                <w:b/>
                <w:lang w:val="hr-HR"/>
              </w:rPr>
              <w:t>Srednja vrijednost</w:t>
            </w:r>
          </w:p>
        </w:tc>
        <w:tc>
          <w:tcPr>
            <w:tcW w:w="3096" w:type="dxa"/>
            <w:tcBorders>
              <w:top w:val="single" w:sz="5" w:space="0" w:color="000000"/>
              <w:left w:val="single" w:sz="5" w:space="0" w:color="000000"/>
              <w:bottom w:val="single" w:sz="5" w:space="0" w:color="000000"/>
              <w:right w:val="single" w:sz="5" w:space="0" w:color="000000"/>
            </w:tcBorders>
          </w:tcPr>
          <w:p w14:paraId="70AF0D10" w14:textId="77777777" w:rsidR="002E30F6" w:rsidRPr="00D6167B" w:rsidRDefault="002E30F6" w:rsidP="00D37692">
            <w:pPr>
              <w:pStyle w:val="TableParagraph"/>
              <w:widowControl/>
              <w:spacing w:line="246" w:lineRule="exact"/>
              <w:ind w:right="5"/>
              <w:jc w:val="center"/>
              <w:rPr>
                <w:rFonts w:ascii="Times New Roman" w:eastAsia="Times New Roman" w:hAnsi="Times New Roman"/>
                <w:lang w:val="hr-HR"/>
              </w:rPr>
            </w:pPr>
            <w:r w:rsidRPr="00D6167B">
              <w:rPr>
                <w:rFonts w:ascii="Times New Roman" w:hAnsi="Times New Roman"/>
                <w:lang w:val="hr-HR"/>
              </w:rPr>
              <w:t>8,0</w:t>
            </w:r>
          </w:p>
        </w:tc>
        <w:tc>
          <w:tcPr>
            <w:tcW w:w="3096" w:type="dxa"/>
            <w:tcBorders>
              <w:top w:val="single" w:sz="5" w:space="0" w:color="000000"/>
              <w:left w:val="single" w:sz="5" w:space="0" w:color="000000"/>
              <w:bottom w:val="single" w:sz="5" w:space="0" w:color="000000"/>
              <w:right w:val="single" w:sz="5" w:space="0" w:color="000000"/>
            </w:tcBorders>
          </w:tcPr>
          <w:p w14:paraId="069517D3" w14:textId="77777777" w:rsidR="002E30F6" w:rsidRPr="00D6167B" w:rsidRDefault="002E30F6" w:rsidP="007608DF">
            <w:pPr>
              <w:pStyle w:val="TableParagraph"/>
              <w:widowControl/>
              <w:spacing w:line="246" w:lineRule="exact"/>
              <w:jc w:val="both"/>
              <w:rPr>
                <w:rFonts w:ascii="Times New Roman" w:eastAsia="Times New Roman" w:hAnsi="Times New Roman"/>
                <w:lang w:val="hr-HR"/>
              </w:rPr>
            </w:pPr>
            <w:r w:rsidRPr="00D6167B">
              <w:rPr>
                <w:rFonts w:ascii="Times New Roman" w:hAnsi="Times New Roman"/>
                <w:lang w:val="hr-HR"/>
              </w:rPr>
              <w:t>11,9</w:t>
            </w:r>
          </w:p>
        </w:tc>
      </w:tr>
      <w:tr w:rsidR="002E30F6" w:rsidRPr="00D6167B" w14:paraId="4908C9D1"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76670561" w14:textId="77777777" w:rsidR="002E30F6" w:rsidRPr="00D6167B" w:rsidRDefault="002E30F6" w:rsidP="007608DF">
            <w:pPr>
              <w:pStyle w:val="TableParagraph"/>
              <w:widowControl/>
              <w:spacing w:line="246" w:lineRule="exact"/>
              <w:ind w:left="373"/>
              <w:jc w:val="both"/>
              <w:rPr>
                <w:rFonts w:ascii="Times New Roman" w:eastAsia="Times New Roman" w:hAnsi="Times New Roman"/>
                <w:lang w:val="hr-HR"/>
              </w:rPr>
            </w:pPr>
            <w:r w:rsidRPr="00D6167B">
              <w:rPr>
                <w:rFonts w:ascii="Times New Roman" w:hAnsi="Times New Roman"/>
                <w:lang w:val="hr-HR"/>
              </w:rPr>
              <w:t>Odnos rizika (95% CI)</w:t>
            </w:r>
          </w:p>
        </w:tc>
        <w:tc>
          <w:tcPr>
            <w:tcW w:w="6192" w:type="dxa"/>
            <w:gridSpan w:val="2"/>
            <w:tcBorders>
              <w:top w:val="single" w:sz="5" w:space="0" w:color="000000"/>
              <w:left w:val="single" w:sz="5" w:space="0" w:color="000000"/>
              <w:bottom w:val="single" w:sz="5" w:space="0" w:color="000000"/>
              <w:right w:val="single" w:sz="5" w:space="0" w:color="000000"/>
            </w:tcBorders>
          </w:tcPr>
          <w:p w14:paraId="69464D1A" w14:textId="77777777" w:rsidR="002E30F6" w:rsidRPr="00D6167B" w:rsidRDefault="002E30F6" w:rsidP="00D37692">
            <w:pPr>
              <w:pStyle w:val="TableParagraph"/>
              <w:widowControl/>
              <w:spacing w:line="246" w:lineRule="exact"/>
              <w:ind w:right="3"/>
              <w:jc w:val="center"/>
              <w:rPr>
                <w:rFonts w:ascii="Times New Roman" w:eastAsia="Times New Roman" w:hAnsi="Times New Roman"/>
                <w:lang w:val="hr-HR"/>
              </w:rPr>
            </w:pPr>
            <w:r w:rsidRPr="00D6167B">
              <w:rPr>
                <w:rFonts w:ascii="Times New Roman" w:hAnsi="Times New Roman"/>
                <w:lang w:val="hr-HR"/>
              </w:rPr>
              <w:t>0,41 (0,29–0,58)</w:t>
            </w:r>
          </w:p>
        </w:tc>
      </w:tr>
      <w:tr w:rsidR="002E30F6" w:rsidRPr="00D6167B" w14:paraId="573FDD83"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71333BED" w14:textId="77777777" w:rsidR="002E30F6" w:rsidRPr="00D6167B" w:rsidRDefault="002E30F6" w:rsidP="007608DF">
            <w:pPr>
              <w:pStyle w:val="TableParagraph"/>
              <w:widowControl/>
              <w:spacing w:line="250" w:lineRule="exact"/>
              <w:ind w:left="102"/>
              <w:jc w:val="both"/>
              <w:rPr>
                <w:rFonts w:ascii="Times New Roman" w:eastAsia="Times New Roman" w:hAnsi="Times New Roman"/>
                <w:lang w:val="hr-HR"/>
              </w:rPr>
            </w:pPr>
            <w:r w:rsidRPr="00D6167B">
              <w:rPr>
                <w:rFonts w:ascii="Times New Roman" w:hAnsi="Times New Roman"/>
                <w:b/>
                <w:lang w:val="hr-HR"/>
              </w:rPr>
              <w:t>&gt; 12 mjeseci (n=282)</w:t>
            </w:r>
          </w:p>
        </w:tc>
        <w:tc>
          <w:tcPr>
            <w:tcW w:w="3096" w:type="dxa"/>
            <w:tcBorders>
              <w:top w:val="single" w:sz="5" w:space="0" w:color="000000"/>
              <w:left w:val="single" w:sz="5" w:space="0" w:color="000000"/>
              <w:bottom w:val="single" w:sz="5" w:space="0" w:color="000000"/>
              <w:right w:val="single" w:sz="5" w:space="0" w:color="000000"/>
            </w:tcBorders>
          </w:tcPr>
          <w:p w14:paraId="558EED9B" w14:textId="77777777" w:rsidR="002E30F6" w:rsidRPr="00D6167B" w:rsidRDefault="002E30F6" w:rsidP="00D37692">
            <w:pPr>
              <w:widowControl/>
              <w:jc w:val="center"/>
              <w:rPr>
                <w:rFonts w:ascii="Times New Roman" w:hAnsi="Times New Roman"/>
                <w:lang w:val="hr-HR"/>
              </w:rPr>
            </w:pPr>
          </w:p>
        </w:tc>
        <w:tc>
          <w:tcPr>
            <w:tcW w:w="3096" w:type="dxa"/>
            <w:tcBorders>
              <w:top w:val="single" w:sz="5" w:space="0" w:color="000000"/>
              <w:left w:val="single" w:sz="5" w:space="0" w:color="000000"/>
              <w:bottom w:val="single" w:sz="5" w:space="0" w:color="000000"/>
              <w:right w:val="single" w:sz="5" w:space="0" w:color="000000"/>
            </w:tcBorders>
          </w:tcPr>
          <w:p w14:paraId="673E2C8C" w14:textId="77777777" w:rsidR="002E30F6" w:rsidRPr="00D6167B" w:rsidRDefault="002E30F6" w:rsidP="007608DF">
            <w:pPr>
              <w:widowControl/>
              <w:jc w:val="both"/>
              <w:rPr>
                <w:rFonts w:ascii="Times New Roman" w:hAnsi="Times New Roman"/>
                <w:lang w:val="hr-HR"/>
              </w:rPr>
            </w:pPr>
          </w:p>
        </w:tc>
      </w:tr>
      <w:tr w:rsidR="002E30F6" w:rsidRPr="00D6167B" w14:paraId="2DB591EF"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4821BE96" w14:textId="77777777" w:rsidR="002E30F6" w:rsidRPr="00D6167B" w:rsidRDefault="002E30F6" w:rsidP="007608DF">
            <w:pPr>
              <w:pStyle w:val="TableParagraph"/>
              <w:widowControl/>
              <w:spacing w:line="252" w:lineRule="exact"/>
              <w:ind w:left="373"/>
              <w:jc w:val="both"/>
              <w:rPr>
                <w:rFonts w:ascii="Times New Roman" w:eastAsia="Times New Roman" w:hAnsi="Times New Roman"/>
                <w:lang w:val="hr-HR"/>
              </w:rPr>
            </w:pPr>
            <w:r w:rsidRPr="00D6167B">
              <w:rPr>
                <w:rFonts w:ascii="Times New Roman" w:hAnsi="Times New Roman"/>
                <w:b/>
                <w:lang w:val="hr-HR"/>
              </w:rPr>
              <w:t>Srednja vrijednost</w:t>
            </w:r>
          </w:p>
        </w:tc>
        <w:tc>
          <w:tcPr>
            <w:tcW w:w="3096" w:type="dxa"/>
            <w:tcBorders>
              <w:top w:val="single" w:sz="5" w:space="0" w:color="000000"/>
              <w:left w:val="single" w:sz="5" w:space="0" w:color="000000"/>
              <w:bottom w:val="single" w:sz="5" w:space="0" w:color="000000"/>
              <w:right w:val="single" w:sz="5" w:space="0" w:color="000000"/>
            </w:tcBorders>
          </w:tcPr>
          <w:p w14:paraId="51994BB8" w14:textId="77777777" w:rsidR="002E30F6" w:rsidRPr="00D6167B" w:rsidRDefault="002E30F6" w:rsidP="00D37692">
            <w:pPr>
              <w:pStyle w:val="TableParagraph"/>
              <w:widowControl/>
              <w:spacing w:line="248" w:lineRule="exact"/>
              <w:ind w:right="5"/>
              <w:jc w:val="center"/>
              <w:rPr>
                <w:rFonts w:ascii="Times New Roman" w:eastAsia="Times New Roman" w:hAnsi="Times New Roman"/>
                <w:lang w:val="hr-HR"/>
              </w:rPr>
            </w:pPr>
            <w:r w:rsidRPr="00D6167B">
              <w:rPr>
                <w:rFonts w:ascii="Times New Roman" w:hAnsi="Times New Roman"/>
                <w:lang w:val="hr-HR"/>
              </w:rPr>
              <w:t>9,7</w:t>
            </w:r>
          </w:p>
        </w:tc>
        <w:tc>
          <w:tcPr>
            <w:tcW w:w="3096" w:type="dxa"/>
            <w:tcBorders>
              <w:top w:val="single" w:sz="5" w:space="0" w:color="000000"/>
              <w:left w:val="single" w:sz="5" w:space="0" w:color="000000"/>
              <w:bottom w:val="single" w:sz="5" w:space="0" w:color="000000"/>
              <w:right w:val="single" w:sz="5" w:space="0" w:color="000000"/>
            </w:tcBorders>
          </w:tcPr>
          <w:p w14:paraId="00FAB9C6" w14:textId="77777777" w:rsidR="002E30F6" w:rsidRPr="00D6167B" w:rsidRDefault="002E30F6" w:rsidP="00D37692">
            <w:pPr>
              <w:pStyle w:val="TableParagraph"/>
              <w:widowControl/>
              <w:spacing w:line="248" w:lineRule="exact"/>
              <w:jc w:val="center"/>
              <w:rPr>
                <w:rFonts w:ascii="Times New Roman" w:eastAsia="Times New Roman" w:hAnsi="Times New Roman"/>
                <w:lang w:val="hr-HR"/>
              </w:rPr>
            </w:pPr>
            <w:r w:rsidRPr="00D6167B">
              <w:rPr>
                <w:rFonts w:ascii="Times New Roman" w:hAnsi="Times New Roman"/>
                <w:lang w:val="hr-HR"/>
              </w:rPr>
              <w:t>12,4</w:t>
            </w:r>
          </w:p>
        </w:tc>
      </w:tr>
      <w:tr w:rsidR="002E30F6" w:rsidRPr="00D6167B" w14:paraId="5D454716"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29AC4FB9" w14:textId="77777777" w:rsidR="002E30F6" w:rsidRPr="00D6167B" w:rsidRDefault="002E30F6" w:rsidP="007608DF">
            <w:pPr>
              <w:pStyle w:val="TableParagraph"/>
              <w:widowControl/>
              <w:spacing w:line="246" w:lineRule="exact"/>
              <w:ind w:left="373"/>
              <w:jc w:val="both"/>
              <w:rPr>
                <w:rFonts w:ascii="Times New Roman" w:eastAsia="Times New Roman" w:hAnsi="Times New Roman"/>
                <w:lang w:val="hr-HR"/>
              </w:rPr>
            </w:pPr>
            <w:r w:rsidRPr="00D6167B">
              <w:rPr>
                <w:rFonts w:ascii="Times New Roman" w:hAnsi="Times New Roman"/>
                <w:lang w:val="hr-HR"/>
              </w:rPr>
              <w:t>Odnos rizika (95% CI)</w:t>
            </w:r>
          </w:p>
        </w:tc>
        <w:tc>
          <w:tcPr>
            <w:tcW w:w="6192" w:type="dxa"/>
            <w:gridSpan w:val="2"/>
            <w:tcBorders>
              <w:top w:val="single" w:sz="5" w:space="0" w:color="000000"/>
              <w:left w:val="single" w:sz="5" w:space="0" w:color="000000"/>
              <w:bottom w:val="single" w:sz="5" w:space="0" w:color="000000"/>
              <w:right w:val="single" w:sz="5" w:space="0" w:color="000000"/>
            </w:tcBorders>
          </w:tcPr>
          <w:p w14:paraId="527B3FA4" w14:textId="77777777" w:rsidR="002E30F6" w:rsidRPr="00D6167B" w:rsidRDefault="002E30F6" w:rsidP="00D37692">
            <w:pPr>
              <w:pStyle w:val="TableParagraph"/>
              <w:widowControl/>
              <w:spacing w:line="246" w:lineRule="exact"/>
              <w:ind w:right="3"/>
              <w:jc w:val="center"/>
              <w:rPr>
                <w:rFonts w:ascii="Times New Roman" w:eastAsia="Times New Roman" w:hAnsi="Times New Roman"/>
                <w:lang w:val="hr-HR"/>
              </w:rPr>
            </w:pPr>
            <w:r w:rsidRPr="00D6167B">
              <w:rPr>
                <w:rFonts w:ascii="Times New Roman" w:hAnsi="Times New Roman"/>
                <w:lang w:val="hr-HR"/>
              </w:rPr>
              <w:t>0,55 (0,41–0,73)</w:t>
            </w:r>
          </w:p>
        </w:tc>
      </w:tr>
    </w:tbl>
    <w:p w14:paraId="45C50AAE" w14:textId="77777777" w:rsidR="002E30F6" w:rsidRPr="00D6167B" w:rsidRDefault="002E30F6" w:rsidP="007608DF">
      <w:pPr>
        <w:widowControl/>
        <w:spacing w:before="11"/>
        <w:jc w:val="both"/>
        <w:rPr>
          <w:rFonts w:ascii="Times New Roman" w:eastAsia="Times New Roman" w:hAnsi="Times New Roman"/>
          <w:b/>
          <w:bCs/>
          <w:sz w:val="14"/>
          <w:szCs w:val="14"/>
          <w:lang w:val="hr-HR"/>
        </w:rPr>
      </w:pPr>
    </w:p>
    <w:p w14:paraId="3337A06F"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GOG-0213</w:t>
      </w:r>
    </w:p>
    <w:p w14:paraId="78129963"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GOG-0213, randomizovano kontrolisano otvoreno ispitivanje faze II, ispitivalo je bezbjednost i efikasnost bevacizumaba u liječenju pacijenata sa rekurentnim epitelnim karcinomom jajnika, jajovoda ili primarnim peritonealnim karcinomom koji je osjetljiv na platinu, koji nijesu ranije primali hemoterapiju za rekurentnu bolest. Nije postojao kriterijum za isključivanje vezan za prethodnu terapiju inhibitorima angiogeneze. Ova studija je procijenila dejstvo dodavanja bevacizumaba terapiji karboplatin + paklitaksel i nastavak monoterapije bevacizumabom do progresije bolesti ili neprihvatljive toksičnosti u poređenju sa terapijom samo karboplatin + paklitaksel.</w:t>
      </w:r>
    </w:p>
    <w:p w14:paraId="7C936DB6" w14:textId="77777777" w:rsidR="002E30F6" w:rsidRPr="00D37692" w:rsidRDefault="002E30F6" w:rsidP="007608DF">
      <w:pPr>
        <w:widowControl/>
        <w:autoSpaceDE w:val="0"/>
        <w:autoSpaceDN w:val="0"/>
        <w:adjustRightInd w:val="0"/>
        <w:jc w:val="both"/>
        <w:rPr>
          <w:rFonts w:ascii="Times New Roman" w:hAnsi="Times New Roman"/>
          <w:lang w:val="hr-HR"/>
        </w:rPr>
      </w:pPr>
    </w:p>
    <w:p w14:paraId="3EE4DDF9" w14:textId="01DAB995"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 xml:space="preserve">Randomizovana su ukupno 673 </w:t>
      </w:r>
      <w:r w:rsidRPr="00D6167B">
        <w:rPr>
          <w:rFonts w:ascii="Times New Roman" w:hAnsi="Times New Roman"/>
          <w:lang w:val="hr-HR"/>
        </w:rPr>
        <w:t>pacijent</w:t>
      </w:r>
      <w:r w:rsidR="00C95F23">
        <w:rPr>
          <w:rFonts w:ascii="Times New Roman" w:hAnsi="Times New Roman"/>
          <w:lang w:val="hr-HR"/>
        </w:rPr>
        <w:t>kinja</w:t>
      </w:r>
      <w:r w:rsidRPr="00D37692">
        <w:rPr>
          <w:rFonts w:ascii="Times New Roman" w:hAnsi="Times New Roman"/>
          <w:lang w:val="hr-HR"/>
        </w:rPr>
        <w:t>, u jednakim razmerama, u sljedeć</w:t>
      </w:r>
      <w:r w:rsidR="00EA1022" w:rsidRPr="00D37692">
        <w:rPr>
          <w:rFonts w:ascii="Times New Roman" w:hAnsi="Times New Roman"/>
          <w:lang w:val="hr-HR"/>
        </w:rPr>
        <w:t>e</w:t>
      </w:r>
      <w:r w:rsidRPr="00D37692">
        <w:rPr>
          <w:rFonts w:ascii="Times New Roman" w:hAnsi="Times New Roman"/>
          <w:lang w:val="hr-HR"/>
        </w:rPr>
        <w:t xml:space="preserve"> d</w:t>
      </w:r>
      <w:r w:rsidR="00EA1022" w:rsidRPr="00D37692">
        <w:rPr>
          <w:rFonts w:ascii="Times New Roman" w:hAnsi="Times New Roman"/>
          <w:lang w:val="hr-HR"/>
        </w:rPr>
        <w:t xml:space="preserve">vije grupe </w:t>
      </w:r>
      <w:r w:rsidRPr="00D37692">
        <w:rPr>
          <w:rFonts w:ascii="Times New Roman" w:hAnsi="Times New Roman"/>
          <w:lang w:val="hr-HR"/>
        </w:rPr>
        <w:t>liječenja:</w:t>
      </w:r>
    </w:p>
    <w:p w14:paraId="6D2460DC" w14:textId="77777777" w:rsidR="002E30F6" w:rsidRPr="00D37692" w:rsidRDefault="002E30F6" w:rsidP="007608DF">
      <w:pPr>
        <w:widowControl/>
        <w:numPr>
          <w:ilvl w:val="0"/>
          <w:numId w:val="38"/>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 xml:space="preserve">CP </w:t>
      </w:r>
      <w:r w:rsidR="00EA1022" w:rsidRPr="00D37692">
        <w:rPr>
          <w:rFonts w:ascii="Times New Roman" w:hAnsi="Times New Roman"/>
          <w:lang w:val="hr-HR"/>
        </w:rPr>
        <w:t>grupa</w:t>
      </w:r>
      <w:r w:rsidRPr="00D37692">
        <w:rPr>
          <w:rFonts w:ascii="Times New Roman" w:hAnsi="Times New Roman"/>
          <w:lang w:val="hr-HR"/>
        </w:rPr>
        <w:t>: Karboplatin (AUC5) i paklitaksel (175 mg/m</w:t>
      </w:r>
      <w:r w:rsidRPr="00D37692">
        <w:rPr>
          <w:rFonts w:ascii="Times New Roman" w:hAnsi="Times New Roman"/>
          <w:vertAlign w:val="superscript"/>
          <w:lang w:val="hr-HR"/>
        </w:rPr>
        <w:t>2</w:t>
      </w:r>
      <w:r w:rsidRPr="00D37692">
        <w:rPr>
          <w:rFonts w:ascii="Times New Roman" w:hAnsi="Times New Roman"/>
          <w:lang w:val="hr-HR"/>
        </w:rPr>
        <w:t xml:space="preserve"> intravenski) na svake 3 nedjelje tokom 6, a najviše do 8 ciklusa.</w:t>
      </w:r>
    </w:p>
    <w:p w14:paraId="27A4DC19" w14:textId="77777777" w:rsidR="002E30F6" w:rsidRPr="00D37692" w:rsidRDefault="002E30F6" w:rsidP="007608DF">
      <w:pPr>
        <w:widowControl/>
        <w:numPr>
          <w:ilvl w:val="0"/>
          <w:numId w:val="38"/>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 xml:space="preserve">CPB </w:t>
      </w:r>
      <w:r w:rsidR="00EA1022" w:rsidRPr="00D37692">
        <w:rPr>
          <w:rFonts w:ascii="Times New Roman" w:hAnsi="Times New Roman"/>
          <w:lang w:val="hr-HR"/>
        </w:rPr>
        <w:t>grupa</w:t>
      </w:r>
      <w:r w:rsidRPr="00D37692">
        <w:rPr>
          <w:rFonts w:ascii="Times New Roman" w:hAnsi="Times New Roman"/>
          <w:lang w:val="hr-HR"/>
        </w:rPr>
        <w:t>: Karboplatin (AUC5) i paklitaksel (175 mg/m</w:t>
      </w:r>
      <w:r w:rsidRPr="00D37692">
        <w:rPr>
          <w:rFonts w:ascii="Times New Roman" w:hAnsi="Times New Roman"/>
          <w:vertAlign w:val="superscript"/>
          <w:lang w:val="hr-HR"/>
        </w:rPr>
        <w:t>2</w:t>
      </w:r>
      <w:r w:rsidRPr="00D37692">
        <w:rPr>
          <w:rFonts w:ascii="Times New Roman" w:hAnsi="Times New Roman"/>
          <w:lang w:val="hr-HR"/>
        </w:rPr>
        <w:t xml:space="preserve"> intravenski) sa istovremenom primjenom bevacizumaba (15 mg/kg) na svake 3 nedjelje tokom 6, a najviše do 8 ciklusa, nakon čega se primjenjuje samo bevacizumab (15 mg/kg na svake 3 nedjelje) do progresije bolesti ili neprihvatljive toksičnosti.</w:t>
      </w:r>
    </w:p>
    <w:p w14:paraId="7A9C6E70" w14:textId="77777777" w:rsidR="00857EE6" w:rsidRPr="00D37692" w:rsidRDefault="00857EE6" w:rsidP="007608DF">
      <w:pPr>
        <w:widowControl/>
        <w:autoSpaceDE w:val="0"/>
        <w:autoSpaceDN w:val="0"/>
        <w:adjustRightInd w:val="0"/>
        <w:ind w:left="720"/>
        <w:jc w:val="both"/>
        <w:rPr>
          <w:rFonts w:ascii="Times New Roman" w:hAnsi="Times New Roman"/>
          <w:lang w:val="hr-HR"/>
        </w:rPr>
      </w:pPr>
    </w:p>
    <w:p w14:paraId="5E45CA34" w14:textId="3F0E2AEC"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lastRenderedPageBreak/>
        <w:t xml:space="preserve">Većina </w:t>
      </w:r>
      <w:r w:rsidRPr="00D6167B">
        <w:rPr>
          <w:rFonts w:ascii="Times New Roman" w:hAnsi="Times New Roman"/>
          <w:lang w:val="hr-HR"/>
        </w:rPr>
        <w:t>pacijen</w:t>
      </w:r>
      <w:r w:rsidR="00C95F23">
        <w:rPr>
          <w:rFonts w:ascii="Times New Roman" w:hAnsi="Times New Roman"/>
          <w:lang w:val="hr-HR"/>
        </w:rPr>
        <w:t>tkinja</w:t>
      </w:r>
      <w:r w:rsidRPr="00D37692">
        <w:rPr>
          <w:rFonts w:ascii="Times New Roman" w:hAnsi="Times New Roman"/>
          <w:lang w:val="hr-HR"/>
        </w:rPr>
        <w:t xml:space="preserve"> u ob</w:t>
      </w:r>
      <w:r w:rsidR="00EA1022" w:rsidRPr="00D37692">
        <w:rPr>
          <w:rFonts w:ascii="Times New Roman" w:hAnsi="Times New Roman"/>
          <w:lang w:val="hr-HR"/>
        </w:rPr>
        <w:t>je grupe</w:t>
      </w:r>
      <w:r w:rsidRPr="00D37692">
        <w:rPr>
          <w:rFonts w:ascii="Times New Roman" w:hAnsi="Times New Roman"/>
          <w:lang w:val="hr-HR"/>
        </w:rPr>
        <w:t>, i CP (80,4%) i CPB (78,9%) bil</w:t>
      </w:r>
      <w:r w:rsidR="00EA1022" w:rsidRPr="00D37692">
        <w:rPr>
          <w:rFonts w:ascii="Times New Roman" w:hAnsi="Times New Roman"/>
          <w:lang w:val="hr-HR"/>
        </w:rPr>
        <w:t>a</w:t>
      </w:r>
      <w:r w:rsidRPr="00D37692">
        <w:rPr>
          <w:rFonts w:ascii="Times New Roman" w:hAnsi="Times New Roman"/>
          <w:lang w:val="hr-HR"/>
        </w:rPr>
        <w:t xml:space="preserve"> </w:t>
      </w:r>
      <w:r w:rsidR="00EA1022" w:rsidRPr="00D37692">
        <w:rPr>
          <w:rFonts w:ascii="Times New Roman" w:hAnsi="Times New Roman"/>
          <w:lang w:val="hr-HR"/>
        </w:rPr>
        <w:t>je</w:t>
      </w:r>
      <w:r w:rsidRPr="00D37692">
        <w:rPr>
          <w:rFonts w:ascii="Times New Roman" w:hAnsi="Times New Roman"/>
          <w:lang w:val="hr-HR"/>
        </w:rPr>
        <w:t xml:space="preserve"> bijele rase. Srednja starost iznosila je 60,0 godina u </w:t>
      </w:r>
      <w:r w:rsidR="00EA1022" w:rsidRPr="00D37692">
        <w:rPr>
          <w:rFonts w:ascii="Times New Roman" w:hAnsi="Times New Roman"/>
          <w:lang w:val="hr-HR"/>
        </w:rPr>
        <w:t xml:space="preserve">grupi </w:t>
      </w:r>
      <w:r w:rsidRPr="00D37692">
        <w:rPr>
          <w:rFonts w:ascii="Times New Roman" w:hAnsi="Times New Roman"/>
          <w:lang w:val="hr-HR"/>
        </w:rPr>
        <w:t>koj</w:t>
      </w:r>
      <w:r w:rsidR="00EA1022" w:rsidRPr="00D37692">
        <w:rPr>
          <w:rFonts w:ascii="Times New Roman" w:hAnsi="Times New Roman"/>
          <w:lang w:val="hr-HR"/>
        </w:rPr>
        <w:t>a</w:t>
      </w:r>
      <w:r w:rsidRPr="00D37692">
        <w:rPr>
          <w:rFonts w:ascii="Times New Roman" w:hAnsi="Times New Roman"/>
          <w:lang w:val="hr-HR"/>
        </w:rPr>
        <w:t xml:space="preserve"> je prima</w:t>
      </w:r>
      <w:r w:rsidR="00EA1022" w:rsidRPr="00D37692">
        <w:rPr>
          <w:rFonts w:ascii="Times New Roman" w:hAnsi="Times New Roman"/>
          <w:lang w:val="hr-HR"/>
        </w:rPr>
        <w:t>la</w:t>
      </w:r>
      <w:r w:rsidRPr="00D37692">
        <w:rPr>
          <w:rFonts w:ascii="Times New Roman" w:hAnsi="Times New Roman"/>
          <w:lang w:val="hr-HR"/>
        </w:rPr>
        <w:t xml:space="preserve"> CP hemoterapiju i 59,0 godina u </w:t>
      </w:r>
      <w:r w:rsidR="00EA1022" w:rsidRPr="00D37692">
        <w:rPr>
          <w:rFonts w:ascii="Times New Roman" w:hAnsi="Times New Roman"/>
          <w:lang w:val="hr-HR"/>
        </w:rPr>
        <w:t xml:space="preserve">grupi </w:t>
      </w:r>
      <w:r w:rsidRPr="00D37692">
        <w:rPr>
          <w:rFonts w:ascii="Times New Roman" w:hAnsi="Times New Roman"/>
          <w:lang w:val="hr-HR"/>
        </w:rPr>
        <w:t>koj</w:t>
      </w:r>
      <w:r w:rsidR="00EA1022" w:rsidRPr="00D37692">
        <w:rPr>
          <w:rFonts w:ascii="Times New Roman" w:hAnsi="Times New Roman"/>
          <w:lang w:val="hr-HR"/>
        </w:rPr>
        <w:t>a</w:t>
      </w:r>
      <w:r w:rsidRPr="00D37692">
        <w:rPr>
          <w:rFonts w:ascii="Times New Roman" w:hAnsi="Times New Roman"/>
          <w:lang w:val="hr-HR"/>
        </w:rPr>
        <w:t xml:space="preserve"> je prima</w:t>
      </w:r>
      <w:r w:rsidR="00EA1022" w:rsidRPr="00D37692">
        <w:rPr>
          <w:rFonts w:ascii="Times New Roman" w:hAnsi="Times New Roman"/>
          <w:lang w:val="hr-HR"/>
        </w:rPr>
        <w:t>la</w:t>
      </w:r>
      <w:r w:rsidRPr="00D37692">
        <w:rPr>
          <w:rFonts w:ascii="Times New Roman" w:hAnsi="Times New Roman"/>
          <w:lang w:val="hr-HR"/>
        </w:rPr>
        <w:t xml:space="preserve"> CPB hemoterapiju. Većina pacijenata (CP: 64,6% CPB: 68,8%) bili su u starosnoj kategoriji &lt; 65 godina. Na početnom nivou, većina pacijenta u ob</w:t>
      </w:r>
      <w:r w:rsidR="00BA6F28" w:rsidRPr="00D37692">
        <w:rPr>
          <w:rFonts w:ascii="Times New Roman" w:hAnsi="Times New Roman"/>
          <w:lang w:val="hr-HR"/>
        </w:rPr>
        <w:t xml:space="preserve">je grupe </w:t>
      </w:r>
      <w:r w:rsidRPr="00D37692">
        <w:rPr>
          <w:rFonts w:ascii="Times New Roman" w:hAnsi="Times New Roman"/>
          <w:lang w:val="hr-HR"/>
        </w:rPr>
        <w:t xml:space="preserve">liječenja imala je GOG PS 0 (CP: 82,4%: CPB; 80,7%) ili 1 (CP: 16,7%: CPB; 18,1%). Ocjena GOG PS 2 na početnom nivou prijavljena je kod 0,9% pacijenata u CP </w:t>
      </w:r>
      <w:r w:rsidR="00EA1022" w:rsidRPr="00D37692">
        <w:rPr>
          <w:rFonts w:ascii="Times New Roman" w:hAnsi="Times New Roman"/>
          <w:lang w:val="hr-HR"/>
        </w:rPr>
        <w:t xml:space="preserve">grupi </w:t>
      </w:r>
      <w:r w:rsidRPr="00D37692">
        <w:rPr>
          <w:rFonts w:ascii="Times New Roman" w:hAnsi="Times New Roman"/>
          <w:lang w:val="hr-HR"/>
        </w:rPr>
        <w:t xml:space="preserve">i kod 1,2% pacijenata u CPB </w:t>
      </w:r>
      <w:r w:rsidR="00EA1022" w:rsidRPr="00D37692">
        <w:rPr>
          <w:rFonts w:ascii="Times New Roman" w:hAnsi="Times New Roman"/>
          <w:lang w:val="hr-HR"/>
        </w:rPr>
        <w:t>grupi</w:t>
      </w:r>
      <w:r w:rsidRPr="00D37692">
        <w:rPr>
          <w:rFonts w:ascii="Times New Roman" w:hAnsi="Times New Roman"/>
          <w:lang w:val="hr-HR"/>
        </w:rPr>
        <w:t>.</w:t>
      </w:r>
    </w:p>
    <w:p w14:paraId="366B0F1F" w14:textId="77777777" w:rsidR="002E30F6" w:rsidRPr="00D37692" w:rsidRDefault="002E30F6" w:rsidP="007608DF">
      <w:pPr>
        <w:widowControl/>
        <w:autoSpaceDE w:val="0"/>
        <w:autoSpaceDN w:val="0"/>
        <w:adjustRightInd w:val="0"/>
        <w:jc w:val="both"/>
        <w:rPr>
          <w:rFonts w:ascii="Times New Roman" w:hAnsi="Times New Roman"/>
          <w:lang w:val="hr-HR"/>
        </w:rPr>
      </w:pPr>
    </w:p>
    <w:p w14:paraId="442FF71F" w14:textId="77777777" w:rsidR="002E30F6" w:rsidRPr="00D6167B" w:rsidRDefault="002E30F6" w:rsidP="007608DF">
      <w:pPr>
        <w:widowControl/>
        <w:jc w:val="both"/>
        <w:rPr>
          <w:rFonts w:ascii="Times New Roman" w:eastAsia="Times New Roman" w:hAnsi="Times New Roman"/>
          <w:lang w:val="hr-HR"/>
        </w:rPr>
      </w:pPr>
      <w:r w:rsidRPr="00D37692">
        <w:rPr>
          <w:rFonts w:ascii="Times New Roman" w:hAnsi="Times New Roman"/>
          <w:lang w:val="hr-HR"/>
        </w:rPr>
        <w:t>Primarni parametar efikasnosti bilo je ukupno preživljavanje (OS). Glavni sekundarni parametar efikasnosti bilo je preživljavanje bez progresije bolesti (PFS). Rezultati su prikazani u tabeli 22.</w:t>
      </w:r>
    </w:p>
    <w:p w14:paraId="7F283873" w14:textId="77777777" w:rsidR="002E30F6" w:rsidRPr="00D6167B" w:rsidRDefault="002E30F6" w:rsidP="007608DF">
      <w:pPr>
        <w:widowControl/>
        <w:jc w:val="both"/>
        <w:rPr>
          <w:rFonts w:ascii="Times New Roman" w:eastAsia="Times New Roman" w:hAnsi="Times New Roman"/>
          <w:lang w:val="hr-HR"/>
        </w:rPr>
      </w:pPr>
    </w:p>
    <w:p w14:paraId="450A8BF6" w14:textId="77777777" w:rsidR="002E30F6" w:rsidRPr="00D6167B" w:rsidRDefault="002E30F6" w:rsidP="007608DF">
      <w:pPr>
        <w:widowControl/>
        <w:jc w:val="both"/>
        <w:rPr>
          <w:rFonts w:ascii="Times New Roman" w:hAnsi="Times New Roman"/>
          <w:b/>
          <w:bCs/>
          <w:lang w:val="hr-HR"/>
        </w:rPr>
      </w:pPr>
      <w:r w:rsidRPr="00D6167B">
        <w:rPr>
          <w:rFonts w:ascii="Times New Roman" w:hAnsi="Times New Roman"/>
          <w:b/>
          <w:lang w:val="hr-HR"/>
        </w:rPr>
        <w:t>Tabela 22</w:t>
      </w:r>
      <w:r w:rsidRPr="00D6167B">
        <w:rPr>
          <w:rFonts w:ascii="Times New Roman" w:hAnsi="Times New Roman"/>
          <w:b/>
          <w:lang w:val="hr-HR"/>
        </w:rPr>
        <w:tab/>
        <w:t>Rezultati efikasnosti</w:t>
      </w:r>
      <w:r w:rsidRPr="00D6167B">
        <w:rPr>
          <w:rFonts w:ascii="Times New Roman" w:hAnsi="Times New Roman"/>
          <w:b/>
          <w:vertAlign w:val="superscript"/>
          <w:lang w:val="hr-HR"/>
        </w:rPr>
        <w:t>1,2</w:t>
      </w:r>
      <w:r w:rsidRPr="00D6167B">
        <w:rPr>
          <w:rFonts w:ascii="Times New Roman" w:hAnsi="Times New Roman"/>
          <w:b/>
          <w:lang w:val="hr-HR"/>
        </w:rPr>
        <w:t xml:space="preserve"> iz studije GOG-0213</w:t>
      </w:r>
    </w:p>
    <w:p w14:paraId="40A843B2" w14:textId="77777777" w:rsidR="002C0B97" w:rsidRPr="00D6167B" w:rsidRDefault="002C0B97" w:rsidP="007608DF">
      <w:pPr>
        <w:widowControl/>
        <w:jc w:val="both"/>
        <w:rPr>
          <w:rFonts w:ascii="Times New Roman" w:eastAsia="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600"/>
        <w:gridCol w:w="2600"/>
      </w:tblGrid>
      <w:tr w:rsidR="002E30F6" w:rsidRPr="00D6167B" w14:paraId="4DF9B1CE" w14:textId="77777777" w:rsidTr="002C0B97">
        <w:trPr>
          <w:cantSplit/>
        </w:trPr>
        <w:tc>
          <w:tcPr>
            <w:tcW w:w="9278" w:type="dxa"/>
            <w:gridSpan w:val="3"/>
            <w:shd w:val="clear" w:color="auto" w:fill="auto"/>
          </w:tcPr>
          <w:p w14:paraId="1239C9A6" w14:textId="77777777" w:rsidR="002E30F6" w:rsidRPr="00D6167B" w:rsidRDefault="002E30F6" w:rsidP="00D37692">
            <w:pPr>
              <w:widowControl/>
              <w:rPr>
                <w:rFonts w:ascii="Times New Roman" w:eastAsia="Times New Roman" w:hAnsi="Times New Roman"/>
                <w:lang w:val="hr-HR"/>
              </w:rPr>
            </w:pPr>
            <w:r w:rsidRPr="00D6167B">
              <w:rPr>
                <w:rFonts w:ascii="Times New Roman" w:hAnsi="Times New Roman"/>
                <w:b/>
                <w:lang w:val="hr-HR"/>
              </w:rPr>
              <w:t xml:space="preserve">Primarni parametar efikasnosti </w:t>
            </w:r>
          </w:p>
        </w:tc>
      </w:tr>
      <w:tr w:rsidR="002E30F6" w:rsidRPr="00D6167B" w14:paraId="6DA2374F" w14:textId="77777777" w:rsidTr="002C0B97">
        <w:trPr>
          <w:cantSplit/>
        </w:trPr>
        <w:tc>
          <w:tcPr>
            <w:tcW w:w="3960" w:type="dxa"/>
            <w:shd w:val="clear" w:color="auto" w:fill="auto"/>
          </w:tcPr>
          <w:p w14:paraId="7F271721" w14:textId="77777777" w:rsidR="002E30F6" w:rsidRPr="00D37692" w:rsidRDefault="002E30F6" w:rsidP="00D37692">
            <w:pPr>
              <w:pStyle w:val="Default"/>
              <w:rPr>
                <w:color w:val="auto"/>
                <w:sz w:val="22"/>
                <w:lang w:val="hr-HR"/>
              </w:rPr>
            </w:pPr>
            <w:r w:rsidRPr="00D37692">
              <w:rPr>
                <w:b/>
                <w:color w:val="auto"/>
                <w:sz w:val="22"/>
                <w:lang w:val="hr-HR"/>
              </w:rPr>
              <w:t xml:space="preserve">Ukupno preživljavanje (OS) </w:t>
            </w:r>
          </w:p>
        </w:tc>
        <w:tc>
          <w:tcPr>
            <w:tcW w:w="2659" w:type="dxa"/>
            <w:shd w:val="clear" w:color="auto" w:fill="auto"/>
          </w:tcPr>
          <w:p w14:paraId="19AF5164" w14:textId="77777777" w:rsidR="002E30F6" w:rsidRPr="00D37692" w:rsidRDefault="002E30F6" w:rsidP="00D37692">
            <w:pPr>
              <w:pStyle w:val="Default"/>
              <w:jc w:val="center"/>
              <w:rPr>
                <w:color w:val="auto"/>
                <w:sz w:val="22"/>
                <w:lang w:val="hr-HR"/>
              </w:rPr>
            </w:pPr>
            <w:r w:rsidRPr="00D37692">
              <w:rPr>
                <w:color w:val="auto"/>
                <w:sz w:val="22"/>
                <w:lang w:val="hr-HR"/>
              </w:rPr>
              <w:t>CP</w:t>
            </w:r>
          </w:p>
          <w:p w14:paraId="75D21B4D"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(n=336)</w:t>
            </w:r>
          </w:p>
        </w:tc>
        <w:tc>
          <w:tcPr>
            <w:tcW w:w="2659" w:type="dxa"/>
            <w:shd w:val="clear" w:color="auto" w:fill="auto"/>
          </w:tcPr>
          <w:p w14:paraId="186E5F19" w14:textId="77777777" w:rsidR="002E30F6" w:rsidRPr="00D37692" w:rsidRDefault="002E30F6" w:rsidP="00D37692">
            <w:pPr>
              <w:pStyle w:val="Default"/>
              <w:jc w:val="center"/>
              <w:rPr>
                <w:color w:val="auto"/>
                <w:sz w:val="22"/>
                <w:lang w:val="hr-HR"/>
              </w:rPr>
            </w:pPr>
            <w:r w:rsidRPr="00D37692">
              <w:rPr>
                <w:color w:val="auto"/>
                <w:sz w:val="22"/>
                <w:lang w:val="hr-HR"/>
              </w:rPr>
              <w:t>CPB</w:t>
            </w:r>
          </w:p>
          <w:p w14:paraId="5D42FAF3"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(n=337)</w:t>
            </w:r>
          </w:p>
        </w:tc>
      </w:tr>
      <w:tr w:rsidR="002E30F6" w:rsidRPr="00D6167B" w14:paraId="61E9A09F" w14:textId="77777777" w:rsidTr="002C0B97">
        <w:trPr>
          <w:cantSplit/>
        </w:trPr>
        <w:tc>
          <w:tcPr>
            <w:tcW w:w="3960" w:type="dxa"/>
            <w:shd w:val="clear" w:color="auto" w:fill="auto"/>
          </w:tcPr>
          <w:p w14:paraId="0330B548"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OS (mjeseci) </w:t>
            </w:r>
          </w:p>
        </w:tc>
        <w:tc>
          <w:tcPr>
            <w:tcW w:w="2659" w:type="dxa"/>
            <w:shd w:val="clear" w:color="auto" w:fill="auto"/>
          </w:tcPr>
          <w:p w14:paraId="7EA74E10" w14:textId="77777777" w:rsidR="002E30F6" w:rsidRPr="00D37692" w:rsidRDefault="002E30F6" w:rsidP="00D37692">
            <w:pPr>
              <w:pStyle w:val="Default"/>
              <w:jc w:val="center"/>
              <w:rPr>
                <w:color w:val="auto"/>
                <w:sz w:val="22"/>
                <w:lang w:val="hr-HR"/>
              </w:rPr>
            </w:pPr>
            <w:r w:rsidRPr="00D37692">
              <w:rPr>
                <w:color w:val="auto"/>
                <w:sz w:val="22"/>
                <w:lang w:val="hr-HR"/>
              </w:rPr>
              <w:t>37,3</w:t>
            </w:r>
          </w:p>
        </w:tc>
        <w:tc>
          <w:tcPr>
            <w:tcW w:w="2659" w:type="dxa"/>
            <w:shd w:val="clear" w:color="auto" w:fill="auto"/>
          </w:tcPr>
          <w:p w14:paraId="736AC3E2" w14:textId="77777777" w:rsidR="002E30F6" w:rsidRPr="00D37692" w:rsidRDefault="002E30F6" w:rsidP="00D37692">
            <w:pPr>
              <w:pStyle w:val="Default"/>
              <w:jc w:val="center"/>
              <w:rPr>
                <w:color w:val="auto"/>
                <w:sz w:val="22"/>
                <w:lang w:val="hr-HR"/>
              </w:rPr>
            </w:pPr>
            <w:r w:rsidRPr="00D37692">
              <w:rPr>
                <w:color w:val="auto"/>
                <w:sz w:val="22"/>
                <w:lang w:val="hr-HR"/>
              </w:rPr>
              <w:t>42,6</w:t>
            </w:r>
          </w:p>
        </w:tc>
      </w:tr>
      <w:tr w:rsidR="002E30F6" w:rsidRPr="00D6167B" w14:paraId="4CACA80D" w14:textId="77777777" w:rsidTr="002C0B97">
        <w:trPr>
          <w:cantSplit/>
        </w:trPr>
        <w:tc>
          <w:tcPr>
            <w:tcW w:w="3960" w:type="dxa"/>
            <w:shd w:val="clear" w:color="auto" w:fill="auto"/>
          </w:tcPr>
          <w:p w14:paraId="5AC3E6C6" w14:textId="77777777" w:rsidR="002E30F6" w:rsidRPr="00D37692" w:rsidRDefault="002E30F6" w:rsidP="00D37692">
            <w:pPr>
              <w:pStyle w:val="Default"/>
              <w:rPr>
                <w:color w:val="auto"/>
                <w:sz w:val="22"/>
                <w:lang w:val="hr-HR"/>
              </w:rPr>
            </w:pPr>
            <w:r w:rsidRPr="00D37692">
              <w:rPr>
                <w:color w:val="auto"/>
                <w:sz w:val="22"/>
                <w:lang w:val="hr-HR"/>
              </w:rPr>
              <w:t>Odnos rizika (95% CI) (eCRF)</w:t>
            </w:r>
            <w:r w:rsidRPr="00D37692">
              <w:rPr>
                <w:color w:val="auto"/>
                <w:sz w:val="22"/>
                <w:vertAlign w:val="superscript"/>
                <w:lang w:val="hr-HR"/>
              </w:rPr>
              <w:t>a</w:t>
            </w:r>
            <w:r w:rsidRPr="00D37692">
              <w:rPr>
                <w:color w:val="auto"/>
                <w:sz w:val="22"/>
                <w:lang w:val="hr-HR"/>
              </w:rPr>
              <w:t xml:space="preserve"> </w:t>
            </w:r>
          </w:p>
        </w:tc>
        <w:tc>
          <w:tcPr>
            <w:tcW w:w="5318" w:type="dxa"/>
            <w:gridSpan w:val="2"/>
            <w:shd w:val="clear" w:color="auto" w:fill="auto"/>
          </w:tcPr>
          <w:p w14:paraId="2879332A"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0,823[ CI: 0,680, 0,996]</w:t>
            </w:r>
          </w:p>
        </w:tc>
      </w:tr>
      <w:tr w:rsidR="002E30F6" w:rsidRPr="00D6167B" w14:paraId="0E823524" w14:textId="77777777" w:rsidTr="002C0B97">
        <w:trPr>
          <w:cantSplit/>
        </w:trPr>
        <w:tc>
          <w:tcPr>
            <w:tcW w:w="3960" w:type="dxa"/>
            <w:shd w:val="clear" w:color="auto" w:fill="auto"/>
          </w:tcPr>
          <w:p w14:paraId="16B7D3BE"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p>
        </w:tc>
        <w:tc>
          <w:tcPr>
            <w:tcW w:w="5318" w:type="dxa"/>
            <w:gridSpan w:val="2"/>
            <w:shd w:val="clear" w:color="auto" w:fill="auto"/>
          </w:tcPr>
          <w:p w14:paraId="2542CB69"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0,0447</w:t>
            </w:r>
          </w:p>
        </w:tc>
      </w:tr>
      <w:tr w:rsidR="002E30F6" w:rsidRPr="00D6167B" w14:paraId="53209E58" w14:textId="77777777" w:rsidTr="002C0B97">
        <w:trPr>
          <w:cantSplit/>
        </w:trPr>
        <w:tc>
          <w:tcPr>
            <w:tcW w:w="3960" w:type="dxa"/>
            <w:shd w:val="clear" w:color="auto" w:fill="auto"/>
          </w:tcPr>
          <w:p w14:paraId="343D702F" w14:textId="77777777" w:rsidR="002E30F6" w:rsidRPr="00D37692" w:rsidRDefault="002E30F6" w:rsidP="00D37692">
            <w:pPr>
              <w:pStyle w:val="Default"/>
              <w:rPr>
                <w:color w:val="auto"/>
                <w:sz w:val="22"/>
                <w:lang w:val="hr-HR"/>
              </w:rPr>
            </w:pPr>
            <w:r w:rsidRPr="00D37692">
              <w:rPr>
                <w:color w:val="auto"/>
                <w:sz w:val="22"/>
                <w:lang w:val="hr-HR"/>
              </w:rPr>
              <w:t>Odnos rizika (95% CI) (registracioni obrazac)</w:t>
            </w:r>
            <w:r w:rsidRPr="00D37692">
              <w:rPr>
                <w:color w:val="auto"/>
                <w:sz w:val="22"/>
                <w:vertAlign w:val="superscript"/>
                <w:lang w:val="hr-HR"/>
              </w:rPr>
              <w:t xml:space="preserve">b </w:t>
            </w:r>
          </w:p>
        </w:tc>
        <w:tc>
          <w:tcPr>
            <w:tcW w:w="5318" w:type="dxa"/>
            <w:gridSpan w:val="2"/>
            <w:shd w:val="clear" w:color="auto" w:fill="auto"/>
          </w:tcPr>
          <w:p w14:paraId="34058734"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0,838[ CI: 0,693, 1,014]</w:t>
            </w:r>
          </w:p>
        </w:tc>
      </w:tr>
      <w:tr w:rsidR="002E30F6" w:rsidRPr="00D6167B" w14:paraId="1D131337" w14:textId="77777777" w:rsidTr="002C0B97">
        <w:trPr>
          <w:cantSplit/>
        </w:trPr>
        <w:tc>
          <w:tcPr>
            <w:tcW w:w="3960" w:type="dxa"/>
            <w:shd w:val="clear" w:color="auto" w:fill="auto"/>
          </w:tcPr>
          <w:p w14:paraId="2567889C"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p>
        </w:tc>
        <w:tc>
          <w:tcPr>
            <w:tcW w:w="5318" w:type="dxa"/>
            <w:gridSpan w:val="2"/>
            <w:shd w:val="clear" w:color="auto" w:fill="auto"/>
          </w:tcPr>
          <w:p w14:paraId="0FF09F11"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0,0683</w:t>
            </w:r>
          </w:p>
        </w:tc>
      </w:tr>
      <w:tr w:rsidR="002E30F6" w:rsidRPr="00D6167B" w14:paraId="231956D5" w14:textId="77777777" w:rsidTr="002C0B97">
        <w:trPr>
          <w:cantSplit/>
        </w:trPr>
        <w:tc>
          <w:tcPr>
            <w:tcW w:w="9278" w:type="dxa"/>
            <w:gridSpan w:val="3"/>
            <w:shd w:val="clear" w:color="auto" w:fill="auto"/>
          </w:tcPr>
          <w:p w14:paraId="7FD4D5C1" w14:textId="77777777" w:rsidR="002E30F6" w:rsidRPr="00D6167B" w:rsidRDefault="002E30F6" w:rsidP="00D37692">
            <w:pPr>
              <w:widowControl/>
              <w:rPr>
                <w:rFonts w:ascii="Times New Roman" w:eastAsia="Times New Roman" w:hAnsi="Times New Roman"/>
                <w:lang w:val="hr-HR"/>
              </w:rPr>
            </w:pPr>
            <w:r w:rsidRPr="00D6167B">
              <w:rPr>
                <w:rFonts w:ascii="Times New Roman" w:hAnsi="Times New Roman"/>
                <w:b/>
                <w:lang w:val="hr-HR"/>
              </w:rPr>
              <w:t xml:space="preserve">Sekundarni parametar efikasnosti </w:t>
            </w:r>
          </w:p>
        </w:tc>
      </w:tr>
      <w:tr w:rsidR="002E30F6" w:rsidRPr="00D6167B" w14:paraId="7F4A3E95" w14:textId="77777777" w:rsidTr="002C0B97">
        <w:trPr>
          <w:cantSplit/>
        </w:trPr>
        <w:tc>
          <w:tcPr>
            <w:tcW w:w="3960" w:type="dxa"/>
            <w:shd w:val="clear" w:color="auto" w:fill="auto"/>
          </w:tcPr>
          <w:p w14:paraId="1E24FDD3" w14:textId="77777777" w:rsidR="002E30F6" w:rsidRPr="00D37692" w:rsidRDefault="002E30F6" w:rsidP="00D37692">
            <w:pPr>
              <w:pStyle w:val="Default"/>
              <w:rPr>
                <w:color w:val="auto"/>
                <w:sz w:val="22"/>
                <w:lang w:val="hr-HR"/>
              </w:rPr>
            </w:pPr>
            <w:r w:rsidRPr="00D37692">
              <w:rPr>
                <w:b/>
                <w:color w:val="auto"/>
                <w:sz w:val="22"/>
                <w:lang w:val="hr-HR"/>
              </w:rPr>
              <w:t xml:space="preserve">Preživljavanje bez progresije bolesti (PFS) </w:t>
            </w:r>
          </w:p>
        </w:tc>
        <w:tc>
          <w:tcPr>
            <w:tcW w:w="2659" w:type="dxa"/>
            <w:shd w:val="clear" w:color="auto" w:fill="auto"/>
          </w:tcPr>
          <w:p w14:paraId="0C2A5655" w14:textId="77777777" w:rsidR="002E30F6" w:rsidRPr="00D37692" w:rsidRDefault="002E30F6" w:rsidP="00D37692">
            <w:pPr>
              <w:pStyle w:val="Default"/>
              <w:jc w:val="center"/>
              <w:rPr>
                <w:color w:val="auto"/>
                <w:sz w:val="22"/>
                <w:lang w:val="hr-HR"/>
              </w:rPr>
            </w:pPr>
            <w:r w:rsidRPr="00D37692">
              <w:rPr>
                <w:color w:val="auto"/>
                <w:sz w:val="22"/>
                <w:lang w:val="hr-HR"/>
              </w:rPr>
              <w:t>CP</w:t>
            </w:r>
          </w:p>
          <w:p w14:paraId="4F3EA3B7"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(n=336)</w:t>
            </w:r>
          </w:p>
        </w:tc>
        <w:tc>
          <w:tcPr>
            <w:tcW w:w="2659" w:type="dxa"/>
            <w:shd w:val="clear" w:color="auto" w:fill="auto"/>
          </w:tcPr>
          <w:p w14:paraId="311B7D19" w14:textId="77777777" w:rsidR="002E30F6" w:rsidRPr="00D37692" w:rsidRDefault="002E30F6" w:rsidP="00D37692">
            <w:pPr>
              <w:pStyle w:val="Default"/>
              <w:jc w:val="center"/>
              <w:rPr>
                <w:color w:val="auto"/>
                <w:sz w:val="22"/>
                <w:lang w:val="hr-HR"/>
              </w:rPr>
            </w:pPr>
            <w:r w:rsidRPr="00D37692">
              <w:rPr>
                <w:color w:val="auto"/>
                <w:sz w:val="22"/>
                <w:lang w:val="hr-HR"/>
              </w:rPr>
              <w:t>CPB</w:t>
            </w:r>
          </w:p>
          <w:p w14:paraId="069AE4DA"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(n=337)</w:t>
            </w:r>
          </w:p>
        </w:tc>
      </w:tr>
      <w:tr w:rsidR="002E30F6" w:rsidRPr="00D6167B" w14:paraId="3DF70EAE" w14:textId="77777777" w:rsidTr="002C0B97">
        <w:trPr>
          <w:cantSplit/>
        </w:trPr>
        <w:tc>
          <w:tcPr>
            <w:tcW w:w="3960" w:type="dxa"/>
            <w:shd w:val="clear" w:color="auto" w:fill="auto"/>
          </w:tcPr>
          <w:p w14:paraId="5E4FCD98" w14:textId="77777777" w:rsidR="002E30F6" w:rsidRPr="00D37692" w:rsidRDefault="002E30F6" w:rsidP="00D37692">
            <w:pPr>
              <w:pStyle w:val="Default"/>
              <w:rPr>
                <w:color w:val="auto"/>
                <w:sz w:val="22"/>
                <w:lang w:val="hr-HR"/>
              </w:rPr>
            </w:pPr>
            <w:r w:rsidRPr="00D37692">
              <w:rPr>
                <w:color w:val="auto"/>
                <w:sz w:val="22"/>
                <w:lang w:val="hr-HR"/>
              </w:rPr>
              <w:t xml:space="preserve">Srednja vrijednost PFS (mjeseci) </w:t>
            </w:r>
          </w:p>
        </w:tc>
        <w:tc>
          <w:tcPr>
            <w:tcW w:w="2659" w:type="dxa"/>
            <w:shd w:val="clear" w:color="auto" w:fill="auto"/>
          </w:tcPr>
          <w:p w14:paraId="368F169D" w14:textId="77777777" w:rsidR="002E30F6" w:rsidRPr="00D37692" w:rsidRDefault="002E30F6" w:rsidP="00D37692">
            <w:pPr>
              <w:pStyle w:val="Default"/>
              <w:jc w:val="center"/>
              <w:rPr>
                <w:color w:val="auto"/>
                <w:sz w:val="22"/>
                <w:lang w:val="hr-HR"/>
              </w:rPr>
            </w:pPr>
            <w:r w:rsidRPr="00D37692">
              <w:rPr>
                <w:color w:val="auto"/>
                <w:sz w:val="22"/>
                <w:lang w:val="hr-HR"/>
              </w:rPr>
              <w:t>10,2</w:t>
            </w:r>
          </w:p>
        </w:tc>
        <w:tc>
          <w:tcPr>
            <w:tcW w:w="2659" w:type="dxa"/>
            <w:shd w:val="clear" w:color="auto" w:fill="auto"/>
          </w:tcPr>
          <w:p w14:paraId="2A634912" w14:textId="77777777" w:rsidR="002E30F6" w:rsidRPr="00D37692" w:rsidRDefault="002E30F6" w:rsidP="00D37692">
            <w:pPr>
              <w:pStyle w:val="Default"/>
              <w:jc w:val="center"/>
              <w:rPr>
                <w:color w:val="auto"/>
                <w:sz w:val="22"/>
                <w:lang w:val="hr-HR"/>
              </w:rPr>
            </w:pPr>
            <w:r w:rsidRPr="00D37692">
              <w:rPr>
                <w:color w:val="auto"/>
                <w:sz w:val="22"/>
                <w:lang w:val="hr-HR"/>
              </w:rPr>
              <w:t>13,8</w:t>
            </w:r>
          </w:p>
        </w:tc>
      </w:tr>
      <w:tr w:rsidR="002E30F6" w:rsidRPr="00D6167B" w14:paraId="79CC1331" w14:textId="77777777" w:rsidTr="002C0B97">
        <w:trPr>
          <w:cantSplit/>
        </w:trPr>
        <w:tc>
          <w:tcPr>
            <w:tcW w:w="3960" w:type="dxa"/>
            <w:shd w:val="clear" w:color="auto" w:fill="auto"/>
          </w:tcPr>
          <w:p w14:paraId="49FB0C91" w14:textId="77777777" w:rsidR="002E30F6" w:rsidRPr="00D37692" w:rsidRDefault="002E30F6" w:rsidP="00D37692">
            <w:pPr>
              <w:pStyle w:val="Default"/>
              <w:rPr>
                <w:color w:val="auto"/>
                <w:sz w:val="22"/>
                <w:lang w:val="hr-HR"/>
              </w:rPr>
            </w:pPr>
            <w:r w:rsidRPr="00D37692">
              <w:rPr>
                <w:color w:val="auto"/>
                <w:sz w:val="22"/>
                <w:lang w:val="hr-HR"/>
              </w:rPr>
              <w:t xml:space="preserve">Odnos rizika (95% CI) </w:t>
            </w:r>
          </w:p>
        </w:tc>
        <w:tc>
          <w:tcPr>
            <w:tcW w:w="5318" w:type="dxa"/>
            <w:gridSpan w:val="2"/>
            <w:shd w:val="clear" w:color="auto" w:fill="auto"/>
          </w:tcPr>
          <w:p w14:paraId="3F1DEAF8"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0,613[ CI: 0,521, 0,721]</w:t>
            </w:r>
          </w:p>
        </w:tc>
      </w:tr>
      <w:tr w:rsidR="002E30F6" w:rsidRPr="00D6167B" w14:paraId="7B8F6506" w14:textId="77777777" w:rsidTr="002C0B97">
        <w:trPr>
          <w:cantSplit/>
        </w:trPr>
        <w:tc>
          <w:tcPr>
            <w:tcW w:w="3960" w:type="dxa"/>
            <w:shd w:val="clear" w:color="auto" w:fill="auto"/>
          </w:tcPr>
          <w:p w14:paraId="25093C9B" w14:textId="77777777" w:rsidR="002E30F6" w:rsidRPr="00D37692" w:rsidRDefault="002E30F6" w:rsidP="00D37692">
            <w:pPr>
              <w:pStyle w:val="Default"/>
              <w:rPr>
                <w:color w:val="auto"/>
                <w:sz w:val="22"/>
                <w:lang w:val="hr-HR"/>
              </w:rPr>
            </w:pPr>
            <w:r w:rsidRPr="00D37692">
              <w:rPr>
                <w:color w:val="auto"/>
                <w:sz w:val="22"/>
                <w:lang w:val="hr-HR"/>
              </w:rPr>
              <w:t xml:space="preserve">Vrijednost p </w:t>
            </w:r>
          </w:p>
        </w:tc>
        <w:tc>
          <w:tcPr>
            <w:tcW w:w="5318" w:type="dxa"/>
            <w:gridSpan w:val="2"/>
            <w:shd w:val="clear" w:color="auto" w:fill="auto"/>
          </w:tcPr>
          <w:p w14:paraId="6E66DF3F" w14:textId="77777777" w:rsidR="002E30F6" w:rsidRPr="00D6167B" w:rsidRDefault="002E30F6" w:rsidP="00D37692">
            <w:pPr>
              <w:widowControl/>
              <w:jc w:val="center"/>
              <w:rPr>
                <w:rFonts w:ascii="Times New Roman" w:eastAsia="Times New Roman" w:hAnsi="Times New Roman"/>
                <w:lang w:val="hr-HR"/>
              </w:rPr>
            </w:pPr>
            <w:r w:rsidRPr="00D6167B">
              <w:rPr>
                <w:rFonts w:ascii="Times New Roman" w:hAnsi="Times New Roman"/>
                <w:lang w:val="hr-HR"/>
              </w:rPr>
              <w:t>&lt; 0,0001</w:t>
            </w:r>
          </w:p>
        </w:tc>
      </w:tr>
    </w:tbl>
    <w:p w14:paraId="4723A22C" w14:textId="77777777" w:rsidR="002B6FE2"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 xml:space="preserve">1 </w:t>
      </w:r>
      <w:r w:rsidRPr="00D37692">
        <w:rPr>
          <w:rFonts w:ascii="Times New Roman" w:hAnsi="Times New Roman"/>
          <w:sz w:val="20"/>
          <w:vertAlign w:val="superscript"/>
          <w:lang w:val="hr-HR"/>
        </w:rPr>
        <w:tab/>
      </w:r>
      <w:r w:rsidRPr="00D37692">
        <w:rPr>
          <w:rFonts w:ascii="Times New Roman" w:hAnsi="Times New Roman"/>
          <w:sz w:val="20"/>
          <w:lang w:val="hr-HR"/>
        </w:rPr>
        <w:t>Finalna analiza</w:t>
      </w:r>
    </w:p>
    <w:p w14:paraId="3D1149BA" w14:textId="77777777" w:rsidR="002E30F6" w:rsidRPr="00D37692" w:rsidRDefault="002E30F6" w:rsidP="007608DF">
      <w:pPr>
        <w:widowControl/>
        <w:autoSpaceDE w:val="0"/>
        <w:autoSpaceDN w:val="0"/>
        <w:adjustRightInd w:val="0"/>
        <w:ind w:left="288" w:hanging="288"/>
        <w:jc w:val="both"/>
        <w:rPr>
          <w:rFonts w:ascii="Times New Roman" w:hAnsi="Times New Roman"/>
          <w:sz w:val="20"/>
          <w:lang w:val="hr-HR"/>
        </w:rPr>
      </w:pPr>
      <w:r w:rsidRPr="00D37692">
        <w:rPr>
          <w:rFonts w:ascii="Times New Roman" w:hAnsi="Times New Roman"/>
          <w:sz w:val="20"/>
          <w:vertAlign w:val="superscript"/>
          <w:lang w:val="hr-HR"/>
        </w:rPr>
        <w:t xml:space="preserve">2 </w:t>
      </w:r>
      <w:r w:rsidRPr="00D37692">
        <w:rPr>
          <w:rFonts w:ascii="Times New Roman" w:hAnsi="Times New Roman"/>
          <w:sz w:val="20"/>
          <w:vertAlign w:val="superscript"/>
          <w:lang w:val="hr-HR"/>
        </w:rPr>
        <w:tab/>
      </w:r>
      <w:r w:rsidRPr="00D37692">
        <w:rPr>
          <w:rFonts w:ascii="Times New Roman" w:hAnsi="Times New Roman"/>
          <w:sz w:val="20"/>
          <w:lang w:val="hr-HR"/>
        </w:rPr>
        <w:t>Procjene tumora i odgovora utvrdili su istraživači korišćenjem kriterijuma GOG RECIST (revidirane RECIST smjernice (verzija 1.1). Eur J Cancer. 2009;45:228Y247).</w:t>
      </w:r>
    </w:p>
    <w:p w14:paraId="5B4632F2" w14:textId="77777777" w:rsidR="002B6FE2" w:rsidRPr="00D37692" w:rsidRDefault="002E30F6" w:rsidP="007608DF">
      <w:pPr>
        <w:widowControl/>
        <w:ind w:left="288" w:hanging="288"/>
        <w:jc w:val="both"/>
        <w:rPr>
          <w:rFonts w:ascii="Times New Roman" w:hAnsi="Times New Roman"/>
          <w:sz w:val="20"/>
          <w:lang w:val="hr-HR"/>
        </w:rPr>
      </w:pPr>
      <w:r w:rsidRPr="00D37692">
        <w:rPr>
          <w:rFonts w:ascii="Times New Roman" w:hAnsi="Times New Roman"/>
          <w:sz w:val="20"/>
          <w:vertAlign w:val="superscript"/>
          <w:lang w:val="hr-HR"/>
        </w:rPr>
        <w:t>a</w:t>
      </w:r>
      <w:r w:rsidRPr="00D37692">
        <w:rPr>
          <w:rFonts w:ascii="Times New Roman" w:hAnsi="Times New Roman"/>
          <w:sz w:val="20"/>
          <w:lang w:val="hr-HR"/>
        </w:rPr>
        <w:t xml:space="preserve"> </w:t>
      </w:r>
      <w:r w:rsidRPr="00D37692">
        <w:rPr>
          <w:rFonts w:ascii="Times New Roman" w:hAnsi="Times New Roman"/>
          <w:sz w:val="20"/>
          <w:lang w:val="hr-HR"/>
        </w:rPr>
        <w:tab/>
        <w:t xml:space="preserve">Odnos rizika je procijenjen na osnovu Koksovih modela proporcionalnih rizika, stratifikovanih prema trajanju intervala bez platine prije uključivanja u ovu studiju na osnovu eCRF (elektronski obrazac izvještaja o slučaju) i sekundarnog statusa hirurškog smanjivanja tumorske mase Da/Ne (Da = randomizovani za podvrgavanje citoredukciji ili randomizovani za nepodvrgavanje citoredukciji; Ne = pacijent nije kandidat ili nije dao saglasnost za citoredukciju). </w:t>
      </w:r>
    </w:p>
    <w:p w14:paraId="2F1D479B" w14:textId="77777777" w:rsidR="002E30F6" w:rsidRPr="00D6167B" w:rsidRDefault="002E30F6" w:rsidP="007608DF">
      <w:pPr>
        <w:widowControl/>
        <w:ind w:left="288" w:hanging="288"/>
        <w:jc w:val="both"/>
        <w:rPr>
          <w:rFonts w:ascii="Times New Roman" w:eastAsia="Times New Roman" w:hAnsi="Times New Roman"/>
          <w:sz w:val="20"/>
          <w:szCs w:val="20"/>
          <w:lang w:val="hr-HR"/>
        </w:rPr>
      </w:pPr>
      <w:r w:rsidRPr="00D37692">
        <w:rPr>
          <w:rFonts w:ascii="Times New Roman" w:hAnsi="Times New Roman"/>
          <w:sz w:val="20"/>
          <w:vertAlign w:val="superscript"/>
          <w:lang w:val="hr-HR"/>
        </w:rPr>
        <w:t>b</w:t>
      </w:r>
      <w:r w:rsidRPr="00D37692">
        <w:rPr>
          <w:rFonts w:ascii="Times New Roman" w:hAnsi="Times New Roman"/>
          <w:sz w:val="20"/>
          <w:lang w:val="hr-HR"/>
        </w:rPr>
        <w:t xml:space="preserve"> </w:t>
      </w:r>
      <w:r w:rsidRPr="00D37692">
        <w:rPr>
          <w:rFonts w:ascii="Times New Roman" w:hAnsi="Times New Roman"/>
          <w:sz w:val="20"/>
          <w:lang w:val="hr-HR"/>
        </w:rPr>
        <w:tab/>
        <w:t>Stratifikovani prema trajanju intervala bez liječenja prije uključivanju u ovu studiju na osnovu registracionog obrasca i sekundarnog statusa hirurškog smanjivanja tumorske mase Da/Ne.</w:t>
      </w:r>
    </w:p>
    <w:p w14:paraId="1150C90C" w14:textId="77777777" w:rsidR="002E30F6" w:rsidRPr="00D6167B" w:rsidRDefault="002E30F6" w:rsidP="007608DF">
      <w:pPr>
        <w:widowControl/>
        <w:jc w:val="both"/>
        <w:rPr>
          <w:rFonts w:ascii="Times New Roman" w:eastAsia="Times New Roman" w:hAnsi="Times New Roman"/>
          <w:lang w:val="hr-HR"/>
        </w:rPr>
      </w:pPr>
    </w:p>
    <w:p w14:paraId="633D8CA0" w14:textId="77777777" w:rsidR="002E30F6" w:rsidRPr="00D6167B" w:rsidRDefault="002E30F6" w:rsidP="007608DF">
      <w:pPr>
        <w:widowControl/>
        <w:jc w:val="both"/>
        <w:rPr>
          <w:rFonts w:ascii="Times New Roman" w:eastAsia="Times New Roman" w:hAnsi="Times New Roman"/>
          <w:lang w:val="hr-HR"/>
        </w:rPr>
      </w:pPr>
      <w:r w:rsidRPr="00D6167B">
        <w:rPr>
          <w:rFonts w:ascii="Times New Roman" w:hAnsi="Times New Roman"/>
          <w:lang w:val="hr-HR"/>
        </w:rPr>
        <w:t xml:space="preserve">Ispitivanje je postiglo svoj primarni cilj poboljšanja ukupnog preživljavanja. Liječenje </w:t>
      </w:r>
      <w:r w:rsidRPr="00D37692">
        <w:rPr>
          <w:rFonts w:ascii="Times New Roman" w:hAnsi="Times New Roman"/>
          <w:lang w:val="hr-HR"/>
        </w:rPr>
        <w:t>bevacizumabom</w:t>
      </w:r>
      <w:r w:rsidRPr="00D6167B">
        <w:rPr>
          <w:rFonts w:ascii="Times New Roman" w:hAnsi="Times New Roman"/>
          <w:lang w:val="hr-HR"/>
        </w:rPr>
        <w:t xml:space="preserve"> u dozi 15 mg/kg na svake 3 nedjelje u kombinaciji sa hemoterapijom (karboplatin i paklitaksel) tokom 6, a najviše do 8 ciklusa, nakon čega se primjenjuje samo </w:t>
      </w:r>
      <w:r w:rsidRPr="00D37692">
        <w:rPr>
          <w:rFonts w:ascii="Times New Roman" w:hAnsi="Times New Roman"/>
          <w:lang w:val="hr-HR"/>
        </w:rPr>
        <w:t>bevacizumab</w:t>
      </w:r>
      <w:r w:rsidRPr="00D6167B">
        <w:rPr>
          <w:rFonts w:ascii="Times New Roman" w:hAnsi="Times New Roman"/>
          <w:lang w:val="hr-HR"/>
        </w:rPr>
        <w:t xml:space="preserve"> do progresije bolesti ili neprihvatljive toksičnosti pokazali su, kada su podaci izvedeni iz eCRF obrazaca, klinički i statistički značajno poboljšanje ukupnog preživljavanja u odnosu na liječenje samo karboplatinom i paklitakselom.</w:t>
      </w:r>
    </w:p>
    <w:p w14:paraId="4B48C9F7" w14:textId="77777777" w:rsidR="002E30F6" w:rsidRPr="00D6167B" w:rsidRDefault="002E30F6" w:rsidP="007608DF">
      <w:pPr>
        <w:widowControl/>
        <w:jc w:val="both"/>
        <w:rPr>
          <w:rFonts w:ascii="Times New Roman" w:eastAsia="Times New Roman" w:hAnsi="Times New Roman"/>
          <w:lang w:val="hr-HR"/>
        </w:rPr>
      </w:pPr>
    </w:p>
    <w:p w14:paraId="4278DB87"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i/>
          <w:lang w:val="hr-HR"/>
        </w:rPr>
        <w:t xml:space="preserve">MO22224 </w:t>
      </w:r>
    </w:p>
    <w:p w14:paraId="318A98DE" w14:textId="77777777" w:rsidR="002E30F6" w:rsidRPr="00D37692" w:rsidRDefault="002E30F6" w:rsidP="007608DF">
      <w:pPr>
        <w:widowControl/>
        <w:autoSpaceDE w:val="0"/>
        <w:autoSpaceDN w:val="0"/>
        <w:adjustRightInd w:val="0"/>
        <w:jc w:val="both"/>
        <w:rPr>
          <w:rFonts w:ascii="Times New Roman" w:hAnsi="Times New Roman"/>
          <w:lang w:val="hr-HR"/>
        </w:rPr>
      </w:pPr>
      <w:r w:rsidRPr="00D37692">
        <w:rPr>
          <w:rFonts w:ascii="Times New Roman" w:hAnsi="Times New Roman"/>
          <w:lang w:val="hr-HR"/>
        </w:rPr>
        <w:t>U studiji MO22224 procjenjivane su efikasnost i bezbjednost bevacizumaba u kombinaciji sa hemoterapijom za rekurentni epitelni karcinom jajnika, jajovoda ili primarni peritonealni karcinom koji je otporan na platinu. Ova studija je osmišljena kao otvoreno, randomizovano ispitivanje faze III sa dv</w:t>
      </w:r>
      <w:r w:rsidR="00EA1022" w:rsidRPr="00D37692">
        <w:rPr>
          <w:rFonts w:ascii="Times New Roman" w:hAnsi="Times New Roman"/>
          <w:lang w:val="hr-HR"/>
        </w:rPr>
        <w:t>ije grupe</w:t>
      </w:r>
      <w:r w:rsidRPr="00D37692">
        <w:rPr>
          <w:rFonts w:ascii="Times New Roman" w:hAnsi="Times New Roman"/>
          <w:lang w:val="hr-HR"/>
        </w:rPr>
        <w:t>, u kojem se procjenjivala primjena bevacizumaba i hemoterapije (CT + BV) u odnosu na primjenu samo hemoterapije (CT).</w:t>
      </w:r>
    </w:p>
    <w:p w14:paraId="2D1759C9" w14:textId="77777777" w:rsidR="002E30F6" w:rsidRPr="00D37692" w:rsidRDefault="002E30F6" w:rsidP="007608DF">
      <w:pPr>
        <w:widowControl/>
        <w:autoSpaceDE w:val="0"/>
        <w:autoSpaceDN w:val="0"/>
        <w:adjustRightInd w:val="0"/>
        <w:jc w:val="both"/>
        <w:rPr>
          <w:rFonts w:ascii="Times New Roman" w:hAnsi="Times New Roman"/>
          <w:lang w:val="hr-HR"/>
        </w:rPr>
      </w:pPr>
    </w:p>
    <w:p w14:paraId="73DC4564" w14:textId="707C0A60" w:rsidR="002E30F6" w:rsidRPr="00D37692" w:rsidRDefault="002E30F6" w:rsidP="007608DF">
      <w:pPr>
        <w:keepNext/>
        <w:widowControl/>
        <w:autoSpaceDE w:val="0"/>
        <w:autoSpaceDN w:val="0"/>
        <w:adjustRightInd w:val="0"/>
        <w:jc w:val="both"/>
        <w:rPr>
          <w:rFonts w:ascii="Times New Roman" w:hAnsi="Times New Roman"/>
          <w:lang w:val="hr-HR"/>
        </w:rPr>
      </w:pPr>
      <w:r w:rsidRPr="00D37692">
        <w:rPr>
          <w:rFonts w:ascii="Times New Roman" w:hAnsi="Times New Roman"/>
          <w:lang w:val="hr-HR"/>
        </w:rPr>
        <w:lastRenderedPageBreak/>
        <w:t xml:space="preserve">U studiju je </w:t>
      </w:r>
      <w:r w:rsidRPr="00D6167B">
        <w:rPr>
          <w:rFonts w:ascii="Times New Roman" w:hAnsi="Times New Roman"/>
          <w:lang w:val="hr-HR"/>
        </w:rPr>
        <w:t>uključen</w:t>
      </w:r>
      <w:r w:rsidR="007410EA">
        <w:rPr>
          <w:rFonts w:ascii="Times New Roman" w:hAnsi="Times New Roman"/>
          <w:lang w:val="hr-HR"/>
        </w:rPr>
        <w:t>o</w:t>
      </w:r>
      <w:r w:rsidRPr="00D37692">
        <w:rPr>
          <w:rFonts w:ascii="Times New Roman" w:hAnsi="Times New Roman"/>
          <w:lang w:val="hr-HR"/>
        </w:rPr>
        <w:t xml:space="preserve"> ukupno 361 </w:t>
      </w:r>
      <w:r w:rsidRPr="00D6167B">
        <w:rPr>
          <w:rFonts w:ascii="Times New Roman" w:hAnsi="Times New Roman"/>
          <w:lang w:val="hr-HR"/>
        </w:rPr>
        <w:t>pacijent</w:t>
      </w:r>
      <w:r w:rsidR="007410EA">
        <w:rPr>
          <w:rFonts w:ascii="Times New Roman" w:hAnsi="Times New Roman"/>
          <w:lang w:val="hr-HR"/>
        </w:rPr>
        <w:t>kinja</w:t>
      </w:r>
      <w:r w:rsidRPr="00D6167B">
        <w:rPr>
          <w:rFonts w:ascii="Times New Roman" w:hAnsi="Times New Roman"/>
          <w:lang w:val="hr-HR"/>
        </w:rPr>
        <w:t>. Pacijent</w:t>
      </w:r>
      <w:r w:rsidR="007410EA">
        <w:rPr>
          <w:rFonts w:ascii="Times New Roman" w:hAnsi="Times New Roman"/>
          <w:lang w:val="hr-HR"/>
        </w:rPr>
        <w:t>kinje</w:t>
      </w:r>
      <w:r w:rsidRPr="00D37692">
        <w:rPr>
          <w:rFonts w:ascii="Times New Roman" w:hAnsi="Times New Roman"/>
          <w:lang w:val="hr-HR"/>
        </w:rPr>
        <w:t xml:space="preserve"> su primali ili samo hemoterapiju (paklitaksel, topotekan ili pegilisani lipozomalni doksorubicin (PLD) ili hemoterapiju u kombinaciji sa bevacizumabom: </w:t>
      </w:r>
    </w:p>
    <w:p w14:paraId="645EF135" w14:textId="77777777" w:rsidR="002E30F6" w:rsidRPr="00D37692" w:rsidRDefault="002E30F6" w:rsidP="007608DF">
      <w:pPr>
        <w:keepNext/>
        <w:widowControl/>
        <w:autoSpaceDE w:val="0"/>
        <w:autoSpaceDN w:val="0"/>
        <w:adjustRightInd w:val="0"/>
        <w:jc w:val="both"/>
        <w:rPr>
          <w:rFonts w:ascii="Times New Roman" w:hAnsi="Times New Roman"/>
          <w:lang w:val="hr-HR"/>
        </w:rPr>
      </w:pPr>
    </w:p>
    <w:p w14:paraId="29585D0A" w14:textId="77777777" w:rsidR="002E30F6" w:rsidRPr="00D37692" w:rsidRDefault="002E30F6" w:rsidP="007608DF">
      <w:pPr>
        <w:keepNext/>
        <w:widowControl/>
        <w:numPr>
          <w:ilvl w:val="0"/>
          <w:numId w:val="36"/>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 xml:space="preserve">CT </w:t>
      </w:r>
      <w:r w:rsidR="00EA1022" w:rsidRPr="00D37692">
        <w:rPr>
          <w:rFonts w:ascii="Times New Roman" w:hAnsi="Times New Roman"/>
          <w:lang w:val="hr-HR"/>
        </w:rPr>
        <w:t xml:space="preserve">grupa </w:t>
      </w:r>
      <w:r w:rsidRPr="00D37692">
        <w:rPr>
          <w:rFonts w:ascii="Times New Roman" w:hAnsi="Times New Roman"/>
          <w:lang w:val="hr-HR"/>
        </w:rPr>
        <w:t>(samo hemoterapija):</w:t>
      </w:r>
    </w:p>
    <w:p w14:paraId="3DF619DB" w14:textId="77777777" w:rsidR="002E30F6" w:rsidRPr="00D37692" w:rsidRDefault="002E30F6" w:rsidP="007608DF">
      <w:pPr>
        <w:widowControl/>
        <w:numPr>
          <w:ilvl w:val="1"/>
          <w:numId w:val="36"/>
        </w:numPr>
        <w:autoSpaceDE w:val="0"/>
        <w:autoSpaceDN w:val="0"/>
        <w:adjustRightInd w:val="0"/>
        <w:ind w:left="990"/>
        <w:jc w:val="both"/>
        <w:rPr>
          <w:rFonts w:ascii="Times New Roman" w:hAnsi="Times New Roman"/>
          <w:lang w:val="hr-HR"/>
        </w:rPr>
      </w:pPr>
      <w:r w:rsidRPr="00D37692">
        <w:rPr>
          <w:rFonts w:ascii="Times New Roman" w:hAnsi="Times New Roman"/>
          <w:lang w:val="hr-HR"/>
        </w:rPr>
        <w:t>Paklitaksel 80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kao 1-časovna intravenska infuzija prvog, osmog, 15. i 22. dana svake 4 nedjelje.</w:t>
      </w:r>
    </w:p>
    <w:p w14:paraId="254ABC81" w14:textId="606097AA" w:rsidR="002E30F6" w:rsidRPr="00D37692" w:rsidRDefault="002E30F6" w:rsidP="007608DF">
      <w:pPr>
        <w:widowControl/>
        <w:numPr>
          <w:ilvl w:val="1"/>
          <w:numId w:val="36"/>
        </w:numPr>
        <w:autoSpaceDE w:val="0"/>
        <w:autoSpaceDN w:val="0"/>
        <w:adjustRightInd w:val="0"/>
        <w:ind w:left="990"/>
        <w:jc w:val="both"/>
        <w:rPr>
          <w:rFonts w:ascii="Times New Roman" w:hAnsi="Times New Roman"/>
          <w:lang w:val="hr-HR"/>
        </w:rPr>
      </w:pPr>
      <w:r w:rsidRPr="00D37692">
        <w:rPr>
          <w:rFonts w:ascii="Times New Roman" w:hAnsi="Times New Roman"/>
          <w:lang w:val="hr-HR"/>
        </w:rPr>
        <w:t>Topotekan 4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kao 30-minutna intravenska infuzija prvog, osmog i 15. dana svake 4 nedjelje. Alternativno, doza od 1,25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 xml:space="preserve">može da se primjeni tokom 30 minuta </w:t>
      </w:r>
      <w:r w:rsidR="007410EA">
        <w:rPr>
          <w:rFonts w:ascii="Times New Roman" w:hAnsi="Times New Roman"/>
          <w:lang w:val="hr-HR"/>
        </w:rPr>
        <w:t>od</w:t>
      </w:r>
      <w:r w:rsidR="007410EA" w:rsidRPr="00D37692">
        <w:rPr>
          <w:rFonts w:ascii="Times New Roman" w:hAnsi="Times New Roman"/>
          <w:lang w:val="hr-HR"/>
        </w:rPr>
        <w:t xml:space="preserve"> </w:t>
      </w:r>
      <w:r w:rsidRPr="00D37692">
        <w:rPr>
          <w:rFonts w:ascii="Times New Roman" w:hAnsi="Times New Roman"/>
          <w:lang w:val="hr-HR"/>
        </w:rPr>
        <w:t>1</w:t>
      </w:r>
      <w:r w:rsidR="007410EA">
        <w:rPr>
          <w:rFonts w:ascii="Times New Roman" w:hAnsi="Times New Roman"/>
          <w:lang w:val="hr-HR"/>
        </w:rPr>
        <w:t>.</w:t>
      </w:r>
      <w:r w:rsidRPr="00D6167B">
        <w:rPr>
          <w:rFonts w:ascii="Times New Roman" w:hAnsi="Times New Roman"/>
          <w:lang w:val="hr-HR"/>
        </w:rPr>
        <w:noBreakHyphen/>
      </w:r>
      <w:r w:rsidRPr="00D37692">
        <w:rPr>
          <w:rFonts w:ascii="Times New Roman" w:hAnsi="Times New Roman"/>
          <w:lang w:val="hr-HR"/>
        </w:rPr>
        <w:t>5</w:t>
      </w:r>
      <w:r w:rsidR="007410EA">
        <w:rPr>
          <w:rFonts w:ascii="Times New Roman" w:hAnsi="Times New Roman"/>
          <w:lang w:val="hr-HR"/>
        </w:rPr>
        <w:t>.</w:t>
      </w:r>
      <w:r w:rsidRPr="00D6167B">
        <w:rPr>
          <w:rFonts w:ascii="Times New Roman" w:hAnsi="Times New Roman"/>
          <w:lang w:val="hr-HR"/>
        </w:rPr>
        <w:t xml:space="preserve"> </w:t>
      </w:r>
      <w:r w:rsidR="007410EA">
        <w:rPr>
          <w:rFonts w:ascii="Times New Roman" w:hAnsi="Times New Roman"/>
          <w:lang w:val="hr-HR"/>
        </w:rPr>
        <w:t>dana</w:t>
      </w:r>
      <w:r w:rsidR="007410EA" w:rsidRPr="00D37692">
        <w:rPr>
          <w:rFonts w:ascii="Times New Roman" w:hAnsi="Times New Roman"/>
          <w:lang w:val="hr-HR"/>
        </w:rPr>
        <w:t xml:space="preserve"> </w:t>
      </w:r>
      <w:r w:rsidRPr="00D37692">
        <w:rPr>
          <w:rFonts w:ascii="Times New Roman" w:hAnsi="Times New Roman"/>
          <w:lang w:val="hr-HR"/>
        </w:rPr>
        <w:t>svake 3 nedjelje.</w:t>
      </w:r>
    </w:p>
    <w:p w14:paraId="3F2E6174" w14:textId="77777777" w:rsidR="002E30F6" w:rsidRPr="00D37692" w:rsidRDefault="002E30F6" w:rsidP="007608DF">
      <w:pPr>
        <w:widowControl/>
        <w:numPr>
          <w:ilvl w:val="1"/>
          <w:numId w:val="36"/>
        </w:numPr>
        <w:autoSpaceDE w:val="0"/>
        <w:autoSpaceDN w:val="0"/>
        <w:adjustRightInd w:val="0"/>
        <w:ind w:left="990"/>
        <w:jc w:val="both"/>
        <w:rPr>
          <w:rFonts w:ascii="Times New Roman" w:hAnsi="Times New Roman"/>
          <w:lang w:val="hr-HR"/>
        </w:rPr>
      </w:pPr>
      <w:r w:rsidRPr="00D37692">
        <w:rPr>
          <w:rFonts w:ascii="Times New Roman" w:hAnsi="Times New Roman"/>
          <w:lang w:val="hr-HR"/>
        </w:rPr>
        <w:t>PLD 40 mg/m</w:t>
      </w:r>
      <w:r w:rsidRPr="00D37692">
        <w:rPr>
          <w:rFonts w:ascii="Times New Roman" w:hAnsi="Times New Roman"/>
          <w:vertAlign w:val="superscript"/>
          <w:lang w:val="hr-HR"/>
        </w:rPr>
        <w:t>2</w:t>
      </w:r>
      <w:r w:rsidRPr="00D37692">
        <w:rPr>
          <w:rFonts w:ascii="Times New Roman" w:hAnsi="Times New Roman"/>
          <w:sz w:val="14"/>
          <w:lang w:val="hr-HR"/>
        </w:rPr>
        <w:t xml:space="preserve"> </w:t>
      </w:r>
      <w:r w:rsidRPr="00D37692">
        <w:rPr>
          <w:rFonts w:ascii="Times New Roman" w:hAnsi="Times New Roman"/>
          <w:lang w:val="hr-HR"/>
        </w:rPr>
        <w:t>kao 1 mg/min intravenska infuzija samo 1. dana svake 4 nedjelje. Nakon 1. ciklusa lijek može da se primjenjuje kao 1-časovna infuzija.</w:t>
      </w:r>
    </w:p>
    <w:p w14:paraId="715D68A5" w14:textId="77777777" w:rsidR="002E30F6" w:rsidRPr="00D37692" w:rsidRDefault="002E30F6" w:rsidP="007608DF">
      <w:pPr>
        <w:widowControl/>
        <w:numPr>
          <w:ilvl w:val="0"/>
          <w:numId w:val="36"/>
        </w:numPr>
        <w:autoSpaceDE w:val="0"/>
        <w:autoSpaceDN w:val="0"/>
        <w:adjustRightInd w:val="0"/>
        <w:ind w:left="562" w:hanging="562"/>
        <w:jc w:val="both"/>
        <w:rPr>
          <w:rFonts w:ascii="Times New Roman" w:hAnsi="Times New Roman"/>
          <w:lang w:val="hr-HR"/>
        </w:rPr>
      </w:pPr>
      <w:r w:rsidRPr="00D37692">
        <w:rPr>
          <w:rFonts w:ascii="Times New Roman" w:hAnsi="Times New Roman"/>
          <w:lang w:val="hr-HR"/>
        </w:rPr>
        <w:t xml:space="preserve">CT + BV </w:t>
      </w:r>
      <w:r w:rsidR="002E42C6" w:rsidRPr="00D37692">
        <w:rPr>
          <w:rFonts w:ascii="Times New Roman" w:hAnsi="Times New Roman"/>
          <w:lang w:val="hr-HR"/>
        </w:rPr>
        <w:t xml:space="preserve">grupa </w:t>
      </w:r>
      <w:r w:rsidRPr="00D37692">
        <w:rPr>
          <w:rFonts w:ascii="Times New Roman" w:hAnsi="Times New Roman"/>
          <w:lang w:val="hr-HR"/>
        </w:rPr>
        <w:t>(hemoterapija plus bevacizumab):</w:t>
      </w:r>
    </w:p>
    <w:p w14:paraId="2784630D" w14:textId="77777777" w:rsidR="002E30F6" w:rsidRPr="00D6167B" w:rsidRDefault="002E30F6" w:rsidP="007608DF">
      <w:pPr>
        <w:widowControl/>
        <w:numPr>
          <w:ilvl w:val="1"/>
          <w:numId w:val="36"/>
        </w:numPr>
        <w:ind w:left="990"/>
        <w:jc w:val="both"/>
        <w:rPr>
          <w:rFonts w:ascii="Times New Roman" w:eastAsia="Times New Roman" w:hAnsi="Times New Roman"/>
          <w:lang w:val="hr-HR"/>
        </w:rPr>
      </w:pPr>
      <w:r w:rsidRPr="00D37692">
        <w:rPr>
          <w:rFonts w:ascii="Times New Roman" w:hAnsi="Times New Roman"/>
          <w:lang w:val="hr-HR"/>
        </w:rPr>
        <w:t>Odabrana hemoterapija kombinovana je sa bevacizumabom primjenjenim u dozi od 10 mg/kg intravenski svake 2 nedjelje (ili sa bevacizumabom u dozi od 15 mg/kg svake 3 nedjelje ako se koristio u kombinaciji sa topotekanom u dozi od 1,25 mg/m</w:t>
      </w:r>
      <w:r w:rsidRPr="00D37692">
        <w:rPr>
          <w:rFonts w:ascii="Times New Roman" w:hAnsi="Times New Roman"/>
          <w:vertAlign w:val="superscript"/>
          <w:lang w:val="hr-HR"/>
        </w:rPr>
        <w:t xml:space="preserve">2 </w:t>
      </w:r>
      <w:r w:rsidRPr="00D37692">
        <w:rPr>
          <w:rFonts w:ascii="Times New Roman" w:hAnsi="Times New Roman"/>
          <w:lang w:val="hr-HR"/>
        </w:rPr>
        <w:t>od 1. do 5. dana svake 3 nedjelje).</w:t>
      </w:r>
    </w:p>
    <w:p w14:paraId="1CD8ACC9" w14:textId="77777777" w:rsidR="002E30F6" w:rsidRPr="00D6167B" w:rsidRDefault="002E30F6" w:rsidP="007608DF">
      <w:pPr>
        <w:widowControl/>
        <w:jc w:val="both"/>
        <w:rPr>
          <w:rFonts w:ascii="Times New Roman" w:eastAsia="Times New Roman" w:hAnsi="Times New Roman"/>
          <w:lang w:val="hr-HR"/>
        </w:rPr>
      </w:pPr>
    </w:p>
    <w:p w14:paraId="3F69644D" w14:textId="74A744B3" w:rsidR="002E30F6" w:rsidRPr="00D37692" w:rsidRDefault="007410EA" w:rsidP="007608DF">
      <w:pPr>
        <w:pStyle w:val="Default"/>
        <w:jc w:val="both"/>
        <w:rPr>
          <w:color w:val="auto"/>
          <w:sz w:val="22"/>
          <w:lang w:val="hr-HR"/>
        </w:rPr>
      </w:pPr>
      <w:r>
        <w:rPr>
          <w:color w:val="auto"/>
          <w:sz w:val="22"/>
          <w:lang w:val="hr-HR"/>
        </w:rPr>
        <w:t>P</w:t>
      </w:r>
      <w:r w:rsidR="002E30F6" w:rsidRPr="00D6167B">
        <w:rPr>
          <w:color w:val="auto"/>
          <w:sz w:val="22"/>
          <w:lang w:val="hr-HR"/>
        </w:rPr>
        <w:t>acijent</w:t>
      </w:r>
      <w:r>
        <w:rPr>
          <w:color w:val="auto"/>
          <w:sz w:val="22"/>
          <w:lang w:val="hr-HR"/>
        </w:rPr>
        <w:t>kinje koje su se mogle uključiti u ispitivanje</w:t>
      </w:r>
      <w:r w:rsidR="002E30F6" w:rsidRPr="00D6167B">
        <w:rPr>
          <w:color w:val="auto"/>
          <w:sz w:val="22"/>
          <w:lang w:val="hr-HR"/>
        </w:rPr>
        <w:t xml:space="preserve"> su imal</w:t>
      </w:r>
      <w:r>
        <w:rPr>
          <w:color w:val="auto"/>
          <w:sz w:val="22"/>
          <w:lang w:val="hr-HR"/>
        </w:rPr>
        <w:t>e</w:t>
      </w:r>
      <w:r w:rsidR="002E30F6" w:rsidRPr="00D37692">
        <w:rPr>
          <w:color w:val="auto"/>
          <w:sz w:val="22"/>
          <w:lang w:val="hr-HR"/>
        </w:rPr>
        <w:t xml:space="preserve"> epitelni karcinom jajnika, jajovoda ili primarni peritonealni karcinom koji je pokazao progresiju u roku od &lt;6 mjeseci od prethodne terapije platinom koja se sastojala od najmanje 4 ciklusa terapije platinom. Pacijenti su morali da imaju očekivan životni vijek od ≥ 12 nedjelja i prethodno nijesu smjeli da budu podvrgnuti radioterapiji karlice ili abdomena. Većina pacijenata je imala bolest stadijuma IIIC ili stadijuma IV prema FIGO klasifikaciji. Većina pacijentkinja u ob</w:t>
      </w:r>
      <w:r w:rsidR="002E42C6" w:rsidRPr="00D37692">
        <w:rPr>
          <w:color w:val="auto"/>
          <w:sz w:val="22"/>
          <w:lang w:val="hr-HR"/>
        </w:rPr>
        <w:t>je grupe</w:t>
      </w:r>
      <w:r w:rsidR="00BA6F28" w:rsidRPr="00D37692">
        <w:rPr>
          <w:color w:val="auto"/>
          <w:sz w:val="22"/>
          <w:lang w:val="hr-HR"/>
        </w:rPr>
        <w:t xml:space="preserve"> </w:t>
      </w:r>
      <w:r w:rsidR="002E30F6" w:rsidRPr="00D37692">
        <w:rPr>
          <w:color w:val="auto"/>
          <w:sz w:val="22"/>
          <w:lang w:val="hr-HR"/>
        </w:rPr>
        <w:t xml:space="preserve">imala je ECOG performans status 0 (CT: 56,4% naspram CT + BV: 61,2%). Procenat pacijenata sa ECOG performans statusom 1 ili ≥ 2 bio je 38,7% i 5,0% u CT </w:t>
      </w:r>
      <w:r w:rsidR="002E42C6" w:rsidRPr="00D37692">
        <w:rPr>
          <w:color w:val="auto"/>
          <w:sz w:val="22"/>
          <w:lang w:val="hr-HR"/>
        </w:rPr>
        <w:t>grup</w:t>
      </w:r>
      <w:r w:rsidR="00BF1965" w:rsidRPr="00D37692">
        <w:rPr>
          <w:color w:val="auto"/>
          <w:sz w:val="22"/>
          <w:lang w:val="hr-HR"/>
        </w:rPr>
        <w:t>i</w:t>
      </w:r>
      <w:r w:rsidR="002E30F6" w:rsidRPr="00D37692">
        <w:rPr>
          <w:color w:val="auto"/>
          <w:sz w:val="22"/>
          <w:lang w:val="hr-HR"/>
        </w:rPr>
        <w:t>, a 29,8% i 9,0% u</w:t>
      </w:r>
      <w:r w:rsidR="002E30F6" w:rsidRPr="00D37692">
        <w:rPr>
          <w:color w:val="auto"/>
          <w:lang w:val="hr-HR"/>
        </w:rPr>
        <w:t xml:space="preserve"> </w:t>
      </w:r>
      <w:r w:rsidR="002E30F6" w:rsidRPr="00D37692">
        <w:rPr>
          <w:color w:val="auto"/>
          <w:sz w:val="22"/>
          <w:lang w:val="hr-HR"/>
        </w:rPr>
        <w:t xml:space="preserve">CT + BV </w:t>
      </w:r>
      <w:r w:rsidR="002E42C6" w:rsidRPr="00D37692">
        <w:rPr>
          <w:color w:val="auto"/>
          <w:sz w:val="22"/>
          <w:lang w:val="hr-HR"/>
        </w:rPr>
        <w:t>grupi</w:t>
      </w:r>
      <w:r w:rsidR="002E30F6" w:rsidRPr="00D37692">
        <w:rPr>
          <w:color w:val="auto"/>
          <w:sz w:val="22"/>
          <w:lang w:val="hr-HR"/>
        </w:rPr>
        <w:t xml:space="preserve">. Podaci o rasi su dostupni za 29,3% pacijenata i gotovo svi su bili bijele rase. Srednja starost ispitanika iznosila je 61,0 godina (opseg: 25–84). Ukupno 16 pacijenata (4,4%) bilo je starije od 75 godina. Ukupne stope prekida terapije zbog neželjenih dejstava iznosile su 8,8% u CT </w:t>
      </w:r>
      <w:r w:rsidR="002E42C6" w:rsidRPr="00D37692">
        <w:rPr>
          <w:color w:val="auto"/>
          <w:sz w:val="22"/>
          <w:lang w:val="hr-HR"/>
        </w:rPr>
        <w:t xml:space="preserve">grupi </w:t>
      </w:r>
      <w:r w:rsidR="002E30F6" w:rsidRPr="00D37692">
        <w:rPr>
          <w:color w:val="auto"/>
          <w:sz w:val="22"/>
          <w:lang w:val="hr-HR"/>
        </w:rPr>
        <w:t xml:space="preserve">i 43,6% u CT+BV </w:t>
      </w:r>
      <w:r w:rsidR="002E42C6" w:rsidRPr="00D37692">
        <w:rPr>
          <w:color w:val="auto"/>
          <w:sz w:val="22"/>
          <w:lang w:val="hr-HR"/>
        </w:rPr>
        <w:t xml:space="preserve">grupi </w:t>
      </w:r>
      <w:r w:rsidR="002E30F6" w:rsidRPr="00D37692">
        <w:rPr>
          <w:color w:val="auto"/>
          <w:sz w:val="22"/>
          <w:lang w:val="hr-HR"/>
        </w:rPr>
        <w:t xml:space="preserve">(uglavnom zbog neželjenih dejstava gradusa 2–3), a srednje vrijeme do prekida terapije u CT+BV </w:t>
      </w:r>
      <w:r w:rsidR="00BA6F28" w:rsidRPr="00D37692">
        <w:rPr>
          <w:color w:val="auto"/>
          <w:sz w:val="22"/>
          <w:lang w:val="hr-HR"/>
        </w:rPr>
        <w:t xml:space="preserve">grupi </w:t>
      </w:r>
      <w:r w:rsidR="002E30F6" w:rsidRPr="00D37692">
        <w:rPr>
          <w:color w:val="auto"/>
          <w:sz w:val="22"/>
          <w:lang w:val="hr-HR"/>
        </w:rPr>
        <w:t>iznosilo je 5,2 m</w:t>
      </w:r>
      <w:r w:rsidR="002E42C6" w:rsidRPr="00D37692">
        <w:rPr>
          <w:color w:val="auto"/>
          <w:sz w:val="22"/>
          <w:lang w:val="hr-HR"/>
        </w:rPr>
        <w:t>j</w:t>
      </w:r>
      <w:r w:rsidR="002E30F6" w:rsidRPr="00D37692">
        <w:rPr>
          <w:color w:val="auto"/>
          <w:sz w:val="22"/>
          <w:lang w:val="hr-HR"/>
        </w:rPr>
        <w:t>eseci u poređenju sa 2,4 m</w:t>
      </w:r>
      <w:r w:rsidR="002E42C6" w:rsidRPr="00D37692">
        <w:rPr>
          <w:color w:val="auto"/>
          <w:sz w:val="22"/>
          <w:lang w:val="hr-HR"/>
        </w:rPr>
        <w:t>j</w:t>
      </w:r>
      <w:r w:rsidR="002E30F6" w:rsidRPr="00D37692">
        <w:rPr>
          <w:color w:val="auto"/>
          <w:sz w:val="22"/>
          <w:lang w:val="hr-HR"/>
        </w:rPr>
        <w:t xml:space="preserve">eseci u CT </w:t>
      </w:r>
      <w:r w:rsidR="002E42C6" w:rsidRPr="00D37692">
        <w:rPr>
          <w:color w:val="auto"/>
          <w:sz w:val="22"/>
          <w:lang w:val="hr-HR"/>
        </w:rPr>
        <w:t>grupi</w:t>
      </w:r>
      <w:r w:rsidR="002E30F6" w:rsidRPr="00D37692">
        <w:rPr>
          <w:color w:val="auto"/>
          <w:sz w:val="22"/>
          <w:lang w:val="hr-HR"/>
        </w:rPr>
        <w:t xml:space="preserve">. Stope prekida terapije zbog neželjenih dejstava u podgrupi pacijenata starijih od 65 godina iznosile su 8,8% u CT </w:t>
      </w:r>
      <w:r w:rsidR="002E42C6" w:rsidRPr="00D37692">
        <w:rPr>
          <w:color w:val="auto"/>
          <w:sz w:val="22"/>
          <w:lang w:val="hr-HR"/>
        </w:rPr>
        <w:t xml:space="preserve">grupi </w:t>
      </w:r>
      <w:r w:rsidR="002E30F6" w:rsidRPr="00D37692">
        <w:rPr>
          <w:color w:val="auto"/>
          <w:sz w:val="22"/>
          <w:lang w:val="hr-HR"/>
        </w:rPr>
        <w:t xml:space="preserve">i 50,0% u CT+BV </w:t>
      </w:r>
      <w:r w:rsidR="002E42C6" w:rsidRPr="00D37692">
        <w:rPr>
          <w:color w:val="auto"/>
          <w:sz w:val="22"/>
          <w:lang w:val="hr-HR"/>
        </w:rPr>
        <w:t>grupi</w:t>
      </w:r>
      <w:r w:rsidR="002E30F6" w:rsidRPr="00D37692">
        <w:rPr>
          <w:color w:val="auto"/>
          <w:sz w:val="22"/>
          <w:lang w:val="hr-HR"/>
        </w:rPr>
        <w:t xml:space="preserve">. Odnos rizika za preživljavanje bez progresije bolesti iznosio je 0,47 (95% CI: 0,35, 0,62) za podgrupu starosti &lt; 65 i 0,45 (95% CI: 0,31, 0,67) za podgrupu starosti ≥ 65. </w:t>
      </w:r>
    </w:p>
    <w:p w14:paraId="4939AA2D" w14:textId="77777777" w:rsidR="002E30F6" w:rsidRPr="00D37692" w:rsidRDefault="002E30F6" w:rsidP="007608DF">
      <w:pPr>
        <w:pStyle w:val="Default"/>
        <w:jc w:val="both"/>
        <w:rPr>
          <w:color w:val="auto"/>
          <w:sz w:val="22"/>
          <w:lang w:val="hr-HR"/>
        </w:rPr>
      </w:pPr>
    </w:p>
    <w:p w14:paraId="44424FC6" w14:textId="77777777" w:rsidR="002E30F6" w:rsidRPr="00D6167B" w:rsidRDefault="002E30F6" w:rsidP="007608DF">
      <w:pPr>
        <w:widowControl/>
        <w:jc w:val="both"/>
        <w:rPr>
          <w:rFonts w:ascii="Times New Roman" w:eastAsia="Times New Roman" w:hAnsi="Times New Roman"/>
          <w:lang w:val="hr-HR"/>
        </w:rPr>
      </w:pPr>
      <w:r w:rsidRPr="00D37692">
        <w:rPr>
          <w:rFonts w:ascii="Times New Roman" w:hAnsi="Times New Roman"/>
          <w:lang w:val="hr-HR"/>
        </w:rPr>
        <w:t>Primarni parametar efikasnosti bilo je preživljavanje bez progresije bolesti, dok su sekundarni parametri efikasnosti bili stopa objektivnog odgovora i ukupno preživljavanje. Rezultati su prikazani u tabeli 23.</w:t>
      </w:r>
    </w:p>
    <w:p w14:paraId="3EFB2716" w14:textId="77777777" w:rsidR="002E30F6" w:rsidRPr="00D6167B" w:rsidRDefault="002E30F6" w:rsidP="007608DF">
      <w:pPr>
        <w:widowControl/>
        <w:jc w:val="both"/>
        <w:rPr>
          <w:rFonts w:ascii="Times New Roman" w:eastAsia="Times New Roman" w:hAnsi="Times New Roman"/>
          <w:lang w:val="hr-HR"/>
        </w:rPr>
      </w:pPr>
    </w:p>
    <w:p w14:paraId="44174DC2" w14:textId="77777777" w:rsidR="002E30F6" w:rsidRPr="00D6167B" w:rsidRDefault="002E30F6" w:rsidP="007608DF">
      <w:pPr>
        <w:pStyle w:val="Heading1"/>
        <w:widowControl/>
        <w:tabs>
          <w:tab w:val="left" w:pos="1273"/>
        </w:tabs>
        <w:ind w:left="0"/>
        <w:jc w:val="both"/>
        <w:rPr>
          <w:b w:val="0"/>
          <w:bCs w:val="0"/>
          <w:lang w:val="hr-HR"/>
        </w:rPr>
      </w:pPr>
      <w:r w:rsidRPr="00D6167B">
        <w:rPr>
          <w:lang w:val="hr-HR"/>
        </w:rPr>
        <w:t>Tabela 23</w:t>
      </w:r>
      <w:r w:rsidRPr="00D6167B">
        <w:rPr>
          <w:lang w:val="hr-HR"/>
        </w:rPr>
        <w:tab/>
        <w:t>Rezultati efikasnosti iz studije MO22224</w:t>
      </w:r>
    </w:p>
    <w:p w14:paraId="4D0EF25A" w14:textId="77777777" w:rsidR="002E30F6" w:rsidRPr="00D6167B" w:rsidRDefault="002E30F6" w:rsidP="007608DF">
      <w:pPr>
        <w:widowControl/>
        <w:spacing w:before="10"/>
        <w:jc w:val="both"/>
        <w:rPr>
          <w:rFonts w:ascii="Times New Roman" w:eastAsia="Times New Roman" w:hAnsi="Times New Roman"/>
          <w:b/>
          <w:bCs/>
          <w:sz w:val="21"/>
          <w:szCs w:val="21"/>
          <w:lang w:val="hr-HR"/>
        </w:rPr>
      </w:pPr>
    </w:p>
    <w:tbl>
      <w:tblPr>
        <w:tblW w:w="5000" w:type="pct"/>
        <w:tblLayout w:type="fixed"/>
        <w:tblCellMar>
          <w:left w:w="115" w:type="dxa"/>
          <w:right w:w="115" w:type="dxa"/>
        </w:tblCellMar>
        <w:tblLook w:val="01E0" w:firstRow="1" w:lastRow="1" w:firstColumn="1" w:lastColumn="1" w:noHBand="0" w:noVBand="0"/>
      </w:tblPr>
      <w:tblGrid>
        <w:gridCol w:w="4466"/>
        <w:gridCol w:w="2078"/>
        <w:gridCol w:w="2532"/>
      </w:tblGrid>
      <w:tr w:rsidR="002E30F6" w:rsidRPr="00D6167B" w14:paraId="761E5F72"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51744F98"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Primarni parametar efikasnosti</w:t>
            </w:r>
          </w:p>
        </w:tc>
      </w:tr>
      <w:tr w:rsidR="002E30F6" w:rsidRPr="00D6167B" w14:paraId="73B37F2E"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06408178"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Pre</w:t>
            </w:r>
            <w:r w:rsidRPr="00D6167B">
              <w:rPr>
                <w:rFonts w:ascii="Times New Roman"/>
                <w:lang w:val="hr-HR"/>
              </w:rPr>
              <w:t>ž</w:t>
            </w:r>
            <w:r w:rsidRPr="00D6167B">
              <w:rPr>
                <w:rFonts w:ascii="Times New Roman"/>
                <w:lang w:val="hr-HR"/>
              </w:rPr>
              <w:t>ivljavanje bez progresije*</w:t>
            </w:r>
          </w:p>
        </w:tc>
      </w:tr>
      <w:tr w:rsidR="002E30F6" w:rsidRPr="00D6167B" w14:paraId="54FFB14A"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4822F674" w14:textId="77777777" w:rsidR="002E30F6" w:rsidRPr="00D6167B" w:rsidRDefault="002E30F6" w:rsidP="007608DF">
            <w:pPr>
              <w:widowControl/>
              <w:jc w:val="both"/>
              <w:rPr>
                <w:lang w:val="hr-HR"/>
              </w:rPr>
            </w:pPr>
          </w:p>
        </w:tc>
        <w:tc>
          <w:tcPr>
            <w:tcW w:w="2093" w:type="dxa"/>
            <w:tcBorders>
              <w:top w:val="single" w:sz="5" w:space="0" w:color="000000"/>
              <w:left w:val="single" w:sz="5" w:space="0" w:color="000000"/>
              <w:bottom w:val="single" w:sz="5" w:space="0" w:color="000000"/>
              <w:right w:val="single" w:sz="5" w:space="0" w:color="000000"/>
            </w:tcBorders>
          </w:tcPr>
          <w:p w14:paraId="0055ABF7" w14:textId="50036F1A" w:rsidR="005364BB" w:rsidRPr="00D6167B" w:rsidRDefault="002E30F6" w:rsidP="00D37692">
            <w:pPr>
              <w:pStyle w:val="TableParagraph"/>
              <w:widowControl/>
              <w:ind w:firstLine="213"/>
              <w:jc w:val="center"/>
              <w:rPr>
                <w:rFonts w:ascii="Times New Roman"/>
                <w:spacing w:val="19"/>
                <w:lang w:val="hr-HR"/>
              </w:rPr>
            </w:pPr>
            <w:r w:rsidRPr="00D6167B">
              <w:rPr>
                <w:rFonts w:ascii="Times New Roman"/>
                <w:lang w:val="hr-HR"/>
              </w:rPr>
              <w:t>CT</w:t>
            </w:r>
          </w:p>
          <w:p w14:paraId="71B2E4D1" w14:textId="77777777" w:rsidR="002E30F6" w:rsidRPr="00D6167B" w:rsidRDefault="002E30F6" w:rsidP="00D37692">
            <w:pPr>
              <w:pStyle w:val="TableParagraph"/>
              <w:widowControl/>
              <w:ind w:firstLine="213"/>
              <w:jc w:val="center"/>
              <w:rPr>
                <w:rFonts w:ascii="Times New Roman" w:eastAsia="Times New Roman" w:hAnsi="Times New Roman"/>
                <w:lang w:val="hr-HR"/>
              </w:rPr>
            </w:pPr>
            <w:r w:rsidRPr="00D6167B">
              <w:rPr>
                <w:rFonts w:ascii="Times New Roman"/>
                <w:lang w:val="hr-HR"/>
              </w:rPr>
              <w:t>(n=182)</w:t>
            </w:r>
          </w:p>
        </w:tc>
        <w:tc>
          <w:tcPr>
            <w:tcW w:w="2551" w:type="dxa"/>
            <w:tcBorders>
              <w:top w:val="single" w:sz="5" w:space="0" w:color="000000"/>
              <w:left w:val="single" w:sz="5" w:space="0" w:color="000000"/>
              <w:bottom w:val="single" w:sz="5" w:space="0" w:color="000000"/>
              <w:right w:val="single" w:sz="5" w:space="0" w:color="000000"/>
            </w:tcBorders>
          </w:tcPr>
          <w:p w14:paraId="770107B5" w14:textId="2ECA1DD3" w:rsidR="005364BB" w:rsidRPr="00D6167B" w:rsidRDefault="002E30F6" w:rsidP="00D37692">
            <w:pPr>
              <w:pStyle w:val="TableParagraph"/>
              <w:widowControl/>
              <w:ind w:hanging="4"/>
              <w:jc w:val="center"/>
              <w:rPr>
                <w:rFonts w:ascii="Times New Roman"/>
                <w:spacing w:val="20"/>
                <w:lang w:val="hr-HR"/>
              </w:rPr>
            </w:pPr>
            <w:r w:rsidRPr="00D6167B">
              <w:rPr>
                <w:rFonts w:ascii="Times New Roman"/>
                <w:lang w:val="hr-HR"/>
              </w:rPr>
              <w:t>CT + BV</w:t>
            </w:r>
          </w:p>
          <w:p w14:paraId="7D9194A0" w14:textId="77777777" w:rsidR="002E30F6" w:rsidRPr="00D6167B" w:rsidRDefault="002E30F6" w:rsidP="00D37692">
            <w:pPr>
              <w:pStyle w:val="TableParagraph"/>
              <w:widowControl/>
              <w:ind w:hanging="4"/>
              <w:jc w:val="center"/>
              <w:rPr>
                <w:rFonts w:ascii="Times New Roman" w:eastAsia="Times New Roman" w:hAnsi="Times New Roman"/>
                <w:lang w:val="hr-HR"/>
              </w:rPr>
            </w:pPr>
            <w:r w:rsidRPr="00D6167B">
              <w:rPr>
                <w:rFonts w:ascii="Times New Roman"/>
                <w:lang w:val="hr-HR"/>
              </w:rPr>
              <w:t>(n=179)</w:t>
            </w:r>
          </w:p>
        </w:tc>
      </w:tr>
      <w:tr w:rsidR="002E30F6" w:rsidRPr="00D6167B" w14:paraId="412C6B46"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704144C3"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Srednja vrijednost (mjeseci)</w:t>
            </w:r>
          </w:p>
        </w:tc>
        <w:tc>
          <w:tcPr>
            <w:tcW w:w="2093" w:type="dxa"/>
            <w:tcBorders>
              <w:top w:val="single" w:sz="5" w:space="0" w:color="000000"/>
              <w:left w:val="single" w:sz="5" w:space="0" w:color="000000"/>
              <w:bottom w:val="single" w:sz="5" w:space="0" w:color="000000"/>
              <w:right w:val="single" w:sz="5" w:space="0" w:color="000000"/>
            </w:tcBorders>
          </w:tcPr>
          <w:p w14:paraId="12F7E7BA"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3,4</w:t>
            </w:r>
          </w:p>
        </w:tc>
        <w:tc>
          <w:tcPr>
            <w:tcW w:w="2551" w:type="dxa"/>
            <w:tcBorders>
              <w:top w:val="single" w:sz="5" w:space="0" w:color="000000"/>
              <w:left w:val="single" w:sz="5" w:space="0" w:color="000000"/>
              <w:bottom w:val="single" w:sz="5" w:space="0" w:color="000000"/>
              <w:right w:val="single" w:sz="5" w:space="0" w:color="000000"/>
            </w:tcBorders>
          </w:tcPr>
          <w:p w14:paraId="4B8179DA"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6,7</w:t>
            </w:r>
          </w:p>
        </w:tc>
      </w:tr>
      <w:tr w:rsidR="002E30F6" w:rsidRPr="00D6167B" w14:paraId="5313EDD5"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601C366B"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Odnos rizika (95% CI)</w:t>
            </w:r>
          </w:p>
        </w:tc>
        <w:tc>
          <w:tcPr>
            <w:tcW w:w="4644" w:type="dxa"/>
            <w:gridSpan w:val="2"/>
            <w:tcBorders>
              <w:top w:val="single" w:sz="5" w:space="0" w:color="000000"/>
              <w:left w:val="single" w:sz="5" w:space="0" w:color="000000"/>
              <w:bottom w:val="single" w:sz="5" w:space="0" w:color="000000"/>
              <w:right w:val="single" w:sz="5" w:space="0" w:color="000000"/>
            </w:tcBorders>
          </w:tcPr>
          <w:p w14:paraId="3560867B"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0,379 [0,296, 0,485]</w:t>
            </w:r>
          </w:p>
        </w:tc>
      </w:tr>
      <w:tr w:rsidR="002E30F6" w:rsidRPr="00D6167B" w14:paraId="080764B3"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3E97D35B"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Vrijednost p</w:t>
            </w:r>
          </w:p>
        </w:tc>
        <w:tc>
          <w:tcPr>
            <w:tcW w:w="4644" w:type="dxa"/>
            <w:gridSpan w:val="2"/>
            <w:tcBorders>
              <w:top w:val="single" w:sz="5" w:space="0" w:color="000000"/>
              <w:left w:val="single" w:sz="5" w:space="0" w:color="000000"/>
              <w:bottom w:val="single" w:sz="5" w:space="0" w:color="000000"/>
              <w:right w:val="single" w:sz="5" w:space="0" w:color="000000"/>
            </w:tcBorders>
          </w:tcPr>
          <w:p w14:paraId="61940EC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&lt; 0,0001</w:t>
            </w:r>
          </w:p>
        </w:tc>
      </w:tr>
      <w:tr w:rsidR="002E30F6" w:rsidRPr="00D6167B" w14:paraId="369F45EA"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1EAEE54C"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Sekundarni parametri efikasnosti</w:t>
            </w:r>
          </w:p>
        </w:tc>
      </w:tr>
      <w:tr w:rsidR="002E30F6" w:rsidRPr="00D6167B" w14:paraId="098C6552"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1749E96B"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lang w:val="hr-HR"/>
              </w:rPr>
              <w:t>Stopa objektivnog odgovora**</w:t>
            </w:r>
          </w:p>
        </w:tc>
      </w:tr>
      <w:tr w:rsidR="002E30F6" w:rsidRPr="00D6167B" w14:paraId="2429A233"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6A17BE26" w14:textId="77777777" w:rsidR="002E30F6" w:rsidRPr="00D6167B" w:rsidRDefault="002E30F6" w:rsidP="007608DF">
            <w:pPr>
              <w:widowControl/>
              <w:jc w:val="both"/>
              <w:rPr>
                <w:lang w:val="hr-HR"/>
              </w:rPr>
            </w:pPr>
          </w:p>
        </w:tc>
        <w:tc>
          <w:tcPr>
            <w:tcW w:w="2093" w:type="dxa"/>
            <w:tcBorders>
              <w:top w:val="single" w:sz="5" w:space="0" w:color="000000"/>
              <w:left w:val="single" w:sz="5" w:space="0" w:color="000000"/>
              <w:bottom w:val="single" w:sz="5" w:space="0" w:color="000000"/>
              <w:right w:val="single" w:sz="5" w:space="0" w:color="000000"/>
            </w:tcBorders>
          </w:tcPr>
          <w:p w14:paraId="2BE69CF6" w14:textId="1AE6F847" w:rsidR="005364BB" w:rsidRPr="00D6167B" w:rsidRDefault="002E30F6" w:rsidP="00D37692">
            <w:pPr>
              <w:pStyle w:val="TableParagraph"/>
              <w:widowControl/>
              <w:ind w:firstLine="213"/>
              <w:jc w:val="center"/>
              <w:rPr>
                <w:rFonts w:ascii="Times New Roman"/>
                <w:spacing w:val="19"/>
                <w:lang w:val="hr-HR"/>
              </w:rPr>
            </w:pPr>
            <w:r w:rsidRPr="00D6167B">
              <w:rPr>
                <w:rFonts w:ascii="Times New Roman"/>
                <w:lang w:val="hr-HR"/>
              </w:rPr>
              <w:t>CT</w:t>
            </w:r>
          </w:p>
          <w:p w14:paraId="49204516" w14:textId="77777777" w:rsidR="002E30F6" w:rsidRPr="00D6167B" w:rsidRDefault="002E30F6" w:rsidP="00D37692">
            <w:pPr>
              <w:pStyle w:val="TableParagraph"/>
              <w:widowControl/>
              <w:ind w:firstLine="213"/>
              <w:jc w:val="center"/>
              <w:rPr>
                <w:rFonts w:ascii="Times New Roman" w:eastAsia="Times New Roman" w:hAnsi="Times New Roman"/>
                <w:lang w:val="hr-HR"/>
              </w:rPr>
            </w:pPr>
            <w:r w:rsidRPr="00D6167B">
              <w:rPr>
                <w:rFonts w:ascii="Times New Roman"/>
                <w:lang w:val="hr-HR"/>
              </w:rPr>
              <w:t>(n=144)</w:t>
            </w:r>
          </w:p>
        </w:tc>
        <w:tc>
          <w:tcPr>
            <w:tcW w:w="2551" w:type="dxa"/>
            <w:tcBorders>
              <w:top w:val="single" w:sz="5" w:space="0" w:color="000000"/>
              <w:left w:val="single" w:sz="5" w:space="0" w:color="000000"/>
              <w:bottom w:val="single" w:sz="5" w:space="0" w:color="000000"/>
              <w:right w:val="single" w:sz="5" w:space="0" w:color="000000"/>
            </w:tcBorders>
          </w:tcPr>
          <w:p w14:paraId="76072DE9" w14:textId="29CF805B" w:rsidR="005364BB" w:rsidRPr="00D6167B" w:rsidRDefault="002E30F6" w:rsidP="00D37692">
            <w:pPr>
              <w:pStyle w:val="TableParagraph"/>
              <w:widowControl/>
              <w:ind w:hanging="4"/>
              <w:jc w:val="center"/>
              <w:rPr>
                <w:rFonts w:ascii="Times New Roman"/>
                <w:spacing w:val="20"/>
                <w:lang w:val="hr-HR"/>
              </w:rPr>
            </w:pPr>
            <w:r w:rsidRPr="00D6167B">
              <w:rPr>
                <w:rFonts w:ascii="Times New Roman"/>
                <w:lang w:val="hr-HR"/>
              </w:rPr>
              <w:t>CT + BV</w:t>
            </w:r>
          </w:p>
          <w:p w14:paraId="0C794A72" w14:textId="77777777" w:rsidR="002E30F6" w:rsidRPr="00D6167B" w:rsidRDefault="002E30F6" w:rsidP="00D37692">
            <w:pPr>
              <w:pStyle w:val="TableParagraph"/>
              <w:widowControl/>
              <w:ind w:hanging="4"/>
              <w:jc w:val="center"/>
              <w:rPr>
                <w:rFonts w:ascii="Times New Roman" w:eastAsia="Times New Roman" w:hAnsi="Times New Roman"/>
                <w:lang w:val="hr-HR"/>
              </w:rPr>
            </w:pPr>
            <w:r w:rsidRPr="00D6167B">
              <w:rPr>
                <w:rFonts w:ascii="Times New Roman"/>
                <w:lang w:val="hr-HR"/>
              </w:rPr>
              <w:t>(n=142)</w:t>
            </w:r>
          </w:p>
        </w:tc>
      </w:tr>
      <w:tr w:rsidR="002E30F6" w:rsidRPr="00D6167B" w14:paraId="17BBD7FC"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6C404D80"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 pacijenata sa objektivnim odgovorom</w:t>
            </w:r>
          </w:p>
        </w:tc>
        <w:tc>
          <w:tcPr>
            <w:tcW w:w="2093" w:type="dxa"/>
            <w:tcBorders>
              <w:top w:val="single" w:sz="5" w:space="0" w:color="000000"/>
              <w:left w:val="single" w:sz="5" w:space="0" w:color="000000"/>
              <w:bottom w:val="single" w:sz="5" w:space="0" w:color="000000"/>
              <w:right w:val="single" w:sz="5" w:space="0" w:color="000000"/>
            </w:tcBorders>
          </w:tcPr>
          <w:p w14:paraId="79EA1292"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18 (12,5%)</w:t>
            </w:r>
          </w:p>
        </w:tc>
        <w:tc>
          <w:tcPr>
            <w:tcW w:w="2551" w:type="dxa"/>
            <w:tcBorders>
              <w:top w:val="single" w:sz="5" w:space="0" w:color="000000"/>
              <w:left w:val="single" w:sz="5" w:space="0" w:color="000000"/>
              <w:bottom w:val="single" w:sz="5" w:space="0" w:color="000000"/>
              <w:right w:val="single" w:sz="5" w:space="0" w:color="000000"/>
            </w:tcBorders>
          </w:tcPr>
          <w:p w14:paraId="23D75A9C"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40 (28,2%)</w:t>
            </w:r>
          </w:p>
        </w:tc>
      </w:tr>
      <w:tr w:rsidR="002E30F6" w:rsidRPr="00D6167B" w14:paraId="29EA5A9A"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C5992B3"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hAnsi="Times New Roman"/>
                <w:lang w:val="hr-HR"/>
              </w:rPr>
              <w:t>Vrijednost p</w:t>
            </w:r>
          </w:p>
        </w:tc>
        <w:tc>
          <w:tcPr>
            <w:tcW w:w="4644" w:type="dxa"/>
            <w:gridSpan w:val="2"/>
            <w:tcBorders>
              <w:top w:val="single" w:sz="5" w:space="0" w:color="000000"/>
              <w:left w:val="single" w:sz="5" w:space="0" w:color="000000"/>
              <w:bottom w:val="single" w:sz="5" w:space="0" w:color="000000"/>
              <w:right w:val="single" w:sz="5" w:space="0" w:color="000000"/>
            </w:tcBorders>
          </w:tcPr>
          <w:p w14:paraId="335DA0B0"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0,0007</w:t>
            </w:r>
          </w:p>
        </w:tc>
      </w:tr>
      <w:tr w:rsidR="002E30F6" w:rsidRPr="00D6167B" w14:paraId="3530E6B8"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EA2978B"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Ukupno pre</w:t>
            </w:r>
            <w:r w:rsidRPr="00D6167B">
              <w:rPr>
                <w:rFonts w:ascii="Times New Roman"/>
                <w:lang w:val="hr-HR"/>
              </w:rPr>
              <w:t>ž</w:t>
            </w:r>
            <w:r w:rsidRPr="00D6167B">
              <w:rPr>
                <w:rFonts w:ascii="Times New Roman"/>
                <w:lang w:val="hr-HR"/>
              </w:rPr>
              <w:t>ivljavanje (finalna analiza)***</w:t>
            </w:r>
          </w:p>
        </w:tc>
        <w:tc>
          <w:tcPr>
            <w:tcW w:w="4644" w:type="dxa"/>
            <w:gridSpan w:val="2"/>
            <w:tcBorders>
              <w:top w:val="single" w:sz="5" w:space="0" w:color="000000"/>
              <w:left w:val="single" w:sz="5" w:space="0" w:color="000000"/>
              <w:bottom w:val="single" w:sz="5" w:space="0" w:color="000000"/>
              <w:right w:val="single" w:sz="5" w:space="0" w:color="000000"/>
            </w:tcBorders>
          </w:tcPr>
          <w:p w14:paraId="5E9C81EA" w14:textId="77777777" w:rsidR="002E30F6" w:rsidRPr="00D6167B" w:rsidRDefault="002E30F6" w:rsidP="00D37692">
            <w:pPr>
              <w:widowControl/>
              <w:jc w:val="center"/>
              <w:rPr>
                <w:lang w:val="hr-HR"/>
              </w:rPr>
            </w:pPr>
          </w:p>
        </w:tc>
      </w:tr>
      <w:tr w:rsidR="002E30F6" w:rsidRPr="00D6167B" w14:paraId="55191C13"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300FEC39" w14:textId="77777777" w:rsidR="002E30F6" w:rsidRPr="00D6167B" w:rsidRDefault="002E30F6" w:rsidP="007608DF">
            <w:pPr>
              <w:widowControl/>
              <w:jc w:val="both"/>
              <w:rPr>
                <w:lang w:val="hr-HR"/>
              </w:rPr>
            </w:pPr>
          </w:p>
        </w:tc>
        <w:tc>
          <w:tcPr>
            <w:tcW w:w="2093" w:type="dxa"/>
            <w:tcBorders>
              <w:top w:val="single" w:sz="5" w:space="0" w:color="000000"/>
              <w:left w:val="single" w:sz="5" w:space="0" w:color="000000"/>
              <w:bottom w:val="single" w:sz="5" w:space="0" w:color="000000"/>
              <w:right w:val="single" w:sz="5" w:space="0" w:color="000000"/>
            </w:tcBorders>
          </w:tcPr>
          <w:p w14:paraId="6DE61634" w14:textId="187BDE41" w:rsidR="005364BB" w:rsidRPr="00D6167B" w:rsidRDefault="002E30F6" w:rsidP="00D37692">
            <w:pPr>
              <w:pStyle w:val="TableParagraph"/>
              <w:widowControl/>
              <w:ind w:firstLine="213"/>
              <w:jc w:val="center"/>
              <w:rPr>
                <w:rFonts w:ascii="Times New Roman"/>
                <w:spacing w:val="19"/>
                <w:lang w:val="hr-HR"/>
              </w:rPr>
            </w:pPr>
            <w:r w:rsidRPr="00D6167B">
              <w:rPr>
                <w:rFonts w:ascii="Times New Roman"/>
                <w:lang w:val="hr-HR"/>
              </w:rPr>
              <w:t>CT</w:t>
            </w:r>
          </w:p>
          <w:p w14:paraId="2EEEBE61" w14:textId="77777777" w:rsidR="002E30F6" w:rsidRPr="00D6167B" w:rsidRDefault="002E30F6" w:rsidP="00D37692">
            <w:pPr>
              <w:pStyle w:val="TableParagraph"/>
              <w:widowControl/>
              <w:ind w:firstLine="213"/>
              <w:jc w:val="center"/>
              <w:rPr>
                <w:rFonts w:ascii="Times New Roman" w:eastAsia="Times New Roman" w:hAnsi="Times New Roman"/>
                <w:lang w:val="hr-HR"/>
              </w:rPr>
            </w:pPr>
            <w:r w:rsidRPr="00D6167B">
              <w:rPr>
                <w:rFonts w:ascii="Times New Roman"/>
                <w:lang w:val="hr-HR"/>
              </w:rPr>
              <w:t>(n=182)</w:t>
            </w:r>
          </w:p>
        </w:tc>
        <w:tc>
          <w:tcPr>
            <w:tcW w:w="2551" w:type="dxa"/>
            <w:tcBorders>
              <w:top w:val="single" w:sz="5" w:space="0" w:color="000000"/>
              <w:left w:val="single" w:sz="5" w:space="0" w:color="000000"/>
              <w:bottom w:val="single" w:sz="5" w:space="0" w:color="000000"/>
              <w:right w:val="single" w:sz="5" w:space="0" w:color="000000"/>
            </w:tcBorders>
          </w:tcPr>
          <w:p w14:paraId="180A61E3" w14:textId="630A2A1E" w:rsidR="005364BB" w:rsidRPr="00D6167B" w:rsidRDefault="002E30F6" w:rsidP="00D37692">
            <w:pPr>
              <w:pStyle w:val="TableParagraph"/>
              <w:widowControl/>
              <w:ind w:hanging="4"/>
              <w:jc w:val="center"/>
              <w:rPr>
                <w:rFonts w:ascii="Times New Roman"/>
                <w:spacing w:val="20"/>
                <w:lang w:val="hr-HR"/>
              </w:rPr>
            </w:pPr>
            <w:r w:rsidRPr="00D6167B">
              <w:rPr>
                <w:rFonts w:ascii="Times New Roman"/>
                <w:lang w:val="hr-HR"/>
              </w:rPr>
              <w:t>CT + BV</w:t>
            </w:r>
          </w:p>
          <w:p w14:paraId="615A025A" w14:textId="77777777" w:rsidR="002E30F6" w:rsidRPr="00D6167B" w:rsidRDefault="002E30F6" w:rsidP="00D37692">
            <w:pPr>
              <w:pStyle w:val="TableParagraph"/>
              <w:widowControl/>
              <w:ind w:hanging="4"/>
              <w:jc w:val="center"/>
              <w:rPr>
                <w:rFonts w:ascii="Times New Roman" w:eastAsia="Times New Roman" w:hAnsi="Times New Roman"/>
                <w:lang w:val="hr-HR"/>
              </w:rPr>
            </w:pPr>
            <w:r w:rsidRPr="00D6167B">
              <w:rPr>
                <w:rFonts w:ascii="Times New Roman"/>
                <w:lang w:val="hr-HR"/>
              </w:rPr>
              <w:t>(n=179)</w:t>
            </w:r>
          </w:p>
        </w:tc>
      </w:tr>
      <w:tr w:rsidR="002E30F6" w:rsidRPr="00D6167B" w14:paraId="59D37C5F"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3F56D587"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Srednja vrijednost OS (mjeseci)</w:t>
            </w:r>
          </w:p>
        </w:tc>
        <w:tc>
          <w:tcPr>
            <w:tcW w:w="2093" w:type="dxa"/>
            <w:tcBorders>
              <w:top w:val="single" w:sz="5" w:space="0" w:color="000000"/>
              <w:left w:val="single" w:sz="5" w:space="0" w:color="000000"/>
              <w:bottom w:val="single" w:sz="5" w:space="0" w:color="000000"/>
              <w:right w:val="single" w:sz="5" w:space="0" w:color="000000"/>
            </w:tcBorders>
          </w:tcPr>
          <w:p w14:paraId="014A609B"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13,3</w:t>
            </w:r>
          </w:p>
        </w:tc>
        <w:tc>
          <w:tcPr>
            <w:tcW w:w="2551" w:type="dxa"/>
            <w:tcBorders>
              <w:top w:val="single" w:sz="5" w:space="0" w:color="000000"/>
              <w:left w:val="single" w:sz="5" w:space="0" w:color="000000"/>
              <w:bottom w:val="single" w:sz="5" w:space="0" w:color="000000"/>
              <w:right w:val="single" w:sz="5" w:space="0" w:color="000000"/>
            </w:tcBorders>
          </w:tcPr>
          <w:p w14:paraId="1D68D581"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16,6</w:t>
            </w:r>
          </w:p>
        </w:tc>
      </w:tr>
      <w:tr w:rsidR="002E30F6" w:rsidRPr="00D6167B" w14:paraId="0D3DE416"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21572AEF"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lastRenderedPageBreak/>
              <w:t>Odnos rizika (95% CI)</w:t>
            </w:r>
          </w:p>
        </w:tc>
        <w:tc>
          <w:tcPr>
            <w:tcW w:w="4644" w:type="dxa"/>
            <w:gridSpan w:val="2"/>
            <w:tcBorders>
              <w:top w:val="single" w:sz="5" w:space="0" w:color="000000"/>
              <w:left w:val="single" w:sz="5" w:space="0" w:color="000000"/>
              <w:bottom w:val="single" w:sz="5" w:space="0" w:color="000000"/>
              <w:right w:val="single" w:sz="5" w:space="0" w:color="000000"/>
            </w:tcBorders>
          </w:tcPr>
          <w:p w14:paraId="2816C986"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0,870 [0,678, 1,116]</w:t>
            </w:r>
          </w:p>
        </w:tc>
      </w:tr>
      <w:tr w:rsidR="002E30F6" w:rsidRPr="00D6167B" w14:paraId="49D95B6D"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A63E1A2" w14:textId="77777777" w:rsidR="002E30F6" w:rsidRPr="00D6167B" w:rsidRDefault="002E30F6" w:rsidP="00D37692">
            <w:pPr>
              <w:pStyle w:val="TableParagraph"/>
              <w:widowControl/>
              <w:rPr>
                <w:rFonts w:ascii="Times New Roman" w:eastAsia="Times New Roman" w:hAnsi="Times New Roman"/>
                <w:lang w:val="hr-HR"/>
              </w:rPr>
            </w:pPr>
            <w:r w:rsidRPr="00D6167B">
              <w:rPr>
                <w:rFonts w:ascii="Times New Roman"/>
                <w:lang w:val="hr-HR"/>
              </w:rPr>
              <w:t>Vrijednost p</w:t>
            </w:r>
          </w:p>
        </w:tc>
        <w:tc>
          <w:tcPr>
            <w:tcW w:w="4644" w:type="dxa"/>
            <w:gridSpan w:val="2"/>
            <w:tcBorders>
              <w:top w:val="single" w:sz="5" w:space="0" w:color="000000"/>
              <w:left w:val="single" w:sz="5" w:space="0" w:color="000000"/>
              <w:bottom w:val="single" w:sz="5" w:space="0" w:color="000000"/>
              <w:right w:val="single" w:sz="5" w:space="0" w:color="000000"/>
            </w:tcBorders>
          </w:tcPr>
          <w:p w14:paraId="04D3BBD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0,2711</w:t>
            </w:r>
          </w:p>
        </w:tc>
      </w:tr>
    </w:tbl>
    <w:p w14:paraId="32955345" w14:textId="77777777" w:rsidR="002E30F6" w:rsidRPr="007410EA" w:rsidRDefault="002E30F6" w:rsidP="007608DF">
      <w:pPr>
        <w:widowControl/>
        <w:ind w:left="288" w:hanging="288"/>
        <w:jc w:val="both"/>
        <w:rPr>
          <w:rFonts w:ascii="Times New Roman" w:eastAsia="Times New Roman" w:hAnsi="Times New Roman"/>
          <w:sz w:val="20"/>
          <w:szCs w:val="20"/>
          <w:lang w:val="hr-HR"/>
        </w:rPr>
      </w:pPr>
      <w:r w:rsidRPr="00D37692">
        <w:rPr>
          <w:rFonts w:ascii="Times New Roman" w:hAnsi="Times New Roman"/>
          <w:sz w:val="20"/>
          <w:lang w:val="hr-HR"/>
        </w:rPr>
        <w:t>Sve analize prikazane u ovoj tabeli su stratifikovane analize.</w:t>
      </w:r>
    </w:p>
    <w:p w14:paraId="25A83C69" w14:textId="77777777" w:rsidR="002E30F6" w:rsidRPr="007410EA" w:rsidRDefault="002E30F6" w:rsidP="007608DF">
      <w:pPr>
        <w:widowControl/>
        <w:numPr>
          <w:ilvl w:val="0"/>
          <w:numId w:val="37"/>
        </w:numPr>
        <w:tabs>
          <w:tab w:val="left" w:pos="288"/>
        </w:tabs>
        <w:ind w:left="288" w:hanging="288"/>
        <w:jc w:val="both"/>
        <w:rPr>
          <w:rFonts w:ascii="Times New Roman" w:eastAsia="Times New Roman" w:hAnsi="Times New Roman"/>
          <w:sz w:val="20"/>
          <w:szCs w:val="20"/>
          <w:lang w:val="hr-HR"/>
        </w:rPr>
      </w:pPr>
      <w:r w:rsidRPr="00D37692">
        <w:rPr>
          <w:rFonts w:ascii="Times New Roman" w:hAnsi="Times New Roman"/>
          <w:sz w:val="20"/>
          <w:lang w:val="hr-HR"/>
        </w:rPr>
        <w:t>Primarna analiza je obavljena sa datumom presjeka podataka 14. novembra 2011.</w:t>
      </w:r>
    </w:p>
    <w:p w14:paraId="4222406A" w14:textId="77777777" w:rsidR="002E30F6" w:rsidRPr="007410EA" w:rsidRDefault="002E30F6" w:rsidP="007608DF">
      <w:pPr>
        <w:widowControl/>
        <w:ind w:left="288" w:hanging="288"/>
        <w:jc w:val="both"/>
        <w:rPr>
          <w:rFonts w:ascii="Times New Roman" w:eastAsia="Times New Roman" w:hAnsi="Times New Roman"/>
          <w:sz w:val="20"/>
          <w:szCs w:val="20"/>
          <w:lang w:val="hr-HR"/>
        </w:rPr>
      </w:pPr>
      <w:r w:rsidRPr="00D37692">
        <w:rPr>
          <w:rFonts w:ascii="Times New Roman" w:hAnsi="Times New Roman"/>
          <w:sz w:val="20"/>
          <w:lang w:val="hr-HR"/>
        </w:rPr>
        <w:t xml:space="preserve">** </w:t>
      </w:r>
      <w:r w:rsidRPr="00D37692">
        <w:rPr>
          <w:rFonts w:ascii="Times New Roman" w:hAnsi="Times New Roman"/>
          <w:sz w:val="20"/>
          <w:lang w:val="hr-HR"/>
        </w:rPr>
        <w:tab/>
        <w:t>Randomizovani pacijenti sa mjerljivom bolešću na početnom nivou.</w:t>
      </w:r>
    </w:p>
    <w:p w14:paraId="370E0C28" w14:textId="77777777" w:rsidR="002E30F6" w:rsidRPr="007410EA" w:rsidRDefault="002E30F6" w:rsidP="007608DF">
      <w:pPr>
        <w:widowControl/>
        <w:ind w:left="288" w:hanging="288"/>
        <w:jc w:val="both"/>
        <w:rPr>
          <w:rFonts w:ascii="Times New Roman" w:eastAsia="Times New Roman" w:hAnsi="Times New Roman"/>
          <w:sz w:val="20"/>
          <w:szCs w:val="20"/>
          <w:lang w:val="hr-HR"/>
        </w:rPr>
      </w:pPr>
      <w:r w:rsidRPr="00D37692">
        <w:rPr>
          <w:rFonts w:ascii="Times New Roman" w:hAnsi="Times New Roman"/>
          <w:sz w:val="20"/>
          <w:lang w:val="hr-HR"/>
        </w:rPr>
        <w:t>***Finalna analiza ukupnog preživljavanja sprovedena je nakon što je umrlo 266 pacijenata, što predstavlja 73,7% uključenih pacijenata.</w:t>
      </w:r>
    </w:p>
    <w:p w14:paraId="30F538B8" w14:textId="77777777" w:rsidR="002E30F6" w:rsidRPr="00D6167B" w:rsidRDefault="002E30F6" w:rsidP="007608DF">
      <w:pPr>
        <w:widowControl/>
        <w:jc w:val="both"/>
        <w:rPr>
          <w:rFonts w:ascii="Times New Roman" w:eastAsia="Times New Roman" w:hAnsi="Times New Roman"/>
          <w:lang w:val="hr-HR"/>
        </w:rPr>
      </w:pPr>
    </w:p>
    <w:p w14:paraId="4A8DAAAF" w14:textId="77777777" w:rsidR="002E30F6" w:rsidRPr="00D6167B" w:rsidRDefault="002E30F6" w:rsidP="007608DF">
      <w:pPr>
        <w:pStyle w:val="BodyText"/>
        <w:widowControl/>
        <w:spacing w:line="235" w:lineRule="auto"/>
        <w:ind w:left="0"/>
        <w:jc w:val="both"/>
        <w:rPr>
          <w:lang w:val="hr-HR"/>
        </w:rPr>
      </w:pPr>
      <w:r w:rsidRPr="00D6167B">
        <w:rPr>
          <w:lang w:val="hr-HR"/>
        </w:rPr>
        <w:t>Ispitivanje je postiglo svoj primarni cilj poboljšanja preživljavanja bez progresije bolesti. U poređenju sa pacijentima koji su zbog rekurentne bolesti otporne na platinu liječeni samo hemoterapijom (paklitaksel, topotekan ili PLD), pacijenti koji su primali bevacizumab u dozi od 10 mg/kg svake 2 nedjelje (ili 15 mg/kg svake 3 nedjelje ako se radilo o kombinaciji sa topotekanom u dozi od 1,25 mg/m</w:t>
      </w:r>
      <w:r w:rsidRPr="00D6167B">
        <w:rPr>
          <w:vertAlign w:val="superscript"/>
          <w:lang w:val="hr-HR"/>
        </w:rPr>
        <w:t>2</w:t>
      </w:r>
      <w:r w:rsidRPr="00D6167B">
        <w:rPr>
          <w:lang w:val="hr-HR"/>
        </w:rPr>
        <w:t xml:space="preserve"> od 1. do 5. dana svake 3 nedjelje) u kombinaciji sa hemoterapijom i nastavili da primaju bevacizumab do progresije bolesti ili do pojave neprihvatljive toksičnosti imali su statistički značajno poboljšanje preživljavanja bez progresije bolesti (PFS). Eksploratorne analize PFS-a i OS-a (ukupno preživljavanje) prema hemoterapijskoj kohorti (paklitaksel, topotekan i PLD) rezimirane su u tabeli 24.</w:t>
      </w:r>
    </w:p>
    <w:p w14:paraId="37D9CC1F" w14:textId="77777777" w:rsidR="002E30F6" w:rsidRPr="00D6167B" w:rsidRDefault="002E30F6" w:rsidP="007608DF">
      <w:pPr>
        <w:widowControl/>
        <w:jc w:val="both"/>
        <w:rPr>
          <w:rFonts w:ascii="Times New Roman" w:eastAsia="Times New Roman" w:hAnsi="Times New Roman"/>
          <w:lang w:val="hr-HR"/>
        </w:rPr>
      </w:pPr>
    </w:p>
    <w:p w14:paraId="3978A537" w14:textId="77777777" w:rsidR="002E30F6" w:rsidRPr="00D6167B" w:rsidRDefault="002E30F6" w:rsidP="007608DF">
      <w:pPr>
        <w:pStyle w:val="Heading1"/>
        <w:keepNext/>
        <w:widowControl/>
        <w:ind w:left="118"/>
        <w:jc w:val="both"/>
        <w:rPr>
          <w:b w:val="0"/>
          <w:bCs w:val="0"/>
          <w:lang w:val="hr-HR"/>
        </w:rPr>
      </w:pPr>
      <w:r w:rsidRPr="00D6167B">
        <w:rPr>
          <w:lang w:val="hr-HR"/>
        </w:rPr>
        <w:t>Tabela 24</w:t>
      </w:r>
      <w:r w:rsidRPr="00D6167B">
        <w:rPr>
          <w:lang w:val="hr-HR"/>
        </w:rPr>
        <w:tab/>
        <w:t>Eksploratorne analize PFS-a i OS-a prema hemoterapijskoj kohorti</w:t>
      </w:r>
    </w:p>
    <w:p w14:paraId="646714A8" w14:textId="77777777" w:rsidR="002E30F6" w:rsidRPr="00D6167B" w:rsidRDefault="002E30F6" w:rsidP="007608DF">
      <w:pPr>
        <w:keepNext/>
        <w:widowControl/>
        <w:spacing w:before="1"/>
        <w:jc w:val="both"/>
        <w:rPr>
          <w:rFonts w:ascii="Times New Roman" w:eastAsia="Times New Roman" w:hAnsi="Times New Roman"/>
          <w:b/>
          <w:bCs/>
          <w:lang w:val="hr-HR"/>
        </w:rPr>
      </w:pPr>
    </w:p>
    <w:tbl>
      <w:tblPr>
        <w:tblW w:w="5000" w:type="pct"/>
        <w:tblLayout w:type="fixed"/>
        <w:tblCellMar>
          <w:left w:w="115" w:type="dxa"/>
          <w:right w:w="115" w:type="dxa"/>
        </w:tblCellMar>
        <w:tblLook w:val="01E0" w:firstRow="1" w:lastRow="1" w:firstColumn="1" w:lastColumn="1" w:noHBand="0" w:noVBand="0"/>
      </w:tblPr>
      <w:tblGrid>
        <w:gridCol w:w="3171"/>
        <w:gridCol w:w="2952"/>
        <w:gridCol w:w="80"/>
        <w:gridCol w:w="2873"/>
      </w:tblGrid>
      <w:tr w:rsidR="002E30F6" w:rsidRPr="00D6167B" w14:paraId="5783EC98"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61905D87" w14:textId="77777777" w:rsidR="002E30F6" w:rsidRPr="00D6167B" w:rsidRDefault="002E30F6" w:rsidP="007608DF">
            <w:pPr>
              <w:keepNext/>
              <w:widowControl/>
              <w:jc w:val="both"/>
              <w:rPr>
                <w:lang w:val="hr-HR"/>
              </w:rPr>
            </w:pPr>
          </w:p>
        </w:tc>
        <w:tc>
          <w:tcPr>
            <w:tcW w:w="2842" w:type="dxa"/>
            <w:gridSpan w:val="2"/>
            <w:tcBorders>
              <w:top w:val="single" w:sz="5" w:space="0" w:color="000000"/>
              <w:left w:val="single" w:sz="5" w:space="0" w:color="000000"/>
              <w:bottom w:val="single" w:sz="5" w:space="0" w:color="000000"/>
              <w:right w:val="single" w:sz="5" w:space="0" w:color="000000"/>
            </w:tcBorders>
          </w:tcPr>
          <w:p w14:paraId="7A60DE7A" w14:textId="77777777" w:rsidR="002E30F6" w:rsidRPr="00D6167B" w:rsidRDefault="002E30F6" w:rsidP="00D37692">
            <w:pPr>
              <w:pStyle w:val="TableParagraph"/>
              <w:keepNext/>
              <w:widowControl/>
              <w:jc w:val="center"/>
              <w:rPr>
                <w:rFonts w:ascii="Times New Roman" w:eastAsia="Times New Roman" w:hAnsi="Times New Roman"/>
                <w:lang w:val="hr-HR"/>
              </w:rPr>
            </w:pPr>
            <w:r w:rsidRPr="00D6167B">
              <w:rPr>
                <w:rFonts w:ascii="Times New Roman"/>
                <w:lang w:val="hr-HR"/>
              </w:rPr>
              <w:t>CT</w:t>
            </w:r>
          </w:p>
        </w:tc>
        <w:tc>
          <w:tcPr>
            <w:tcW w:w="2693" w:type="dxa"/>
            <w:tcBorders>
              <w:top w:val="single" w:sz="5" w:space="0" w:color="000000"/>
              <w:left w:val="single" w:sz="5" w:space="0" w:color="000000"/>
              <w:bottom w:val="single" w:sz="5" w:space="0" w:color="000000"/>
              <w:right w:val="single" w:sz="5" w:space="0" w:color="000000"/>
            </w:tcBorders>
          </w:tcPr>
          <w:p w14:paraId="7143F7BC" w14:textId="77777777" w:rsidR="002E30F6" w:rsidRPr="00D6167B" w:rsidRDefault="002E30F6" w:rsidP="00D37692">
            <w:pPr>
              <w:pStyle w:val="TableParagraph"/>
              <w:keepNext/>
              <w:widowControl/>
              <w:ind w:right="5"/>
              <w:jc w:val="center"/>
              <w:rPr>
                <w:rFonts w:ascii="Times New Roman" w:eastAsia="Times New Roman" w:hAnsi="Times New Roman"/>
                <w:lang w:val="hr-HR"/>
              </w:rPr>
            </w:pPr>
            <w:r w:rsidRPr="00D6167B">
              <w:rPr>
                <w:rFonts w:ascii="Times New Roman"/>
                <w:lang w:val="hr-HR"/>
              </w:rPr>
              <w:t>CT + BV</w:t>
            </w:r>
          </w:p>
        </w:tc>
      </w:tr>
      <w:tr w:rsidR="002E30F6" w:rsidRPr="00D6167B" w14:paraId="35A878EE"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7B186273" w14:textId="77777777" w:rsidR="002E30F6" w:rsidRPr="00D6167B" w:rsidRDefault="002E30F6" w:rsidP="007608DF">
            <w:pPr>
              <w:pStyle w:val="TableParagraph"/>
              <w:widowControl/>
              <w:ind w:left="1"/>
              <w:jc w:val="both"/>
              <w:rPr>
                <w:rFonts w:ascii="Times New Roman" w:eastAsia="Times New Roman" w:hAnsi="Times New Roman"/>
                <w:lang w:val="hr-HR"/>
              </w:rPr>
            </w:pPr>
            <w:r w:rsidRPr="00D6167B">
              <w:rPr>
                <w:rFonts w:ascii="Times New Roman"/>
                <w:b/>
                <w:lang w:val="hr-HR"/>
              </w:rPr>
              <w:t>Paklitaksel</w:t>
            </w:r>
          </w:p>
        </w:tc>
        <w:tc>
          <w:tcPr>
            <w:tcW w:w="5534" w:type="dxa"/>
            <w:gridSpan w:val="3"/>
            <w:tcBorders>
              <w:top w:val="single" w:sz="5" w:space="0" w:color="000000"/>
              <w:left w:val="single" w:sz="5" w:space="0" w:color="000000"/>
              <w:bottom w:val="single" w:sz="5" w:space="0" w:color="000000"/>
              <w:right w:val="single" w:sz="5" w:space="0" w:color="000000"/>
            </w:tcBorders>
          </w:tcPr>
          <w:p w14:paraId="7185D0CF"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n=115</w:t>
            </w:r>
          </w:p>
        </w:tc>
      </w:tr>
      <w:tr w:rsidR="002E30F6" w:rsidRPr="00D6167B" w14:paraId="77FF58C5"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1B341350" w14:textId="77777777" w:rsidR="002E30F6" w:rsidRPr="00D6167B" w:rsidRDefault="002E30F6" w:rsidP="00D37692">
            <w:pPr>
              <w:pStyle w:val="TableParagraph"/>
              <w:widowControl/>
              <w:ind w:left="507"/>
              <w:rPr>
                <w:rFonts w:ascii="Times New Roman" w:eastAsia="Times New Roman" w:hAnsi="Times New Roman"/>
                <w:lang w:val="hr-HR"/>
              </w:rPr>
            </w:pPr>
            <w:r w:rsidRPr="00D6167B">
              <w:rPr>
                <w:rFonts w:ascii="Times New Roman"/>
                <w:lang w:val="hr-HR"/>
              </w:rPr>
              <w:t>Srednja vrijednost PFS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37D5972A"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3,9</w:t>
            </w:r>
          </w:p>
        </w:tc>
        <w:tc>
          <w:tcPr>
            <w:tcW w:w="2693" w:type="dxa"/>
            <w:tcBorders>
              <w:top w:val="single" w:sz="5" w:space="0" w:color="000000"/>
              <w:left w:val="single" w:sz="5" w:space="0" w:color="000000"/>
              <w:bottom w:val="single" w:sz="5" w:space="0" w:color="000000"/>
              <w:right w:val="single" w:sz="5" w:space="0" w:color="000000"/>
            </w:tcBorders>
          </w:tcPr>
          <w:p w14:paraId="1814FB74" w14:textId="77777777" w:rsidR="002E30F6" w:rsidRPr="00D6167B" w:rsidRDefault="002E30F6" w:rsidP="00D37692">
            <w:pPr>
              <w:pStyle w:val="TableParagraph"/>
              <w:widowControl/>
              <w:ind w:right="5"/>
              <w:jc w:val="center"/>
              <w:rPr>
                <w:rFonts w:ascii="Times New Roman" w:eastAsia="Times New Roman" w:hAnsi="Times New Roman"/>
                <w:lang w:val="hr-HR"/>
              </w:rPr>
            </w:pPr>
            <w:r w:rsidRPr="00D6167B">
              <w:rPr>
                <w:rFonts w:ascii="Times New Roman"/>
                <w:lang w:val="hr-HR"/>
              </w:rPr>
              <w:t>9,2</w:t>
            </w:r>
          </w:p>
        </w:tc>
      </w:tr>
      <w:tr w:rsidR="002E30F6" w:rsidRPr="00D6167B" w14:paraId="0932291B"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19FD7049"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5" w:space="0" w:color="000000"/>
              <w:right w:val="single" w:sz="5" w:space="0" w:color="000000"/>
            </w:tcBorders>
          </w:tcPr>
          <w:p w14:paraId="2AC95798"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0,47 [0,31, 0,72]</w:t>
            </w:r>
          </w:p>
        </w:tc>
      </w:tr>
      <w:tr w:rsidR="002E30F6" w:rsidRPr="00D6167B" w14:paraId="3CEC8797"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645F9DD7" w14:textId="77777777" w:rsidR="002E30F6" w:rsidRPr="00D6167B" w:rsidRDefault="002E30F6" w:rsidP="00D37692">
            <w:pPr>
              <w:pStyle w:val="TableParagraph"/>
              <w:widowControl/>
              <w:ind w:left="550"/>
              <w:rPr>
                <w:rFonts w:ascii="Times New Roman" w:eastAsia="Times New Roman" w:hAnsi="Times New Roman"/>
                <w:lang w:val="hr-HR"/>
              </w:rPr>
            </w:pPr>
            <w:r w:rsidRPr="00D6167B">
              <w:rPr>
                <w:rFonts w:ascii="Times New Roman"/>
                <w:lang w:val="hr-HR"/>
              </w:rPr>
              <w:t>Srednja vrijednost OS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43372150"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13,2</w:t>
            </w:r>
          </w:p>
        </w:tc>
        <w:tc>
          <w:tcPr>
            <w:tcW w:w="2693" w:type="dxa"/>
            <w:tcBorders>
              <w:top w:val="single" w:sz="5" w:space="0" w:color="000000"/>
              <w:left w:val="single" w:sz="5" w:space="0" w:color="000000"/>
              <w:bottom w:val="single" w:sz="5" w:space="0" w:color="000000"/>
              <w:right w:val="single" w:sz="5" w:space="0" w:color="000000"/>
            </w:tcBorders>
          </w:tcPr>
          <w:p w14:paraId="3505DC98"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22,4</w:t>
            </w:r>
          </w:p>
        </w:tc>
      </w:tr>
      <w:tr w:rsidR="002E30F6" w:rsidRPr="00D6167B" w14:paraId="5B99D617" w14:textId="77777777" w:rsidTr="005364BB">
        <w:trPr>
          <w:cantSplit/>
        </w:trPr>
        <w:tc>
          <w:tcPr>
            <w:tcW w:w="2971" w:type="dxa"/>
            <w:tcBorders>
              <w:top w:val="single" w:sz="5" w:space="0" w:color="000000"/>
              <w:left w:val="single" w:sz="5" w:space="0" w:color="000000"/>
              <w:bottom w:val="single" w:sz="12" w:space="0" w:color="000000"/>
              <w:right w:val="single" w:sz="5" w:space="0" w:color="000000"/>
            </w:tcBorders>
          </w:tcPr>
          <w:p w14:paraId="591A7390"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13" w:space="0" w:color="000000"/>
              <w:right w:val="single" w:sz="5" w:space="0" w:color="000000"/>
            </w:tcBorders>
          </w:tcPr>
          <w:p w14:paraId="66D02EA1"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0,64 [0,41, 0,99]</w:t>
            </w:r>
          </w:p>
        </w:tc>
      </w:tr>
      <w:tr w:rsidR="002E30F6" w:rsidRPr="00D6167B" w14:paraId="7569336F" w14:textId="77777777" w:rsidTr="005364BB">
        <w:trPr>
          <w:cantSplit/>
        </w:trPr>
        <w:tc>
          <w:tcPr>
            <w:tcW w:w="2971" w:type="dxa"/>
            <w:tcBorders>
              <w:top w:val="single" w:sz="12" w:space="0" w:color="000000"/>
              <w:left w:val="single" w:sz="5" w:space="0" w:color="000000"/>
              <w:bottom w:val="single" w:sz="5" w:space="0" w:color="000000"/>
              <w:right w:val="single" w:sz="5" w:space="0" w:color="000000"/>
            </w:tcBorders>
          </w:tcPr>
          <w:p w14:paraId="37B71702" w14:textId="77777777" w:rsidR="002E30F6" w:rsidRPr="00D6167B" w:rsidRDefault="002E30F6" w:rsidP="00D37692">
            <w:pPr>
              <w:pStyle w:val="TableParagraph"/>
              <w:widowControl/>
              <w:jc w:val="both"/>
              <w:rPr>
                <w:rFonts w:ascii="Times New Roman" w:eastAsia="Times New Roman" w:hAnsi="Times New Roman"/>
                <w:lang w:val="hr-HR"/>
              </w:rPr>
            </w:pPr>
            <w:r w:rsidRPr="00D6167B">
              <w:rPr>
                <w:rFonts w:ascii="Times New Roman"/>
                <w:b/>
                <w:lang w:val="hr-HR"/>
              </w:rPr>
              <w:t>Topotekan</w:t>
            </w:r>
          </w:p>
        </w:tc>
        <w:tc>
          <w:tcPr>
            <w:tcW w:w="5534" w:type="dxa"/>
            <w:gridSpan w:val="3"/>
            <w:tcBorders>
              <w:top w:val="single" w:sz="13" w:space="0" w:color="000000"/>
              <w:left w:val="single" w:sz="5" w:space="0" w:color="000000"/>
              <w:bottom w:val="single" w:sz="5" w:space="0" w:color="000000"/>
              <w:right w:val="single" w:sz="5" w:space="0" w:color="000000"/>
            </w:tcBorders>
          </w:tcPr>
          <w:p w14:paraId="05FA7BBA"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n=120</w:t>
            </w:r>
          </w:p>
        </w:tc>
      </w:tr>
      <w:tr w:rsidR="002E30F6" w:rsidRPr="00D6167B" w14:paraId="1E186B6F"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5FE71140" w14:textId="77777777" w:rsidR="002E30F6" w:rsidRPr="00D6167B" w:rsidRDefault="002E30F6" w:rsidP="00D37692">
            <w:pPr>
              <w:pStyle w:val="TableParagraph"/>
              <w:widowControl/>
              <w:ind w:left="507"/>
              <w:rPr>
                <w:rFonts w:ascii="Times New Roman" w:eastAsia="Times New Roman" w:hAnsi="Times New Roman"/>
                <w:lang w:val="hr-HR"/>
              </w:rPr>
            </w:pPr>
            <w:r w:rsidRPr="00D6167B">
              <w:rPr>
                <w:rFonts w:ascii="Times New Roman"/>
                <w:lang w:val="hr-HR"/>
              </w:rPr>
              <w:t>Srednja vrijednost PFS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3E8D9BB1"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2,1</w:t>
            </w:r>
          </w:p>
        </w:tc>
        <w:tc>
          <w:tcPr>
            <w:tcW w:w="2693" w:type="dxa"/>
            <w:tcBorders>
              <w:top w:val="single" w:sz="5" w:space="0" w:color="000000"/>
              <w:left w:val="single" w:sz="5" w:space="0" w:color="000000"/>
              <w:bottom w:val="single" w:sz="5" w:space="0" w:color="000000"/>
              <w:right w:val="single" w:sz="5" w:space="0" w:color="000000"/>
            </w:tcBorders>
          </w:tcPr>
          <w:p w14:paraId="599AAE2A" w14:textId="77777777" w:rsidR="002E30F6" w:rsidRPr="00D6167B" w:rsidRDefault="002E30F6" w:rsidP="00D37692">
            <w:pPr>
              <w:pStyle w:val="TableParagraph"/>
              <w:widowControl/>
              <w:ind w:right="5"/>
              <w:jc w:val="center"/>
              <w:rPr>
                <w:rFonts w:ascii="Times New Roman" w:eastAsia="Times New Roman" w:hAnsi="Times New Roman"/>
                <w:lang w:val="hr-HR"/>
              </w:rPr>
            </w:pPr>
            <w:r w:rsidRPr="00D6167B">
              <w:rPr>
                <w:rFonts w:ascii="Times New Roman"/>
                <w:lang w:val="hr-HR"/>
              </w:rPr>
              <w:t>6,2</w:t>
            </w:r>
          </w:p>
        </w:tc>
      </w:tr>
      <w:tr w:rsidR="002E30F6" w:rsidRPr="00D6167B" w14:paraId="0469D74C"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29DE4390"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5" w:space="0" w:color="000000"/>
              <w:right w:val="single" w:sz="5" w:space="0" w:color="000000"/>
            </w:tcBorders>
          </w:tcPr>
          <w:p w14:paraId="4ED2B4AB"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0,28 [0,18, 0,44]</w:t>
            </w:r>
          </w:p>
        </w:tc>
      </w:tr>
      <w:tr w:rsidR="002E30F6" w:rsidRPr="00D6167B" w14:paraId="4EE59EB1"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6B75238C" w14:textId="77777777" w:rsidR="002E30F6" w:rsidRPr="00D6167B" w:rsidRDefault="002E30F6" w:rsidP="00D37692">
            <w:pPr>
              <w:pStyle w:val="TableParagraph"/>
              <w:widowControl/>
              <w:ind w:left="550"/>
              <w:rPr>
                <w:rFonts w:ascii="Times New Roman" w:eastAsia="Times New Roman" w:hAnsi="Times New Roman"/>
                <w:lang w:val="hr-HR"/>
              </w:rPr>
            </w:pPr>
            <w:r w:rsidRPr="00D6167B">
              <w:rPr>
                <w:rFonts w:ascii="Times New Roman"/>
                <w:lang w:val="hr-HR"/>
              </w:rPr>
              <w:t>Srednja vrijednost OS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07E1A0C2"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13,3</w:t>
            </w:r>
          </w:p>
        </w:tc>
        <w:tc>
          <w:tcPr>
            <w:tcW w:w="2693" w:type="dxa"/>
            <w:tcBorders>
              <w:top w:val="single" w:sz="5" w:space="0" w:color="000000"/>
              <w:left w:val="single" w:sz="5" w:space="0" w:color="000000"/>
              <w:bottom w:val="single" w:sz="5" w:space="0" w:color="000000"/>
              <w:right w:val="single" w:sz="5" w:space="0" w:color="000000"/>
            </w:tcBorders>
          </w:tcPr>
          <w:p w14:paraId="75E0DF5B"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13,8</w:t>
            </w:r>
          </w:p>
        </w:tc>
      </w:tr>
      <w:tr w:rsidR="002E30F6" w:rsidRPr="00D6167B" w14:paraId="07380237" w14:textId="77777777" w:rsidTr="005364BB">
        <w:trPr>
          <w:cantSplit/>
        </w:trPr>
        <w:tc>
          <w:tcPr>
            <w:tcW w:w="2971" w:type="dxa"/>
            <w:tcBorders>
              <w:top w:val="single" w:sz="5" w:space="0" w:color="000000"/>
              <w:left w:val="single" w:sz="5" w:space="0" w:color="000000"/>
              <w:bottom w:val="single" w:sz="12" w:space="0" w:color="000000"/>
              <w:right w:val="single" w:sz="5" w:space="0" w:color="000000"/>
            </w:tcBorders>
          </w:tcPr>
          <w:p w14:paraId="5A05D739"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13" w:space="0" w:color="000000"/>
              <w:right w:val="single" w:sz="5" w:space="0" w:color="000000"/>
            </w:tcBorders>
          </w:tcPr>
          <w:p w14:paraId="2D1E874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1,07 [0,70, 1,63]</w:t>
            </w:r>
          </w:p>
        </w:tc>
      </w:tr>
      <w:tr w:rsidR="002E30F6" w:rsidRPr="00D6167B" w14:paraId="3DC26B00" w14:textId="77777777" w:rsidTr="005364BB">
        <w:trPr>
          <w:cantSplit/>
        </w:trPr>
        <w:tc>
          <w:tcPr>
            <w:tcW w:w="2971" w:type="dxa"/>
            <w:tcBorders>
              <w:top w:val="single" w:sz="12" w:space="0" w:color="000000"/>
              <w:left w:val="single" w:sz="5" w:space="0" w:color="000000"/>
              <w:bottom w:val="single" w:sz="5" w:space="0" w:color="000000"/>
              <w:right w:val="single" w:sz="5" w:space="0" w:color="000000"/>
            </w:tcBorders>
          </w:tcPr>
          <w:p w14:paraId="0AB9A88A" w14:textId="77777777" w:rsidR="002E30F6" w:rsidRPr="00D6167B" w:rsidRDefault="002E30F6" w:rsidP="007608DF">
            <w:pPr>
              <w:pStyle w:val="TableParagraph"/>
              <w:widowControl/>
              <w:jc w:val="both"/>
              <w:rPr>
                <w:rFonts w:ascii="Times New Roman" w:eastAsia="Times New Roman" w:hAnsi="Times New Roman"/>
                <w:lang w:val="hr-HR"/>
              </w:rPr>
            </w:pPr>
            <w:r w:rsidRPr="00D6167B">
              <w:rPr>
                <w:rFonts w:ascii="Times New Roman"/>
                <w:b/>
                <w:lang w:val="hr-HR"/>
              </w:rPr>
              <w:t>PLD</w:t>
            </w:r>
          </w:p>
        </w:tc>
        <w:tc>
          <w:tcPr>
            <w:tcW w:w="5534" w:type="dxa"/>
            <w:gridSpan w:val="3"/>
            <w:tcBorders>
              <w:top w:val="single" w:sz="13" w:space="0" w:color="000000"/>
              <w:left w:val="single" w:sz="5" w:space="0" w:color="000000"/>
              <w:bottom w:val="single" w:sz="5" w:space="0" w:color="000000"/>
              <w:right w:val="single" w:sz="5" w:space="0" w:color="000000"/>
            </w:tcBorders>
          </w:tcPr>
          <w:p w14:paraId="0F835E39"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n=126</w:t>
            </w:r>
          </w:p>
        </w:tc>
      </w:tr>
      <w:tr w:rsidR="002E30F6" w:rsidRPr="00D6167B" w14:paraId="22E390A6"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668FC4FA" w14:textId="77777777" w:rsidR="002E30F6" w:rsidRPr="00D6167B" w:rsidRDefault="002E30F6" w:rsidP="00D37692">
            <w:pPr>
              <w:pStyle w:val="TableParagraph"/>
              <w:widowControl/>
              <w:ind w:left="505"/>
              <w:rPr>
                <w:rFonts w:ascii="Times New Roman" w:eastAsia="Times New Roman" w:hAnsi="Times New Roman"/>
                <w:lang w:val="hr-HR"/>
              </w:rPr>
            </w:pPr>
            <w:r w:rsidRPr="00D6167B">
              <w:rPr>
                <w:rFonts w:ascii="Times New Roman"/>
                <w:lang w:val="hr-HR"/>
              </w:rPr>
              <w:t>Srednja vrijednost PFS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34848CD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3,5</w:t>
            </w:r>
          </w:p>
        </w:tc>
        <w:tc>
          <w:tcPr>
            <w:tcW w:w="2693" w:type="dxa"/>
            <w:tcBorders>
              <w:top w:val="single" w:sz="5" w:space="0" w:color="000000"/>
              <w:left w:val="single" w:sz="5" w:space="0" w:color="000000"/>
              <w:bottom w:val="single" w:sz="5" w:space="0" w:color="000000"/>
              <w:right w:val="single" w:sz="5" w:space="0" w:color="000000"/>
            </w:tcBorders>
          </w:tcPr>
          <w:p w14:paraId="5C1B6AF8" w14:textId="77777777" w:rsidR="002E30F6" w:rsidRPr="00D6167B" w:rsidRDefault="002E30F6" w:rsidP="00D37692">
            <w:pPr>
              <w:pStyle w:val="TableParagraph"/>
              <w:widowControl/>
              <w:ind w:right="5"/>
              <w:jc w:val="center"/>
              <w:rPr>
                <w:rFonts w:ascii="Times New Roman" w:eastAsia="Times New Roman" w:hAnsi="Times New Roman"/>
                <w:lang w:val="hr-HR"/>
              </w:rPr>
            </w:pPr>
            <w:r w:rsidRPr="00D6167B">
              <w:rPr>
                <w:rFonts w:ascii="Times New Roman"/>
                <w:lang w:val="hr-HR"/>
              </w:rPr>
              <w:t>5,1</w:t>
            </w:r>
          </w:p>
        </w:tc>
      </w:tr>
      <w:tr w:rsidR="002E30F6" w:rsidRPr="00D6167B" w14:paraId="34DF5E44"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0F310101"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5" w:space="0" w:color="000000"/>
              <w:right w:val="single" w:sz="5" w:space="0" w:color="000000"/>
            </w:tcBorders>
          </w:tcPr>
          <w:p w14:paraId="66004EE4"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0,53 [0,36, 0,77]</w:t>
            </w:r>
          </w:p>
        </w:tc>
      </w:tr>
      <w:tr w:rsidR="002E30F6" w:rsidRPr="00D6167B" w14:paraId="193362E3"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78301D95" w14:textId="77777777" w:rsidR="002E30F6" w:rsidRPr="00D6167B" w:rsidRDefault="002E30F6" w:rsidP="00D37692">
            <w:pPr>
              <w:pStyle w:val="TableParagraph"/>
              <w:widowControl/>
              <w:ind w:left="550"/>
              <w:rPr>
                <w:rFonts w:ascii="Times New Roman" w:eastAsia="Times New Roman" w:hAnsi="Times New Roman"/>
                <w:lang w:val="hr-HR"/>
              </w:rPr>
            </w:pPr>
            <w:r w:rsidRPr="00D6167B">
              <w:rPr>
                <w:rFonts w:ascii="Times New Roman"/>
                <w:lang w:val="hr-HR"/>
              </w:rPr>
              <w:t>Srednja vrijednost OS (mjeseci)</w:t>
            </w:r>
          </w:p>
        </w:tc>
        <w:tc>
          <w:tcPr>
            <w:tcW w:w="2767" w:type="dxa"/>
            <w:tcBorders>
              <w:top w:val="single" w:sz="5" w:space="0" w:color="000000"/>
              <w:left w:val="single" w:sz="5" w:space="0" w:color="000000"/>
              <w:bottom w:val="single" w:sz="5" w:space="0" w:color="000000"/>
              <w:right w:val="single" w:sz="5" w:space="0" w:color="000000"/>
            </w:tcBorders>
          </w:tcPr>
          <w:p w14:paraId="68EBD6E3"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14,1</w:t>
            </w:r>
          </w:p>
        </w:tc>
        <w:tc>
          <w:tcPr>
            <w:tcW w:w="2767" w:type="dxa"/>
            <w:gridSpan w:val="2"/>
            <w:tcBorders>
              <w:top w:val="single" w:sz="5" w:space="0" w:color="000000"/>
              <w:left w:val="single" w:sz="5" w:space="0" w:color="000000"/>
              <w:bottom w:val="single" w:sz="5" w:space="0" w:color="000000"/>
              <w:right w:val="single" w:sz="5" w:space="0" w:color="000000"/>
            </w:tcBorders>
          </w:tcPr>
          <w:p w14:paraId="3A9FA2C0"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13,7</w:t>
            </w:r>
          </w:p>
        </w:tc>
      </w:tr>
      <w:tr w:rsidR="002E30F6" w:rsidRPr="00D6167B" w14:paraId="6F4EA61C"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63656EB6" w14:textId="77777777" w:rsidR="002E30F6" w:rsidRPr="00D6167B" w:rsidRDefault="002E30F6" w:rsidP="00D37692">
            <w:pPr>
              <w:pStyle w:val="TableParagraph"/>
              <w:widowControl/>
              <w:ind w:left="493"/>
              <w:rPr>
                <w:rFonts w:ascii="Times New Roman" w:eastAsia="Times New Roman" w:hAnsi="Times New Roman"/>
                <w:lang w:val="hr-HR"/>
              </w:rPr>
            </w:pPr>
            <w:r w:rsidRPr="00D6167B">
              <w:rPr>
                <w:rFonts w:ascii="Times New Roman"/>
                <w:lang w:val="hr-HR"/>
              </w:rPr>
              <w:t>Odnos rizika (95% CI)</w:t>
            </w:r>
          </w:p>
        </w:tc>
        <w:tc>
          <w:tcPr>
            <w:tcW w:w="5534" w:type="dxa"/>
            <w:gridSpan w:val="3"/>
            <w:tcBorders>
              <w:top w:val="single" w:sz="5" w:space="0" w:color="000000"/>
              <w:left w:val="single" w:sz="5" w:space="0" w:color="000000"/>
              <w:bottom w:val="single" w:sz="5" w:space="0" w:color="000000"/>
              <w:right w:val="single" w:sz="5" w:space="0" w:color="000000"/>
            </w:tcBorders>
          </w:tcPr>
          <w:p w14:paraId="45552A90" w14:textId="77777777" w:rsidR="002E30F6" w:rsidRPr="00D6167B" w:rsidRDefault="002E30F6" w:rsidP="00D37692">
            <w:pPr>
              <w:pStyle w:val="TableParagraph"/>
              <w:widowControl/>
              <w:jc w:val="center"/>
              <w:rPr>
                <w:rFonts w:ascii="Times New Roman" w:eastAsia="Times New Roman" w:hAnsi="Times New Roman"/>
                <w:lang w:val="hr-HR"/>
              </w:rPr>
            </w:pPr>
            <w:r w:rsidRPr="00D6167B">
              <w:rPr>
                <w:rFonts w:ascii="Times New Roman"/>
                <w:lang w:val="hr-HR"/>
              </w:rPr>
              <w:t>0,91 [0,61, 1,35]</w:t>
            </w:r>
          </w:p>
        </w:tc>
      </w:tr>
    </w:tbl>
    <w:p w14:paraId="37476B2C" w14:textId="77777777" w:rsidR="002E30F6" w:rsidRPr="00D6167B" w:rsidRDefault="002E30F6" w:rsidP="007608DF">
      <w:pPr>
        <w:widowControl/>
        <w:jc w:val="both"/>
        <w:rPr>
          <w:rFonts w:ascii="Times New Roman" w:eastAsia="Times New Roman" w:hAnsi="Times New Roman"/>
          <w:lang w:val="hr-HR"/>
        </w:rPr>
      </w:pPr>
    </w:p>
    <w:p w14:paraId="49E73925" w14:textId="77777777" w:rsidR="00D15122" w:rsidRPr="00D6167B" w:rsidRDefault="009B0756" w:rsidP="007608DF">
      <w:pPr>
        <w:keepNext/>
        <w:widowControl/>
        <w:jc w:val="both"/>
        <w:rPr>
          <w:rFonts w:ascii="Times New Roman" w:eastAsia="Times New Roman" w:hAnsi="Times New Roman"/>
          <w:i/>
          <w:lang w:val="hr-HR"/>
        </w:rPr>
      </w:pPr>
      <w:r w:rsidRPr="00D6167B">
        <w:rPr>
          <w:rFonts w:ascii="Times New Roman" w:hAnsi="Times New Roman"/>
          <w:i/>
          <w:u w:val="single" w:color="000000"/>
          <w:lang w:val="hr-HR"/>
        </w:rPr>
        <w:t>Karcinom cerviksa</w:t>
      </w:r>
    </w:p>
    <w:p w14:paraId="46882931" w14:textId="77777777" w:rsidR="00D15122" w:rsidRPr="00D6167B" w:rsidRDefault="00D15122" w:rsidP="007608DF">
      <w:pPr>
        <w:keepNext/>
        <w:widowControl/>
        <w:jc w:val="both"/>
        <w:rPr>
          <w:rFonts w:ascii="Times New Roman" w:eastAsia="Times New Roman" w:hAnsi="Times New Roman"/>
          <w:lang w:val="hr-HR"/>
        </w:rPr>
      </w:pPr>
    </w:p>
    <w:p w14:paraId="70A11417" w14:textId="77777777" w:rsidR="00D15122" w:rsidRPr="00D6167B" w:rsidRDefault="009B0756" w:rsidP="007608DF">
      <w:pPr>
        <w:keepNext/>
        <w:widowControl/>
        <w:spacing w:line="252" w:lineRule="exact"/>
        <w:jc w:val="both"/>
        <w:rPr>
          <w:rFonts w:ascii="Times New Roman" w:eastAsia="Times New Roman" w:hAnsi="Times New Roman"/>
          <w:i/>
          <w:lang w:val="hr-HR"/>
        </w:rPr>
      </w:pPr>
      <w:r w:rsidRPr="00D6167B">
        <w:rPr>
          <w:rFonts w:ascii="Times New Roman" w:hAnsi="Times New Roman"/>
          <w:i/>
          <w:lang w:val="hr-HR"/>
        </w:rPr>
        <w:t>GOG-0240</w:t>
      </w:r>
    </w:p>
    <w:p w14:paraId="6E8CA7A5" w14:textId="77777777" w:rsidR="00D15122" w:rsidRPr="00D6167B" w:rsidRDefault="009B0756" w:rsidP="007608DF">
      <w:pPr>
        <w:pStyle w:val="BodyText"/>
        <w:widowControl/>
        <w:ind w:left="0"/>
        <w:jc w:val="both"/>
        <w:rPr>
          <w:lang w:val="hr-HR"/>
        </w:rPr>
      </w:pPr>
      <w:r w:rsidRPr="00D6167B">
        <w:rPr>
          <w:lang w:val="hr-HR"/>
        </w:rPr>
        <w:t xml:space="preserve">Efikasnost i bezbjednost bevacizumab u kombinaciji sa hemoterapijom (paklitaksel i cisplatin ili paklitaksel i topotekan) pri liječenju pacijenata sa upornim, rekurentnim ili metastatskim karcinomom cerviksa bile su procjenjivane u studiji GOG-0240, randomizovanom, otvorenom, multicentričnom ispitivanju faze III sa četiri </w:t>
      </w:r>
      <w:r w:rsidR="002E42C6" w:rsidRPr="00D6167B">
        <w:rPr>
          <w:lang w:val="hr-HR"/>
        </w:rPr>
        <w:t>grupe</w:t>
      </w:r>
      <w:r w:rsidRPr="00D6167B">
        <w:rPr>
          <w:lang w:val="hr-HR"/>
        </w:rPr>
        <w:t>.</w:t>
      </w:r>
    </w:p>
    <w:p w14:paraId="2508575C" w14:textId="77777777" w:rsidR="00D15122" w:rsidRPr="00D6167B" w:rsidRDefault="00D15122" w:rsidP="007608DF">
      <w:pPr>
        <w:widowControl/>
        <w:jc w:val="both"/>
        <w:rPr>
          <w:rFonts w:ascii="Times New Roman" w:eastAsia="Times New Roman" w:hAnsi="Times New Roman"/>
          <w:lang w:val="hr-HR"/>
        </w:rPr>
      </w:pPr>
    </w:p>
    <w:p w14:paraId="4C0C25FC" w14:textId="77777777" w:rsidR="00D15122" w:rsidRPr="00D6167B" w:rsidRDefault="009B0756" w:rsidP="007608DF">
      <w:pPr>
        <w:pStyle w:val="BodyText"/>
        <w:widowControl/>
        <w:ind w:left="0"/>
        <w:jc w:val="both"/>
        <w:rPr>
          <w:lang w:val="hr-HR"/>
        </w:rPr>
      </w:pPr>
      <w:r w:rsidRPr="00D6167B">
        <w:rPr>
          <w:lang w:val="hr-HR"/>
        </w:rPr>
        <w:t>Randomizovana su ukupno 452 pacijenta tako da primaju:</w:t>
      </w:r>
    </w:p>
    <w:p w14:paraId="091A0BEB" w14:textId="77777777" w:rsidR="00D15122" w:rsidRPr="00D6167B" w:rsidRDefault="00D15122" w:rsidP="007608DF">
      <w:pPr>
        <w:widowControl/>
        <w:jc w:val="both"/>
        <w:rPr>
          <w:rFonts w:ascii="Times New Roman" w:eastAsia="Times New Roman" w:hAnsi="Times New Roman"/>
          <w:lang w:val="hr-HR"/>
        </w:rPr>
      </w:pPr>
    </w:p>
    <w:p w14:paraId="4747E1E8" w14:textId="77777777" w:rsidR="00D15122" w:rsidRPr="00D6167B" w:rsidRDefault="009B0756" w:rsidP="007608DF">
      <w:pPr>
        <w:pStyle w:val="BodyText"/>
        <w:widowControl/>
        <w:numPr>
          <w:ilvl w:val="1"/>
          <w:numId w:val="11"/>
        </w:numPr>
        <w:ind w:left="562" w:hanging="562"/>
        <w:jc w:val="both"/>
        <w:rPr>
          <w:lang w:val="hr-HR"/>
        </w:rPr>
      </w:pPr>
      <w:r w:rsidRPr="00D6167B">
        <w:rPr>
          <w:lang w:val="hr-HR"/>
        </w:rPr>
        <w:t>Paklitaksel 135 mg/m</w:t>
      </w:r>
      <w:r w:rsidRPr="00D6167B">
        <w:rPr>
          <w:vertAlign w:val="superscript"/>
          <w:lang w:val="hr-HR"/>
        </w:rPr>
        <w:t>2</w:t>
      </w:r>
      <w:r w:rsidRPr="00D6167B">
        <w:rPr>
          <w:lang w:val="hr-HR"/>
        </w:rPr>
        <w:t xml:space="preserve"> intravenski tokom 24 sata 1. dana i cisplatin 50 mg/m</w:t>
      </w:r>
      <w:r w:rsidRPr="00D6167B">
        <w:rPr>
          <w:vertAlign w:val="superscript"/>
          <w:lang w:val="hr-HR"/>
        </w:rPr>
        <w:t>2</w:t>
      </w:r>
      <w:r w:rsidRPr="00D6167B">
        <w:rPr>
          <w:lang w:val="hr-HR"/>
        </w:rPr>
        <w:t xml:space="preserve"> intravenski 2. dana, svake 3 nedjelje (q3w); ili</w:t>
      </w:r>
    </w:p>
    <w:p w14:paraId="2BB24937" w14:textId="77777777" w:rsidR="00D15122" w:rsidRPr="00D6167B" w:rsidRDefault="009B0756" w:rsidP="007608DF">
      <w:pPr>
        <w:pStyle w:val="BodyText"/>
        <w:widowControl/>
        <w:ind w:left="562"/>
        <w:jc w:val="both"/>
        <w:rPr>
          <w:lang w:val="hr-HR"/>
        </w:rPr>
      </w:pPr>
      <w:r w:rsidRPr="00D6167B">
        <w:rPr>
          <w:lang w:val="hr-HR"/>
        </w:rPr>
        <w:t>Paklitaksel 175 mg/m</w:t>
      </w:r>
      <w:r w:rsidRPr="00D6167B">
        <w:rPr>
          <w:vertAlign w:val="superscript"/>
          <w:lang w:val="hr-HR"/>
        </w:rPr>
        <w:t>2</w:t>
      </w:r>
      <w:r w:rsidRPr="00D6167B">
        <w:rPr>
          <w:lang w:val="hr-HR"/>
        </w:rPr>
        <w:t xml:space="preserve"> intravenski tokom 3 sata 1. dana i cisplatin 50 mg/m</w:t>
      </w:r>
      <w:r w:rsidRPr="00D6167B">
        <w:rPr>
          <w:vertAlign w:val="superscript"/>
          <w:lang w:val="hr-HR"/>
        </w:rPr>
        <w:t>2</w:t>
      </w:r>
      <w:r w:rsidRPr="00D6167B">
        <w:rPr>
          <w:lang w:val="hr-HR"/>
        </w:rPr>
        <w:t xml:space="preserve"> intravenski 2. dana (q3w); ili</w:t>
      </w:r>
    </w:p>
    <w:p w14:paraId="71AF84D7" w14:textId="77777777" w:rsidR="00D15122" w:rsidRPr="00D6167B" w:rsidRDefault="009B0756" w:rsidP="007608DF">
      <w:pPr>
        <w:pStyle w:val="BodyText"/>
        <w:widowControl/>
        <w:ind w:left="562"/>
        <w:jc w:val="both"/>
        <w:rPr>
          <w:lang w:val="hr-HR"/>
        </w:rPr>
      </w:pPr>
      <w:r w:rsidRPr="00D6167B">
        <w:rPr>
          <w:lang w:val="hr-HR"/>
        </w:rPr>
        <w:lastRenderedPageBreak/>
        <w:t>Paklitaksel 175 mg/m</w:t>
      </w:r>
      <w:r w:rsidRPr="00D6167B">
        <w:rPr>
          <w:vertAlign w:val="superscript"/>
          <w:lang w:val="hr-HR"/>
        </w:rPr>
        <w:t>2</w:t>
      </w:r>
      <w:r w:rsidRPr="00D6167B">
        <w:rPr>
          <w:lang w:val="hr-HR"/>
        </w:rPr>
        <w:t xml:space="preserve"> intravenski tokom 3 sata 1. dana i cisplatin 50 mg/m</w:t>
      </w:r>
      <w:r w:rsidRPr="00D6167B">
        <w:rPr>
          <w:vertAlign w:val="superscript"/>
          <w:lang w:val="hr-HR"/>
        </w:rPr>
        <w:t>2</w:t>
      </w:r>
      <w:r w:rsidRPr="00D6167B">
        <w:rPr>
          <w:lang w:val="hr-HR"/>
        </w:rPr>
        <w:t xml:space="preserve"> intravenski 1. dana (q3w)</w:t>
      </w:r>
    </w:p>
    <w:p w14:paraId="75881F58" w14:textId="77777777" w:rsidR="00D15122" w:rsidRPr="00D6167B" w:rsidRDefault="00D15122" w:rsidP="007608DF">
      <w:pPr>
        <w:widowControl/>
        <w:ind w:left="562" w:hanging="562"/>
        <w:jc w:val="both"/>
        <w:rPr>
          <w:rFonts w:ascii="Times New Roman" w:eastAsia="Times New Roman" w:hAnsi="Times New Roman"/>
          <w:lang w:val="hr-HR"/>
        </w:rPr>
      </w:pPr>
    </w:p>
    <w:p w14:paraId="02275AE6" w14:textId="77777777" w:rsidR="00D15122" w:rsidRPr="00D6167B" w:rsidRDefault="009B0756" w:rsidP="007608DF">
      <w:pPr>
        <w:pStyle w:val="BodyText"/>
        <w:widowControl/>
        <w:numPr>
          <w:ilvl w:val="1"/>
          <w:numId w:val="11"/>
        </w:numPr>
        <w:ind w:left="562" w:hanging="562"/>
        <w:jc w:val="both"/>
        <w:rPr>
          <w:lang w:val="hr-HR"/>
        </w:rPr>
      </w:pPr>
      <w:r w:rsidRPr="00D6167B">
        <w:rPr>
          <w:lang w:val="hr-HR"/>
        </w:rPr>
        <w:t>Paklitaksel 135 mg/m</w:t>
      </w:r>
      <w:r w:rsidRPr="00D6167B">
        <w:rPr>
          <w:vertAlign w:val="superscript"/>
          <w:lang w:val="hr-HR"/>
        </w:rPr>
        <w:t>2</w:t>
      </w:r>
      <w:r w:rsidRPr="00D6167B">
        <w:rPr>
          <w:lang w:val="hr-HR"/>
        </w:rPr>
        <w:t xml:space="preserve"> intravenski tokom 24 sata 1. dana i cisplatin 50 mg/m</w:t>
      </w:r>
      <w:r w:rsidRPr="00D6167B">
        <w:rPr>
          <w:vertAlign w:val="superscript"/>
          <w:lang w:val="hr-HR"/>
        </w:rPr>
        <w:t>2</w:t>
      </w:r>
      <w:r w:rsidRPr="00D6167B">
        <w:rPr>
          <w:lang w:val="hr-HR"/>
        </w:rPr>
        <w:t xml:space="preserve"> intravenski 2. dana plus bevacizumab 15 mg/kg intravenski 2. dana (q3w); ili</w:t>
      </w:r>
    </w:p>
    <w:p w14:paraId="3AD6DAA2" w14:textId="77777777" w:rsidR="00D15122" w:rsidRPr="00D6167B" w:rsidRDefault="009B0756" w:rsidP="007608DF">
      <w:pPr>
        <w:pStyle w:val="BodyText"/>
        <w:widowControl/>
        <w:ind w:left="562"/>
        <w:jc w:val="both"/>
        <w:rPr>
          <w:lang w:val="hr-HR"/>
        </w:rPr>
      </w:pPr>
      <w:r w:rsidRPr="00D6167B">
        <w:rPr>
          <w:lang w:val="hr-HR"/>
        </w:rPr>
        <w:t>Paklitaksel 175 mg/m</w:t>
      </w:r>
      <w:r w:rsidRPr="00D6167B">
        <w:rPr>
          <w:vertAlign w:val="superscript"/>
          <w:lang w:val="hr-HR"/>
        </w:rPr>
        <w:t>2</w:t>
      </w:r>
      <w:r w:rsidRPr="00D6167B">
        <w:rPr>
          <w:lang w:val="hr-HR"/>
        </w:rPr>
        <w:t xml:space="preserve"> intravenski tokom 3 sata 1. dana i cisplatin 50 mg/m</w:t>
      </w:r>
      <w:r w:rsidRPr="00D6167B">
        <w:rPr>
          <w:vertAlign w:val="superscript"/>
          <w:lang w:val="hr-HR"/>
        </w:rPr>
        <w:t>2</w:t>
      </w:r>
      <w:r w:rsidRPr="00D6167B">
        <w:rPr>
          <w:lang w:val="hr-HR"/>
        </w:rPr>
        <w:t xml:space="preserve"> intravenski 2. dana plus bevacizumab 15 mg/kg intravenski 2. dana (q3w); ili</w:t>
      </w:r>
    </w:p>
    <w:p w14:paraId="5F8E51B8" w14:textId="77777777" w:rsidR="00D15122" w:rsidRPr="00D6167B" w:rsidRDefault="009B0756" w:rsidP="007608DF">
      <w:pPr>
        <w:pStyle w:val="BodyText"/>
        <w:widowControl/>
        <w:ind w:left="562"/>
        <w:jc w:val="both"/>
        <w:rPr>
          <w:lang w:val="hr-HR"/>
        </w:rPr>
      </w:pPr>
      <w:r w:rsidRPr="00D6167B">
        <w:rPr>
          <w:lang w:val="hr-HR"/>
        </w:rPr>
        <w:t>Paklitaksel 175 mg/m</w:t>
      </w:r>
      <w:r w:rsidRPr="00D6167B">
        <w:rPr>
          <w:vertAlign w:val="superscript"/>
          <w:lang w:val="hr-HR"/>
        </w:rPr>
        <w:t>2</w:t>
      </w:r>
      <w:r w:rsidRPr="00D6167B">
        <w:rPr>
          <w:lang w:val="hr-HR"/>
        </w:rPr>
        <w:t xml:space="preserve"> intravenski tokom 3 sata 1. dana i cisplatin 50 mg/m</w:t>
      </w:r>
      <w:r w:rsidRPr="00D6167B">
        <w:rPr>
          <w:vertAlign w:val="superscript"/>
          <w:lang w:val="hr-HR"/>
        </w:rPr>
        <w:t>2</w:t>
      </w:r>
      <w:r w:rsidRPr="00D6167B">
        <w:rPr>
          <w:lang w:val="hr-HR"/>
        </w:rPr>
        <w:t xml:space="preserve"> intravenski 1. dana plus bevacizumab 15 mg/kg intravenski 1. dana (q3w)</w:t>
      </w:r>
    </w:p>
    <w:p w14:paraId="71E1DAA7" w14:textId="77777777" w:rsidR="00D15122" w:rsidRPr="00D6167B" w:rsidRDefault="00D15122" w:rsidP="007608DF">
      <w:pPr>
        <w:widowControl/>
        <w:jc w:val="both"/>
        <w:rPr>
          <w:rFonts w:ascii="Times New Roman" w:eastAsia="Times New Roman" w:hAnsi="Times New Roman"/>
          <w:lang w:val="hr-HR"/>
        </w:rPr>
      </w:pPr>
    </w:p>
    <w:p w14:paraId="008E3E92" w14:textId="22D2B92A" w:rsidR="00D15122" w:rsidRPr="00D6167B" w:rsidRDefault="009B0756" w:rsidP="007608DF">
      <w:pPr>
        <w:pStyle w:val="BodyText"/>
        <w:widowControl/>
        <w:numPr>
          <w:ilvl w:val="1"/>
          <w:numId w:val="11"/>
        </w:numPr>
        <w:ind w:left="562" w:hanging="562"/>
        <w:jc w:val="both"/>
        <w:rPr>
          <w:lang w:val="hr-HR"/>
        </w:rPr>
      </w:pPr>
      <w:r w:rsidRPr="00D6167B">
        <w:rPr>
          <w:lang w:val="hr-HR"/>
        </w:rPr>
        <w:t>Paklitaksel 175 mg/m</w:t>
      </w:r>
      <w:r w:rsidRPr="00D6167B">
        <w:rPr>
          <w:vertAlign w:val="superscript"/>
          <w:lang w:val="hr-HR"/>
        </w:rPr>
        <w:t>2</w:t>
      </w:r>
      <w:r w:rsidRPr="00D6167B">
        <w:rPr>
          <w:lang w:val="hr-HR"/>
        </w:rPr>
        <w:t xml:space="preserve"> intravenski tokom 3 sata 1. dana i topotekan 0,75 mg/m</w:t>
      </w:r>
      <w:r w:rsidRPr="00D6167B">
        <w:rPr>
          <w:vertAlign w:val="superscript"/>
          <w:lang w:val="hr-HR"/>
        </w:rPr>
        <w:t>2</w:t>
      </w:r>
      <w:r w:rsidRPr="00D6167B">
        <w:rPr>
          <w:lang w:val="hr-HR"/>
        </w:rPr>
        <w:t xml:space="preserve"> intravenski tokom 30 minuta</w:t>
      </w:r>
      <w:r w:rsidR="00CA118A">
        <w:rPr>
          <w:lang w:val="hr-HR"/>
        </w:rPr>
        <w:t xml:space="preserve"> od</w:t>
      </w:r>
      <w:r w:rsidRPr="00D6167B">
        <w:rPr>
          <w:lang w:val="hr-HR"/>
        </w:rPr>
        <w:t xml:space="preserve"> 1</w:t>
      </w:r>
      <w:r w:rsidR="00CA118A">
        <w:rPr>
          <w:lang w:val="hr-HR"/>
        </w:rPr>
        <w:t>.</w:t>
      </w:r>
      <w:r w:rsidRPr="00D6167B">
        <w:rPr>
          <w:lang w:val="hr-HR"/>
        </w:rPr>
        <w:t>–3</w:t>
      </w:r>
      <w:r w:rsidR="00CA118A">
        <w:rPr>
          <w:lang w:val="hr-HR"/>
        </w:rPr>
        <w:t>. dana</w:t>
      </w:r>
      <w:r w:rsidRPr="00D6167B">
        <w:rPr>
          <w:lang w:val="hr-HR"/>
        </w:rPr>
        <w:t xml:space="preserve"> (q3w)</w:t>
      </w:r>
    </w:p>
    <w:p w14:paraId="6C030AED" w14:textId="77777777" w:rsidR="00D15122" w:rsidRPr="00D6167B" w:rsidRDefault="00D15122" w:rsidP="007608DF">
      <w:pPr>
        <w:widowControl/>
        <w:ind w:left="562" w:hanging="562"/>
        <w:jc w:val="both"/>
        <w:rPr>
          <w:rFonts w:ascii="Times New Roman" w:eastAsia="Times New Roman" w:hAnsi="Times New Roman"/>
          <w:lang w:val="hr-HR"/>
        </w:rPr>
      </w:pPr>
    </w:p>
    <w:p w14:paraId="4BC72687" w14:textId="34D11933" w:rsidR="00D15122" w:rsidRPr="00D6167B" w:rsidRDefault="009B0756" w:rsidP="007608DF">
      <w:pPr>
        <w:pStyle w:val="BodyText"/>
        <w:widowControl/>
        <w:numPr>
          <w:ilvl w:val="1"/>
          <w:numId w:val="11"/>
        </w:numPr>
        <w:ind w:left="562" w:hanging="562"/>
        <w:jc w:val="both"/>
        <w:rPr>
          <w:lang w:val="hr-HR"/>
        </w:rPr>
      </w:pPr>
      <w:r w:rsidRPr="00D6167B">
        <w:rPr>
          <w:lang w:val="hr-HR"/>
        </w:rPr>
        <w:t>Paklitaksel 175 mg/m</w:t>
      </w:r>
      <w:r w:rsidRPr="00D6167B">
        <w:rPr>
          <w:vertAlign w:val="superscript"/>
          <w:lang w:val="hr-HR"/>
        </w:rPr>
        <w:t>2</w:t>
      </w:r>
      <w:r w:rsidRPr="00D6167B">
        <w:rPr>
          <w:lang w:val="hr-HR"/>
        </w:rPr>
        <w:t xml:space="preserve"> intravenski tokom 3 sata 1. dana i topotekan 0,75 mg/m</w:t>
      </w:r>
      <w:r w:rsidRPr="00D6167B">
        <w:rPr>
          <w:vertAlign w:val="superscript"/>
          <w:lang w:val="hr-HR"/>
        </w:rPr>
        <w:t>2</w:t>
      </w:r>
      <w:r w:rsidRPr="00D6167B">
        <w:rPr>
          <w:lang w:val="hr-HR"/>
        </w:rPr>
        <w:t xml:space="preserve"> intravenski tokom 30 minuta </w:t>
      </w:r>
      <w:r w:rsidR="00CA118A">
        <w:rPr>
          <w:lang w:val="hr-HR"/>
        </w:rPr>
        <w:t>od</w:t>
      </w:r>
      <w:r w:rsidR="00CA118A" w:rsidRPr="00D6167B">
        <w:rPr>
          <w:lang w:val="hr-HR"/>
        </w:rPr>
        <w:t xml:space="preserve"> </w:t>
      </w:r>
      <w:r w:rsidRPr="00D6167B">
        <w:rPr>
          <w:lang w:val="hr-HR"/>
        </w:rPr>
        <w:t>1</w:t>
      </w:r>
      <w:r w:rsidR="00CA118A">
        <w:rPr>
          <w:lang w:val="hr-HR"/>
        </w:rPr>
        <w:t>.</w:t>
      </w:r>
      <w:r w:rsidRPr="00D6167B">
        <w:rPr>
          <w:lang w:val="hr-HR"/>
        </w:rPr>
        <w:t>–3</w:t>
      </w:r>
      <w:r w:rsidR="00CA118A">
        <w:rPr>
          <w:lang w:val="hr-HR"/>
        </w:rPr>
        <w:t>. dana</w:t>
      </w:r>
      <w:r w:rsidRPr="00D6167B">
        <w:rPr>
          <w:lang w:val="hr-HR"/>
        </w:rPr>
        <w:t xml:space="preserve"> plus bevacizumab 15 mg/kg intravenski 1. dana (q3w)</w:t>
      </w:r>
    </w:p>
    <w:p w14:paraId="321DD4CC" w14:textId="77777777" w:rsidR="00D15122" w:rsidRPr="00D6167B" w:rsidRDefault="00D15122" w:rsidP="007608DF">
      <w:pPr>
        <w:widowControl/>
        <w:ind w:left="562" w:hanging="562"/>
        <w:jc w:val="both"/>
        <w:rPr>
          <w:rFonts w:ascii="Times New Roman" w:eastAsia="Times New Roman" w:hAnsi="Times New Roman"/>
          <w:lang w:val="hr-HR"/>
        </w:rPr>
      </w:pPr>
    </w:p>
    <w:p w14:paraId="3D796216" w14:textId="77777777" w:rsidR="00D15122" w:rsidRPr="00D6167B" w:rsidRDefault="009B0756" w:rsidP="007608DF">
      <w:pPr>
        <w:pStyle w:val="BodyText"/>
        <w:widowControl/>
        <w:ind w:left="0"/>
        <w:jc w:val="both"/>
        <w:rPr>
          <w:lang w:val="hr-HR"/>
        </w:rPr>
      </w:pPr>
      <w:r w:rsidRPr="00D6167B">
        <w:rPr>
          <w:lang w:val="hr-HR"/>
        </w:rPr>
        <w:t>Kvalifikovani pacijenti su imali uporni, rekurentni ili metastatski karcinom skvamoznih ćelija, adenoskvamozni karcinom ili adenokarcinom grlića materice koji nijesu odgovorili na liječenje hirurškim i/ili radioterapijskim metodama i koji nijesu ranije liječeni bevacizumabom ili drugim VEGF inhibitorima ili agensima koji djeluju na VEGF receptore.</w:t>
      </w:r>
    </w:p>
    <w:p w14:paraId="74B4C6DF" w14:textId="77777777" w:rsidR="00AE72E3" w:rsidRPr="00D6167B" w:rsidRDefault="00AE72E3" w:rsidP="007608DF">
      <w:pPr>
        <w:pStyle w:val="BodyText"/>
        <w:widowControl/>
        <w:ind w:left="0"/>
        <w:jc w:val="both"/>
        <w:rPr>
          <w:lang w:val="hr-HR"/>
        </w:rPr>
      </w:pPr>
    </w:p>
    <w:p w14:paraId="563E53E5" w14:textId="77777777" w:rsidR="00D15122" w:rsidRPr="00D6167B" w:rsidRDefault="009B0756" w:rsidP="007608DF">
      <w:pPr>
        <w:pStyle w:val="BodyText"/>
        <w:widowControl/>
        <w:ind w:left="0"/>
        <w:jc w:val="both"/>
        <w:rPr>
          <w:lang w:val="hr-HR"/>
        </w:rPr>
      </w:pPr>
      <w:r w:rsidRPr="00D6167B">
        <w:rPr>
          <w:lang w:val="hr-HR"/>
        </w:rPr>
        <w:t>Srednja starost ispitanika iznosila je 46,0 godina (opseg: 20–83) u grupi koja je primala samo hemoterapiju i 48,0 godina (opseg: 22–85) u grupi koja je primala hemoterapiju + bevacizumab; a 9,3% pacijenata u grupi samo sa hemoterapijom i 7,5% pacijenata u grupi koja je primala hemoterapiju + bevacizumab imalo je više od 65 godina.</w:t>
      </w:r>
    </w:p>
    <w:p w14:paraId="30254DD6" w14:textId="77777777" w:rsidR="00203535" w:rsidRPr="00D6167B" w:rsidRDefault="00203535" w:rsidP="007608DF">
      <w:pPr>
        <w:pStyle w:val="BodyText"/>
        <w:widowControl/>
        <w:ind w:left="0"/>
        <w:jc w:val="both"/>
        <w:rPr>
          <w:lang w:val="hr-HR"/>
        </w:rPr>
      </w:pPr>
    </w:p>
    <w:p w14:paraId="2227D5D3" w14:textId="77777777" w:rsidR="00D15122" w:rsidRPr="00D6167B" w:rsidRDefault="009B0756" w:rsidP="007608DF">
      <w:pPr>
        <w:pStyle w:val="BodyText"/>
        <w:widowControl/>
        <w:ind w:left="0"/>
        <w:jc w:val="both"/>
        <w:rPr>
          <w:lang w:val="hr-HR"/>
        </w:rPr>
      </w:pPr>
      <w:r w:rsidRPr="00D6167B">
        <w:rPr>
          <w:lang w:val="hr-HR"/>
        </w:rPr>
        <w:t>Od 452 pacijenta koji su randomizovani na početnom nivou, većina pacijenata je bila bijele rase (80,0% u grupi koja je primala hemoterapiju i 75,3% u grupi koja je primala hemoterapiju + bevacizumab), sa karcinomom skvamoznih ćelija (67,1% u grupi koja je primala samo hemoterapiju i 69,6% u grupi koja je primala hemoterapiju + bevacizumab), sa upornom/rekurentnom bolešću (83,6% u grupi koja je primala samo hemoterapiju i 82,8% u grupi koja je primala hemoterapiju + bevacizumab), sa 1–2 metastatske lokacije (72,0% u grupi koja je primala samo hemoterapiju i 76,2% u grupi koja je primala hemoterapiju + bevacizumab), sa zahvaćenim limfnim čvorovima (50,2% u grupi koja je primala samo hemoterapiju i 56,4% u grupi koja je primala hemoterapiju + bevacizumab) i sa intervalom bez primjene platine ≥ 6 m</w:t>
      </w:r>
      <w:r w:rsidR="00EC0637" w:rsidRPr="00D6167B">
        <w:rPr>
          <w:lang w:val="hr-HR"/>
        </w:rPr>
        <w:t>j</w:t>
      </w:r>
      <w:r w:rsidRPr="00D6167B">
        <w:rPr>
          <w:lang w:val="hr-HR"/>
        </w:rPr>
        <w:t>eseci (72,5% u grupi koja je primala samo hemoterapiju i 64,4% u grupi koja je primala hemoterapiju + bevacizumab).</w:t>
      </w:r>
    </w:p>
    <w:p w14:paraId="6D42B347" w14:textId="77777777" w:rsidR="00D15122" w:rsidRPr="00D6167B" w:rsidRDefault="00D15122" w:rsidP="007608DF">
      <w:pPr>
        <w:widowControl/>
        <w:jc w:val="both"/>
        <w:rPr>
          <w:rFonts w:ascii="Times New Roman" w:eastAsia="Times New Roman" w:hAnsi="Times New Roman"/>
          <w:lang w:val="hr-HR"/>
        </w:rPr>
      </w:pPr>
    </w:p>
    <w:p w14:paraId="32E48A67" w14:textId="77777777" w:rsidR="00D15122" w:rsidRPr="00D6167B" w:rsidRDefault="009B0756" w:rsidP="007608DF">
      <w:pPr>
        <w:pStyle w:val="BodyText"/>
        <w:widowControl/>
        <w:ind w:left="0"/>
        <w:jc w:val="both"/>
        <w:rPr>
          <w:lang w:val="hr-HR"/>
        </w:rPr>
      </w:pPr>
      <w:r w:rsidRPr="00D6167B">
        <w:rPr>
          <w:lang w:val="hr-HR"/>
        </w:rPr>
        <w:t>Primarni parametar efikasnosti bilo je ukupno preživljavanje. Sekundarni parametri efikasnosti su obuhvatali preživljavanje bez progresije bolesti i stopu objektivnog odgovora. Rezultati primarne analize i analize praćenja predstavljeni su za liječenje bevacizumabom u tabeli 25 i za liječenje ispitivanom terapijom u tabeli 26.</w:t>
      </w:r>
    </w:p>
    <w:p w14:paraId="049E6292" w14:textId="77777777" w:rsidR="00D15122" w:rsidRPr="00D6167B" w:rsidRDefault="00D15122" w:rsidP="007608DF">
      <w:pPr>
        <w:widowControl/>
        <w:jc w:val="both"/>
        <w:rPr>
          <w:rFonts w:ascii="Times New Roman" w:eastAsia="Times New Roman" w:hAnsi="Times New Roman"/>
          <w:lang w:val="hr-HR"/>
        </w:rPr>
      </w:pPr>
    </w:p>
    <w:p w14:paraId="4B3823A6" w14:textId="77777777" w:rsidR="00D15122" w:rsidRPr="00D6167B" w:rsidRDefault="009B0756" w:rsidP="007608DF">
      <w:pPr>
        <w:pStyle w:val="Heading1"/>
        <w:keepNext/>
        <w:widowControl/>
        <w:tabs>
          <w:tab w:val="left" w:pos="1253"/>
        </w:tabs>
        <w:ind w:left="0"/>
        <w:jc w:val="both"/>
        <w:rPr>
          <w:lang w:val="hr-HR"/>
        </w:rPr>
      </w:pPr>
      <w:r w:rsidRPr="00D6167B">
        <w:rPr>
          <w:lang w:val="hr-HR"/>
        </w:rPr>
        <w:t>Tabela 25</w:t>
      </w:r>
      <w:r w:rsidRPr="00D6167B">
        <w:rPr>
          <w:lang w:val="hr-HR"/>
        </w:rPr>
        <w:tab/>
        <w:t>Rezultati efikasnosti iz studije GOG-0240 prema liječenju bevacizumabom</w:t>
      </w:r>
    </w:p>
    <w:p w14:paraId="43BC8261" w14:textId="77777777" w:rsidR="00CF4906" w:rsidRPr="00D6167B" w:rsidRDefault="00CF4906" w:rsidP="007608DF">
      <w:pPr>
        <w:pStyle w:val="Heading1"/>
        <w:keepNext/>
        <w:widowControl/>
        <w:tabs>
          <w:tab w:val="left" w:pos="1253"/>
        </w:tabs>
        <w:ind w:left="0"/>
        <w:jc w:val="both"/>
        <w:rPr>
          <w:b w:val="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82"/>
        <w:gridCol w:w="2433"/>
        <w:gridCol w:w="3063"/>
      </w:tblGrid>
      <w:tr w:rsidR="00CF4906" w:rsidRPr="00D6167B" w14:paraId="3E05C862" w14:textId="77777777" w:rsidTr="005364BB">
        <w:trPr>
          <w:cantSplit/>
          <w:tblHeader/>
        </w:trPr>
        <w:tc>
          <w:tcPr>
            <w:tcW w:w="3518" w:type="dxa"/>
          </w:tcPr>
          <w:p w14:paraId="31E28C5F" w14:textId="77777777" w:rsidR="00CF4906" w:rsidRPr="00D6167B" w:rsidRDefault="00CF4906" w:rsidP="007608DF">
            <w:pPr>
              <w:widowControl/>
              <w:jc w:val="both"/>
              <w:rPr>
                <w:rFonts w:ascii="Times New Roman" w:hAnsi="Times New Roman"/>
                <w:sz w:val="20"/>
                <w:szCs w:val="20"/>
                <w:lang w:val="hr-HR"/>
              </w:rPr>
            </w:pPr>
          </w:p>
        </w:tc>
        <w:tc>
          <w:tcPr>
            <w:tcW w:w="2390" w:type="dxa"/>
          </w:tcPr>
          <w:p w14:paraId="5B2FD6C7" w14:textId="77777777" w:rsidR="007D6BFD" w:rsidRPr="00D6167B" w:rsidRDefault="007D6BFD" w:rsidP="00D37692">
            <w:pPr>
              <w:pStyle w:val="TableParagraph"/>
              <w:widowControl/>
              <w:ind w:right="61" w:firstLine="3"/>
              <w:jc w:val="center"/>
              <w:rPr>
                <w:rFonts w:ascii="Times New Roman" w:hAnsi="Times New Roman"/>
                <w:sz w:val="20"/>
                <w:szCs w:val="20"/>
                <w:lang w:val="hr-HR"/>
              </w:rPr>
            </w:pPr>
            <w:r w:rsidRPr="00D6167B">
              <w:rPr>
                <w:rFonts w:ascii="Times New Roman" w:hAnsi="Times New Roman"/>
                <w:sz w:val="20"/>
                <w:lang w:val="hr-HR"/>
              </w:rPr>
              <w:t>Hemoterapija</w:t>
            </w:r>
          </w:p>
          <w:p w14:paraId="554F67F5" w14:textId="77777777" w:rsidR="00CF4906" w:rsidRPr="00D6167B" w:rsidRDefault="00CF4906" w:rsidP="00D37692">
            <w:pPr>
              <w:pStyle w:val="TableParagraph"/>
              <w:widowControl/>
              <w:ind w:right="61" w:firstLine="3"/>
              <w:jc w:val="center"/>
              <w:rPr>
                <w:rFonts w:ascii="Times New Roman" w:eastAsia="Times New Roman" w:hAnsi="Times New Roman"/>
                <w:sz w:val="20"/>
                <w:szCs w:val="20"/>
                <w:lang w:val="hr-HR"/>
              </w:rPr>
            </w:pPr>
            <w:r w:rsidRPr="00D6167B">
              <w:rPr>
                <w:rFonts w:ascii="Times New Roman" w:hAnsi="Times New Roman"/>
                <w:sz w:val="20"/>
                <w:lang w:val="hr-HR"/>
              </w:rPr>
              <w:t>(n=225)</w:t>
            </w:r>
          </w:p>
        </w:tc>
        <w:tc>
          <w:tcPr>
            <w:tcW w:w="3008" w:type="dxa"/>
          </w:tcPr>
          <w:p w14:paraId="62540FC6" w14:textId="77777777" w:rsidR="00CF4906" w:rsidRPr="00D6167B" w:rsidRDefault="00CF4906" w:rsidP="00D37692">
            <w:pPr>
              <w:pStyle w:val="TableParagraph"/>
              <w:widowControl/>
              <w:ind w:right="1"/>
              <w:jc w:val="center"/>
              <w:rPr>
                <w:rFonts w:ascii="Times New Roman" w:hAnsi="Times New Roman"/>
                <w:sz w:val="20"/>
                <w:szCs w:val="20"/>
                <w:lang w:val="hr-HR"/>
              </w:rPr>
            </w:pPr>
            <w:r w:rsidRPr="00D6167B">
              <w:rPr>
                <w:rFonts w:ascii="Times New Roman" w:hAnsi="Times New Roman"/>
                <w:sz w:val="20"/>
                <w:lang w:val="hr-HR"/>
              </w:rPr>
              <w:t xml:space="preserve">Hemoterapija + </w:t>
            </w:r>
            <w:r w:rsidRPr="00D6167B">
              <w:rPr>
                <w:rFonts w:ascii="Times New Roman" w:hAnsi="Times New Roman"/>
                <w:sz w:val="20"/>
                <w:u w:val="single"/>
                <w:lang w:val="hr-HR"/>
              </w:rPr>
              <w:t>bevacizumab</w:t>
            </w:r>
          </w:p>
          <w:p w14:paraId="4DEDFCBD" w14:textId="77777777" w:rsidR="00CF4906" w:rsidRPr="00D6167B" w:rsidRDefault="00CF4906" w:rsidP="00D37692">
            <w:pPr>
              <w:pStyle w:val="TableParagraph"/>
              <w:widowControl/>
              <w:ind w:right="1"/>
              <w:jc w:val="center"/>
              <w:rPr>
                <w:rFonts w:ascii="Times New Roman" w:eastAsia="Times New Roman" w:hAnsi="Times New Roman"/>
                <w:sz w:val="20"/>
                <w:szCs w:val="20"/>
                <w:lang w:val="hr-HR"/>
              </w:rPr>
            </w:pPr>
            <w:r w:rsidRPr="00D6167B">
              <w:rPr>
                <w:rFonts w:ascii="Times New Roman" w:hAnsi="Times New Roman"/>
                <w:sz w:val="20"/>
                <w:lang w:val="hr-HR"/>
              </w:rPr>
              <w:t>(n=227)</w:t>
            </w:r>
          </w:p>
        </w:tc>
      </w:tr>
      <w:tr w:rsidR="00CF4906" w:rsidRPr="00D6167B" w14:paraId="3B589A32" w14:textId="77777777" w:rsidTr="005364BB">
        <w:trPr>
          <w:cantSplit/>
        </w:trPr>
        <w:tc>
          <w:tcPr>
            <w:tcW w:w="8916" w:type="dxa"/>
            <w:gridSpan w:val="3"/>
          </w:tcPr>
          <w:p w14:paraId="7EE53CC0" w14:textId="77777777" w:rsidR="00CF4906" w:rsidRPr="00D6167B" w:rsidRDefault="00CF4906" w:rsidP="00D37692">
            <w:pPr>
              <w:pStyle w:val="TableParagraph"/>
              <w:widowControl/>
              <w:ind w:right="1"/>
              <w:jc w:val="center"/>
              <w:rPr>
                <w:rFonts w:ascii="Times New Roman" w:eastAsia="Times New Roman" w:hAnsi="Times New Roman"/>
                <w:b/>
                <w:sz w:val="20"/>
                <w:szCs w:val="20"/>
                <w:u w:val="single"/>
                <w:lang w:val="hr-HR"/>
              </w:rPr>
            </w:pPr>
            <w:r w:rsidRPr="00D6167B">
              <w:rPr>
                <w:rFonts w:ascii="Times New Roman" w:hAnsi="Times New Roman"/>
                <w:b/>
                <w:sz w:val="20"/>
                <w:u w:val="single"/>
                <w:lang w:val="hr-HR"/>
              </w:rPr>
              <w:t>Primarni parametar efikasnosti</w:t>
            </w:r>
          </w:p>
        </w:tc>
      </w:tr>
      <w:tr w:rsidR="00CF4906" w:rsidRPr="00D6167B" w14:paraId="5D70A94B" w14:textId="77777777" w:rsidTr="005364BB">
        <w:trPr>
          <w:cantSplit/>
        </w:trPr>
        <w:tc>
          <w:tcPr>
            <w:tcW w:w="8916" w:type="dxa"/>
            <w:gridSpan w:val="3"/>
          </w:tcPr>
          <w:p w14:paraId="51204129" w14:textId="77777777" w:rsidR="00CF4906" w:rsidRPr="00D6167B" w:rsidRDefault="00CF4906" w:rsidP="007608DF">
            <w:pPr>
              <w:pStyle w:val="TableParagraph"/>
              <w:widowControl/>
              <w:jc w:val="both"/>
              <w:rPr>
                <w:rFonts w:ascii="Times New Roman" w:eastAsia="Times New Roman" w:hAnsi="Times New Roman"/>
                <w:b/>
                <w:sz w:val="20"/>
                <w:szCs w:val="20"/>
                <w:lang w:val="hr-HR"/>
              </w:rPr>
            </w:pPr>
            <w:r w:rsidRPr="00D6167B">
              <w:rPr>
                <w:rFonts w:ascii="Times New Roman" w:hAnsi="Times New Roman"/>
                <w:b/>
                <w:sz w:val="20"/>
                <w:lang w:val="hr-HR"/>
              </w:rPr>
              <w:t>Ukupno preživljavanje – primarna analiza</w:t>
            </w:r>
            <w:r w:rsidRPr="00D6167B">
              <w:rPr>
                <w:rFonts w:ascii="Times New Roman" w:hAnsi="Times New Roman"/>
                <w:b/>
                <w:sz w:val="20"/>
                <w:vertAlign w:val="superscript"/>
                <w:lang w:val="hr-HR"/>
              </w:rPr>
              <w:t>6</w:t>
            </w:r>
          </w:p>
        </w:tc>
      </w:tr>
      <w:tr w:rsidR="00CF4906" w:rsidRPr="00D6167B" w14:paraId="5D245CF8" w14:textId="77777777" w:rsidTr="005364BB">
        <w:trPr>
          <w:cantSplit/>
        </w:trPr>
        <w:tc>
          <w:tcPr>
            <w:tcW w:w="3518" w:type="dxa"/>
          </w:tcPr>
          <w:p w14:paraId="461B9590"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Srednja vrijednost (mjeseci)</w:t>
            </w:r>
            <w:r w:rsidRPr="00D6167B">
              <w:rPr>
                <w:rFonts w:ascii="Times New Roman" w:hAnsi="Times New Roman"/>
                <w:sz w:val="20"/>
                <w:vertAlign w:val="superscript"/>
                <w:lang w:val="hr-HR"/>
              </w:rPr>
              <w:t>1</w:t>
            </w:r>
          </w:p>
        </w:tc>
        <w:tc>
          <w:tcPr>
            <w:tcW w:w="2390" w:type="dxa"/>
          </w:tcPr>
          <w:p w14:paraId="2B457DB2"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12,9</w:t>
            </w:r>
          </w:p>
        </w:tc>
        <w:tc>
          <w:tcPr>
            <w:tcW w:w="3008" w:type="dxa"/>
          </w:tcPr>
          <w:p w14:paraId="23F3DAFA"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16,8</w:t>
            </w:r>
          </w:p>
        </w:tc>
      </w:tr>
      <w:tr w:rsidR="00CF4906" w:rsidRPr="00D6167B" w14:paraId="574DCF11" w14:textId="77777777" w:rsidTr="005364BB">
        <w:trPr>
          <w:cantSplit/>
        </w:trPr>
        <w:tc>
          <w:tcPr>
            <w:tcW w:w="3518" w:type="dxa"/>
          </w:tcPr>
          <w:p w14:paraId="570F801E"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Odnos rizika [95% CI]</w:t>
            </w:r>
          </w:p>
        </w:tc>
        <w:tc>
          <w:tcPr>
            <w:tcW w:w="5398" w:type="dxa"/>
            <w:gridSpan w:val="2"/>
          </w:tcPr>
          <w:p w14:paraId="08B2D991"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0,74 [0,58, 0,94]</w:t>
            </w:r>
          </w:p>
          <w:p w14:paraId="50513AE9" w14:textId="77777777" w:rsidR="00CF4906" w:rsidRPr="00D6167B" w:rsidRDefault="00CF4906" w:rsidP="00D37692">
            <w:pPr>
              <w:pStyle w:val="TableParagraph"/>
              <w:widowControl/>
              <w:ind w:hanging="3"/>
              <w:jc w:val="center"/>
              <w:rPr>
                <w:rFonts w:ascii="Times New Roman" w:eastAsia="Times New Roman" w:hAnsi="Times New Roman"/>
                <w:sz w:val="20"/>
                <w:szCs w:val="20"/>
                <w:lang w:val="hr-HR"/>
              </w:rPr>
            </w:pPr>
            <w:r w:rsidRPr="00D6167B">
              <w:rPr>
                <w:rFonts w:ascii="Times New Roman" w:hAnsi="Times New Roman"/>
                <w:sz w:val="20"/>
                <w:lang w:val="hr-HR"/>
              </w:rPr>
              <w:t>(vrijednost p</w:t>
            </w:r>
            <w:r w:rsidRPr="00D6167B">
              <w:rPr>
                <w:rFonts w:ascii="Times New Roman" w:hAnsi="Times New Roman"/>
                <w:sz w:val="20"/>
                <w:vertAlign w:val="superscript"/>
                <w:lang w:val="hr-HR"/>
              </w:rPr>
              <w:t>5</w:t>
            </w:r>
            <w:r w:rsidRPr="00D6167B">
              <w:rPr>
                <w:rFonts w:ascii="Times New Roman" w:hAnsi="Times New Roman"/>
                <w:sz w:val="20"/>
                <w:lang w:val="hr-HR"/>
              </w:rPr>
              <w:t xml:space="preserve"> = 0,0132)</w:t>
            </w:r>
          </w:p>
        </w:tc>
      </w:tr>
      <w:tr w:rsidR="00CF4906" w:rsidRPr="00D6167B" w14:paraId="26948D0F" w14:textId="77777777" w:rsidTr="005364BB">
        <w:trPr>
          <w:cantSplit/>
        </w:trPr>
        <w:tc>
          <w:tcPr>
            <w:tcW w:w="8916" w:type="dxa"/>
            <w:gridSpan w:val="3"/>
          </w:tcPr>
          <w:p w14:paraId="5F0D9185" w14:textId="77777777" w:rsidR="00CF4906" w:rsidRPr="00D6167B" w:rsidRDefault="00CF4906" w:rsidP="007608DF">
            <w:pPr>
              <w:pStyle w:val="TableParagraph"/>
              <w:widowControl/>
              <w:jc w:val="both"/>
              <w:rPr>
                <w:rFonts w:ascii="Times New Roman" w:eastAsia="Times New Roman" w:hAnsi="Times New Roman"/>
                <w:b/>
                <w:sz w:val="20"/>
                <w:szCs w:val="20"/>
                <w:lang w:val="hr-HR"/>
              </w:rPr>
            </w:pPr>
            <w:r w:rsidRPr="00D6167B">
              <w:rPr>
                <w:rFonts w:ascii="Times New Roman" w:hAnsi="Times New Roman"/>
                <w:b/>
                <w:sz w:val="20"/>
                <w:lang w:val="hr-HR"/>
              </w:rPr>
              <w:t>Ukupno preživljavanje – primarna analiza</w:t>
            </w:r>
            <w:r w:rsidRPr="00D6167B">
              <w:rPr>
                <w:rFonts w:ascii="Times New Roman" w:hAnsi="Times New Roman"/>
                <w:b/>
                <w:sz w:val="20"/>
                <w:vertAlign w:val="superscript"/>
                <w:lang w:val="hr-HR"/>
              </w:rPr>
              <w:t>7</w:t>
            </w:r>
          </w:p>
        </w:tc>
      </w:tr>
      <w:tr w:rsidR="00CF4906" w:rsidRPr="00D6167B" w14:paraId="16176B11" w14:textId="77777777" w:rsidTr="005364BB">
        <w:trPr>
          <w:cantSplit/>
        </w:trPr>
        <w:tc>
          <w:tcPr>
            <w:tcW w:w="3518" w:type="dxa"/>
          </w:tcPr>
          <w:p w14:paraId="2BF447F3"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Srednja vrijednost (mjeseci)</w:t>
            </w:r>
            <w:r w:rsidRPr="00D6167B">
              <w:rPr>
                <w:rFonts w:ascii="Times New Roman" w:hAnsi="Times New Roman"/>
                <w:sz w:val="20"/>
                <w:vertAlign w:val="superscript"/>
                <w:lang w:val="hr-HR"/>
              </w:rPr>
              <w:t>1</w:t>
            </w:r>
          </w:p>
        </w:tc>
        <w:tc>
          <w:tcPr>
            <w:tcW w:w="2390" w:type="dxa"/>
          </w:tcPr>
          <w:p w14:paraId="55790467"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13,3</w:t>
            </w:r>
          </w:p>
        </w:tc>
        <w:tc>
          <w:tcPr>
            <w:tcW w:w="3008" w:type="dxa"/>
          </w:tcPr>
          <w:p w14:paraId="1EAAB611"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16,8</w:t>
            </w:r>
          </w:p>
        </w:tc>
      </w:tr>
      <w:tr w:rsidR="00CF4906" w:rsidRPr="00D6167B" w14:paraId="62EC8C16" w14:textId="77777777" w:rsidTr="005364BB">
        <w:trPr>
          <w:cantSplit/>
        </w:trPr>
        <w:tc>
          <w:tcPr>
            <w:tcW w:w="3518" w:type="dxa"/>
          </w:tcPr>
          <w:p w14:paraId="1B732A31"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Odnos rizika [95% CI]</w:t>
            </w:r>
          </w:p>
        </w:tc>
        <w:tc>
          <w:tcPr>
            <w:tcW w:w="5398" w:type="dxa"/>
            <w:gridSpan w:val="2"/>
          </w:tcPr>
          <w:p w14:paraId="2C266A6D" w14:textId="77777777" w:rsidR="00CF4906" w:rsidRPr="00D6167B" w:rsidRDefault="00CF4906" w:rsidP="00D37692">
            <w:pPr>
              <w:pStyle w:val="TableParagraph"/>
              <w:widowControl/>
              <w:jc w:val="center"/>
              <w:rPr>
                <w:rFonts w:ascii="Times New Roman" w:hAnsi="Times New Roman"/>
                <w:sz w:val="20"/>
                <w:szCs w:val="20"/>
                <w:lang w:val="hr-HR"/>
              </w:rPr>
            </w:pPr>
            <w:r w:rsidRPr="00D6167B">
              <w:rPr>
                <w:rFonts w:ascii="Times New Roman" w:hAnsi="Times New Roman"/>
                <w:sz w:val="20"/>
                <w:lang w:val="hr-HR"/>
              </w:rPr>
              <w:t>0,76 [0,62, 0,94]</w:t>
            </w:r>
          </w:p>
          <w:p w14:paraId="58CD9C28"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(vrijednost p</w:t>
            </w:r>
            <w:r w:rsidRPr="00D6167B">
              <w:rPr>
                <w:rFonts w:ascii="Times New Roman" w:hAnsi="Times New Roman"/>
                <w:sz w:val="20"/>
                <w:vertAlign w:val="superscript"/>
                <w:lang w:val="hr-HR"/>
              </w:rPr>
              <w:t>5,8</w:t>
            </w:r>
            <w:r w:rsidRPr="00D6167B">
              <w:rPr>
                <w:rFonts w:ascii="Times New Roman" w:hAnsi="Times New Roman"/>
                <w:sz w:val="20"/>
                <w:lang w:val="hr-HR"/>
              </w:rPr>
              <w:t xml:space="preserve"> = 0,0126)</w:t>
            </w:r>
          </w:p>
        </w:tc>
      </w:tr>
      <w:tr w:rsidR="00CF4906" w:rsidRPr="00D6167B" w14:paraId="1B783934" w14:textId="77777777" w:rsidTr="005364BB">
        <w:trPr>
          <w:cantSplit/>
        </w:trPr>
        <w:tc>
          <w:tcPr>
            <w:tcW w:w="8916" w:type="dxa"/>
            <w:gridSpan w:val="3"/>
          </w:tcPr>
          <w:p w14:paraId="27C714DD" w14:textId="77777777" w:rsidR="00CF4906" w:rsidRPr="00D6167B" w:rsidRDefault="00CF4906" w:rsidP="00D37692">
            <w:pPr>
              <w:pStyle w:val="TableParagraph"/>
              <w:widowControl/>
              <w:ind w:right="1"/>
              <w:rPr>
                <w:rFonts w:ascii="Times New Roman" w:eastAsia="Times New Roman" w:hAnsi="Times New Roman"/>
                <w:b/>
                <w:sz w:val="20"/>
                <w:szCs w:val="20"/>
                <w:lang w:val="hr-HR"/>
              </w:rPr>
            </w:pPr>
            <w:r w:rsidRPr="00D6167B">
              <w:rPr>
                <w:rFonts w:ascii="Times New Roman" w:hAnsi="Times New Roman"/>
                <w:b/>
                <w:sz w:val="20"/>
                <w:u w:val="single"/>
                <w:lang w:val="hr-HR"/>
              </w:rPr>
              <w:t>Sekundarni parametri efikasnosti</w:t>
            </w:r>
          </w:p>
        </w:tc>
      </w:tr>
      <w:tr w:rsidR="00CF4906" w:rsidRPr="00D6167B" w14:paraId="5AC54043" w14:textId="77777777" w:rsidTr="005364BB">
        <w:trPr>
          <w:cantSplit/>
        </w:trPr>
        <w:tc>
          <w:tcPr>
            <w:tcW w:w="8916" w:type="dxa"/>
            <w:gridSpan w:val="3"/>
          </w:tcPr>
          <w:p w14:paraId="6E374E57" w14:textId="77777777" w:rsidR="00CF4906" w:rsidRPr="00D6167B" w:rsidRDefault="00CF4906" w:rsidP="00D37692">
            <w:pPr>
              <w:pStyle w:val="TableParagraph"/>
              <w:widowControl/>
              <w:rPr>
                <w:rFonts w:ascii="Times New Roman" w:eastAsia="Times New Roman" w:hAnsi="Times New Roman"/>
                <w:b/>
                <w:sz w:val="20"/>
                <w:szCs w:val="20"/>
                <w:lang w:val="hr-HR"/>
              </w:rPr>
            </w:pPr>
            <w:r w:rsidRPr="00D6167B">
              <w:rPr>
                <w:rFonts w:ascii="Times New Roman" w:hAnsi="Times New Roman"/>
                <w:b/>
                <w:sz w:val="20"/>
                <w:lang w:val="hr-HR"/>
              </w:rPr>
              <w:t>Preživljavanje bez progresije – primarna analiza</w:t>
            </w:r>
            <w:r w:rsidRPr="00D6167B">
              <w:rPr>
                <w:rFonts w:ascii="Times New Roman" w:hAnsi="Times New Roman"/>
                <w:b/>
                <w:sz w:val="20"/>
                <w:vertAlign w:val="superscript"/>
                <w:lang w:val="hr-HR"/>
              </w:rPr>
              <w:t>6</w:t>
            </w:r>
          </w:p>
        </w:tc>
      </w:tr>
      <w:tr w:rsidR="00CF4906" w:rsidRPr="00D6167B" w14:paraId="0E7A41D5" w14:textId="77777777" w:rsidTr="005364BB">
        <w:trPr>
          <w:cantSplit/>
        </w:trPr>
        <w:tc>
          <w:tcPr>
            <w:tcW w:w="3518" w:type="dxa"/>
          </w:tcPr>
          <w:p w14:paraId="5C3F3077"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 xml:space="preserve">Srednja vrijednost PFS (mjeseci) </w:t>
            </w:r>
            <w:r w:rsidRPr="00D6167B">
              <w:rPr>
                <w:rFonts w:ascii="Times New Roman" w:hAnsi="Times New Roman"/>
                <w:sz w:val="20"/>
                <w:vertAlign w:val="superscript"/>
                <w:lang w:val="hr-HR"/>
              </w:rPr>
              <w:t>1</w:t>
            </w:r>
          </w:p>
        </w:tc>
        <w:tc>
          <w:tcPr>
            <w:tcW w:w="2390" w:type="dxa"/>
          </w:tcPr>
          <w:p w14:paraId="7F33352B"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6,0</w:t>
            </w:r>
          </w:p>
        </w:tc>
        <w:tc>
          <w:tcPr>
            <w:tcW w:w="3008" w:type="dxa"/>
          </w:tcPr>
          <w:p w14:paraId="6A8BC10F"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8,3</w:t>
            </w:r>
          </w:p>
        </w:tc>
      </w:tr>
      <w:tr w:rsidR="00CF4906" w:rsidRPr="00D6167B" w14:paraId="78F40CF0" w14:textId="77777777" w:rsidTr="005364BB">
        <w:trPr>
          <w:cantSplit/>
        </w:trPr>
        <w:tc>
          <w:tcPr>
            <w:tcW w:w="3518" w:type="dxa"/>
          </w:tcPr>
          <w:p w14:paraId="033C32A4"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lastRenderedPageBreak/>
              <w:t>Odnos rizika [95% CI]</w:t>
            </w:r>
          </w:p>
        </w:tc>
        <w:tc>
          <w:tcPr>
            <w:tcW w:w="5398" w:type="dxa"/>
            <w:gridSpan w:val="2"/>
          </w:tcPr>
          <w:p w14:paraId="376F8223" w14:textId="77777777" w:rsidR="00CF4906" w:rsidRPr="00D6167B" w:rsidRDefault="00CF4906" w:rsidP="00D37692">
            <w:pPr>
              <w:pStyle w:val="TableParagraph"/>
              <w:widowControl/>
              <w:jc w:val="center"/>
              <w:rPr>
                <w:rFonts w:ascii="Times New Roman" w:hAnsi="Times New Roman"/>
                <w:sz w:val="20"/>
                <w:szCs w:val="20"/>
                <w:lang w:val="hr-HR"/>
              </w:rPr>
            </w:pPr>
            <w:r w:rsidRPr="00D6167B">
              <w:rPr>
                <w:rFonts w:ascii="Times New Roman" w:hAnsi="Times New Roman"/>
                <w:sz w:val="20"/>
                <w:lang w:val="hr-HR"/>
              </w:rPr>
              <w:t>0,66 [0,54, 0,81]</w:t>
            </w:r>
          </w:p>
          <w:p w14:paraId="4BE05A46"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(vrijednost p</w:t>
            </w:r>
            <w:r w:rsidRPr="00D6167B">
              <w:rPr>
                <w:rFonts w:ascii="Times New Roman" w:hAnsi="Times New Roman"/>
                <w:sz w:val="20"/>
                <w:vertAlign w:val="superscript"/>
                <w:lang w:val="hr-HR"/>
              </w:rPr>
              <w:t>5</w:t>
            </w:r>
            <w:r w:rsidRPr="00D6167B">
              <w:rPr>
                <w:rFonts w:ascii="Times New Roman" w:hAnsi="Times New Roman"/>
                <w:sz w:val="20"/>
                <w:lang w:val="hr-HR"/>
              </w:rPr>
              <w:t>&lt; 0,0001)</w:t>
            </w:r>
          </w:p>
        </w:tc>
      </w:tr>
      <w:tr w:rsidR="00CF4906" w:rsidRPr="00D6167B" w14:paraId="573D09C4" w14:textId="77777777" w:rsidTr="005364BB">
        <w:trPr>
          <w:cantSplit/>
        </w:trPr>
        <w:tc>
          <w:tcPr>
            <w:tcW w:w="8916" w:type="dxa"/>
            <w:gridSpan w:val="3"/>
          </w:tcPr>
          <w:p w14:paraId="45A14767" w14:textId="54C09B88" w:rsidR="00CF4906" w:rsidRPr="00D6167B" w:rsidRDefault="00CF4906" w:rsidP="00D37692">
            <w:pPr>
              <w:pStyle w:val="TableParagraph"/>
              <w:widowControl/>
              <w:rPr>
                <w:rFonts w:ascii="Times New Roman" w:eastAsia="Times New Roman" w:hAnsi="Times New Roman"/>
                <w:b/>
                <w:sz w:val="20"/>
                <w:szCs w:val="20"/>
                <w:lang w:val="hr-HR"/>
              </w:rPr>
            </w:pPr>
            <w:r w:rsidRPr="00D6167B">
              <w:rPr>
                <w:rFonts w:ascii="Times New Roman" w:hAnsi="Times New Roman"/>
                <w:b/>
                <w:sz w:val="20"/>
                <w:lang w:val="hr-HR"/>
              </w:rPr>
              <w:t xml:space="preserve">Najbolji </w:t>
            </w:r>
            <w:r w:rsidR="00CA118A">
              <w:rPr>
                <w:rFonts w:ascii="Times New Roman" w:hAnsi="Times New Roman"/>
                <w:b/>
                <w:sz w:val="20"/>
                <w:lang w:val="hr-HR"/>
              </w:rPr>
              <w:t xml:space="preserve">ukupni </w:t>
            </w:r>
            <w:r w:rsidRPr="00D6167B">
              <w:rPr>
                <w:rFonts w:ascii="Times New Roman" w:hAnsi="Times New Roman"/>
                <w:b/>
                <w:sz w:val="20"/>
                <w:lang w:val="hr-HR"/>
              </w:rPr>
              <w:t>odgovor – primarna analiza</w:t>
            </w:r>
            <w:r w:rsidRPr="00D6167B">
              <w:rPr>
                <w:rFonts w:ascii="Times New Roman" w:hAnsi="Times New Roman"/>
                <w:b/>
                <w:sz w:val="20"/>
                <w:vertAlign w:val="superscript"/>
                <w:lang w:val="hr-HR"/>
              </w:rPr>
              <w:t>6</w:t>
            </w:r>
          </w:p>
        </w:tc>
      </w:tr>
      <w:tr w:rsidR="00CF4906" w:rsidRPr="00D6167B" w14:paraId="25A29EEC" w14:textId="77777777" w:rsidTr="005364BB">
        <w:trPr>
          <w:cantSplit/>
        </w:trPr>
        <w:tc>
          <w:tcPr>
            <w:tcW w:w="3518" w:type="dxa"/>
          </w:tcPr>
          <w:p w14:paraId="5BAC8BC1" w14:textId="7C1BA0B8"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Pacijenti koji su odgovorili na terapiju (stopa</w:t>
            </w:r>
            <w:r w:rsidR="00CA118A">
              <w:rPr>
                <w:rFonts w:ascii="Times New Roman" w:hAnsi="Times New Roman"/>
                <w:sz w:val="20"/>
                <w:lang w:val="hr-HR"/>
              </w:rPr>
              <w:t xml:space="preserve"> </w:t>
            </w:r>
            <w:r w:rsidRPr="00D6167B">
              <w:rPr>
                <w:rFonts w:ascii="Times New Roman" w:hAnsi="Times New Roman"/>
                <w:sz w:val="20"/>
                <w:lang w:val="hr-HR"/>
              </w:rPr>
              <w:t>odgovora</w:t>
            </w:r>
            <w:r w:rsidRPr="00D6167B">
              <w:rPr>
                <w:rFonts w:ascii="Times New Roman" w:hAnsi="Times New Roman"/>
                <w:sz w:val="20"/>
                <w:vertAlign w:val="superscript"/>
                <w:lang w:val="hr-HR"/>
              </w:rPr>
              <w:t>2</w:t>
            </w:r>
            <w:r w:rsidRPr="00D6167B">
              <w:rPr>
                <w:rFonts w:ascii="Times New Roman" w:hAnsi="Times New Roman"/>
                <w:sz w:val="20"/>
                <w:lang w:val="hr-HR"/>
              </w:rPr>
              <w:t>)</w:t>
            </w:r>
          </w:p>
        </w:tc>
        <w:tc>
          <w:tcPr>
            <w:tcW w:w="2390" w:type="dxa"/>
          </w:tcPr>
          <w:p w14:paraId="057A4601"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76 (33,8%)</w:t>
            </w:r>
          </w:p>
        </w:tc>
        <w:tc>
          <w:tcPr>
            <w:tcW w:w="3008" w:type="dxa"/>
          </w:tcPr>
          <w:p w14:paraId="3EDC5481"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103 (45,4%)</w:t>
            </w:r>
          </w:p>
        </w:tc>
      </w:tr>
      <w:tr w:rsidR="00CF4906" w:rsidRPr="00D6167B" w14:paraId="0AB0863D" w14:textId="77777777" w:rsidTr="005364BB">
        <w:trPr>
          <w:cantSplit/>
        </w:trPr>
        <w:tc>
          <w:tcPr>
            <w:tcW w:w="3518" w:type="dxa"/>
          </w:tcPr>
          <w:p w14:paraId="6AB79734"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95% CI za stope odgovora</w:t>
            </w:r>
            <w:r w:rsidRPr="00D6167B">
              <w:rPr>
                <w:rFonts w:ascii="Times New Roman" w:hAnsi="Times New Roman"/>
                <w:sz w:val="20"/>
                <w:vertAlign w:val="superscript"/>
                <w:lang w:val="hr-HR"/>
              </w:rPr>
              <w:t>3</w:t>
            </w:r>
          </w:p>
        </w:tc>
        <w:tc>
          <w:tcPr>
            <w:tcW w:w="2390" w:type="dxa"/>
          </w:tcPr>
          <w:p w14:paraId="20308D12"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[27,6%, 40,4%]</w:t>
            </w:r>
          </w:p>
        </w:tc>
        <w:tc>
          <w:tcPr>
            <w:tcW w:w="3008" w:type="dxa"/>
          </w:tcPr>
          <w:p w14:paraId="01A0A397"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[38,8%, 52,1%]</w:t>
            </w:r>
          </w:p>
        </w:tc>
      </w:tr>
      <w:tr w:rsidR="00CF4906" w:rsidRPr="00D6167B" w14:paraId="6CFD4A9E" w14:textId="77777777" w:rsidTr="005364BB">
        <w:trPr>
          <w:cantSplit/>
        </w:trPr>
        <w:tc>
          <w:tcPr>
            <w:tcW w:w="3518" w:type="dxa"/>
          </w:tcPr>
          <w:p w14:paraId="311A9659"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Razlika u stopama odgovora</w:t>
            </w:r>
          </w:p>
        </w:tc>
        <w:tc>
          <w:tcPr>
            <w:tcW w:w="5398" w:type="dxa"/>
            <w:gridSpan w:val="2"/>
          </w:tcPr>
          <w:p w14:paraId="64069E8C"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11,60%</w:t>
            </w:r>
          </w:p>
        </w:tc>
      </w:tr>
      <w:tr w:rsidR="00CF4906" w:rsidRPr="00D6167B" w14:paraId="5839973D" w14:textId="77777777" w:rsidTr="005364BB">
        <w:trPr>
          <w:cantSplit/>
        </w:trPr>
        <w:tc>
          <w:tcPr>
            <w:tcW w:w="3518" w:type="dxa"/>
          </w:tcPr>
          <w:p w14:paraId="4C248B2E"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95% CI za razliku u stopama odgovora</w:t>
            </w:r>
            <w:r w:rsidRPr="00D6167B">
              <w:rPr>
                <w:rFonts w:ascii="Times New Roman" w:hAnsi="Times New Roman"/>
                <w:sz w:val="20"/>
                <w:vertAlign w:val="superscript"/>
                <w:lang w:val="hr-HR"/>
              </w:rPr>
              <w:t>4</w:t>
            </w:r>
          </w:p>
        </w:tc>
        <w:tc>
          <w:tcPr>
            <w:tcW w:w="5398" w:type="dxa"/>
            <w:gridSpan w:val="2"/>
          </w:tcPr>
          <w:p w14:paraId="30FC4040"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[2,4%, 20,8%]</w:t>
            </w:r>
          </w:p>
        </w:tc>
      </w:tr>
      <w:tr w:rsidR="00CF4906" w:rsidRPr="00D6167B" w14:paraId="39C49318" w14:textId="77777777" w:rsidTr="005364BB">
        <w:trPr>
          <w:cantSplit/>
        </w:trPr>
        <w:tc>
          <w:tcPr>
            <w:tcW w:w="3518" w:type="dxa"/>
          </w:tcPr>
          <w:p w14:paraId="346BDDA5" w14:textId="77777777" w:rsidR="00CF4906" w:rsidRPr="00D6167B" w:rsidRDefault="00CF490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Vrijednost p (hi-kvadratni test)</w:t>
            </w:r>
          </w:p>
        </w:tc>
        <w:tc>
          <w:tcPr>
            <w:tcW w:w="5398" w:type="dxa"/>
            <w:gridSpan w:val="2"/>
          </w:tcPr>
          <w:p w14:paraId="2922DEA8" w14:textId="77777777" w:rsidR="00CF4906" w:rsidRPr="00D6167B" w:rsidRDefault="00CF490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0,0117</w:t>
            </w:r>
          </w:p>
        </w:tc>
      </w:tr>
    </w:tbl>
    <w:p w14:paraId="454BE52C"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vertAlign w:val="superscript"/>
          <w:lang w:val="hr-HR"/>
        </w:rPr>
        <w:t>1</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Kaplan-Meier procjene</w:t>
      </w:r>
    </w:p>
    <w:p w14:paraId="0BA3A094"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2</w:t>
      </w:r>
      <w:r w:rsidRPr="00D6167B">
        <w:rPr>
          <w:rFonts w:ascii="Times New Roman" w:hAnsi="Times New Roman"/>
          <w:sz w:val="20"/>
          <w:lang w:val="hr-HR"/>
        </w:rPr>
        <w:t xml:space="preserve"> </w:t>
      </w:r>
      <w:r w:rsidRPr="00D6167B">
        <w:rPr>
          <w:rFonts w:ascii="Times New Roman" w:hAnsi="Times New Roman"/>
          <w:sz w:val="20"/>
          <w:lang w:val="hr-HR"/>
        </w:rPr>
        <w:tab/>
        <w:t>Pacijenti i procenat pacijenata sa najboljim ukupnim odgovorom koji uključuje potvrđeni kompletan ili parcijalni odgovor; procenat pacijenata je izračunat na broju pacijenata sa mjerljivom bolešću na početnom nivou</w:t>
      </w:r>
    </w:p>
    <w:p w14:paraId="1F540E35"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3</w:t>
      </w:r>
      <w:r w:rsidRPr="00D6167B">
        <w:rPr>
          <w:rFonts w:ascii="Times New Roman" w:hAnsi="Times New Roman"/>
          <w:sz w:val="20"/>
          <w:lang w:val="hr-HR"/>
        </w:rPr>
        <w:t xml:space="preserve"> </w:t>
      </w:r>
      <w:r w:rsidRPr="00D6167B">
        <w:rPr>
          <w:rFonts w:ascii="Times New Roman" w:hAnsi="Times New Roman"/>
          <w:sz w:val="20"/>
          <w:lang w:val="hr-HR"/>
        </w:rPr>
        <w:tab/>
        <w:t>95% CI za jedan binominalni uzorak korišćenjem metode Pearson-Clopper</w:t>
      </w:r>
    </w:p>
    <w:p w14:paraId="76B1C2D2"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4</w:t>
      </w:r>
      <w:r w:rsidRPr="00D6167B">
        <w:rPr>
          <w:rFonts w:ascii="Times New Roman" w:hAnsi="Times New Roman"/>
          <w:sz w:val="20"/>
          <w:lang w:val="hr-HR"/>
        </w:rPr>
        <w:t xml:space="preserve"> </w:t>
      </w:r>
      <w:r w:rsidRPr="00D6167B">
        <w:rPr>
          <w:rFonts w:ascii="Times New Roman" w:hAnsi="Times New Roman"/>
          <w:sz w:val="20"/>
          <w:lang w:val="hr-HR"/>
        </w:rPr>
        <w:tab/>
        <w:t>Približno 95% CI za razliku dvije stope korišćenjem metode Hauck-Anderson</w:t>
      </w:r>
    </w:p>
    <w:p w14:paraId="1C8BDBA4"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5</w:t>
      </w:r>
      <w:r w:rsidRPr="00D6167B">
        <w:rPr>
          <w:rFonts w:ascii="Times New Roman" w:hAnsi="Times New Roman"/>
          <w:sz w:val="20"/>
          <w:lang w:val="hr-HR"/>
        </w:rPr>
        <w:t xml:space="preserve"> </w:t>
      </w:r>
      <w:r w:rsidRPr="00D6167B">
        <w:rPr>
          <w:rFonts w:ascii="Times New Roman" w:hAnsi="Times New Roman"/>
          <w:sz w:val="20"/>
          <w:lang w:val="hr-HR"/>
        </w:rPr>
        <w:tab/>
        <w:t>Log-rank test (stratifikovan)</w:t>
      </w:r>
    </w:p>
    <w:p w14:paraId="3C75E50A"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6</w:t>
      </w:r>
      <w:r w:rsidRPr="00D6167B">
        <w:rPr>
          <w:rFonts w:ascii="Times New Roman" w:hAnsi="Times New Roman"/>
          <w:sz w:val="20"/>
          <w:lang w:val="hr-HR"/>
        </w:rPr>
        <w:t xml:space="preserve"> </w:t>
      </w:r>
      <w:r w:rsidRPr="00D6167B">
        <w:rPr>
          <w:rFonts w:ascii="Times New Roman" w:hAnsi="Times New Roman"/>
          <w:sz w:val="20"/>
          <w:lang w:val="hr-HR"/>
        </w:rPr>
        <w:tab/>
        <w:t>Primarna analiza je obavljena sa datumom presjeka podataka 12. decembra 2012. i smatra se finalnom analizom</w:t>
      </w:r>
    </w:p>
    <w:p w14:paraId="11E08EE5"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7</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Analiza praćenja je obavljena sa datumom presjeka podataka 7. marta 2014.</w:t>
      </w:r>
    </w:p>
    <w:p w14:paraId="6ED6ADFF"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8</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Vrijednost p je prikazana samo u opisne svrhe</w:t>
      </w:r>
    </w:p>
    <w:p w14:paraId="3CDE026D" w14:textId="77777777" w:rsidR="00D15122" w:rsidRPr="00D6167B" w:rsidRDefault="00D15122" w:rsidP="007608DF">
      <w:pPr>
        <w:widowControl/>
        <w:spacing w:line="241" w:lineRule="exact"/>
        <w:jc w:val="both"/>
        <w:rPr>
          <w:rFonts w:ascii="Times New Roman" w:eastAsia="Times New Roman" w:hAnsi="Times New Roman"/>
          <w:lang w:val="hr-HR"/>
        </w:rPr>
      </w:pPr>
    </w:p>
    <w:p w14:paraId="2C0FF3EE" w14:textId="77777777" w:rsidR="00D15122" w:rsidRPr="00D6167B" w:rsidRDefault="009B0756" w:rsidP="007608DF">
      <w:pPr>
        <w:pStyle w:val="Heading1"/>
        <w:keepNext/>
        <w:widowControl/>
        <w:tabs>
          <w:tab w:val="left" w:pos="1293"/>
        </w:tabs>
        <w:ind w:left="0"/>
        <w:jc w:val="both"/>
        <w:rPr>
          <w:bCs w:val="0"/>
          <w:lang w:val="hr-HR"/>
        </w:rPr>
      </w:pPr>
      <w:r w:rsidRPr="00D6167B">
        <w:rPr>
          <w:lang w:val="hr-HR"/>
        </w:rPr>
        <w:t>Tabela 26</w:t>
      </w:r>
      <w:r w:rsidRPr="00D6167B">
        <w:rPr>
          <w:lang w:val="hr-HR"/>
        </w:rPr>
        <w:tab/>
        <w:t>Rezultati ukupnog preživljavanja iz studije GOG-0240 prema ispitivanom liječenju</w:t>
      </w:r>
    </w:p>
    <w:p w14:paraId="7B0DAD40" w14:textId="77777777" w:rsidR="00D15122" w:rsidRPr="00D6167B" w:rsidRDefault="00D15122" w:rsidP="007608DF">
      <w:pPr>
        <w:keepNext/>
        <w:widowControl/>
        <w:jc w:val="both"/>
        <w:rPr>
          <w:rFonts w:ascii="Times New Roman" w:eastAsia="Times New Roman" w:hAnsi="Times New Roman"/>
          <w:bCs/>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6"/>
        <w:gridCol w:w="1394"/>
        <w:gridCol w:w="2998"/>
        <w:gridCol w:w="3180"/>
      </w:tblGrid>
      <w:tr w:rsidR="00D15122" w:rsidRPr="00D6167B" w14:paraId="642CC234" w14:textId="77777777" w:rsidTr="005364BB">
        <w:trPr>
          <w:cantSplit/>
          <w:tblHeader/>
        </w:trPr>
        <w:tc>
          <w:tcPr>
            <w:tcW w:w="1555" w:type="dxa"/>
            <w:tcBorders>
              <w:bottom w:val="single" w:sz="4" w:space="0" w:color="auto"/>
              <w:right w:val="nil"/>
            </w:tcBorders>
          </w:tcPr>
          <w:p w14:paraId="56BC6E81" w14:textId="77777777" w:rsidR="00D15122" w:rsidRPr="00D6167B" w:rsidRDefault="009B0756" w:rsidP="00D37692">
            <w:pPr>
              <w:pStyle w:val="TableParagraph"/>
              <w:keepNext/>
              <w:widowControl/>
              <w:jc w:val="center"/>
              <w:rPr>
                <w:rFonts w:ascii="Times New Roman" w:eastAsia="Times New Roman" w:hAnsi="Times New Roman"/>
                <w:sz w:val="20"/>
                <w:szCs w:val="20"/>
                <w:lang w:val="hr-HR"/>
              </w:rPr>
            </w:pPr>
            <w:r w:rsidRPr="00D6167B">
              <w:rPr>
                <w:rFonts w:ascii="Times New Roman" w:hAnsi="Times New Roman"/>
                <w:sz w:val="20"/>
                <w:lang w:val="hr-HR"/>
              </w:rPr>
              <w:t>Poređenje liječenja</w:t>
            </w:r>
          </w:p>
        </w:tc>
        <w:tc>
          <w:tcPr>
            <w:tcW w:w="1440" w:type="dxa"/>
            <w:tcBorders>
              <w:left w:val="nil"/>
              <w:bottom w:val="single" w:sz="4" w:space="0" w:color="auto"/>
              <w:right w:val="nil"/>
            </w:tcBorders>
          </w:tcPr>
          <w:p w14:paraId="15E82741" w14:textId="77777777" w:rsidR="00D15122" w:rsidRPr="00D6167B" w:rsidRDefault="00D15122" w:rsidP="00D37692">
            <w:pPr>
              <w:pStyle w:val="TableParagraph"/>
              <w:keepNext/>
              <w:widowControl/>
              <w:jc w:val="center"/>
              <w:rPr>
                <w:rFonts w:ascii="Times New Roman" w:eastAsia="Times New Roman" w:hAnsi="Times New Roman"/>
                <w:bCs/>
                <w:sz w:val="20"/>
                <w:szCs w:val="20"/>
                <w:lang w:val="hr-HR"/>
              </w:rPr>
            </w:pPr>
          </w:p>
          <w:p w14:paraId="06369AAB" w14:textId="77777777" w:rsidR="00D15122" w:rsidRPr="00D6167B" w:rsidRDefault="009B0756" w:rsidP="00D37692">
            <w:pPr>
              <w:pStyle w:val="TableParagraph"/>
              <w:keepNext/>
              <w:widowControl/>
              <w:jc w:val="center"/>
              <w:rPr>
                <w:rFonts w:ascii="Times New Roman" w:eastAsia="Times New Roman" w:hAnsi="Times New Roman"/>
                <w:sz w:val="20"/>
                <w:szCs w:val="20"/>
                <w:lang w:val="hr-HR"/>
              </w:rPr>
            </w:pPr>
            <w:r w:rsidRPr="00D6167B">
              <w:rPr>
                <w:rFonts w:ascii="Times New Roman" w:hAnsi="Times New Roman"/>
                <w:sz w:val="20"/>
                <w:lang w:val="hr-HR"/>
              </w:rPr>
              <w:t>Drugi faktor</w:t>
            </w:r>
          </w:p>
        </w:tc>
        <w:tc>
          <w:tcPr>
            <w:tcW w:w="3108" w:type="dxa"/>
            <w:tcBorders>
              <w:left w:val="nil"/>
              <w:bottom w:val="single" w:sz="4" w:space="0" w:color="auto"/>
            </w:tcBorders>
          </w:tcPr>
          <w:p w14:paraId="77D8527B" w14:textId="77777777" w:rsidR="00D15122" w:rsidRPr="00D6167B" w:rsidRDefault="009B0756" w:rsidP="00D37692">
            <w:pPr>
              <w:pStyle w:val="TableParagraph"/>
              <w:keepNext/>
              <w:widowControl/>
              <w:jc w:val="center"/>
              <w:rPr>
                <w:rFonts w:ascii="Times New Roman" w:eastAsia="Times New Roman" w:hAnsi="Times New Roman"/>
                <w:sz w:val="20"/>
                <w:szCs w:val="20"/>
                <w:lang w:val="hr-HR"/>
              </w:rPr>
            </w:pPr>
            <w:r w:rsidRPr="00D6167B">
              <w:rPr>
                <w:rFonts w:ascii="Times New Roman" w:hAnsi="Times New Roman"/>
                <w:sz w:val="20"/>
                <w:lang w:val="hr-HR"/>
              </w:rPr>
              <w:t>Ukupno preživljavanje – primarna analiza</w:t>
            </w:r>
            <w:r w:rsidRPr="00D6167B">
              <w:rPr>
                <w:rFonts w:ascii="Times New Roman" w:hAnsi="Times New Roman"/>
                <w:sz w:val="20"/>
                <w:vertAlign w:val="superscript"/>
                <w:lang w:val="hr-HR"/>
              </w:rPr>
              <w:t>1</w:t>
            </w:r>
            <w:r w:rsidRPr="00D6167B">
              <w:rPr>
                <w:rFonts w:ascii="Times New Roman" w:hAnsi="Times New Roman"/>
                <w:sz w:val="20"/>
                <w:lang w:val="hr-HR"/>
              </w:rPr>
              <w:t xml:space="preserve"> Odnos rizika (95% CI)</w:t>
            </w:r>
          </w:p>
        </w:tc>
        <w:tc>
          <w:tcPr>
            <w:tcW w:w="3297" w:type="dxa"/>
            <w:tcBorders>
              <w:bottom w:val="single" w:sz="4" w:space="0" w:color="auto"/>
            </w:tcBorders>
          </w:tcPr>
          <w:p w14:paraId="40E13A03" w14:textId="77777777" w:rsidR="00752705" w:rsidRPr="00D6167B" w:rsidRDefault="009B0756" w:rsidP="00D37692">
            <w:pPr>
              <w:pStyle w:val="TableParagraph"/>
              <w:keepNext/>
              <w:widowControl/>
              <w:jc w:val="center"/>
              <w:rPr>
                <w:rFonts w:ascii="Times New Roman" w:hAnsi="Times New Roman"/>
                <w:sz w:val="13"/>
                <w:lang w:val="hr-HR"/>
              </w:rPr>
            </w:pPr>
            <w:r w:rsidRPr="00D6167B">
              <w:rPr>
                <w:rFonts w:ascii="Times New Roman" w:hAnsi="Times New Roman"/>
                <w:sz w:val="20"/>
                <w:lang w:val="hr-HR"/>
              </w:rPr>
              <w:t>Ukupno preživljavanje – analiza praćenja</w:t>
            </w:r>
            <w:r w:rsidRPr="00D6167B">
              <w:rPr>
                <w:rFonts w:ascii="Times New Roman" w:hAnsi="Times New Roman"/>
                <w:vertAlign w:val="superscript"/>
                <w:lang w:val="hr-HR"/>
              </w:rPr>
              <w:t>2</w:t>
            </w:r>
          </w:p>
          <w:p w14:paraId="1B7B4C59" w14:textId="77777777" w:rsidR="00D15122" w:rsidRPr="00D6167B" w:rsidRDefault="009B0756" w:rsidP="00D37692">
            <w:pPr>
              <w:pStyle w:val="TableParagraph"/>
              <w:keepNext/>
              <w:widowControl/>
              <w:ind w:firstLine="27"/>
              <w:jc w:val="center"/>
              <w:rPr>
                <w:rFonts w:ascii="Times New Roman" w:eastAsia="Times New Roman" w:hAnsi="Times New Roman"/>
                <w:sz w:val="20"/>
                <w:szCs w:val="20"/>
                <w:lang w:val="hr-HR"/>
              </w:rPr>
            </w:pPr>
            <w:r w:rsidRPr="00D6167B">
              <w:rPr>
                <w:rFonts w:ascii="Times New Roman" w:hAnsi="Times New Roman"/>
                <w:sz w:val="20"/>
                <w:lang w:val="hr-HR"/>
              </w:rPr>
              <w:t>Odnos rizika (95% CI)</w:t>
            </w:r>
          </w:p>
        </w:tc>
      </w:tr>
      <w:tr w:rsidR="00D15122" w:rsidRPr="00D6167B" w14:paraId="790C6455" w14:textId="77777777" w:rsidTr="005364BB">
        <w:trPr>
          <w:cantSplit/>
        </w:trPr>
        <w:tc>
          <w:tcPr>
            <w:tcW w:w="1555" w:type="dxa"/>
            <w:tcBorders>
              <w:bottom w:val="nil"/>
              <w:right w:val="nil"/>
            </w:tcBorders>
          </w:tcPr>
          <w:p w14:paraId="242336DC" w14:textId="77777777" w:rsidR="00D15122" w:rsidRPr="00D6167B" w:rsidRDefault="00C524E7" w:rsidP="00D37692">
            <w:pPr>
              <w:pStyle w:val="TableParagraph"/>
              <w:keepNext/>
              <w:widowControl/>
              <w:rPr>
                <w:rFonts w:ascii="Times New Roman" w:eastAsia="Times New Roman" w:hAnsi="Times New Roman"/>
                <w:sz w:val="20"/>
                <w:szCs w:val="20"/>
                <w:lang w:val="hr-HR"/>
              </w:rPr>
            </w:pPr>
            <w:r w:rsidRPr="00D6167B">
              <w:rPr>
                <w:rFonts w:ascii="Times New Roman" w:hAnsi="Times New Roman"/>
                <w:sz w:val="20"/>
                <w:lang w:val="hr-HR"/>
              </w:rPr>
              <w:t>Sa bevacizumabom naspram bez bevacizumaba</w:t>
            </w:r>
          </w:p>
        </w:tc>
        <w:tc>
          <w:tcPr>
            <w:tcW w:w="1440" w:type="dxa"/>
            <w:tcBorders>
              <w:left w:val="nil"/>
              <w:bottom w:val="nil"/>
              <w:right w:val="nil"/>
            </w:tcBorders>
          </w:tcPr>
          <w:p w14:paraId="75FC53F6" w14:textId="77777777" w:rsidR="00D15122" w:rsidRPr="00D6167B" w:rsidRDefault="009B0756" w:rsidP="00D37692">
            <w:pPr>
              <w:pStyle w:val="TableParagraph"/>
              <w:keepNext/>
              <w:widowControl/>
              <w:jc w:val="center"/>
              <w:rPr>
                <w:rFonts w:ascii="Times New Roman" w:eastAsia="Times New Roman" w:hAnsi="Times New Roman"/>
                <w:sz w:val="20"/>
                <w:szCs w:val="20"/>
                <w:lang w:val="hr-HR"/>
              </w:rPr>
            </w:pPr>
            <w:r w:rsidRPr="00D6167B">
              <w:rPr>
                <w:rFonts w:ascii="Times New Roman" w:hAnsi="Times New Roman"/>
                <w:sz w:val="20"/>
                <w:lang w:val="hr-HR"/>
              </w:rPr>
              <w:t>Cisplatin + paklitaksel</w:t>
            </w:r>
          </w:p>
        </w:tc>
        <w:tc>
          <w:tcPr>
            <w:tcW w:w="3108" w:type="dxa"/>
            <w:tcBorders>
              <w:left w:val="nil"/>
              <w:bottom w:val="nil"/>
            </w:tcBorders>
          </w:tcPr>
          <w:p w14:paraId="6C2DED7D" w14:textId="4AF1BDC3" w:rsidR="00960927" w:rsidRPr="00D6167B" w:rsidRDefault="009B0756" w:rsidP="00D37692">
            <w:pPr>
              <w:pStyle w:val="TableParagraph"/>
              <w:keepNext/>
              <w:widowControl/>
              <w:jc w:val="center"/>
              <w:rPr>
                <w:rFonts w:ascii="Times New Roman" w:hAnsi="Times New Roman"/>
                <w:sz w:val="20"/>
                <w:lang w:val="hr-HR"/>
              </w:rPr>
            </w:pPr>
            <w:r w:rsidRPr="00D6167B">
              <w:rPr>
                <w:rFonts w:ascii="Times New Roman" w:hAnsi="Times New Roman"/>
                <w:sz w:val="20"/>
                <w:lang w:val="hr-HR"/>
              </w:rPr>
              <w:t>0,72 (0,51; 1,02)</w:t>
            </w:r>
          </w:p>
          <w:p w14:paraId="38FCCE9E" w14:textId="77777777" w:rsidR="00D15122" w:rsidRPr="00D6167B" w:rsidRDefault="00960927" w:rsidP="00D37692">
            <w:pPr>
              <w:pStyle w:val="TableParagraph"/>
              <w:keepNext/>
              <w:widowControl/>
              <w:jc w:val="center"/>
              <w:rPr>
                <w:rFonts w:ascii="Times New Roman" w:hAnsi="Times New Roman"/>
                <w:sz w:val="20"/>
                <w:lang w:val="hr-HR"/>
              </w:rPr>
            </w:pPr>
            <w:r w:rsidRPr="00D6167B">
              <w:rPr>
                <w:rFonts w:ascii="Times New Roman" w:hAnsi="Times New Roman"/>
                <w:sz w:val="20"/>
                <w:lang w:val="hr-HR"/>
              </w:rPr>
              <w:t>(17,5 naspram 14,3 mjeseci; p = 0,0609)</w:t>
            </w:r>
          </w:p>
        </w:tc>
        <w:tc>
          <w:tcPr>
            <w:tcW w:w="3297" w:type="dxa"/>
            <w:tcBorders>
              <w:bottom w:val="nil"/>
            </w:tcBorders>
          </w:tcPr>
          <w:p w14:paraId="558F6721" w14:textId="3709B2B0" w:rsidR="00960927" w:rsidRPr="00D6167B" w:rsidRDefault="009B0756" w:rsidP="00D37692">
            <w:pPr>
              <w:pStyle w:val="TableParagraph"/>
              <w:keepNext/>
              <w:widowControl/>
              <w:jc w:val="center"/>
              <w:rPr>
                <w:rFonts w:ascii="Times New Roman" w:hAnsi="Times New Roman"/>
                <w:sz w:val="20"/>
                <w:lang w:val="hr-HR"/>
              </w:rPr>
            </w:pPr>
            <w:r w:rsidRPr="00D6167B">
              <w:rPr>
                <w:rFonts w:ascii="Times New Roman" w:hAnsi="Times New Roman"/>
                <w:sz w:val="20"/>
                <w:lang w:val="hr-HR"/>
              </w:rPr>
              <w:t>0,75 (0,55; 1,01)</w:t>
            </w:r>
          </w:p>
          <w:p w14:paraId="79742DC2" w14:textId="77777777" w:rsidR="00D15122" w:rsidRPr="00D6167B" w:rsidRDefault="00960927" w:rsidP="00D37692">
            <w:pPr>
              <w:pStyle w:val="TableParagraph"/>
              <w:keepNext/>
              <w:widowControl/>
              <w:jc w:val="center"/>
              <w:rPr>
                <w:rFonts w:ascii="Times New Roman" w:hAnsi="Times New Roman"/>
                <w:sz w:val="20"/>
                <w:lang w:val="hr-HR"/>
              </w:rPr>
            </w:pPr>
            <w:r w:rsidRPr="00D6167B">
              <w:rPr>
                <w:rFonts w:ascii="Times New Roman" w:hAnsi="Times New Roman"/>
                <w:sz w:val="20"/>
                <w:lang w:val="hr-HR"/>
              </w:rPr>
              <w:t>(17,5 naspram 15,0 mjeseci; p = 0,0584)</w:t>
            </w:r>
          </w:p>
        </w:tc>
      </w:tr>
      <w:tr w:rsidR="00D15122" w:rsidRPr="00D6167B" w14:paraId="2C4161B9" w14:textId="77777777" w:rsidTr="005364BB">
        <w:trPr>
          <w:cantSplit/>
        </w:trPr>
        <w:tc>
          <w:tcPr>
            <w:tcW w:w="1555" w:type="dxa"/>
            <w:tcBorders>
              <w:top w:val="nil"/>
              <w:bottom w:val="nil"/>
              <w:right w:val="nil"/>
            </w:tcBorders>
          </w:tcPr>
          <w:p w14:paraId="6B7210A1" w14:textId="77777777" w:rsidR="00D15122" w:rsidRPr="00D6167B" w:rsidRDefault="00D15122" w:rsidP="007608DF">
            <w:pPr>
              <w:widowControl/>
              <w:jc w:val="both"/>
              <w:rPr>
                <w:rFonts w:ascii="Times New Roman" w:hAnsi="Times New Roman"/>
                <w:lang w:val="hr-HR"/>
              </w:rPr>
            </w:pPr>
          </w:p>
        </w:tc>
        <w:tc>
          <w:tcPr>
            <w:tcW w:w="1440" w:type="dxa"/>
            <w:tcBorders>
              <w:top w:val="nil"/>
              <w:left w:val="nil"/>
              <w:bottom w:val="nil"/>
              <w:right w:val="nil"/>
            </w:tcBorders>
          </w:tcPr>
          <w:p w14:paraId="11F4E528" w14:textId="77777777" w:rsidR="00D15122" w:rsidRPr="00D6167B" w:rsidRDefault="009B075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Topotekan +</w:t>
            </w:r>
          </w:p>
        </w:tc>
        <w:tc>
          <w:tcPr>
            <w:tcW w:w="3108" w:type="dxa"/>
            <w:tcBorders>
              <w:top w:val="nil"/>
              <w:left w:val="nil"/>
              <w:bottom w:val="nil"/>
            </w:tcBorders>
          </w:tcPr>
          <w:p w14:paraId="7B07DBF6" w14:textId="77777777" w:rsidR="00D15122"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0,76 (0,55; 1,06)</w:t>
            </w:r>
          </w:p>
        </w:tc>
        <w:tc>
          <w:tcPr>
            <w:tcW w:w="3297" w:type="dxa"/>
            <w:tcBorders>
              <w:top w:val="nil"/>
              <w:bottom w:val="nil"/>
            </w:tcBorders>
          </w:tcPr>
          <w:p w14:paraId="778E618D" w14:textId="77777777" w:rsidR="00D15122"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0,79 (0,59; 1,07)</w:t>
            </w:r>
          </w:p>
        </w:tc>
      </w:tr>
      <w:tr w:rsidR="00D15122" w:rsidRPr="00D6167B" w14:paraId="34B9E7FD" w14:textId="77777777" w:rsidTr="005364BB">
        <w:trPr>
          <w:cantSplit/>
        </w:trPr>
        <w:tc>
          <w:tcPr>
            <w:tcW w:w="1555" w:type="dxa"/>
            <w:tcBorders>
              <w:top w:val="nil"/>
              <w:bottom w:val="nil"/>
              <w:right w:val="nil"/>
            </w:tcBorders>
          </w:tcPr>
          <w:p w14:paraId="634EC7A7" w14:textId="77777777" w:rsidR="00D15122" w:rsidRPr="00D6167B" w:rsidRDefault="00D15122" w:rsidP="007608DF">
            <w:pPr>
              <w:widowControl/>
              <w:jc w:val="both"/>
              <w:rPr>
                <w:rFonts w:ascii="Times New Roman" w:hAnsi="Times New Roman"/>
                <w:lang w:val="hr-HR"/>
              </w:rPr>
            </w:pPr>
          </w:p>
        </w:tc>
        <w:tc>
          <w:tcPr>
            <w:tcW w:w="1440" w:type="dxa"/>
            <w:tcBorders>
              <w:top w:val="nil"/>
              <w:left w:val="nil"/>
              <w:bottom w:val="nil"/>
              <w:right w:val="nil"/>
            </w:tcBorders>
          </w:tcPr>
          <w:p w14:paraId="604E3C84" w14:textId="77777777" w:rsidR="00D15122" w:rsidRPr="00D6167B" w:rsidRDefault="009B075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Paklitaksel</w:t>
            </w:r>
          </w:p>
        </w:tc>
        <w:tc>
          <w:tcPr>
            <w:tcW w:w="3108" w:type="dxa"/>
            <w:tcBorders>
              <w:top w:val="nil"/>
              <w:left w:val="nil"/>
              <w:bottom w:val="nil"/>
            </w:tcBorders>
          </w:tcPr>
          <w:p w14:paraId="34746E8B" w14:textId="77777777" w:rsidR="00D15122"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(14,9 naspram 11,9 mjeseci; p = 0,1061)</w:t>
            </w:r>
          </w:p>
        </w:tc>
        <w:tc>
          <w:tcPr>
            <w:tcW w:w="3297" w:type="dxa"/>
            <w:tcBorders>
              <w:top w:val="nil"/>
              <w:bottom w:val="nil"/>
            </w:tcBorders>
          </w:tcPr>
          <w:p w14:paraId="71C1951F" w14:textId="77777777" w:rsidR="00D15122"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(16,2 naspram 12,0 mjeseci; p = 0,1342)</w:t>
            </w:r>
          </w:p>
          <w:p w14:paraId="2A82C32B" w14:textId="77777777" w:rsidR="0043060E" w:rsidRPr="00D6167B" w:rsidRDefault="0043060E" w:rsidP="00D37692">
            <w:pPr>
              <w:pStyle w:val="TableParagraph"/>
              <w:widowControl/>
              <w:jc w:val="center"/>
              <w:rPr>
                <w:rFonts w:ascii="Times New Roman" w:hAnsi="Times New Roman"/>
                <w:sz w:val="20"/>
                <w:lang w:val="hr-HR"/>
              </w:rPr>
            </w:pPr>
          </w:p>
          <w:p w14:paraId="75861AAA" w14:textId="77777777" w:rsidR="0043060E" w:rsidRPr="00D6167B" w:rsidRDefault="0043060E" w:rsidP="00D37692">
            <w:pPr>
              <w:pStyle w:val="TableParagraph"/>
              <w:widowControl/>
              <w:jc w:val="center"/>
              <w:rPr>
                <w:rFonts w:ascii="Times New Roman" w:hAnsi="Times New Roman"/>
                <w:sz w:val="20"/>
                <w:lang w:val="hr-HR"/>
              </w:rPr>
            </w:pPr>
          </w:p>
        </w:tc>
      </w:tr>
      <w:tr w:rsidR="00D15122" w:rsidRPr="00D6167B" w14:paraId="59EC25F8" w14:textId="77777777" w:rsidTr="005364BB">
        <w:trPr>
          <w:cantSplit/>
        </w:trPr>
        <w:tc>
          <w:tcPr>
            <w:tcW w:w="1555" w:type="dxa"/>
            <w:tcBorders>
              <w:top w:val="nil"/>
              <w:bottom w:val="nil"/>
              <w:right w:val="nil"/>
            </w:tcBorders>
          </w:tcPr>
          <w:p w14:paraId="5B05B50B" w14:textId="77777777" w:rsidR="00D15122" w:rsidRPr="00D6167B" w:rsidRDefault="009B075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Topotekan + paklitaksel naspram</w:t>
            </w:r>
          </w:p>
        </w:tc>
        <w:tc>
          <w:tcPr>
            <w:tcW w:w="1440" w:type="dxa"/>
            <w:tcBorders>
              <w:top w:val="nil"/>
              <w:left w:val="nil"/>
              <w:bottom w:val="nil"/>
              <w:right w:val="nil"/>
            </w:tcBorders>
          </w:tcPr>
          <w:p w14:paraId="04FF4290" w14:textId="77777777" w:rsidR="00D15122" w:rsidRPr="00D6167B" w:rsidRDefault="00C524E7"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Bevacizumab</w:t>
            </w:r>
          </w:p>
        </w:tc>
        <w:tc>
          <w:tcPr>
            <w:tcW w:w="3108" w:type="dxa"/>
            <w:tcBorders>
              <w:top w:val="nil"/>
              <w:left w:val="nil"/>
              <w:bottom w:val="nil"/>
            </w:tcBorders>
          </w:tcPr>
          <w:p w14:paraId="4FA94070" w14:textId="0A18E368" w:rsidR="000B75A7"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1,15 (0,82; 1,61)</w:t>
            </w:r>
          </w:p>
          <w:p w14:paraId="2B19F662" w14:textId="77777777" w:rsidR="00D15122" w:rsidRPr="00D6167B" w:rsidRDefault="000B75A7"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(14,9 naspram 17,5 mjeseci; p = 0,4146)</w:t>
            </w:r>
          </w:p>
        </w:tc>
        <w:tc>
          <w:tcPr>
            <w:tcW w:w="3297" w:type="dxa"/>
            <w:tcBorders>
              <w:top w:val="nil"/>
              <w:bottom w:val="nil"/>
            </w:tcBorders>
          </w:tcPr>
          <w:p w14:paraId="1E0DE472" w14:textId="77D8BB9C" w:rsidR="000B75A7"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1,15 (0,85; 1,56)</w:t>
            </w:r>
          </w:p>
          <w:p w14:paraId="1601B0E6" w14:textId="77777777" w:rsidR="00D15122" w:rsidRPr="00D6167B" w:rsidRDefault="000B75A7"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(16,2 naspram 17,5 mjeseci; p = 0,3769)</w:t>
            </w:r>
          </w:p>
        </w:tc>
      </w:tr>
      <w:tr w:rsidR="00D15122" w:rsidRPr="00D6167B" w14:paraId="3834DBFC" w14:textId="77777777" w:rsidTr="005364BB">
        <w:trPr>
          <w:cantSplit/>
        </w:trPr>
        <w:tc>
          <w:tcPr>
            <w:tcW w:w="1555" w:type="dxa"/>
            <w:tcBorders>
              <w:top w:val="nil"/>
              <w:right w:val="nil"/>
            </w:tcBorders>
          </w:tcPr>
          <w:p w14:paraId="537980B2" w14:textId="77777777" w:rsidR="00D15122" w:rsidRPr="00D6167B" w:rsidRDefault="009B0756" w:rsidP="00D37692">
            <w:pPr>
              <w:pStyle w:val="TableParagraph"/>
              <w:widowControl/>
              <w:rPr>
                <w:rFonts w:ascii="Times New Roman" w:eastAsia="Times New Roman" w:hAnsi="Times New Roman"/>
                <w:sz w:val="20"/>
                <w:szCs w:val="20"/>
                <w:lang w:val="hr-HR"/>
              </w:rPr>
            </w:pPr>
            <w:r w:rsidRPr="00D6167B">
              <w:rPr>
                <w:rFonts w:ascii="Times New Roman" w:hAnsi="Times New Roman"/>
                <w:sz w:val="20"/>
                <w:lang w:val="hr-HR"/>
              </w:rPr>
              <w:t>Cisplatin + paklitaksel</w:t>
            </w:r>
          </w:p>
        </w:tc>
        <w:tc>
          <w:tcPr>
            <w:tcW w:w="1440" w:type="dxa"/>
            <w:tcBorders>
              <w:top w:val="nil"/>
              <w:left w:val="nil"/>
              <w:bottom w:val="single" w:sz="4" w:space="0" w:color="auto"/>
              <w:right w:val="nil"/>
            </w:tcBorders>
          </w:tcPr>
          <w:p w14:paraId="774B1230" w14:textId="77777777" w:rsidR="00D15122" w:rsidRPr="00D6167B" w:rsidRDefault="009B0756" w:rsidP="00D37692">
            <w:pPr>
              <w:pStyle w:val="TableParagraph"/>
              <w:widowControl/>
              <w:jc w:val="center"/>
              <w:rPr>
                <w:rFonts w:ascii="Times New Roman" w:eastAsia="Times New Roman" w:hAnsi="Times New Roman"/>
                <w:sz w:val="20"/>
                <w:szCs w:val="20"/>
                <w:lang w:val="hr-HR"/>
              </w:rPr>
            </w:pPr>
            <w:r w:rsidRPr="00D6167B">
              <w:rPr>
                <w:rFonts w:ascii="Times New Roman" w:hAnsi="Times New Roman"/>
                <w:sz w:val="20"/>
                <w:lang w:val="hr-HR"/>
              </w:rPr>
              <w:t>Bez bevacizumaba</w:t>
            </w:r>
          </w:p>
        </w:tc>
        <w:tc>
          <w:tcPr>
            <w:tcW w:w="3108" w:type="dxa"/>
            <w:tcBorders>
              <w:top w:val="nil"/>
              <w:left w:val="nil"/>
            </w:tcBorders>
          </w:tcPr>
          <w:p w14:paraId="1605C05D" w14:textId="50A23DAA" w:rsidR="000B75A7"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1,13 (0,81; 1,57)</w:t>
            </w:r>
          </w:p>
          <w:p w14:paraId="75B16C40" w14:textId="77777777" w:rsidR="00D15122" w:rsidRPr="00D6167B" w:rsidRDefault="000B75A7"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(11,9 naspram 14,3 mjeseci; p = 0,4825)</w:t>
            </w:r>
          </w:p>
        </w:tc>
        <w:tc>
          <w:tcPr>
            <w:tcW w:w="3297" w:type="dxa"/>
            <w:tcBorders>
              <w:top w:val="nil"/>
            </w:tcBorders>
          </w:tcPr>
          <w:p w14:paraId="3292C37E" w14:textId="7B249578" w:rsidR="000B75A7" w:rsidRPr="00D6167B" w:rsidRDefault="009B0756"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1,08 (0,80; 1,45)</w:t>
            </w:r>
          </w:p>
          <w:p w14:paraId="43629682" w14:textId="77777777" w:rsidR="00D15122" w:rsidRPr="00D6167B" w:rsidRDefault="000B75A7" w:rsidP="00D37692">
            <w:pPr>
              <w:pStyle w:val="TableParagraph"/>
              <w:widowControl/>
              <w:jc w:val="center"/>
              <w:rPr>
                <w:rFonts w:ascii="Times New Roman" w:hAnsi="Times New Roman"/>
                <w:sz w:val="20"/>
                <w:lang w:val="hr-HR"/>
              </w:rPr>
            </w:pPr>
            <w:r w:rsidRPr="00D6167B">
              <w:rPr>
                <w:rFonts w:ascii="Times New Roman" w:hAnsi="Times New Roman"/>
                <w:sz w:val="20"/>
                <w:lang w:val="hr-HR"/>
              </w:rPr>
              <w:t>(12,0 naspram 15,0 mjeseci; p = 0,6267)</w:t>
            </w:r>
          </w:p>
        </w:tc>
      </w:tr>
    </w:tbl>
    <w:p w14:paraId="5EE81575"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1</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Primarna analiza je obavljena sa datumom presjeka podataka 12. decembra 2012. i smatra se finalnom analizom</w:t>
      </w:r>
    </w:p>
    <w:p w14:paraId="088C0B37" w14:textId="77777777" w:rsidR="00D15122" w:rsidRPr="00D6167B" w:rsidRDefault="009B0756" w:rsidP="007608DF">
      <w:pPr>
        <w:widowControl/>
        <w:ind w:left="288" w:hanging="288"/>
        <w:jc w:val="both"/>
        <w:rPr>
          <w:rFonts w:ascii="Times New Roman" w:eastAsia="Times New Roman" w:hAnsi="Times New Roman"/>
          <w:sz w:val="20"/>
          <w:szCs w:val="20"/>
          <w:lang w:val="hr-HR"/>
        </w:rPr>
      </w:pPr>
      <w:r w:rsidRPr="00D6167B">
        <w:rPr>
          <w:rFonts w:ascii="Times New Roman" w:hAnsi="Times New Roman"/>
          <w:sz w:val="20"/>
          <w:vertAlign w:val="superscript"/>
          <w:lang w:val="hr-HR"/>
        </w:rPr>
        <w:t>2</w:t>
      </w:r>
      <w:r w:rsidRPr="00D6167B">
        <w:rPr>
          <w:rFonts w:ascii="Times New Roman" w:hAnsi="Times New Roman"/>
          <w:sz w:val="13"/>
          <w:lang w:val="hr-HR"/>
        </w:rPr>
        <w:t xml:space="preserve"> </w:t>
      </w:r>
      <w:r w:rsidRPr="00D6167B">
        <w:rPr>
          <w:rFonts w:ascii="Times New Roman" w:hAnsi="Times New Roman"/>
          <w:sz w:val="13"/>
          <w:lang w:val="hr-HR"/>
        </w:rPr>
        <w:tab/>
      </w:r>
      <w:r w:rsidRPr="00D6167B">
        <w:rPr>
          <w:rFonts w:ascii="Times New Roman" w:hAnsi="Times New Roman"/>
          <w:sz w:val="20"/>
          <w:lang w:val="hr-HR"/>
        </w:rPr>
        <w:t>Analiza praćenja je obavljena sa datumom presjeka podataka 7. marta 2014; sve vrijednosti p su prikazane samo u opisne svrhe</w:t>
      </w:r>
    </w:p>
    <w:p w14:paraId="7F96EB0F" w14:textId="77777777" w:rsidR="00D15122" w:rsidRPr="00D6167B" w:rsidRDefault="00D15122" w:rsidP="007608DF">
      <w:pPr>
        <w:widowControl/>
        <w:jc w:val="both"/>
        <w:rPr>
          <w:rFonts w:ascii="Times New Roman" w:eastAsia="Times New Roman" w:hAnsi="Times New Roman"/>
          <w:lang w:val="hr-HR"/>
        </w:rPr>
      </w:pPr>
    </w:p>
    <w:p w14:paraId="5BC4937C" w14:textId="77777777" w:rsidR="00D15122" w:rsidRPr="00D6167B" w:rsidRDefault="009B0756" w:rsidP="007608DF">
      <w:pPr>
        <w:keepNext/>
        <w:widowControl/>
        <w:spacing w:line="252" w:lineRule="exact"/>
        <w:jc w:val="both"/>
        <w:rPr>
          <w:rFonts w:ascii="Times New Roman" w:hAnsi="Times New Roman"/>
          <w:u w:val="single" w:color="000000"/>
          <w:lang w:val="hr-HR"/>
        </w:rPr>
      </w:pPr>
      <w:r w:rsidRPr="00D6167B">
        <w:rPr>
          <w:rFonts w:ascii="Times New Roman" w:hAnsi="Times New Roman"/>
          <w:u w:val="single" w:color="000000"/>
          <w:lang w:val="hr-HR"/>
        </w:rPr>
        <w:t>Pedijatrijska populacija</w:t>
      </w:r>
    </w:p>
    <w:p w14:paraId="1F5AF1C3" w14:textId="77777777" w:rsidR="00DF3692" w:rsidRPr="00D6167B" w:rsidRDefault="00DF3692" w:rsidP="007608DF">
      <w:pPr>
        <w:keepNext/>
        <w:widowControl/>
        <w:spacing w:line="252" w:lineRule="exact"/>
        <w:jc w:val="both"/>
        <w:rPr>
          <w:rFonts w:ascii="Times New Roman" w:eastAsia="Times New Roman" w:hAnsi="Times New Roman"/>
          <w:lang w:val="hr-HR"/>
        </w:rPr>
      </w:pPr>
    </w:p>
    <w:p w14:paraId="7EF98706" w14:textId="77777777" w:rsidR="00D15122" w:rsidRPr="00D6167B" w:rsidRDefault="009B0756" w:rsidP="007608DF">
      <w:pPr>
        <w:pStyle w:val="BodyText"/>
        <w:keepNext/>
        <w:widowControl/>
        <w:ind w:left="0"/>
        <w:jc w:val="both"/>
        <w:rPr>
          <w:lang w:val="hr-HR"/>
        </w:rPr>
      </w:pPr>
      <w:r w:rsidRPr="00D6167B">
        <w:rPr>
          <w:lang w:val="hr-HR"/>
        </w:rPr>
        <w:t>Evropska agencija za ljekove je ukinula obavezu dostavljanja rezultata studija u svim podgrupama pedijatrijske populacije, za karcinom dojke, adenokarcinom kolona i rektuma, karcinom pluća (sitnoćelijski i nesitnoćelijski karcinom), karcinom bubrega i bubrežne karlice (izuzev nefroblastoma, nefroblastomatoze, svijetloćelijskog sarkoma, mezoblastičnog nefroma, renalnog medularnog karcinoma i rabdoidnog tumora bubrega), karcinomu ovarijuma (osim rabdomiosarkoma i tumora germinativnih ćelija), karcinom jajovoda (osim rabdomiosarkoma i tumora germinativnih ćelija), peritonealnom karcinomu (osim blastoma i sarkoma) i karcinom grlića i tijela materice.</w:t>
      </w:r>
    </w:p>
    <w:p w14:paraId="45BDF26E" w14:textId="77777777" w:rsidR="00D15122" w:rsidRPr="00D6167B" w:rsidRDefault="00D15122" w:rsidP="007608DF">
      <w:pPr>
        <w:widowControl/>
        <w:jc w:val="both"/>
        <w:rPr>
          <w:rFonts w:ascii="Times New Roman" w:eastAsia="Times New Roman" w:hAnsi="Times New Roman"/>
          <w:lang w:val="hr-HR"/>
        </w:rPr>
      </w:pPr>
    </w:p>
    <w:p w14:paraId="230A4C8A"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t>Gliom visokog gradusa</w:t>
      </w:r>
    </w:p>
    <w:p w14:paraId="5D271728" w14:textId="77777777" w:rsidR="00DF3692" w:rsidRPr="00D6167B" w:rsidRDefault="00DF3692" w:rsidP="007608DF">
      <w:pPr>
        <w:keepNext/>
        <w:widowControl/>
        <w:spacing w:line="252" w:lineRule="exact"/>
        <w:jc w:val="both"/>
        <w:rPr>
          <w:rFonts w:ascii="Times New Roman" w:eastAsia="Times New Roman" w:hAnsi="Times New Roman"/>
          <w:i/>
          <w:lang w:val="hr-HR"/>
        </w:rPr>
      </w:pPr>
    </w:p>
    <w:p w14:paraId="3FB04F3E" w14:textId="77777777" w:rsidR="00D15122" w:rsidRPr="00D6167B" w:rsidRDefault="009B0756" w:rsidP="007608DF">
      <w:pPr>
        <w:pStyle w:val="BodyText"/>
        <w:keepNext/>
        <w:widowControl/>
        <w:ind w:left="0"/>
        <w:jc w:val="both"/>
        <w:rPr>
          <w:lang w:val="hr-HR"/>
        </w:rPr>
      </w:pPr>
      <w:r w:rsidRPr="00D6167B">
        <w:rPr>
          <w:lang w:val="hr-HR"/>
        </w:rPr>
        <w:t>Nije prim</w:t>
      </w:r>
      <w:r w:rsidR="001054C9" w:rsidRPr="00D6167B">
        <w:rPr>
          <w:lang w:val="hr-HR"/>
        </w:rPr>
        <w:t>i</w:t>
      </w:r>
      <w:r w:rsidRPr="00D6167B">
        <w:rPr>
          <w:lang w:val="hr-HR"/>
        </w:rPr>
        <w:t xml:space="preserve">jećena antitumorska aktivnost u dvije ranije studije kod ukupno 30-oro djece starije od 3 godine, sa rekurentnim ili progresivnim gliomom visokog gradusa, kada su liječeni bevacizumabom i </w:t>
      </w:r>
      <w:r w:rsidRPr="00D6167B">
        <w:rPr>
          <w:lang w:val="hr-HR"/>
        </w:rPr>
        <w:lastRenderedPageBreak/>
        <w:t>irinotekanom (CPT-11). Nema dovoljno informacija na osnovu kojih bi se procijenile bezbjednost i efikasnost bevacizumaba kod djece sa novodijagnostikovanim gliomom visokog gradusa.</w:t>
      </w:r>
    </w:p>
    <w:p w14:paraId="69DCE512" w14:textId="77777777" w:rsidR="00D15122" w:rsidRPr="00D6167B" w:rsidRDefault="00D15122" w:rsidP="007608DF">
      <w:pPr>
        <w:widowControl/>
        <w:jc w:val="both"/>
        <w:rPr>
          <w:rFonts w:ascii="Times New Roman" w:eastAsia="Times New Roman" w:hAnsi="Times New Roman"/>
          <w:lang w:val="hr-HR"/>
        </w:rPr>
      </w:pPr>
    </w:p>
    <w:p w14:paraId="5A4CE4CA" w14:textId="77777777" w:rsidR="00D15122" w:rsidRPr="00D6167B" w:rsidRDefault="009B0756" w:rsidP="007608DF">
      <w:pPr>
        <w:pStyle w:val="BodyText"/>
        <w:widowControl/>
        <w:numPr>
          <w:ilvl w:val="2"/>
          <w:numId w:val="10"/>
        </w:numPr>
        <w:ind w:left="562" w:hanging="562"/>
        <w:jc w:val="both"/>
        <w:rPr>
          <w:lang w:val="hr-HR"/>
        </w:rPr>
      </w:pPr>
      <w:r w:rsidRPr="00D6167B">
        <w:rPr>
          <w:lang w:val="hr-HR"/>
        </w:rPr>
        <w:t>U studiji sa jedn</w:t>
      </w:r>
      <w:r w:rsidR="002E42C6" w:rsidRPr="00D6167B">
        <w:rPr>
          <w:lang w:val="hr-HR"/>
        </w:rPr>
        <w:t>o</w:t>
      </w:r>
      <w:r w:rsidRPr="00D6167B">
        <w:rPr>
          <w:lang w:val="hr-HR"/>
        </w:rPr>
        <w:t xml:space="preserve">m </w:t>
      </w:r>
      <w:r w:rsidR="002E42C6" w:rsidRPr="00D6167B">
        <w:rPr>
          <w:lang w:val="hr-HR"/>
        </w:rPr>
        <w:t xml:space="preserve">grupom </w:t>
      </w:r>
      <w:r w:rsidRPr="00D6167B">
        <w:rPr>
          <w:lang w:val="hr-HR"/>
        </w:rPr>
        <w:t>(PBTC-022), 18-oro djece sa rekurentnim ili progresivnim gliomom visokog gradusa koji nije lociran na moždanom stablu (uključujući i 8 sa glioblastomom [SZO gradus IV], 9 sa anaplastičnim astrocitomom [gradus III] i 1 sa anaplastičnim oligodendrogliomom [gradus III]) liječeno je bevacizumabom (10 mg/kg) u razmaku od dvije nedjelje, a zatim bevacizumabom u kombinaciji sa CP-11 (125 - 350 mg/m</w:t>
      </w:r>
      <w:r w:rsidRPr="00D6167B">
        <w:rPr>
          <w:vertAlign w:val="superscript"/>
          <w:lang w:val="hr-HR"/>
        </w:rPr>
        <w:t>2</w:t>
      </w:r>
      <w:r w:rsidRPr="00D6167B">
        <w:rPr>
          <w:lang w:val="hr-HR"/>
        </w:rPr>
        <w:t>) na svake dvije nedjelje do progresije. Nije bilo objektivnih (parcijalnih ili kompletnih) radioloških odgovora (prema MacDonald kriterijumima). Toksičnost i neželjene reakcije su obuhvatale arterijsku hipertenziju i umor, kao i ishemiju CNS-a sa akutnim neurološkim deficitom.</w:t>
      </w:r>
    </w:p>
    <w:p w14:paraId="52F1FFE2" w14:textId="77777777" w:rsidR="00D15122" w:rsidRPr="00D6167B" w:rsidRDefault="00D15122" w:rsidP="007608DF">
      <w:pPr>
        <w:widowControl/>
        <w:ind w:left="562" w:hanging="562"/>
        <w:jc w:val="both"/>
        <w:rPr>
          <w:rFonts w:ascii="Times New Roman" w:eastAsia="Times New Roman" w:hAnsi="Times New Roman"/>
          <w:lang w:val="hr-HR"/>
        </w:rPr>
      </w:pPr>
    </w:p>
    <w:p w14:paraId="28F26D86" w14:textId="77777777" w:rsidR="00D15122" w:rsidRPr="00D6167B" w:rsidRDefault="009B0756" w:rsidP="007608DF">
      <w:pPr>
        <w:pStyle w:val="BodyText"/>
        <w:widowControl/>
        <w:numPr>
          <w:ilvl w:val="2"/>
          <w:numId w:val="10"/>
        </w:numPr>
        <w:ind w:left="562" w:hanging="562"/>
        <w:jc w:val="both"/>
        <w:rPr>
          <w:lang w:val="hr-HR"/>
        </w:rPr>
      </w:pPr>
      <w:r w:rsidRPr="00D6167B">
        <w:rPr>
          <w:lang w:val="hr-HR"/>
        </w:rPr>
        <w:t>U retrospektivnom praćenju uzorka ispitanika u okviru jedne ustanove, 12-oro djece (od 2005. do 2008. godine) sa rekurentnim ili progresivnim gliomom visokog gradusa (3 sa gradusom IV, 9 sa gradusom III prema SZO), liječeno je bevacizumabom (10mg/kg) i irinotekanom (125 mg/m</w:t>
      </w:r>
      <w:r w:rsidRPr="00D6167B">
        <w:rPr>
          <w:vertAlign w:val="superscript"/>
          <w:lang w:val="hr-HR"/>
        </w:rPr>
        <w:t>2</w:t>
      </w:r>
      <w:r w:rsidRPr="00D6167B">
        <w:rPr>
          <w:lang w:val="hr-HR"/>
        </w:rPr>
        <w:t xml:space="preserve"> ), na svake 2 nedjelje. Nije bilo kompletnih odgovora, a prim</w:t>
      </w:r>
      <w:r w:rsidR="001054C9" w:rsidRPr="00D6167B">
        <w:rPr>
          <w:lang w:val="hr-HR"/>
        </w:rPr>
        <w:t>i</w:t>
      </w:r>
      <w:r w:rsidRPr="00D6167B">
        <w:rPr>
          <w:lang w:val="hr-HR"/>
        </w:rPr>
        <w:t>jećena su 2 parcijalna odgovora (prema MacDonald kriterijumima).</w:t>
      </w:r>
    </w:p>
    <w:p w14:paraId="77608126" w14:textId="77777777" w:rsidR="00D15122" w:rsidRPr="00D6167B" w:rsidRDefault="00D15122" w:rsidP="007608DF">
      <w:pPr>
        <w:widowControl/>
        <w:jc w:val="both"/>
        <w:rPr>
          <w:rFonts w:ascii="Times New Roman" w:eastAsia="Times New Roman" w:hAnsi="Times New Roman"/>
          <w:lang w:val="hr-HR"/>
        </w:rPr>
      </w:pPr>
    </w:p>
    <w:p w14:paraId="4C4775FB" w14:textId="77777777" w:rsidR="00D15122" w:rsidRPr="00D6167B" w:rsidRDefault="009B0756" w:rsidP="007608DF">
      <w:pPr>
        <w:pStyle w:val="BodyText"/>
        <w:widowControl/>
        <w:ind w:left="0"/>
        <w:jc w:val="both"/>
        <w:rPr>
          <w:lang w:val="hr-HR"/>
        </w:rPr>
      </w:pPr>
      <w:r w:rsidRPr="00D6167B">
        <w:rPr>
          <w:lang w:val="hr-HR"/>
        </w:rPr>
        <w:t>U randomizovanoj studiji faze II (BO25041) ukupno je 121 pacijent uzrasta ≥ 3 godine do &lt; 18 godina sa tek dijagnostikovanim supratentorijalnim ili infratentorijalnim cerebelarnim ili pedunkularnim gliomom visokog gradusa (HGG) liječeno postoperativnom radioterapijom (RT) i adjuvantno temozolomidom (T) sa bevacizumabom i bez njega: 10 mg/kg na svake 2 nedjelje intravenski.</w:t>
      </w:r>
    </w:p>
    <w:p w14:paraId="6C85FCAA" w14:textId="77777777" w:rsidR="000B75A7" w:rsidRPr="00D6167B" w:rsidRDefault="000B75A7" w:rsidP="007608DF">
      <w:pPr>
        <w:pStyle w:val="BodyText"/>
        <w:widowControl/>
        <w:ind w:left="0"/>
        <w:jc w:val="both"/>
        <w:rPr>
          <w:lang w:val="hr-HR"/>
        </w:rPr>
      </w:pPr>
    </w:p>
    <w:p w14:paraId="6B3B07D5" w14:textId="77777777" w:rsidR="00D15122" w:rsidRPr="00D6167B" w:rsidRDefault="009B0756" w:rsidP="007608DF">
      <w:pPr>
        <w:pStyle w:val="BodyText"/>
        <w:widowControl/>
        <w:ind w:left="0"/>
        <w:jc w:val="both"/>
        <w:rPr>
          <w:lang w:val="hr-HR"/>
        </w:rPr>
      </w:pPr>
      <w:r w:rsidRPr="00D6167B">
        <w:rPr>
          <w:lang w:val="hr-HR"/>
        </w:rPr>
        <w:t xml:space="preserve">Studija nije ispunila primarni parametar efikasnosti, koji je bio da se pokaže znatno poboljšanje preživljavanja bez događaja (EFS) (prema procjeni Centralnog komiteta za radiološku reviziju (CRRC)) kada se bevacizumab doda RT/T </w:t>
      </w:r>
      <w:r w:rsidR="002E42C6" w:rsidRPr="00D6167B">
        <w:rPr>
          <w:lang w:val="hr-HR"/>
        </w:rPr>
        <w:t xml:space="preserve">grupi </w:t>
      </w:r>
      <w:r w:rsidRPr="00D6167B">
        <w:rPr>
          <w:lang w:val="hr-HR"/>
        </w:rPr>
        <w:t xml:space="preserve">u poređenju sa primjenom samo RT/T terapije (HR = 1,44; 95% CI: 0,90; 2,30). Ovi rezultati su bili u skladu sa onima iz raznih analiza senzitivnosti kod klinički relevantnih podgrupa. Rezultati svih sekundarnih parametara efikasnosti (EFS, ORR i OS prema procjeni istraživača) dosljedno su pokazali da ne postoje poboljšanja vezana za dodavanje bevacizumaba RT/T </w:t>
      </w:r>
      <w:r w:rsidR="002E42C6" w:rsidRPr="00D6167B">
        <w:rPr>
          <w:lang w:val="hr-HR"/>
        </w:rPr>
        <w:t xml:space="preserve">grupi </w:t>
      </w:r>
      <w:r w:rsidRPr="00D6167B">
        <w:rPr>
          <w:lang w:val="hr-HR"/>
        </w:rPr>
        <w:t xml:space="preserve">u poređenju sa </w:t>
      </w:r>
      <w:r w:rsidR="002E42C6" w:rsidRPr="00D6167B">
        <w:rPr>
          <w:lang w:val="hr-HR"/>
        </w:rPr>
        <w:t xml:space="preserve">grupom </w:t>
      </w:r>
      <w:r w:rsidRPr="00D6167B">
        <w:rPr>
          <w:lang w:val="hr-HR"/>
        </w:rPr>
        <w:t>u ko</w:t>
      </w:r>
      <w:r w:rsidR="002E42C6" w:rsidRPr="00D6167B">
        <w:rPr>
          <w:lang w:val="hr-HR"/>
        </w:rPr>
        <w:t>joj</w:t>
      </w:r>
      <w:r w:rsidRPr="00D6167B">
        <w:rPr>
          <w:lang w:val="hr-HR"/>
        </w:rPr>
        <w:t xml:space="preserve"> se primjenjivala samo RT/T terapija.</w:t>
      </w:r>
    </w:p>
    <w:p w14:paraId="52A85CCE" w14:textId="77777777" w:rsidR="00D15122" w:rsidRPr="00D6167B" w:rsidRDefault="00D15122" w:rsidP="007608DF">
      <w:pPr>
        <w:widowControl/>
        <w:jc w:val="both"/>
        <w:rPr>
          <w:rFonts w:ascii="Times New Roman" w:eastAsia="Times New Roman" w:hAnsi="Times New Roman"/>
          <w:lang w:val="hr-HR"/>
        </w:rPr>
      </w:pPr>
    </w:p>
    <w:p w14:paraId="1FFD305E" w14:textId="77777777" w:rsidR="00D15122" w:rsidRPr="00D6167B" w:rsidRDefault="009B0756" w:rsidP="007608DF">
      <w:pPr>
        <w:pStyle w:val="BodyText"/>
        <w:widowControl/>
        <w:ind w:left="0"/>
        <w:jc w:val="both"/>
        <w:rPr>
          <w:lang w:val="hr-HR"/>
        </w:rPr>
      </w:pPr>
      <w:r w:rsidRPr="00D6167B">
        <w:rPr>
          <w:lang w:val="hr-HR"/>
        </w:rPr>
        <w:t xml:space="preserve">Dodavanjem bevacizumaba RT/T </w:t>
      </w:r>
      <w:r w:rsidR="002E42C6" w:rsidRPr="00D6167B">
        <w:rPr>
          <w:lang w:val="hr-HR"/>
        </w:rPr>
        <w:t xml:space="preserve">grupi </w:t>
      </w:r>
      <w:r w:rsidRPr="00D6167B">
        <w:rPr>
          <w:lang w:val="hr-HR"/>
        </w:rPr>
        <w:t xml:space="preserve">nijesu se pokazale kliničke prednosti u studiji BO25041 kod 60 pedijatrijskih pacijenata podložnih procjeni sa tek dijagnostikovanim supratentorijalnim ili infratentorijalnim cerebelarnim ili pedunkularnim gliomom visokog gradusa (HGG) (pogledajte </w:t>
      </w:r>
      <w:r w:rsidR="00EA7D3C" w:rsidRPr="00D6167B">
        <w:rPr>
          <w:lang w:val="hr-HR"/>
        </w:rPr>
        <w:t xml:space="preserve">dio </w:t>
      </w:r>
      <w:r w:rsidRPr="00D6167B">
        <w:rPr>
          <w:lang w:val="hr-HR"/>
        </w:rPr>
        <w:t>4.2 da biste vidjeli informacije o pedijatrijskoj upotrebi).</w:t>
      </w:r>
    </w:p>
    <w:p w14:paraId="4F353E58" w14:textId="77777777" w:rsidR="00D15122" w:rsidRPr="00D6167B" w:rsidRDefault="00D15122" w:rsidP="007608DF">
      <w:pPr>
        <w:widowControl/>
        <w:jc w:val="both"/>
        <w:rPr>
          <w:rFonts w:ascii="Times New Roman" w:eastAsia="Times New Roman" w:hAnsi="Times New Roman"/>
          <w:lang w:val="hr-HR"/>
        </w:rPr>
      </w:pPr>
    </w:p>
    <w:p w14:paraId="48A598A6" w14:textId="77777777" w:rsidR="00D15122" w:rsidRPr="00D6167B" w:rsidRDefault="009B0756" w:rsidP="007608DF">
      <w:pPr>
        <w:keepNext/>
        <w:widowControl/>
        <w:jc w:val="both"/>
        <w:rPr>
          <w:rFonts w:ascii="Times New Roman" w:hAnsi="Times New Roman"/>
          <w:i/>
          <w:u w:val="single"/>
          <w:lang w:val="hr-HR"/>
        </w:rPr>
      </w:pPr>
      <w:r w:rsidRPr="00D6167B">
        <w:rPr>
          <w:rFonts w:ascii="Times New Roman" w:hAnsi="Times New Roman"/>
          <w:i/>
          <w:u w:val="single"/>
          <w:lang w:val="hr-HR"/>
        </w:rPr>
        <w:t>Sarkom mekog tkiva</w:t>
      </w:r>
    </w:p>
    <w:p w14:paraId="13DDFA9D" w14:textId="77777777" w:rsidR="00DF3692" w:rsidRPr="00D6167B" w:rsidRDefault="00DF3692" w:rsidP="007608DF">
      <w:pPr>
        <w:keepNext/>
        <w:widowControl/>
        <w:jc w:val="both"/>
        <w:rPr>
          <w:rFonts w:ascii="Times New Roman" w:eastAsia="Times New Roman" w:hAnsi="Times New Roman"/>
          <w:i/>
          <w:lang w:val="hr-HR"/>
        </w:rPr>
      </w:pPr>
    </w:p>
    <w:p w14:paraId="45E41880" w14:textId="77777777" w:rsidR="00D15122" w:rsidRPr="00D6167B" w:rsidRDefault="009B0756" w:rsidP="007608DF">
      <w:pPr>
        <w:pStyle w:val="BodyText"/>
        <w:keepNext/>
        <w:widowControl/>
        <w:ind w:left="0"/>
        <w:jc w:val="both"/>
        <w:rPr>
          <w:lang w:val="hr-HR"/>
        </w:rPr>
      </w:pPr>
      <w:r w:rsidRPr="00D6167B">
        <w:rPr>
          <w:lang w:val="hr-HR"/>
        </w:rPr>
        <w:t>U randomizovanoj studiji faze II (BO20924) ukupno su 154 pacijenta uzrasta ≥ 6 mjeseci do &lt; 18 godina sa tek dijagnostikovanim metastatskim rabdomiosarkomom i nerabdomiosarkomom sarkoma mekog tkiva liječeni standardnom terapijom (indukciona IVADO/IVA +/- lokalna terapija, nakon čega slijede vinorelbin i ciklofosfamid za održavanje) sa bevacizumabom ili bez njega (2,5 mg/kg/nedjeljno) tokom ukupnog trajanja liječenja od približno 18 mjeseci. U trenutku finalne primarne analize, primarni parametar efikasnosti EFS, prema procjeni nezavisne centralne revizije, nije pokazao statistički značajnu razliku između dv</w:t>
      </w:r>
      <w:r w:rsidR="002E42C6" w:rsidRPr="00D6167B">
        <w:rPr>
          <w:lang w:val="hr-HR"/>
        </w:rPr>
        <w:t xml:space="preserve">ije grupe </w:t>
      </w:r>
      <w:r w:rsidRPr="00D6167B">
        <w:rPr>
          <w:lang w:val="hr-HR"/>
        </w:rPr>
        <w:t>liječenja – HR je bio 0,93 (95% CI: 0,61, 1,41; vrijednost p = 0,72).</w:t>
      </w:r>
    </w:p>
    <w:p w14:paraId="5A8CBA91" w14:textId="77777777" w:rsidR="00203535" w:rsidRPr="00D6167B" w:rsidRDefault="00203535" w:rsidP="007608DF">
      <w:pPr>
        <w:pStyle w:val="BodyText"/>
        <w:widowControl/>
        <w:ind w:left="0"/>
        <w:jc w:val="both"/>
        <w:rPr>
          <w:lang w:val="hr-HR"/>
        </w:rPr>
      </w:pPr>
    </w:p>
    <w:p w14:paraId="63DE453C" w14:textId="77777777" w:rsidR="00D15122" w:rsidRPr="00D6167B" w:rsidRDefault="009B0756" w:rsidP="007608DF">
      <w:pPr>
        <w:pStyle w:val="BodyText"/>
        <w:widowControl/>
        <w:ind w:left="0"/>
        <w:jc w:val="both"/>
        <w:rPr>
          <w:lang w:val="hr-HR"/>
        </w:rPr>
      </w:pPr>
      <w:r w:rsidRPr="00D6167B">
        <w:rPr>
          <w:lang w:val="hr-HR"/>
        </w:rPr>
        <w:t>Razlika u ORR prema nezavisnoj centralnoj reviziji iznosila je 18% (CI: 0,6%, 35,3%) između dv</w:t>
      </w:r>
      <w:r w:rsidR="002E42C6" w:rsidRPr="00D6167B">
        <w:rPr>
          <w:lang w:val="hr-HR"/>
        </w:rPr>
        <w:t>ije</w:t>
      </w:r>
      <w:r w:rsidRPr="00D6167B">
        <w:rPr>
          <w:lang w:val="hr-HR"/>
        </w:rPr>
        <w:t xml:space="preserve"> </w:t>
      </w:r>
      <w:r w:rsidR="002E42C6" w:rsidRPr="00D6167B">
        <w:rPr>
          <w:lang w:val="hr-HR"/>
        </w:rPr>
        <w:t xml:space="preserve">grupe </w:t>
      </w:r>
      <w:r w:rsidRPr="00D6167B">
        <w:rPr>
          <w:lang w:val="hr-HR"/>
        </w:rPr>
        <w:t xml:space="preserve">liječenja kod nekolicine pacijenata koji su na početnom nivou imali tumor koji se može procijeniti i koji su imali potvrđen odgovor prije dobijanja bilo kojeg vida lokalne terapije: 27/75 pacijenata (36,0%, 95% CI: 25,2%, 47,9%) u </w:t>
      </w:r>
      <w:r w:rsidR="002E42C6" w:rsidRPr="00D6167B">
        <w:rPr>
          <w:lang w:val="hr-HR"/>
        </w:rPr>
        <w:t xml:space="preserve">grupi </w:t>
      </w:r>
      <w:r w:rsidRPr="00D6167B">
        <w:rPr>
          <w:lang w:val="hr-HR"/>
        </w:rPr>
        <w:t xml:space="preserve">sa hemoterapijom i 34/63 pacijenata (54,0%, 95% CI: 40,9%, 66,6%) u </w:t>
      </w:r>
      <w:r w:rsidR="002E42C6" w:rsidRPr="00D6167B">
        <w:rPr>
          <w:lang w:val="hr-HR"/>
        </w:rPr>
        <w:t xml:space="preserve">grupi </w:t>
      </w:r>
      <w:r w:rsidRPr="00D6167B">
        <w:rPr>
          <w:lang w:val="hr-HR"/>
        </w:rPr>
        <w:t>koj</w:t>
      </w:r>
      <w:r w:rsidR="002E42C6" w:rsidRPr="00D6167B">
        <w:rPr>
          <w:lang w:val="hr-HR"/>
        </w:rPr>
        <w:t>a</w:t>
      </w:r>
      <w:r w:rsidRPr="00D6167B">
        <w:rPr>
          <w:lang w:val="hr-HR"/>
        </w:rPr>
        <w:t xml:space="preserve"> je prima</w:t>
      </w:r>
      <w:r w:rsidR="002E42C6" w:rsidRPr="00D6167B">
        <w:rPr>
          <w:lang w:val="hr-HR"/>
        </w:rPr>
        <w:t>la</w:t>
      </w:r>
      <w:r w:rsidRPr="00D6167B">
        <w:rPr>
          <w:lang w:val="hr-HR"/>
        </w:rPr>
        <w:t xml:space="preserve"> bevacizumab i hemoterapiju. Finalna analiza ukupnog preživljavanja (OS) pokazala je da ne postoje značajne kliničke koristi dodavanja bevacizumaba hemoterapiji kod ove populacije pacijenata.</w:t>
      </w:r>
    </w:p>
    <w:p w14:paraId="6112F29A" w14:textId="77777777" w:rsidR="00D15122" w:rsidRPr="00D6167B" w:rsidRDefault="00D15122" w:rsidP="007608DF">
      <w:pPr>
        <w:pStyle w:val="BodyText"/>
        <w:widowControl/>
        <w:ind w:left="0"/>
        <w:jc w:val="both"/>
        <w:rPr>
          <w:lang w:val="hr-HR"/>
        </w:rPr>
      </w:pPr>
    </w:p>
    <w:p w14:paraId="2EF1D5B0" w14:textId="77777777" w:rsidR="00D15122" w:rsidRPr="00D6167B" w:rsidRDefault="009B0756" w:rsidP="007608DF">
      <w:pPr>
        <w:pStyle w:val="BodyText"/>
        <w:widowControl/>
        <w:ind w:left="0"/>
        <w:jc w:val="both"/>
        <w:rPr>
          <w:lang w:val="hr-HR"/>
        </w:rPr>
      </w:pPr>
      <w:r w:rsidRPr="00D6167B">
        <w:rPr>
          <w:lang w:val="hr-HR"/>
        </w:rPr>
        <w:t>Dodavanjem bevacizumaba standardnoj terapiji nijesu se pokazale kliničke koristi u kliničkom ispitivanju BO20924 kod 71 pedijatrijskog pacijenta (uzrasta od 6 mjeseci do manje od 18 godina) podložnog procjeni sa metastatskim rabdomiosarkomom i nerabdomiosarkomom sarkoma mekog tkiva.</w:t>
      </w:r>
    </w:p>
    <w:p w14:paraId="0E9F8F51" w14:textId="77777777" w:rsidR="00D15122" w:rsidRPr="00D6167B" w:rsidRDefault="009B0756" w:rsidP="007608DF">
      <w:pPr>
        <w:pStyle w:val="BodyText"/>
        <w:widowControl/>
        <w:spacing w:line="252" w:lineRule="exact"/>
        <w:ind w:left="0"/>
        <w:jc w:val="both"/>
        <w:rPr>
          <w:lang w:val="hr-HR"/>
        </w:rPr>
      </w:pPr>
      <w:r w:rsidRPr="00D6167B">
        <w:rPr>
          <w:lang w:val="hr-HR"/>
        </w:rPr>
        <w:lastRenderedPageBreak/>
        <w:t xml:space="preserve">(Pogledajte </w:t>
      </w:r>
      <w:r w:rsidR="00EA7D3C" w:rsidRPr="00D6167B">
        <w:rPr>
          <w:lang w:val="hr-HR"/>
        </w:rPr>
        <w:t xml:space="preserve">dio </w:t>
      </w:r>
      <w:r w:rsidRPr="00D6167B">
        <w:rPr>
          <w:lang w:val="hr-HR"/>
        </w:rPr>
        <w:t>4.2 da biste vidjeli informacije o pedijatrijskoj upotrebi).</w:t>
      </w:r>
    </w:p>
    <w:p w14:paraId="1A49C9C1" w14:textId="77777777" w:rsidR="00D15122" w:rsidRPr="00D6167B" w:rsidRDefault="00D15122" w:rsidP="007608DF">
      <w:pPr>
        <w:widowControl/>
        <w:jc w:val="both"/>
        <w:rPr>
          <w:rFonts w:ascii="Times New Roman" w:eastAsia="Times New Roman" w:hAnsi="Times New Roman"/>
          <w:lang w:val="hr-HR"/>
        </w:rPr>
      </w:pPr>
    </w:p>
    <w:p w14:paraId="1BCDB4DA" w14:textId="77777777" w:rsidR="00D15122" w:rsidRPr="00D6167B" w:rsidRDefault="009B0756" w:rsidP="007608DF">
      <w:pPr>
        <w:pStyle w:val="BodyText"/>
        <w:widowControl/>
        <w:ind w:left="0"/>
        <w:jc w:val="both"/>
        <w:rPr>
          <w:lang w:val="hr-HR"/>
        </w:rPr>
      </w:pPr>
      <w:r w:rsidRPr="00D6167B">
        <w:rPr>
          <w:lang w:val="hr-HR"/>
        </w:rPr>
        <w:t>Incidencija neželjenih dejstava, uključujući neželjena dejstva i ozbiljna neželjena dejstva gradusa ≥ 3, bila je slična u ob</w:t>
      </w:r>
      <w:r w:rsidR="002E42C6" w:rsidRPr="00D6167B">
        <w:rPr>
          <w:lang w:val="hr-HR"/>
        </w:rPr>
        <w:t xml:space="preserve">je grupe </w:t>
      </w:r>
      <w:r w:rsidRPr="00D6167B">
        <w:rPr>
          <w:lang w:val="hr-HR"/>
        </w:rPr>
        <w:t>liječenja. Ni u jedno</w:t>
      </w:r>
      <w:r w:rsidR="002E42C6" w:rsidRPr="00D6167B">
        <w:rPr>
          <w:lang w:val="hr-HR"/>
        </w:rPr>
        <w:t>j</w:t>
      </w:r>
      <w:r w:rsidRPr="00D6167B">
        <w:rPr>
          <w:lang w:val="hr-HR"/>
        </w:rPr>
        <w:t xml:space="preserve"> </w:t>
      </w:r>
      <w:r w:rsidR="002E42C6" w:rsidRPr="00D6167B">
        <w:rPr>
          <w:lang w:val="hr-HR"/>
        </w:rPr>
        <w:t xml:space="preserve">grupi </w:t>
      </w:r>
      <w:r w:rsidRPr="00D6167B">
        <w:rPr>
          <w:lang w:val="hr-HR"/>
        </w:rPr>
        <w:t>liječenja nije došlo do neželjenih dejstava sa smrtnim ishodom; svi smrtni slučajevi su pripisani progresiji bolesti. Ova pedijatrijska populacija je naizgled tolerisala dodavanje bevacizumaba multimodalnom standardnom liječenju.</w:t>
      </w:r>
    </w:p>
    <w:p w14:paraId="3D9FCA77" w14:textId="77777777" w:rsidR="00D15122" w:rsidRPr="00D6167B" w:rsidRDefault="00D15122" w:rsidP="007608DF">
      <w:pPr>
        <w:widowControl/>
        <w:jc w:val="both"/>
        <w:rPr>
          <w:rFonts w:ascii="Times New Roman" w:eastAsia="Times New Roman" w:hAnsi="Times New Roman"/>
          <w:lang w:val="hr-HR"/>
        </w:rPr>
      </w:pPr>
    </w:p>
    <w:p w14:paraId="362704B5" w14:textId="77777777" w:rsidR="00D15122" w:rsidRPr="00D6167B" w:rsidRDefault="009B0756" w:rsidP="007608DF">
      <w:pPr>
        <w:pStyle w:val="Heading1"/>
        <w:keepNext/>
        <w:widowControl/>
        <w:numPr>
          <w:ilvl w:val="1"/>
          <w:numId w:val="9"/>
        </w:numPr>
        <w:tabs>
          <w:tab w:val="left" w:pos="684"/>
        </w:tabs>
        <w:ind w:left="540" w:hanging="540"/>
        <w:jc w:val="both"/>
        <w:rPr>
          <w:bCs w:val="0"/>
          <w:lang w:val="hr-HR"/>
        </w:rPr>
      </w:pPr>
      <w:r w:rsidRPr="00D6167B">
        <w:rPr>
          <w:lang w:val="hr-HR"/>
        </w:rPr>
        <w:t>Farmakokineti</w:t>
      </w:r>
      <w:r w:rsidR="00DF17D9" w:rsidRPr="00D6167B">
        <w:t>čki podaci</w:t>
      </w:r>
    </w:p>
    <w:p w14:paraId="11EC668E" w14:textId="77777777" w:rsidR="00D15122" w:rsidRPr="00D6167B" w:rsidRDefault="00D15122" w:rsidP="007608DF">
      <w:pPr>
        <w:keepNext/>
        <w:widowControl/>
        <w:jc w:val="both"/>
        <w:rPr>
          <w:rFonts w:ascii="Times New Roman" w:eastAsia="Times New Roman" w:hAnsi="Times New Roman"/>
          <w:bCs/>
          <w:lang w:val="hr-HR"/>
        </w:rPr>
      </w:pPr>
    </w:p>
    <w:p w14:paraId="3526FE0C" w14:textId="77777777" w:rsidR="00D15122" w:rsidRPr="00D6167B" w:rsidRDefault="009B0756" w:rsidP="007608DF">
      <w:pPr>
        <w:pStyle w:val="BodyText"/>
        <w:widowControl/>
        <w:ind w:left="0"/>
        <w:jc w:val="both"/>
        <w:rPr>
          <w:lang w:val="hr-HR"/>
        </w:rPr>
      </w:pPr>
      <w:r w:rsidRPr="00D6167B">
        <w:rPr>
          <w:lang w:val="hr-HR"/>
        </w:rPr>
        <w:t>Farmakokinetički podaci za bevacizumab dostupni su iz deset kliničkih ispitivanja kod pacijenata sa solidnim tumorima. U svim ovim kliničkim ispitivanjima bevacizumab je davan u vidu intravenske infuzije. Brzina infuzije je bazirana na podnošenju, a preporučuje se inicijalno trajanje infuzije od 90 minuta. Farmakokinetika bevacizumaba je bila linearna pri dozama u rasponu od 1 do 10 mg/kg.</w:t>
      </w:r>
    </w:p>
    <w:p w14:paraId="33ECEF7F" w14:textId="77777777" w:rsidR="00D15122" w:rsidRPr="00D6167B" w:rsidRDefault="00D15122" w:rsidP="007608DF">
      <w:pPr>
        <w:widowControl/>
        <w:jc w:val="both"/>
        <w:rPr>
          <w:rFonts w:ascii="Times New Roman" w:eastAsia="Times New Roman" w:hAnsi="Times New Roman"/>
          <w:lang w:val="hr-HR"/>
        </w:rPr>
      </w:pPr>
    </w:p>
    <w:p w14:paraId="23ACAC83" w14:textId="77777777" w:rsidR="00D15122" w:rsidRPr="00D6167B" w:rsidRDefault="009B0756" w:rsidP="007608DF">
      <w:pPr>
        <w:pStyle w:val="BodyText"/>
        <w:keepNext/>
        <w:widowControl/>
        <w:spacing w:line="252" w:lineRule="exact"/>
        <w:ind w:left="0"/>
        <w:jc w:val="both"/>
        <w:rPr>
          <w:u w:val="single" w:color="000000"/>
          <w:lang w:val="hr-HR"/>
        </w:rPr>
      </w:pPr>
      <w:r w:rsidRPr="00D6167B">
        <w:rPr>
          <w:u w:val="single" w:color="000000"/>
          <w:lang w:val="hr-HR"/>
        </w:rPr>
        <w:t>Distribucija</w:t>
      </w:r>
    </w:p>
    <w:p w14:paraId="3262DB1B" w14:textId="77777777" w:rsidR="00DF3692" w:rsidRPr="00D6167B" w:rsidRDefault="00DF3692" w:rsidP="007608DF">
      <w:pPr>
        <w:pStyle w:val="BodyText"/>
        <w:keepNext/>
        <w:widowControl/>
        <w:spacing w:line="252" w:lineRule="exact"/>
        <w:ind w:left="0"/>
        <w:jc w:val="both"/>
        <w:rPr>
          <w:lang w:val="hr-HR"/>
        </w:rPr>
      </w:pPr>
    </w:p>
    <w:p w14:paraId="157C7985" w14:textId="77777777" w:rsidR="00D15122" w:rsidRPr="00D6167B" w:rsidRDefault="009B0756" w:rsidP="007608DF">
      <w:pPr>
        <w:pStyle w:val="BodyText"/>
        <w:widowControl/>
        <w:spacing w:line="234" w:lineRule="auto"/>
        <w:ind w:left="0"/>
        <w:jc w:val="both"/>
        <w:rPr>
          <w:lang w:val="hr-HR"/>
        </w:rPr>
      </w:pPr>
      <w:r w:rsidRPr="00D6167B">
        <w:rPr>
          <w:lang w:val="hr-HR"/>
        </w:rPr>
        <w:t>Tipična vrijednost centralnog volumena (V</w:t>
      </w:r>
      <w:r w:rsidRPr="00D6167B">
        <w:rPr>
          <w:sz w:val="14"/>
          <w:lang w:val="hr-HR"/>
        </w:rPr>
        <w:t>c</w:t>
      </w:r>
      <w:r w:rsidRPr="00D6167B">
        <w:rPr>
          <w:lang w:val="hr-HR"/>
        </w:rPr>
        <w:t>) je bila 2,73 l za pacijente ženskog i 3,28 l za pacijente muškog pola, što se nalazi u opsegu koji je opisan za IgG i druga monoklonska antitela. Tipična vr</w:t>
      </w:r>
      <w:r w:rsidR="00A97CAB" w:rsidRPr="00D6167B">
        <w:rPr>
          <w:lang w:val="hr-HR"/>
        </w:rPr>
        <w:t>ij</w:t>
      </w:r>
      <w:r w:rsidRPr="00D6167B">
        <w:rPr>
          <w:lang w:val="hr-HR"/>
        </w:rPr>
        <w:t>ednost za periferni volumen (V</w:t>
      </w:r>
      <w:r w:rsidRPr="00D6167B">
        <w:rPr>
          <w:sz w:val="14"/>
          <w:lang w:val="hr-HR"/>
        </w:rPr>
        <w:t>p</w:t>
      </w:r>
      <w:r w:rsidRPr="00D6167B">
        <w:rPr>
          <w:lang w:val="hr-HR"/>
        </w:rPr>
        <w:t>) je bila 1,69 l za pacijente ženskog i 2,35 l za pacijente muškog pola, kada je bevacizumab primjenjivan zajedno sa drugim antineoplastičnim agensima. Nakon korekcije po tjelesnoj masi, pacijenti muškog pola su imali veći V</w:t>
      </w:r>
      <w:r w:rsidRPr="00D6167B">
        <w:rPr>
          <w:sz w:val="14"/>
          <w:lang w:val="hr-HR"/>
        </w:rPr>
        <w:t>c</w:t>
      </w:r>
      <w:r w:rsidRPr="00D6167B">
        <w:rPr>
          <w:lang w:val="hr-HR"/>
        </w:rPr>
        <w:t xml:space="preserve"> (+ 20%) u odnosu na pacijente ženskog pola.</w:t>
      </w:r>
    </w:p>
    <w:p w14:paraId="634EAD92" w14:textId="77777777" w:rsidR="00D15122" w:rsidRPr="00D6167B" w:rsidRDefault="00D15122" w:rsidP="007608DF">
      <w:pPr>
        <w:widowControl/>
        <w:jc w:val="both"/>
        <w:rPr>
          <w:rFonts w:ascii="Times New Roman" w:eastAsia="Times New Roman" w:hAnsi="Times New Roman"/>
          <w:lang w:val="hr-HR"/>
        </w:rPr>
      </w:pPr>
    </w:p>
    <w:p w14:paraId="5C65941A" w14:textId="77777777" w:rsidR="00D15122" w:rsidRPr="00D6167B" w:rsidRDefault="009B0756" w:rsidP="007608DF">
      <w:pPr>
        <w:pStyle w:val="BodyText"/>
        <w:keepNext/>
        <w:widowControl/>
        <w:spacing w:line="240" w:lineRule="exact"/>
        <w:ind w:left="0"/>
        <w:jc w:val="both"/>
        <w:rPr>
          <w:u w:val="single" w:color="000000"/>
          <w:lang w:val="hr-HR"/>
        </w:rPr>
      </w:pPr>
      <w:r w:rsidRPr="00D6167B">
        <w:rPr>
          <w:u w:val="single" w:color="000000"/>
          <w:lang w:val="hr-HR"/>
        </w:rPr>
        <w:t>Biotransformacija</w:t>
      </w:r>
    </w:p>
    <w:p w14:paraId="3FEF9006" w14:textId="77777777" w:rsidR="00DF3692" w:rsidRPr="00D6167B" w:rsidRDefault="00DF3692" w:rsidP="007608DF">
      <w:pPr>
        <w:pStyle w:val="BodyText"/>
        <w:keepNext/>
        <w:widowControl/>
        <w:spacing w:line="240" w:lineRule="exact"/>
        <w:ind w:left="0"/>
        <w:jc w:val="both"/>
        <w:rPr>
          <w:lang w:val="hr-HR"/>
        </w:rPr>
      </w:pPr>
    </w:p>
    <w:p w14:paraId="64750334" w14:textId="45872051" w:rsidR="00D15122" w:rsidRPr="00D6167B" w:rsidRDefault="009B0756" w:rsidP="007608DF">
      <w:pPr>
        <w:pStyle w:val="BodyText"/>
        <w:widowControl/>
        <w:spacing w:line="239" w:lineRule="auto"/>
        <w:ind w:left="0"/>
        <w:jc w:val="both"/>
        <w:rPr>
          <w:lang w:val="hr-HR"/>
        </w:rPr>
      </w:pPr>
      <w:r w:rsidRPr="00D6167B">
        <w:rPr>
          <w:lang w:val="hr-HR"/>
        </w:rPr>
        <w:t xml:space="preserve">Procjene metabolizma bevacizumaba kod </w:t>
      </w:r>
      <w:r w:rsidR="002D29B3">
        <w:rPr>
          <w:lang w:val="hr-HR"/>
        </w:rPr>
        <w:t>kunića</w:t>
      </w:r>
      <w:r w:rsidR="002D29B3" w:rsidRPr="00D6167B">
        <w:rPr>
          <w:lang w:val="hr-HR"/>
        </w:rPr>
        <w:t xml:space="preserve"> </w:t>
      </w:r>
      <w:r w:rsidRPr="00D6167B">
        <w:rPr>
          <w:lang w:val="hr-HR"/>
        </w:rPr>
        <w:t xml:space="preserve">po pojedinačnoj intravenskoj dozi od </w:t>
      </w:r>
      <w:r w:rsidRPr="00D6167B">
        <w:rPr>
          <w:sz w:val="20"/>
          <w:vertAlign w:val="superscript"/>
          <w:lang w:val="hr-HR"/>
        </w:rPr>
        <w:t>125</w:t>
      </w:r>
      <w:r w:rsidRPr="00D6167B">
        <w:rPr>
          <w:lang w:val="hr-HR"/>
        </w:rPr>
        <w:t>I</w:t>
      </w:r>
      <w:r w:rsidRPr="00D6167B">
        <w:rPr>
          <w:lang w:val="hr-HR"/>
        </w:rPr>
        <w:noBreakHyphen/>
        <w:t>bevacizumaba pokazuje da je njegov profil metabolizma sličan očekivanom za nativni molekul IgG koji se ne vezuje za VEGF. Metabolizam i eliminacija bevacizumaba su slični endogenom IgG, tj. primarno se odvijaju preko proteolitičkog katabolizma u tijelu, uključujući endotelne ćelije, i ne oslanjaju se primarno na eliminaciju preko bubrega i jetre. Vezivanje IgG za FcRn receptor dovodi do zaštite od ćelijskog metabolizma i dugog terminalnog poluvremena eliminacije.</w:t>
      </w:r>
    </w:p>
    <w:p w14:paraId="7808D79A" w14:textId="77777777" w:rsidR="00D15122" w:rsidRPr="00D6167B" w:rsidRDefault="00D15122" w:rsidP="007608DF">
      <w:pPr>
        <w:widowControl/>
        <w:jc w:val="both"/>
        <w:rPr>
          <w:rFonts w:ascii="Times New Roman" w:eastAsia="Times New Roman" w:hAnsi="Times New Roman"/>
          <w:lang w:val="hr-HR"/>
        </w:rPr>
      </w:pPr>
    </w:p>
    <w:p w14:paraId="06441680" w14:textId="77777777" w:rsidR="00D15122" w:rsidRPr="00D6167B" w:rsidRDefault="009B0756" w:rsidP="007608DF">
      <w:pPr>
        <w:pStyle w:val="BodyText"/>
        <w:keepNext/>
        <w:widowControl/>
        <w:spacing w:line="252" w:lineRule="exact"/>
        <w:ind w:left="0"/>
        <w:jc w:val="both"/>
        <w:rPr>
          <w:u w:val="single" w:color="000000"/>
          <w:lang w:val="hr-HR"/>
        </w:rPr>
      </w:pPr>
      <w:r w:rsidRPr="00D6167B">
        <w:rPr>
          <w:u w:val="single" w:color="000000"/>
          <w:lang w:val="hr-HR"/>
        </w:rPr>
        <w:t>Eliminacija</w:t>
      </w:r>
    </w:p>
    <w:p w14:paraId="7D1FE12C" w14:textId="77777777" w:rsidR="00DF3692" w:rsidRPr="00D6167B" w:rsidRDefault="00DF3692" w:rsidP="007608DF">
      <w:pPr>
        <w:pStyle w:val="BodyText"/>
        <w:keepNext/>
        <w:widowControl/>
        <w:spacing w:line="252" w:lineRule="exact"/>
        <w:ind w:left="0"/>
        <w:jc w:val="both"/>
        <w:rPr>
          <w:lang w:val="hr-HR"/>
        </w:rPr>
      </w:pPr>
    </w:p>
    <w:p w14:paraId="4B0E496C" w14:textId="63EA57B4" w:rsidR="00D15122" w:rsidRPr="00D6167B" w:rsidRDefault="009B0756" w:rsidP="007608DF">
      <w:pPr>
        <w:pStyle w:val="BodyText"/>
        <w:widowControl/>
        <w:ind w:left="0"/>
        <w:jc w:val="both"/>
        <w:rPr>
          <w:lang w:val="hr-HR"/>
        </w:rPr>
      </w:pPr>
      <w:r w:rsidRPr="00D6167B">
        <w:rPr>
          <w:lang w:val="hr-HR"/>
        </w:rPr>
        <w:t>Vrijednost klirensa je, u pros</w:t>
      </w:r>
      <w:r w:rsidR="00A97CAB" w:rsidRPr="00D6167B">
        <w:rPr>
          <w:lang w:val="hr-HR"/>
        </w:rPr>
        <w:t>j</w:t>
      </w:r>
      <w:r w:rsidRPr="00D6167B">
        <w:rPr>
          <w:lang w:val="hr-HR"/>
        </w:rPr>
        <w:t xml:space="preserve">eku, jednaka 0,188 l/dan za žene i 0,22 l/dan za muškarce. Nakon korekcije po tjelesnoj masi, pacijenti muškog pola su imali veći klirens bevacizumab (+ 17%) u odnosu na pacijente ženskog pola. Na osnovu modela sa dva </w:t>
      </w:r>
      <w:r w:rsidR="00B92E27">
        <w:rPr>
          <w:lang w:val="hr-HR"/>
        </w:rPr>
        <w:t>dijel</w:t>
      </w:r>
      <w:r w:rsidR="00B92E27" w:rsidRPr="00D6167B">
        <w:rPr>
          <w:lang w:val="hr-HR"/>
        </w:rPr>
        <w:t>a</w:t>
      </w:r>
      <w:r w:rsidRPr="00D6167B">
        <w:rPr>
          <w:lang w:val="hr-HR"/>
        </w:rPr>
        <w:t>, poluvrijeme eliminacije je 18 dana za tipičnog ženskog pacijenta i 20 dana za tipičnog muškog pacijenta.</w:t>
      </w:r>
    </w:p>
    <w:p w14:paraId="7E23988F" w14:textId="77777777" w:rsidR="00D15122" w:rsidRPr="00D6167B" w:rsidRDefault="00D15122" w:rsidP="007608DF">
      <w:pPr>
        <w:widowControl/>
        <w:jc w:val="both"/>
        <w:rPr>
          <w:rFonts w:ascii="Times New Roman" w:eastAsia="Times New Roman" w:hAnsi="Times New Roman"/>
          <w:lang w:val="hr-HR"/>
        </w:rPr>
      </w:pPr>
    </w:p>
    <w:p w14:paraId="36A0AE78" w14:textId="77777777" w:rsidR="00D15122" w:rsidRPr="00D6167B" w:rsidRDefault="009B0756" w:rsidP="007608DF">
      <w:pPr>
        <w:pStyle w:val="BodyText"/>
        <w:widowControl/>
        <w:ind w:left="0"/>
        <w:jc w:val="both"/>
        <w:rPr>
          <w:lang w:val="hr-HR"/>
        </w:rPr>
      </w:pPr>
      <w:r w:rsidRPr="00D6167B">
        <w:rPr>
          <w:lang w:val="hr-HR"/>
        </w:rPr>
        <w:t>Nizak albumin i velika tumorska masa su generalno indikativni za ozbiljnost bolesti. Klirens bevacizumaba je bio u prosjeku 30% brži kod pacijenata sa niskim nivoom albumina u serumu i 7% brži kod ispitanika sa većom tumorskom masom u poređenju sa tipičnim pacijentom sa srednjim vrijednostima albumina i tumorske mase.</w:t>
      </w:r>
    </w:p>
    <w:p w14:paraId="4D5209A2" w14:textId="77777777" w:rsidR="00D15122" w:rsidRPr="00D6167B" w:rsidRDefault="00D15122" w:rsidP="007608DF">
      <w:pPr>
        <w:widowControl/>
        <w:jc w:val="both"/>
        <w:rPr>
          <w:rFonts w:ascii="Times New Roman" w:eastAsia="Times New Roman" w:hAnsi="Times New Roman"/>
          <w:lang w:val="hr-HR"/>
        </w:rPr>
      </w:pPr>
    </w:p>
    <w:p w14:paraId="5F487619" w14:textId="77777777" w:rsidR="00D15122" w:rsidRPr="00D6167B" w:rsidRDefault="009B0756" w:rsidP="007608DF">
      <w:pPr>
        <w:pStyle w:val="BodyText"/>
        <w:keepNext/>
        <w:widowControl/>
        <w:ind w:left="0"/>
        <w:jc w:val="both"/>
        <w:rPr>
          <w:u w:val="single" w:color="000000"/>
          <w:lang w:val="hr-HR"/>
        </w:rPr>
      </w:pPr>
      <w:r w:rsidRPr="00D6167B">
        <w:rPr>
          <w:u w:val="single" w:color="000000"/>
          <w:lang w:val="hr-HR"/>
        </w:rPr>
        <w:t>Farmakokinetika kod posebnih populacija</w:t>
      </w:r>
    </w:p>
    <w:p w14:paraId="79E78CA6" w14:textId="77777777" w:rsidR="00DF3692" w:rsidRPr="00D6167B" w:rsidRDefault="00DF3692" w:rsidP="007608DF">
      <w:pPr>
        <w:pStyle w:val="BodyText"/>
        <w:keepNext/>
        <w:widowControl/>
        <w:ind w:left="0"/>
        <w:jc w:val="both"/>
        <w:rPr>
          <w:lang w:val="hr-HR"/>
        </w:rPr>
      </w:pPr>
    </w:p>
    <w:p w14:paraId="430BA7E7" w14:textId="77777777" w:rsidR="00D15122" w:rsidRPr="00D6167B" w:rsidRDefault="009B0756" w:rsidP="007608DF">
      <w:pPr>
        <w:pStyle w:val="BodyText"/>
        <w:widowControl/>
        <w:ind w:left="0" w:hanging="1"/>
        <w:jc w:val="both"/>
        <w:rPr>
          <w:lang w:val="hr-HR"/>
        </w:rPr>
      </w:pPr>
      <w:r w:rsidRPr="00D6167B">
        <w:rPr>
          <w:lang w:val="hr-HR"/>
        </w:rPr>
        <w:t>Populaciona farmakokinetika je analizirana kod odraslih i pedijatrijskih pacijenata da bi se procijenilo dejstvo demografskih karakteristika. Kod odraslih pacijenata, rezultati su pokazali odsustvo značajnih razlika u farmakokinetici bevacizumaba u odnosu na starost.</w:t>
      </w:r>
    </w:p>
    <w:p w14:paraId="31351C77" w14:textId="77777777" w:rsidR="00D15122" w:rsidRPr="00D6167B" w:rsidRDefault="00D15122" w:rsidP="007608DF">
      <w:pPr>
        <w:widowControl/>
        <w:jc w:val="both"/>
        <w:rPr>
          <w:rFonts w:ascii="Times New Roman" w:eastAsia="Times New Roman" w:hAnsi="Times New Roman"/>
          <w:lang w:val="hr-HR"/>
        </w:rPr>
      </w:pPr>
    </w:p>
    <w:p w14:paraId="5D91C903" w14:textId="77777777" w:rsidR="00D15122" w:rsidRPr="00D6167B" w:rsidRDefault="009B0756" w:rsidP="007608DF">
      <w:pPr>
        <w:keepNext/>
        <w:widowControl/>
        <w:jc w:val="both"/>
        <w:rPr>
          <w:rFonts w:ascii="Times New Roman" w:hAnsi="Times New Roman"/>
          <w:i/>
          <w:u w:val="single"/>
          <w:lang w:val="hr-HR"/>
        </w:rPr>
      </w:pPr>
      <w:r w:rsidRPr="00D6167B">
        <w:rPr>
          <w:rFonts w:ascii="Times New Roman" w:hAnsi="Times New Roman"/>
          <w:i/>
          <w:u w:val="single"/>
          <w:lang w:val="hr-HR"/>
        </w:rPr>
        <w:t>Oštećenje funkcije bubrega</w:t>
      </w:r>
    </w:p>
    <w:p w14:paraId="3CD95261" w14:textId="77777777" w:rsidR="00DF3692" w:rsidRPr="00D6167B" w:rsidRDefault="00DF3692" w:rsidP="007608DF">
      <w:pPr>
        <w:keepNext/>
        <w:widowControl/>
        <w:jc w:val="both"/>
        <w:rPr>
          <w:rFonts w:ascii="Times New Roman" w:eastAsia="Times New Roman" w:hAnsi="Times New Roman"/>
          <w:i/>
          <w:lang w:val="hr-HR"/>
        </w:rPr>
      </w:pPr>
    </w:p>
    <w:p w14:paraId="783A285B" w14:textId="77777777" w:rsidR="00D15122" w:rsidRPr="00D6167B" w:rsidRDefault="009B0756" w:rsidP="007608DF">
      <w:pPr>
        <w:pStyle w:val="BodyText"/>
        <w:widowControl/>
        <w:ind w:left="0"/>
        <w:jc w:val="both"/>
        <w:rPr>
          <w:lang w:val="hr-HR"/>
        </w:rPr>
      </w:pPr>
      <w:r w:rsidRPr="00D6167B">
        <w:rPr>
          <w:lang w:val="hr-HR"/>
        </w:rPr>
        <w:t>Nije sprovedeno nijedno ispitivanje da bi se istražila farmakokinetika bevacizumaba u populaciji pacijenata sa bubrežnom insuficijencijom, jer bubrezi nijesu glavni organ metabolizma i ekskrecije bevacizumaba.</w:t>
      </w:r>
    </w:p>
    <w:p w14:paraId="6A2B1215" w14:textId="77777777" w:rsidR="00D15122" w:rsidRPr="00D6167B" w:rsidRDefault="00D15122" w:rsidP="007608DF">
      <w:pPr>
        <w:widowControl/>
        <w:jc w:val="both"/>
        <w:rPr>
          <w:rFonts w:ascii="Times New Roman" w:eastAsia="Times New Roman" w:hAnsi="Times New Roman"/>
          <w:lang w:val="hr-HR"/>
        </w:rPr>
      </w:pPr>
    </w:p>
    <w:p w14:paraId="1161A68B"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lastRenderedPageBreak/>
        <w:t>Oštećenje funkcije jetre</w:t>
      </w:r>
    </w:p>
    <w:p w14:paraId="6A3EE016" w14:textId="77777777" w:rsidR="00DF3692" w:rsidRPr="00D6167B" w:rsidRDefault="00DF3692" w:rsidP="007608DF">
      <w:pPr>
        <w:keepNext/>
        <w:widowControl/>
        <w:spacing w:line="252" w:lineRule="exact"/>
        <w:jc w:val="both"/>
        <w:rPr>
          <w:rFonts w:ascii="Times New Roman" w:eastAsia="Times New Roman" w:hAnsi="Times New Roman"/>
          <w:i/>
          <w:lang w:val="hr-HR"/>
        </w:rPr>
      </w:pPr>
    </w:p>
    <w:p w14:paraId="092791AC" w14:textId="77777777" w:rsidR="00D15122" w:rsidRPr="00D6167B" w:rsidRDefault="009B0756" w:rsidP="007608DF">
      <w:pPr>
        <w:pStyle w:val="BodyText"/>
        <w:widowControl/>
        <w:ind w:left="0"/>
        <w:jc w:val="both"/>
        <w:rPr>
          <w:lang w:val="hr-HR"/>
        </w:rPr>
      </w:pPr>
      <w:r w:rsidRPr="00D6167B">
        <w:rPr>
          <w:lang w:val="hr-HR"/>
        </w:rPr>
        <w:t>Nije sprovedeno nijedno ispitivanje da bi se istražila farmakokinetika bevacizumaba u populaciji pacijenata sa hepatičkom insuficijencijom, jer jetra nije glavni organ metabolizma i ekskrecije bevacizumaba.</w:t>
      </w:r>
    </w:p>
    <w:p w14:paraId="4E0C399E" w14:textId="77777777" w:rsidR="00D15122" w:rsidRPr="00D6167B" w:rsidRDefault="00D15122" w:rsidP="007608DF">
      <w:pPr>
        <w:widowControl/>
        <w:jc w:val="both"/>
        <w:rPr>
          <w:rFonts w:ascii="Times New Roman" w:eastAsia="Times New Roman" w:hAnsi="Times New Roman"/>
          <w:lang w:val="hr-HR"/>
        </w:rPr>
      </w:pPr>
    </w:p>
    <w:p w14:paraId="460B3CD6" w14:textId="77777777" w:rsidR="00D15122" w:rsidRPr="00D6167B" w:rsidRDefault="009B0756" w:rsidP="007608DF">
      <w:pPr>
        <w:keepNext/>
        <w:widowControl/>
        <w:spacing w:line="252" w:lineRule="exact"/>
        <w:jc w:val="both"/>
        <w:rPr>
          <w:rFonts w:ascii="Times New Roman" w:hAnsi="Times New Roman"/>
          <w:i/>
          <w:u w:val="single"/>
          <w:lang w:val="hr-HR"/>
        </w:rPr>
      </w:pPr>
      <w:r w:rsidRPr="00D6167B">
        <w:rPr>
          <w:rFonts w:ascii="Times New Roman" w:hAnsi="Times New Roman"/>
          <w:i/>
          <w:u w:val="single"/>
          <w:lang w:val="hr-HR"/>
        </w:rPr>
        <w:t>Pedijatrijska populacija</w:t>
      </w:r>
    </w:p>
    <w:p w14:paraId="3829C0CC" w14:textId="77777777" w:rsidR="00DF3692" w:rsidRPr="00D6167B" w:rsidRDefault="00DF3692" w:rsidP="007608DF">
      <w:pPr>
        <w:keepNext/>
        <w:widowControl/>
        <w:spacing w:line="252" w:lineRule="exact"/>
        <w:jc w:val="both"/>
        <w:rPr>
          <w:rFonts w:ascii="Times New Roman" w:eastAsia="Times New Roman" w:hAnsi="Times New Roman"/>
          <w:i/>
          <w:lang w:val="hr-HR"/>
        </w:rPr>
      </w:pPr>
    </w:p>
    <w:p w14:paraId="34D630E5" w14:textId="77777777" w:rsidR="00D15122" w:rsidRPr="00D6167B" w:rsidRDefault="009B0756" w:rsidP="007608DF">
      <w:pPr>
        <w:pStyle w:val="BodyText"/>
        <w:widowControl/>
        <w:ind w:left="0"/>
        <w:jc w:val="both"/>
        <w:rPr>
          <w:lang w:val="hr-HR"/>
        </w:rPr>
      </w:pPr>
      <w:r w:rsidRPr="00D6167B">
        <w:rPr>
          <w:lang w:val="hr-HR"/>
        </w:rPr>
        <w:t>Farmakokinetika bevacizumaba ispitivana je kod 152 djeteta, adolescenta i mlađe odrasle osobe (od 7 mjeseci do 21 godine, od 5,9 do 125 kg) u okviru 4 kliničke studije uz korišćenje farmakokinetičkog modela populacije. Dobijeni farmakokinetički podaci pokazuju da su klirens i volumen distribucije bevacizumaba slični kod pedijatrijskih i pacijenata koji su mlađe odrasle osobe kada se normalizuju prema tjelesnoj masi, s tim da izloženost ima silazni trend sa opadanjem tjelesne mase. Godine starosti nijesu povezane sa farmakokinetikom bevacizumaba kada se tjelesna masa uzme u obzir.</w:t>
      </w:r>
    </w:p>
    <w:p w14:paraId="181E926B" w14:textId="77777777" w:rsidR="00D15122" w:rsidRPr="00D6167B" w:rsidRDefault="00D15122" w:rsidP="007608DF">
      <w:pPr>
        <w:widowControl/>
        <w:jc w:val="both"/>
        <w:rPr>
          <w:rFonts w:ascii="Times New Roman" w:eastAsia="Times New Roman" w:hAnsi="Times New Roman"/>
          <w:lang w:val="hr-HR"/>
        </w:rPr>
      </w:pPr>
    </w:p>
    <w:p w14:paraId="67E3C273" w14:textId="6BEFA9DA" w:rsidR="00D15122" w:rsidRPr="00D6167B" w:rsidRDefault="009B0756" w:rsidP="007608DF">
      <w:pPr>
        <w:pStyle w:val="BodyText"/>
        <w:widowControl/>
        <w:ind w:left="0"/>
        <w:jc w:val="both"/>
        <w:rPr>
          <w:lang w:val="hr-HR"/>
        </w:rPr>
      </w:pPr>
      <w:r w:rsidRPr="00D6167B">
        <w:rPr>
          <w:lang w:val="hr-HR"/>
        </w:rPr>
        <w:t>Farmakokinetika bevacizumaba je dobro okarakterisana PK modelom pedijatrijske populacije za 70 pacijenata u studiji BO20924 (od 1,4 do 17,6 godina; od 11,6 do 77,5 kg) i 59 pacijenata u studiji BO25041 (od 1 do 17 godina; od 11,2 do 82,3 kg). U studiji BO20924, izloženost bevacizumabu je generalno bila niža u poređenju sa tipičnim odraslim pacijentom sa istom dozom. U studiji BO25041, izloženost bevacizumabu je bila slična u poređenju sa tipičnim odraslim pacijentom sa istom dozom. U ob</w:t>
      </w:r>
      <w:r w:rsidR="00A97CAB" w:rsidRPr="00D6167B">
        <w:rPr>
          <w:lang w:val="hr-HR"/>
        </w:rPr>
        <w:t>j</w:t>
      </w:r>
      <w:r w:rsidRPr="00D6167B">
        <w:rPr>
          <w:lang w:val="hr-HR"/>
        </w:rPr>
        <w:t>e studije je izloženost bevacizumaba imala silazni trend sa opadanjem tjelesne mase.</w:t>
      </w:r>
    </w:p>
    <w:p w14:paraId="27A79CBB" w14:textId="77777777" w:rsidR="00D15122" w:rsidRPr="00D6167B" w:rsidRDefault="00D15122" w:rsidP="007608DF">
      <w:pPr>
        <w:widowControl/>
        <w:jc w:val="both"/>
        <w:rPr>
          <w:rFonts w:ascii="Times New Roman" w:eastAsia="Times New Roman" w:hAnsi="Times New Roman"/>
          <w:lang w:val="hr-HR"/>
        </w:rPr>
      </w:pPr>
    </w:p>
    <w:p w14:paraId="64347B70" w14:textId="77777777" w:rsidR="00D15122" w:rsidRPr="00D6167B" w:rsidRDefault="009B0756" w:rsidP="007608DF">
      <w:pPr>
        <w:pStyle w:val="Heading1"/>
        <w:keepNext/>
        <w:widowControl/>
        <w:numPr>
          <w:ilvl w:val="1"/>
          <w:numId w:val="9"/>
        </w:numPr>
        <w:tabs>
          <w:tab w:val="left" w:pos="686"/>
        </w:tabs>
        <w:ind w:left="540" w:hanging="540"/>
        <w:jc w:val="both"/>
        <w:rPr>
          <w:bCs w:val="0"/>
          <w:lang w:val="hr-HR"/>
        </w:rPr>
      </w:pPr>
      <w:r w:rsidRPr="00D6167B">
        <w:rPr>
          <w:lang w:val="hr-HR"/>
        </w:rPr>
        <w:t>Pretklinički podaci o bezbjednosti</w:t>
      </w:r>
    </w:p>
    <w:p w14:paraId="4C7058CB" w14:textId="77777777" w:rsidR="00D15122" w:rsidRPr="00D6167B" w:rsidRDefault="00D15122" w:rsidP="007608DF">
      <w:pPr>
        <w:keepNext/>
        <w:widowControl/>
        <w:jc w:val="both"/>
        <w:rPr>
          <w:rFonts w:ascii="Times New Roman" w:eastAsia="Times New Roman" w:hAnsi="Times New Roman"/>
          <w:bCs/>
          <w:lang w:val="hr-HR"/>
        </w:rPr>
      </w:pPr>
    </w:p>
    <w:p w14:paraId="0D0B4D2C" w14:textId="6453F5A5" w:rsidR="00D15122" w:rsidRPr="00D6167B" w:rsidRDefault="009B0756" w:rsidP="007608DF">
      <w:pPr>
        <w:pStyle w:val="BodyText"/>
        <w:keepNext/>
        <w:widowControl/>
        <w:ind w:left="0"/>
        <w:jc w:val="both"/>
        <w:rPr>
          <w:lang w:val="hr-HR"/>
        </w:rPr>
      </w:pPr>
      <w:r w:rsidRPr="00D6167B">
        <w:rPr>
          <w:lang w:val="hr-HR"/>
        </w:rPr>
        <w:t>U studijama koje su trajale do 26 nedjelja kod cinomolgus majmuna, fizealna displazija je prim</w:t>
      </w:r>
      <w:r w:rsidR="001054C9" w:rsidRPr="00D6167B">
        <w:rPr>
          <w:lang w:val="hr-HR"/>
        </w:rPr>
        <w:t>i</w:t>
      </w:r>
      <w:r w:rsidRPr="00D6167B">
        <w:rPr>
          <w:lang w:val="hr-HR"/>
        </w:rPr>
        <w:t xml:space="preserve">jećena kod mladih životinja kod kojih postoji otvorena zona rasta kosti, pri prosječnim koncentracijama bevacizumaba u serumu ispod očekivanih terapijskih koncentracija u serumu čovjeka. Kod </w:t>
      </w:r>
      <w:r w:rsidR="002D29B3">
        <w:rPr>
          <w:lang w:val="hr-HR"/>
        </w:rPr>
        <w:t>kunića</w:t>
      </w:r>
      <w:r w:rsidRPr="00D6167B">
        <w:rPr>
          <w:lang w:val="hr-HR"/>
        </w:rPr>
        <w:t>, bevacizumab je pokazao inhibiranje zarastanja rana u dozama manjim od preporučene kliničke doze. Dejstvo na zarastanje rana pokazalo se potpuno reverzibilnim.</w:t>
      </w:r>
    </w:p>
    <w:p w14:paraId="059C5A45" w14:textId="77777777" w:rsidR="00D15122" w:rsidRPr="00D6167B" w:rsidRDefault="00D15122" w:rsidP="007608DF">
      <w:pPr>
        <w:widowControl/>
        <w:jc w:val="both"/>
        <w:rPr>
          <w:rFonts w:ascii="Times New Roman" w:eastAsia="Times New Roman" w:hAnsi="Times New Roman"/>
          <w:lang w:val="hr-HR"/>
        </w:rPr>
      </w:pPr>
    </w:p>
    <w:p w14:paraId="5A3FAEE7" w14:textId="77777777" w:rsidR="00D15122" w:rsidRPr="00D6167B" w:rsidRDefault="009B0756" w:rsidP="007608DF">
      <w:pPr>
        <w:pStyle w:val="BodyText"/>
        <w:widowControl/>
        <w:ind w:left="0"/>
        <w:jc w:val="both"/>
        <w:rPr>
          <w:lang w:val="hr-HR"/>
        </w:rPr>
      </w:pPr>
      <w:r w:rsidRPr="00D6167B">
        <w:rPr>
          <w:lang w:val="hr-HR"/>
        </w:rPr>
        <w:t>Studije u cilju procjene mutagenog i karcinogenog potencijala bevacizumaba nijesu sprovođene.</w:t>
      </w:r>
    </w:p>
    <w:p w14:paraId="5825C9B4" w14:textId="77777777" w:rsidR="00D15122" w:rsidRPr="00D6167B" w:rsidRDefault="00D15122" w:rsidP="007608DF">
      <w:pPr>
        <w:widowControl/>
        <w:jc w:val="both"/>
        <w:rPr>
          <w:rFonts w:ascii="Times New Roman" w:eastAsia="Times New Roman" w:hAnsi="Times New Roman"/>
          <w:lang w:val="hr-HR"/>
        </w:rPr>
      </w:pPr>
    </w:p>
    <w:p w14:paraId="3CB7ECE9" w14:textId="77777777" w:rsidR="00AE72E3" w:rsidRPr="00D6167B" w:rsidRDefault="009B0756" w:rsidP="007608DF">
      <w:pPr>
        <w:pStyle w:val="BodyText"/>
        <w:widowControl/>
        <w:ind w:left="0"/>
        <w:jc w:val="both"/>
        <w:rPr>
          <w:lang w:val="hr-HR"/>
        </w:rPr>
      </w:pPr>
      <w:r w:rsidRPr="00D6167B">
        <w:rPr>
          <w:lang w:val="hr-HR"/>
        </w:rPr>
        <w:t>Nijesu sprovedene ni specifične studije na životinjama u cilju procjene dejstva na fertilnost. Međutim, neželjeno dejstvo na fertilnost žena se može očekivati jer su ponovljene studije ispitivanja toksičnosti doza kod životinja pokazale inhibiciju maturacije ovarijalnih folikula i smanjenje/odsustvo žutog tjelašca i prateće smanjenje težine jajnika i materice, kao i smanjenje broja menstrualnih ciklusa.</w:t>
      </w:r>
    </w:p>
    <w:p w14:paraId="77087D69" w14:textId="77777777" w:rsidR="00AE72E3" w:rsidRPr="00D6167B" w:rsidRDefault="00AE72E3" w:rsidP="007608DF">
      <w:pPr>
        <w:pStyle w:val="BodyText"/>
        <w:widowControl/>
        <w:ind w:left="0"/>
        <w:jc w:val="both"/>
        <w:rPr>
          <w:lang w:val="hr-HR"/>
        </w:rPr>
      </w:pPr>
    </w:p>
    <w:p w14:paraId="1BC00C06" w14:textId="30337280" w:rsidR="00D15122" w:rsidRPr="00D6167B" w:rsidRDefault="009B0756" w:rsidP="007608DF">
      <w:pPr>
        <w:pStyle w:val="BodyText"/>
        <w:widowControl/>
        <w:ind w:left="0"/>
        <w:jc w:val="both"/>
        <w:rPr>
          <w:lang w:val="hr-HR"/>
        </w:rPr>
      </w:pPr>
      <w:r w:rsidRPr="00D6167B">
        <w:rPr>
          <w:lang w:val="hr-HR"/>
        </w:rPr>
        <w:t xml:space="preserve">Pokazalo se da bevacizumab ima embriotoksično i teratogeno dejstvo kada se daje </w:t>
      </w:r>
      <w:r w:rsidR="002D29B3">
        <w:rPr>
          <w:lang w:val="hr-HR"/>
        </w:rPr>
        <w:t>kunićima</w:t>
      </w:r>
      <w:r w:rsidRPr="00D6167B">
        <w:rPr>
          <w:lang w:val="hr-HR"/>
        </w:rPr>
        <w:t>. Zabilježena dejstva uključuju smanjenje težine majke i fetusa, povećani broj fetusnih resorpcija i povećanu incidenciju specifičnih makro i skeletnih malformacija fetusa. Neželjeni ishodi za fetuse su prim</w:t>
      </w:r>
      <w:r w:rsidR="001054C9" w:rsidRPr="00D6167B">
        <w:rPr>
          <w:lang w:val="hr-HR"/>
        </w:rPr>
        <w:t>i</w:t>
      </w:r>
      <w:r w:rsidRPr="00D6167B">
        <w:rPr>
          <w:lang w:val="hr-HR"/>
        </w:rPr>
        <w:t>jećeni pri svim ispitivanim dozama, od kojih je najniža doza dovodila do prosječnih koncentracija u serumu koje su oko 3 puta veće nego kod ljudi koji su dobijali 5 mg/kg svake 2 nedjelje. Informacije o malformacijama fetusa koje su prim</w:t>
      </w:r>
      <w:r w:rsidR="001054C9" w:rsidRPr="00D6167B">
        <w:rPr>
          <w:lang w:val="hr-HR"/>
        </w:rPr>
        <w:t>i</w:t>
      </w:r>
      <w:r w:rsidRPr="00D6167B">
        <w:rPr>
          <w:lang w:val="hr-HR"/>
        </w:rPr>
        <w:t xml:space="preserve">jećene nakon stavljanja lijeka u promet navedene su u </w:t>
      </w:r>
      <w:r w:rsidR="00B92E27">
        <w:rPr>
          <w:lang w:val="hr-HR"/>
        </w:rPr>
        <w:t>djelovima</w:t>
      </w:r>
      <w:r w:rsidR="00B92E27" w:rsidRPr="00D6167B">
        <w:rPr>
          <w:lang w:val="hr-HR"/>
        </w:rPr>
        <w:t xml:space="preserve"> </w:t>
      </w:r>
      <w:r w:rsidRPr="00D6167B">
        <w:rPr>
          <w:lang w:val="hr-HR"/>
        </w:rPr>
        <w:t>4.6. Plodnost, trudnoća i dojenje i 4.8. Neželjena dejstva.</w:t>
      </w:r>
    </w:p>
    <w:p w14:paraId="319A04CB" w14:textId="77777777" w:rsidR="00D15122" w:rsidRPr="00D6167B" w:rsidRDefault="00D15122" w:rsidP="007608DF">
      <w:pPr>
        <w:widowControl/>
        <w:jc w:val="both"/>
        <w:rPr>
          <w:rFonts w:ascii="Times New Roman" w:eastAsia="Times New Roman" w:hAnsi="Times New Roman"/>
          <w:lang w:val="hr-HR"/>
        </w:rPr>
      </w:pPr>
    </w:p>
    <w:p w14:paraId="7CB6A593" w14:textId="77777777" w:rsidR="001F6294" w:rsidRPr="00D6167B" w:rsidRDefault="001F6294" w:rsidP="007608DF">
      <w:pPr>
        <w:widowControl/>
        <w:jc w:val="both"/>
        <w:rPr>
          <w:rFonts w:ascii="Times New Roman" w:eastAsia="Times New Roman" w:hAnsi="Times New Roman"/>
          <w:lang w:val="hr-HR"/>
        </w:rPr>
      </w:pPr>
    </w:p>
    <w:p w14:paraId="05FB03B3"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6.</w:t>
      </w:r>
      <w:r w:rsidRPr="00D6167B">
        <w:rPr>
          <w:lang w:val="hr-HR"/>
        </w:rPr>
        <w:tab/>
        <w:t>FARMACEUTSKI PODACI</w:t>
      </w:r>
    </w:p>
    <w:p w14:paraId="09C990EB" w14:textId="77777777" w:rsidR="00D15122" w:rsidRPr="00D6167B" w:rsidRDefault="00D15122" w:rsidP="007608DF">
      <w:pPr>
        <w:keepNext/>
        <w:widowControl/>
        <w:jc w:val="both"/>
        <w:rPr>
          <w:rFonts w:ascii="Times New Roman" w:eastAsia="Times New Roman" w:hAnsi="Times New Roman"/>
          <w:bCs/>
          <w:sz w:val="21"/>
          <w:szCs w:val="21"/>
          <w:lang w:val="hr-HR"/>
        </w:rPr>
      </w:pPr>
    </w:p>
    <w:p w14:paraId="14C94544" w14:textId="77777777" w:rsidR="00D15122" w:rsidRPr="00D6167B" w:rsidRDefault="003E4A60" w:rsidP="007608DF">
      <w:pPr>
        <w:keepNext/>
        <w:widowControl/>
        <w:tabs>
          <w:tab w:val="left" w:pos="685"/>
        </w:tabs>
        <w:jc w:val="both"/>
        <w:rPr>
          <w:rFonts w:ascii="Times New Roman" w:eastAsia="Times New Roman" w:hAnsi="Times New Roman"/>
          <w:b/>
          <w:lang w:val="hr-HR"/>
        </w:rPr>
      </w:pPr>
      <w:r w:rsidRPr="00D6167B">
        <w:rPr>
          <w:rFonts w:ascii="Times New Roman" w:hAnsi="Times New Roman"/>
          <w:b/>
          <w:lang w:val="hr-HR"/>
        </w:rPr>
        <w:t>6.1</w:t>
      </w:r>
      <w:r w:rsidRPr="00D6167B">
        <w:rPr>
          <w:rFonts w:ascii="Times New Roman" w:hAnsi="Times New Roman"/>
          <w:b/>
          <w:lang w:val="hr-HR"/>
        </w:rPr>
        <w:tab/>
        <w:t>Lista pomoćnih supstanci (ekscipijenasa)</w:t>
      </w:r>
    </w:p>
    <w:p w14:paraId="0872F688" w14:textId="77777777" w:rsidR="00D15122" w:rsidRPr="00D6167B" w:rsidRDefault="00D15122" w:rsidP="007608DF">
      <w:pPr>
        <w:keepNext/>
        <w:widowControl/>
        <w:jc w:val="both"/>
        <w:rPr>
          <w:rFonts w:ascii="Times New Roman" w:eastAsia="Times New Roman" w:hAnsi="Times New Roman"/>
          <w:bCs/>
          <w:sz w:val="21"/>
          <w:szCs w:val="21"/>
          <w:lang w:val="hr-HR"/>
        </w:rPr>
      </w:pPr>
    </w:p>
    <w:p w14:paraId="3D68750E" w14:textId="77777777" w:rsidR="00A77FB6" w:rsidRPr="00D6167B" w:rsidRDefault="00A77FB6" w:rsidP="007608DF">
      <w:pPr>
        <w:keepNext/>
        <w:widowControl/>
        <w:autoSpaceDE w:val="0"/>
        <w:autoSpaceDN w:val="0"/>
        <w:adjustRightInd w:val="0"/>
        <w:jc w:val="both"/>
        <w:rPr>
          <w:rFonts w:ascii="Times New Roman" w:hAnsi="Times New Roman"/>
          <w:lang w:val="hr-HR"/>
        </w:rPr>
      </w:pPr>
      <w:r w:rsidRPr="00D6167B">
        <w:rPr>
          <w:rFonts w:ascii="Times New Roman" w:hAnsi="Times New Roman"/>
          <w:lang w:val="hr-HR"/>
        </w:rPr>
        <w:t>Saharoza</w:t>
      </w:r>
    </w:p>
    <w:p w14:paraId="6B5F7605" w14:textId="77777777" w:rsidR="00A77FB6" w:rsidRPr="00D6167B" w:rsidRDefault="00A77FB6" w:rsidP="007608DF">
      <w:pPr>
        <w:widowControl/>
        <w:autoSpaceDE w:val="0"/>
        <w:autoSpaceDN w:val="0"/>
        <w:adjustRightInd w:val="0"/>
        <w:jc w:val="both"/>
        <w:rPr>
          <w:rFonts w:ascii="Times New Roman" w:hAnsi="Times New Roman"/>
          <w:lang w:val="hr-HR"/>
        </w:rPr>
      </w:pPr>
      <w:r w:rsidRPr="00D6167B">
        <w:rPr>
          <w:rFonts w:ascii="Times New Roman" w:hAnsi="Times New Roman"/>
          <w:lang w:val="hr-HR"/>
        </w:rPr>
        <w:t>Sukcinska kiselina</w:t>
      </w:r>
    </w:p>
    <w:p w14:paraId="483F9926" w14:textId="77777777" w:rsidR="00A77FB6" w:rsidRPr="00D6167B" w:rsidRDefault="00A6040A" w:rsidP="007608DF">
      <w:pPr>
        <w:widowControl/>
        <w:autoSpaceDE w:val="0"/>
        <w:autoSpaceDN w:val="0"/>
        <w:adjustRightInd w:val="0"/>
        <w:jc w:val="both"/>
        <w:rPr>
          <w:rFonts w:ascii="Times New Roman" w:hAnsi="Times New Roman"/>
          <w:lang w:val="hr-HR"/>
        </w:rPr>
      </w:pPr>
      <w:r w:rsidRPr="00D6167B">
        <w:rPr>
          <w:rFonts w:ascii="Times New Roman" w:hAnsi="Times New Roman"/>
          <w:lang w:val="hr-HR"/>
        </w:rPr>
        <w:t>Dinatrijum edetat</w:t>
      </w:r>
    </w:p>
    <w:p w14:paraId="4AE3200B" w14:textId="77777777" w:rsidR="00A77FB6" w:rsidRPr="00D6167B" w:rsidRDefault="00A77FB6" w:rsidP="007608DF">
      <w:pPr>
        <w:widowControl/>
        <w:autoSpaceDE w:val="0"/>
        <w:autoSpaceDN w:val="0"/>
        <w:adjustRightInd w:val="0"/>
        <w:jc w:val="both"/>
        <w:rPr>
          <w:rFonts w:ascii="Times New Roman" w:hAnsi="Times New Roman"/>
          <w:lang w:val="hr-HR"/>
        </w:rPr>
      </w:pPr>
      <w:r w:rsidRPr="00D6167B">
        <w:rPr>
          <w:rFonts w:ascii="Times New Roman" w:hAnsi="Times New Roman"/>
          <w:lang w:val="hr-HR"/>
        </w:rPr>
        <w:t>Polisorbat 80</w:t>
      </w:r>
    </w:p>
    <w:p w14:paraId="06512CA7" w14:textId="77777777" w:rsidR="00601726" w:rsidRPr="00D6167B" w:rsidRDefault="00601726" w:rsidP="007608DF">
      <w:pPr>
        <w:widowControl/>
        <w:autoSpaceDE w:val="0"/>
        <w:autoSpaceDN w:val="0"/>
        <w:jc w:val="both"/>
        <w:rPr>
          <w:rFonts w:ascii="Times New Roman" w:hAnsi="Times New Roman"/>
          <w:lang w:val="hr-HR"/>
        </w:rPr>
      </w:pPr>
      <w:r w:rsidRPr="00D6167B">
        <w:rPr>
          <w:rFonts w:ascii="Times New Roman" w:hAnsi="Times New Roman"/>
          <w:lang w:val="hr-HR"/>
        </w:rPr>
        <w:t>Natrijum</w:t>
      </w:r>
      <w:r w:rsidR="00D85D2F" w:rsidRPr="00D6167B">
        <w:rPr>
          <w:rFonts w:ascii="Times New Roman" w:hAnsi="Times New Roman"/>
          <w:lang w:val="hr-HR"/>
        </w:rPr>
        <w:t xml:space="preserve"> </w:t>
      </w:r>
      <w:r w:rsidRPr="00D6167B">
        <w:rPr>
          <w:rFonts w:ascii="Times New Roman" w:hAnsi="Times New Roman"/>
          <w:lang w:val="hr-HR"/>
        </w:rPr>
        <w:t>hidroksid (za regulaciju pH)</w:t>
      </w:r>
    </w:p>
    <w:p w14:paraId="732AB04C" w14:textId="77777777" w:rsidR="00A77FB6" w:rsidRPr="00D6167B" w:rsidRDefault="00A77FB6" w:rsidP="007608DF">
      <w:pPr>
        <w:widowControl/>
        <w:jc w:val="both"/>
        <w:rPr>
          <w:lang w:val="hr-HR"/>
        </w:rPr>
      </w:pPr>
      <w:r w:rsidRPr="00D6167B">
        <w:rPr>
          <w:rFonts w:ascii="Times New Roman" w:hAnsi="Times New Roman"/>
          <w:lang w:val="hr-HR"/>
        </w:rPr>
        <w:t>Voda za injekcije</w:t>
      </w:r>
    </w:p>
    <w:p w14:paraId="47BA4533" w14:textId="77777777" w:rsidR="00182387" w:rsidRPr="00D6167B" w:rsidRDefault="00182387" w:rsidP="007608DF">
      <w:pPr>
        <w:pStyle w:val="Heading1"/>
        <w:widowControl/>
        <w:tabs>
          <w:tab w:val="left" w:pos="685"/>
        </w:tabs>
        <w:ind w:left="0"/>
        <w:jc w:val="both"/>
        <w:rPr>
          <w:lang w:val="hr-HR"/>
        </w:rPr>
      </w:pPr>
    </w:p>
    <w:p w14:paraId="4FFD9D74"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lastRenderedPageBreak/>
        <w:t>6.2</w:t>
      </w:r>
      <w:r w:rsidRPr="00D6167B">
        <w:rPr>
          <w:lang w:val="hr-HR"/>
        </w:rPr>
        <w:tab/>
        <w:t>Inkompatibilnosti</w:t>
      </w:r>
    </w:p>
    <w:p w14:paraId="4F8E4282" w14:textId="77777777" w:rsidR="00D15122" w:rsidRPr="00D6167B" w:rsidRDefault="00D15122" w:rsidP="007608DF">
      <w:pPr>
        <w:keepNext/>
        <w:widowControl/>
        <w:jc w:val="both"/>
        <w:rPr>
          <w:rFonts w:ascii="Times New Roman" w:eastAsia="Times New Roman" w:hAnsi="Times New Roman"/>
          <w:bCs/>
          <w:lang w:val="hr-HR"/>
        </w:rPr>
      </w:pPr>
    </w:p>
    <w:p w14:paraId="1F9A4720" w14:textId="40BC77BC" w:rsidR="00D15122" w:rsidRPr="00D6167B" w:rsidRDefault="009B0756" w:rsidP="007608DF">
      <w:pPr>
        <w:pStyle w:val="BodyText"/>
        <w:keepNext/>
        <w:widowControl/>
        <w:ind w:left="0"/>
        <w:jc w:val="both"/>
        <w:rPr>
          <w:lang w:val="hr-HR"/>
        </w:rPr>
      </w:pPr>
      <w:r w:rsidRPr="00D6167B">
        <w:rPr>
          <w:lang w:val="hr-HR"/>
        </w:rPr>
        <w:t xml:space="preserve">Ovaj lijek se ne smije miješati s drugim ljekovima, osim sa onima koji su navedeni u </w:t>
      </w:r>
      <w:r w:rsidR="00B92E27">
        <w:rPr>
          <w:lang w:val="hr-HR"/>
        </w:rPr>
        <w:t>dijelu</w:t>
      </w:r>
      <w:r w:rsidR="00B92E27" w:rsidRPr="00D6167B">
        <w:rPr>
          <w:lang w:val="hr-HR"/>
        </w:rPr>
        <w:t> </w:t>
      </w:r>
      <w:r w:rsidRPr="00D6167B">
        <w:rPr>
          <w:lang w:val="hr-HR"/>
        </w:rPr>
        <w:t>6.6.</w:t>
      </w:r>
    </w:p>
    <w:p w14:paraId="7CA75E8E" w14:textId="77777777" w:rsidR="00D15122" w:rsidRPr="00D6167B" w:rsidRDefault="00D15122" w:rsidP="007608DF">
      <w:pPr>
        <w:widowControl/>
        <w:jc w:val="both"/>
        <w:rPr>
          <w:rFonts w:ascii="Times New Roman" w:eastAsia="Times New Roman" w:hAnsi="Times New Roman"/>
          <w:lang w:val="hr-HR"/>
        </w:rPr>
      </w:pPr>
    </w:p>
    <w:p w14:paraId="3BE355D0" w14:textId="77777777" w:rsidR="00D15122" w:rsidRPr="00D6167B" w:rsidRDefault="009B0756" w:rsidP="007608DF">
      <w:pPr>
        <w:pStyle w:val="BodyText"/>
        <w:widowControl/>
        <w:ind w:left="0"/>
        <w:jc w:val="both"/>
        <w:rPr>
          <w:lang w:val="hr-HR"/>
        </w:rPr>
      </w:pPr>
      <w:r w:rsidRPr="00D6167B">
        <w:rPr>
          <w:lang w:val="hr-HR"/>
        </w:rPr>
        <w:t>Profil razgradnje bevacizumaba koji zavisi od koncentracije zabilježen je kada se bevacizumab razblažuje rastvorima glukoze (5%).</w:t>
      </w:r>
    </w:p>
    <w:p w14:paraId="1B5FD984" w14:textId="77777777" w:rsidR="00D15122" w:rsidRPr="00D6167B" w:rsidRDefault="00D15122" w:rsidP="007608DF">
      <w:pPr>
        <w:widowControl/>
        <w:jc w:val="both"/>
        <w:rPr>
          <w:rFonts w:ascii="Times New Roman" w:eastAsia="Times New Roman" w:hAnsi="Times New Roman"/>
          <w:lang w:val="hr-HR"/>
        </w:rPr>
      </w:pPr>
    </w:p>
    <w:p w14:paraId="47286555" w14:textId="77777777" w:rsidR="00D15122" w:rsidRPr="00D6167B" w:rsidRDefault="003E4A60" w:rsidP="007608DF">
      <w:pPr>
        <w:pStyle w:val="Heading1"/>
        <w:keepNext/>
        <w:widowControl/>
        <w:tabs>
          <w:tab w:val="left" w:pos="685"/>
        </w:tabs>
        <w:ind w:left="0"/>
        <w:jc w:val="both"/>
        <w:rPr>
          <w:b w:val="0"/>
          <w:lang w:val="hr-HR"/>
        </w:rPr>
      </w:pPr>
      <w:r w:rsidRPr="00D6167B">
        <w:rPr>
          <w:lang w:val="hr-HR"/>
        </w:rPr>
        <w:t>6.3</w:t>
      </w:r>
      <w:r w:rsidRPr="00D6167B">
        <w:rPr>
          <w:lang w:val="hr-HR"/>
        </w:rPr>
        <w:tab/>
        <w:t>Rok upotrebe</w:t>
      </w:r>
    </w:p>
    <w:p w14:paraId="73C4598C" w14:textId="77777777" w:rsidR="00A61918" w:rsidRPr="00D6167B" w:rsidRDefault="00A61918" w:rsidP="007608DF">
      <w:pPr>
        <w:keepNext/>
        <w:widowControl/>
        <w:jc w:val="both"/>
        <w:rPr>
          <w:rFonts w:ascii="Times New Roman" w:eastAsia="Times New Roman" w:hAnsi="Times New Roman"/>
          <w:bCs/>
          <w:lang w:val="hr-HR"/>
        </w:rPr>
      </w:pPr>
    </w:p>
    <w:p w14:paraId="4EAC50BC" w14:textId="77777777" w:rsidR="00D15122" w:rsidRPr="00D6167B" w:rsidRDefault="009B0756" w:rsidP="007608DF">
      <w:pPr>
        <w:pStyle w:val="BodyText"/>
        <w:keepNext/>
        <w:widowControl/>
        <w:ind w:left="0"/>
        <w:jc w:val="both"/>
        <w:rPr>
          <w:lang w:val="hr-HR"/>
        </w:rPr>
      </w:pPr>
      <w:r w:rsidRPr="00D6167B">
        <w:rPr>
          <w:u w:val="single" w:color="000000"/>
          <w:lang w:val="hr-HR"/>
        </w:rPr>
        <w:t>Bočica (neotvorena)</w:t>
      </w:r>
    </w:p>
    <w:p w14:paraId="43A22652" w14:textId="77777777" w:rsidR="00D15122" w:rsidRPr="00D6167B" w:rsidRDefault="00D15122" w:rsidP="007608DF">
      <w:pPr>
        <w:keepNext/>
        <w:widowControl/>
        <w:jc w:val="both"/>
        <w:rPr>
          <w:rFonts w:ascii="Times New Roman" w:eastAsia="Times New Roman" w:hAnsi="Times New Roman"/>
          <w:lang w:val="hr-HR"/>
        </w:rPr>
      </w:pPr>
    </w:p>
    <w:p w14:paraId="3EA4F274" w14:textId="77777777" w:rsidR="00D15122" w:rsidRPr="00D6167B" w:rsidRDefault="00884809" w:rsidP="007608DF">
      <w:pPr>
        <w:pStyle w:val="BodyText"/>
        <w:widowControl/>
        <w:ind w:left="0"/>
        <w:jc w:val="both"/>
        <w:rPr>
          <w:lang w:val="hr-HR"/>
        </w:rPr>
      </w:pPr>
      <w:r w:rsidRPr="00D6167B">
        <w:rPr>
          <w:lang w:val="hr-HR"/>
        </w:rPr>
        <w:t>3 godine.</w:t>
      </w:r>
    </w:p>
    <w:p w14:paraId="58F61DBD" w14:textId="77777777" w:rsidR="00A61918" w:rsidRPr="00D6167B" w:rsidRDefault="00A61918" w:rsidP="007608DF">
      <w:pPr>
        <w:widowControl/>
        <w:jc w:val="both"/>
        <w:rPr>
          <w:rFonts w:ascii="Times New Roman" w:eastAsia="Times New Roman" w:hAnsi="Times New Roman"/>
          <w:lang w:val="hr-HR"/>
        </w:rPr>
      </w:pPr>
    </w:p>
    <w:p w14:paraId="74DFAE14" w14:textId="77777777" w:rsidR="00D15122" w:rsidRPr="00D6167B" w:rsidRDefault="009B0756" w:rsidP="007608DF">
      <w:pPr>
        <w:pStyle w:val="BodyText"/>
        <w:keepNext/>
        <w:widowControl/>
        <w:ind w:left="0"/>
        <w:jc w:val="both"/>
        <w:rPr>
          <w:lang w:val="hr-HR"/>
        </w:rPr>
      </w:pPr>
      <w:r w:rsidRPr="00D6167B">
        <w:rPr>
          <w:u w:val="single" w:color="000000"/>
          <w:lang w:val="hr-HR"/>
        </w:rPr>
        <w:t>Razrijeđeni medicinski proizvod</w:t>
      </w:r>
    </w:p>
    <w:p w14:paraId="44262DFA" w14:textId="77777777" w:rsidR="00D15122" w:rsidRPr="00D6167B" w:rsidRDefault="00D15122" w:rsidP="007608DF">
      <w:pPr>
        <w:keepNext/>
        <w:widowControl/>
        <w:jc w:val="both"/>
        <w:rPr>
          <w:rFonts w:ascii="Times New Roman" w:eastAsia="Times New Roman" w:hAnsi="Times New Roman"/>
          <w:lang w:val="hr-HR"/>
        </w:rPr>
      </w:pPr>
    </w:p>
    <w:p w14:paraId="07BE9B47" w14:textId="77777777" w:rsidR="00D15122" w:rsidRPr="00D6167B" w:rsidRDefault="009B0756" w:rsidP="007608DF">
      <w:pPr>
        <w:pStyle w:val="BodyText"/>
        <w:widowControl/>
        <w:ind w:left="0"/>
        <w:jc w:val="both"/>
        <w:rPr>
          <w:lang w:val="hr-HR"/>
        </w:rPr>
      </w:pPr>
      <w:r w:rsidRPr="00D6167B">
        <w:rPr>
          <w:lang w:val="hr-HR"/>
        </w:rPr>
        <w:t>Hemijska i fizička stabilnost kod upotrebe dokazane su za period od najviše 35 dana na temperaturi 2 °C do 8 °C nakon rastvaranja i za period do 48 sati na temperaturama koje ne premašuju 30 °C u rastvoru natrijum</w:t>
      </w:r>
      <w:r w:rsidR="00D85D2F" w:rsidRPr="00D6167B">
        <w:rPr>
          <w:lang w:val="hr-HR"/>
        </w:rPr>
        <w:t xml:space="preserve"> </w:t>
      </w:r>
      <w:r w:rsidRPr="00D6167B">
        <w:rPr>
          <w:lang w:val="hr-HR"/>
        </w:rPr>
        <w:t>hlorida 9 mg/ml (0,9%) za injekcije. Iz mikrobiološke perspektive, lijek se mora odmah prim</w:t>
      </w:r>
      <w:r w:rsidR="00A97CAB" w:rsidRPr="00D6167B">
        <w:rPr>
          <w:lang w:val="hr-HR"/>
        </w:rPr>
        <w:t>i</w:t>
      </w:r>
      <w:r w:rsidRPr="00D6167B">
        <w:rPr>
          <w:lang w:val="hr-HR"/>
        </w:rPr>
        <w:t>jeniti. Ako se ne upotrijebi odmah, vrijeme čuvanja i uslovi tokom upotrebe su odgovornost korisnika i ne bi trebalo da budu duži od 24 sata na temperaturi od 2 °C do 8 °C, osim ukoliko razblaživanje nije izvršeno u kontrolisanim i validiranim aseptičnim uslovima.</w:t>
      </w:r>
    </w:p>
    <w:p w14:paraId="3657A2E6" w14:textId="77777777" w:rsidR="00D15122" w:rsidRPr="00D6167B" w:rsidRDefault="00D15122" w:rsidP="007608DF">
      <w:pPr>
        <w:widowControl/>
        <w:jc w:val="both"/>
        <w:rPr>
          <w:rFonts w:ascii="Times New Roman" w:eastAsia="Times New Roman" w:hAnsi="Times New Roman"/>
          <w:lang w:val="hr-HR"/>
        </w:rPr>
      </w:pPr>
    </w:p>
    <w:p w14:paraId="5B111C8E"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6.4</w:t>
      </w:r>
      <w:r w:rsidRPr="00D6167B">
        <w:rPr>
          <w:lang w:val="hr-HR"/>
        </w:rPr>
        <w:tab/>
        <w:t>Posebne mjere upozorenja pri čuvanju lijeka</w:t>
      </w:r>
    </w:p>
    <w:p w14:paraId="3A816CF8" w14:textId="77777777" w:rsidR="00D15122" w:rsidRPr="00D6167B" w:rsidRDefault="00D15122" w:rsidP="007608DF">
      <w:pPr>
        <w:keepNext/>
        <w:widowControl/>
        <w:jc w:val="both"/>
        <w:rPr>
          <w:rFonts w:ascii="Times New Roman" w:eastAsia="Times New Roman" w:hAnsi="Times New Roman"/>
          <w:bCs/>
          <w:lang w:val="hr-HR"/>
        </w:rPr>
      </w:pPr>
    </w:p>
    <w:p w14:paraId="123E49D4" w14:textId="77777777" w:rsidR="00884809" w:rsidRPr="00D6167B" w:rsidRDefault="009B0756" w:rsidP="007608DF">
      <w:pPr>
        <w:pStyle w:val="BodyText"/>
        <w:widowControl/>
        <w:ind w:left="0"/>
        <w:jc w:val="both"/>
        <w:rPr>
          <w:lang w:val="hr-HR"/>
        </w:rPr>
      </w:pPr>
      <w:r w:rsidRPr="00D6167B">
        <w:rPr>
          <w:lang w:val="hr-HR"/>
        </w:rPr>
        <w:t>Čuvajte u frižideru (2 °C - 8 °C).</w:t>
      </w:r>
    </w:p>
    <w:p w14:paraId="7AA2F46C" w14:textId="77777777" w:rsidR="00D15122" w:rsidRPr="00D6167B" w:rsidRDefault="009B0756" w:rsidP="007608DF">
      <w:pPr>
        <w:pStyle w:val="BodyText"/>
        <w:widowControl/>
        <w:ind w:left="0"/>
        <w:jc w:val="both"/>
        <w:rPr>
          <w:lang w:val="hr-HR"/>
        </w:rPr>
      </w:pPr>
      <w:r w:rsidRPr="00D6167B">
        <w:rPr>
          <w:lang w:val="hr-HR"/>
        </w:rPr>
        <w:t>Ne zamrzavajte.</w:t>
      </w:r>
    </w:p>
    <w:p w14:paraId="5887CC18" w14:textId="77777777" w:rsidR="00D15122" w:rsidRPr="00D6167B" w:rsidRDefault="009B0756" w:rsidP="007608DF">
      <w:pPr>
        <w:pStyle w:val="BodyText"/>
        <w:widowControl/>
        <w:ind w:left="0"/>
        <w:jc w:val="both"/>
        <w:rPr>
          <w:lang w:val="hr-HR"/>
        </w:rPr>
      </w:pPr>
      <w:r w:rsidRPr="00D6167B">
        <w:rPr>
          <w:lang w:val="hr-HR"/>
        </w:rPr>
        <w:t>Držite bočicu u spoljnom pakovanju kako biste je zaštitili od svjetlosti.</w:t>
      </w:r>
    </w:p>
    <w:p w14:paraId="6CAD8E1B" w14:textId="77777777" w:rsidR="00D15122" w:rsidRPr="00D6167B" w:rsidRDefault="00D15122" w:rsidP="007608DF">
      <w:pPr>
        <w:widowControl/>
        <w:jc w:val="both"/>
        <w:rPr>
          <w:rFonts w:ascii="Times New Roman" w:eastAsia="Times New Roman" w:hAnsi="Times New Roman"/>
          <w:lang w:val="hr-HR"/>
        </w:rPr>
      </w:pPr>
    </w:p>
    <w:p w14:paraId="59319665" w14:textId="1DDECFBD" w:rsidR="00D15122" w:rsidRPr="00D6167B" w:rsidRDefault="009B0756" w:rsidP="007608DF">
      <w:pPr>
        <w:pStyle w:val="BodyText"/>
        <w:widowControl/>
        <w:ind w:left="0"/>
        <w:jc w:val="both"/>
        <w:rPr>
          <w:lang w:val="hr-HR"/>
        </w:rPr>
      </w:pPr>
      <w:r w:rsidRPr="00D6167B">
        <w:rPr>
          <w:lang w:val="hr-HR"/>
        </w:rPr>
        <w:t xml:space="preserve">Za uslove čuvanja nakon razblaživanja </w:t>
      </w:r>
      <w:r w:rsidR="006022EF">
        <w:rPr>
          <w:lang w:val="hr-HR"/>
        </w:rPr>
        <w:t>lijeka</w:t>
      </w:r>
      <w:r w:rsidRPr="00D6167B">
        <w:rPr>
          <w:lang w:val="hr-HR"/>
        </w:rPr>
        <w:t xml:space="preserve"> pogledajte </w:t>
      </w:r>
      <w:r w:rsidR="00EA7D3C" w:rsidRPr="00D6167B">
        <w:rPr>
          <w:lang w:val="hr-HR"/>
        </w:rPr>
        <w:t>dio </w:t>
      </w:r>
      <w:r w:rsidRPr="00D6167B">
        <w:rPr>
          <w:lang w:val="hr-HR"/>
        </w:rPr>
        <w:t>6.3.</w:t>
      </w:r>
    </w:p>
    <w:p w14:paraId="5E6392CE" w14:textId="77777777" w:rsidR="00D15122" w:rsidRPr="00D6167B" w:rsidRDefault="00D15122" w:rsidP="007608DF">
      <w:pPr>
        <w:widowControl/>
        <w:jc w:val="both"/>
        <w:rPr>
          <w:rFonts w:ascii="Times New Roman" w:eastAsia="Times New Roman" w:hAnsi="Times New Roman"/>
          <w:lang w:val="hr-HR"/>
        </w:rPr>
      </w:pPr>
    </w:p>
    <w:p w14:paraId="2D03DB2E"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6.5</w:t>
      </w:r>
      <w:r w:rsidRPr="00D6167B">
        <w:rPr>
          <w:lang w:val="hr-HR"/>
        </w:rPr>
        <w:tab/>
        <w:t>Vrsta i sadržaj pakovanja</w:t>
      </w:r>
    </w:p>
    <w:p w14:paraId="07FC2E3C" w14:textId="77777777" w:rsidR="00D15122" w:rsidRPr="00D6167B" w:rsidRDefault="00D15122" w:rsidP="007608DF">
      <w:pPr>
        <w:keepNext/>
        <w:widowControl/>
        <w:jc w:val="both"/>
        <w:rPr>
          <w:rFonts w:ascii="Times New Roman" w:eastAsia="Times New Roman" w:hAnsi="Times New Roman"/>
          <w:bCs/>
          <w:lang w:val="hr-HR"/>
        </w:rPr>
      </w:pPr>
    </w:p>
    <w:p w14:paraId="44C57673" w14:textId="77777777" w:rsidR="00A5423D" w:rsidRDefault="009B0756" w:rsidP="007608DF">
      <w:pPr>
        <w:pStyle w:val="BodyText"/>
        <w:widowControl/>
        <w:ind w:left="0"/>
        <w:jc w:val="both"/>
        <w:rPr>
          <w:lang w:val="hr-HR"/>
        </w:rPr>
      </w:pPr>
      <w:r w:rsidRPr="00D6167B">
        <w:rPr>
          <w:lang w:val="hr-HR"/>
        </w:rPr>
        <w:t xml:space="preserve">Rastvor od 4 ml u bočici (staklo tipa I) sa čepom (butil guma) koji sadrži 100 mg bevacizumaba. </w:t>
      </w:r>
    </w:p>
    <w:p w14:paraId="708661F3" w14:textId="4B0CCA9B" w:rsidR="00D15122" w:rsidRPr="00D6167B" w:rsidRDefault="009B0756" w:rsidP="007608DF">
      <w:pPr>
        <w:pStyle w:val="BodyText"/>
        <w:widowControl/>
        <w:ind w:left="0"/>
        <w:jc w:val="both"/>
        <w:rPr>
          <w:lang w:val="hr-HR"/>
        </w:rPr>
      </w:pPr>
      <w:r w:rsidRPr="00D6167B">
        <w:rPr>
          <w:lang w:val="hr-HR"/>
        </w:rPr>
        <w:t>Rastvor od 16 ml u bočici (staklo tipa I) sa čepom (butil guma) koji sadrži 400 mg bevacizumaba.</w:t>
      </w:r>
    </w:p>
    <w:p w14:paraId="6E68A348" w14:textId="77777777" w:rsidR="00D15122" w:rsidRPr="00D6167B" w:rsidRDefault="00D15122" w:rsidP="007608DF">
      <w:pPr>
        <w:widowControl/>
        <w:jc w:val="both"/>
        <w:rPr>
          <w:rFonts w:ascii="Times New Roman" w:eastAsia="Times New Roman" w:hAnsi="Times New Roman"/>
          <w:lang w:val="hr-HR"/>
        </w:rPr>
      </w:pPr>
    </w:p>
    <w:p w14:paraId="3F4CF2AC" w14:textId="77777777" w:rsidR="00D15122" w:rsidRPr="00D6167B" w:rsidRDefault="009B0756" w:rsidP="007608DF">
      <w:pPr>
        <w:pStyle w:val="BodyText"/>
        <w:widowControl/>
        <w:ind w:left="0"/>
        <w:jc w:val="both"/>
        <w:rPr>
          <w:lang w:val="hr-HR"/>
        </w:rPr>
      </w:pPr>
      <w:r w:rsidRPr="00D6167B">
        <w:rPr>
          <w:lang w:val="hr-HR"/>
        </w:rPr>
        <w:t>Pakovanje od 1 bočice.</w:t>
      </w:r>
    </w:p>
    <w:p w14:paraId="06069185" w14:textId="77777777" w:rsidR="00315F51" w:rsidRPr="00D6167B" w:rsidRDefault="00315F51" w:rsidP="007608DF">
      <w:pPr>
        <w:widowControl/>
        <w:jc w:val="both"/>
        <w:rPr>
          <w:rFonts w:ascii="Times New Roman" w:eastAsia="Times New Roman" w:hAnsi="Times New Roman"/>
          <w:lang w:val="hr-HR"/>
        </w:rPr>
      </w:pPr>
    </w:p>
    <w:p w14:paraId="45095769"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6.6</w:t>
      </w:r>
      <w:r w:rsidRPr="00D6167B">
        <w:rPr>
          <w:lang w:val="hr-HR"/>
        </w:rPr>
        <w:tab/>
        <w:t>Posebne mjere opreza pri odlaganju materijala koji treba odbaciti nakon primjene lijeka (i druga uputstva za rukovanje lijekom)</w:t>
      </w:r>
    </w:p>
    <w:p w14:paraId="126B248C" w14:textId="77777777" w:rsidR="00D15122" w:rsidRDefault="00D15122" w:rsidP="007608DF">
      <w:pPr>
        <w:keepNext/>
        <w:widowControl/>
        <w:jc w:val="both"/>
        <w:rPr>
          <w:rFonts w:ascii="Times New Roman" w:eastAsia="Times New Roman" w:hAnsi="Times New Roman"/>
          <w:bCs/>
          <w:sz w:val="21"/>
          <w:szCs w:val="21"/>
          <w:lang w:val="hr-HR"/>
        </w:rPr>
      </w:pPr>
    </w:p>
    <w:p w14:paraId="3365DAB0" w14:textId="77777777" w:rsidR="000630EC" w:rsidRDefault="000630EC" w:rsidP="007608DF">
      <w:pPr>
        <w:keepNext/>
        <w:widowControl/>
        <w:jc w:val="both"/>
        <w:rPr>
          <w:rFonts w:ascii="Times New Roman" w:eastAsia="Times New Roman" w:hAnsi="Times New Roman"/>
          <w:bCs/>
          <w:sz w:val="21"/>
          <w:szCs w:val="21"/>
          <w:lang w:val="hr-HR"/>
        </w:rPr>
      </w:pPr>
      <w:r>
        <w:rPr>
          <w:rFonts w:ascii="Times New Roman" w:eastAsia="Times New Roman" w:hAnsi="Times New Roman"/>
          <w:bCs/>
          <w:sz w:val="21"/>
          <w:szCs w:val="21"/>
          <w:lang w:val="hr-HR"/>
        </w:rPr>
        <w:t>Ne tresite bočicu.</w:t>
      </w:r>
    </w:p>
    <w:p w14:paraId="658364E2" w14:textId="77777777" w:rsidR="000630EC" w:rsidRPr="00D6167B" w:rsidRDefault="000630EC" w:rsidP="007608DF">
      <w:pPr>
        <w:keepNext/>
        <w:widowControl/>
        <w:jc w:val="both"/>
        <w:rPr>
          <w:rFonts w:ascii="Times New Roman" w:eastAsia="Times New Roman" w:hAnsi="Times New Roman"/>
          <w:bCs/>
          <w:sz w:val="21"/>
          <w:szCs w:val="21"/>
          <w:lang w:val="hr-HR"/>
        </w:rPr>
      </w:pPr>
    </w:p>
    <w:p w14:paraId="7CC20EDC" w14:textId="72776C77" w:rsidR="00D15122" w:rsidRPr="00D6167B" w:rsidRDefault="00D85D2F" w:rsidP="007608DF">
      <w:pPr>
        <w:pStyle w:val="BodyText"/>
        <w:widowControl/>
        <w:ind w:left="0"/>
        <w:jc w:val="both"/>
        <w:rPr>
          <w:lang w:val="hr-HR"/>
        </w:rPr>
      </w:pPr>
      <w:r w:rsidRPr="00D6167B">
        <w:rPr>
          <w:lang w:val="hr-HR"/>
        </w:rPr>
        <w:t xml:space="preserve">Lijek </w:t>
      </w:r>
      <w:r w:rsidR="00760F57" w:rsidRPr="00D6167B">
        <w:rPr>
          <w:lang w:val="hr-HR"/>
        </w:rPr>
        <w:t>Zirabev mora da pripremi zdravstveni radnik koji koristi aseptičnu tehniku kako bi se osigurala sterilnost pripremljenog rastvora.</w:t>
      </w:r>
      <w:r w:rsidR="001C6C97">
        <w:rPr>
          <w:lang w:val="hr-HR"/>
        </w:rPr>
        <w:t xml:space="preserve"> </w:t>
      </w:r>
      <w:r w:rsidR="001C6C97">
        <w:rPr>
          <w:lang w:val="hr-HR"/>
        </w:rPr>
        <w:t>Za pripremu lijeka Zirabev treba da se koriste sterilna igla i špric.</w:t>
      </w:r>
      <w:bookmarkStart w:id="1" w:name="_GoBack"/>
      <w:bookmarkEnd w:id="1"/>
    </w:p>
    <w:p w14:paraId="3BC1092E" w14:textId="77777777" w:rsidR="00D15122" w:rsidRPr="00D6167B" w:rsidRDefault="00D15122" w:rsidP="007608DF">
      <w:pPr>
        <w:widowControl/>
        <w:jc w:val="both"/>
        <w:rPr>
          <w:rFonts w:ascii="Times New Roman" w:eastAsia="Times New Roman" w:hAnsi="Times New Roman"/>
          <w:lang w:val="hr-HR"/>
        </w:rPr>
      </w:pPr>
    </w:p>
    <w:p w14:paraId="7789FBE7" w14:textId="77777777" w:rsidR="00D15122" w:rsidRPr="00D6167B" w:rsidRDefault="009B0756" w:rsidP="007608DF">
      <w:pPr>
        <w:pStyle w:val="BodyText"/>
        <w:widowControl/>
        <w:ind w:left="0"/>
        <w:jc w:val="both"/>
        <w:rPr>
          <w:lang w:val="hr-HR"/>
        </w:rPr>
      </w:pPr>
      <w:r w:rsidRPr="00D6167B">
        <w:rPr>
          <w:lang w:val="hr-HR"/>
        </w:rPr>
        <w:t xml:space="preserve">Neophodna količina bevacizumaba treba da se izvuče i razrijedi do potrebnog volumena za primjenu pomoću rastvora natrijum hlorida 9 mg/ml (0,9%) za injekcije. Koncentracija konačnog rastvora bevacizumaba treba da bude u opsegu od 1,4 mg/ml do 16,5 mg/ml. U većini </w:t>
      </w:r>
      <w:r w:rsidR="00D85D2F" w:rsidRPr="00D6167B">
        <w:rPr>
          <w:lang w:val="hr-HR"/>
        </w:rPr>
        <w:t xml:space="preserve">slučajeva </w:t>
      </w:r>
      <w:r w:rsidRPr="00D6167B">
        <w:rPr>
          <w:lang w:val="hr-HR"/>
        </w:rPr>
        <w:t>neophodna količina lijeka Zirabev može da se razrijedi pomoću rastvora natrijum</w:t>
      </w:r>
      <w:r w:rsidR="00D85D2F" w:rsidRPr="00D6167B">
        <w:rPr>
          <w:lang w:val="hr-HR"/>
        </w:rPr>
        <w:t xml:space="preserve"> </w:t>
      </w:r>
      <w:r w:rsidRPr="00D6167B">
        <w:rPr>
          <w:lang w:val="hr-HR"/>
        </w:rPr>
        <w:t>hlorida 0,9% za injekcije do ukupnog volumena od 100 ml.</w:t>
      </w:r>
    </w:p>
    <w:p w14:paraId="0391D717" w14:textId="77777777" w:rsidR="00D15122" w:rsidRPr="00D6167B" w:rsidRDefault="00D15122" w:rsidP="007608DF">
      <w:pPr>
        <w:widowControl/>
        <w:jc w:val="both"/>
        <w:rPr>
          <w:rFonts w:ascii="Times New Roman" w:eastAsia="Times New Roman" w:hAnsi="Times New Roman"/>
          <w:lang w:val="hr-HR"/>
        </w:rPr>
      </w:pPr>
    </w:p>
    <w:p w14:paraId="0CF53EBD" w14:textId="77777777" w:rsidR="00D15122" w:rsidRPr="00D6167B" w:rsidRDefault="009B0756" w:rsidP="007608DF">
      <w:pPr>
        <w:pStyle w:val="BodyText"/>
        <w:widowControl/>
        <w:ind w:left="0"/>
        <w:jc w:val="both"/>
        <w:rPr>
          <w:lang w:val="hr-HR"/>
        </w:rPr>
      </w:pPr>
      <w:r w:rsidRPr="00D6167B">
        <w:rPr>
          <w:lang w:val="hr-HR"/>
        </w:rPr>
        <w:t>Parenteralne ljekove trebalo bi vizuelno pregledati da ne sadrže čestice ili promjene boje prije primjene.</w:t>
      </w:r>
    </w:p>
    <w:p w14:paraId="377480AC" w14:textId="77777777" w:rsidR="00D15122" w:rsidRPr="00D6167B" w:rsidRDefault="00D15122" w:rsidP="007608DF">
      <w:pPr>
        <w:widowControl/>
        <w:jc w:val="both"/>
        <w:rPr>
          <w:rFonts w:ascii="Times New Roman" w:eastAsia="Times New Roman" w:hAnsi="Times New Roman"/>
          <w:lang w:val="hr-HR"/>
        </w:rPr>
      </w:pPr>
    </w:p>
    <w:p w14:paraId="0B79202D" w14:textId="77777777" w:rsidR="00D15122" w:rsidRPr="00D6167B" w:rsidRDefault="009B0756" w:rsidP="007608DF">
      <w:pPr>
        <w:pStyle w:val="BodyText"/>
        <w:widowControl/>
        <w:ind w:left="0"/>
        <w:jc w:val="both"/>
        <w:rPr>
          <w:lang w:val="hr-HR"/>
        </w:rPr>
      </w:pPr>
      <w:r w:rsidRPr="00D6167B">
        <w:rPr>
          <w:lang w:val="hr-HR"/>
        </w:rPr>
        <w:t>Ni</w:t>
      </w:r>
      <w:r w:rsidR="00D61197" w:rsidRPr="00D6167B">
        <w:rPr>
          <w:lang w:val="hr-HR"/>
        </w:rPr>
        <w:t>je</w:t>
      </w:r>
      <w:r w:rsidRPr="00D6167B">
        <w:rPr>
          <w:lang w:val="hr-HR"/>
        </w:rPr>
        <w:t>su prim</w:t>
      </w:r>
      <w:r w:rsidR="001054C9" w:rsidRPr="00D6167B">
        <w:rPr>
          <w:lang w:val="hr-HR"/>
        </w:rPr>
        <w:t>i</w:t>
      </w:r>
      <w:r w:rsidRPr="00D6167B">
        <w:rPr>
          <w:lang w:val="hr-HR"/>
        </w:rPr>
        <w:t>jećene nekompatibilnosti između lijeka Zirabev i polivinil hlorida ili poliolefinskih kesa ili kompleta za infuziju.</w:t>
      </w:r>
    </w:p>
    <w:p w14:paraId="40D42215" w14:textId="77777777" w:rsidR="00D15122" w:rsidRPr="00D6167B" w:rsidRDefault="00D15122" w:rsidP="007608DF">
      <w:pPr>
        <w:widowControl/>
        <w:jc w:val="both"/>
        <w:rPr>
          <w:rFonts w:ascii="Times New Roman" w:eastAsia="Times New Roman" w:hAnsi="Times New Roman"/>
          <w:sz w:val="21"/>
          <w:szCs w:val="21"/>
          <w:lang w:val="hr-HR"/>
        </w:rPr>
      </w:pPr>
    </w:p>
    <w:p w14:paraId="252C6143" w14:textId="739B05A4" w:rsidR="00D15122" w:rsidRPr="00D6167B" w:rsidRDefault="00760F57" w:rsidP="007608DF">
      <w:pPr>
        <w:pStyle w:val="BodyText"/>
        <w:widowControl/>
        <w:ind w:left="0"/>
        <w:jc w:val="both"/>
        <w:rPr>
          <w:lang w:val="hr-HR"/>
        </w:rPr>
      </w:pPr>
      <w:r w:rsidRPr="00D6167B">
        <w:rPr>
          <w:lang w:val="hr-HR"/>
        </w:rPr>
        <w:lastRenderedPageBreak/>
        <w:t xml:space="preserve">Lijek Zirabev je namijenjen samo za jednokratnu primjenu jer ne sadrži konzervanse. Sva neiskorišćena količina </w:t>
      </w:r>
      <w:r w:rsidR="000630EC">
        <w:rPr>
          <w:lang w:val="hr-HR"/>
        </w:rPr>
        <w:t>lijeka</w:t>
      </w:r>
      <w:r w:rsidRPr="00D6167B">
        <w:rPr>
          <w:lang w:val="hr-HR"/>
        </w:rPr>
        <w:t xml:space="preserve"> ili otpadni materijal nakon njegove upotrebe treba da se odlože  u skladu sa važećim propisima.</w:t>
      </w:r>
    </w:p>
    <w:p w14:paraId="329C14D1" w14:textId="77777777" w:rsidR="00D15122" w:rsidRPr="00D6167B" w:rsidRDefault="00D15122" w:rsidP="007608DF">
      <w:pPr>
        <w:widowControl/>
        <w:jc w:val="both"/>
        <w:rPr>
          <w:rFonts w:ascii="Times New Roman" w:eastAsia="Times New Roman" w:hAnsi="Times New Roman"/>
          <w:lang w:val="hr-HR"/>
        </w:rPr>
      </w:pPr>
    </w:p>
    <w:p w14:paraId="28D768B9" w14:textId="77777777" w:rsidR="00D15122" w:rsidRPr="00D6167B" w:rsidRDefault="00D15122" w:rsidP="007608DF">
      <w:pPr>
        <w:widowControl/>
        <w:jc w:val="both"/>
        <w:rPr>
          <w:rFonts w:ascii="Times New Roman" w:eastAsia="Times New Roman" w:hAnsi="Times New Roman"/>
          <w:lang w:val="hr-HR"/>
        </w:rPr>
      </w:pPr>
    </w:p>
    <w:p w14:paraId="6AD95008" w14:textId="77777777" w:rsidR="00D15122" w:rsidRPr="00D6167B" w:rsidRDefault="003E4A60" w:rsidP="007608DF">
      <w:pPr>
        <w:pStyle w:val="Heading1"/>
        <w:keepNext/>
        <w:widowControl/>
        <w:tabs>
          <w:tab w:val="left" w:pos="685"/>
        </w:tabs>
        <w:ind w:left="0"/>
        <w:jc w:val="both"/>
        <w:rPr>
          <w:bCs w:val="0"/>
          <w:lang w:val="hr-HR"/>
        </w:rPr>
      </w:pPr>
      <w:r w:rsidRPr="00D6167B">
        <w:rPr>
          <w:lang w:val="hr-HR"/>
        </w:rPr>
        <w:t>7.</w:t>
      </w:r>
      <w:r w:rsidRPr="00D6167B">
        <w:rPr>
          <w:lang w:val="hr-HR"/>
        </w:rPr>
        <w:tab/>
        <w:t>NOSILAC DOZVOLE</w:t>
      </w:r>
    </w:p>
    <w:p w14:paraId="2DE0200B" w14:textId="77777777" w:rsidR="00E65554" w:rsidRPr="00D6167B" w:rsidRDefault="00E65554" w:rsidP="007608DF">
      <w:pPr>
        <w:pStyle w:val="BodyText"/>
        <w:widowControl/>
        <w:ind w:left="0"/>
        <w:jc w:val="both"/>
        <w:rPr>
          <w:lang w:val="hr-HR"/>
        </w:rPr>
      </w:pPr>
    </w:p>
    <w:p w14:paraId="0A3A1772" w14:textId="1D346C93" w:rsidR="00994AD9" w:rsidRPr="00D6167B" w:rsidRDefault="00F8497F" w:rsidP="007608DF">
      <w:pPr>
        <w:widowControl/>
        <w:jc w:val="both"/>
        <w:rPr>
          <w:rFonts w:ascii="Times New Roman" w:eastAsia="Times New Roman" w:hAnsi="Times New Roman"/>
        </w:rPr>
      </w:pPr>
      <w:bookmarkStart w:id="2" w:name="_Hlk92874298"/>
      <w:r w:rsidRPr="00D6167B">
        <w:rPr>
          <w:rFonts w:ascii="Times New Roman" w:eastAsia="Times New Roman" w:hAnsi="Times New Roman"/>
        </w:rPr>
        <w:t>Evr</w:t>
      </w:r>
      <w:r w:rsidR="00994AD9" w:rsidRPr="00D6167B">
        <w:rPr>
          <w:rFonts w:ascii="Times New Roman" w:eastAsia="Times New Roman" w:hAnsi="Times New Roman"/>
        </w:rPr>
        <w:t>opa Lek Pharma d.o.o. Podgorica</w:t>
      </w:r>
      <w:r w:rsidRPr="00D6167B">
        <w:rPr>
          <w:rFonts w:ascii="Times New Roman" w:eastAsia="Times New Roman" w:hAnsi="Times New Roman"/>
        </w:rPr>
        <w:t xml:space="preserve"> </w:t>
      </w:r>
    </w:p>
    <w:p w14:paraId="71A234E5" w14:textId="77777777" w:rsidR="00F8497F" w:rsidRPr="00D6167B" w:rsidRDefault="00F8497F" w:rsidP="007608DF">
      <w:pPr>
        <w:widowControl/>
        <w:jc w:val="both"/>
        <w:rPr>
          <w:rFonts w:ascii="Times New Roman" w:eastAsia="Times New Roman" w:hAnsi="Times New Roman"/>
        </w:rPr>
      </w:pPr>
      <w:r w:rsidRPr="00D6167B">
        <w:rPr>
          <w:rFonts w:ascii="Times New Roman" w:eastAsia="Times New Roman" w:hAnsi="Times New Roman"/>
        </w:rPr>
        <w:t xml:space="preserve">Kritskog odreda 4/1, </w:t>
      </w:r>
      <w:bookmarkEnd w:id="2"/>
      <w:r w:rsidRPr="00D6167B">
        <w:rPr>
          <w:rFonts w:ascii="Times New Roman" w:eastAsia="Times New Roman" w:hAnsi="Times New Roman"/>
        </w:rPr>
        <w:t>Podgorica, Crna Gora</w:t>
      </w:r>
    </w:p>
    <w:p w14:paraId="76D43624" w14:textId="77777777" w:rsidR="00D15122" w:rsidRPr="00D6167B" w:rsidRDefault="00D15122" w:rsidP="007608DF">
      <w:pPr>
        <w:widowControl/>
        <w:jc w:val="both"/>
        <w:rPr>
          <w:rFonts w:ascii="Times New Roman" w:eastAsia="Times New Roman" w:hAnsi="Times New Roman"/>
          <w:lang w:val="hr-HR"/>
        </w:rPr>
      </w:pPr>
    </w:p>
    <w:p w14:paraId="462DF425" w14:textId="77777777" w:rsidR="00D15122" w:rsidRPr="00D6167B" w:rsidRDefault="00D15122" w:rsidP="007608DF">
      <w:pPr>
        <w:widowControl/>
        <w:jc w:val="both"/>
        <w:rPr>
          <w:rFonts w:ascii="Times New Roman" w:eastAsia="Times New Roman" w:hAnsi="Times New Roman"/>
          <w:lang w:val="hr-HR"/>
        </w:rPr>
      </w:pPr>
    </w:p>
    <w:p w14:paraId="6BFC0D06" w14:textId="77777777" w:rsidR="00D15122" w:rsidRPr="00D6167B" w:rsidRDefault="00BE1DB2" w:rsidP="007608DF">
      <w:pPr>
        <w:pStyle w:val="Heading1"/>
        <w:widowControl/>
        <w:tabs>
          <w:tab w:val="left" w:pos="685"/>
        </w:tabs>
        <w:ind w:left="0"/>
        <w:jc w:val="both"/>
        <w:rPr>
          <w:bCs w:val="0"/>
          <w:lang w:val="hr-HR"/>
        </w:rPr>
      </w:pPr>
      <w:r w:rsidRPr="00D6167B">
        <w:rPr>
          <w:lang w:val="hr-HR"/>
        </w:rPr>
        <w:t>8.</w:t>
      </w:r>
      <w:r w:rsidRPr="00D6167B">
        <w:rPr>
          <w:lang w:val="hr-HR"/>
        </w:rPr>
        <w:tab/>
        <w:t>BROJ DOZVOLE ZA STAVLJANJE LIJEKA U PROMET</w:t>
      </w:r>
    </w:p>
    <w:p w14:paraId="3F8C9A5D" w14:textId="77777777" w:rsidR="006F7AF6" w:rsidRDefault="006F7AF6" w:rsidP="007608DF">
      <w:pPr>
        <w:widowControl/>
        <w:jc w:val="both"/>
        <w:rPr>
          <w:rFonts w:ascii="Times New Roman" w:eastAsia="Times New Roman" w:hAnsi="Times New Roman"/>
          <w:lang w:val="hr-HR"/>
        </w:rPr>
      </w:pPr>
    </w:p>
    <w:p w14:paraId="100AACF1" w14:textId="77777777" w:rsidR="00AF0A19" w:rsidRDefault="00AF0A19" w:rsidP="00AF0A19">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581BA3">
        <w:rPr>
          <w:lang w:val="hr-HR"/>
        </w:rPr>
        <w:t xml:space="preserve"> </w:t>
      </w:r>
      <w:r>
        <w:rPr>
          <w:lang w:val="hr-HR"/>
        </w:rPr>
        <w:t>x</w:t>
      </w:r>
      <w:r w:rsidR="00581BA3">
        <w:rPr>
          <w:lang w:val="hr-HR"/>
        </w:rPr>
        <w:t xml:space="preserve"> </w:t>
      </w:r>
      <w:r>
        <w:rPr>
          <w:lang w:val="hr-HR"/>
        </w:rPr>
        <w:t>4</w:t>
      </w:r>
      <w:r w:rsidR="00581BA3">
        <w:rPr>
          <w:lang w:val="hr-HR"/>
        </w:rPr>
        <w:t xml:space="preserve"> </w:t>
      </w:r>
      <w:r>
        <w:rPr>
          <w:lang w:val="hr-HR"/>
        </w:rPr>
        <w:t>ml:</w:t>
      </w:r>
      <w:r w:rsidR="00581BA3">
        <w:rPr>
          <w:lang w:val="hr-HR"/>
        </w:rPr>
        <w:t xml:space="preserve"> </w:t>
      </w:r>
      <w:r w:rsidR="00581BA3" w:rsidRPr="00581BA3">
        <w:rPr>
          <w:lang w:val="hr-HR"/>
        </w:rPr>
        <w:t>2030/22/2781 - 479</w:t>
      </w:r>
    </w:p>
    <w:p w14:paraId="04995426" w14:textId="77777777" w:rsidR="00AF0A19" w:rsidRPr="00D6167B" w:rsidRDefault="00AF0A19" w:rsidP="00AF0A19">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581BA3">
        <w:rPr>
          <w:lang w:val="hr-HR"/>
        </w:rPr>
        <w:t xml:space="preserve"> </w:t>
      </w:r>
      <w:r>
        <w:rPr>
          <w:lang w:val="hr-HR"/>
        </w:rPr>
        <w:t>x</w:t>
      </w:r>
      <w:r w:rsidR="00581BA3">
        <w:rPr>
          <w:lang w:val="hr-HR"/>
        </w:rPr>
        <w:t xml:space="preserve"> </w:t>
      </w:r>
      <w:r>
        <w:rPr>
          <w:lang w:val="hr-HR"/>
        </w:rPr>
        <w:t>16</w:t>
      </w:r>
      <w:r w:rsidR="00581BA3">
        <w:rPr>
          <w:lang w:val="hr-HR"/>
        </w:rPr>
        <w:t xml:space="preserve"> </w:t>
      </w:r>
      <w:r>
        <w:rPr>
          <w:lang w:val="hr-HR"/>
        </w:rPr>
        <w:t>ml:</w:t>
      </w:r>
      <w:r w:rsidR="005B49CA">
        <w:rPr>
          <w:lang w:val="hr-HR"/>
        </w:rPr>
        <w:t xml:space="preserve"> </w:t>
      </w:r>
      <w:r w:rsidR="005B49CA" w:rsidRPr="005B49CA">
        <w:rPr>
          <w:lang w:val="hr-HR"/>
        </w:rPr>
        <w:t>2030/22/2784 - 481</w:t>
      </w:r>
    </w:p>
    <w:p w14:paraId="093DEAEF" w14:textId="77777777" w:rsidR="00D13AB2" w:rsidRPr="00D6167B" w:rsidRDefault="00D13AB2" w:rsidP="007608DF">
      <w:pPr>
        <w:widowControl/>
        <w:jc w:val="both"/>
        <w:rPr>
          <w:rFonts w:ascii="Times New Roman" w:eastAsia="Times New Roman" w:hAnsi="Times New Roman"/>
          <w:lang w:val="hr-HR"/>
        </w:rPr>
      </w:pPr>
    </w:p>
    <w:p w14:paraId="276A7DFC" w14:textId="77777777" w:rsidR="00F8497F" w:rsidRPr="00D6167B" w:rsidRDefault="00F8497F" w:rsidP="007608DF">
      <w:pPr>
        <w:widowControl/>
        <w:jc w:val="both"/>
        <w:rPr>
          <w:rFonts w:ascii="Times New Roman" w:eastAsia="Times New Roman" w:hAnsi="Times New Roman"/>
          <w:lang w:val="hr-HR"/>
        </w:rPr>
      </w:pPr>
    </w:p>
    <w:p w14:paraId="3B6FF800" w14:textId="77777777" w:rsidR="00D15122" w:rsidRPr="00D6167B" w:rsidRDefault="00BE1DB2" w:rsidP="007608DF">
      <w:pPr>
        <w:pStyle w:val="Heading1"/>
        <w:keepNext/>
        <w:widowControl/>
        <w:tabs>
          <w:tab w:val="left" w:pos="685"/>
        </w:tabs>
        <w:ind w:left="0"/>
        <w:jc w:val="both"/>
        <w:rPr>
          <w:bCs w:val="0"/>
          <w:lang w:val="hr-HR"/>
        </w:rPr>
      </w:pPr>
      <w:r w:rsidRPr="00D6167B">
        <w:rPr>
          <w:lang w:val="hr-HR"/>
        </w:rPr>
        <w:t>9.</w:t>
      </w:r>
      <w:r w:rsidRPr="00D6167B">
        <w:rPr>
          <w:lang w:val="hr-HR"/>
        </w:rPr>
        <w:tab/>
        <w:t>DATUM PRVE DOZVOLE/OBNOVE DOZVOLE ZA STAVLJANJE LIJEKA U PROMET</w:t>
      </w:r>
    </w:p>
    <w:p w14:paraId="5189EE77" w14:textId="77777777" w:rsidR="00D15122" w:rsidRPr="00D6167B" w:rsidRDefault="00D15122" w:rsidP="007608DF">
      <w:pPr>
        <w:widowControl/>
        <w:jc w:val="both"/>
        <w:rPr>
          <w:rFonts w:ascii="Times New Roman" w:eastAsia="Times New Roman" w:hAnsi="Times New Roman"/>
          <w:lang w:val="hr-HR"/>
        </w:rPr>
      </w:pPr>
    </w:p>
    <w:p w14:paraId="338E3C99" w14:textId="77777777" w:rsidR="00AF0A19" w:rsidRDefault="00AF0A19" w:rsidP="00AF0A19">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581BA3">
        <w:rPr>
          <w:lang w:val="hr-HR"/>
        </w:rPr>
        <w:t xml:space="preserve"> </w:t>
      </w:r>
      <w:r>
        <w:rPr>
          <w:lang w:val="hr-HR"/>
        </w:rPr>
        <w:t>x</w:t>
      </w:r>
      <w:r w:rsidR="00581BA3">
        <w:rPr>
          <w:lang w:val="hr-HR"/>
        </w:rPr>
        <w:t xml:space="preserve"> </w:t>
      </w:r>
      <w:r>
        <w:rPr>
          <w:lang w:val="hr-HR"/>
        </w:rPr>
        <w:t>4</w:t>
      </w:r>
      <w:r w:rsidR="00581BA3">
        <w:rPr>
          <w:lang w:val="hr-HR"/>
        </w:rPr>
        <w:t xml:space="preserve"> </w:t>
      </w:r>
      <w:r>
        <w:rPr>
          <w:lang w:val="hr-HR"/>
        </w:rPr>
        <w:t>ml:</w:t>
      </w:r>
      <w:r w:rsidR="00581BA3">
        <w:rPr>
          <w:lang w:val="hr-HR"/>
        </w:rPr>
        <w:t xml:space="preserve"> 01.11.2022. godine</w:t>
      </w:r>
    </w:p>
    <w:p w14:paraId="72B78C9A" w14:textId="77777777" w:rsidR="00AF0A19" w:rsidRPr="00D6167B" w:rsidRDefault="00AF0A19" w:rsidP="00AF0A19">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581BA3">
        <w:rPr>
          <w:lang w:val="hr-HR"/>
        </w:rPr>
        <w:t xml:space="preserve"> </w:t>
      </w:r>
      <w:r>
        <w:rPr>
          <w:lang w:val="hr-HR"/>
        </w:rPr>
        <w:t>x</w:t>
      </w:r>
      <w:r w:rsidR="00581BA3">
        <w:rPr>
          <w:lang w:val="hr-HR"/>
        </w:rPr>
        <w:t xml:space="preserve"> </w:t>
      </w:r>
      <w:r>
        <w:rPr>
          <w:lang w:val="hr-HR"/>
        </w:rPr>
        <w:t>16</w:t>
      </w:r>
      <w:r w:rsidR="00581BA3">
        <w:rPr>
          <w:lang w:val="hr-HR"/>
        </w:rPr>
        <w:t xml:space="preserve"> </w:t>
      </w:r>
      <w:r>
        <w:rPr>
          <w:lang w:val="hr-HR"/>
        </w:rPr>
        <w:t>ml:</w:t>
      </w:r>
      <w:r w:rsidR="005B49CA">
        <w:rPr>
          <w:lang w:val="hr-HR"/>
        </w:rPr>
        <w:t xml:space="preserve"> 01.11.2022. godine</w:t>
      </w:r>
    </w:p>
    <w:p w14:paraId="0699D3AE" w14:textId="77777777" w:rsidR="00F8497F" w:rsidRDefault="00F8497F" w:rsidP="007608DF">
      <w:pPr>
        <w:widowControl/>
        <w:jc w:val="both"/>
        <w:rPr>
          <w:rFonts w:ascii="Times New Roman" w:eastAsia="Times New Roman" w:hAnsi="Times New Roman"/>
          <w:lang w:val="hr-HR"/>
        </w:rPr>
      </w:pPr>
    </w:p>
    <w:p w14:paraId="565A64B2" w14:textId="77777777" w:rsidR="00D13AB2" w:rsidRPr="00D6167B" w:rsidRDefault="00D13AB2" w:rsidP="007608DF">
      <w:pPr>
        <w:widowControl/>
        <w:jc w:val="both"/>
        <w:rPr>
          <w:rFonts w:ascii="Times New Roman" w:eastAsia="Times New Roman" w:hAnsi="Times New Roman"/>
          <w:lang w:val="hr-HR"/>
        </w:rPr>
      </w:pPr>
    </w:p>
    <w:p w14:paraId="64D5DA20" w14:textId="77777777" w:rsidR="00D15122" w:rsidRPr="00D6167B" w:rsidRDefault="00BE1DB2" w:rsidP="007608DF">
      <w:pPr>
        <w:pStyle w:val="Heading1"/>
        <w:keepNext/>
        <w:widowControl/>
        <w:tabs>
          <w:tab w:val="left" w:pos="685"/>
        </w:tabs>
        <w:ind w:left="0"/>
        <w:jc w:val="both"/>
        <w:rPr>
          <w:lang w:val="hr-HR"/>
        </w:rPr>
      </w:pPr>
      <w:r w:rsidRPr="00D6167B">
        <w:rPr>
          <w:lang w:val="hr-HR"/>
        </w:rPr>
        <w:t>10.</w:t>
      </w:r>
      <w:r w:rsidRPr="00D6167B">
        <w:rPr>
          <w:lang w:val="hr-HR"/>
        </w:rPr>
        <w:tab/>
        <w:t>DATUM REVIZIJE TEKSTA</w:t>
      </w:r>
    </w:p>
    <w:p w14:paraId="7B1DF92E" w14:textId="77777777" w:rsidR="00E65554" w:rsidRPr="00D6167B" w:rsidRDefault="00E65554" w:rsidP="007608DF">
      <w:pPr>
        <w:pStyle w:val="Heading1"/>
        <w:keepNext/>
        <w:widowControl/>
        <w:tabs>
          <w:tab w:val="left" w:pos="685"/>
        </w:tabs>
        <w:ind w:left="0"/>
        <w:jc w:val="both"/>
        <w:rPr>
          <w:bCs w:val="0"/>
          <w:lang w:val="hr-HR"/>
        </w:rPr>
      </w:pPr>
    </w:p>
    <w:p w14:paraId="47ED47B5" w14:textId="513C30DA" w:rsidR="00812D94" w:rsidRPr="00D6167B" w:rsidRDefault="00B92E27" w:rsidP="007608DF">
      <w:pPr>
        <w:pStyle w:val="BodyText"/>
        <w:widowControl/>
        <w:ind w:left="0"/>
        <w:jc w:val="both"/>
        <w:rPr>
          <w:lang w:val="hr-HR"/>
        </w:rPr>
      </w:pPr>
      <w:r>
        <w:rPr>
          <w:lang w:val="hr-HR"/>
        </w:rPr>
        <w:t>Maj, 2023. godine</w:t>
      </w:r>
    </w:p>
    <w:sectPr w:rsidR="00812D94" w:rsidRPr="00D6167B" w:rsidSect="00E86D45">
      <w:footerReference w:type="default" r:id="rId13"/>
      <w:pgSz w:w="11910" w:h="16850"/>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605F5" w14:textId="77777777" w:rsidR="00F40022" w:rsidRDefault="00F40022">
      <w:r>
        <w:separator/>
      </w:r>
    </w:p>
  </w:endnote>
  <w:endnote w:type="continuationSeparator" w:id="0">
    <w:p w14:paraId="398CEEE6" w14:textId="77777777" w:rsidR="00F40022" w:rsidRDefault="00F40022">
      <w:r>
        <w:continuationSeparator/>
      </w:r>
    </w:p>
  </w:endnote>
  <w:endnote w:type="continuationNotice" w:id="1">
    <w:p w14:paraId="4F4D5840" w14:textId="77777777" w:rsidR="00F40022" w:rsidRDefault="00F40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FD73" w14:textId="0C502A67" w:rsidR="001C6C97" w:rsidRPr="00B23F69" w:rsidRDefault="001C6C97" w:rsidP="001C6C97">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Pr>
        <w:noProof/>
        <w:sz w:val="22"/>
        <w:szCs w:val="22"/>
      </w:rPr>
      <w:t>53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Pr>
        <w:noProof/>
        <w:sz w:val="22"/>
        <w:szCs w:val="22"/>
      </w:rPr>
      <w:t>53</w:t>
    </w:r>
    <w:r w:rsidRPr="00B23F69">
      <w:rPr>
        <w:sz w:val="22"/>
        <w:szCs w:val="22"/>
      </w:rPr>
      <w:fldChar w:fldCharType="end"/>
    </w:r>
  </w:p>
  <w:p w14:paraId="2C2AF687" w14:textId="358C7D0E" w:rsidR="003A7C91" w:rsidRDefault="003A7C9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6642E" w14:textId="77777777" w:rsidR="00F40022" w:rsidRDefault="00F40022">
      <w:r>
        <w:separator/>
      </w:r>
    </w:p>
  </w:footnote>
  <w:footnote w:type="continuationSeparator" w:id="0">
    <w:p w14:paraId="141C8D5A" w14:textId="77777777" w:rsidR="00F40022" w:rsidRDefault="00F40022">
      <w:r>
        <w:continuationSeparator/>
      </w:r>
    </w:p>
  </w:footnote>
  <w:footnote w:type="continuationNotice" w:id="1">
    <w:p w14:paraId="6B93281D" w14:textId="77777777" w:rsidR="00F40022" w:rsidRDefault="00F400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1"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2"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3" w15:restartNumberingAfterBreak="0">
    <w:nsid w:val="0A6D25B8"/>
    <w:multiLevelType w:val="hybridMultilevel"/>
    <w:tmpl w:val="92DEBF6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5"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6" w15:restartNumberingAfterBreak="0">
    <w:nsid w:val="1A155B6B"/>
    <w:multiLevelType w:val="hybridMultilevel"/>
    <w:tmpl w:val="C6C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40CD9"/>
    <w:multiLevelType w:val="hybridMultilevel"/>
    <w:tmpl w:val="4080BC3A"/>
    <w:lvl w:ilvl="0" w:tplc="8E74999A">
      <w:start w:val="1"/>
      <w:numFmt w:val="bullet"/>
      <w:lvlText w:val="*"/>
      <w:lvlJc w:val="left"/>
      <w:pPr>
        <w:ind w:left="287" w:hanging="149"/>
      </w:pPr>
      <w:rPr>
        <w:rFonts w:ascii="Times New Roman" w:eastAsia="Times New Roman" w:hAnsi="Times New Roman" w:hint="default"/>
        <w:w w:val="99"/>
        <w:sz w:val="20"/>
        <w:szCs w:val="20"/>
      </w:rPr>
    </w:lvl>
    <w:lvl w:ilvl="1" w:tplc="557291E8">
      <w:start w:val="1"/>
      <w:numFmt w:val="bullet"/>
      <w:lvlText w:val=""/>
      <w:lvlJc w:val="left"/>
      <w:pPr>
        <w:ind w:left="684" w:hanging="356"/>
      </w:pPr>
      <w:rPr>
        <w:rFonts w:ascii="Symbol" w:eastAsia="Symbol" w:hAnsi="Symbol" w:hint="default"/>
        <w:sz w:val="22"/>
        <w:szCs w:val="22"/>
      </w:rPr>
    </w:lvl>
    <w:lvl w:ilvl="2" w:tplc="1A4C49E4">
      <w:start w:val="1"/>
      <w:numFmt w:val="bullet"/>
      <w:lvlText w:val="•"/>
      <w:lvlJc w:val="left"/>
      <w:pPr>
        <w:ind w:left="1638" w:hanging="356"/>
      </w:pPr>
      <w:rPr>
        <w:rFonts w:hint="default"/>
      </w:rPr>
    </w:lvl>
    <w:lvl w:ilvl="3" w:tplc="2CD07654">
      <w:start w:val="1"/>
      <w:numFmt w:val="bullet"/>
      <w:lvlText w:val="•"/>
      <w:lvlJc w:val="left"/>
      <w:pPr>
        <w:ind w:left="2591" w:hanging="356"/>
      </w:pPr>
      <w:rPr>
        <w:rFonts w:hint="default"/>
      </w:rPr>
    </w:lvl>
    <w:lvl w:ilvl="4" w:tplc="08C85264">
      <w:start w:val="1"/>
      <w:numFmt w:val="bullet"/>
      <w:lvlText w:val="•"/>
      <w:lvlJc w:val="left"/>
      <w:pPr>
        <w:ind w:left="3545" w:hanging="356"/>
      </w:pPr>
      <w:rPr>
        <w:rFonts w:hint="default"/>
      </w:rPr>
    </w:lvl>
    <w:lvl w:ilvl="5" w:tplc="34088D6E">
      <w:start w:val="1"/>
      <w:numFmt w:val="bullet"/>
      <w:lvlText w:val="•"/>
      <w:lvlJc w:val="left"/>
      <w:pPr>
        <w:ind w:left="4498" w:hanging="356"/>
      </w:pPr>
      <w:rPr>
        <w:rFonts w:hint="default"/>
      </w:rPr>
    </w:lvl>
    <w:lvl w:ilvl="6" w:tplc="2E92E324">
      <w:start w:val="1"/>
      <w:numFmt w:val="bullet"/>
      <w:lvlText w:val="•"/>
      <w:lvlJc w:val="left"/>
      <w:pPr>
        <w:ind w:left="5452" w:hanging="356"/>
      </w:pPr>
      <w:rPr>
        <w:rFonts w:hint="default"/>
      </w:rPr>
    </w:lvl>
    <w:lvl w:ilvl="7" w:tplc="6BBC76BE">
      <w:start w:val="1"/>
      <w:numFmt w:val="bullet"/>
      <w:lvlText w:val="•"/>
      <w:lvlJc w:val="left"/>
      <w:pPr>
        <w:ind w:left="6405" w:hanging="356"/>
      </w:pPr>
      <w:rPr>
        <w:rFonts w:hint="default"/>
      </w:rPr>
    </w:lvl>
    <w:lvl w:ilvl="8" w:tplc="FCACD5DE">
      <w:start w:val="1"/>
      <w:numFmt w:val="bullet"/>
      <w:lvlText w:val="•"/>
      <w:lvlJc w:val="left"/>
      <w:pPr>
        <w:ind w:left="7359" w:hanging="356"/>
      </w:pPr>
      <w:rPr>
        <w:rFonts w:hint="default"/>
      </w:rPr>
    </w:lvl>
  </w:abstractNum>
  <w:abstractNum w:abstractNumId="9"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0"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1"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25FA31F2"/>
    <w:multiLevelType w:val="hybridMultilevel"/>
    <w:tmpl w:val="A548535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3" w15:restartNumberingAfterBreak="0">
    <w:nsid w:val="2E3A2F02"/>
    <w:multiLevelType w:val="hybridMultilevel"/>
    <w:tmpl w:val="93FCA76E"/>
    <w:lvl w:ilvl="0" w:tplc="60A62C1C">
      <w:start w:val="5"/>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478A9"/>
    <w:multiLevelType w:val="hybridMultilevel"/>
    <w:tmpl w:val="9E04804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5" w15:restartNumberingAfterBreak="0">
    <w:nsid w:val="308C2547"/>
    <w:multiLevelType w:val="hybridMultilevel"/>
    <w:tmpl w:val="B8F66724"/>
    <w:lvl w:ilvl="0" w:tplc="66A2AC7E">
      <w:start w:val="1"/>
      <w:numFmt w:val="bullet"/>
      <w:lvlText w:val="*"/>
      <w:lvlJc w:val="left"/>
      <w:pPr>
        <w:ind w:left="346" w:hanging="149"/>
      </w:pPr>
      <w:rPr>
        <w:rFonts w:ascii="Times New Roman" w:eastAsia="Times New Roman" w:hAnsi="Times New Roman" w:hint="default"/>
        <w:w w:val="99"/>
        <w:sz w:val="20"/>
        <w:szCs w:val="20"/>
      </w:rPr>
    </w:lvl>
    <w:lvl w:ilvl="1" w:tplc="D4B4B668">
      <w:start w:val="1"/>
      <w:numFmt w:val="bullet"/>
      <w:lvlText w:val=""/>
      <w:lvlJc w:val="left"/>
      <w:pPr>
        <w:ind w:left="838" w:hanging="361"/>
      </w:pPr>
      <w:rPr>
        <w:rFonts w:ascii="Symbol" w:eastAsia="Symbol" w:hAnsi="Symbol" w:hint="default"/>
        <w:sz w:val="22"/>
        <w:szCs w:val="22"/>
      </w:rPr>
    </w:lvl>
    <w:lvl w:ilvl="2" w:tplc="4886BDFC">
      <w:start w:val="1"/>
      <w:numFmt w:val="bullet"/>
      <w:lvlText w:val=""/>
      <w:lvlJc w:val="left"/>
      <w:pPr>
        <w:ind w:left="918" w:hanging="361"/>
      </w:pPr>
      <w:rPr>
        <w:rFonts w:ascii="Symbol" w:eastAsia="Symbol" w:hAnsi="Symbol" w:hint="default"/>
        <w:sz w:val="22"/>
        <w:szCs w:val="22"/>
      </w:rPr>
    </w:lvl>
    <w:lvl w:ilvl="3" w:tplc="E2FED240">
      <w:start w:val="1"/>
      <w:numFmt w:val="bullet"/>
      <w:lvlText w:val="•"/>
      <w:lvlJc w:val="left"/>
      <w:pPr>
        <w:ind w:left="1961" w:hanging="361"/>
      </w:pPr>
      <w:rPr>
        <w:rFonts w:hint="default"/>
      </w:rPr>
    </w:lvl>
    <w:lvl w:ilvl="4" w:tplc="6DF0176C">
      <w:start w:val="1"/>
      <w:numFmt w:val="bullet"/>
      <w:lvlText w:val="•"/>
      <w:lvlJc w:val="left"/>
      <w:pPr>
        <w:ind w:left="3005" w:hanging="361"/>
      </w:pPr>
      <w:rPr>
        <w:rFonts w:hint="default"/>
      </w:rPr>
    </w:lvl>
    <w:lvl w:ilvl="5" w:tplc="ECF2BE06">
      <w:start w:val="1"/>
      <w:numFmt w:val="bullet"/>
      <w:lvlText w:val="•"/>
      <w:lvlJc w:val="left"/>
      <w:pPr>
        <w:ind w:left="4048" w:hanging="361"/>
      </w:pPr>
      <w:rPr>
        <w:rFonts w:hint="default"/>
      </w:rPr>
    </w:lvl>
    <w:lvl w:ilvl="6" w:tplc="6506FDE8">
      <w:start w:val="1"/>
      <w:numFmt w:val="bullet"/>
      <w:lvlText w:val="•"/>
      <w:lvlJc w:val="left"/>
      <w:pPr>
        <w:ind w:left="5092" w:hanging="361"/>
      </w:pPr>
      <w:rPr>
        <w:rFonts w:hint="default"/>
      </w:rPr>
    </w:lvl>
    <w:lvl w:ilvl="7" w:tplc="709C90E0">
      <w:start w:val="1"/>
      <w:numFmt w:val="bullet"/>
      <w:lvlText w:val="•"/>
      <w:lvlJc w:val="left"/>
      <w:pPr>
        <w:ind w:left="6135" w:hanging="361"/>
      </w:pPr>
      <w:rPr>
        <w:rFonts w:hint="default"/>
      </w:rPr>
    </w:lvl>
    <w:lvl w:ilvl="8" w:tplc="8140F0C2">
      <w:start w:val="1"/>
      <w:numFmt w:val="bullet"/>
      <w:lvlText w:val="•"/>
      <w:lvlJc w:val="left"/>
      <w:pPr>
        <w:ind w:left="7179" w:hanging="361"/>
      </w:pPr>
      <w:rPr>
        <w:rFonts w:hint="default"/>
      </w:rPr>
    </w:lvl>
  </w:abstractNum>
  <w:abstractNum w:abstractNumId="16" w15:restartNumberingAfterBreak="0">
    <w:nsid w:val="311828B0"/>
    <w:multiLevelType w:val="hybridMultilevel"/>
    <w:tmpl w:val="B9186C18"/>
    <w:lvl w:ilvl="0" w:tplc="338040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57060"/>
    <w:multiLevelType w:val="hybridMultilevel"/>
    <w:tmpl w:val="CD44340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1"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2" w15:restartNumberingAfterBreak="0">
    <w:nsid w:val="3B306753"/>
    <w:multiLevelType w:val="hybridMultilevel"/>
    <w:tmpl w:val="1DD4AB5C"/>
    <w:lvl w:ilvl="0" w:tplc="56F42B6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4"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6"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4D3F6C"/>
    <w:multiLevelType w:val="hybridMultilevel"/>
    <w:tmpl w:val="819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5647D"/>
    <w:multiLevelType w:val="hybridMultilevel"/>
    <w:tmpl w:val="D0C23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1" w15:restartNumberingAfterBreak="0">
    <w:nsid w:val="5CD773B5"/>
    <w:multiLevelType w:val="hybridMultilevel"/>
    <w:tmpl w:val="51DE40EC"/>
    <w:lvl w:ilvl="0" w:tplc="023C063E">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2" w15:restartNumberingAfterBreak="0">
    <w:nsid w:val="62F8135A"/>
    <w:multiLevelType w:val="hybridMultilevel"/>
    <w:tmpl w:val="2A4ACE64"/>
    <w:lvl w:ilvl="0" w:tplc="12D2452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703C1"/>
    <w:multiLevelType w:val="hybridMultilevel"/>
    <w:tmpl w:val="40E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62F93"/>
    <w:multiLevelType w:val="hybridMultilevel"/>
    <w:tmpl w:val="9A16C4E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5"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554AE"/>
    <w:multiLevelType w:val="hybridMultilevel"/>
    <w:tmpl w:val="D5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26FC3"/>
    <w:multiLevelType w:val="hybridMultilevel"/>
    <w:tmpl w:val="B0AA166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9"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abstractNumId w:val="35"/>
  </w:num>
  <w:num w:numId="2">
    <w:abstractNumId w:val="30"/>
  </w:num>
  <w:num w:numId="3">
    <w:abstractNumId w:val="2"/>
  </w:num>
  <w:num w:numId="4">
    <w:abstractNumId w:val="21"/>
  </w:num>
  <w:num w:numId="5">
    <w:abstractNumId w:val="39"/>
  </w:num>
  <w:num w:numId="6">
    <w:abstractNumId w:val="18"/>
  </w:num>
  <w:num w:numId="7">
    <w:abstractNumId w:val="0"/>
  </w:num>
  <w:num w:numId="8">
    <w:abstractNumId w:val="4"/>
  </w:num>
  <w:num w:numId="9">
    <w:abstractNumId w:val="5"/>
  </w:num>
  <w:num w:numId="10">
    <w:abstractNumId w:val="10"/>
  </w:num>
  <w:num w:numId="11">
    <w:abstractNumId w:val="19"/>
  </w:num>
  <w:num w:numId="12">
    <w:abstractNumId w:val="25"/>
  </w:num>
  <w:num w:numId="13">
    <w:abstractNumId w:val="1"/>
  </w:num>
  <w:num w:numId="14">
    <w:abstractNumId w:val="9"/>
  </w:num>
  <w:num w:numId="15">
    <w:abstractNumId w:val="23"/>
  </w:num>
  <w:num w:numId="16">
    <w:abstractNumId w:val="20"/>
  </w:num>
  <w:num w:numId="17">
    <w:abstractNumId w:val="36"/>
  </w:num>
  <w:num w:numId="18">
    <w:abstractNumId w:val="36"/>
  </w:num>
  <w:num w:numId="19">
    <w:abstractNumId w:val="27"/>
  </w:num>
  <w:num w:numId="20">
    <w:abstractNumId w:val="26"/>
  </w:num>
  <w:num w:numId="21">
    <w:abstractNumId w:val="11"/>
  </w:num>
  <w:num w:numId="22">
    <w:abstractNumId w:val="24"/>
  </w:num>
  <w:num w:numId="23">
    <w:abstractNumId w:val="7"/>
  </w:num>
  <w:num w:numId="24">
    <w:abstractNumId w:val="9"/>
  </w:num>
  <w:num w:numId="25">
    <w:abstractNumId w:val="12"/>
  </w:num>
  <w:num w:numId="26">
    <w:abstractNumId w:val="38"/>
  </w:num>
  <w:num w:numId="27">
    <w:abstractNumId w:val="3"/>
  </w:num>
  <w:num w:numId="28">
    <w:abstractNumId w:val="17"/>
  </w:num>
  <w:num w:numId="29">
    <w:abstractNumId w:val="14"/>
  </w:num>
  <w:num w:numId="30">
    <w:abstractNumId w:val="34"/>
  </w:num>
  <w:num w:numId="31">
    <w:abstractNumId w:val="31"/>
  </w:num>
  <w:num w:numId="32">
    <w:abstractNumId w:val="6"/>
  </w:num>
  <w:num w:numId="33">
    <w:abstractNumId w:val="15"/>
  </w:num>
  <w:num w:numId="34">
    <w:abstractNumId w:val="28"/>
  </w:num>
  <w:num w:numId="35">
    <w:abstractNumId w:val="33"/>
  </w:num>
  <w:num w:numId="36">
    <w:abstractNumId w:val="29"/>
  </w:num>
  <w:num w:numId="37">
    <w:abstractNumId w:val="8"/>
  </w:num>
  <w:num w:numId="38">
    <w:abstractNumId w:val="37"/>
  </w:num>
  <w:num w:numId="39">
    <w:abstractNumId w:val="22"/>
  </w:num>
  <w:num w:numId="40">
    <w:abstractNumId w:val="13"/>
  </w:num>
  <w:num w:numId="41">
    <w:abstractNumId w:val="3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4E0"/>
    <w:rsid w:val="0000473D"/>
    <w:rsid w:val="00005B96"/>
    <w:rsid w:val="00007842"/>
    <w:rsid w:val="00010BAD"/>
    <w:rsid w:val="00011EF9"/>
    <w:rsid w:val="00012072"/>
    <w:rsid w:val="000120FE"/>
    <w:rsid w:val="00015E0F"/>
    <w:rsid w:val="0001647E"/>
    <w:rsid w:val="00017976"/>
    <w:rsid w:val="00020621"/>
    <w:rsid w:val="000206F2"/>
    <w:rsid w:val="000220DF"/>
    <w:rsid w:val="00022607"/>
    <w:rsid w:val="00024636"/>
    <w:rsid w:val="000262FE"/>
    <w:rsid w:val="00030414"/>
    <w:rsid w:val="00030C98"/>
    <w:rsid w:val="00030CDE"/>
    <w:rsid w:val="000330C2"/>
    <w:rsid w:val="0004070E"/>
    <w:rsid w:val="00043661"/>
    <w:rsid w:val="000442DA"/>
    <w:rsid w:val="000457B5"/>
    <w:rsid w:val="00045CF1"/>
    <w:rsid w:val="0004738F"/>
    <w:rsid w:val="00047F87"/>
    <w:rsid w:val="00050C58"/>
    <w:rsid w:val="00052AD2"/>
    <w:rsid w:val="00054CB9"/>
    <w:rsid w:val="00060428"/>
    <w:rsid w:val="000630EC"/>
    <w:rsid w:val="00063128"/>
    <w:rsid w:val="00064E32"/>
    <w:rsid w:val="0006697C"/>
    <w:rsid w:val="00070FA5"/>
    <w:rsid w:val="00071CA9"/>
    <w:rsid w:val="000720CB"/>
    <w:rsid w:val="00074936"/>
    <w:rsid w:val="000774C5"/>
    <w:rsid w:val="00077BFD"/>
    <w:rsid w:val="000806BC"/>
    <w:rsid w:val="00081947"/>
    <w:rsid w:val="000826C2"/>
    <w:rsid w:val="000835BC"/>
    <w:rsid w:val="00085F08"/>
    <w:rsid w:val="00086F91"/>
    <w:rsid w:val="00087F9F"/>
    <w:rsid w:val="0009041F"/>
    <w:rsid w:val="00090EA9"/>
    <w:rsid w:val="000950F0"/>
    <w:rsid w:val="0009530F"/>
    <w:rsid w:val="000A21C3"/>
    <w:rsid w:val="000A569D"/>
    <w:rsid w:val="000A66B9"/>
    <w:rsid w:val="000A7082"/>
    <w:rsid w:val="000B4044"/>
    <w:rsid w:val="000B5EFD"/>
    <w:rsid w:val="000B6326"/>
    <w:rsid w:val="000B74E3"/>
    <w:rsid w:val="000B75A7"/>
    <w:rsid w:val="000B75D7"/>
    <w:rsid w:val="000C042C"/>
    <w:rsid w:val="000C133D"/>
    <w:rsid w:val="000C2A03"/>
    <w:rsid w:val="000C3110"/>
    <w:rsid w:val="000C380B"/>
    <w:rsid w:val="000C4E6A"/>
    <w:rsid w:val="000D1472"/>
    <w:rsid w:val="000D291F"/>
    <w:rsid w:val="000D3105"/>
    <w:rsid w:val="000E13D0"/>
    <w:rsid w:val="000E6902"/>
    <w:rsid w:val="000F32CD"/>
    <w:rsid w:val="000F6A78"/>
    <w:rsid w:val="000F7595"/>
    <w:rsid w:val="0010023F"/>
    <w:rsid w:val="001005C3"/>
    <w:rsid w:val="0010193D"/>
    <w:rsid w:val="00102459"/>
    <w:rsid w:val="00102C26"/>
    <w:rsid w:val="00104BB6"/>
    <w:rsid w:val="0010503C"/>
    <w:rsid w:val="001054C9"/>
    <w:rsid w:val="001072D4"/>
    <w:rsid w:val="001113E0"/>
    <w:rsid w:val="0011205E"/>
    <w:rsid w:val="0011317F"/>
    <w:rsid w:val="00115DE7"/>
    <w:rsid w:val="00117F9D"/>
    <w:rsid w:val="001206BA"/>
    <w:rsid w:val="00121691"/>
    <w:rsid w:val="00124AE1"/>
    <w:rsid w:val="00125DF0"/>
    <w:rsid w:val="00127B6C"/>
    <w:rsid w:val="00131DED"/>
    <w:rsid w:val="001323FE"/>
    <w:rsid w:val="001340F8"/>
    <w:rsid w:val="00135C9A"/>
    <w:rsid w:val="001368F6"/>
    <w:rsid w:val="001370A8"/>
    <w:rsid w:val="00140208"/>
    <w:rsid w:val="00140A3C"/>
    <w:rsid w:val="00140EBE"/>
    <w:rsid w:val="001416A5"/>
    <w:rsid w:val="001420BE"/>
    <w:rsid w:val="00142BE9"/>
    <w:rsid w:val="00143600"/>
    <w:rsid w:val="00143702"/>
    <w:rsid w:val="00146D96"/>
    <w:rsid w:val="00150DEF"/>
    <w:rsid w:val="00151D9C"/>
    <w:rsid w:val="001527DB"/>
    <w:rsid w:val="00154861"/>
    <w:rsid w:val="001559EB"/>
    <w:rsid w:val="001559ED"/>
    <w:rsid w:val="0015605B"/>
    <w:rsid w:val="00161EAD"/>
    <w:rsid w:val="001667B6"/>
    <w:rsid w:val="00170B63"/>
    <w:rsid w:val="00170D83"/>
    <w:rsid w:val="00171263"/>
    <w:rsid w:val="00171273"/>
    <w:rsid w:val="001724A6"/>
    <w:rsid w:val="00173D6D"/>
    <w:rsid w:val="00175245"/>
    <w:rsid w:val="00176136"/>
    <w:rsid w:val="001800A8"/>
    <w:rsid w:val="00180599"/>
    <w:rsid w:val="00182387"/>
    <w:rsid w:val="001828C7"/>
    <w:rsid w:val="00183984"/>
    <w:rsid w:val="00183EE1"/>
    <w:rsid w:val="00184871"/>
    <w:rsid w:val="001848C0"/>
    <w:rsid w:val="00184C49"/>
    <w:rsid w:val="001853E6"/>
    <w:rsid w:val="00185752"/>
    <w:rsid w:val="00185AC3"/>
    <w:rsid w:val="00185E97"/>
    <w:rsid w:val="001901E7"/>
    <w:rsid w:val="00193D64"/>
    <w:rsid w:val="0019518B"/>
    <w:rsid w:val="00195A38"/>
    <w:rsid w:val="00195D25"/>
    <w:rsid w:val="001A18ED"/>
    <w:rsid w:val="001A4782"/>
    <w:rsid w:val="001A4F16"/>
    <w:rsid w:val="001A56D4"/>
    <w:rsid w:val="001A64A2"/>
    <w:rsid w:val="001B4800"/>
    <w:rsid w:val="001B4C0F"/>
    <w:rsid w:val="001B57CF"/>
    <w:rsid w:val="001B5BB7"/>
    <w:rsid w:val="001C046B"/>
    <w:rsid w:val="001C15C2"/>
    <w:rsid w:val="001C1ED9"/>
    <w:rsid w:val="001C32CA"/>
    <w:rsid w:val="001C33C6"/>
    <w:rsid w:val="001C3EE2"/>
    <w:rsid w:val="001C6C97"/>
    <w:rsid w:val="001D14B2"/>
    <w:rsid w:val="001D2BCB"/>
    <w:rsid w:val="001D3144"/>
    <w:rsid w:val="001D3BCE"/>
    <w:rsid w:val="001D4CFA"/>
    <w:rsid w:val="001D5033"/>
    <w:rsid w:val="001D62B5"/>
    <w:rsid w:val="001E155F"/>
    <w:rsid w:val="001E4F20"/>
    <w:rsid w:val="001E751D"/>
    <w:rsid w:val="001F1228"/>
    <w:rsid w:val="001F6294"/>
    <w:rsid w:val="001F6B9D"/>
    <w:rsid w:val="001F6DDC"/>
    <w:rsid w:val="00202196"/>
    <w:rsid w:val="00202F7F"/>
    <w:rsid w:val="00203535"/>
    <w:rsid w:val="00207976"/>
    <w:rsid w:val="002105AF"/>
    <w:rsid w:val="00210655"/>
    <w:rsid w:val="002143BC"/>
    <w:rsid w:val="00221388"/>
    <w:rsid w:val="00221EBE"/>
    <w:rsid w:val="0022249C"/>
    <w:rsid w:val="00223BB9"/>
    <w:rsid w:val="00223CD6"/>
    <w:rsid w:val="00224F43"/>
    <w:rsid w:val="002269C7"/>
    <w:rsid w:val="00226BE0"/>
    <w:rsid w:val="00232425"/>
    <w:rsid w:val="00232F35"/>
    <w:rsid w:val="002332EC"/>
    <w:rsid w:val="002368B7"/>
    <w:rsid w:val="00240521"/>
    <w:rsid w:val="00240E39"/>
    <w:rsid w:val="00242C13"/>
    <w:rsid w:val="00243BD7"/>
    <w:rsid w:val="0024450D"/>
    <w:rsid w:val="00244FD5"/>
    <w:rsid w:val="002457F4"/>
    <w:rsid w:val="00245E10"/>
    <w:rsid w:val="00247A38"/>
    <w:rsid w:val="0025036B"/>
    <w:rsid w:val="00251094"/>
    <w:rsid w:val="002557B8"/>
    <w:rsid w:val="0025720E"/>
    <w:rsid w:val="00260053"/>
    <w:rsid w:val="002731DB"/>
    <w:rsid w:val="00273BB0"/>
    <w:rsid w:val="00274309"/>
    <w:rsid w:val="002766EB"/>
    <w:rsid w:val="00282633"/>
    <w:rsid w:val="00284887"/>
    <w:rsid w:val="0028733E"/>
    <w:rsid w:val="0029003F"/>
    <w:rsid w:val="00290272"/>
    <w:rsid w:val="00290C44"/>
    <w:rsid w:val="00292EEB"/>
    <w:rsid w:val="00294259"/>
    <w:rsid w:val="002964BA"/>
    <w:rsid w:val="002A2A11"/>
    <w:rsid w:val="002A56F9"/>
    <w:rsid w:val="002B326E"/>
    <w:rsid w:val="002B6FE2"/>
    <w:rsid w:val="002B72A1"/>
    <w:rsid w:val="002C04DD"/>
    <w:rsid w:val="002C08EC"/>
    <w:rsid w:val="002C0B97"/>
    <w:rsid w:val="002C0D66"/>
    <w:rsid w:val="002D0663"/>
    <w:rsid w:val="002D07B7"/>
    <w:rsid w:val="002D0F36"/>
    <w:rsid w:val="002D1B67"/>
    <w:rsid w:val="002D29B3"/>
    <w:rsid w:val="002D32A6"/>
    <w:rsid w:val="002E0AB4"/>
    <w:rsid w:val="002E16E8"/>
    <w:rsid w:val="002E2F4E"/>
    <w:rsid w:val="002E30F6"/>
    <w:rsid w:val="002E42C6"/>
    <w:rsid w:val="002E57A3"/>
    <w:rsid w:val="002E590F"/>
    <w:rsid w:val="002E5A4F"/>
    <w:rsid w:val="002E6AA4"/>
    <w:rsid w:val="002E72FB"/>
    <w:rsid w:val="002E7D43"/>
    <w:rsid w:val="002F0C0C"/>
    <w:rsid w:val="002F1776"/>
    <w:rsid w:val="002F49AF"/>
    <w:rsid w:val="002F575F"/>
    <w:rsid w:val="002F576D"/>
    <w:rsid w:val="002F6115"/>
    <w:rsid w:val="00302CC5"/>
    <w:rsid w:val="00304014"/>
    <w:rsid w:val="00310993"/>
    <w:rsid w:val="00313FC6"/>
    <w:rsid w:val="00314BCF"/>
    <w:rsid w:val="00315F51"/>
    <w:rsid w:val="00316975"/>
    <w:rsid w:val="003201AA"/>
    <w:rsid w:val="00320E4E"/>
    <w:rsid w:val="00321D5A"/>
    <w:rsid w:val="003224A9"/>
    <w:rsid w:val="00325263"/>
    <w:rsid w:val="0032542D"/>
    <w:rsid w:val="00327691"/>
    <w:rsid w:val="00333699"/>
    <w:rsid w:val="00334F49"/>
    <w:rsid w:val="00335609"/>
    <w:rsid w:val="00335C80"/>
    <w:rsid w:val="0033630D"/>
    <w:rsid w:val="00342326"/>
    <w:rsid w:val="003440F7"/>
    <w:rsid w:val="00344D2D"/>
    <w:rsid w:val="003502BF"/>
    <w:rsid w:val="00350645"/>
    <w:rsid w:val="003518E6"/>
    <w:rsid w:val="00354CC3"/>
    <w:rsid w:val="003563B8"/>
    <w:rsid w:val="00360488"/>
    <w:rsid w:val="00361598"/>
    <w:rsid w:val="0036304C"/>
    <w:rsid w:val="003634D4"/>
    <w:rsid w:val="00364D4F"/>
    <w:rsid w:val="0036572F"/>
    <w:rsid w:val="00370910"/>
    <w:rsid w:val="003737B6"/>
    <w:rsid w:val="0038179F"/>
    <w:rsid w:val="00381B50"/>
    <w:rsid w:val="00382655"/>
    <w:rsid w:val="00383484"/>
    <w:rsid w:val="00383A27"/>
    <w:rsid w:val="003875C1"/>
    <w:rsid w:val="003904CE"/>
    <w:rsid w:val="00391010"/>
    <w:rsid w:val="0039150A"/>
    <w:rsid w:val="0039160F"/>
    <w:rsid w:val="00392DFF"/>
    <w:rsid w:val="003960A6"/>
    <w:rsid w:val="003A09CF"/>
    <w:rsid w:val="003A1667"/>
    <w:rsid w:val="003A1E78"/>
    <w:rsid w:val="003A7C91"/>
    <w:rsid w:val="003C2FFD"/>
    <w:rsid w:val="003C6165"/>
    <w:rsid w:val="003C68EE"/>
    <w:rsid w:val="003C6A3B"/>
    <w:rsid w:val="003D12F4"/>
    <w:rsid w:val="003D185B"/>
    <w:rsid w:val="003D1C6B"/>
    <w:rsid w:val="003D2390"/>
    <w:rsid w:val="003D44D4"/>
    <w:rsid w:val="003D47ED"/>
    <w:rsid w:val="003D623B"/>
    <w:rsid w:val="003E07C5"/>
    <w:rsid w:val="003E37B0"/>
    <w:rsid w:val="003E4739"/>
    <w:rsid w:val="003E4A60"/>
    <w:rsid w:val="003E66DC"/>
    <w:rsid w:val="003F105B"/>
    <w:rsid w:val="003F6DA1"/>
    <w:rsid w:val="003F7DC6"/>
    <w:rsid w:val="00401B8A"/>
    <w:rsid w:val="0040276D"/>
    <w:rsid w:val="00402F96"/>
    <w:rsid w:val="0040316A"/>
    <w:rsid w:val="00410591"/>
    <w:rsid w:val="0041391A"/>
    <w:rsid w:val="00413D82"/>
    <w:rsid w:val="004205AF"/>
    <w:rsid w:val="004250C0"/>
    <w:rsid w:val="00426DA8"/>
    <w:rsid w:val="00426ECC"/>
    <w:rsid w:val="0043060E"/>
    <w:rsid w:val="00430924"/>
    <w:rsid w:val="00433F27"/>
    <w:rsid w:val="00435CC3"/>
    <w:rsid w:val="00436BCC"/>
    <w:rsid w:val="00440C0F"/>
    <w:rsid w:val="0044110C"/>
    <w:rsid w:val="00441742"/>
    <w:rsid w:val="00444EBE"/>
    <w:rsid w:val="00445FEE"/>
    <w:rsid w:val="0045326E"/>
    <w:rsid w:val="0045381A"/>
    <w:rsid w:val="0045463C"/>
    <w:rsid w:val="004554E9"/>
    <w:rsid w:val="00456CD4"/>
    <w:rsid w:val="00457562"/>
    <w:rsid w:val="00462154"/>
    <w:rsid w:val="004640E1"/>
    <w:rsid w:val="0046635D"/>
    <w:rsid w:val="004666BE"/>
    <w:rsid w:val="004708DE"/>
    <w:rsid w:val="00471360"/>
    <w:rsid w:val="0047366E"/>
    <w:rsid w:val="00476E96"/>
    <w:rsid w:val="00480197"/>
    <w:rsid w:val="00486818"/>
    <w:rsid w:val="004926E8"/>
    <w:rsid w:val="004952BD"/>
    <w:rsid w:val="0049650B"/>
    <w:rsid w:val="004A0313"/>
    <w:rsid w:val="004A45B2"/>
    <w:rsid w:val="004A60F6"/>
    <w:rsid w:val="004A6F42"/>
    <w:rsid w:val="004B109A"/>
    <w:rsid w:val="004B44EE"/>
    <w:rsid w:val="004B51BA"/>
    <w:rsid w:val="004B66BB"/>
    <w:rsid w:val="004B6FD1"/>
    <w:rsid w:val="004B7119"/>
    <w:rsid w:val="004B79CC"/>
    <w:rsid w:val="004B7C42"/>
    <w:rsid w:val="004C176E"/>
    <w:rsid w:val="004C3118"/>
    <w:rsid w:val="004C384A"/>
    <w:rsid w:val="004C3FA7"/>
    <w:rsid w:val="004C53EE"/>
    <w:rsid w:val="004C6999"/>
    <w:rsid w:val="004C7F0E"/>
    <w:rsid w:val="004D08BB"/>
    <w:rsid w:val="004D27CA"/>
    <w:rsid w:val="004D3804"/>
    <w:rsid w:val="004D3A1E"/>
    <w:rsid w:val="004D550F"/>
    <w:rsid w:val="004D5FB7"/>
    <w:rsid w:val="004D5FD5"/>
    <w:rsid w:val="004E4985"/>
    <w:rsid w:val="004F1EBB"/>
    <w:rsid w:val="004F337E"/>
    <w:rsid w:val="004F4378"/>
    <w:rsid w:val="004F55BC"/>
    <w:rsid w:val="004F650B"/>
    <w:rsid w:val="004F6645"/>
    <w:rsid w:val="00501312"/>
    <w:rsid w:val="005014DD"/>
    <w:rsid w:val="00503043"/>
    <w:rsid w:val="00506565"/>
    <w:rsid w:val="0050790C"/>
    <w:rsid w:val="00511685"/>
    <w:rsid w:val="0051180C"/>
    <w:rsid w:val="00511F73"/>
    <w:rsid w:val="00512C95"/>
    <w:rsid w:val="00512DC1"/>
    <w:rsid w:val="00515402"/>
    <w:rsid w:val="00524368"/>
    <w:rsid w:val="0052459C"/>
    <w:rsid w:val="00524A10"/>
    <w:rsid w:val="005250D6"/>
    <w:rsid w:val="00525E6F"/>
    <w:rsid w:val="005273E3"/>
    <w:rsid w:val="00530CA3"/>
    <w:rsid w:val="00532737"/>
    <w:rsid w:val="005364BB"/>
    <w:rsid w:val="00544237"/>
    <w:rsid w:val="00544E53"/>
    <w:rsid w:val="0054799F"/>
    <w:rsid w:val="00550AC8"/>
    <w:rsid w:val="005541DD"/>
    <w:rsid w:val="00560A0A"/>
    <w:rsid w:val="00562FB1"/>
    <w:rsid w:val="00564F05"/>
    <w:rsid w:val="00572FA9"/>
    <w:rsid w:val="005730EF"/>
    <w:rsid w:val="0057493C"/>
    <w:rsid w:val="00575F6A"/>
    <w:rsid w:val="00581BA3"/>
    <w:rsid w:val="00583644"/>
    <w:rsid w:val="00584E4E"/>
    <w:rsid w:val="00585A9F"/>
    <w:rsid w:val="0058759A"/>
    <w:rsid w:val="005878D4"/>
    <w:rsid w:val="00587AA4"/>
    <w:rsid w:val="00593A24"/>
    <w:rsid w:val="005A0AEF"/>
    <w:rsid w:val="005A2E6A"/>
    <w:rsid w:val="005A2F27"/>
    <w:rsid w:val="005A3192"/>
    <w:rsid w:val="005A324C"/>
    <w:rsid w:val="005A389F"/>
    <w:rsid w:val="005A3AB7"/>
    <w:rsid w:val="005A4986"/>
    <w:rsid w:val="005A5D66"/>
    <w:rsid w:val="005A6B3C"/>
    <w:rsid w:val="005A7FC8"/>
    <w:rsid w:val="005B45F5"/>
    <w:rsid w:val="005B49CA"/>
    <w:rsid w:val="005B7447"/>
    <w:rsid w:val="005C0347"/>
    <w:rsid w:val="005C038E"/>
    <w:rsid w:val="005C0B29"/>
    <w:rsid w:val="005C1CF0"/>
    <w:rsid w:val="005C3F2E"/>
    <w:rsid w:val="005C4363"/>
    <w:rsid w:val="005C7987"/>
    <w:rsid w:val="005D60B7"/>
    <w:rsid w:val="005E1631"/>
    <w:rsid w:val="005E17AE"/>
    <w:rsid w:val="005E47D7"/>
    <w:rsid w:val="005E58DC"/>
    <w:rsid w:val="005F09D6"/>
    <w:rsid w:val="005F1900"/>
    <w:rsid w:val="005F1D06"/>
    <w:rsid w:val="005F4C9C"/>
    <w:rsid w:val="005F4DC5"/>
    <w:rsid w:val="00600DE4"/>
    <w:rsid w:val="00601726"/>
    <w:rsid w:val="006022EF"/>
    <w:rsid w:val="00602CD9"/>
    <w:rsid w:val="00604DA5"/>
    <w:rsid w:val="00606597"/>
    <w:rsid w:val="00606B31"/>
    <w:rsid w:val="00611366"/>
    <w:rsid w:val="0061191D"/>
    <w:rsid w:val="0061245B"/>
    <w:rsid w:val="006208E0"/>
    <w:rsid w:val="00623664"/>
    <w:rsid w:val="0062481A"/>
    <w:rsid w:val="0062667B"/>
    <w:rsid w:val="0063042E"/>
    <w:rsid w:val="006305EC"/>
    <w:rsid w:val="00630999"/>
    <w:rsid w:val="00631BA0"/>
    <w:rsid w:val="006329F0"/>
    <w:rsid w:val="00634A4A"/>
    <w:rsid w:val="006401D4"/>
    <w:rsid w:val="00640240"/>
    <w:rsid w:val="00640325"/>
    <w:rsid w:val="006406DD"/>
    <w:rsid w:val="006450A5"/>
    <w:rsid w:val="006475B1"/>
    <w:rsid w:val="00654C92"/>
    <w:rsid w:val="00655729"/>
    <w:rsid w:val="00660CA6"/>
    <w:rsid w:val="00662F82"/>
    <w:rsid w:val="00664E0C"/>
    <w:rsid w:val="006657F9"/>
    <w:rsid w:val="00667E86"/>
    <w:rsid w:val="00670A47"/>
    <w:rsid w:val="00672FB8"/>
    <w:rsid w:val="00673198"/>
    <w:rsid w:val="00673B7C"/>
    <w:rsid w:val="00674507"/>
    <w:rsid w:val="00674D5A"/>
    <w:rsid w:val="0067568E"/>
    <w:rsid w:val="00675AA5"/>
    <w:rsid w:val="00676750"/>
    <w:rsid w:val="006779F8"/>
    <w:rsid w:val="00677EE8"/>
    <w:rsid w:val="00682CF3"/>
    <w:rsid w:val="00685823"/>
    <w:rsid w:val="00685D53"/>
    <w:rsid w:val="006876AE"/>
    <w:rsid w:val="00687A56"/>
    <w:rsid w:val="006911F2"/>
    <w:rsid w:val="0069180D"/>
    <w:rsid w:val="00691C2C"/>
    <w:rsid w:val="0069253A"/>
    <w:rsid w:val="00694A10"/>
    <w:rsid w:val="006950D0"/>
    <w:rsid w:val="00695690"/>
    <w:rsid w:val="006A1538"/>
    <w:rsid w:val="006A1754"/>
    <w:rsid w:val="006A1778"/>
    <w:rsid w:val="006A382C"/>
    <w:rsid w:val="006A44C1"/>
    <w:rsid w:val="006A4B54"/>
    <w:rsid w:val="006A551E"/>
    <w:rsid w:val="006A5C86"/>
    <w:rsid w:val="006A6C6B"/>
    <w:rsid w:val="006A75BA"/>
    <w:rsid w:val="006B0FDF"/>
    <w:rsid w:val="006B1F21"/>
    <w:rsid w:val="006B2DB4"/>
    <w:rsid w:val="006B4F60"/>
    <w:rsid w:val="006B62DB"/>
    <w:rsid w:val="006B7F91"/>
    <w:rsid w:val="006C0348"/>
    <w:rsid w:val="006C2CB5"/>
    <w:rsid w:val="006C3522"/>
    <w:rsid w:val="006C3617"/>
    <w:rsid w:val="006C39FE"/>
    <w:rsid w:val="006C49B7"/>
    <w:rsid w:val="006D0283"/>
    <w:rsid w:val="006D0D5E"/>
    <w:rsid w:val="006D1E8D"/>
    <w:rsid w:val="006D2F5B"/>
    <w:rsid w:val="006D61A5"/>
    <w:rsid w:val="006D6D6B"/>
    <w:rsid w:val="006E1481"/>
    <w:rsid w:val="006E21EB"/>
    <w:rsid w:val="006E39E4"/>
    <w:rsid w:val="006E3D0C"/>
    <w:rsid w:val="006E4BD1"/>
    <w:rsid w:val="006E5380"/>
    <w:rsid w:val="006E6F39"/>
    <w:rsid w:val="006E7776"/>
    <w:rsid w:val="006F3947"/>
    <w:rsid w:val="006F5D0A"/>
    <w:rsid w:val="006F7AF6"/>
    <w:rsid w:val="006F7CE5"/>
    <w:rsid w:val="00701091"/>
    <w:rsid w:val="00701E0F"/>
    <w:rsid w:val="00702CE0"/>
    <w:rsid w:val="00703DF7"/>
    <w:rsid w:val="00704F2B"/>
    <w:rsid w:val="00705CB2"/>
    <w:rsid w:val="00707BC0"/>
    <w:rsid w:val="00710EB0"/>
    <w:rsid w:val="00712981"/>
    <w:rsid w:val="00714208"/>
    <w:rsid w:val="007228FE"/>
    <w:rsid w:val="00723878"/>
    <w:rsid w:val="00724F1E"/>
    <w:rsid w:val="00725222"/>
    <w:rsid w:val="00725F03"/>
    <w:rsid w:val="00727AB4"/>
    <w:rsid w:val="00727CEC"/>
    <w:rsid w:val="00732DB3"/>
    <w:rsid w:val="0073399F"/>
    <w:rsid w:val="00737A65"/>
    <w:rsid w:val="007410EA"/>
    <w:rsid w:val="007421BE"/>
    <w:rsid w:val="007508DD"/>
    <w:rsid w:val="00752705"/>
    <w:rsid w:val="007528A9"/>
    <w:rsid w:val="007558B8"/>
    <w:rsid w:val="0075598F"/>
    <w:rsid w:val="00755DDA"/>
    <w:rsid w:val="007573A0"/>
    <w:rsid w:val="007608DF"/>
    <w:rsid w:val="00760F57"/>
    <w:rsid w:val="00762933"/>
    <w:rsid w:val="00765551"/>
    <w:rsid w:val="00765DE7"/>
    <w:rsid w:val="00767440"/>
    <w:rsid w:val="00770173"/>
    <w:rsid w:val="00770B40"/>
    <w:rsid w:val="0077104B"/>
    <w:rsid w:val="00772EFE"/>
    <w:rsid w:val="00773705"/>
    <w:rsid w:val="00774BE2"/>
    <w:rsid w:val="0077696E"/>
    <w:rsid w:val="00777CD7"/>
    <w:rsid w:val="00780CBF"/>
    <w:rsid w:val="007815B0"/>
    <w:rsid w:val="00781852"/>
    <w:rsid w:val="00783296"/>
    <w:rsid w:val="00783666"/>
    <w:rsid w:val="007879C6"/>
    <w:rsid w:val="007907BF"/>
    <w:rsid w:val="007911AF"/>
    <w:rsid w:val="0079131E"/>
    <w:rsid w:val="00793075"/>
    <w:rsid w:val="00795170"/>
    <w:rsid w:val="00795319"/>
    <w:rsid w:val="007A0486"/>
    <w:rsid w:val="007A1196"/>
    <w:rsid w:val="007A270A"/>
    <w:rsid w:val="007A3F8D"/>
    <w:rsid w:val="007A4F5C"/>
    <w:rsid w:val="007A4FDB"/>
    <w:rsid w:val="007A5E85"/>
    <w:rsid w:val="007B0CCF"/>
    <w:rsid w:val="007B16B8"/>
    <w:rsid w:val="007B5F7B"/>
    <w:rsid w:val="007B7017"/>
    <w:rsid w:val="007C0CF2"/>
    <w:rsid w:val="007C3607"/>
    <w:rsid w:val="007C575C"/>
    <w:rsid w:val="007D1973"/>
    <w:rsid w:val="007D6BFD"/>
    <w:rsid w:val="007E42C2"/>
    <w:rsid w:val="007E5A0A"/>
    <w:rsid w:val="007F06F9"/>
    <w:rsid w:val="007F131A"/>
    <w:rsid w:val="007F2559"/>
    <w:rsid w:val="007F5776"/>
    <w:rsid w:val="007F5CA7"/>
    <w:rsid w:val="007F6E1B"/>
    <w:rsid w:val="00800DF8"/>
    <w:rsid w:val="0080104B"/>
    <w:rsid w:val="00801793"/>
    <w:rsid w:val="00801866"/>
    <w:rsid w:val="00801A56"/>
    <w:rsid w:val="00802ABE"/>
    <w:rsid w:val="008035E0"/>
    <w:rsid w:val="008037A5"/>
    <w:rsid w:val="00804C7A"/>
    <w:rsid w:val="008105C4"/>
    <w:rsid w:val="0081175C"/>
    <w:rsid w:val="00812D94"/>
    <w:rsid w:val="00813BF6"/>
    <w:rsid w:val="008142CA"/>
    <w:rsid w:val="00815C41"/>
    <w:rsid w:val="008201A9"/>
    <w:rsid w:val="00820A37"/>
    <w:rsid w:val="008220F4"/>
    <w:rsid w:val="00822B26"/>
    <w:rsid w:val="00823860"/>
    <w:rsid w:val="008255CF"/>
    <w:rsid w:val="008257FA"/>
    <w:rsid w:val="00826FB4"/>
    <w:rsid w:val="00827E21"/>
    <w:rsid w:val="00827EF6"/>
    <w:rsid w:val="00834F18"/>
    <w:rsid w:val="00835740"/>
    <w:rsid w:val="00836BB3"/>
    <w:rsid w:val="00837DF8"/>
    <w:rsid w:val="00840164"/>
    <w:rsid w:val="00841DFA"/>
    <w:rsid w:val="00842C77"/>
    <w:rsid w:val="008431A6"/>
    <w:rsid w:val="0084404F"/>
    <w:rsid w:val="00850BEF"/>
    <w:rsid w:val="008510BC"/>
    <w:rsid w:val="008522C0"/>
    <w:rsid w:val="008538B2"/>
    <w:rsid w:val="00853E6B"/>
    <w:rsid w:val="00856862"/>
    <w:rsid w:val="00856967"/>
    <w:rsid w:val="00857EE6"/>
    <w:rsid w:val="0087187A"/>
    <w:rsid w:val="0087342B"/>
    <w:rsid w:val="00874DF8"/>
    <w:rsid w:val="008751A7"/>
    <w:rsid w:val="00881804"/>
    <w:rsid w:val="00883E3C"/>
    <w:rsid w:val="00884809"/>
    <w:rsid w:val="008865C4"/>
    <w:rsid w:val="00891FC9"/>
    <w:rsid w:val="00892892"/>
    <w:rsid w:val="00892AAB"/>
    <w:rsid w:val="00896533"/>
    <w:rsid w:val="00897DAB"/>
    <w:rsid w:val="008A13F4"/>
    <w:rsid w:val="008A3F16"/>
    <w:rsid w:val="008A4A4C"/>
    <w:rsid w:val="008A6391"/>
    <w:rsid w:val="008A6FBF"/>
    <w:rsid w:val="008A763D"/>
    <w:rsid w:val="008B6736"/>
    <w:rsid w:val="008C0B1A"/>
    <w:rsid w:val="008C1609"/>
    <w:rsid w:val="008C1E6E"/>
    <w:rsid w:val="008C331C"/>
    <w:rsid w:val="008C3B9F"/>
    <w:rsid w:val="008C41AC"/>
    <w:rsid w:val="008C4552"/>
    <w:rsid w:val="008C548B"/>
    <w:rsid w:val="008C6D63"/>
    <w:rsid w:val="008C7A5D"/>
    <w:rsid w:val="008D067E"/>
    <w:rsid w:val="008D30B8"/>
    <w:rsid w:val="008D458F"/>
    <w:rsid w:val="008F1F9C"/>
    <w:rsid w:val="008F224B"/>
    <w:rsid w:val="008F36F2"/>
    <w:rsid w:val="008F66F8"/>
    <w:rsid w:val="008F72A5"/>
    <w:rsid w:val="008F7B6A"/>
    <w:rsid w:val="00905B3F"/>
    <w:rsid w:val="0090658A"/>
    <w:rsid w:val="00907C0F"/>
    <w:rsid w:val="00910253"/>
    <w:rsid w:val="00915497"/>
    <w:rsid w:val="00915B2B"/>
    <w:rsid w:val="00920FF6"/>
    <w:rsid w:val="0092511B"/>
    <w:rsid w:val="0092587E"/>
    <w:rsid w:val="00925C4F"/>
    <w:rsid w:val="00926E29"/>
    <w:rsid w:val="00931B94"/>
    <w:rsid w:val="00932A9B"/>
    <w:rsid w:val="00934346"/>
    <w:rsid w:val="00935315"/>
    <w:rsid w:val="00935ED9"/>
    <w:rsid w:val="00936843"/>
    <w:rsid w:val="009406FB"/>
    <w:rsid w:val="00943EE5"/>
    <w:rsid w:val="0094799E"/>
    <w:rsid w:val="00950CD9"/>
    <w:rsid w:val="00950FB7"/>
    <w:rsid w:val="009549CF"/>
    <w:rsid w:val="009559EA"/>
    <w:rsid w:val="00957D8D"/>
    <w:rsid w:val="00960315"/>
    <w:rsid w:val="00960927"/>
    <w:rsid w:val="0096308D"/>
    <w:rsid w:val="00966A52"/>
    <w:rsid w:val="00967193"/>
    <w:rsid w:val="009705DF"/>
    <w:rsid w:val="00970E2D"/>
    <w:rsid w:val="0097277E"/>
    <w:rsid w:val="00972D3C"/>
    <w:rsid w:val="009734DB"/>
    <w:rsid w:val="00973DEF"/>
    <w:rsid w:val="009750FE"/>
    <w:rsid w:val="009751F8"/>
    <w:rsid w:val="009762D7"/>
    <w:rsid w:val="00977B47"/>
    <w:rsid w:val="00980A30"/>
    <w:rsid w:val="00982A92"/>
    <w:rsid w:val="00984127"/>
    <w:rsid w:val="00985564"/>
    <w:rsid w:val="00986D8D"/>
    <w:rsid w:val="009917AA"/>
    <w:rsid w:val="00991DDD"/>
    <w:rsid w:val="00994AD9"/>
    <w:rsid w:val="00995DDC"/>
    <w:rsid w:val="00996126"/>
    <w:rsid w:val="00997127"/>
    <w:rsid w:val="009A037B"/>
    <w:rsid w:val="009A22F7"/>
    <w:rsid w:val="009A4E99"/>
    <w:rsid w:val="009A7442"/>
    <w:rsid w:val="009B0756"/>
    <w:rsid w:val="009B178B"/>
    <w:rsid w:val="009B1B6F"/>
    <w:rsid w:val="009B607A"/>
    <w:rsid w:val="009C1DDB"/>
    <w:rsid w:val="009C3226"/>
    <w:rsid w:val="009C6098"/>
    <w:rsid w:val="009D2BF4"/>
    <w:rsid w:val="009D317A"/>
    <w:rsid w:val="009D53A5"/>
    <w:rsid w:val="009D5778"/>
    <w:rsid w:val="009D5BA6"/>
    <w:rsid w:val="009E0E5C"/>
    <w:rsid w:val="009E1BCC"/>
    <w:rsid w:val="009E3D2C"/>
    <w:rsid w:val="009E4099"/>
    <w:rsid w:val="009E4126"/>
    <w:rsid w:val="009E4E3A"/>
    <w:rsid w:val="009E6939"/>
    <w:rsid w:val="009F09E9"/>
    <w:rsid w:val="009F1CDF"/>
    <w:rsid w:val="009F3D96"/>
    <w:rsid w:val="00A002CA"/>
    <w:rsid w:val="00A0114B"/>
    <w:rsid w:val="00A03629"/>
    <w:rsid w:val="00A03CD1"/>
    <w:rsid w:val="00A040A2"/>
    <w:rsid w:val="00A04220"/>
    <w:rsid w:val="00A05E2F"/>
    <w:rsid w:val="00A0718D"/>
    <w:rsid w:val="00A07A74"/>
    <w:rsid w:val="00A11538"/>
    <w:rsid w:val="00A11F87"/>
    <w:rsid w:val="00A1373A"/>
    <w:rsid w:val="00A14C24"/>
    <w:rsid w:val="00A228B8"/>
    <w:rsid w:val="00A25E2A"/>
    <w:rsid w:val="00A35C82"/>
    <w:rsid w:val="00A3673B"/>
    <w:rsid w:val="00A37F62"/>
    <w:rsid w:val="00A41DFF"/>
    <w:rsid w:val="00A43ADF"/>
    <w:rsid w:val="00A44A20"/>
    <w:rsid w:val="00A44CB9"/>
    <w:rsid w:val="00A44D11"/>
    <w:rsid w:val="00A451B6"/>
    <w:rsid w:val="00A46FD8"/>
    <w:rsid w:val="00A4780E"/>
    <w:rsid w:val="00A47998"/>
    <w:rsid w:val="00A47A48"/>
    <w:rsid w:val="00A50FB0"/>
    <w:rsid w:val="00A51876"/>
    <w:rsid w:val="00A51ACA"/>
    <w:rsid w:val="00A52227"/>
    <w:rsid w:val="00A5343F"/>
    <w:rsid w:val="00A5423D"/>
    <w:rsid w:val="00A542C9"/>
    <w:rsid w:val="00A57576"/>
    <w:rsid w:val="00A6040A"/>
    <w:rsid w:val="00A60466"/>
    <w:rsid w:val="00A6073B"/>
    <w:rsid w:val="00A61918"/>
    <w:rsid w:val="00A64B54"/>
    <w:rsid w:val="00A64F26"/>
    <w:rsid w:val="00A67873"/>
    <w:rsid w:val="00A70122"/>
    <w:rsid w:val="00A71C5A"/>
    <w:rsid w:val="00A72B6B"/>
    <w:rsid w:val="00A73EB7"/>
    <w:rsid w:val="00A74D13"/>
    <w:rsid w:val="00A751CF"/>
    <w:rsid w:val="00A760C7"/>
    <w:rsid w:val="00A77FB6"/>
    <w:rsid w:val="00A80403"/>
    <w:rsid w:val="00A80648"/>
    <w:rsid w:val="00A90756"/>
    <w:rsid w:val="00A91452"/>
    <w:rsid w:val="00A9151E"/>
    <w:rsid w:val="00A91ED0"/>
    <w:rsid w:val="00A92A1F"/>
    <w:rsid w:val="00A95A3E"/>
    <w:rsid w:val="00A963EB"/>
    <w:rsid w:val="00A97CAB"/>
    <w:rsid w:val="00AA0298"/>
    <w:rsid w:val="00AA14F8"/>
    <w:rsid w:val="00AA17A7"/>
    <w:rsid w:val="00AA3281"/>
    <w:rsid w:val="00AA389C"/>
    <w:rsid w:val="00AA4419"/>
    <w:rsid w:val="00AA6BB7"/>
    <w:rsid w:val="00AB4765"/>
    <w:rsid w:val="00AB5577"/>
    <w:rsid w:val="00AB5F3D"/>
    <w:rsid w:val="00AB66EE"/>
    <w:rsid w:val="00AB6D23"/>
    <w:rsid w:val="00AB7297"/>
    <w:rsid w:val="00AB73AD"/>
    <w:rsid w:val="00AC0AD1"/>
    <w:rsid w:val="00AC3A35"/>
    <w:rsid w:val="00AC5FED"/>
    <w:rsid w:val="00AD0244"/>
    <w:rsid w:val="00AD0E72"/>
    <w:rsid w:val="00AD2854"/>
    <w:rsid w:val="00AD471C"/>
    <w:rsid w:val="00AD7E3D"/>
    <w:rsid w:val="00AE31F6"/>
    <w:rsid w:val="00AE72E3"/>
    <w:rsid w:val="00AE7A51"/>
    <w:rsid w:val="00AF0218"/>
    <w:rsid w:val="00AF07EA"/>
    <w:rsid w:val="00AF0A19"/>
    <w:rsid w:val="00AF4438"/>
    <w:rsid w:val="00AF514D"/>
    <w:rsid w:val="00AF5221"/>
    <w:rsid w:val="00AF6E2E"/>
    <w:rsid w:val="00AF70F6"/>
    <w:rsid w:val="00AF735A"/>
    <w:rsid w:val="00B0112B"/>
    <w:rsid w:val="00B026BE"/>
    <w:rsid w:val="00B045F7"/>
    <w:rsid w:val="00B049ED"/>
    <w:rsid w:val="00B04C5C"/>
    <w:rsid w:val="00B06C94"/>
    <w:rsid w:val="00B072FB"/>
    <w:rsid w:val="00B10528"/>
    <w:rsid w:val="00B11B98"/>
    <w:rsid w:val="00B13A7D"/>
    <w:rsid w:val="00B143F7"/>
    <w:rsid w:val="00B14F5E"/>
    <w:rsid w:val="00B15D97"/>
    <w:rsid w:val="00B17511"/>
    <w:rsid w:val="00B2137C"/>
    <w:rsid w:val="00B22025"/>
    <w:rsid w:val="00B24831"/>
    <w:rsid w:val="00B30BFD"/>
    <w:rsid w:val="00B310A3"/>
    <w:rsid w:val="00B320FD"/>
    <w:rsid w:val="00B355EA"/>
    <w:rsid w:val="00B419F6"/>
    <w:rsid w:val="00B41B17"/>
    <w:rsid w:val="00B4232F"/>
    <w:rsid w:val="00B445A2"/>
    <w:rsid w:val="00B45740"/>
    <w:rsid w:val="00B50612"/>
    <w:rsid w:val="00B529FC"/>
    <w:rsid w:val="00B5345B"/>
    <w:rsid w:val="00B56F29"/>
    <w:rsid w:val="00B6070A"/>
    <w:rsid w:val="00B667CC"/>
    <w:rsid w:val="00B6722A"/>
    <w:rsid w:val="00B6748C"/>
    <w:rsid w:val="00B738E2"/>
    <w:rsid w:val="00B75265"/>
    <w:rsid w:val="00B76311"/>
    <w:rsid w:val="00B76B09"/>
    <w:rsid w:val="00B80084"/>
    <w:rsid w:val="00B8688C"/>
    <w:rsid w:val="00B92E27"/>
    <w:rsid w:val="00BA04C9"/>
    <w:rsid w:val="00BA27D3"/>
    <w:rsid w:val="00BA48C4"/>
    <w:rsid w:val="00BA4CF7"/>
    <w:rsid w:val="00BA5B2C"/>
    <w:rsid w:val="00BA5BE8"/>
    <w:rsid w:val="00BA6F28"/>
    <w:rsid w:val="00BA77DE"/>
    <w:rsid w:val="00BB06A3"/>
    <w:rsid w:val="00BB3069"/>
    <w:rsid w:val="00BB4870"/>
    <w:rsid w:val="00BB4A1E"/>
    <w:rsid w:val="00BB6AE0"/>
    <w:rsid w:val="00BC0A13"/>
    <w:rsid w:val="00BC10F0"/>
    <w:rsid w:val="00BC2F11"/>
    <w:rsid w:val="00BC2FD0"/>
    <w:rsid w:val="00BC3AA0"/>
    <w:rsid w:val="00BC5FFD"/>
    <w:rsid w:val="00BD0337"/>
    <w:rsid w:val="00BD2FC3"/>
    <w:rsid w:val="00BD460C"/>
    <w:rsid w:val="00BD65B9"/>
    <w:rsid w:val="00BE1157"/>
    <w:rsid w:val="00BE1DB2"/>
    <w:rsid w:val="00BE2A2F"/>
    <w:rsid w:val="00BE2D09"/>
    <w:rsid w:val="00BE614D"/>
    <w:rsid w:val="00BE7423"/>
    <w:rsid w:val="00BF1965"/>
    <w:rsid w:val="00BF2796"/>
    <w:rsid w:val="00C01213"/>
    <w:rsid w:val="00C0667E"/>
    <w:rsid w:val="00C106C9"/>
    <w:rsid w:val="00C11177"/>
    <w:rsid w:val="00C117B8"/>
    <w:rsid w:val="00C155DC"/>
    <w:rsid w:val="00C20C46"/>
    <w:rsid w:val="00C20F43"/>
    <w:rsid w:val="00C2558B"/>
    <w:rsid w:val="00C31BB5"/>
    <w:rsid w:val="00C32061"/>
    <w:rsid w:val="00C3325E"/>
    <w:rsid w:val="00C33EC2"/>
    <w:rsid w:val="00C354F0"/>
    <w:rsid w:val="00C3742D"/>
    <w:rsid w:val="00C4028E"/>
    <w:rsid w:val="00C406A2"/>
    <w:rsid w:val="00C42F5F"/>
    <w:rsid w:val="00C432AE"/>
    <w:rsid w:val="00C437A8"/>
    <w:rsid w:val="00C45CAF"/>
    <w:rsid w:val="00C45EEC"/>
    <w:rsid w:val="00C470BA"/>
    <w:rsid w:val="00C50C03"/>
    <w:rsid w:val="00C524E7"/>
    <w:rsid w:val="00C569C9"/>
    <w:rsid w:val="00C61A33"/>
    <w:rsid w:val="00C6470E"/>
    <w:rsid w:val="00C67061"/>
    <w:rsid w:val="00C6776B"/>
    <w:rsid w:val="00C7166B"/>
    <w:rsid w:val="00C7282C"/>
    <w:rsid w:val="00C72B2C"/>
    <w:rsid w:val="00C73CD4"/>
    <w:rsid w:val="00C74A90"/>
    <w:rsid w:val="00C761FD"/>
    <w:rsid w:val="00C81ED4"/>
    <w:rsid w:val="00C8230C"/>
    <w:rsid w:val="00C84218"/>
    <w:rsid w:val="00C8468B"/>
    <w:rsid w:val="00C86EFE"/>
    <w:rsid w:val="00C90998"/>
    <w:rsid w:val="00C911C9"/>
    <w:rsid w:val="00C92329"/>
    <w:rsid w:val="00C94282"/>
    <w:rsid w:val="00C95F23"/>
    <w:rsid w:val="00C96269"/>
    <w:rsid w:val="00C9658D"/>
    <w:rsid w:val="00C97AED"/>
    <w:rsid w:val="00CA03A1"/>
    <w:rsid w:val="00CA118A"/>
    <w:rsid w:val="00CA13A2"/>
    <w:rsid w:val="00CA2194"/>
    <w:rsid w:val="00CA27D9"/>
    <w:rsid w:val="00CA4471"/>
    <w:rsid w:val="00CA74D8"/>
    <w:rsid w:val="00CB0057"/>
    <w:rsid w:val="00CB0B1E"/>
    <w:rsid w:val="00CB0FC9"/>
    <w:rsid w:val="00CB394A"/>
    <w:rsid w:val="00CB40BB"/>
    <w:rsid w:val="00CB67FC"/>
    <w:rsid w:val="00CB7766"/>
    <w:rsid w:val="00CC1DBA"/>
    <w:rsid w:val="00CC4E00"/>
    <w:rsid w:val="00CC5CB6"/>
    <w:rsid w:val="00CC636C"/>
    <w:rsid w:val="00CD3844"/>
    <w:rsid w:val="00CD407A"/>
    <w:rsid w:val="00CD4F24"/>
    <w:rsid w:val="00CD6574"/>
    <w:rsid w:val="00CE0CFF"/>
    <w:rsid w:val="00CE15F9"/>
    <w:rsid w:val="00CE26AB"/>
    <w:rsid w:val="00CE2EF5"/>
    <w:rsid w:val="00CE2F22"/>
    <w:rsid w:val="00CE2F53"/>
    <w:rsid w:val="00CE3261"/>
    <w:rsid w:val="00CE5177"/>
    <w:rsid w:val="00CE6146"/>
    <w:rsid w:val="00CE74CD"/>
    <w:rsid w:val="00CF03AB"/>
    <w:rsid w:val="00CF0DE5"/>
    <w:rsid w:val="00CF0E03"/>
    <w:rsid w:val="00CF3DD8"/>
    <w:rsid w:val="00CF4906"/>
    <w:rsid w:val="00CF74A1"/>
    <w:rsid w:val="00D023E7"/>
    <w:rsid w:val="00D0313A"/>
    <w:rsid w:val="00D0314E"/>
    <w:rsid w:val="00D0406D"/>
    <w:rsid w:val="00D071FB"/>
    <w:rsid w:val="00D115B7"/>
    <w:rsid w:val="00D11807"/>
    <w:rsid w:val="00D11954"/>
    <w:rsid w:val="00D13AB2"/>
    <w:rsid w:val="00D15122"/>
    <w:rsid w:val="00D201EA"/>
    <w:rsid w:val="00D231B7"/>
    <w:rsid w:val="00D23489"/>
    <w:rsid w:val="00D2495E"/>
    <w:rsid w:val="00D320D2"/>
    <w:rsid w:val="00D332C0"/>
    <w:rsid w:val="00D341B5"/>
    <w:rsid w:val="00D37692"/>
    <w:rsid w:val="00D40F66"/>
    <w:rsid w:val="00D473FB"/>
    <w:rsid w:val="00D524A6"/>
    <w:rsid w:val="00D52CA0"/>
    <w:rsid w:val="00D5587B"/>
    <w:rsid w:val="00D60A91"/>
    <w:rsid w:val="00D61197"/>
    <w:rsid w:val="00D6167B"/>
    <w:rsid w:val="00D642BD"/>
    <w:rsid w:val="00D733FE"/>
    <w:rsid w:val="00D8288C"/>
    <w:rsid w:val="00D85D2F"/>
    <w:rsid w:val="00D87599"/>
    <w:rsid w:val="00D9182C"/>
    <w:rsid w:val="00D93BBF"/>
    <w:rsid w:val="00D95275"/>
    <w:rsid w:val="00D95309"/>
    <w:rsid w:val="00D956C7"/>
    <w:rsid w:val="00D96487"/>
    <w:rsid w:val="00D970C2"/>
    <w:rsid w:val="00DA304B"/>
    <w:rsid w:val="00DA3997"/>
    <w:rsid w:val="00DB398F"/>
    <w:rsid w:val="00DB4876"/>
    <w:rsid w:val="00DB4E13"/>
    <w:rsid w:val="00DB5B7E"/>
    <w:rsid w:val="00DB6D55"/>
    <w:rsid w:val="00DB7635"/>
    <w:rsid w:val="00DC059F"/>
    <w:rsid w:val="00DC0F0D"/>
    <w:rsid w:val="00DC1215"/>
    <w:rsid w:val="00DC229F"/>
    <w:rsid w:val="00DD0A47"/>
    <w:rsid w:val="00DD2627"/>
    <w:rsid w:val="00DD3255"/>
    <w:rsid w:val="00DD405B"/>
    <w:rsid w:val="00DD4501"/>
    <w:rsid w:val="00DE043A"/>
    <w:rsid w:val="00DE374C"/>
    <w:rsid w:val="00DE3A27"/>
    <w:rsid w:val="00DE510B"/>
    <w:rsid w:val="00DE7145"/>
    <w:rsid w:val="00DF08F5"/>
    <w:rsid w:val="00DF0C2D"/>
    <w:rsid w:val="00DF17D9"/>
    <w:rsid w:val="00DF3692"/>
    <w:rsid w:val="00DF42A2"/>
    <w:rsid w:val="00DF47F4"/>
    <w:rsid w:val="00DF6B59"/>
    <w:rsid w:val="00DF77D0"/>
    <w:rsid w:val="00DF7806"/>
    <w:rsid w:val="00E04F0D"/>
    <w:rsid w:val="00E21476"/>
    <w:rsid w:val="00E25F58"/>
    <w:rsid w:val="00E2606F"/>
    <w:rsid w:val="00E30954"/>
    <w:rsid w:val="00E314F8"/>
    <w:rsid w:val="00E32006"/>
    <w:rsid w:val="00E32C46"/>
    <w:rsid w:val="00E34EC4"/>
    <w:rsid w:val="00E36629"/>
    <w:rsid w:val="00E5096B"/>
    <w:rsid w:val="00E50DF4"/>
    <w:rsid w:val="00E55F06"/>
    <w:rsid w:val="00E63B9F"/>
    <w:rsid w:val="00E65554"/>
    <w:rsid w:val="00E70EF3"/>
    <w:rsid w:val="00E748B5"/>
    <w:rsid w:val="00E80032"/>
    <w:rsid w:val="00E829D0"/>
    <w:rsid w:val="00E82F25"/>
    <w:rsid w:val="00E840BB"/>
    <w:rsid w:val="00E85843"/>
    <w:rsid w:val="00E86B72"/>
    <w:rsid w:val="00E86D45"/>
    <w:rsid w:val="00E877BA"/>
    <w:rsid w:val="00E9084A"/>
    <w:rsid w:val="00E9330E"/>
    <w:rsid w:val="00E93AAD"/>
    <w:rsid w:val="00E94619"/>
    <w:rsid w:val="00E95C80"/>
    <w:rsid w:val="00E962D7"/>
    <w:rsid w:val="00E9672B"/>
    <w:rsid w:val="00E96893"/>
    <w:rsid w:val="00E96FBB"/>
    <w:rsid w:val="00EA1022"/>
    <w:rsid w:val="00EA5B83"/>
    <w:rsid w:val="00EA626D"/>
    <w:rsid w:val="00EA6945"/>
    <w:rsid w:val="00EA763C"/>
    <w:rsid w:val="00EA7D3C"/>
    <w:rsid w:val="00EB28D2"/>
    <w:rsid w:val="00EB5B3C"/>
    <w:rsid w:val="00EB6A51"/>
    <w:rsid w:val="00EB7862"/>
    <w:rsid w:val="00EC0637"/>
    <w:rsid w:val="00EC0AE1"/>
    <w:rsid w:val="00EC223E"/>
    <w:rsid w:val="00EC386B"/>
    <w:rsid w:val="00EC5E26"/>
    <w:rsid w:val="00EC6122"/>
    <w:rsid w:val="00ED2AB3"/>
    <w:rsid w:val="00ED3465"/>
    <w:rsid w:val="00ED3EEE"/>
    <w:rsid w:val="00ED4E02"/>
    <w:rsid w:val="00ED79EB"/>
    <w:rsid w:val="00EE3409"/>
    <w:rsid w:val="00EE59C5"/>
    <w:rsid w:val="00EE63B5"/>
    <w:rsid w:val="00EF1C04"/>
    <w:rsid w:val="00EF297B"/>
    <w:rsid w:val="00EF358E"/>
    <w:rsid w:val="00EF6D86"/>
    <w:rsid w:val="00F0218C"/>
    <w:rsid w:val="00F02D75"/>
    <w:rsid w:val="00F0771D"/>
    <w:rsid w:val="00F10AF5"/>
    <w:rsid w:val="00F10EAD"/>
    <w:rsid w:val="00F11CD5"/>
    <w:rsid w:val="00F132F5"/>
    <w:rsid w:val="00F13762"/>
    <w:rsid w:val="00F157EE"/>
    <w:rsid w:val="00F16FE5"/>
    <w:rsid w:val="00F22430"/>
    <w:rsid w:val="00F24CB4"/>
    <w:rsid w:val="00F264CA"/>
    <w:rsid w:val="00F276B9"/>
    <w:rsid w:val="00F30111"/>
    <w:rsid w:val="00F30440"/>
    <w:rsid w:val="00F333EA"/>
    <w:rsid w:val="00F350E3"/>
    <w:rsid w:val="00F36627"/>
    <w:rsid w:val="00F40022"/>
    <w:rsid w:val="00F4255F"/>
    <w:rsid w:val="00F446E1"/>
    <w:rsid w:val="00F51ABC"/>
    <w:rsid w:val="00F52701"/>
    <w:rsid w:val="00F55AE3"/>
    <w:rsid w:val="00F55DCE"/>
    <w:rsid w:val="00F60038"/>
    <w:rsid w:val="00F60378"/>
    <w:rsid w:val="00F677D0"/>
    <w:rsid w:val="00F678D3"/>
    <w:rsid w:val="00F73426"/>
    <w:rsid w:val="00F74BC3"/>
    <w:rsid w:val="00F802ED"/>
    <w:rsid w:val="00F826FA"/>
    <w:rsid w:val="00F828BE"/>
    <w:rsid w:val="00F8497F"/>
    <w:rsid w:val="00F84BAD"/>
    <w:rsid w:val="00F85508"/>
    <w:rsid w:val="00F86B16"/>
    <w:rsid w:val="00F929D5"/>
    <w:rsid w:val="00F93AAA"/>
    <w:rsid w:val="00F951C6"/>
    <w:rsid w:val="00F95D97"/>
    <w:rsid w:val="00F970BB"/>
    <w:rsid w:val="00F979A8"/>
    <w:rsid w:val="00FA0DCB"/>
    <w:rsid w:val="00FA2BE6"/>
    <w:rsid w:val="00FA3926"/>
    <w:rsid w:val="00FA4109"/>
    <w:rsid w:val="00FA4903"/>
    <w:rsid w:val="00FA6D74"/>
    <w:rsid w:val="00FA6F53"/>
    <w:rsid w:val="00FB0A6E"/>
    <w:rsid w:val="00FB19BF"/>
    <w:rsid w:val="00FB2133"/>
    <w:rsid w:val="00FB389C"/>
    <w:rsid w:val="00FB60D5"/>
    <w:rsid w:val="00FB7685"/>
    <w:rsid w:val="00FC04B7"/>
    <w:rsid w:val="00FC0A5C"/>
    <w:rsid w:val="00FC0B03"/>
    <w:rsid w:val="00FC30F1"/>
    <w:rsid w:val="00FC7B86"/>
    <w:rsid w:val="00FD0134"/>
    <w:rsid w:val="00FD1522"/>
    <w:rsid w:val="00FD1BC0"/>
    <w:rsid w:val="00FD2876"/>
    <w:rsid w:val="00FD2981"/>
    <w:rsid w:val="00FD4179"/>
    <w:rsid w:val="00FD5BAE"/>
    <w:rsid w:val="00FD5EC3"/>
    <w:rsid w:val="00FD720B"/>
    <w:rsid w:val="00FE1157"/>
    <w:rsid w:val="00FE293F"/>
    <w:rsid w:val="00FE484D"/>
    <w:rsid w:val="00FF049A"/>
    <w:rsid w:val="00FF08DD"/>
    <w:rsid w:val="00FF34B5"/>
    <w:rsid w:val="00FF3872"/>
    <w:rsid w:val="00FF52AD"/>
    <w:rsid w:val="00FF54D6"/>
    <w:rsid w:val="00FF5AD4"/>
    <w:rsid w:val="00FF632B"/>
    <w:rsid w:val="00FF65EF"/>
    <w:rsid w:val="00FF7C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4DF240"/>
  <w15:docId w15:val="{6B88B982-A372-422E-B584-660AA77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44C1"/>
    <w:pPr>
      <w:widowControl w:val="0"/>
    </w:pPr>
    <w:rPr>
      <w:sz w:val="22"/>
      <w:szCs w:val="22"/>
      <w:lang w:val="sr-Latn-ME"/>
    </w:rPr>
  </w:style>
  <w:style w:type="paragraph" w:styleId="Heading1">
    <w:name w:val="heading 1"/>
    <w:basedOn w:val="Normal"/>
    <w:uiPriority w:val="1"/>
    <w:qFormat/>
    <w:pPr>
      <w:ind w:left="684"/>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sr-Latn-ME"/>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sr-Latn-ME"/>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nhideWhenUsed/>
    <w:rsid w:val="004708DE"/>
    <w:rPr>
      <w:sz w:val="20"/>
      <w:szCs w:val="20"/>
    </w:rPr>
  </w:style>
  <w:style w:type="character" w:customStyle="1" w:styleId="CommentTextChar">
    <w:name w:val="Comment Text Char"/>
    <w:link w:val="CommentText"/>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853E6B"/>
    <w:rPr>
      <w:rFonts w:ascii="Verdana" w:eastAsia="Verdana" w:hAnsi="Verdana" w:cs="Verdana"/>
      <w:sz w:val="18"/>
      <w:szCs w:val="18"/>
      <w:lang w:val="sr-Latn-ME" w:eastAsia="en-GB"/>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lang w:eastAsia="zh-CN"/>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sr-Latn-ME"/>
    </w:rPr>
  </w:style>
  <w:style w:type="paragraph" w:styleId="Footer">
    <w:name w:val="footer"/>
    <w:basedOn w:val="Header"/>
    <w:link w:val="FooterChar"/>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sr-Latn-ME"/>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sr-Latn-ME"/>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sr-Latn-ME"/>
    </w:rPr>
  </w:style>
  <w:style w:type="paragraph" w:customStyle="1" w:styleId="1">
    <w:name w:val="1"/>
    <w:basedOn w:val="Normal"/>
    <w:next w:val="CommentText"/>
    <w:uiPriority w:val="99"/>
    <w:unhideWhenUsed/>
    <w:rsid w:val="007E5A0A"/>
    <w:rPr>
      <w:sz w:val="20"/>
      <w:szCs w:val="20"/>
    </w:rPr>
  </w:style>
  <w:style w:type="paragraph" w:customStyle="1" w:styleId="a">
    <w:basedOn w:val="Normal"/>
    <w:next w:val="CommentText"/>
    <w:link w:val="MerknadstekstTegn1"/>
    <w:unhideWhenUsed/>
    <w:rsid w:val="00A80403"/>
    <w:rPr>
      <w:sz w:val="20"/>
      <w:szCs w:val="20"/>
    </w:rPr>
  </w:style>
  <w:style w:type="character" w:customStyle="1" w:styleId="MerknadstekstTegn1">
    <w:name w:val="Merknadstekst Tegn1"/>
    <w:link w:val="a"/>
    <w:rsid w:val="00511685"/>
  </w:style>
  <w:style w:type="character" w:customStyle="1" w:styleId="BrdtekstTegn">
    <w:name w:val="Brødtekst Tegn"/>
    <w:uiPriority w:val="1"/>
    <w:rsid w:val="00511685"/>
    <w:rPr>
      <w:rFonts w:ascii="Times New Roman" w:eastAsia="Times New Roman" w:hAnsi="Times New Roman"/>
      <w:sz w:val="22"/>
      <w:szCs w:val="22"/>
    </w:rPr>
  </w:style>
  <w:style w:type="paragraph" w:customStyle="1" w:styleId="a0">
    <w:basedOn w:val="Normal"/>
    <w:next w:val="CommentText"/>
    <w:unhideWhenUsed/>
    <w:rsid w:val="008C41AC"/>
    <w:rPr>
      <w:sz w:val="20"/>
      <w:szCs w:val="20"/>
    </w:rPr>
  </w:style>
  <w:style w:type="character" w:styleId="LineNumber">
    <w:name w:val="line number"/>
    <w:uiPriority w:val="99"/>
    <w:semiHidden/>
    <w:unhideWhenUsed/>
    <w:rsid w:val="0049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91031022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291132550">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698582315">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 w:id="191308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64F9-9152-4FD4-A67E-CA2901FE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53</Pages>
  <Words>23523</Words>
  <Characters>134086</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Devayani</dc:creator>
  <cp:keywords/>
  <cp:lastModifiedBy>Jovana Jovanovic</cp:lastModifiedBy>
  <cp:revision>6</cp:revision>
  <cp:lastPrinted>2021-03-01T11:06:00Z</cp:lastPrinted>
  <dcterms:created xsi:type="dcterms:W3CDTF">2023-05-09T09:11:00Z</dcterms:created>
  <dcterms:modified xsi:type="dcterms:W3CDTF">2024-05-16T11:22:00Z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John.Powell; Results: Pass; Run at: 30/09/2021 16:57:22</vt:lpwstr>
  </property>
  <property fmtid="{D5CDD505-2E9C-101B-9397-08002B2CF9AE}" pid="3" name="MSIP_Label_98da22f8-c169-4ff2-bd8c-c9797308d5a4_Enabled">
    <vt:lpwstr>true</vt:lpwstr>
  </property>
  <property fmtid="{D5CDD505-2E9C-101B-9397-08002B2CF9AE}" pid="4" name="MSIP_Label_98da22f8-c169-4ff2-bd8c-c9797308d5a4_SetDate">
    <vt:lpwstr>2022-12-22T15:16:47Z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03f7c43c-1fe9-45b3-bf33-8b99954d2816</vt:lpwstr>
  </property>
  <property fmtid="{D5CDD505-2E9C-101B-9397-08002B2CF9AE}" pid="9" name="MSIP_Label_98da22f8-c169-4ff2-bd8c-c9797308d5a4_ContentBits">
    <vt:lpwstr>0</vt:lpwstr>
  </property>
</Properties>
</file>