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652AA" w14:textId="77777777" w:rsidR="002510A5" w:rsidRPr="008751D6" w:rsidRDefault="00B45624" w:rsidP="00EA5E97">
      <w:pPr>
        <w:jc w:val="center"/>
        <w:rPr>
          <w:b/>
          <w:bCs/>
          <w:iCs/>
          <w:sz w:val="22"/>
          <w:szCs w:val="22"/>
          <w:u w:val="single"/>
          <w:lang w:val="sr-Latn-RS"/>
        </w:rPr>
      </w:pPr>
      <w:r>
        <w:rPr>
          <w:b/>
          <w:bCs/>
          <w:iCs/>
          <w:sz w:val="22"/>
          <w:szCs w:val="22"/>
          <w:u w:val="single"/>
        </w:rPr>
        <w:t xml:space="preserve"> </w:t>
      </w:r>
      <w:r w:rsidR="002510A5" w:rsidRPr="008751D6">
        <w:rPr>
          <w:b/>
          <w:bCs/>
          <w:iCs/>
          <w:sz w:val="22"/>
          <w:szCs w:val="22"/>
          <w:u w:val="single"/>
          <w:lang w:val="sr-Latn-RS"/>
        </w:rPr>
        <w:t>SAŽETAK KARAKTERISTIKA LIJEKA</w:t>
      </w:r>
    </w:p>
    <w:p w14:paraId="14BE453D" w14:textId="77777777" w:rsidR="003C17AB" w:rsidRPr="008751D6" w:rsidRDefault="003C17AB" w:rsidP="00B3528A">
      <w:pPr>
        <w:tabs>
          <w:tab w:val="left" w:pos="540"/>
          <w:tab w:val="left" w:pos="569"/>
        </w:tabs>
        <w:jc w:val="both"/>
        <w:rPr>
          <w:noProof/>
          <w:sz w:val="22"/>
          <w:szCs w:val="22"/>
          <w:lang w:val="sr-Latn-RS"/>
        </w:rPr>
      </w:pPr>
    </w:p>
    <w:p w14:paraId="6272E3D7" w14:textId="77777777" w:rsidR="00C37FD7" w:rsidRPr="008751D6" w:rsidRDefault="00C37FD7" w:rsidP="00B3528A">
      <w:pPr>
        <w:tabs>
          <w:tab w:val="left" w:pos="540"/>
          <w:tab w:val="left" w:pos="569"/>
        </w:tabs>
        <w:jc w:val="both"/>
        <w:rPr>
          <w:bCs/>
          <w:sz w:val="22"/>
          <w:szCs w:val="22"/>
          <w:lang w:val="sr-Latn-RS"/>
        </w:rPr>
      </w:pPr>
    </w:p>
    <w:p w14:paraId="6C9B8F29" w14:textId="77777777" w:rsidR="00411B4B" w:rsidRPr="008751D6" w:rsidRDefault="00411B4B" w:rsidP="009E2113">
      <w:pPr>
        <w:tabs>
          <w:tab w:val="left" w:pos="540"/>
          <w:tab w:val="left" w:pos="569"/>
        </w:tabs>
        <w:jc w:val="both"/>
        <w:rPr>
          <w:b/>
          <w:bCs/>
          <w:sz w:val="22"/>
          <w:szCs w:val="22"/>
          <w:lang w:val="sr-Latn-RS"/>
        </w:rPr>
      </w:pPr>
      <w:r w:rsidRPr="008751D6">
        <w:rPr>
          <w:b/>
          <w:bCs/>
          <w:sz w:val="22"/>
          <w:szCs w:val="22"/>
          <w:lang w:val="sr-Latn-RS"/>
        </w:rPr>
        <w:t>1.</w:t>
      </w:r>
      <w:r w:rsidR="00F5167F" w:rsidRPr="008751D6">
        <w:rPr>
          <w:b/>
          <w:bCs/>
          <w:sz w:val="22"/>
          <w:szCs w:val="22"/>
          <w:lang w:val="sr-Latn-RS"/>
        </w:rPr>
        <w:tab/>
      </w:r>
      <w:r w:rsidR="002846DB" w:rsidRPr="008751D6">
        <w:rPr>
          <w:b/>
          <w:bCs/>
          <w:sz w:val="22"/>
          <w:szCs w:val="22"/>
          <w:lang w:val="sr-Latn-RS"/>
        </w:rPr>
        <w:t xml:space="preserve">NAZIV </w:t>
      </w:r>
      <w:r w:rsidRPr="008751D6">
        <w:rPr>
          <w:b/>
          <w:bCs/>
          <w:sz w:val="22"/>
          <w:szCs w:val="22"/>
          <w:lang w:val="sr-Latn-RS"/>
        </w:rPr>
        <w:t>LIJEKA</w:t>
      </w:r>
    </w:p>
    <w:p w14:paraId="26D012DB" w14:textId="77777777" w:rsidR="00EC2532" w:rsidRPr="008751D6" w:rsidRDefault="00EC2532" w:rsidP="009E2113">
      <w:pPr>
        <w:jc w:val="both"/>
        <w:rPr>
          <w:sz w:val="22"/>
          <w:szCs w:val="22"/>
          <w:lang w:val="sr-Latn-RS"/>
        </w:rPr>
      </w:pPr>
    </w:p>
    <w:p w14:paraId="177011E2" w14:textId="52A672E4" w:rsidR="00941025" w:rsidRPr="008751D6" w:rsidRDefault="00941025" w:rsidP="009E2113">
      <w:pPr>
        <w:jc w:val="both"/>
        <w:rPr>
          <w:bCs/>
          <w:sz w:val="22"/>
          <w:szCs w:val="22"/>
          <w:lang w:val="sr-Latn-RS"/>
        </w:rPr>
      </w:pPr>
      <w:r w:rsidRPr="008751D6">
        <w:rPr>
          <w:bCs/>
          <w:sz w:val="22"/>
          <w:szCs w:val="22"/>
          <w:lang w:val="sr-Latn-RS"/>
        </w:rPr>
        <w:t>Somatuline</w:t>
      </w:r>
      <w:r w:rsidRPr="008751D6">
        <w:rPr>
          <w:bCs/>
          <w:sz w:val="22"/>
          <w:szCs w:val="22"/>
          <w:vertAlign w:val="superscript"/>
          <w:lang w:val="sr-Latn-RS"/>
        </w:rPr>
        <w:t xml:space="preserve"> </w:t>
      </w:r>
      <w:r w:rsidRPr="008751D6">
        <w:rPr>
          <w:bCs/>
          <w:sz w:val="22"/>
          <w:szCs w:val="22"/>
          <w:lang w:val="sr-Latn-RS"/>
        </w:rPr>
        <w:t>Autogel, 90 mg, rastvor za injekciju u napunjenom injekcionom špricu</w:t>
      </w:r>
    </w:p>
    <w:p w14:paraId="416AD907" w14:textId="14FDC988" w:rsidR="00941025" w:rsidRPr="008751D6" w:rsidRDefault="00941025" w:rsidP="009E2113">
      <w:pPr>
        <w:jc w:val="both"/>
        <w:rPr>
          <w:bCs/>
          <w:sz w:val="22"/>
          <w:szCs w:val="22"/>
          <w:lang w:val="sr-Latn-RS"/>
        </w:rPr>
      </w:pPr>
      <w:r w:rsidRPr="008751D6">
        <w:rPr>
          <w:bCs/>
          <w:sz w:val="22"/>
          <w:szCs w:val="22"/>
          <w:lang w:val="sr-Latn-RS"/>
        </w:rPr>
        <w:t>Somatuline</w:t>
      </w:r>
      <w:r w:rsidRPr="008751D6">
        <w:rPr>
          <w:bCs/>
          <w:sz w:val="22"/>
          <w:szCs w:val="22"/>
          <w:vertAlign w:val="superscript"/>
          <w:lang w:val="sr-Latn-RS"/>
        </w:rPr>
        <w:t xml:space="preserve"> </w:t>
      </w:r>
      <w:r w:rsidRPr="008751D6">
        <w:rPr>
          <w:bCs/>
          <w:sz w:val="22"/>
          <w:szCs w:val="22"/>
          <w:lang w:val="sr-Latn-RS"/>
        </w:rPr>
        <w:t>Autogel, 120 mg, rastvor za injekciju u napunjenom injekcionom špricu</w:t>
      </w:r>
    </w:p>
    <w:p w14:paraId="3B14B7C9" w14:textId="77777777" w:rsidR="00CC2D09" w:rsidRPr="008751D6" w:rsidRDefault="00CC2D09" w:rsidP="009E2113">
      <w:pPr>
        <w:pStyle w:val="Header"/>
        <w:tabs>
          <w:tab w:val="left" w:pos="284"/>
        </w:tabs>
        <w:jc w:val="both"/>
        <w:rPr>
          <w:sz w:val="22"/>
          <w:szCs w:val="22"/>
          <w:lang w:val="sr-Latn-RS"/>
        </w:rPr>
      </w:pPr>
    </w:p>
    <w:p w14:paraId="24DB767C" w14:textId="77777777" w:rsidR="00CC2D09" w:rsidRPr="008751D6" w:rsidRDefault="00CC2D09" w:rsidP="009E2113">
      <w:pPr>
        <w:pStyle w:val="Header"/>
        <w:tabs>
          <w:tab w:val="left" w:pos="284"/>
        </w:tabs>
        <w:jc w:val="both"/>
        <w:rPr>
          <w:sz w:val="22"/>
          <w:szCs w:val="22"/>
          <w:lang w:val="sr-Latn-RS"/>
        </w:rPr>
      </w:pPr>
      <w:r w:rsidRPr="008751D6">
        <w:rPr>
          <w:sz w:val="22"/>
          <w:szCs w:val="22"/>
          <w:lang w:val="sr-Latn-RS"/>
        </w:rPr>
        <w:t>INN: lanreotid</w:t>
      </w:r>
    </w:p>
    <w:p w14:paraId="125D2C12" w14:textId="6507848F" w:rsidR="006D20A5" w:rsidRPr="008751D6" w:rsidRDefault="006D20A5" w:rsidP="009E2113">
      <w:pPr>
        <w:jc w:val="both"/>
        <w:rPr>
          <w:bCs/>
          <w:sz w:val="22"/>
          <w:szCs w:val="22"/>
          <w:lang w:val="sr-Latn-RS"/>
        </w:rPr>
      </w:pPr>
    </w:p>
    <w:p w14:paraId="6C753BDD" w14:textId="77777777" w:rsidR="008751D6" w:rsidRPr="008751D6" w:rsidRDefault="008751D6" w:rsidP="009E2113">
      <w:pPr>
        <w:jc w:val="both"/>
        <w:rPr>
          <w:bCs/>
          <w:sz w:val="22"/>
          <w:szCs w:val="22"/>
          <w:lang w:val="sr-Latn-RS"/>
        </w:rPr>
      </w:pPr>
    </w:p>
    <w:p w14:paraId="1B706AC9" w14:textId="77777777" w:rsidR="00411B4B" w:rsidRPr="008751D6" w:rsidRDefault="00411B4B" w:rsidP="009E2113">
      <w:pPr>
        <w:tabs>
          <w:tab w:val="left" w:pos="540"/>
          <w:tab w:val="left" w:pos="569"/>
        </w:tabs>
        <w:jc w:val="both"/>
        <w:rPr>
          <w:b/>
          <w:bCs/>
          <w:sz w:val="22"/>
          <w:szCs w:val="22"/>
          <w:lang w:val="sr-Latn-RS"/>
        </w:rPr>
      </w:pPr>
      <w:r w:rsidRPr="008751D6">
        <w:rPr>
          <w:b/>
          <w:bCs/>
          <w:sz w:val="22"/>
          <w:szCs w:val="22"/>
          <w:lang w:val="sr-Latn-RS"/>
        </w:rPr>
        <w:t xml:space="preserve">2. </w:t>
      </w:r>
      <w:r w:rsidR="00F5167F" w:rsidRPr="008751D6">
        <w:rPr>
          <w:b/>
          <w:bCs/>
          <w:sz w:val="22"/>
          <w:szCs w:val="22"/>
          <w:lang w:val="sr-Latn-RS"/>
        </w:rPr>
        <w:tab/>
      </w:r>
      <w:r w:rsidRPr="008751D6">
        <w:rPr>
          <w:b/>
          <w:bCs/>
          <w:sz w:val="22"/>
          <w:szCs w:val="22"/>
          <w:lang w:val="sr-Latn-RS"/>
        </w:rPr>
        <w:t>KVALITATIVNI I KVANTITATIVNI SASTAV</w:t>
      </w:r>
    </w:p>
    <w:p w14:paraId="42BD55FE" w14:textId="77777777" w:rsidR="005A0B2E" w:rsidRPr="008751D6" w:rsidRDefault="005A0B2E" w:rsidP="009E2113">
      <w:pPr>
        <w:jc w:val="both"/>
        <w:rPr>
          <w:sz w:val="22"/>
          <w:szCs w:val="22"/>
          <w:lang w:val="sr-Latn-RS"/>
        </w:rPr>
      </w:pPr>
    </w:p>
    <w:p w14:paraId="7498DB38" w14:textId="77777777" w:rsidR="00CC2D09" w:rsidRPr="008751D6" w:rsidRDefault="00CC2D09" w:rsidP="009E2113">
      <w:pPr>
        <w:pStyle w:val="Header"/>
        <w:tabs>
          <w:tab w:val="left" w:pos="284"/>
        </w:tabs>
        <w:jc w:val="both"/>
        <w:rPr>
          <w:sz w:val="22"/>
          <w:szCs w:val="22"/>
          <w:lang w:val="sr-Latn-RS"/>
        </w:rPr>
      </w:pPr>
      <w:r w:rsidRPr="008751D6">
        <w:rPr>
          <w:sz w:val="22"/>
          <w:szCs w:val="22"/>
          <w:lang w:val="sr-Latn-RS"/>
        </w:rPr>
        <w:t>Napunjeni injekcioni špric sadrži 90 mg lanreotida (u obliku lanreotid acetata).</w:t>
      </w:r>
    </w:p>
    <w:p w14:paraId="271EED67" w14:textId="77777777" w:rsidR="00CC2D09" w:rsidRPr="008751D6" w:rsidRDefault="00CC2D09" w:rsidP="009E2113">
      <w:pPr>
        <w:pStyle w:val="Header"/>
        <w:tabs>
          <w:tab w:val="left" w:pos="284"/>
        </w:tabs>
        <w:jc w:val="both"/>
        <w:rPr>
          <w:sz w:val="22"/>
          <w:szCs w:val="22"/>
          <w:lang w:val="sr-Latn-RS"/>
        </w:rPr>
      </w:pPr>
      <w:r w:rsidRPr="008751D6">
        <w:rPr>
          <w:sz w:val="22"/>
          <w:szCs w:val="22"/>
          <w:lang w:val="sr-Latn-RS"/>
        </w:rPr>
        <w:t>Napunjeni injekcioni špric sadrži 120 mg lanreotida (u obliku lanreotid acetata).</w:t>
      </w:r>
    </w:p>
    <w:p w14:paraId="68865E35" w14:textId="77777777" w:rsidR="00CC2D09" w:rsidRPr="008751D6" w:rsidRDefault="00CC2D09" w:rsidP="009E2113">
      <w:pPr>
        <w:pStyle w:val="Header"/>
        <w:tabs>
          <w:tab w:val="left" w:pos="284"/>
        </w:tabs>
        <w:jc w:val="both"/>
        <w:rPr>
          <w:sz w:val="22"/>
          <w:szCs w:val="22"/>
          <w:lang w:val="sr-Latn-RS"/>
        </w:rPr>
      </w:pPr>
    </w:p>
    <w:p w14:paraId="05D916A3" w14:textId="77777777" w:rsidR="00CC2D09" w:rsidRPr="008751D6" w:rsidRDefault="00941025" w:rsidP="009E2113">
      <w:pPr>
        <w:pStyle w:val="Header"/>
        <w:tabs>
          <w:tab w:val="left" w:pos="284"/>
        </w:tabs>
        <w:jc w:val="both"/>
        <w:rPr>
          <w:sz w:val="22"/>
          <w:szCs w:val="22"/>
          <w:lang w:val="sr-Latn-RS"/>
        </w:rPr>
      </w:pPr>
      <w:r w:rsidRPr="008751D6">
        <w:rPr>
          <w:sz w:val="22"/>
          <w:szCs w:val="22"/>
          <w:lang w:val="sr-Latn-RS"/>
        </w:rPr>
        <w:t xml:space="preserve">Jedan </w:t>
      </w:r>
      <w:r w:rsidR="00CC2D09" w:rsidRPr="008751D6">
        <w:rPr>
          <w:sz w:val="22"/>
          <w:szCs w:val="22"/>
          <w:lang w:val="sr-Latn-RS"/>
        </w:rPr>
        <w:t xml:space="preserve">napunjeni </w:t>
      </w:r>
      <w:r w:rsidRPr="008751D6">
        <w:rPr>
          <w:rFonts w:eastAsia="Calibri"/>
          <w:sz w:val="22"/>
          <w:szCs w:val="22"/>
          <w:lang w:val="sr-Latn-RS"/>
        </w:rPr>
        <w:t xml:space="preserve">injekcioni </w:t>
      </w:r>
      <w:r w:rsidR="00CC2D09" w:rsidRPr="008751D6">
        <w:rPr>
          <w:sz w:val="22"/>
          <w:szCs w:val="22"/>
          <w:lang w:val="sr-Latn-RS"/>
        </w:rPr>
        <w:t>špric sadrži presićeni rastvor lanreotid acetata što odgovara 0,246 mg lanreotid baze/mg rastvora, čime se obezbjeđuje primjena stvarne doze od 90 mg, odnosno 120 mg lanreotida.</w:t>
      </w:r>
    </w:p>
    <w:p w14:paraId="74461698" w14:textId="77777777" w:rsidR="00CC2D09" w:rsidRPr="008751D6" w:rsidRDefault="00CC2D09" w:rsidP="009E2113">
      <w:pPr>
        <w:jc w:val="both"/>
        <w:rPr>
          <w:sz w:val="22"/>
          <w:szCs w:val="22"/>
          <w:lang w:val="sr-Latn-RS"/>
        </w:rPr>
      </w:pPr>
    </w:p>
    <w:p w14:paraId="3FDDCBF1" w14:textId="77777777" w:rsidR="0003793F" w:rsidRPr="008751D6" w:rsidRDefault="0003793F" w:rsidP="009E2113">
      <w:pPr>
        <w:jc w:val="both"/>
        <w:rPr>
          <w:sz w:val="22"/>
          <w:szCs w:val="22"/>
          <w:lang w:val="sr-Latn-RS"/>
        </w:rPr>
      </w:pPr>
      <w:r w:rsidRPr="008751D6">
        <w:rPr>
          <w:sz w:val="22"/>
          <w:szCs w:val="22"/>
          <w:lang w:val="sr-Latn-RS"/>
        </w:rPr>
        <w:t>Za spisak svih ekscipijenasa, pogledati dio 6.1.</w:t>
      </w:r>
    </w:p>
    <w:p w14:paraId="3AE5A6CE" w14:textId="1FDF6A70" w:rsidR="00C37FD7" w:rsidRPr="008751D6" w:rsidRDefault="00C37FD7" w:rsidP="009E2113">
      <w:pPr>
        <w:jc w:val="both"/>
        <w:rPr>
          <w:sz w:val="22"/>
          <w:szCs w:val="22"/>
          <w:lang w:val="sr-Latn-RS"/>
        </w:rPr>
      </w:pPr>
    </w:p>
    <w:p w14:paraId="590309A0" w14:textId="77777777" w:rsidR="008751D6" w:rsidRPr="008751D6" w:rsidRDefault="008751D6" w:rsidP="009E2113">
      <w:pPr>
        <w:jc w:val="both"/>
        <w:rPr>
          <w:sz w:val="22"/>
          <w:szCs w:val="22"/>
          <w:lang w:val="sr-Latn-RS"/>
        </w:rPr>
      </w:pPr>
    </w:p>
    <w:p w14:paraId="173D06E7" w14:textId="77777777" w:rsidR="00411B4B" w:rsidRPr="008751D6" w:rsidRDefault="00411B4B" w:rsidP="009E2113">
      <w:pPr>
        <w:tabs>
          <w:tab w:val="left" w:pos="540"/>
          <w:tab w:val="left" w:pos="569"/>
        </w:tabs>
        <w:jc w:val="both"/>
        <w:rPr>
          <w:b/>
          <w:bCs/>
          <w:sz w:val="22"/>
          <w:szCs w:val="22"/>
          <w:lang w:val="sr-Latn-RS"/>
        </w:rPr>
      </w:pPr>
      <w:r w:rsidRPr="008751D6">
        <w:rPr>
          <w:b/>
          <w:bCs/>
          <w:sz w:val="22"/>
          <w:szCs w:val="22"/>
          <w:lang w:val="sr-Latn-RS"/>
        </w:rPr>
        <w:t xml:space="preserve">3. </w:t>
      </w:r>
      <w:r w:rsidR="00F5167F" w:rsidRPr="008751D6">
        <w:rPr>
          <w:b/>
          <w:bCs/>
          <w:sz w:val="22"/>
          <w:szCs w:val="22"/>
          <w:lang w:val="sr-Latn-RS"/>
        </w:rPr>
        <w:tab/>
      </w:r>
      <w:r w:rsidRPr="008751D6">
        <w:rPr>
          <w:b/>
          <w:bCs/>
          <w:sz w:val="22"/>
          <w:szCs w:val="22"/>
          <w:lang w:val="sr-Latn-RS"/>
        </w:rPr>
        <w:t>FARMACEUTSKI OBLIK</w:t>
      </w:r>
      <w:r w:rsidR="009F2D23" w:rsidRPr="008751D6">
        <w:rPr>
          <w:b/>
          <w:bCs/>
          <w:sz w:val="22"/>
          <w:szCs w:val="22"/>
          <w:lang w:val="sr-Latn-RS"/>
        </w:rPr>
        <w:t xml:space="preserve"> </w:t>
      </w:r>
    </w:p>
    <w:p w14:paraId="1B3E8C22" w14:textId="77777777" w:rsidR="00CC2D09" w:rsidRPr="008751D6" w:rsidRDefault="00CC2D09" w:rsidP="009E2113">
      <w:pPr>
        <w:pStyle w:val="Header"/>
        <w:tabs>
          <w:tab w:val="left" w:pos="284"/>
        </w:tabs>
        <w:jc w:val="both"/>
        <w:rPr>
          <w:sz w:val="22"/>
          <w:szCs w:val="22"/>
          <w:lang w:val="sr-Latn-RS"/>
        </w:rPr>
      </w:pPr>
    </w:p>
    <w:p w14:paraId="4992C161" w14:textId="77777777" w:rsidR="00CC2D09" w:rsidRPr="008751D6" w:rsidRDefault="00CC2D09" w:rsidP="009E2113">
      <w:pPr>
        <w:pStyle w:val="Header"/>
        <w:tabs>
          <w:tab w:val="left" w:pos="284"/>
        </w:tabs>
        <w:jc w:val="both"/>
        <w:rPr>
          <w:sz w:val="22"/>
          <w:szCs w:val="22"/>
          <w:lang w:val="sr-Latn-RS"/>
        </w:rPr>
      </w:pPr>
      <w:r w:rsidRPr="008751D6">
        <w:rPr>
          <w:sz w:val="22"/>
          <w:szCs w:val="22"/>
          <w:lang w:val="sr-Latn-RS"/>
        </w:rPr>
        <w:t>Rastvor za injekciju u napunjenom injekcionom špricu.</w:t>
      </w:r>
    </w:p>
    <w:p w14:paraId="1E117597" w14:textId="77777777" w:rsidR="00411B4B" w:rsidRPr="008751D6" w:rsidRDefault="00CC2D09" w:rsidP="009E2113">
      <w:pPr>
        <w:jc w:val="both"/>
        <w:rPr>
          <w:bCs/>
          <w:sz w:val="22"/>
          <w:szCs w:val="22"/>
          <w:lang w:val="sr-Latn-RS"/>
        </w:rPr>
      </w:pPr>
      <w:r w:rsidRPr="008751D6">
        <w:rPr>
          <w:sz w:val="22"/>
          <w:szCs w:val="22"/>
          <w:lang w:val="sr-Latn-RS"/>
        </w:rPr>
        <w:t xml:space="preserve">Bijela do </w:t>
      </w:r>
      <w:r w:rsidR="00941025" w:rsidRPr="008751D6">
        <w:rPr>
          <w:sz w:val="22"/>
          <w:szCs w:val="22"/>
          <w:lang w:val="sr-Latn-RS"/>
        </w:rPr>
        <w:t xml:space="preserve">slabo </w:t>
      </w:r>
      <w:r w:rsidRPr="008751D6">
        <w:rPr>
          <w:sz w:val="22"/>
          <w:szCs w:val="22"/>
          <w:lang w:val="sr-Latn-RS"/>
        </w:rPr>
        <w:t>žuta polučvrsta faza u injekcionom špricu.</w:t>
      </w:r>
    </w:p>
    <w:p w14:paraId="1ED8E30C" w14:textId="40F191E9" w:rsidR="00EC2532" w:rsidRPr="008751D6" w:rsidRDefault="00EC2532" w:rsidP="009E2113">
      <w:pPr>
        <w:jc w:val="both"/>
        <w:rPr>
          <w:bCs/>
          <w:sz w:val="22"/>
          <w:szCs w:val="22"/>
          <w:lang w:val="sr-Latn-RS"/>
        </w:rPr>
      </w:pPr>
    </w:p>
    <w:p w14:paraId="0E777B74" w14:textId="77777777" w:rsidR="008751D6" w:rsidRPr="008751D6" w:rsidRDefault="008751D6" w:rsidP="009E2113">
      <w:pPr>
        <w:jc w:val="both"/>
        <w:rPr>
          <w:bCs/>
          <w:sz w:val="22"/>
          <w:szCs w:val="22"/>
          <w:lang w:val="sr-Latn-RS"/>
        </w:rPr>
      </w:pPr>
    </w:p>
    <w:p w14:paraId="018AF7E3" w14:textId="4408E853" w:rsidR="00411B4B" w:rsidRPr="008751D6" w:rsidRDefault="00411B4B" w:rsidP="009E2113">
      <w:pPr>
        <w:tabs>
          <w:tab w:val="left" w:pos="540"/>
          <w:tab w:val="left" w:pos="569"/>
        </w:tabs>
        <w:jc w:val="both"/>
        <w:rPr>
          <w:b/>
          <w:bCs/>
          <w:sz w:val="22"/>
          <w:szCs w:val="22"/>
          <w:lang w:val="sr-Latn-RS"/>
        </w:rPr>
      </w:pPr>
      <w:r w:rsidRPr="008751D6">
        <w:rPr>
          <w:b/>
          <w:bCs/>
          <w:sz w:val="22"/>
          <w:szCs w:val="22"/>
          <w:lang w:val="sr-Latn-RS"/>
        </w:rPr>
        <w:t xml:space="preserve">4. </w:t>
      </w:r>
      <w:r w:rsidR="00480FB1" w:rsidRPr="008751D6">
        <w:rPr>
          <w:b/>
          <w:bCs/>
          <w:sz w:val="22"/>
          <w:szCs w:val="22"/>
          <w:lang w:val="sr-Latn-RS"/>
        </w:rPr>
        <w:tab/>
      </w:r>
      <w:r w:rsidRPr="008751D6">
        <w:rPr>
          <w:b/>
          <w:bCs/>
          <w:sz w:val="22"/>
          <w:szCs w:val="22"/>
          <w:lang w:val="sr-Latn-RS"/>
        </w:rPr>
        <w:t>KLINIČKI PODACI</w:t>
      </w:r>
    </w:p>
    <w:p w14:paraId="4B547F9A" w14:textId="77777777" w:rsidR="00CD6F02" w:rsidRPr="008751D6" w:rsidRDefault="00CD6F02" w:rsidP="009E2113">
      <w:pPr>
        <w:tabs>
          <w:tab w:val="left" w:pos="540"/>
          <w:tab w:val="left" w:pos="569"/>
        </w:tabs>
        <w:jc w:val="both"/>
        <w:rPr>
          <w:bCs/>
          <w:sz w:val="22"/>
          <w:szCs w:val="22"/>
          <w:lang w:val="sr-Latn-RS"/>
        </w:rPr>
      </w:pPr>
    </w:p>
    <w:p w14:paraId="03B0235F" w14:textId="77777777" w:rsidR="00411B4B" w:rsidRPr="008751D6" w:rsidRDefault="00411B4B" w:rsidP="009E2113">
      <w:pPr>
        <w:tabs>
          <w:tab w:val="left" w:pos="540"/>
          <w:tab w:val="left" w:pos="569"/>
        </w:tabs>
        <w:jc w:val="both"/>
        <w:rPr>
          <w:b/>
          <w:bCs/>
          <w:sz w:val="22"/>
          <w:szCs w:val="22"/>
          <w:lang w:val="sr-Latn-RS"/>
        </w:rPr>
      </w:pPr>
      <w:r w:rsidRPr="008751D6">
        <w:rPr>
          <w:b/>
          <w:bCs/>
          <w:sz w:val="22"/>
          <w:szCs w:val="22"/>
          <w:lang w:val="sr-Latn-RS"/>
        </w:rPr>
        <w:t xml:space="preserve">4.1. </w:t>
      </w:r>
      <w:r w:rsidR="00480FB1" w:rsidRPr="008751D6">
        <w:rPr>
          <w:b/>
          <w:bCs/>
          <w:sz w:val="22"/>
          <w:szCs w:val="22"/>
          <w:lang w:val="sr-Latn-RS"/>
        </w:rPr>
        <w:tab/>
      </w:r>
      <w:r w:rsidRPr="008751D6">
        <w:rPr>
          <w:b/>
          <w:bCs/>
          <w:sz w:val="22"/>
          <w:szCs w:val="22"/>
          <w:lang w:val="sr-Latn-RS"/>
        </w:rPr>
        <w:t>Terapijske indikacije</w:t>
      </w:r>
    </w:p>
    <w:p w14:paraId="1749AC16" w14:textId="77777777" w:rsidR="00C11A2B" w:rsidRPr="008751D6" w:rsidRDefault="00C11A2B" w:rsidP="009E2113">
      <w:pPr>
        <w:tabs>
          <w:tab w:val="left" w:pos="540"/>
          <w:tab w:val="left" w:pos="569"/>
        </w:tabs>
        <w:jc w:val="both"/>
        <w:rPr>
          <w:b/>
          <w:bCs/>
          <w:sz w:val="22"/>
          <w:szCs w:val="22"/>
          <w:lang w:val="sr-Latn-RS"/>
        </w:rPr>
      </w:pPr>
    </w:p>
    <w:p w14:paraId="5DF24619" w14:textId="77777777" w:rsidR="000161E6" w:rsidRPr="008751D6" w:rsidRDefault="00CC2D09" w:rsidP="009E2113">
      <w:pPr>
        <w:pStyle w:val="Header"/>
        <w:tabs>
          <w:tab w:val="left" w:pos="284"/>
        </w:tabs>
        <w:jc w:val="both"/>
        <w:rPr>
          <w:sz w:val="22"/>
          <w:szCs w:val="22"/>
          <w:lang w:val="sr-Latn-RS"/>
        </w:rPr>
      </w:pPr>
      <w:r w:rsidRPr="008751D6">
        <w:rPr>
          <w:sz w:val="22"/>
          <w:szCs w:val="22"/>
          <w:lang w:val="sr-Latn-RS"/>
        </w:rPr>
        <w:t>Lijek Somatuline Autogel je indikovan za</w:t>
      </w:r>
      <w:r w:rsidR="00941025" w:rsidRPr="008751D6">
        <w:rPr>
          <w:sz w:val="22"/>
          <w:szCs w:val="22"/>
          <w:lang w:val="sr-Latn-RS"/>
        </w:rPr>
        <w:t>:</w:t>
      </w:r>
    </w:p>
    <w:p w14:paraId="51689315" w14:textId="4F4D2787" w:rsidR="00CC2D09" w:rsidRPr="008751D6" w:rsidRDefault="00CC2D09" w:rsidP="009E2113">
      <w:pPr>
        <w:pStyle w:val="Header"/>
        <w:numPr>
          <w:ilvl w:val="0"/>
          <w:numId w:val="17"/>
        </w:numPr>
        <w:tabs>
          <w:tab w:val="left" w:pos="284"/>
        </w:tabs>
        <w:ind w:left="284" w:hanging="284"/>
        <w:jc w:val="both"/>
        <w:rPr>
          <w:sz w:val="22"/>
          <w:szCs w:val="22"/>
          <w:lang w:val="sr-Latn-RS"/>
        </w:rPr>
      </w:pPr>
      <w:r w:rsidRPr="008751D6">
        <w:rPr>
          <w:sz w:val="22"/>
          <w:szCs w:val="22"/>
          <w:lang w:val="sr-Latn-RS"/>
        </w:rPr>
        <w:t xml:space="preserve">dugotrajnu terapiju akromegalije kod pacijenata kod kojih koncentracije hormona rasta (GH) i/ili insulinu sličnog faktora rasta 1 (IGF-1) ostaju </w:t>
      </w:r>
      <w:r w:rsidR="00941025" w:rsidRPr="008751D6">
        <w:rPr>
          <w:sz w:val="22"/>
          <w:szCs w:val="22"/>
          <w:lang w:val="sr-Latn-RS"/>
        </w:rPr>
        <w:t>abnormalne</w:t>
      </w:r>
      <w:r w:rsidR="00941025" w:rsidRPr="008751D6" w:rsidDel="00941025">
        <w:rPr>
          <w:sz w:val="22"/>
          <w:szCs w:val="22"/>
          <w:lang w:val="sr-Latn-RS"/>
        </w:rPr>
        <w:t xml:space="preserve"> </w:t>
      </w:r>
      <w:r w:rsidRPr="008751D6">
        <w:rPr>
          <w:sz w:val="22"/>
          <w:szCs w:val="22"/>
          <w:lang w:val="sr-Latn-RS"/>
        </w:rPr>
        <w:t>nakon operacije i/ili radioterapije, ili kod pacijenata koji iz drugih razloga zahtijevaju medikamentozni tretman. Cilj terapije akromegalije jeste smanjiti nivoe GH i IGF-1 i, ako je moguće, normalizovati njihove vrijednosti</w:t>
      </w:r>
      <w:r w:rsidR="0016762C" w:rsidRPr="008751D6">
        <w:rPr>
          <w:sz w:val="22"/>
          <w:szCs w:val="22"/>
          <w:lang w:val="sr-Latn-RS"/>
        </w:rPr>
        <w:t>;</w:t>
      </w:r>
      <w:r w:rsidRPr="008751D6">
        <w:rPr>
          <w:sz w:val="22"/>
          <w:szCs w:val="22"/>
          <w:lang w:val="sr-Latn-RS"/>
        </w:rPr>
        <w:t xml:space="preserve"> </w:t>
      </w:r>
    </w:p>
    <w:p w14:paraId="33DF7455" w14:textId="59BBDE28" w:rsidR="00941025" w:rsidRPr="008751D6" w:rsidRDefault="00CC2D09" w:rsidP="009E2113">
      <w:pPr>
        <w:pStyle w:val="Header"/>
        <w:numPr>
          <w:ilvl w:val="0"/>
          <w:numId w:val="17"/>
        </w:numPr>
        <w:tabs>
          <w:tab w:val="left" w:pos="284"/>
        </w:tabs>
        <w:jc w:val="both"/>
        <w:rPr>
          <w:sz w:val="22"/>
          <w:szCs w:val="22"/>
          <w:lang w:val="sr-Latn-RS"/>
        </w:rPr>
      </w:pPr>
      <w:r w:rsidRPr="008751D6">
        <w:rPr>
          <w:sz w:val="22"/>
          <w:szCs w:val="22"/>
          <w:lang w:val="sr-Latn-RS"/>
        </w:rPr>
        <w:t>olakšanje simptoma povezanih sa akromegalijom</w:t>
      </w:r>
      <w:r w:rsidR="0016762C" w:rsidRPr="008751D6">
        <w:rPr>
          <w:sz w:val="22"/>
          <w:szCs w:val="22"/>
          <w:lang w:val="sr-Latn-RS"/>
        </w:rPr>
        <w:t>;</w:t>
      </w:r>
      <w:r w:rsidRPr="008751D6">
        <w:rPr>
          <w:sz w:val="22"/>
          <w:szCs w:val="22"/>
          <w:lang w:val="sr-Latn-RS"/>
        </w:rPr>
        <w:t xml:space="preserve"> </w:t>
      </w:r>
    </w:p>
    <w:p w14:paraId="1E7EB1BB" w14:textId="05C223F3" w:rsidR="00CC2D09" w:rsidRPr="008751D6" w:rsidRDefault="00941025" w:rsidP="009E2113">
      <w:pPr>
        <w:pStyle w:val="ListParagraph"/>
        <w:numPr>
          <w:ilvl w:val="0"/>
          <w:numId w:val="14"/>
        </w:numPr>
        <w:ind w:left="284" w:hanging="284"/>
        <w:rPr>
          <w:rFonts w:eastAsia="Calibri"/>
          <w:szCs w:val="22"/>
          <w:lang w:val="sr-Latn-RS"/>
        </w:rPr>
      </w:pPr>
      <w:r w:rsidRPr="008751D6">
        <w:rPr>
          <w:rFonts w:eastAsia="Calibri"/>
          <w:szCs w:val="22"/>
          <w:lang w:val="sr-Latn-RS"/>
        </w:rPr>
        <w:t xml:space="preserve">terapiju gradus 1 i </w:t>
      </w:r>
      <w:r w:rsidR="00AD63D0" w:rsidRPr="008751D6">
        <w:rPr>
          <w:rFonts w:eastAsia="Calibri"/>
          <w:szCs w:val="22"/>
          <w:lang w:val="sr-Latn-RS"/>
        </w:rPr>
        <w:t xml:space="preserve">podgrupe </w:t>
      </w:r>
      <w:r w:rsidRPr="008751D6">
        <w:rPr>
          <w:rFonts w:eastAsia="Calibri"/>
          <w:szCs w:val="22"/>
          <w:lang w:val="sr-Latn-RS"/>
        </w:rPr>
        <w:t>gradus 2 (Ki67 indeks do 10%) gastroenteropankreasnih neuroendokrinih tumora (GEP-NETs) intestinuma, pankreasa ili nepoznatog por</w:t>
      </w:r>
      <w:r w:rsidR="00005D70" w:rsidRPr="008751D6">
        <w:rPr>
          <w:rFonts w:eastAsia="Calibri"/>
          <w:szCs w:val="22"/>
          <w:lang w:val="sr-Latn-RS"/>
        </w:rPr>
        <w:t>ij</w:t>
      </w:r>
      <w:r w:rsidRPr="008751D6">
        <w:rPr>
          <w:rFonts w:eastAsia="Calibri"/>
          <w:szCs w:val="22"/>
          <w:lang w:val="sr-Latn-RS"/>
        </w:rPr>
        <w:t>ekla</w:t>
      </w:r>
      <w:r w:rsidR="00AD63D0" w:rsidRPr="008751D6">
        <w:rPr>
          <w:rFonts w:eastAsia="Calibri"/>
          <w:szCs w:val="22"/>
          <w:lang w:val="sr-Latn-RS"/>
        </w:rPr>
        <w:t xml:space="preserve"> kada su isključeni završni djelovi digestivnog trakta,</w:t>
      </w:r>
      <w:r w:rsidRPr="008751D6">
        <w:rPr>
          <w:rFonts w:eastAsia="Calibri"/>
          <w:szCs w:val="22"/>
          <w:lang w:val="sr-Latn-RS"/>
        </w:rPr>
        <w:t xml:space="preserve"> kod odraslih pacijenata sa neresektabilnom, lokalno uznapredovalom ili metastatskom bolešću (vid</w:t>
      </w:r>
      <w:r w:rsidR="00EB58DC" w:rsidRPr="008751D6">
        <w:rPr>
          <w:rFonts w:eastAsia="Calibri"/>
          <w:szCs w:val="22"/>
          <w:lang w:val="sr-Latn-RS"/>
        </w:rPr>
        <w:t>j</w:t>
      </w:r>
      <w:r w:rsidRPr="008751D6">
        <w:rPr>
          <w:rFonts w:eastAsia="Calibri"/>
          <w:szCs w:val="22"/>
          <w:lang w:val="sr-Latn-RS"/>
        </w:rPr>
        <w:t xml:space="preserve">eti </w:t>
      </w:r>
      <w:r w:rsidR="00AD63D0" w:rsidRPr="008751D6">
        <w:rPr>
          <w:rFonts w:eastAsia="Calibri"/>
          <w:szCs w:val="22"/>
          <w:lang w:val="sr-Latn-RS"/>
        </w:rPr>
        <w:t>dio</w:t>
      </w:r>
      <w:r w:rsidRPr="008751D6">
        <w:rPr>
          <w:rFonts w:eastAsia="Calibri"/>
          <w:szCs w:val="22"/>
          <w:lang w:val="sr-Latn-RS"/>
        </w:rPr>
        <w:t xml:space="preserve"> 5.1)</w:t>
      </w:r>
      <w:r w:rsidR="0016762C" w:rsidRPr="008751D6">
        <w:rPr>
          <w:rFonts w:eastAsia="Calibri"/>
          <w:szCs w:val="22"/>
          <w:lang w:val="sr-Latn-RS"/>
        </w:rPr>
        <w:t>;</w:t>
      </w:r>
    </w:p>
    <w:p w14:paraId="7D750608" w14:textId="7B402123" w:rsidR="00941025" w:rsidRPr="008751D6" w:rsidRDefault="00941025" w:rsidP="009E2113">
      <w:pPr>
        <w:pStyle w:val="ListParagraph"/>
        <w:numPr>
          <w:ilvl w:val="0"/>
          <w:numId w:val="14"/>
        </w:numPr>
        <w:ind w:left="284" w:hanging="284"/>
        <w:rPr>
          <w:szCs w:val="22"/>
          <w:lang w:val="sr-Latn-RS"/>
        </w:rPr>
      </w:pPr>
      <w:r w:rsidRPr="008751D6">
        <w:rPr>
          <w:szCs w:val="22"/>
          <w:lang w:val="sr-Latn-RS"/>
        </w:rPr>
        <w:t xml:space="preserve">terapiju simptoma </w:t>
      </w:r>
      <w:r w:rsidR="00DD0C73" w:rsidRPr="008751D6">
        <w:rPr>
          <w:szCs w:val="22"/>
          <w:lang w:val="sr-Latn-RS"/>
        </w:rPr>
        <w:t>povezanih sa</w:t>
      </w:r>
      <w:r w:rsidR="00EB1197" w:rsidRPr="008751D6">
        <w:rPr>
          <w:szCs w:val="22"/>
          <w:lang w:val="sr-Latn-RS"/>
        </w:rPr>
        <w:t xml:space="preserve"> </w:t>
      </w:r>
      <w:r w:rsidRPr="008751D6">
        <w:rPr>
          <w:szCs w:val="22"/>
          <w:lang w:val="sr-Latn-RS"/>
        </w:rPr>
        <w:t>karcinoidnim tumorima.</w:t>
      </w:r>
    </w:p>
    <w:p w14:paraId="0D755C77" w14:textId="77777777" w:rsidR="00411B4B" w:rsidRPr="008751D6" w:rsidRDefault="00411B4B" w:rsidP="009E2113">
      <w:pPr>
        <w:tabs>
          <w:tab w:val="left" w:pos="540"/>
          <w:tab w:val="left" w:pos="569"/>
        </w:tabs>
        <w:jc w:val="both"/>
        <w:rPr>
          <w:bCs/>
          <w:sz w:val="22"/>
          <w:szCs w:val="22"/>
          <w:lang w:val="sr-Latn-RS"/>
        </w:rPr>
      </w:pPr>
    </w:p>
    <w:p w14:paraId="6A6908EF" w14:textId="77777777" w:rsidR="00411B4B" w:rsidRPr="008751D6" w:rsidRDefault="00411B4B" w:rsidP="009E2113">
      <w:pPr>
        <w:tabs>
          <w:tab w:val="left" w:pos="540"/>
          <w:tab w:val="left" w:pos="569"/>
        </w:tabs>
        <w:jc w:val="both"/>
        <w:rPr>
          <w:b/>
          <w:bCs/>
          <w:sz w:val="22"/>
          <w:szCs w:val="22"/>
          <w:lang w:val="sr-Latn-RS"/>
        </w:rPr>
      </w:pPr>
      <w:r w:rsidRPr="008751D6">
        <w:rPr>
          <w:b/>
          <w:bCs/>
          <w:sz w:val="22"/>
          <w:szCs w:val="22"/>
          <w:lang w:val="sr-Latn-RS"/>
        </w:rPr>
        <w:t xml:space="preserve">4.2. </w:t>
      </w:r>
      <w:r w:rsidR="00480FB1" w:rsidRPr="008751D6">
        <w:rPr>
          <w:b/>
          <w:bCs/>
          <w:sz w:val="22"/>
          <w:szCs w:val="22"/>
          <w:lang w:val="sr-Latn-RS"/>
        </w:rPr>
        <w:tab/>
      </w:r>
      <w:r w:rsidRPr="008751D6">
        <w:rPr>
          <w:b/>
          <w:bCs/>
          <w:sz w:val="22"/>
          <w:szCs w:val="22"/>
          <w:lang w:val="sr-Latn-RS"/>
        </w:rPr>
        <w:t>Doziranje i način primjene</w:t>
      </w:r>
    </w:p>
    <w:p w14:paraId="5A88B282" w14:textId="77777777" w:rsidR="0072020E" w:rsidRPr="008751D6" w:rsidRDefault="0072020E" w:rsidP="009E2113">
      <w:pPr>
        <w:tabs>
          <w:tab w:val="left" w:pos="540"/>
          <w:tab w:val="left" w:pos="569"/>
        </w:tabs>
        <w:jc w:val="both"/>
        <w:rPr>
          <w:bCs/>
          <w:sz w:val="22"/>
          <w:szCs w:val="22"/>
          <w:lang w:val="sr-Latn-RS"/>
        </w:rPr>
      </w:pPr>
    </w:p>
    <w:p w14:paraId="4539F429" w14:textId="2B774839" w:rsidR="006823FF" w:rsidRPr="008751D6" w:rsidRDefault="006823FF" w:rsidP="009E2113">
      <w:pPr>
        <w:tabs>
          <w:tab w:val="left" w:pos="540"/>
          <w:tab w:val="left" w:pos="569"/>
        </w:tabs>
        <w:jc w:val="both"/>
        <w:rPr>
          <w:bCs/>
          <w:sz w:val="22"/>
          <w:szCs w:val="22"/>
          <w:u w:val="single"/>
          <w:lang w:val="sr-Latn-RS"/>
        </w:rPr>
      </w:pPr>
      <w:r w:rsidRPr="008751D6">
        <w:rPr>
          <w:bCs/>
          <w:sz w:val="22"/>
          <w:szCs w:val="22"/>
          <w:u w:val="single"/>
          <w:lang w:val="sr-Latn-RS"/>
        </w:rPr>
        <w:t>Doziranje</w:t>
      </w:r>
    </w:p>
    <w:p w14:paraId="3A1BB817" w14:textId="77777777" w:rsidR="006823FF" w:rsidRPr="008751D6" w:rsidRDefault="006823FF" w:rsidP="009E2113">
      <w:pPr>
        <w:tabs>
          <w:tab w:val="left" w:pos="540"/>
          <w:tab w:val="left" w:pos="569"/>
        </w:tabs>
        <w:jc w:val="both"/>
        <w:rPr>
          <w:bCs/>
          <w:sz w:val="22"/>
          <w:szCs w:val="22"/>
          <w:u w:val="single"/>
          <w:lang w:val="sr-Latn-RS"/>
        </w:rPr>
      </w:pPr>
    </w:p>
    <w:p w14:paraId="4934FE77" w14:textId="77777777" w:rsidR="00CC2D09" w:rsidRPr="008751D6" w:rsidRDefault="00CC2D09" w:rsidP="009E2113">
      <w:pPr>
        <w:pStyle w:val="Header"/>
        <w:tabs>
          <w:tab w:val="left" w:pos="284"/>
        </w:tabs>
        <w:jc w:val="both"/>
        <w:rPr>
          <w:b/>
          <w:i/>
          <w:iCs/>
          <w:sz w:val="22"/>
          <w:szCs w:val="22"/>
          <w:lang w:val="sr-Latn-RS"/>
        </w:rPr>
      </w:pPr>
      <w:r w:rsidRPr="008751D6">
        <w:rPr>
          <w:b/>
          <w:i/>
          <w:iCs/>
          <w:sz w:val="22"/>
          <w:szCs w:val="22"/>
          <w:lang w:val="sr-Latn-RS"/>
        </w:rPr>
        <w:t>Akromegalija</w:t>
      </w:r>
    </w:p>
    <w:p w14:paraId="111301E3" w14:textId="77777777" w:rsidR="00CC2D09" w:rsidRPr="008751D6" w:rsidRDefault="00CC2D09" w:rsidP="009E2113">
      <w:pPr>
        <w:pStyle w:val="Header"/>
        <w:tabs>
          <w:tab w:val="left" w:pos="284"/>
        </w:tabs>
        <w:jc w:val="both"/>
        <w:rPr>
          <w:sz w:val="22"/>
          <w:szCs w:val="22"/>
          <w:lang w:val="sr-Latn-RS"/>
        </w:rPr>
      </w:pPr>
      <w:r w:rsidRPr="008751D6">
        <w:rPr>
          <w:sz w:val="22"/>
          <w:szCs w:val="22"/>
          <w:lang w:val="sr-Latn-RS"/>
        </w:rPr>
        <w:t>Preporučena početna doza je 60 do 120 mg primijenjena na svakih 28 dana.</w:t>
      </w:r>
    </w:p>
    <w:p w14:paraId="213C0F19" w14:textId="77777777" w:rsidR="00CC2D09" w:rsidRPr="008751D6" w:rsidRDefault="00CC2D09" w:rsidP="009E2113">
      <w:pPr>
        <w:pStyle w:val="Header"/>
        <w:tabs>
          <w:tab w:val="left" w:pos="284"/>
        </w:tabs>
        <w:jc w:val="both"/>
        <w:rPr>
          <w:sz w:val="22"/>
          <w:szCs w:val="22"/>
          <w:lang w:val="sr-Latn-RS"/>
        </w:rPr>
      </w:pPr>
    </w:p>
    <w:p w14:paraId="7A187C7D" w14:textId="18C44FE5" w:rsidR="00CC2D09" w:rsidRPr="008751D6" w:rsidRDefault="00CC2D09" w:rsidP="009E2113">
      <w:pPr>
        <w:pStyle w:val="Header"/>
        <w:tabs>
          <w:tab w:val="left" w:pos="284"/>
        </w:tabs>
        <w:jc w:val="both"/>
        <w:rPr>
          <w:sz w:val="22"/>
          <w:szCs w:val="22"/>
          <w:lang w:val="sr-Latn-RS"/>
        </w:rPr>
      </w:pPr>
      <w:r w:rsidRPr="008751D6">
        <w:rPr>
          <w:sz w:val="22"/>
          <w:szCs w:val="22"/>
          <w:lang w:val="sr-Latn-RS"/>
        </w:rPr>
        <w:t>Na primjer</w:t>
      </w:r>
      <w:r w:rsidR="00935063" w:rsidRPr="008751D6">
        <w:rPr>
          <w:sz w:val="22"/>
          <w:szCs w:val="22"/>
          <w:lang w:val="sr-Latn-RS"/>
        </w:rPr>
        <w:t xml:space="preserve">, </w:t>
      </w:r>
      <w:r w:rsidRPr="008751D6">
        <w:rPr>
          <w:sz w:val="22"/>
          <w:szCs w:val="22"/>
          <w:lang w:val="sr-Latn-RS"/>
        </w:rPr>
        <w:t xml:space="preserve">kod pacijenata prethodno liječenih lijekom </w:t>
      </w:r>
      <w:r w:rsidR="00E453C7" w:rsidRPr="008751D6">
        <w:rPr>
          <w:sz w:val="22"/>
          <w:szCs w:val="22"/>
          <w:lang w:val="sr-Latn-RS"/>
        </w:rPr>
        <w:t>S</w:t>
      </w:r>
      <w:r w:rsidR="00941025" w:rsidRPr="008751D6">
        <w:rPr>
          <w:sz w:val="22"/>
          <w:szCs w:val="22"/>
          <w:lang w:val="sr-Latn-RS"/>
        </w:rPr>
        <w:t>omatuline</w:t>
      </w:r>
      <w:r w:rsidRPr="008751D6">
        <w:rPr>
          <w:sz w:val="22"/>
          <w:szCs w:val="22"/>
          <w:lang w:val="sr-Latn-RS"/>
        </w:rPr>
        <w:t xml:space="preserve"> LA u dozi od 30 mg svakih 14 dana, početna doza za lijek Somatuline</w:t>
      </w:r>
      <w:r w:rsidRPr="008751D6">
        <w:rPr>
          <w:sz w:val="22"/>
          <w:szCs w:val="22"/>
          <w:vertAlign w:val="superscript"/>
          <w:lang w:val="sr-Latn-RS"/>
        </w:rPr>
        <w:t xml:space="preserve"> </w:t>
      </w:r>
      <w:r w:rsidRPr="008751D6">
        <w:rPr>
          <w:sz w:val="22"/>
          <w:szCs w:val="22"/>
          <w:lang w:val="sr-Latn-RS"/>
        </w:rPr>
        <w:t>Autogel treba da bude 60 mg svakih 28 dana</w:t>
      </w:r>
      <w:r w:rsidR="00935063" w:rsidRPr="008751D6">
        <w:rPr>
          <w:sz w:val="22"/>
          <w:szCs w:val="22"/>
          <w:lang w:val="sr-Latn-RS"/>
        </w:rPr>
        <w:t xml:space="preserve">, odnosno </w:t>
      </w:r>
      <w:r w:rsidRPr="008751D6">
        <w:rPr>
          <w:sz w:val="22"/>
          <w:szCs w:val="22"/>
          <w:lang w:val="sr-Latn-RS"/>
        </w:rPr>
        <w:t xml:space="preserve">kod pacijenata prethodno liječenih lijekom </w:t>
      </w:r>
      <w:r w:rsidR="00941025" w:rsidRPr="008751D6">
        <w:rPr>
          <w:sz w:val="22"/>
          <w:szCs w:val="22"/>
          <w:lang w:val="sr-Latn-RS"/>
        </w:rPr>
        <w:t>Somatuline</w:t>
      </w:r>
      <w:r w:rsidRPr="008751D6">
        <w:rPr>
          <w:sz w:val="22"/>
          <w:szCs w:val="22"/>
          <w:lang w:val="sr-Latn-RS"/>
        </w:rPr>
        <w:t xml:space="preserve"> LA u dozi od 30 mg svakih 10 dana, početna doza za lijek Somatuline</w:t>
      </w:r>
      <w:r w:rsidRPr="008751D6">
        <w:rPr>
          <w:sz w:val="22"/>
          <w:szCs w:val="22"/>
          <w:vertAlign w:val="superscript"/>
          <w:lang w:val="sr-Latn-RS"/>
        </w:rPr>
        <w:t xml:space="preserve"> </w:t>
      </w:r>
      <w:r w:rsidRPr="008751D6">
        <w:rPr>
          <w:sz w:val="22"/>
          <w:szCs w:val="22"/>
          <w:lang w:val="sr-Latn-RS"/>
        </w:rPr>
        <w:t>Autogel</w:t>
      </w:r>
      <w:r w:rsidRPr="008751D6">
        <w:rPr>
          <w:sz w:val="22"/>
          <w:szCs w:val="22"/>
          <w:vertAlign w:val="superscript"/>
          <w:lang w:val="sr-Latn-RS"/>
        </w:rPr>
        <w:t xml:space="preserve"> </w:t>
      </w:r>
      <w:r w:rsidRPr="008751D6">
        <w:rPr>
          <w:sz w:val="22"/>
          <w:szCs w:val="22"/>
          <w:lang w:val="sr-Latn-RS"/>
        </w:rPr>
        <w:t>treba da bude 90 mg svakih 28 dana.</w:t>
      </w:r>
    </w:p>
    <w:p w14:paraId="47BDB7C9" w14:textId="77777777" w:rsidR="00935063" w:rsidRPr="008751D6" w:rsidRDefault="00935063" w:rsidP="009E2113">
      <w:pPr>
        <w:pStyle w:val="Header"/>
        <w:tabs>
          <w:tab w:val="clear" w:pos="4320"/>
          <w:tab w:val="clear" w:pos="8640"/>
          <w:tab w:val="left" w:pos="284"/>
        </w:tabs>
        <w:jc w:val="both"/>
        <w:rPr>
          <w:sz w:val="22"/>
          <w:szCs w:val="22"/>
          <w:lang w:val="sr-Latn-RS"/>
        </w:rPr>
      </w:pPr>
    </w:p>
    <w:p w14:paraId="289A379B" w14:textId="048EAB27" w:rsidR="00CC2D09" w:rsidRPr="008751D6" w:rsidRDefault="00935063" w:rsidP="009E2113">
      <w:pPr>
        <w:pStyle w:val="Header"/>
        <w:tabs>
          <w:tab w:val="clear" w:pos="4320"/>
          <w:tab w:val="clear" w:pos="8640"/>
          <w:tab w:val="left" w:pos="284"/>
        </w:tabs>
        <w:jc w:val="both"/>
        <w:rPr>
          <w:sz w:val="22"/>
          <w:szCs w:val="22"/>
          <w:lang w:val="sr-Latn-RS"/>
        </w:rPr>
      </w:pPr>
      <w:r w:rsidRPr="008751D6">
        <w:rPr>
          <w:sz w:val="22"/>
          <w:szCs w:val="22"/>
          <w:lang w:val="sr-Latn-RS"/>
        </w:rPr>
        <w:t>Nakon početne doze, doziranje</w:t>
      </w:r>
      <w:r w:rsidR="00CC2D09" w:rsidRPr="008751D6">
        <w:rPr>
          <w:sz w:val="22"/>
          <w:szCs w:val="22"/>
          <w:lang w:val="sr-Latn-RS"/>
        </w:rPr>
        <w:t xml:space="preserve"> treba prilagoditi individualnom odgovoru pacijenta (u skladu sa redukcijom simptoma i/ili redukcijom </w:t>
      </w:r>
      <w:r w:rsidR="00941025" w:rsidRPr="008751D6">
        <w:rPr>
          <w:sz w:val="22"/>
          <w:szCs w:val="22"/>
          <w:lang w:val="sr-Latn-RS"/>
        </w:rPr>
        <w:t>vr</w:t>
      </w:r>
      <w:r w:rsidR="00EB58DC" w:rsidRPr="008751D6">
        <w:rPr>
          <w:sz w:val="22"/>
          <w:szCs w:val="22"/>
          <w:lang w:val="sr-Latn-RS"/>
        </w:rPr>
        <w:t>ij</w:t>
      </w:r>
      <w:r w:rsidR="00941025" w:rsidRPr="008751D6">
        <w:rPr>
          <w:sz w:val="22"/>
          <w:szCs w:val="22"/>
          <w:lang w:val="sr-Latn-RS"/>
        </w:rPr>
        <w:t xml:space="preserve">ednosti </w:t>
      </w:r>
      <w:r w:rsidR="00CC2D09" w:rsidRPr="008751D6">
        <w:rPr>
          <w:sz w:val="22"/>
          <w:szCs w:val="22"/>
          <w:lang w:val="sr-Latn-RS"/>
        </w:rPr>
        <w:t>GH i/ili IGF-1).</w:t>
      </w:r>
    </w:p>
    <w:p w14:paraId="1769DA76" w14:textId="77777777" w:rsidR="00935063" w:rsidRPr="008751D6" w:rsidRDefault="00935063" w:rsidP="009E2113">
      <w:pPr>
        <w:pStyle w:val="Header"/>
        <w:tabs>
          <w:tab w:val="left" w:pos="284"/>
        </w:tabs>
        <w:jc w:val="both"/>
        <w:rPr>
          <w:sz w:val="22"/>
          <w:szCs w:val="22"/>
          <w:lang w:val="sr-Latn-RS"/>
        </w:rPr>
      </w:pPr>
    </w:p>
    <w:p w14:paraId="3F53FE10" w14:textId="2B452A05" w:rsidR="00CC2D09" w:rsidRPr="008751D6" w:rsidRDefault="00CC2D09" w:rsidP="009E2113">
      <w:pPr>
        <w:pStyle w:val="Header"/>
        <w:tabs>
          <w:tab w:val="left" w:pos="284"/>
        </w:tabs>
        <w:jc w:val="both"/>
        <w:rPr>
          <w:sz w:val="22"/>
          <w:szCs w:val="22"/>
          <w:lang w:val="sr-Latn-RS"/>
        </w:rPr>
      </w:pPr>
      <w:r w:rsidRPr="008751D6">
        <w:rPr>
          <w:sz w:val="22"/>
          <w:szCs w:val="22"/>
          <w:lang w:val="sr-Latn-RS"/>
        </w:rPr>
        <w:t>Ukoliko željeni odgovor nije postignut, doza se može povećati.</w:t>
      </w:r>
    </w:p>
    <w:p w14:paraId="144693F7" w14:textId="77777777" w:rsidR="00CC2D09" w:rsidRPr="008751D6" w:rsidRDefault="00CC2D09" w:rsidP="009E2113">
      <w:pPr>
        <w:pStyle w:val="Header"/>
        <w:tabs>
          <w:tab w:val="left" w:pos="284"/>
        </w:tabs>
        <w:jc w:val="both"/>
        <w:rPr>
          <w:sz w:val="22"/>
          <w:szCs w:val="22"/>
          <w:lang w:val="sr-Latn-RS"/>
        </w:rPr>
      </w:pPr>
    </w:p>
    <w:p w14:paraId="72A730A3" w14:textId="77777777" w:rsidR="00CC2D09" w:rsidRPr="008751D6" w:rsidRDefault="00CC2D09" w:rsidP="009E2113">
      <w:pPr>
        <w:pStyle w:val="Header"/>
        <w:tabs>
          <w:tab w:val="left" w:pos="284"/>
        </w:tabs>
        <w:jc w:val="both"/>
        <w:rPr>
          <w:sz w:val="22"/>
          <w:szCs w:val="22"/>
          <w:lang w:val="sr-Latn-RS"/>
        </w:rPr>
      </w:pPr>
      <w:r w:rsidRPr="008751D6">
        <w:rPr>
          <w:sz w:val="22"/>
          <w:szCs w:val="22"/>
          <w:lang w:val="sr-Latn-RS"/>
        </w:rPr>
        <w:t xml:space="preserve">Ukoliko je postignuta potpuna kontrola simptoma (na osnovu </w:t>
      </w:r>
      <w:r w:rsidR="00941025" w:rsidRPr="008751D6">
        <w:rPr>
          <w:sz w:val="22"/>
          <w:szCs w:val="22"/>
          <w:lang w:val="sr-Latn-RS"/>
        </w:rPr>
        <w:t>vr</w:t>
      </w:r>
      <w:r w:rsidR="00EB58DC" w:rsidRPr="008751D6">
        <w:rPr>
          <w:sz w:val="22"/>
          <w:szCs w:val="22"/>
          <w:lang w:val="sr-Latn-RS"/>
        </w:rPr>
        <w:t>ij</w:t>
      </w:r>
      <w:r w:rsidR="00941025" w:rsidRPr="008751D6">
        <w:rPr>
          <w:sz w:val="22"/>
          <w:szCs w:val="22"/>
          <w:lang w:val="sr-Latn-RS"/>
        </w:rPr>
        <w:t xml:space="preserve">ednosti </w:t>
      </w:r>
      <w:r w:rsidRPr="008751D6">
        <w:rPr>
          <w:sz w:val="22"/>
          <w:szCs w:val="22"/>
          <w:lang w:val="sr-Latn-RS"/>
        </w:rPr>
        <w:t xml:space="preserve">GH ispod 1 ng/ml, normalnih </w:t>
      </w:r>
      <w:r w:rsidR="00941025" w:rsidRPr="008751D6">
        <w:rPr>
          <w:sz w:val="22"/>
          <w:szCs w:val="22"/>
          <w:lang w:val="sr-Latn-RS"/>
        </w:rPr>
        <w:t>vr</w:t>
      </w:r>
      <w:r w:rsidR="00EB58DC" w:rsidRPr="008751D6">
        <w:rPr>
          <w:sz w:val="22"/>
          <w:szCs w:val="22"/>
          <w:lang w:val="sr-Latn-RS"/>
        </w:rPr>
        <w:t>ij</w:t>
      </w:r>
      <w:r w:rsidR="00941025" w:rsidRPr="008751D6">
        <w:rPr>
          <w:sz w:val="22"/>
          <w:szCs w:val="22"/>
          <w:lang w:val="sr-Latn-RS"/>
        </w:rPr>
        <w:t xml:space="preserve">ednosti </w:t>
      </w:r>
      <w:r w:rsidRPr="008751D6">
        <w:rPr>
          <w:sz w:val="22"/>
          <w:szCs w:val="22"/>
          <w:lang w:val="sr-Latn-RS"/>
        </w:rPr>
        <w:t>IGF-1 i/ili izostanak simptoma), doza se može smanjiti ili alternativno 120 mg se može dati u intervalima 42-56 dana.</w:t>
      </w:r>
    </w:p>
    <w:p w14:paraId="1301C91D" w14:textId="77777777" w:rsidR="00CC2D09" w:rsidRPr="008751D6" w:rsidRDefault="00CC2D09" w:rsidP="009E2113">
      <w:pPr>
        <w:pStyle w:val="Header"/>
        <w:tabs>
          <w:tab w:val="left" w:pos="284"/>
        </w:tabs>
        <w:jc w:val="both"/>
        <w:rPr>
          <w:sz w:val="22"/>
          <w:szCs w:val="22"/>
          <w:lang w:val="sr-Latn-RS"/>
        </w:rPr>
      </w:pPr>
    </w:p>
    <w:p w14:paraId="468D2697" w14:textId="78A3EB3B" w:rsidR="00CC2D09" w:rsidRPr="008751D6" w:rsidRDefault="00CC2D09" w:rsidP="009E2113">
      <w:pPr>
        <w:pStyle w:val="Header"/>
        <w:tabs>
          <w:tab w:val="left" w:pos="284"/>
        </w:tabs>
        <w:jc w:val="both"/>
        <w:rPr>
          <w:sz w:val="22"/>
          <w:szCs w:val="22"/>
          <w:lang w:val="sr-Latn-RS"/>
        </w:rPr>
      </w:pPr>
      <w:r w:rsidRPr="008751D6">
        <w:rPr>
          <w:sz w:val="22"/>
          <w:szCs w:val="22"/>
          <w:lang w:val="sr-Latn-RS"/>
        </w:rPr>
        <w:t>Dugotrajn</w:t>
      </w:r>
      <w:r w:rsidR="00A21F76" w:rsidRPr="008751D6">
        <w:rPr>
          <w:sz w:val="22"/>
          <w:szCs w:val="22"/>
          <w:lang w:val="sr-Latn-RS"/>
        </w:rPr>
        <w:t>o</w:t>
      </w:r>
      <w:r w:rsidRPr="008751D6">
        <w:rPr>
          <w:sz w:val="22"/>
          <w:szCs w:val="22"/>
          <w:lang w:val="sr-Latn-RS"/>
        </w:rPr>
        <w:t xml:space="preserve"> </w:t>
      </w:r>
      <w:r w:rsidR="00E927DE" w:rsidRPr="008751D6">
        <w:rPr>
          <w:sz w:val="22"/>
          <w:szCs w:val="22"/>
          <w:lang w:val="sr-Latn-RS"/>
        </w:rPr>
        <w:t>praćenje simptoma treba sprovoditi u skladu sa kliničkim potrebama.</w:t>
      </w:r>
      <w:r w:rsidRPr="008751D6">
        <w:rPr>
          <w:sz w:val="22"/>
          <w:szCs w:val="22"/>
          <w:lang w:val="sr-Latn-RS"/>
        </w:rPr>
        <w:t xml:space="preserve"> </w:t>
      </w:r>
      <w:r w:rsidR="00335881" w:rsidRPr="008751D6">
        <w:rPr>
          <w:sz w:val="22"/>
          <w:szCs w:val="22"/>
          <w:lang w:val="sr-Latn-RS"/>
        </w:rPr>
        <w:t>Rutinsku p</w:t>
      </w:r>
      <w:r w:rsidR="008F43F9" w:rsidRPr="008751D6">
        <w:rPr>
          <w:sz w:val="22"/>
          <w:szCs w:val="22"/>
          <w:lang w:val="sr-Latn-RS"/>
        </w:rPr>
        <w:t>rovjeru</w:t>
      </w:r>
      <w:r w:rsidR="00015430" w:rsidRPr="008751D6">
        <w:rPr>
          <w:sz w:val="22"/>
          <w:szCs w:val="22"/>
          <w:lang w:val="sr-Latn-RS"/>
        </w:rPr>
        <w:t xml:space="preserve"> </w:t>
      </w:r>
      <w:r w:rsidRPr="008751D6">
        <w:rPr>
          <w:sz w:val="22"/>
          <w:szCs w:val="22"/>
          <w:lang w:val="sr-Latn-RS"/>
        </w:rPr>
        <w:t xml:space="preserve">GH i IGF-1 </w:t>
      </w:r>
      <w:r w:rsidR="00941025" w:rsidRPr="008751D6">
        <w:rPr>
          <w:sz w:val="22"/>
          <w:szCs w:val="22"/>
          <w:lang w:val="sr-Latn-RS"/>
        </w:rPr>
        <w:t>vr</w:t>
      </w:r>
      <w:r w:rsidR="00EB58DC" w:rsidRPr="008751D6">
        <w:rPr>
          <w:sz w:val="22"/>
          <w:szCs w:val="22"/>
          <w:lang w:val="sr-Latn-RS"/>
        </w:rPr>
        <w:t>ij</w:t>
      </w:r>
      <w:r w:rsidR="00941025" w:rsidRPr="008751D6">
        <w:rPr>
          <w:sz w:val="22"/>
          <w:szCs w:val="22"/>
          <w:lang w:val="sr-Latn-RS"/>
        </w:rPr>
        <w:t xml:space="preserve">ednosti </w:t>
      </w:r>
      <w:r w:rsidR="008F43F9" w:rsidRPr="008751D6">
        <w:rPr>
          <w:sz w:val="22"/>
          <w:szCs w:val="22"/>
          <w:lang w:val="sr-Latn-RS"/>
        </w:rPr>
        <w:t>treba sprovoditi</w:t>
      </w:r>
      <w:r w:rsidR="00363919" w:rsidRPr="008751D6">
        <w:rPr>
          <w:sz w:val="22"/>
          <w:szCs w:val="22"/>
          <w:lang w:val="sr-Latn-RS"/>
        </w:rPr>
        <w:t xml:space="preserve"> kod svih pacijenata sa akromegalijom</w:t>
      </w:r>
      <w:r w:rsidRPr="008751D6">
        <w:rPr>
          <w:sz w:val="22"/>
          <w:szCs w:val="22"/>
          <w:lang w:val="sr-Latn-RS"/>
        </w:rPr>
        <w:t>.</w:t>
      </w:r>
    </w:p>
    <w:p w14:paraId="300E4C84" w14:textId="77777777" w:rsidR="0099508E" w:rsidRPr="008751D6" w:rsidRDefault="0099508E" w:rsidP="009E2113">
      <w:pPr>
        <w:pStyle w:val="Header"/>
        <w:tabs>
          <w:tab w:val="left" w:pos="284"/>
        </w:tabs>
        <w:jc w:val="both"/>
        <w:rPr>
          <w:sz w:val="22"/>
          <w:szCs w:val="22"/>
          <w:lang w:val="sr-Latn-RS"/>
        </w:rPr>
      </w:pPr>
    </w:p>
    <w:p w14:paraId="2F9A3FBE" w14:textId="0B8A2224" w:rsidR="000640E9" w:rsidRPr="008751D6" w:rsidRDefault="000640E9" w:rsidP="009E2113">
      <w:pPr>
        <w:jc w:val="both"/>
        <w:rPr>
          <w:rFonts w:eastAsia="Calibri"/>
          <w:b/>
          <w:sz w:val="22"/>
          <w:szCs w:val="22"/>
          <w:lang w:val="sr-Latn-RS"/>
        </w:rPr>
      </w:pPr>
      <w:r w:rsidRPr="008751D6">
        <w:rPr>
          <w:rFonts w:eastAsia="Calibri"/>
          <w:b/>
          <w:sz w:val="22"/>
          <w:szCs w:val="22"/>
          <w:lang w:val="sr-Latn-RS"/>
        </w:rPr>
        <w:t>Terapija gradus 1 i po</w:t>
      </w:r>
      <w:r w:rsidR="00A4716B" w:rsidRPr="008751D6">
        <w:rPr>
          <w:rFonts w:eastAsia="Calibri"/>
          <w:b/>
          <w:sz w:val="22"/>
          <w:szCs w:val="22"/>
          <w:lang w:val="sr-Latn-RS"/>
        </w:rPr>
        <w:t>dgrupe</w:t>
      </w:r>
      <w:r w:rsidRPr="008751D6">
        <w:rPr>
          <w:rFonts w:eastAsia="Calibri"/>
          <w:b/>
          <w:sz w:val="22"/>
          <w:szCs w:val="22"/>
          <w:lang w:val="sr-Latn-RS"/>
        </w:rPr>
        <w:t xml:space="preserve"> gradus 2 (Ki67 indeks do 10%) gastroenteropankreasnih neuroendokrinih tumora (GEP-NETs) intestinuma, pankreasa ili nepoznatog por</w:t>
      </w:r>
      <w:r w:rsidR="00454D0C" w:rsidRPr="008751D6">
        <w:rPr>
          <w:rFonts w:eastAsia="Calibri"/>
          <w:b/>
          <w:sz w:val="22"/>
          <w:szCs w:val="22"/>
          <w:lang w:val="sr-Latn-RS"/>
        </w:rPr>
        <w:t>ij</w:t>
      </w:r>
      <w:r w:rsidRPr="008751D6">
        <w:rPr>
          <w:rFonts w:eastAsia="Calibri"/>
          <w:b/>
          <w:sz w:val="22"/>
          <w:szCs w:val="22"/>
          <w:lang w:val="sr-Latn-RS"/>
        </w:rPr>
        <w:t xml:space="preserve">ekla kada su isključeni </w:t>
      </w:r>
      <w:r w:rsidR="00F1190A" w:rsidRPr="008751D6">
        <w:rPr>
          <w:rFonts w:eastAsia="Calibri"/>
          <w:b/>
          <w:sz w:val="22"/>
          <w:szCs w:val="22"/>
          <w:lang w:val="sr-Latn-RS"/>
        </w:rPr>
        <w:t xml:space="preserve">završni </w:t>
      </w:r>
      <w:r w:rsidRPr="008751D6">
        <w:rPr>
          <w:rFonts w:eastAsia="Calibri"/>
          <w:b/>
          <w:sz w:val="22"/>
          <w:szCs w:val="22"/>
          <w:lang w:val="sr-Latn-RS"/>
        </w:rPr>
        <w:t>d</w:t>
      </w:r>
      <w:r w:rsidR="00EB58DC" w:rsidRPr="008751D6">
        <w:rPr>
          <w:rFonts w:eastAsia="Calibri"/>
          <w:b/>
          <w:sz w:val="22"/>
          <w:szCs w:val="22"/>
          <w:lang w:val="sr-Latn-RS"/>
        </w:rPr>
        <w:t>j</w:t>
      </w:r>
      <w:r w:rsidRPr="008751D6">
        <w:rPr>
          <w:rFonts w:eastAsia="Calibri"/>
          <w:b/>
          <w:sz w:val="22"/>
          <w:szCs w:val="22"/>
          <w:lang w:val="sr-Latn-RS"/>
        </w:rPr>
        <w:t>elovi</w:t>
      </w:r>
      <w:r w:rsidR="00F1190A" w:rsidRPr="008751D6">
        <w:rPr>
          <w:rFonts w:eastAsia="Calibri"/>
          <w:b/>
          <w:sz w:val="22"/>
          <w:szCs w:val="22"/>
          <w:lang w:val="sr-Latn-RS"/>
        </w:rPr>
        <w:t xml:space="preserve"> digestivnog trakta</w:t>
      </w:r>
      <w:r w:rsidRPr="008751D6">
        <w:rPr>
          <w:rFonts w:eastAsia="Calibri"/>
          <w:b/>
          <w:sz w:val="22"/>
          <w:szCs w:val="22"/>
          <w:lang w:val="sr-Latn-RS"/>
        </w:rPr>
        <w:t>, kod odraslih pacijenata sa neresektabilnom, lokalno uznapredovalom ili metastatskom bolešću.</w:t>
      </w:r>
    </w:p>
    <w:p w14:paraId="4B8C230E" w14:textId="77777777" w:rsidR="000640E9" w:rsidRPr="008751D6" w:rsidRDefault="000640E9" w:rsidP="009E2113">
      <w:pPr>
        <w:pStyle w:val="Header"/>
        <w:tabs>
          <w:tab w:val="left" w:pos="284"/>
        </w:tabs>
        <w:jc w:val="both"/>
        <w:rPr>
          <w:sz w:val="22"/>
          <w:szCs w:val="22"/>
          <w:lang w:val="sr-Latn-RS"/>
        </w:rPr>
      </w:pPr>
      <w:r w:rsidRPr="008751D6">
        <w:rPr>
          <w:sz w:val="22"/>
          <w:szCs w:val="22"/>
          <w:lang w:val="sr-Latn-RS"/>
        </w:rPr>
        <w:t>Preporučena doza lijeka Somatuline Autogel je jedna injekcija od 120 mg prim</w:t>
      </w:r>
      <w:r w:rsidR="005454E4" w:rsidRPr="008751D6">
        <w:rPr>
          <w:sz w:val="22"/>
          <w:szCs w:val="22"/>
          <w:lang w:val="sr-Latn-RS"/>
        </w:rPr>
        <w:t>i</w:t>
      </w:r>
      <w:r w:rsidRPr="008751D6">
        <w:rPr>
          <w:sz w:val="22"/>
          <w:szCs w:val="22"/>
          <w:lang w:val="sr-Latn-RS"/>
        </w:rPr>
        <w:t>jenjena svakih 28 dana. Terapiju lijekom Somatuline Autogel bi trebalo nastaviti koliko god je potrebno za kontrolu tumora.</w:t>
      </w:r>
    </w:p>
    <w:p w14:paraId="5A29B16B" w14:textId="77777777" w:rsidR="00162A59" w:rsidRPr="008751D6" w:rsidRDefault="00162A59" w:rsidP="009E2113">
      <w:pPr>
        <w:jc w:val="both"/>
        <w:rPr>
          <w:rFonts w:eastAsia="Calibri"/>
          <w:b/>
          <w:bCs/>
          <w:i/>
          <w:iCs/>
          <w:sz w:val="22"/>
          <w:szCs w:val="22"/>
          <w:lang w:val="sr-Latn-RS"/>
        </w:rPr>
      </w:pPr>
    </w:p>
    <w:p w14:paraId="0C882DD7" w14:textId="77777777" w:rsidR="000640E9" w:rsidRPr="008751D6" w:rsidRDefault="000640E9" w:rsidP="009E2113">
      <w:pPr>
        <w:jc w:val="both"/>
        <w:rPr>
          <w:rFonts w:eastAsia="Calibri"/>
          <w:b/>
          <w:bCs/>
          <w:sz w:val="22"/>
          <w:szCs w:val="22"/>
          <w:lang w:val="sr-Latn-RS"/>
        </w:rPr>
      </w:pPr>
      <w:r w:rsidRPr="008751D6">
        <w:rPr>
          <w:rFonts w:eastAsia="Calibri"/>
          <w:b/>
          <w:bCs/>
          <w:sz w:val="22"/>
          <w:szCs w:val="22"/>
          <w:lang w:val="sr-Latn-RS"/>
        </w:rPr>
        <w:t>Terapija simptoma povezanih sa neuroendokrinim tumorima</w:t>
      </w:r>
    </w:p>
    <w:p w14:paraId="5F534E05" w14:textId="77777777" w:rsidR="000640E9" w:rsidRPr="008751D6" w:rsidRDefault="000640E9" w:rsidP="009E2113">
      <w:pPr>
        <w:jc w:val="both"/>
        <w:rPr>
          <w:rFonts w:eastAsia="Calibri"/>
          <w:sz w:val="22"/>
          <w:szCs w:val="22"/>
          <w:lang w:val="sr-Latn-RS"/>
        </w:rPr>
      </w:pPr>
      <w:r w:rsidRPr="008751D6">
        <w:rPr>
          <w:rFonts w:eastAsia="Calibri"/>
          <w:sz w:val="22"/>
          <w:szCs w:val="22"/>
          <w:lang w:val="sr-Latn-RS"/>
        </w:rPr>
        <w:t>Preporučena početna doza je 60 - 120 mg prim</w:t>
      </w:r>
      <w:r w:rsidR="005454E4" w:rsidRPr="008751D6">
        <w:rPr>
          <w:rFonts w:eastAsia="Calibri"/>
          <w:sz w:val="22"/>
          <w:szCs w:val="22"/>
          <w:lang w:val="sr-Latn-RS"/>
        </w:rPr>
        <w:t>i</w:t>
      </w:r>
      <w:r w:rsidR="00EB58DC" w:rsidRPr="008751D6">
        <w:rPr>
          <w:rFonts w:eastAsia="Calibri"/>
          <w:sz w:val="22"/>
          <w:szCs w:val="22"/>
          <w:lang w:val="sr-Latn-RS"/>
        </w:rPr>
        <w:t>j</w:t>
      </w:r>
      <w:r w:rsidRPr="008751D6">
        <w:rPr>
          <w:rFonts w:eastAsia="Calibri"/>
          <w:sz w:val="22"/>
          <w:szCs w:val="22"/>
          <w:lang w:val="sr-Latn-RS"/>
        </w:rPr>
        <w:t xml:space="preserve">enjena svakih 28 dana. </w:t>
      </w:r>
    </w:p>
    <w:p w14:paraId="62C0740F" w14:textId="6048F0BE" w:rsidR="0099508E" w:rsidRPr="008751D6" w:rsidRDefault="000640E9" w:rsidP="009E2113">
      <w:pPr>
        <w:jc w:val="both"/>
        <w:rPr>
          <w:rFonts w:eastAsia="Calibri"/>
          <w:b/>
          <w:sz w:val="22"/>
          <w:szCs w:val="22"/>
          <w:u w:val="single"/>
          <w:lang w:val="sr-Latn-RS"/>
        </w:rPr>
      </w:pPr>
      <w:r w:rsidRPr="008751D6">
        <w:rPr>
          <w:rFonts w:eastAsia="Calibri"/>
          <w:sz w:val="22"/>
          <w:szCs w:val="22"/>
          <w:lang w:val="sr-Latn-RS"/>
        </w:rPr>
        <w:t>Dozu treba prilagoditi stepenu postignutog olakšanja simptoma.</w:t>
      </w:r>
    </w:p>
    <w:p w14:paraId="17BFD68F" w14:textId="77777777" w:rsidR="00CC2D09" w:rsidRPr="008751D6" w:rsidRDefault="00CC2D09" w:rsidP="009E2113">
      <w:pPr>
        <w:pStyle w:val="Header"/>
        <w:tabs>
          <w:tab w:val="left" w:pos="284"/>
        </w:tabs>
        <w:jc w:val="both"/>
        <w:rPr>
          <w:sz w:val="22"/>
          <w:szCs w:val="22"/>
          <w:lang w:val="sr-Latn-RS"/>
        </w:rPr>
      </w:pPr>
    </w:p>
    <w:p w14:paraId="3596E160" w14:textId="77777777" w:rsidR="00CC2D09" w:rsidRPr="008751D6" w:rsidRDefault="00CC2D09" w:rsidP="009E2113">
      <w:pPr>
        <w:pStyle w:val="Header"/>
        <w:tabs>
          <w:tab w:val="left" w:pos="284"/>
        </w:tabs>
        <w:jc w:val="both"/>
        <w:rPr>
          <w:sz w:val="22"/>
          <w:szCs w:val="22"/>
          <w:u w:val="single"/>
          <w:lang w:val="sr-Latn-RS"/>
        </w:rPr>
      </w:pPr>
      <w:r w:rsidRPr="008751D6">
        <w:rPr>
          <w:sz w:val="22"/>
          <w:szCs w:val="22"/>
          <w:u w:val="single"/>
          <w:lang w:val="sr-Latn-RS"/>
        </w:rPr>
        <w:t>Renalna i/ili hepatička oštećenja</w:t>
      </w:r>
    </w:p>
    <w:p w14:paraId="7850E6E7" w14:textId="5ABC398D" w:rsidR="00CC2D09" w:rsidRPr="008751D6" w:rsidRDefault="00CC2D09" w:rsidP="009E2113">
      <w:pPr>
        <w:pStyle w:val="Header"/>
        <w:tabs>
          <w:tab w:val="left" w:pos="284"/>
        </w:tabs>
        <w:jc w:val="both"/>
        <w:rPr>
          <w:sz w:val="22"/>
          <w:szCs w:val="22"/>
          <w:lang w:val="sr-Latn-RS"/>
        </w:rPr>
      </w:pPr>
      <w:r w:rsidRPr="008751D6">
        <w:rPr>
          <w:sz w:val="22"/>
          <w:szCs w:val="22"/>
          <w:lang w:val="sr-Latn-RS"/>
        </w:rPr>
        <w:t xml:space="preserve">Kod pacijenata sa </w:t>
      </w:r>
      <w:r w:rsidR="000640E9" w:rsidRPr="008751D6">
        <w:rPr>
          <w:rFonts w:eastAsia="Calibri"/>
          <w:sz w:val="22"/>
          <w:szCs w:val="22"/>
          <w:lang w:val="sr-Latn-RS"/>
        </w:rPr>
        <w:t>oštećenom funkcijom bubrega ili jetre</w:t>
      </w:r>
      <w:r w:rsidR="000640E9" w:rsidRPr="008751D6" w:rsidDel="000640E9">
        <w:rPr>
          <w:sz w:val="22"/>
          <w:szCs w:val="22"/>
          <w:lang w:val="sr-Latn-RS"/>
        </w:rPr>
        <w:t xml:space="preserve"> </w:t>
      </w:r>
      <w:r w:rsidRPr="008751D6">
        <w:rPr>
          <w:sz w:val="22"/>
          <w:szCs w:val="22"/>
          <w:lang w:val="sr-Latn-RS"/>
        </w:rPr>
        <w:t>nije potrebno prilagođava</w:t>
      </w:r>
      <w:r w:rsidR="000640E9" w:rsidRPr="008751D6">
        <w:rPr>
          <w:sz w:val="22"/>
          <w:szCs w:val="22"/>
          <w:lang w:val="sr-Latn-RS"/>
        </w:rPr>
        <w:t>nje</w:t>
      </w:r>
      <w:r w:rsidRPr="008751D6">
        <w:rPr>
          <w:sz w:val="22"/>
          <w:szCs w:val="22"/>
          <w:lang w:val="sr-Latn-RS"/>
        </w:rPr>
        <w:t xml:space="preserve"> doz</w:t>
      </w:r>
      <w:r w:rsidR="000640E9" w:rsidRPr="008751D6">
        <w:rPr>
          <w:sz w:val="22"/>
          <w:szCs w:val="22"/>
          <w:lang w:val="sr-Latn-RS"/>
        </w:rPr>
        <w:t>e</w:t>
      </w:r>
      <w:r w:rsidR="00522044" w:rsidRPr="008751D6">
        <w:rPr>
          <w:sz w:val="22"/>
          <w:szCs w:val="22"/>
          <w:lang w:val="sr-Latn-RS"/>
        </w:rPr>
        <w:t xml:space="preserve"> usljed velike terapijske širine lanreotida</w:t>
      </w:r>
      <w:r w:rsidRPr="008751D6">
        <w:rPr>
          <w:sz w:val="22"/>
          <w:szCs w:val="22"/>
          <w:lang w:val="sr-Latn-RS"/>
        </w:rPr>
        <w:t xml:space="preserve"> (vidjeti </w:t>
      </w:r>
      <w:r w:rsidR="00FF1EB4" w:rsidRPr="008751D6">
        <w:rPr>
          <w:sz w:val="22"/>
          <w:szCs w:val="22"/>
          <w:lang w:val="sr-Latn-RS"/>
        </w:rPr>
        <w:t>dio</w:t>
      </w:r>
      <w:r w:rsidRPr="008751D6">
        <w:rPr>
          <w:sz w:val="22"/>
          <w:szCs w:val="22"/>
          <w:lang w:val="sr-Latn-RS"/>
        </w:rPr>
        <w:t xml:space="preserve"> 5.2).</w:t>
      </w:r>
    </w:p>
    <w:p w14:paraId="52B7339D" w14:textId="77777777" w:rsidR="00CC2D09" w:rsidRPr="008751D6" w:rsidRDefault="00CC2D09">
      <w:pPr>
        <w:pStyle w:val="Header"/>
        <w:tabs>
          <w:tab w:val="left" w:pos="284"/>
        </w:tabs>
        <w:jc w:val="both"/>
        <w:rPr>
          <w:sz w:val="22"/>
          <w:szCs w:val="22"/>
          <w:lang w:val="sr-Latn-RS"/>
        </w:rPr>
      </w:pPr>
    </w:p>
    <w:p w14:paraId="5943E613" w14:textId="77777777" w:rsidR="00CC2D09" w:rsidRPr="008751D6" w:rsidRDefault="00CC2D09">
      <w:pPr>
        <w:pStyle w:val="Header"/>
        <w:tabs>
          <w:tab w:val="left" w:pos="284"/>
        </w:tabs>
        <w:jc w:val="both"/>
        <w:rPr>
          <w:sz w:val="22"/>
          <w:szCs w:val="22"/>
          <w:u w:val="single"/>
          <w:lang w:val="sr-Latn-RS"/>
        </w:rPr>
      </w:pPr>
      <w:r w:rsidRPr="008751D6">
        <w:rPr>
          <w:sz w:val="22"/>
          <w:szCs w:val="22"/>
          <w:u w:val="single"/>
          <w:lang w:val="sr-Latn-RS"/>
        </w:rPr>
        <w:t>Stariji pacijenti</w:t>
      </w:r>
    </w:p>
    <w:p w14:paraId="1CDE5127" w14:textId="3EEA99E8" w:rsidR="00CC2D09" w:rsidRPr="008751D6" w:rsidRDefault="00CC2D09">
      <w:pPr>
        <w:pStyle w:val="Header"/>
        <w:tabs>
          <w:tab w:val="left" w:pos="284"/>
        </w:tabs>
        <w:jc w:val="both"/>
        <w:rPr>
          <w:sz w:val="22"/>
          <w:szCs w:val="22"/>
          <w:lang w:val="sr-Latn-RS"/>
        </w:rPr>
      </w:pPr>
      <w:r w:rsidRPr="008751D6">
        <w:rPr>
          <w:sz w:val="22"/>
          <w:szCs w:val="22"/>
          <w:lang w:val="sr-Latn-RS"/>
        </w:rPr>
        <w:t>Kod starijih pacijenata, nije neophodno prilagođava</w:t>
      </w:r>
      <w:r w:rsidR="000640E9" w:rsidRPr="008751D6">
        <w:rPr>
          <w:sz w:val="22"/>
          <w:szCs w:val="22"/>
          <w:lang w:val="sr-Latn-RS"/>
        </w:rPr>
        <w:t>nje</w:t>
      </w:r>
      <w:r w:rsidRPr="008751D6">
        <w:rPr>
          <w:sz w:val="22"/>
          <w:szCs w:val="22"/>
          <w:lang w:val="sr-Latn-RS"/>
        </w:rPr>
        <w:t xml:space="preserve"> doz</w:t>
      </w:r>
      <w:r w:rsidR="000640E9" w:rsidRPr="008751D6">
        <w:rPr>
          <w:sz w:val="22"/>
          <w:szCs w:val="22"/>
          <w:lang w:val="sr-Latn-RS"/>
        </w:rPr>
        <w:t>e</w:t>
      </w:r>
      <w:r w:rsidRPr="008751D6">
        <w:rPr>
          <w:sz w:val="22"/>
          <w:szCs w:val="22"/>
          <w:lang w:val="sr-Latn-RS"/>
        </w:rPr>
        <w:t xml:space="preserve"> </w:t>
      </w:r>
      <w:r w:rsidR="00522044" w:rsidRPr="008751D6">
        <w:rPr>
          <w:sz w:val="22"/>
          <w:szCs w:val="22"/>
          <w:lang w:val="sr-Latn-RS"/>
        </w:rPr>
        <w:t xml:space="preserve">usljed velike terapijske širine lanreotida </w:t>
      </w:r>
      <w:r w:rsidRPr="008751D6">
        <w:rPr>
          <w:sz w:val="22"/>
          <w:szCs w:val="22"/>
          <w:lang w:val="sr-Latn-RS"/>
        </w:rPr>
        <w:t xml:space="preserve">(vidjeti </w:t>
      </w:r>
      <w:r w:rsidR="00FF1EB4" w:rsidRPr="008751D6">
        <w:rPr>
          <w:sz w:val="22"/>
          <w:szCs w:val="22"/>
          <w:lang w:val="sr-Latn-RS"/>
        </w:rPr>
        <w:t>dio</w:t>
      </w:r>
      <w:r w:rsidR="00527FBE" w:rsidRPr="008751D6">
        <w:rPr>
          <w:sz w:val="22"/>
          <w:szCs w:val="22"/>
          <w:lang w:val="sr-Latn-RS"/>
        </w:rPr>
        <w:t xml:space="preserve"> </w:t>
      </w:r>
      <w:r w:rsidRPr="008751D6">
        <w:rPr>
          <w:sz w:val="22"/>
          <w:szCs w:val="22"/>
          <w:lang w:val="sr-Latn-RS"/>
        </w:rPr>
        <w:t>5.2).</w:t>
      </w:r>
    </w:p>
    <w:p w14:paraId="17DC0E60" w14:textId="77777777" w:rsidR="00CC2D09" w:rsidRPr="008751D6" w:rsidRDefault="00CC2D09">
      <w:pPr>
        <w:pStyle w:val="Header"/>
        <w:tabs>
          <w:tab w:val="left" w:pos="284"/>
        </w:tabs>
        <w:jc w:val="both"/>
        <w:rPr>
          <w:sz w:val="22"/>
          <w:szCs w:val="22"/>
          <w:u w:val="single"/>
          <w:lang w:val="sr-Latn-RS"/>
        </w:rPr>
      </w:pPr>
    </w:p>
    <w:p w14:paraId="70203E1B" w14:textId="77777777" w:rsidR="00CC2D09" w:rsidRPr="008751D6" w:rsidRDefault="00CC2D09">
      <w:pPr>
        <w:pStyle w:val="Header"/>
        <w:tabs>
          <w:tab w:val="left" w:pos="284"/>
        </w:tabs>
        <w:jc w:val="both"/>
        <w:rPr>
          <w:sz w:val="22"/>
          <w:szCs w:val="22"/>
          <w:u w:val="single"/>
          <w:lang w:val="sr-Latn-RS"/>
        </w:rPr>
      </w:pPr>
      <w:r w:rsidRPr="008751D6">
        <w:rPr>
          <w:sz w:val="22"/>
          <w:szCs w:val="22"/>
          <w:u w:val="single"/>
          <w:lang w:val="sr-Latn-RS"/>
        </w:rPr>
        <w:t>Pedijatrijska populacija</w:t>
      </w:r>
    </w:p>
    <w:p w14:paraId="1FFB8BB8" w14:textId="3F37FB5B" w:rsidR="00CC2D09" w:rsidRPr="008751D6" w:rsidRDefault="00FF1EB4">
      <w:pPr>
        <w:pStyle w:val="Header"/>
        <w:tabs>
          <w:tab w:val="left" w:pos="284"/>
        </w:tabs>
        <w:jc w:val="both"/>
        <w:rPr>
          <w:sz w:val="22"/>
          <w:szCs w:val="22"/>
          <w:lang w:val="sr-Latn-RS"/>
        </w:rPr>
      </w:pPr>
      <w:r w:rsidRPr="008751D6">
        <w:rPr>
          <w:sz w:val="22"/>
          <w:szCs w:val="22"/>
          <w:lang w:val="sr-Latn-RS"/>
        </w:rPr>
        <w:t xml:space="preserve">Bezbjednost i efikasnost lijeka </w:t>
      </w:r>
      <w:r w:rsidR="00CC2D09" w:rsidRPr="008751D6">
        <w:rPr>
          <w:sz w:val="22"/>
          <w:szCs w:val="22"/>
          <w:lang w:val="sr-Latn-RS"/>
        </w:rPr>
        <w:t xml:space="preserve">Somatuline Autogel nije </w:t>
      </w:r>
      <w:r w:rsidRPr="008751D6">
        <w:rPr>
          <w:sz w:val="22"/>
          <w:szCs w:val="22"/>
          <w:lang w:val="sr-Latn-RS"/>
        </w:rPr>
        <w:t>ustanovljena kod</w:t>
      </w:r>
      <w:r w:rsidR="00CC2D09" w:rsidRPr="008751D6">
        <w:rPr>
          <w:sz w:val="22"/>
          <w:szCs w:val="22"/>
          <w:lang w:val="sr-Latn-RS"/>
        </w:rPr>
        <w:t xml:space="preserve"> djece i adolescenata.</w:t>
      </w:r>
    </w:p>
    <w:p w14:paraId="102BD9B4" w14:textId="77777777" w:rsidR="00CC2D09" w:rsidRPr="008751D6" w:rsidRDefault="00CC2D09">
      <w:pPr>
        <w:pStyle w:val="Header"/>
        <w:tabs>
          <w:tab w:val="left" w:pos="284"/>
        </w:tabs>
        <w:jc w:val="both"/>
        <w:rPr>
          <w:b/>
          <w:sz w:val="22"/>
          <w:szCs w:val="22"/>
          <w:u w:val="single"/>
          <w:lang w:val="sr-Latn-RS"/>
        </w:rPr>
      </w:pPr>
    </w:p>
    <w:p w14:paraId="7D4B8948" w14:textId="77777777" w:rsidR="00CC2D09" w:rsidRPr="008751D6" w:rsidRDefault="00CC2D09">
      <w:pPr>
        <w:pStyle w:val="Header"/>
        <w:tabs>
          <w:tab w:val="left" w:pos="284"/>
        </w:tabs>
        <w:jc w:val="both"/>
        <w:rPr>
          <w:bCs/>
          <w:sz w:val="22"/>
          <w:szCs w:val="22"/>
          <w:u w:val="single"/>
          <w:lang w:val="sr-Latn-RS"/>
        </w:rPr>
      </w:pPr>
      <w:r w:rsidRPr="008751D6">
        <w:rPr>
          <w:bCs/>
          <w:sz w:val="22"/>
          <w:szCs w:val="22"/>
          <w:u w:val="single"/>
          <w:lang w:val="sr-Latn-RS"/>
        </w:rPr>
        <w:t>Način primjene</w:t>
      </w:r>
    </w:p>
    <w:p w14:paraId="55DE8684" w14:textId="77777777" w:rsidR="00CC2D09" w:rsidRPr="008751D6" w:rsidRDefault="00CC2D09">
      <w:pPr>
        <w:pStyle w:val="Header"/>
        <w:tabs>
          <w:tab w:val="left" w:pos="284"/>
        </w:tabs>
        <w:jc w:val="both"/>
        <w:rPr>
          <w:sz w:val="22"/>
          <w:szCs w:val="22"/>
          <w:u w:val="single"/>
          <w:lang w:val="sr-Latn-RS"/>
        </w:rPr>
      </w:pPr>
    </w:p>
    <w:p w14:paraId="7E9C18E1" w14:textId="4BFDAF63" w:rsidR="00B3528A" w:rsidRPr="008751D6" w:rsidRDefault="00CC2D09">
      <w:pPr>
        <w:jc w:val="both"/>
        <w:rPr>
          <w:rFonts w:eastAsia="Calibri"/>
          <w:sz w:val="22"/>
          <w:szCs w:val="22"/>
          <w:lang w:val="sr-Latn-RS"/>
        </w:rPr>
      </w:pPr>
      <w:r w:rsidRPr="008751D6">
        <w:rPr>
          <w:sz w:val="22"/>
          <w:szCs w:val="22"/>
          <w:lang w:val="sr-Latn-RS"/>
        </w:rPr>
        <w:t>Rastvor lijeka Somatuline Autogel treba ubrizgati kao duboku su</w:t>
      </w:r>
      <w:r w:rsidR="00527FBE" w:rsidRPr="008751D6">
        <w:rPr>
          <w:sz w:val="22"/>
          <w:szCs w:val="22"/>
          <w:lang w:val="sr-Latn-RS"/>
        </w:rPr>
        <w:t>b</w:t>
      </w:r>
      <w:r w:rsidRPr="008751D6">
        <w:rPr>
          <w:sz w:val="22"/>
          <w:szCs w:val="22"/>
          <w:lang w:val="sr-Latn-RS"/>
        </w:rPr>
        <w:t xml:space="preserve">kutanu injekciju u gornji eksterni kvadrant glutealne regije ili u gornji spoljašnji dio butine. </w:t>
      </w:r>
    </w:p>
    <w:p w14:paraId="45735A5C" w14:textId="77777777" w:rsidR="00CC2D09" w:rsidRPr="008751D6" w:rsidRDefault="00B3528A">
      <w:pPr>
        <w:spacing w:after="200"/>
        <w:jc w:val="both"/>
        <w:rPr>
          <w:sz w:val="22"/>
          <w:szCs w:val="22"/>
          <w:lang w:val="sr-Latn-RS"/>
        </w:rPr>
      </w:pPr>
      <w:r w:rsidRPr="008751D6">
        <w:rPr>
          <w:rFonts w:eastAsia="Calibri"/>
          <w:sz w:val="22"/>
          <w:szCs w:val="22"/>
          <w:lang w:val="sr-Latn-RS"/>
        </w:rPr>
        <w:t>Kod pacijenata koji primaju stabilne doze l</w:t>
      </w:r>
      <w:r w:rsidR="00EB58DC" w:rsidRPr="008751D6">
        <w:rPr>
          <w:rFonts w:eastAsia="Calibri"/>
          <w:sz w:val="22"/>
          <w:szCs w:val="22"/>
          <w:lang w:val="sr-Latn-RS"/>
        </w:rPr>
        <w:t>ij</w:t>
      </w:r>
      <w:r w:rsidRPr="008751D6">
        <w:rPr>
          <w:rFonts w:eastAsia="Calibri"/>
          <w:sz w:val="22"/>
          <w:szCs w:val="22"/>
          <w:lang w:val="sr-Latn-RS"/>
        </w:rPr>
        <w:t>eka Somatuline Autogel, nakon adekvatne obuke, injekciju mogu aplikovati ili oni sami ili osoba koja je prošla tu obuku. U slučaju da pacijent sam vrši aplikaciju, injekciju treba dati u gornji spoljašnji d</w:t>
      </w:r>
      <w:r w:rsidR="00EB58DC" w:rsidRPr="008751D6">
        <w:rPr>
          <w:rFonts w:eastAsia="Calibri"/>
          <w:sz w:val="22"/>
          <w:szCs w:val="22"/>
          <w:lang w:val="sr-Latn-RS"/>
        </w:rPr>
        <w:t>i</w:t>
      </w:r>
      <w:r w:rsidRPr="008751D6">
        <w:rPr>
          <w:rFonts w:eastAsia="Calibri"/>
          <w:sz w:val="22"/>
          <w:szCs w:val="22"/>
          <w:lang w:val="sr-Latn-RS"/>
        </w:rPr>
        <w:t>o butine.</w:t>
      </w:r>
    </w:p>
    <w:p w14:paraId="755E678A" w14:textId="77777777" w:rsidR="00CC2D09" w:rsidRPr="008751D6" w:rsidRDefault="00CC2D09">
      <w:pPr>
        <w:jc w:val="both"/>
        <w:rPr>
          <w:sz w:val="22"/>
          <w:szCs w:val="22"/>
          <w:lang w:val="sr-Latn-RS"/>
        </w:rPr>
      </w:pPr>
      <w:r w:rsidRPr="008751D6">
        <w:rPr>
          <w:sz w:val="22"/>
          <w:szCs w:val="22"/>
          <w:lang w:val="sr-Latn-RS"/>
        </w:rPr>
        <w:t>Odluku o tome da pacijent ili druga obučena osoba vrše davanje injekcije treba da donese ljekar.</w:t>
      </w:r>
    </w:p>
    <w:p w14:paraId="3142C368" w14:textId="77777777" w:rsidR="00FF1EB4" w:rsidRPr="008751D6" w:rsidRDefault="00CC2D09">
      <w:pPr>
        <w:jc w:val="both"/>
        <w:rPr>
          <w:sz w:val="22"/>
          <w:szCs w:val="22"/>
          <w:lang w:val="sr-Latn-RS"/>
        </w:rPr>
      </w:pPr>
      <w:r w:rsidRPr="008751D6">
        <w:rPr>
          <w:sz w:val="22"/>
          <w:szCs w:val="22"/>
          <w:lang w:val="sr-Latn-RS"/>
        </w:rPr>
        <w:t xml:space="preserve">Nezavisno od mjesta primjene, kožu ne treba nabirati i iglu treba ubosti brzo, </w:t>
      </w:r>
      <w:r w:rsidR="00FF1EB4" w:rsidRPr="008751D6">
        <w:rPr>
          <w:sz w:val="22"/>
          <w:szCs w:val="22"/>
          <w:lang w:val="sr-Latn-RS"/>
        </w:rPr>
        <w:t xml:space="preserve">cijelom njenom dužinom, </w:t>
      </w:r>
      <w:r w:rsidR="00B3528A" w:rsidRPr="008751D6">
        <w:rPr>
          <w:sz w:val="22"/>
          <w:szCs w:val="22"/>
          <w:lang w:val="sr-Latn-RS"/>
        </w:rPr>
        <w:t>pod pravim uglom</w:t>
      </w:r>
      <w:r w:rsidRPr="008751D6">
        <w:rPr>
          <w:sz w:val="22"/>
          <w:szCs w:val="22"/>
          <w:lang w:val="sr-Latn-RS"/>
        </w:rPr>
        <w:t xml:space="preserve"> na kožu. </w:t>
      </w:r>
    </w:p>
    <w:p w14:paraId="43F7341A" w14:textId="77777777" w:rsidR="00FF1EB4" w:rsidRPr="008751D6" w:rsidRDefault="00FF1EB4">
      <w:pPr>
        <w:jc w:val="both"/>
        <w:rPr>
          <w:sz w:val="22"/>
          <w:szCs w:val="22"/>
          <w:lang w:val="sr-Latn-RS"/>
        </w:rPr>
      </w:pPr>
    </w:p>
    <w:p w14:paraId="41B71D75" w14:textId="19B4B101" w:rsidR="00CC2D09" w:rsidRPr="008751D6" w:rsidRDefault="00CC2D09">
      <w:pPr>
        <w:jc w:val="both"/>
        <w:rPr>
          <w:sz w:val="22"/>
          <w:szCs w:val="22"/>
          <w:lang w:val="sr-Latn-RS"/>
        </w:rPr>
      </w:pPr>
      <w:r w:rsidRPr="008751D6">
        <w:rPr>
          <w:sz w:val="22"/>
          <w:szCs w:val="22"/>
          <w:lang w:val="sr-Latn-RS"/>
        </w:rPr>
        <w:t>Mjesto primjene treba naizmjenično mijenjati između lijeve i desne strane.</w:t>
      </w:r>
    </w:p>
    <w:p w14:paraId="28F1E2F4" w14:textId="77777777" w:rsidR="00452E9D" w:rsidRPr="008751D6" w:rsidRDefault="00452E9D">
      <w:pPr>
        <w:tabs>
          <w:tab w:val="left" w:pos="540"/>
          <w:tab w:val="left" w:pos="569"/>
        </w:tabs>
        <w:jc w:val="both"/>
        <w:rPr>
          <w:bCs/>
          <w:sz w:val="22"/>
          <w:szCs w:val="22"/>
          <w:lang w:val="sr-Latn-RS"/>
        </w:rPr>
      </w:pPr>
    </w:p>
    <w:p w14:paraId="629C6F20" w14:textId="77777777" w:rsidR="00411B4B" w:rsidRPr="008751D6" w:rsidRDefault="00411B4B">
      <w:pPr>
        <w:tabs>
          <w:tab w:val="left" w:pos="540"/>
          <w:tab w:val="left" w:pos="569"/>
        </w:tabs>
        <w:jc w:val="both"/>
        <w:rPr>
          <w:b/>
          <w:bCs/>
          <w:sz w:val="22"/>
          <w:szCs w:val="22"/>
          <w:lang w:val="sr-Latn-RS"/>
        </w:rPr>
      </w:pPr>
      <w:r w:rsidRPr="008751D6">
        <w:rPr>
          <w:b/>
          <w:bCs/>
          <w:sz w:val="22"/>
          <w:szCs w:val="22"/>
          <w:lang w:val="sr-Latn-RS"/>
        </w:rPr>
        <w:t xml:space="preserve">4.3. </w:t>
      </w:r>
      <w:r w:rsidR="00480FB1" w:rsidRPr="008751D6">
        <w:rPr>
          <w:b/>
          <w:bCs/>
          <w:sz w:val="22"/>
          <w:szCs w:val="22"/>
          <w:lang w:val="sr-Latn-RS"/>
        </w:rPr>
        <w:tab/>
      </w:r>
      <w:r w:rsidRPr="008751D6">
        <w:rPr>
          <w:b/>
          <w:bCs/>
          <w:sz w:val="22"/>
          <w:szCs w:val="22"/>
          <w:lang w:val="sr-Latn-RS"/>
        </w:rPr>
        <w:t>Kontraindikacije</w:t>
      </w:r>
    </w:p>
    <w:p w14:paraId="265FF937" w14:textId="77777777" w:rsidR="00C11A2B" w:rsidRPr="008751D6" w:rsidRDefault="00C11A2B">
      <w:pPr>
        <w:tabs>
          <w:tab w:val="left" w:pos="540"/>
          <w:tab w:val="left" w:pos="569"/>
        </w:tabs>
        <w:jc w:val="both"/>
        <w:rPr>
          <w:b/>
          <w:bCs/>
          <w:sz w:val="22"/>
          <w:szCs w:val="22"/>
          <w:lang w:val="sr-Latn-RS"/>
        </w:rPr>
      </w:pPr>
    </w:p>
    <w:p w14:paraId="4AE87D9C" w14:textId="663A6627" w:rsidR="0072020E" w:rsidRPr="008751D6" w:rsidRDefault="00CC2D09">
      <w:pPr>
        <w:tabs>
          <w:tab w:val="left" w:pos="540"/>
          <w:tab w:val="left" w:pos="569"/>
        </w:tabs>
        <w:jc w:val="both"/>
        <w:rPr>
          <w:bCs/>
          <w:sz w:val="22"/>
          <w:szCs w:val="22"/>
          <w:lang w:val="sr-Latn-RS"/>
        </w:rPr>
      </w:pPr>
      <w:r w:rsidRPr="008751D6">
        <w:rPr>
          <w:sz w:val="22"/>
          <w:szCs w:val="22"/>
          <w:lang w:val="sr-Latn-RS"/>
        </w:rPr>
        <w:t xml:space="preserve">Preosjetljivost na </w:t>
      </w:r>
      <w:r w:rsidR="00FF1EB4" w:rsidRPr="008751D6">
        <w:rPr>
          <w:sz w:val="22"/>
          <w:szCs w:val="22"/>
          <w:lang w:val="sr-Latn-RS"/>
        </w:rPr>
        <w:t>aktivnu supstancu, somatostatin</w:t>
      </w:r>
      <w:r w:rsidRPr="008751D6">
        <w:rPr>
          <w:sz w:val="22"/>
          <w:szCs w:val="22"/>
          <w:lang w:val="sr-Latn-RS"/>
        </w:rPr>
        <w:t xml:space="preserve"> ili slične peptide ili </w:t>
      </w:r>
      <w:r w:rsidR="00B3528A" w:rsidRPr="008751D6">
        <w:rPr>
          <w:sz w:val="22"/>
          <w:szCs w:val="22"/>
          <w:lang w:val="sr-Latn-RS"/>
        </w:rPr>
        <w:t xml:space="preserve">na bilo koju od pomoćnih supstanci </w:t>
      </w:r>
      <w:r w:rsidR="00FF1EB4" w:rsidRPr="008751D6">
        <w:rPr>
          <w:sz w:val="22"/>
          <w:szCs w:val="22"/>
          <w:lang w:val="sr-Latn-RS"/>
        </w:rPr>
        <w:t xml:space="preserve">navedenih </w:t>
      </w:r>
      <w:r w:rsidRPr="008751D6">
        <w:rPr>
          <w:sz w:val="22"/>
          <w:szCs w:val="22"/>
          <w:lang w:val="sr-Latn-RS"/>
        </w:rPr>
        <w:t xml:space="preserve">u </w:t>
      </w:r>
      <w:r w:rsidR="00FF1EB4" w:rsidRPr="008751D6">
        <w:rPr>
          <w:sz w:val="22"/>
          <w:szCs w:val="22"/>
          <w:lang w:val="sr-Latn-RS"/>
        </w:rPr>
        <w:t>dijelu</w:t>
      </w:r>
      <w:r w:rsidRPr="008751D6">
        <w:rPr>
          <w:sz w:val="22"/>
          <w:szCs w:val="22"/>
          <w:lang w:val="sr-Latn-RS"/>
        </w:rPr>
        <w:t xml:space="preserve"> 6.1.</w:t>
      </w:r>
    </w:p>
    <w:p w14:paraId="0F3A2FF5" w14:textId="77777777" w:rsidR="00411B4B" w:rsidRPr="008751D6" w:rsidRDefault="00411B4B">
      <w:pPr>
        <w:tabs>
          <w:tab w:val="left" w:pos="540"/>
          <w:tab w:val="left" w:pos="569"/>
        </w:tabs>
        <w:jc w:val="both"/>
        <w:rPr>
          <w:b/>
          <w:bCs/>
          <w:sz w:val="22"/>
          <w:szCs w:val="22"/>
          <w:lang w:val="sr-Latn-RS"/>
        </w:rPr>
      </w:pPr>
      <w:r w:rsidRPr="008751D6">
        <w:rPr>
          <w:b/>
          <w:bCs/>
          <w:sz w:val="22"/>
          <w:szCs w:val="22"/>
          <w:lang w:val="sr-Latn-RS"/>
        </w:rPr>
        <w:t xml:space="preserve">4.4. </w:t>
      </w:r>
      <w:r w:rsidR="00480FB1" w:rsidRPr="008751D6">
        <w:rPr>
          <w:b/>
          <w:bCs/>
          <w:sz w:val="22"/>
          <w:szCs w:val="22"/>
          <w:lang w:val="sr-Latn-RS"/>
        </w:rPr>
        <w:tab/>
      </w:r>
      <w:r w:rsidRPr="008751D6">
        <w:rPr>
          <w:b/>
          <w:bCs/>
          <w:sz w:val="22"/>
          <w:szCs w:val="22"/>
          <w:lang w:val="sr-Latn-RS"/>
        </w:rPr>
        <w:t>Posebna upozorenja i mjere opreza pri upotrebi lijeka</w:t>
      </w:r>
    </w:p>
    <w:p w14:paraId="464E728A" w14:textId="77777777" w:rsidR="0072020E" w:rsidRPr="008751D6" w:rsidRDefault="0072020E">
      <w:pPr>
        <w:tabs>
          <w:tab w:val="left" w:pos="540"/>
          <w:tab w:val="left" w:pos="569"/>
        </w:tabs>
        <w:jc w:val="both"/>
        <w:rPr>
          <w:bCs/>
          <w:sz w:val="22"/>
          <w:szCs w:val="22"/>
          <w:lang w:val="sr-Latn-RS"/>
        </w:rPr>
      </w:pPr>
    </w:p>
    <w:p w14:paraId="4A8CFC3D" w14:textId="2346A8A5" w:rsidR="00CC2D09" w:rsidRPr="008751D6" w:rsidRDefault="00652046">
      <w:pPr>
        <w:pStyle w:val="Header"/>
        <w:numPr>
          <w:ilvl w:val="0"/>
          <w:numId w:val="15"/>
        </w:numPr>
        <w:tabs>
          <w:tab w:val="left" w:pos="284"/>
        </w:tabs>
        <w:jc w:val="both"/>
        <w:rPr>
          <w:sz w:val="22"/>
          <w:szCs w:val="22"/>
          <w:lang w:val="sr-Latn-RS"/>
        </w:rPr>
      </w:pPr>
      <w:r w:rsidRPr="008751D6">
        <w:rPr>
          <w:sz w:val="22"/>
          <w:szCs w:val="22"/>
          <w:lang w:val="sr-Latn-RS"/>
        </w:rPr>
        <w:t>Lanreotid</w:t>
      </w:r>
      <w:r w:rsidR="00CC2D09" w:rsidRPr="008751D6">
        <w:rPr>
          <w:sz w:val="22"/>
          <w:szCs w:val="22"/>
          <w:lang w:val="sr-Latn-RS"/>
        </w:rPr>
        <w:t xml:space="preserve"> može da smanji motilitet žučne kese i dovede do formiranja kamena u žučnoj kesi. Zbog toga se savjetuje redovno praćenje pacijenata. </w:t>
      </w:r>
      <w:bookmarkStart w:id="0" w:name="_Hlk24465357"/>
      <w:r w:rsidR="00DF4D54" w:rsidRPr="008751D6">
        <w:rPr>
          <w:sz w:val="22"/>
          <w:szCs w:val="22"/>
          <w:lang w:val="sr-Latn-RS"/>
        </w:rPr>
        <w:t>Postoje postmarketinški izv</w:t>
      </w:r>
      <w:r w:rsidR="005454E4" w:rsidRPr="008751D6">
        <w:rPr>
          <w:sz w:val="22"/>
          <w:szCs w:val="22"/>
          <w:lang w:val="sr-Latn-RS"/>
        </w:rPr>
        <w:t>j</w:t>
      </w:r>
      <w:r w:rsidR="00DF4D54" w:rsidRPr="008751D6">
        <w:rPr>
          <w:sz w:val="22"/>
          <w:szCs w:val="22"/>
          <w:lang w:val="sr-Latn-RS"/>
        </w:rPr>
        <w:t xml:space="preserve">eštaji o kamenu </w:t>
      </w:r>
      <w:r w:rsidR="00DF4D54" w:rsidRPr="008751D6">
        <w:rPr>
          <w:sz w:val="22"/>
          <w:szCs w:val="22"/>
          <w:lang w:val="sr-Latn-RS"/>
        </w:rPr>
        <w:lastRenderedPageBreak/>
        <w:t>u žučnoj kesi koji dovodi do komplikacija, uključujući holecistitis, holangitis i pankreatitis, koje zaht</w:t>
      </w:r>
      <w:r w:rsidR="005454E4" w:rsidRPr="008751D6">
        <w:rPr>
          <w:sz w:val="22"/>
          <w:szCs w:val="22"/>
          <w:lang w:val="sr-Latn-RS"/>
        </w:rPr>
        <w:t>ij</w:t>
      </w:r>
      <w:r w:rsidR="00DF4D54" w:rsidRPr="008751D6">
        <w:rPr>
          <w:sz w:val="22"/>
          <w:szCs w:val="22"/>
          <w:lang w:val="sr-Latn-RS"/>
        </w:rPr>
        <w:t>evaju holecistektomiju kod pacijenata koji uzimaju lanreotid. Ako se sumnja na komplikacije holelitijaze, treba prestati sa uzimanjem lanreotida i l</w:t>
      </w:r>
      <w:r w:rsidR="005454E4" w:rsidRPr="008751D6">
        <w:rPr>
          <w:sz w:val="22"/>
          <w:szCs w:val="22"/>
          <w:lang w:val="sr-Latn-RS"/>
        </w:rPr>
        <w:t>ij</w:t>
      </w:r>
      <w:r w:rsidR="00DF4D54" w:rsidRPr="008751D6">
        <w:rPr>
          <w:sz w:val="22"/>
          <w:szCs w:val="22"/>
          <w:lang w:val="sr-Latn-RS"/>
        </w:rPr>
        <w:t>ečiti ih na odgovarajući način.</w:t>
      </w:r>
      <w:bookmarkEnd w:id="0"/>
    </w:p>
    <w:p w14:paraId="1DB57D6A" w14:textId="293187BC" w:rsidR="00CC2D09" w:rsidRPr="008751D6" w:rsidRDefault="00CC2D09">
      <w:pPr>
        <w:pStyle w:val="Header"/>
        <w:numPr>
          <w:ilvl w:val="0"/>
          <w:numId w:val="15"/>
        </w:numPr>
        <w:tabs>
          <w:tab w:val="left" w:pos="284"/>
        </w:tabs>
        <w:jc w:val="both"/>
        <w:rPr>
          <w:sz w:val="22"/>
          <w:szCs w:val="22"/>
          <w:lang w:val="sr-Latn-RS"/>
        </w:rPr>
      </w:pPr>
      <w:r w:rsidRPr="008751D6">
        <w:rPr>
          <w:sz w:val="22"/>
          <w:szCs w:val="22"/>
          <w:lang w:val="sr-Latn-RS"/>
        </w:rPr>
        <w:t>Farmakološke studije na životinjama i ljudima pokazuju da lanreotid, kao i somatostatin i njegovi analozi, inhibira sekreciju insulina i glukagona.</w:t>
      </w:r>
      <w:r w:rsidRPr="008751D6">
        <w:rPr>
          <w:color w:val="FF0000"/>
          <w:sz w:val="22"/>
          <w:szCs w:val="22"/>
          <w:lang w:val="sr-Latn-RS"/>
        </w:rPr>
        <w:t xml:space="preserve"> </w:t>
      </w:r>
      <w:r w:rsidRPr="008751D6">
        <w:rPr>
          <w:sz w:val="22"/>
          <w:szCs w:val="22"/>
          <w:lang w:val="sr-Latn-RS"/>
        </w:rPr>
        <w:t xml:space="preserve">Zbog toga kod pacijenata koji primaju terapiju lanreotidom može doći do pojave hipoglikemije ili hiperglikemije. Potrebno je kontrolisati </w:t>
      </w:r>
      <w:r w:rsidR="00B3528A" w:rsidRPr="008751D6">
        <w:rPr>
          <w:sz w:val="22"/>
          <w:szCs w:val="22"/>
          <w:lang w:val="sr-Latn-RS"/>
        </w:rPr>
        <w:t>vr</w:t>
      </w:r>
      <w:r w:rsidR="00EB58DC" w:rsidRPr="008751D6">
        <w:rPr>
          <w:sz w:val="22"/>
          <w:szCs w:val="22"/>
          <w:lang w:val="sr-Latn-RS"/>
        </w:rPr>
        <w:t>ij</w:t>
      </w:r>
      <w:r w:rsidR="00B3528A" w:rsidRPr="008751D6">
        <w:rPr>
          <w:sz w:val="22"/>
          <w:szCs w:val="22"/>
          <w:lang w:val="sr-Latn-RS"/>
        </w:rPr>
        <w:t xml:space="preserve">ednosti </w:t>
      </w:r>
      <w:r w:rsidRPr="008751D6">
        <w:rPr>
          <w:sz w:val="22"/>
          <w:szCs w:val="22"/>
          <w:lang w:val="sr-Latn-RS"/>
        </w:rPr>
        <w:t xml:space="preserve">šećera u krvi na početku terapije i prilikom prilagođavanja doze i u skladu sa tim prilagoditi terapiju antidijebeticima. </w:t>
      </w:r>
    </w:p>
    <w:p w14:paraId="4D1C8810" w14:textId="77777777" w:rsidR="00EF1A2F" w:rsidRPr="008751D6" w:rsidRDefault="00CC2D09">
      <w:pPr>
        <w:pStyle w:val="Header"/>
        <w:numPr>
          <w:ilvl w:val="0"/>
          <w:numId w:val="15"/>
        </w:numPr>
        <w:tabs>
          <w:tab w:val="left" w:pos="284"/>
        </w:tabs>
        <w:jc w:val="both"/>
        <w:rPr>
          <w:sz w:val="22"/>
          <w:szCs w:val="22"/>
          <w:lang w:val="sr-Latn-RS"/>
        </w:rPr>
      </w:pPr>
      <w:r w:rsidRPr="008751D6">
        <w:rPr>
          <w:sz w:val="22"/>
          <w:szCs w:val="22"/>
          <w:lang w:val="sr-Latn-RS"/>
        </w:rPr>
        <w:t>Kod pacijenata sa akromegalijom koji su liječeni lanreotidom primijećeno je blago smanjenje funkcije tir</w:t>
      </w:r>
      <w:r w:rsidR="00B3528A" w:rsidRPr="008751D6">
        <w:rPr>
          <w:sz w:val="22"/>
          <w:szCs w:val="22"/>
          <w:lang w:val="sr-Latn-RS"/>
        </w:rPr>
        <w:t>e</w:t>
      </w:r>
      <w:r w:rsidRPr="008751D6">
        <w:rPr>
          <w:sz w:val="22"/>
          <w:szCs w:val="22"/>
          <w:lang w:val="sr-Latn-RS"/>
        </w:rPr>
        <w:t xml:space="preserve">oidne žlijezde, iako se klinički hipotireoidizam javljao rijetko. Kada je to klinički indikovano, treba sprovoditi </w:t>
      </w:r>
      <w:r w:rsidR="00B3528A" w:rsidRPr="008751D6">
        <w:rPr>
          <w:rFonts w:eastAsia="Calibri"/>
          <w:sz w:val="22"/>
          <w:szCs w:val="22"/>
          <w:lang w:val="sr-Latn-RS"/>
        </w:rPr>
        <w:t>laboratorijski funkcionalne testove tireoidne žl</w:t>
      </w:r>
      <w:r w:rsidR="005454E4" w:rsidRPr="008751D6">
        <w:rPr>
          <w:rFonts w:eastAsia="Calibri"/>
          <w:sz w:val="22"/>
          <w:szCs w:val="22"/>
          <w:lang w:val="sr-Latn-RS"/>
        </w:rPr>
        <w:t>ij</w:t>
      </w:r>
      <w:r w:rsidR="00B3528A" w:rsidRPr="008751D6">
        <w:rPr>
          <w:rFonts w:eastAsia="Calibri"/>
          <w:sz w:val="22"/>
          <w:szCs w:val="22"/>
          <w:lang w:val="sr-Latn-RS"/>
        </w:rPr>
        <w:t>ezde</w:t>
      </w:r>
      <w:r w:rsidRPr="008751D6">
        <w:rPr>
          <w:sz w:val="22"/>
          <w:szCs w:val="22"/>
          <w:lang w:val="sr-Latn-RS"/>
        </w:rPr>
        <w:t>.</w:t>
      </w:r>
    </w:p>
    <w:p w14:paraId="56990966" w14:textId="1A999545" w:rsidR="00CC2D09" w:rsidRPr="008751D6" w:rsidRDefault="00CC2D09">
      <w:pPr>
        <w:pStyle w:val="Header"/>
        <w:numPr>
          <w:ilvl w:val="0"/>
          <w:numId w:val="15"/>
        </w:numPr>
        <w:tabs>
          <w:tab w:val="left" w:pos="284"/>
        </w:tabs>
        <w:jc w:val="both"/>
        <w:rPr>
          <w:sz w:val="22"/>
          <w:szCs w:val="22"/>
          <w:lang w:val="sr-Latn-RS"/>
        </w:rPr>
      </w:pPr>
      <w:r w:rsidRPr="008751D6">
        <w:rPr>
          <w:sz w:val="22"/>
          <w:szCs w:val="22"/>
          <w:lang w:val="sr-Latn-RS"/>
        </w:rPr>
        <w:t xml:space="preserve">Kod pacijenata koji nemaju  srčane probleme, lanreotid može da izazove usporen srčani ritam koji ne mora obavezno da dovede do bradikardije. Kod pacijenata koji </w:t>
      </w:r>
      <w:r w:rsidR="00B3528A" w:rsidRPr="008751D6">
        <w:rPr>
          <w:sz w:val="22"/>
          <w:szCs w:val="22"/>
          <w:lang w:val="sr-Latn-RS"/>
        </w:rPr>
        <w:t xml:space="preserve">imaju </w:t>
      </w:r>
      <w:r w:rsidRPr="008751D6">
        <w:rPr>
          <w:sz w:val="22"/>
          <w:szCs w:val="22"/>
          <w:lang w:val="sr-Latn-RS"/>
        </w:rPr>
        <w:t xml:space="preserve"> srčanih poremećaja može se javiti sinusna bradikardija. Savjetuje se oprez pri započinjanju terapije lanreotidom kod pacijenata sa bradikardijom (vidjeti </w:t>
      </w:r>
      <w:r w:rsidR="00652046" w:rsidRPr="008751D6">
        <w:rPr>
          <w:sz w:val="22"/>
          <w:szCs w:val="22"/>
          <w:lang w:val="sr-Latn-RS"/>
        </w:rPr>
        <w:t>dio</w:t>
      </w:r>
      <w:r w:rsidRPr="008751D6">
        <w:rPr>
          <w:sz w:val="22"/>
          <w:szCs w:val="22"/>
          <w:lang w:val="sr-Latn-RS"/>
        </w:rPr>
        <w:t xml:space="preserve"> 4.5). </w:t>
      </w:r>
    </w:p>
    <w:p w14:paraId="49E7199A" w14:textId="47D4FD7D" w:rsidR="00E62249" w:rsidRPr="008751D6" w:rsidRDefault="0056603A">
      <w:pPr>
        <w:pStyle w:val="Header"/>
        <w:numPr>
          <w:ilvl w:val="0"/>
          <w:numId w:val="15"/>
        </w:numPr>
        <w:tabs>
          <w:tab w:val="left" w:pos="284"/>
        </w:tabs>
        <w:jc w:val="both"/>
        <w:rPr>
          <w:sz w:val="22"/>
          <w:szCs w:val="22"/>
          <w:lang w:val="sr-Latn-RS"/>
        </w:rPr>
      </w:pPr>
      <w:r w:rsidRPr="008751D6">
        <w:rPr>
          <w:sz w:val="22"/>
          <w:szCs w:val="22"/>
          <w:lang w:val="sr-Latn-RS"/>
        </w:rPr>
        <w:t>Kod nekih pacijenata sa gastroenteropankreasnim neuroendokrinim tumorima</w:t>
      </w:r>
      <w:r w:rsidR="00593FAB" w:rsidRPr="008751D6">
        <w:rPr>
          <w:sz w:val="22"/>
          <w:szCs w:val="22"/>
          <w:lang w:val="sr-Latn-RS"/>
        </w:rPr>
        <w:t xml:space="preserve">, </w:t>
      </w:r>
      <w:r w:rsidR="00F82F60" w:rsidRPr="008751D6">
        <w:rPr>
          <w:sz w:val="22"/>
          <w:szCs w:val="22"/>
          <w:lang w:val="sr-Latn-RS"/>
        </w:rPr>
        <w:t>liječenih lanreotidom,</w:t>
      </w:r>
      <w:r w:rsidR="00593FAB" w:rsidRPr="008751D6">
        <w:rPr>
          <w:sz w:val="22"/>
          <w:szCs w:val="22"/>
          <w:lang w:val="sr-Latn-RS"/>
        </w:rPr>
        <w:t xml:space="preserve"> uočena je</w:t>
      </w:r>
      <w:r w:rsidRPr="008751D6">
        <w:rPr>
          <w:sz w:val="22"/>
          <w:szCs w:val="22"/>
          <w:lang w:val="sr-Latn-RS"/>
        </w:rPr>
        <w:t xml:space="preserve"> </w:t>
      </w:r>
      <w:r w:rsidR="00593FAB" w:rsidRPr="008751D6">
        <w:rPr>
          <w:sz w:val="22"/>
          <w:szCs w:val="22"/>
          <w:lang w:val="sr-Latn-RS"/>
        </w:rPr>
        <w:t>e</w:t>
      </w:r>
      <w:r w:rsidR="00E62249" w:rsidRPr="008751D6">
        <w:rPr>
          <w:sz w:val="22"/>
          <w:szCs w:val="22"/>
          <w:lang w:val="sr-Latn-RS"/>
        </w:rPr>
        <w:t xml:space="preserve">gzokrina insuficijencija pankreasa (engl. </w:t>
      </w:r>
      <w:r w:rsidR="00E62249" w:rsidRPr="008751D6">
        <w:rPr>
          <w:i/>
          <w:iCs/>
          <w:sz w:val="22"/>
          <w:szCs w:val="22"/>
          <w:lang w:val="sr-Latn-RS"/>
        </w:rPr>
        <w:t>Pancreatic exocrine insufficiency</w:t>
      </w:r>
      <w:r w:rsidR="00E62249" w:rsidRPr="008751D6">
        <w:rPr>
          <w:sz w:val="22"/>
          <w:szCs w:val="22"/>
          <w:lang w:val="sr-Latn-RS"/>
        </w:rPr>
        <w:t>, PEI). Simptomi PEI mogu da uključuju steatorej</w:t>
      </w:r>
      <w:r w:rsidR="00082EDC" w:rsidRPr="008751D6">
        <w:rPr>
          <w:sz w:val="22"/>
          <w:szCs w:val="22"/>
          <w:lang w:val="sr-Latn-RS"/>
        </w:rPr>
        <w:t>u</w:t>
      </w:r>
      <w:r w:rsidR="00E62249" w:rsidRPr="008751D6">
        <w:rPr>
          <w:sz w:val="22"/>
          <w:szCs w:val="22"/>
          <w:lang w:val="sr-Latn-RS"/>
        </w:rPr>
        <w:t>, rijetke stolice, abdominaln</w:t>
      </w:r>
      <w:r w:rsidR="00082EDC" w:rsidRPr="008751D6">
        <w:rPr>
          <w:sz w:val="22"/>
          <w:szCs w:val="22"/>
          <w:lang w:val="sr-Latn-RS"/>
        </w:rPr>
        <w:t>u nadutost i gubitak tjelesne mase. Kod pacijenata sa navedenim simptomima potrebno je razmotriti skrining na PEI i uvođenje odgovarajuće terapije u skladu sa kliničkim smjernicama.</w:t>
      </w:r>
    </w:p>
    <w:p w14:paraId="480A693E" w14:textId="77777777" w:rsidR="00057E35" w:rsidRPr="008751D6" w:rsidRDefault="00057E35">
      <w:pPr>
        <w:tabs>
          <w:tab w:val="left" w:pos="540"/>
          <w:tab w:val="left" w:pos="569"/>
        </w:tabs>
        <w:jc w:val="both"/>
        <w:rPr>
          <w:bCs/>
          <w:sz w:val="22"/>
          <w:szCs w:val="22"/>
          <w:lang w:val="sr-Latn-RS"/>
        </w:rPr>
      </w:pPr>
    </w:p>
    <w:p w14:paraId="52744B89" w14:textId="77777777" w:rsidR="00411B4B" w:rsidRPr="008751D6" w:rsidRDefault="00411B4B">
      <w:pPr>
        <w:tabs>
          <w:tab w:val="left" w:pos="540"/>
          <w:tab w:val="left" w:pos="569"/>
        </w:tabs>
        <w:jc w:val="both"/>
        <w:rPr>
          <w:b/>
          <w:bCs/>
          <w:sz w:val="22"/>
          <w:szCs w:val="22"/>
          <w:lang w:val="sr-Latn-RS"/>
        </w:rPr>
      </w:pPr>
      <w:r w:rsidRPr="008751D6">
        <w:rPr>
          <w:b/>
          <w:bCs/>
          <w:sz w:val="22"/>
          <w:szCs w:val="22"/>
          <w:lang w:val="sr-Latn-RS"/>
        </w:rPr>
        <w:t>4.5.</w:t>
      </w:r>
      <w:r w:rsidR="000D60CC" w:rsidRPr="008751D6">
        <w:rPr>
          <w:b/>
          <w:bCs/>
          <w:sz w:val="22"/>
          <w:szCs w:val="22"/>
          <w:lang w:val="sr-Latn-RS"/>
        </w:rPr>
        <w:tab/>
      </w:r>
      <w:r w:rsidRPr="008751D6">
        <w:rPr>
          <w:b/>
          <w:bCs/>
          <w:sz w:val="22"/>
          <w:szCs w:val="22"/>
          <w:lang w:val="sr-Latn-RS"/>
        </w:rPr>
        <w:t>Interakcije sa drugim ljekovima i druge vrste interakcija</w:t>
      </w:r>
    </w:p>
    <w:p w14:paraId="5282A2B5" w14:textId="79B200B2" w:rsidR="00C11A2B" w:rsidRPr="008751D6" w:rsidRDefault="00652046">
      <w:pPr>
        <w:tabs>
          <w:tab w:val="left" w:pos="540"/>
          <w:tab w:val="left" w:pos="569"/>
        </w:tabs>
        <w:jc w:val="both"/>
        <w:rPr>
          <w:b/>
          <w:bCs/>
          <w:sz w:val="22"/>
          <w:szCs w:val="22"/>
          <w:lang w:val="sr-Latn-RS"/>
        </w:rPr>
      </w:pPr>
      <w:r w:rsidRPr="008751D6">
        <w:rPr>
          <w:b/>
          <w:bCs/>
          <w:sz w:val="22"/>
          <w:szCs w:val="22"/>
          <w:lang w:val="sr-Latn-RS"/>
        </w:rPr>
        <w:t xml:space="preserve">         </w:t>
      </w:r>
    </w:p>
    <w:p w14:paraId="78A8CEB8" w14:textId="403D6C2E" w:rsidR="00CC2D09" w:rsidRPr="008751D6" w:rsidRDefault="00CC2D09">
      <w:pPr>
        <w:pStyle w:val="Header"/>
        <w:numPr>
          <w:ilvl w:val="0"/>
          <w:numId w:val="16"/>
        </w:numPr>
        <w:tabs>
          <w:tab w:val="left" w:pos="284"/>
        </w:tabs>
        <w:jc w:val="both"/>
        <w:rPr>
          <w:sz w:val="22"/>
          <w:szCs w:val="22"/>
          <w:lang w:val="sr-Latn-RS"/>
        </w:rPr>
      </w:pPr>
      <w:r w:rsidRPr="008751D6">
        <w:rPr>
          <w:sz w:val="22"/>
          <w:szCs w:val="22"/>
          <w:lang w:val="sr-Latn-RS"/>
        </w:rPr>
        <w:t xml:space="preserve">Farmakološki gastrointestinalni efekti lanreotida mogu da dovedu do smanjenja intestinalne </w:t>
      </w:r>
      <w:r w:rsidR="00B3528A" w:rsidRPr="008751D6">
        <w:rPr>
          <w:sz w:val="22"/>
          <w:szCs w:val="22"/>
          <w:lang w:val="sr-Latn-RS"/>
        </w:rPr>
        <w:t>resorpc</w:t>
      </w:r>
      <w:r w:rsidR="00527FBE" w:rsidRPr="008751D6">
        <w:rPr>
          <w:sz w:val="22"/>
          <w:szCs w:val="22"/>
          <w:lang w:val="sr-Latn-RS"/>
        </w:rPr>
        <w:t>ij</w:t>
      </w:r>
      <w:r w:rsidR="00B3528A" w:rsidRPr="008751D6">
        <w:rPr>
          <w:sz w:val="22"/>
          <w:szCs w:val="22"/>
          <w:lang w:val="sr-Latn-RS"/>
        </w:rPr>
        <w:t xml:space="preserve">e </w:t>
      </w:r>
      <w:r w:rsidRPr="008751D6">
        <w:rPr>
          <w:sz w:val="22"/>
          <w:szCs w:val="22"/>
          <w:lang w:val="sr-Latn-RS"/>
        </w:rPr>
        <w:t>istovremeno prim</w:t>
      </w:r>
      <w:r w:rsidR="005454E4" w:rsidRPr="008751D6">
        <w:rPr>
          <w:sz w:val="22"/>
          <w:szCs w:val="22"/>
          <w:lang w:val="sr-Latn-RS"/>
        </w:rPr>
        <w:t>i</w:t>
      </w:r>
      <w:r w:rsidRPr="008751D6">
        <w:rPr>
          <w:sz w:val="22"/>
          <w:szCs w:val="22"/>
          <w:lang w:val="sr-Latn-RS"/>
        </w:rPr>
        <w:t>jenjenih ljekova, uključujući ciklosporin. Istovremena primjena lanreotida sa ciklosporinom može dovesti do smanjenja relativne bioraspoloživosti ciklosporina, tako da može biti potrebno podešavanje doze ciklosporina kako bi se održal</w:t>
      </w:r>
      <w:r w:rsidR="00B3528A" w:rsidRPr="008751D6">
        <w:rPr>
          <w:sz w:val="22"/>
          <w:szCs w:val="22"/>
          <w:lang w:val="sr-Latn-RS"/>
        </w:rPr>
        <w:t>e</w:t>
      </w:r>
      <w:r w:rsidRPr="008751D6">
        <w:rPr>
          <w:sz w:val="22"/>
          <w:szCs w:val="22"/>
          <w:lang w:val="sr-Latn-RS"/>
        </w:rPr>
        <w:t xml:space="preserve"> terapijsk</w:t>
      </w:r>
      <w:r w:rsidR="00B3528A" w:rsidRPr="008751D6">
        <w:rPr>
          <w:sz w:val="22"/>
          <w:szCs w:val="22"/>
          <w:lang w:val="sr-Latn-RS"/>
        </w:rPr>
        <w:t>e</w:t>
      </w:r>
      <w:r w:rsidRPr="008751D6">
        <w:rPr>
          <w:sz w:val="22"/>
          <w:szCs w:val="22"/>
          <w:lang w:val="sr-Latn-RS"/>
        </w:rPr>
        <w:t xml:space="preserve"> </w:t>
      </w:r>
      <w:r w:rsidR="00B3528A" w:rsidRPr="008751D6">
        <w:rPr>
          <w:sz w:val="22"/>
          <w:szCs w:val="22"/>
          <w:lang w:val="sr-Latn-RS"/>
        </w:rPr>
        <w:t>vr</w:t>
      </w:r>
      <w:r w:rsidR="00EB58DC" w:rsidRPr="008751D6">
        <w:rPr>
          <w:sz w:val="22"/>
          <w:szCs w:val="22"/>
          <w:lang w:val="sr-Latn-RS"/>
        </w:rPr>
        <w:t>ij</w:t>
      </w:r>
      <w:r w:rsidR="00B3528A" w:rsidRPr="008751D6">
        <w:rPr>
          <w:sz w:val="22"/>
          <w:szCs w:val="22"/>
          <w:lang w:val="sr-Latn-RS"/>
        </w:rPr>
        <w:t>ednosti</w:t>
      </w:r>
      <w:r w:rsidRPr="008751D6">
        <w:rPr>
          <w:sz w:val="22"/>
          <w:szCs w:val="22"/>
          <w:lang w:val="sr-Latn-RS"/>
        </w:rPr>
        <w:t>.</w:t>
      </w:r>
    </w:p>
    <w:p w14:paraId="7F0F684B" w14:textId="77777777" w:rsidR="00CC2D09" w:rsidRPr="008751D6" w:rsidRDefault="00CC2D09">
      <w:pPr>
        <w:pStyle w:val="Header"/>
        <w:numPr>
          <w:ilvl w:val="0"/>
          <w:numId w:val="16"/>
        </w:numPr>
        <w:tabs>
          <w:tab w:val="left" w:pos="284"/>
        </w:tabs>
        <w:jc w:val="both"/>
        <w:rPr>
          <w:sz w:val="22"/>
          <w:szCs w:val="22"/>
          <w:lang w:val="sr-Latn-RS"/>
        </w:rPr>
      </w:pPr>
      <w:r w:rsidRPr="008751D6">
        <w:rPr>
          <w:sz w:val="22"/>
          <w:szCs w:val="22"/>
          <w:lang w:val="sr-Latn-RS"/>
        </w:rPr>
        <w:t xml:space="preserve">Interakcije sa ljekovima koji se u </w:t>
      </w:r>
      <w:r w:rsidR="00B3528A" w:rsidRPr="008751D6">
        <w:rPr>
          <w:sz w:val="22"/>
          <w:szCs w:val="22"/>
          <w:lang w:val="sr-Latn-RS"/>
        </w:rPr>
        <w:t xml:space="preserve">velikom </w:t>
      </w:r>
      <w:r w:rsidRPr="008751D6">
        <w:rPr>
          <w:sz w:val="22"/>
          <w:szCs w:val="22"/>
          <w:lang w:val="sr-Latn-RS"/>
        </w:rPr>
        <w:t>procentu vezuju za proteine plazme su malo vjerovatne jer se lanreotid umjereno vezuje za proteine u serumu.</w:t>
      </w:r>
    </w:p>
    <w:p w14:paraId="0D210467" w14:textId="77777777" w:rsidR="00CC2D09" w:rsidRPr="008751D6" w:rsidRDefault="00CC2D09">
      <w:pPr>
        <w:pStyle w:val="Header"/>
        <w:numPr>
          <w:ilvl w:val="0"/>
          <w:numId w:val="16"/>
        </w:numPr>
        <w:tabs>
          <w:tab w:val="left" w:pos="284"/>
        </w:tabs>
        <w:jc w:val="both"/>
        <w:rPr>
          <w:sz w:val="22"/>
          <w:szCs w:val="22"/>
          <w:lang w:val="sr-Latn-RS"/>
        </w:rPr>
      </w:pPr>
      <w:r w:rsidRPr="008751D6">
        <w:rPr>
          <w:sz w:val="22"/>
          <w:szCs w:val="22"/>
          <w:lang w:val="sr-Latn-RS"/>
        </w:rPr>
        <w:t>Ograničeni literaturni podaci ukazuju da istovremena primjena analoga somatostatina i bromokriptina može povećati raspoloživost bromokriptina.</w:t>
      </w:r>
    </w:p>
    <w:p w14:paraId="46B2A056" w14:textId="77777777" w:rsidR="00CC2D09" w:rsidRPr="008751D6" w:rsidRDefault="00CC2D09">
      <w:pPr>
        <w:pStyle w:val="Header"/>
        <w:numPr>
          <w:ilvl w:val="0"/>
          <w:numId w:val="16"/>
        </w:numPr>
        <w:tabs>
          <w:tab w:val="left" w:pos="284"/>
        </w:tabs>
        <w:jc w:val="both"/>
        <w:rPr>
          <w:sz w:val="22"/>
          <w:szCs w:val="22"/>
          <w:lang w:val="sr-Latn-RS"/>
        </w:rPr>
      </w:pPr>
      <w:r w:rsidRPr="008751D6">
        <w:rPr>
          <w:sz w:val="22"/>
          <w:szCs w:val="22"/>
          <w:lang w:val="sr-Latn-RS"/>
        </w:rPr>
        <w:t>Istovremena primjena ljekova koji indukuju bradikardiju (npr. beta blokatori) može da ima dodatni efekat na blago usporavanje srčanog ritma izazvanog lanreotidom. Može biti potrebno prilagođavanje doze ovih istovremeno prim</w:t>
      </w:r>
      <w:r w:rsidR="005454E4" w:rsidRPr="008751D6">
        <w:rPr>
          <w:sz w:val="22"/>
          <w:szCs w:val="22"/>
          <w:lang w:val="sr-Latn-RS"/>
        </w:rPr>
        <w:t>i</w:t>
      </w:r>
      <w:r w:rsidRPr="008751D6">
        <w:rPr>
          <w:sz w:val="22"/>
          <w:szCs w:val="22"/>
          <w:lang w:val="sr-Latn-RS"/>
        </w:rPr>
        <w:t xml:space="preserve">jenjenih ljekova. </w:t>
      </w:r>
    </w:p>
    <w:p w14:paraId="4DBDD091" w14:textId="77777777" w:rsidR="00CC2D09" w:rsidRPr="008751D6" w:rsidRDefault="00CC2D09">
      <w:pPr>
        <w:pStyle w:val="Header"/>
        <w:numPr>
          <w:ilvl w:val="0"/>
          <w:numId w:val="16"/>
        </w:numPr>
        <w:jc w:val="both"/>
        <w:rPr>
          <w:sz w:val="22"/>
          <w:szCs w:val="22"/>
          <w:lang w:val="sr-Latn-RS"/>
        </w:rPr>
      </w:pPr>
      <w:r w:rsidRPr="008751D6">
        <w:rPr>
          <w:sz w:val="22"/>
          <w:szCs w:val="22"/>
          <w:lang w:val="sr-Latn-RS"/>
        </w:rPr>
        <w:t>Postoje ograničeni podaci koji ukazuju na to da analozi somatostatina mogu da smanje metabolički klirens jedinjenja koja se metabolišu posredstvom enzima citohroma P450, što može biti posl</w:t>
      </w:r>
      <w:r w:rsidR="00EB58DC" w:rsidRPr="008751D6">
        <w:rPr>
          <w:sz w:val="22"/>
          <w:szCs w:val="22"/>
          <w:lang w:val="sr-Latn-RS"/>
        </w:rPr>
        <w:t>j</w:t>
      </w:r>
      <w:r w:rsidRPr="008751D6">
        <w:rPr>
          <w:sz w:val="22"/>
          <w:szCs w:val="22"/>
          <w:lang w:val="sr-Latn-RS"/>
        </w:rPr>
        <w:t>edica supresije hormona rasta. Budući da se ovakav efekat lanreotida ne može isključiti, savjetuje se oprez kada se primjenjuju drugi ljekovi koji se metabolišu posredstvom CYP3A4, a koji imaju mali terapijski indeks (npr. kvinidin, terfenadin).</w:t>
      </w:r>
    </w:p>
    <w:p w14:paraId="05F735E7" w14:textId="77777777" w:rsidR="0072020E" w:rsidRPr="008751D6" w:rsidRDefault="0072020E">
      <w:pPr>
        <w:tabs>
          <w:tab w:val="left" w:pos="540"/>
          <w:tab w:val="left" w:pos="569"/>
        </w:tabs>
        <w:jc w:val="both"/>
        <w:rPr>
          <w:bCs/>
          <w:sz w:val="22"/>
          <w:szCs w:val="22"/>
          <w:lang w:val="sr-Latn-RS"/>
        </w:rPr>
      </w:pPr>
    </w:p>
    <w:p w14:paraId="77DB8F9E" w14:textId="77777777" w:rsidR="0072020E" w:rsidRPr="008751D6" w:rsidRDefault="0072020E">
      <w:pPr>
        <w:tabs>
          <w:tab w:val="left" w:pos="540"/>
          <w:tab w:val="left" w:pos="569"/>
        </w:tabs>
        <w:jc w:val="both"/>
        <w:rPr>
          <w:b/>
          <w:sz w:val="22"/>
          <w:szCs w:val="22"/>
          <w:lang w:val="sr-Latn-RS"/>
        </w:rPr>
      </w:pPr>
      <w:r w:rsidRPr="008751D6">
        <w:rPr>
          <w:b/>
          <w:bCs/>
          <w:sz w:val="22"/>
          <w:szCs w:val="22"/>
          <w:lang w:val="sr-Latn-RS"/>
        </w:rPr>
        <w:t xml:space="preserve">4.6. </w:t>
      </w:r>
      <w:r w:rsidR="00480FB1" w:rsidRPr="008751D6">
        <w:rPr>
          <w:b/>
          <w:bCs/>
          <w:sz w:val="22"/>
          <w:szCs w:val="22"/>
          <w:lang w:val="sr-Latn-RS"/>
        </w:rPr>
        <w:tab/>
      </w:r>
      <w:r w:rsidR="006D20A5" w:rsidRPr="008751D6">
        <w:rPr>
          <w:b/>
          <w:sz w:val="22"/>
          <w:szCs w:val="22"/>
          <w:lang w:val="sr-Latn-RS"/>
        </w:rPr>
        <w:t>Plodnost, trudnoća i dojenje</w:t>
      </w:r>
    </w:p>
    <w:p w14:paraId="3D21A326" w14:textId="77777777" w:rsidR="002031B3" w:rsidRPr="008751D6" w:rsidRDefault="002031B3">
      <w:pPr>
        <w:tabs>
          <w:tab w:val="left" w:pos="540"/>
          <w:tab w:val="left" w:pos="569"/>
        </w:tabs>
        <w:jc w:val="both"/>
        <w:rPr>
          <w:sz w:val="22"/>
          <w:szCs w:val="22"/>
          <w:u w:val="single"/>
          <w:lang w:val="sr-Latn-RS"/>
        </w:rPr>
      </w:pPr>
    </w:p>
    <w:p w14:paraId="4E7CC14B" w14:textId="7C3B1C9F" w:rsidR="00CC2D09" w:rsidRPr="008751D6" w:rsidRDefault="00CC2D09">
      <w:pPr>
        <w:pStyle w:val="Header"/>
        <w:tabs>
          <w:tab w:val="left" w:pos="284"/>
        </w:tabs>
        <w:jc w:val="both"/>
        <w:rPr>
          <w:sz w:val="22"/>
          <w:szCs w:val="22"/>
          <w:u w:val="single"/>
          <w:lang w:val="sr-Latn-RS"/>
        </w:rPr>
      </w:pPr>
      <w:r w:rsidRPr="008751D6">
        <w:rPr>
          <w:sz w:val="22"/>
          <w:szCs w:val="22"/>
          <w:u w:val="single"/>
          <w:lang w:val="sr-Latn-RS"/>
        </w:rPr>
        <w:t>Trudnoća</w:t>
      </w:r>
    </w:p>
    <w:p w14:paraId="231047F1" w14:textId="04AE3E96" w:rsidR="00EA5E97" w:rsidRPr="008751D6" w:rsidRDefault="00EA5E97">
      <w:pPr>
        <w:pStyle w:val="Header"/>
        <w:tabs>
          <w:tab w:val="left" w:pos="284"/>
        </w:tabs>
        <w:jc w:val="both"/>
        <w:rPr>
          <w:sz w:val="22"/>
          <w:szCs w:val="22"/>
          <w:lang w:val="sr-Latn-RS"/>
        </w:rPr>
      </w:pPr>
      <w:r w:rsidRPr="008751D6">
        <w:rPr>
          <w:sz w:val="22"/>
          <w:szCs w:val="22"/>
          <w:lang w:val="sr-Latn-RS"/>
        </w:rPr>
        <w:t>Postoji ograničeni broj podataka (manje od 300 ishoda trudnoće) o upotrebi lanreotida kod trudnica.</w:t>
      </w:r>
    </w:p>
    <w:p w14:paraId="42A4BF65" w14:textId="213B56DF" w:rsidR="00EA5E97" w:rsidRPr="008751D6" w:rsidRDefault="00EA5E97">
      <w:pPr>
        <w:pStyle w:val="Header"/>
        <w:tabs>
          <w:tab w:val="left" w:pos="284"/>
        </w:tabs>
        <w:jc w:val="both"/>
        <w:rPr>
          <w:sz w:val="22"/>
          <w:szCs w:val="22"/>
          <w:lang w:val="sr-Latn-RS"/>
        </w:rPr>
      </w:pPr>
      <w:r w:rsidRPr="008751D6">
        <w:rPr>
          <w:sz w:val="22"/>
          <w:szCs w:val="22"/>
          <w:lang w:val="sr-Latn-RS"/>
        </w:rPr>
        <w:t xml:space="preserve">Studije na životinjama su pokazale reproduktivnu toksičnost, ali bez dokaza o teratogenim efektima (vidjeti </w:t>
      </w:r>
      <w:r w:rsidR="00652046" w:rsidRPr="008751D6">
        <w:rPr>
          <w:sz w:val="22"/>
          <w:szCs w:val="22"/>
          <w:lang w:val="sr-Latn-RS"/>
        </w:rPr>
        <w:t>dio</w:t>
      </w:r>
      <w:r w:rsidRPr="008751D6">
        <w:rPr>
          <w:sz w:val="22"/>
          <w:szCs w:val="22"/>
          <w:lang w:val="sr-Latn-RS"/>
        </w:rPr>
        <w:t xml:space="preserve"> 5.3). Potencijalni rizik za ljude nije poznat.</w:t>
      </w:r>
    </w:p>
    <w:p w14:paraId="454F4D2C" w14:textId="77777777" w:rsidR="00CC2D09" w:rsidRPr="008751D6" w:rsidRDefault="00EA5E97">
      <w:pPr>
        <w:pStyle w:val="Header"/>
        <w:tabs>
          <w:tab w:val="left" w:pos="284"/>
        </w:tabs>
        <w:jc w:val="both"/>
        <w:rPr>
          <w:sz w:val="22"/>
          <w:szCs w:val="22"/>
          <w:lang w:val="sr-Latn-RS"/>
        </w:rPr>
      </w:pPr>
      <w:r w:rsidRPr="008751D6">
        <w:rPr>
          <w:sz w:val="22"/>
          <w:szCs w:val="22"/>
          <w:lang w:val="sr-Latn-RS"/>
        </w:rPr>
        <w:t>Kao mjera predostrožnosti, poželjno je izbjegavati upotrebu lanreotida tokom trudnoće.</w:t>
      </w:r>
    </w:p>
    <w:p w14:paraId="0E5075C4" w14:textId="77777777" w:rsidR="00CC2D09" w:rsidRPr="008751D6" w:rsidRDefault="00CC2D09">
      <w:pPr>
        <w:pStyle w:val="Header"/>
        <w:tabs>
          <w:tab w:val="left" w:pos="284"/>
        </w:tabs>
        <w:jc w:val="both"/>
        <w:rPr>
          <w:sz w:val="22"/>
          <w:szCs w:val="22"/>
          <w:lang w:val="sr-Latn-RS"/>
        </w:rPr>
      </w:pPr>
    </w:p>
    <w:p w14:paraId="3FC29F71" w14:textId="02C602AA" w:rsidR="00CC2D09" w:rsidRPr="008751D6" w:rsidRDefault="00CC2D09">
      <w:pPr>
        <w:pStyle w:val="Header"/>
        <w:tabs>
          <w:tab w:val="left" w:pos="284"/>
        </w:tabs>
        <w:jc w:val="both"/>
        <w:rPr>
          <w:sz w:val="22"/>
          <w:szCs w:val="22"/>
          <w:u w:val="single"/>
          <w:lang w:val="sr-Latn-RS"/>
        </w:rPr>
      </w:pPr>
      <w:r w:rsidRPr="008751D6">
        <w:rPr>
          <w:sz w:val="22"/>
          <w:szCs w:val="22"/>
          <w:u w:val="single"/>
          <w:lang w:val="sr-Latn-RS"/>
        </w:rPr>
        <w:t>Dojenje</w:t>
      </w:r>
    </w:p>
    <w:p w14:paraId="286B9795" w14:textId="2BA3A4FC" w:rsidR="00CC2D09" w:rsidRPr="008751D6" w:rsidRDefault="00CC2D09">
      <w:pPr>
        <w:pStyle w:val="Header"/>
        <w:tabs>
          <w:tab w:val="left" w:pos="284"/>
        </w:tabs>
        <w:jc w:val="both"/>
        <w:rPr>
          <w:sz w:val="22"/>
          <w:szCs w:val="22"/>
          <w:lang w:val="sr-Latn-RS"/>
        </w:rPr>
      </w:pPr>
      <w:r w:rsidRPr="008751D6">
        <w:rPr>
          <w:sz w:val="22"/>
          <w:szCs w:val="22"/>
          <w:lang w:val="sr-Latn-RS"/>
        </w:rPr>
        <w:t xml:space="preserve">Nije poznato da li se </w:t>
      </w:r>
      <w:r w:rsidR="00EA5E97" w:rsidRPr="008751D6">
        <w:rPr>
          <w:sz w:val="22"/>
          <w:szCs w:val="22"/>
          <w:lang w:val="sr-Latn-RS"/>
        </w:rPr>
        <w:t>lijek Somatuline Autogel</w:t>
      </w:r>
      <w:r w:rsidRPr="008751D6">
        <w:rPr>
          <w:sz w:val="22"/>
          <w:szCs w:val="22"/>
          <w:lang w:val="sr-Latn-RS"/>
        </w:rPr>
        <w:t xml:space="preserve"> izlučuje u majčino mlijeko.</w:t>
      </w:r>
    </w:p>
    <w:p w14:paraId="42A2E753" w14:textId="6C403875" w:rsidR="00EA5E97" w:rsidRPr="008751D6" w:rsidRDefault="00EA5E97">
      <w:pPr>
        <w:pStyle w:val="Header"/>
        <w:tabs>
          <w:tab w:val="left" w:pos="284"/>
        </w:tabs>
        <w:jc w:val="both"/>
        <w:rPr>
          <w:sz w:val="22"/>
          <w:szCs w:val="22"/>
          <w:lang w:val="sr-Latn-RS"/>
        </w:rPr>
      </w:pPr>
      <w:r w:rsidRPr="008751D6">
        <w:rPr>
          <w:sz w:val="22"/>
          <w:szCs w:val="22"/>
          <w:lang w:val="sr-Latn-RS"/>
        </w:rPr>
        <w:t xml:space="preserve">Rizik za novorođenčad/odojčad se ne može isključiti. </w:t>
      </w:r>
    </w:p>
    <w:p w14:paraId="24FDF6B0" w14:textId="36BF6C63" w:rsidR="00EA5E97" w:rsidRPr="008751D6" w:rsidRDefault="00EA5E97">
      <w:pPr>
        <w:pStyle w:val="Header"/>
        <w:tabs>
          <w:tab w:val="left" w:pos="284"/>
        </w:tabs>
        <w:jc w:val="both"/>
        <w:rPr>
          <w:sz w:val="22"/>
          <w:szCs w:val="22"/>
          <w:lang w:val="sr-Latn-RS"/>
        </w:rPr>
      </w:pPr>
      <w:r w:rsidRPr="008751D6">
        <w:rPr>
          <w:sz w:val="22"/>
          <w:szCs w:val="22"/>
          <w:lang w:val="sr-Latn-RS"/>
        </w:rPr>
        <w:t>Lijek Somatuline Autogel ne treba koristiti tokom dojenja.</w:t>
      </w:r>
    </w:p>
    <w:p w14:paraId="3DED7D67" w14:textId="77777777" w:rsidR="00CC2D09" w:rsidRPr="008751D6" w:rsidRDefault="00CC2D09">
      <w:pPr>
        <w:pStyle w:val="Header"/>
        <w:tabs>
          <w:tab w:val="left" w:pos="284"/>
        </w:tabs>
        <w:jc w:val="both"/>
        <w:rPr>
          <w:sz w:val="22"/>
          <w:szCs w:val="22"/>
          <w:lang w:val="sr-Latn-RS"/>
        </w:rPr>
      </w:pPr>
    </w:p>
    <w:p w14:paraId="4B1C89BC" w14:textId="77777777" w:rsidR="008751D6" w:rsidRPr="008751D6" w:rsidRDefault="008751D6">
      <w:pPr>
        <w:pStyle w:val="Header"/>
        <w:tabs>
          <w:tab w:val="left" w:pos="284"/>
        </w:tabs>
        <w:jc w:val="both"/>
        <w:rPr>
          <w:sz w:val="22"/>
          <w:szCs w:val="22"/>
          <w:u w:val="single"/>
          <w:lang w:val="sr-Latn-RS"/>
        </w:rPr>
      </w:pPr>
    </w:p>
    <w:p w14:paraId="5AF0AC7C" w14:textId="275D8DFA" w:rsidR="00CC2D09" w:rsidRPr="008751D6" w:rsidRDefault="00456F6D">
      <w:pPr>
        <w:pStyle w:val="Header"/>
        <w:tabs>
          <w:tab w:val="left" w:pos="284"/>
        </w:tabs>
        <w:jc w:val="both"/>
        <w:rPr>
          <w:sz w:val="22"/>
          <w:szCs w:val="22"/>
          <w:u w:val="single"/>
          <w:lang w:val="sr-Latn-RS"/>
        </w:rPr>
      </w:pPr>
      <w:r w:rsidRPr="008751D6">
        <w:rPr>
          <w:sz w:val="22"/>
          <w:szCs w:val="22"/>
          <w:u w:val="single"/>
          <w:lang w:val="sr-Latn-RS"/>
        </w:rPr>
        <w:lastRenderedPageBreak/>
        <w:t>Plodnost</w:t>
      </w:r>
    </w:p>
    <w:p w14:paraId="5E16099B" w14:textId="77777777" w:rsidR="00CC2D09" w:rsidRPr="008751D6" w:rsidRDefault="00CC2D09">
      <w:pPr>
        <w:pStyle w:val="Header"/>
        <w:tabs>
          <w:tab w:val="left" w:pos="284"/>
        </w:tabs>
        <w:jc w:val="both"/>
        <w:rPr>
          <w:sz w:val="22"/>
          <w:szCs w:val="22"/>
          <w:lang w:val="sr-Latn-RS"/>
        </w:rPr>
      </w:pPr>
      <w:r w:rsidRPr="008751D6">
        <w:rPr>
          <w:sz w:val="22"/>
          <w:szCs w:val="22"/>
          <w:lang w:val="sr-Latn-RS"/>
        </w:rPr>
        <w:t>Smanjen fertilitet je uočen kod ženki pacova usljed inhibicije sekrecije GH pri dozama većim od terapijskih doza kod ljudi.</w:t>
      </w:r>
    </w:p>
    <w:p w14:paraId="0E7B631E" w14:textId="77777777" w:rsidR="00227BDB" w:rsidRPr="008751D6" w:rsidRDefault="00227BDB">
      <w:pPr>
        <w:tabs>
          <w:tab w:val="left" w:pos="540"/>
          <w:tab w:val="left" w:pos="569"/>
        </w:tabs>
        <w:ind w:left="540" w:hanging="540"/>
        <w:jc w:val="both"/>
        <w:rPr>
          <w:b/>
          <w:bCs/>
          <w:sz w:val="22"/>
          <w:szCs w:val="22"/>
          <w:lang w:val="sr-Latn-RS"/>
        </w:rPr>
      </w:pPr>
    </w:p>
    <w:p w14:paraId="2E962747" w14:textId="77777777" w:rsidR="0072020E" w:rsidRPr="008751D6" w:rsidRDefault="0072020E">
      <w:pPr>
        <w:tabs>
          <w:tab w:val="left" w:pos="540"/>
          <w:tab w:val="left" w:pos="569"/>
        </w:tabs>
        <w:ind w:left="540" w:hanging="540"/>
        <w:jc w:val="both"/>
        <w:rPr>
          <w:b/>
          <w:bCs/>
          <w:sz w:val="22"/>
          <w:szCs w:val="22"/>
          <w:lang w:val="sr-Latn-RS"/>
        </w:rPr>
      </w:pPr>
      <w:r w:rsidRPr="008751D6">
        <w:rPr>
          <w:b/>
          <w:bCs/>
          <w:sz w:val="22"/>
          <w:szCs w:val="22"/>
          <w:lang w:val="sr-Latn-RS"/>
        </w:rPr>
        <w:t xml:space="preserve">4.7. </w:t>
      </w:r>
      <w:r w:rsidR="00480FB1" w:rsidRPr="008751D6">
        <w:rPr>
          <w:b/>
          <w:bCs/>
          <w:sz w:val="22"/>
          <w:szCs w:val="22"/>
          <w:lang w:val="sr-Latn-RS"/>
        </w:rPr>
        <w:tab/>
      </w:r>
      <w:r w:rsidRPr="008751D6">
        <w:rPr>
          <w:b/>
          <w:bCs/>
          <w:sz w:val="22"/>
          <w:szCs w:val="22"/>
          <w:lang w:val="sr-Latn-RS"/>
        </w:rPr>
        <w:t xml:space="preserve">Uticaj na </w:t>
      </w:r>
      <w:r w:rsidR="002031B3" w:rsidRPr="008751D6">
        <w:rPr>
          <w:b/>
          <w:bCs/>
          <w:sz w:val="22"/>
          <w:szCs w:val="22"/>
          <w:lang w:val="sr-Latn-RS"/>
        </w:rPr>
        <w:t xml:space="preserve">sposobnost </w:t>
      </w:r>
      <w:r w:rsidR="00F34554" w:rsidRPr="008751D6">
        <w:rPr>
          <w:b/>
          <w:bCs/>
          <w:sz w:val="22"/>
          <w:szCs w:val="22"/>
          <w:lang w:val="sr-Latn-RS"/>
        </w:rPr>
        <w:t>upravljanja vozili</w:t>
      </w:r>
      <w:r w:rsidRPr="008751D6">
        <w:rPr>
          <w:b/>
          <w:bCs/>
          <w:sz w:val="22"/>
          <w:szCs w:val="22"/>
          <w:lang w:val="sr-Latn-RS"/>
        </w:rPr>
        <w:t>m</w:t>
      </w:r>
      <w:r w:rsidR="00F34554" w:rsidRPr="008751D6">
        <w:rPr>
          <w:b/>
          <w:bCs/>
          <w:sz w:val="22"/>
          <w:szCs w:val="22"/>
          <w:lang w:val="sr-Latn-RS"/>
        </w:rPr>
        <w:t>a</w:t>
      </w:r>
      <w:r w:rsidRPr="008751D6">
        <w:rPr>
          <w:b/>
          <w:bCs/>
          <w:sz w:val="22"/>
          <w:szCs w:val="22"/>
          <w:lang w:val="sr-Latn-RS"/>
        </w:rPr>
        <w:t xml:space="preserve"> i </w:t>
      </w:r>
      <w:r w:rsidR="000D3449" w:rsidRPr="008751D6">
        <w:rPr>
          <w:b/>
          <w:bCs/>
          <w:sz w:val="22"/>
          <w:szCs w:val="22"/>
          <w:lang w:val="sr-Latn-RS"/>
        </w:rPr>
        <w:t xml:space="preserve">rukovanje </w:t>
      </w:r>
      <w:r w:rsidRPr="008751D6">
        <w:rPr>
          <w:b/>
          <w:bCs/>
          <w:sz w:val="22"/>
          <w:szCs w:val="22"/>
          <w:lang w:val="sr-Latn-RS"/>
        </w:rPr>
        <w:t>mašinama</w:t>
      </w:r>
    </w:p>
    <w:p w14:paraId="516D9D2B" w14:textId="77777777" w:rsidR="00C11A2B" w:rsidRPr="008751D6" w:rsidRDefault="00C11A2B">
      <w:pPr>
        <w:tabs>
          <w:tab w:val="left" w:pos="540"/>
          <w:tab w:val="left" w:pos="569"/>
        </w:tabs>
        <w:ind w:left="540" w:hanging="540"/>
        <w:jc w:val="both"/>
        <w:rPr>
          <w:b/>
          <w:bCs/>
          <w:sz w:val="22"/>
          <w:szCs w:val="22"/>
          <w:lang w:val="sr-Latn-RS"/>
        </w:rPr>
      </w:pPr>
    </w:p>
    <w:p w14:paraId="7533544F" w14:textId="437D0D9A" w:rsidR="00B3528A" w:rsidRPr="008751D6" w:rsidRDefault="00B3528A">
      <w:pPr>
        <w:jc w:val="both"/>
        <w:rPr>
          <w:rFonts w:eastAsia="Calibri"/>
          <w:sz w:val="22"/>
          <w:szCs w:val="22"/>
          <w:lang w:val="sr-Latn-RS"/>
        </w:rPr>
      </w:pPr>
      <w:r w:rsidRPr="008751D6">
        <w:rPr>
          <w:rFonts w:eastAsia="Calibri"/>
          <w:sz w:val="22"/>
          <w:szCs w:val="22"/>
          <w:lang w:val="sr-Latn-RS"/>
        </w:rPr>
        <w:t>Lijek Somatuline Autogel ima blag ili um</w:t>
      </w:r>
      <w:r w:rsidR="00EB58DC" w:rsidRPr="008751D6">
        <w:rPr>
          <w:rFonts w:eastAsia="Calibri"/>
          <w:sz w:val="22"/>
          <w:szCs w:val="22"/>
          <w:lang w:val="sr-Latn-RS"/>
        </w:rPr>
        <w:t>j</w:t>
      </w:r>
      <w:r w:rsidRPr="008751D6">
        <w:rPr>
          <w:rFonts w:eastAsia="Calibri"/>
          <w:sz w:val="22"/>
          <w:szCs w:val="22"/>
          <w:lang w:val="sr-Latn-RS"/>
        </w:rPr>
        <w:t xml:space="preserve">eren uticaj na sposobnost upravljanja vozilima i rukovanja mašinama. Nisu sprovedena ispitivanja o uticaju ovog lijeka na sposobnost upravljanja vozilima i rukovanja mašinama. </w:t>
      </w:r>
    </w:p>
    <w:p w14:paraId="4D3644CC" w14:textId="10BACE8F" w:rsidR="00B3528A" w:rsidRPr="008751D6" w:rsidRDefault="00B3528A">
      <w:pPr>
        <w:jc w:val="both"/>
        <w:rPr>
          <w:rFonts w:eastAsia="Calibri"/>
          <w:sz w:val="22"/>
          <w:szCs w:val="22"/>
          <w:lang w:val="sr-Latn-RS"/>
        </w:rPr>
      </w:pPr>
      <w:r w:rsidRPr="008751D6">
        <w:rPr>
          <w:rFonts w:eastAsia="Calibri"/>
          <w:sz w:val="22"/>
          <w:szCs w:val="22"/>
          <w:lang w:val="sr-Latn-RS"/>
        </w:rPr>
        <w:t>Međutim, tokom upotrebe ovog lijeka zab</w:t>
      </w:r>
      <w:r w:rsidR="00EB58DC" w:rsidRPr="008751D6">
        <w:rPr>
          <w:rFonts w:eastAsia="Calibri"/>
          <w:sz w:val="22"/>
          <w:szCs w:val="22"/>
          <w:lang w:val="sr-Latn-RS"/>
        </w:rPr>
        <w:t>i</w:t>
      </w:r>
      <w:r w:rsidRPr="008751D6">
        <w:rPr>
          <w:rFonts w:eastAsia="Calibri"/>
          <w:sz w:val="22"/>
          <w:szCs w:val="22"/>
          <w:lang w:val="sr-Latn-RS"/>
        </w:rPr>
        <w:t>l</w:t>
      </w:r>
      <w:r w:rsidR="00EB58DC" w:rsidRPr="008751D6">
        <w:rPr>
          <w:rFonts w:eastAsia="Calibri"/>
          <w:sz w:val="22"/>
          <w:szCs w:val="22"/>
          <w:lang w:val="sr-Latn-RS"/>
        </w:rPr>
        <w:t>j</w:t>
      </w:r>
      <w:r w:rsidRPr="008751D6">
        <w:rPr>
          <w:rFonts w:eastAsia="Calibri"/>
          <w:sz w:val="22"/>
          <w:szCs w:val="22"/>
          <w:lang w:val="sr-Latn-RS"/>
        </w:rPr>
        <w:t>ežena je vrtoglavica (vid</w:t>
      </w:r>
      <w:r w:rsidR="00EB58DC" w:rsidRPr="008751D6">
        <w:rPr>
          <w:rFonts w:eastAsia="Calibri"/>
          <w:sz w:val="22"/>
          <w:szCs w:val="22"/>
          <w:lang w:val="sr-Latn-RS"/>
        </w:rPr>
        <w:t>j</w:t>
      </w:r>
      <w:r w:rsidRPr="008751D6">
        <w:rPr>
          <w:rFonts w:eastAsia="Calibri"/>
          <w:sz w:val="22"/>
          <w:szCs w:val="22"/>
          <w:lang w:val="sr-Latn-RS"/>
        </w:rPr>
        <w:t xml:space="preserve">eti </w:t>
      </w:r>
      <w:r w:rsidR="00652046" w:rsidRPr="008751D6">
        <w:rPr>
          <w:rFonts w:eastAsia="Calibri"/>
          <w:sz w:val="22"/>
          <w:szCs w:val="22"/>
          <w:lang w:val="sr-Latn-RS"/>
        </w:rPr>
        <w:t>dio</w:t>
      </w:r>
      <w:r w:rsidRPr="008751D6">
        <w:rPr>
          <w:rFonts w:eastAsia="Calibri"/>
          <w:sz w:val="22"/>
          <w:szCs w:val="22"/>
          <w:lang w:val="sr-Latn-RS"/>
        </w:rPr>
        <w:t xml:space="preserve"> 4.8). Ukoliko pacijent os</w:t>
      </w:r>
      <w:r w:rsidR="00EB58DC" w:rsidRPr="008751D6">
        <w:rPr>
          <w:rFonts w:eastAsia="Calibri"/>
          <w:sz w:val="22"/>
          <w:szCs w:val="22"/>
          <w:lang w:val="sr-Latn-RS"/>
        </w:rPr>
        <w:t>j</w:t>
      </w:r>
      <w:r w:rsidRPr="008751D6">
        <w:rPr>
          <w:rFonts w:eastAsia="Calibri"/>
          <w:sz w:val="22"/>
          <w:szCs w:val="22"/>
          <w:lang w:val="sr-Latn-RS"/>
        </w:rPr>
        <w:t>eti vrtoglavicu, ne treba da vozi niti rukuje mašinama.</w:t>
      </w:r>
    </w:p>
    <w:p w14:paraId="35FA27BE" w14:textId="77777777" w:rsidR="0072020E" w:rsidRPr="008751D6" w:rsidRDefault="0072020E">
      <w:pPr>
        <w:tabs>
          <w:tab w:val="left" w:pos="540"/>
          <w:tab w:val="left" w:pos="569"/>
        </w:tabs>
        <w:jc w:val="both"/>
        <w:rPr>
          <w:b/>
          <w:bCs/>
          <w:sz w:val="22"/>
          <w:szCs w:val="22"/>
          <w:lang w:val="sr-Latn-RS"/>
        </w:rPr>
      </w:pPr>
    </w:p>
    <w:p w14:paraId="58D37180"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4.8. </w:t>
      </w:r>
      <w:r w:rsidR="00480FB1" w:rsidRPr="008751D6">
        <w:rPr>
          <w:b/>
          <w:bCs/>
          <w:sz w:val="22"/>
          <w:szCs w:val="22"/>
          <w:lang w:val="sr-Latn-RS"/>
        </w:rPr>
        <w:tab/>
      </w:r>
      <w:r w:rsidRPr="008751D6">
        <w:rPr>
          <w:b/>
          <w:bCs/>
          <w:sz w:val="22"/>
          <w:szCs w:val="22"/>
          <w:lang w:val="sr-Latn-RS"/>
        </w:rPr>
        <w:t>Neželjena dejstva</w:t>
      </w:r>
    </w:p>
    <w:p w14:paraId="42B60E4C" w14:textId="77777777" w:rsidR="00C11A2B" w:rsidRPr="008751D6" w:rsidRDefault="00C11A2B">
      <w:pPr>
        <w:tabs>
          <w:tab w:val="left" w:pos="540"/>
          <w:tab w:val="left" w:pos="569"/>
        </w:tabs>
        <w:jc w:val="both"/>
        <w:rPr>
          <w:b/>
          <w:bCs/>
          <w:sz w:val="22"/>
          <w:szCs w:val="22"/>
          <w:lang w:val="sr-Latn-RS"/>
        </w:rPr>
      </w:pPr>
    </w:p>
    <w:p w14:paraId="5D4F486F" w14:textId="710A1F2E" w:rsidR="00CC2D09" w:rsidRPr="008751D6" w:rsidRDefault="00CC2D09">
      <w:pPr>
        <w:jc w:val="both"/>
        <w:rPr>
          <w:rFonts w:eastAsia="Calibri"/>
          <w:sz w:val="22"/>
          <w:szCs w:val="22"/>
          <w:lang w:val="sr-Latn-RS"/>
        </w:rPr>
      </w:pPr>
      <w:r w:rsidRPr="008751D6">
        <w:rPr>
          <w:sz w:val="22"/>
          <w:szCs w:val="22"/>
          <w:lang w:val="sr-Latn-RS"/>
        </w:rPr>
        <w:t>Neželjena dejstva koja su se javljala kod pacijenata sa akromegalijom i GEP-NET liječenih lanreotidom u kliničkim studijama navedena su po klasama sistema organa u skladu sa sljedećom klasifikacijom: veoma čest</w:t>
      </w:r>
      <w:r w:rsidR="00527FBE" w:rsidRPr="008751D6">
        <w:rPr>
          <w:sz w:val="22"/>
          <w:szCs w:val="22"/>
          <w:lang w:val="sr-Latn-RS"/>
        </w:rPr>
        <w:t>o</w:t>
      </w:r>
      <w:r w:rsidRPr="008751D6">
        <w:rPr>
          <w:sz w:val="22"/>
          <w:szCs w:val="22"/>
          <w:lang w:val="sr-Latn-RS"/>
        </w:rPr>
        <w:t xml:space="preserve"> (≥ 1/10); čest</w:t>
      </w:r>
      <w:r w:rsidR="00527FBE" w:rsidRPr="008751D6">
        <w:rPr>
          <w:sz w:val="22"/>
          <w:szCs w:val="22"/>
          <w:lang w:val="sr-Latn-RS"/>
        </w:rPr>
        <w:t>o</w:t>
      </w:r>
      <w:r w:rsidRPr="008751D6">
        <w:rPr>
          <w:sz w:val="22"/>
          <w:szCs w:val="22"/>
          <w:lang w:val="sr-Latn-RS"/>
        </w:rPr>
        <w:t xml:space="preserve"> (≥ 1/100 do  &lt; 1/10); povremen</w:t>
      </w:r>
      <w:r w:rsidR="00527FBE" w:rsidRPr="008751D6">
        <w:rPr>
          <w:sz w:val="22"/>
          <w:szCs w:val="22"/>
          <w:lang w:val="sr-Latn-RS"/>
        </w:rPr>
        <w:t>o</w:t>
      </w:r>
      <w:r w:rsidRPr="008751D6">
        <w:rPr>
          <w:sz w:val="22"/>
          <w:szCs w:val="22"/>
          <w:lang w:val="sr-Latn-RS"/>
        </w:rPr>
        <w:t xml:space="preserve"> (≥ 1/1000 do &lt; 1/100)</w:t>
      </w:r>
      <w:r w:rsidR="00B3528A" w:rsidRPr="008751D6">
        <w:rPr>
          <w:sz w:val="22"/>
          <w:szCs w:val="22"/>
          <w:lang w:val="sr-Latn-RS"/>
        </w:rPr>
        <w:t xml:space="preserve">, </w:t>
      </w:r>
      <w:r w:rsidR="00B3528A" w:rsidRPr="008751D6">
        <w:rPr>
          <w:rFonts w:eastAsia="Calibri"/>
          <w:sz w:val="22"/>
          <w:szCs w:val="22"/>
          <w:lang w:val="sr-Latn-RS"/>
        </w:rPr>
        <w:t>nepoznata (ne može se proc</w:t>
      </w:r>
      <w:r w:rsidR="00EB58DC" w:rsidRPr="008751D6">
        <w:rPr>
          <w:rFonts w:eastAsia="Calibri"/>
          <w:sz w:val="22"/>
          <w:szCs w:val="22"/>
          <w:lang w:val="sr-Latn-RS"/>
        </w:rPr>
        <w:t>ij</w:t>
      </w:r>
      <w:r w:rsidR="00B3528A" w:rsidRPr="008751D6">
        <w:rPr>
          <w:rFonts w:eastAsia="Calibri"/>
          <w:sz w:val="22"/>
          <w:szCs w:val="22"/>
          <w:lang w:val="sr-Latn-RS"/>
        </w:rPr>
        <w:t>eniti na osnovu dostupnih podataka)</w:t>
      </w:r>
      <w:r w:rsidRPr="008751D6">
        <w:rPr>
          <w:sz w:val="22"/>
          <w:szCs w:val="22"/>
          <w:lang w:val="sr-Latn-RS"/>
        </w:rPr>
        <w:t>.</w:t>
      </w:r>
    </w:p>
    <w:p w14:paraId="459AA776" w14:textId="77777777" w:rsidR="00CC2D09" w:rsidRPr="008751D6" w:rsidRDefault="00CC2D09">
      <w:pPr>
        <w:pStyle w:val="Header"/>
        <w:tabs>
          <w:tab w:val="left" w:pos="284"/>
        </w:tabs>
        <w:jc w:val="both"/>
        <w:rPr>
          <w:sz w:val="22"/>
          <w:szCs w:val="22"/>
          <w:lang w:val="sr-Latn-RS"/>
        </w:rPr>
      </w:pPr>
      <w:r w:rsidRPr="008751D6">
        <w:rPr>
          <w:sz w:val="22"/>
          <w:szCs w:val="22"/>
          <w:lang w:val="sr-Latn-RS"/>
        </w:rPr>
        <w:t xml:space="preserve">Najčešće očekivane neželjene reakcije nakon primjene lanreotida su poremećaji gastrointestinalnog sistema (najčešće su prijavljene dijareja i bol u stomaku, obično blagog ili umjerenog intenziteta i prolaznog karaktera), holelitijaza (često bez simptoma) i reakcije na mjestu primjene injekcije (bol, čvorići i induracija (otok i otvrdnuće)). </w:t>
      </w:r>
    </w:p>
    <w:p w14:paraId="59172B3D" w14:textId="77777777" w:rsidR="00CC2D09" w:rsidRPr="008751D6" w:rsidRDefault="00CC2D09">
      <w:pPr>
        <w:pStyle w:val="Header"/>
        <w:tabs>
          <w:tab w:val="left" w:pos="284"/>
        </w:tabs>
        <w:jc w:val="both"/>
        <w:rPr>
          <w:sz w:val="22"/>
          <w:szCs w:val="22"/>
          <w:lang w:val="sr-Latn-RS"/>
        </w:rPr>
      </w:pPr>
      <w:r w:rsidRPr="008751D6">
        <w:rPr>
          <w:sz w:val="22"/>
          <w:szCs w:val="22"/>
          <w:lang w:val="sr-Latn-RS"/>
        </w:rPr>
        <w:t xml:space="preserve">Profil neželjenih reakcija je sličan kod svih indikacija.  </w:t>
      </w:r>
    </w:p>
    <w:p w14:paraId="68E2A70A" w14:textId="77777777" w:rsidR="00CC2D09" w:rsidRPr="008751D6" w:rsidRDefault="00CC2D09">
      <w:pPr>
        <w:pStyle w:val="Header"/>
        <w:tabs>
          <w:tab w:val="left" w:pos="284"/>
        </w:tabs>
        <w:jc w:val="both"/>
        <w:rPr>
          <w:sz w:val="22"/>
          <w:szCs w:val="22"/>
          <w:lang w:val="sr-Latn-R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85"/>
        <w:gridCol w:w="2409"/>
        <w:gridCol w:w="1985"/>
        <w:gridCol w:w="1984"/>
      </w:tblGrid>
      <w:tr w:rsidR="00CC2D09" w:rsidRPr="008751D6" w14:paraId="3CC996F0" w14:textId="77777777" w:rsidTr="00162A59">
        <w:tc>
          <w:tcPr>
            <w:tcW w:w="1838" w:type="dxa"/>
            <w:shd w:val="clear" w:color="auto" w:fill="auto"/>
          </w:tcPr>
          <w:p w14:paraId="5A2F0957" w14:textId="77777777" w:rsidR="00CC2D09" w:rsidRPr="008751D6" w:rsidRDefault="00CC2D09">
            <w:pPr>
              <w:pStyle w:val="Text"/>
              <w:ind w:left="0"/>
              <w:rPr>
                <w:sz w:val="22"/>
                <w:szCs w:val="22"/>
                <w:lang w:val="sr-Latn-RS"/>
              </w:rPr>
            </w:pPr>
            <w:r w:rsidRPr="008751D6">
              <w:rPr>
                <w:sz w:val="22"/>
                <w:szCs w:val="22"/>
                <w:lang w:val="sr-Latn-RS"/>
              </w:rPr>
              <w:t>Sistem organa</w:t>
            </w:r>
          </w:p>
        </w:tc>
        <w:tc>
          <w:tcPr>
            <w:tcW w:w="1985" w:type="dxa"/>
            <w:shd w:val="clear" w:color="auto" w:fill="auto"/>
          </w:tcPr>
          <w:p w14:paraId="59863F39" w14:textId="77777777" w:rsidR="00CC2D09" w:rsidRPr="008751D6" w:rsidRDefault="00CC2D09">
            <w:pPr>
              <w:pStyle w:val="Text"/>
              <w:ind w:left="0"/>
              <w:rPr>
                <w:sz w:val="22"/>
                <w:szCs w:val="22"/>
                <w:lang w:val="sr-Latn-RS"/>
              </w:rPr>
            </w:pPr>
            <w:r w:rsidRPr="008751D6">
              <w:rPr>
                <w:sz w:val="22"/>
                <w:szCs w:val="22"/>
                <w:lang w:val="sr-Latn-RS"/>
              </w:rPr>
              <w:t>Veoma često (</w:t>
            </w:r>
            <w:r w:rsidRPr="008751D6">
              <w:rPr>
                <w:noProof/>
                <w:sz w:val="22"/>
                <w:szCs w:val="22"/>
                <w:lang w:val="sr-Latn-RS"/>
              </w:rPr>
              <w:t>≥1/10)</w:t>
            </w:r>
          </w:p>
        </w:tc>
        <w:tc>
          <w:tcPr>
            <w:tcW w:w="2409" w:type="dxa"/>
            <w:shd w:val="clear" w:color="auto" w:fill="auto"/>
          </w:tcPr>
          <w:p w14:paraId="0E3447C6" w14:textId="77777777" w:rsidR="00CC2D09" w:rsidRPr="008751D6" w:rsidRDefault="00CC2D09">
            <w:pPr>
              <w:pStyle w:val="Text"/>
              <w:ind w:left="0"/>
              <w:rPr>
                <w:sz w:val="22"/>
                <w:szCs w:val="22"/>
                <w:lang w:val="sr-Latn-RS"/>
              </w:rPr>
            </w:pPr>
            <w:r w:rsidRPr="008751D6">
              <w:rPr>
                <w:noProof/>
                <w:sz w:val="22"/>
                <w:szCs w:val="22"/>
                <w:lang w:val="sr-Latn-RS"/>
              </w:rPr>
              <w:t>često (≥1/100 do &lt;1/10)</w:t>
            </w:r>
          </w:p>
        </w:tc>
        <w:tc>
          <w:tcPr>
            <w:tcW w:w="1985" w:type="dxa"/>
            <w:shd w:val="clear" w:color="auto" w:fill="auto"/>
          </w:tcPr>
          <w:p w14:paraId="06B23726" w14:textId="77777777" w:rsidR="00CC2D09" w:rsidRPr="008751D6" w:rsidRDefault="00CC2D09">
            <w:pPr>
              <w:pStyle w:val="Text"/>
              <w:ind w:left="0"/>
              <w:rPr>
                <w:sz w:val="22"/>
                <w:szCs w:val="22"/>
                <w:lang w:val="sr-Latn-RS"/>
              </w:rPr>
            </w:pPr>
            <w:r w:rsidRPr="008751D6">
              <w:rPr>
                <w:noProof/>
                <w:sz w:val="22"/>
                <w:szCs w:val="22"/>
                <w:lang w:val="sr-Latn-RS"/>
              </w:rPr>
              <w:t>povremeno (≥1/1000 do &lt;1/100)</w:t>
            </w:r>
          </w:p>
        </w:tc>
        <w:tc>
          <w:tcPr>
            <w:tcW w:w="1984" w:type="dxa"/>
          </w:tcPr>
          <w:p w14:paraId="7DFA5377" w14:textId="5530CC17" w:rsidR="00CC2D09" w:rsidRPr="008751D6" w:rsidRDefault="00CC2D09">
            <w:pPr>
              <w:pStyle w:val="Text"/>
              <w:ind w:left="0" w:right="31"/>
              <w:rPr>
                <w:noProof/>
                <w:sz w:val="22"/>
                <w:szCs w:val="22"/>
                <w:lang w:val="sr-Latn-RS"/>
              </w:rPr>
            </w:pPr>
            <w:r w:rsidRPr="008751D6">
              <w:rPr>
                <w:noProof/>
                <w:sz w:val="22"/>
                <w:szCs w:val="22"/>
                <w:lang w:val="sr-Latn-RS"/>
              </w:rPr>
              <w:t>postmarketinška</w:t>
            </w:r>
          </w:p>
          <w:p w14:paraId="0760F1F2" w14:textId="4C1261FA" w:rsidR="00CC2D09" w:rsidRPr="008751D6" w:rsidRDefault="00CC2D09">
            <w:pPr>
              <w:pStyle w:val="Text"/>
              <w:ind w:left="0"/>
              <w:rPr>
                <w:noProof/>
                <w:sz w:val="22"/>
                <w:szCs w:val="22"/>
                <w:lang w:val="sr-Latn-RS"/>
              </w:rPr>
            </w:pPr>
            <w:r w:rsidRPr="008751D6">
              <w:rPr>
                <w:noProof/>
                <w:sz w:val="22"/>
                <w:szCs w:val="22"/>
                <w:lang w:val="sr-Latn-RS"/>
              </w:rPr>
              <w:t>bezbjednosna</w:t>
            </w:r>
          </w:p>
          <w:p w14:paraId="2D2E922E" w14:textId="78458291" w:rsidR="00CC2D09" w:rsidRPr="008751D6" w:rsidRDefault="00CC2D09">
            <w:pPr>
              <w:pStyle w:val="Text"/>
              <w:ind w:left="0"/>
              <w:rPr>
                <w:noProof/>
                <w:sz w:val="22"/>
                <w:szCs w:val="22"/>
                <w:lang w:val="sr-Latn-RS"/>
              </w:rPr>
            </w:pPr>
            <w:r w:rsidRPr="008751D6">
              <w:rPr>
                <w:noProof/>
                <w:sz w:val="22"/>
                <w:szCs w:val="22"/>
                <w:lang w:val="sr-Latn-RS"/>
              </w:rPr>
              <w:t>saznanja</w:t>
            </w:r>
          </w:p>
          <w:p w14:paraId="6EAAAA34" w14:textId="1DAEF136" w:rsidR="00CC2D09" w:rsidRPr="008751D6" w:rsidRDefault="00CC2D09">
            <w:pPr>
              <w:pStyle w:val="Text"/>
              <w:ind w:left="0"/>
              <w:rPr>
                <w:noProof/>
                <w:sz w:val="22"/>
                <w:szCs w:val="22"/>
                <w:lang w:val="sr-Latn-RS"/>
              </w:rPr>
            </w:pPr>
            <w:r w:rsidRPr="008751D6">
              <w:rPr>
                <w:noProof/>
                <w:sz w:val="22"/>
                <w:szCs w:val="22"/>
                <w:lang w:val="sr-Latn-RS"/>
              </w:rPr>
              <w:t>(nepoznata</w:t>
            </w:r>
          </w:p>
          <w:p w14:paraId="24506F46" w14:textId="77777777" w:rsidR="00CC2D09" w:rsidRPr="008751D6" w:rsidRDefault="00CC2D09">
            <w:pPr>
              <w:pStyle w:val="Text"/>
              <w:ind w:left="0"/>
              <w:rPr>
                <w:noProof/>
                <w:sz w:val="22"/>
                <w:szCs w:val="22"/>
                <w:lang w:val="sr-Latn-RS"/>
              </w:rPr>
            </w:pPr>
            <w:r w:rsidRPr="008751D6">
              <w:rPr>
                <w:noProof/>
                <w:sz w:val="22"/>
                <w:szCs w:val="22"/>
                <w:lang w:val="sr-Latn-RS"/>
              </w:rPr>
              <w:t>učestalost)</w:t>
            </w:r>
          </w:p>
        </w:tc>
      </w:tr>
      <w:tr w:rsidR="00CC2D09" w:rsidRPr="008751D6" w14:paraId="399D8139" w14:textId="77777777" w:rsidTr="00162A59">
        <w:tc>
          <w:tcPr>
            <w:tcW w:w="1838" w:type="dxa"/>
            <w:shd w:val="clear" w:color="auto" w:fill="auto"/>
          </w:tcPr>
          <w:p w14:paraId="4FE679FA" w14:textId="77777777" w:rsidR="00CC2D09" w:rsidRPr="008751D6" w:rsidRDefault="00CC2D09" w:rsidP="009E2113">
            <w:pPr>
              <w:pStyle w:val="Text"/>
              <w:ind w:left="0"/>
              <w:rPr>
                <w:i/>
                <w:sz w:val="22"/>
                <w:szCs w:val="22"/>
                <w:lang w:val="sr-Latn-RS"/>
              </w:rPr>
            </w:pPr>
            <w:r w:rsidRPr="008751D6">
              <w:rPr>
                <w:i/>
                <w:iCs/>
                <w:sz w:val="22"/>
                <w:szCs w:val="22"/>
                <w:lang w:val="sr-Latn-RS"/>
              </w:rPr>
              <w:t>Poremećaji metabolizma i ishrane</w:t>
            </w:r>
          </w:p>
        </w:tc>
        <w:tc>
          <w:tcPr>
            <w:tcW w:w="1985" w:type="dxa"/>
            <w:shd w:val="clear" w:color="auto" w:fill="auto"/>
          </w:tcPr>
          <w:p w14:paraId="57E25DB6" w14:textId="77777777" w:rsidR="00CC2D09" w:rsidRPr="008751D6" w:rsidRDefault="00CC2D09" w:rsidP="009E2113">
            <w:pPr>
              <w:pStyle w:val="Text"/>
              <w:ind w:left="0"/>
              <w:rPr>
                <w:sz w:val="22"/>
                <w:szCs w:val="22"/>
                <w:lang w:val="sr-Latn-RS"/>
              </w:rPr>
            </w:pPr>
          </w:p>
        </w:tc>
        <w:tc>
          <w:tcPr>
            <w:tcW w:w="2409" w:type="dxa"/>
            <w:shd w:val="clear" w:color="auto" w:fill="auto"/>
          </w:tcPr>
          <w:p w14:paraId="2231EC8E" w14:textId="77777777" w:rsidR="00CC2D09" w:rsidRPr="008751D6" w:rsidRDefault="00CC2D09">
            <w:pPr>
              <w:pStyle w:val="Header"/>
              <w:tabs>
                <w:tab w:val="left" w:pos="284"/>
                <w:tab w:val="left" w:pos="5910"/>
              </w:tabs>
              <w:jc w:val="both"/>
              <w:rPr>
                <w:b/>
                <w:i/>
                <w:iCs/>
                <w:sz w:val="22"/>
                <w:szCs w:val="22"/>
                <w:lang w:val="sr-Latn-RS"/>
              </w:rPr>
            </w:pPr>
            <w:r w:rsidRPr="008751D6">
              <w:rPr>
                <w:iCs/>
                <w:sz w:val="22"/>
                <w:szCs w:val="22"/>
                <w:lang w:val="sr-Latn-RS"/>
              </w:rPr>
              <w:t>hipoglikemija,</w:t>
            </w:r>
          </w:p>
          <w:p w14:paraId="704CCA77" w14:textId="5B6853E5" w:rsidR="00CC2D09" w:rsidRPr="008751D6" w:rsidRDefault="00CC2D09">
            <w:pPr>
              <w:pStyle w:val="Header"/>
              <w:tabs>
                <w:tab w:val="left" w:pos="284"/>
                <w:tab w:val="left" w:pos="5910"/>
              </w:tabs>
              <w:jc w:val="both"/>
              <w:rPr>
                <w:iCs/>
                <w:sz w:val="22"/>
                <w:szCs w:val="22"/>
                <w:lang w:val="sr-Latn-RS"/>
              </w:rPr>
            </w:pPr>
            <w:r w:rsidRPr="008751D6">
              <w:rPr>
                <w:noProof/>
                <w:sz w:val="22"/>
                <w:szCs w:val="22"/>
                <w:lang w:val="sr-Latn-RS"/>
              </w:rPr>
              <w:t>smanjen apetit**,</w:t>
            </w:r>
            <w:r w:rsidRPr="008751D6">
              <w:rPr>
                <w:noProof/>
                <w:sz w:val="22"/>
                <w:szCs w:val="22"/>
                <w:lang w:val="sr-Latn-RS"/>
              </w:rPr>
              <w:br/>
            </w:r>
            <w:r w:rsidRPr="008751D6">
              <w:rPr>
                <w:iCs/>
                <w:sz w:val="22"/>
                <w:szCs w:val="22"/>
                <w:lang w:val="sr-Latn-RS"/>
              </w:rPr>
              <w:t>hiperglikemija, dijabetes melitus,</w:t>
            </w:r>
          </w:p>
          <w:p w14:paraId="4D0030FD" w14:textId="77777777" w:rsidR="00CC2D09" w:rsidRPr="008751D6" w:rsidRDefault="00CC2D09">
            <w:pPr>
              <w:pStyle w:val="Text"/>
              <w:ind w:left="0"/>
              <w:rPr>
                <w:noProof/>
                <w:sz w:val="22"/>
                <w:szCs w:val="22"/>
                <w:lang w:val="sr-Latn-RS"/>
              </w:rPr>
            </w:pPr>
          </w:p>
        </w:tc>
        <w:tc>
          <w:tcPr>
            <w:tcW w:w="1985" w:type="dxa"/>
            <w:shd w:val="clear" w:color="auto" w:fill="auto"/>
          </w:tcPr>
          <w:p w14:paraId="1B643A32" w14:textId="77777777" w:rsidR="00CC2D09" w:rsidRPr="008751D6" w:rsidRDefault="00CC2D09">
            <w:pPr>
              <w:pStyle w:val="Text"/>
              <w:ind w:left="0"/>
              <w:rPr>
                <w:sz w:val="22"/>
                <w:szCs w:val="22"/>
                <w:lang w:val="sr-Latn-RS"/>
              </w:rPr>
            </w:pPr>
          </w:p>
        </w:tc>
        <w:tc>
          <w:tcPr>
            <w:tcW w:w="1984" w:type="dxa"/>
          </w:tcPr>
          <w:p w14:paraId="6F19534C" w14:textId="77777777" w:rsidR="00CC2D09" w:rsidRPr="008751D6" w:rsidRDefault="00CC2D09">
            <w:pPr>
              <w:pStyle w:val="Text"/>
              <w:ind w:left="0"/>
              <w:rPr>
                <w:sz w:val="22"/>
                <w:szCs w:val="22"/>
                <w:lang w:val="sr-Latn-RS"/>
              </w:rPr>
            </w:pPr>
          </w:p>
        </w:tc>
      </w:tr>
      <w:tr w:rsidR="00CC2D09" w:rsidRPr="008751D6" w14:paraId="6914C5B2" w14:textId="77777777" w:rsidTr="00162A59">
        <w:tc>
          <w:tcPr>
            <w:tcW w:w="1838" w:type="dxa"/>
            <w:shd w:val="clear" w:color="auto" w:fill="auto"/>
          </w:tcPr>
          <w:p w14:paraId="6A732FDC" w14:textId="77777777" w:rsidR="00CC2D09" w:rsidRPr="008751D6" w:rsidRDefault="00CC2D09" w:rsidP="009E2113">
            <w:pPr>
              <w:pStyle w:val="Header"/>
              <w:tabs>
                <w:tab w:val="left" w:pos="284"/>
              </w:tabs>
              <w:jc w:val="both"/>
              <w:rPr>
                <w:i/>
                <w:sz w:val="22"/>
                <w:szCs w:val="22"/>
                <w:lang w:val="sr-Latn-RS"/>
              </w:rPr>
            </w:pPr>
            <w:r w:rsidRPr="008751D6">
              <w:rPr>
                <w:i/>
                <w:sz w:val="22"/>
                <w:szCs w:val="22"/>
                <w:lang w:val="sr-Latn-RS"/>
              </w:rPr>
              <w:t>Psihijatrijski poremećaji</w:t>
            </w:r>
          </w:p>
        </w:tc>
        <w:tc>
          <w:tcPr>
            <w:tcW w:w="1985" w:type="dxa"/>
            <w:shd w:val="clear" w:color="auto" w:fill="auto"/>
          </w:tcPr>
          <w:p w14:paraId="6000080D" w14:textId="77777777" w:rsidR="00CC2D09" w:rsidRPr="008751D6" w:rsidRDefault="00CC2D09" w:rsidP="009E2113">
            <w:pPr>
              <w:pStyle w:val="Text"/>
              <w:ind w:left="0"/>
              <w:rPr>
                <w:sz w:val="22"/>
                <w:szCs w:val="22"/>
                <w:lang w:val="sr-Latn-RS"/>
              </w:rPr>
            </w:pPr>
          </w:p>
        </w:tc>
        <w:tc>
          <w:tcPr>
            <w:tcW w:w="2409" w:type="dxa"/>
            <w:shd w:val="clear" w:color="auto" w:fill="auto"/>
          </w:tcPr>
          <w:p w14:paraId="7C41C199" w14:textId="77777777" w:rsidR="00CC2D09" w:rsidRPr="008751D6" w:rsidRDefault="00CC2D09">
            <w:pPr>
              <w:pStyle w:val="Text"/>
              <w:ind w:left="0"/>
              <w:rPr>
                <w:sz w:val="22"/>
                <w:szCs w:val="22"/>
                <w:lang w:val="sr-Latn-RS"/>
              </w:rPr>
            </w:pPr>
          </w:p>
        </w:tc>
        <w:tc>
          <w:tcPr>
            <w:tcW w:w="1985" w:type="dxa"/>
            <w:shd w:val="clear" w:color="auto" w:fill="auto"/>
          </w:tcPr>
          <w:p w14:paraId="01ACF37C" w14:textId="77777777" w:rsidR="00CC2D09" w:rsidRPr="008751D6" w:rsidRDefault="00CC2D09">
            <w:pPr>
              <w:pStyle w:val="Text"/>
              <w:ind w:left="0"/>
              <w:rPr>
                <w:sz w:val="22"/>
                <w:szCs w:val="22"/>
                <w:lang w:val="sr-Latn-RS"/>
              </w:rPr>
            </w:pPr>
            <w:r w:rsidRPr="008751D6">
              <w:rPr>
                <w:noProof/>
                <w:sz w:val="22"/>
                <w:szCs w:val="22"/>
                <w:lang w:val="sr-Latn-RS"/>
              </w:rPr>
              <w:t>nesanica*</w:t>
            </w:r>
          </w:p>
        </w:tc>
        <w:tc>
          <w:tcPr>
            <w:tcW w:w="1984" w:type="dxa"/>
          </w:tcPr>
          <w:p w14:paraId="63059AE9" w14:textId="77777777" w:rsidR="00CC2D09" w:rsidRPr="008751D6" w:rsidRDefault="00CC2D09">
            <w:pPr>
              <w:pStyle w:val="Text"/>
              <w:ind w:left="0"/>
              <w:rPr>
                <w:noProof/>
                <w:sz w:val="22"/>
                <w:szCs w:val="22"/>
                <w:lang w:val="sr-Latn-RS"/>
              </w:rPr>
            </w:pPr>
          </w:p>
        </w:tc>
      </w:tr>
      <w:tr w:rsidR="00CC2D09" w:rsidRPr="008751D6" w14:paraId="4DA035FD" w14:textId="77777777" w:rsidTr="00162A59">
        <w:tc>
          <w:tcPr>
            <w:tcW w:w="1838" w:type="dxa"/>
            <w:shd w:val="clear" w:color="auto" w:fill="auto"/>
          </w:tcPr>
          <w:p w14:paraId="5CF12178" w14:textId="77777777" w:rsidR="00CC2D09" w:rsidRPr="008751D6" w:rsidRDefault="00CC2D09" w:rsidP="009E2113">
            <w:pPr>
              <w:pStyle w:val="Header"/>
              <w:tabs>
                <w:tab w:val="left" w:pos="284"/>
              </w:tabs>
              <w:jc w:val="both"/>
              <w:rPr>
                <w:i/>
                <w:iCs/>
                <w:sz w:val="22"/>
                <w:szCs w:val="22"/>
                <w:lang w:val="sr-Latn-RS"/>
              </w:rPr>
            </w:pPr>
            <w:r w:rsidRPr="008751D6">
              <w:rPr>
                <w:i/>
                <w:iCs/>
                <w:sz w:val="22"/>
                <w:szCs w:val="22"/>
                <w:lang w:val="sr-Latn-RS"/>
              </w:rPr>
              <w:t>Poremećaji nervnog sistema</w:t>
            </w:r>
          </w:p>
        </w:tc>
        <w:tc>
          <w:tcPr>
            <w:tcW w:w="1985" w:type="dxa"/>
            <w:shd w:val="clear" w:color="auto" w:fill="auto"/>
          </w:tcPr>
          <w:p w14:paraId="299DD056" w14:textId="77777777" w:rsidR="00CC2D09" w:rsidRPr="008751D6" w:rsidRDefault="00CC2D09" w:rsidP="009E2113">
            <w:pPr>
              <w:pStyle w:val="Text"/>
              <w:ind w:left="0"/>
              <w:rPr>
                <w:sz w:val="22"/>
                <w:szCs w:val="22"/>
                <w:lang w:val="sr-Latn-RS"/>
              </w:rPr>
            </w:pPr>
          </w:p>
        </w:tc>
        <w:tc>
          <w:tcPr>
            <w:tcW w:w="2409" w:type="dxa"/>
            <w:shd w:val="clear" w:color="auto" w:fill="auto"/>
          </w:tcPr>
          <w:p w14:paraId="264E419E" w14:textId="77777777" w:rsidR="00CC2D09" w:rsidRPr="008751D6" w:rsidRDefault="00CC2D09">
            <w:pPr>
              <w:pStyle w:val="Text"/>
              <w:ind w:left="0"/>
              <w:rPr>
                <w:sz w:val="22"/>
                <w:szCs w:val="22"/>
                <w:lang w:val="sr-Latn-RS"/>
              </w:rPr>
            </w:pPr>
            <w:r w:rsidRPr="008751D6">
              <w:rPr>
                <w:iCs/>
                <w:sz w:val="22"/>
                <w:szCs w:val="22"/>
                <w:lang w:val="sr-Latn-RS"/>
              </w:rPr>
              <w:t>vrtoglavica, glavobolja</w:t>
            </w:r>
            <w:r w:rsidRPr="008751D6">
              <w:rPr>
                <w:noProof/>
                <w:sz w:val="22"/>
                <w:szCs w:val="22"/>
                <w:lang w:val="sr-Latn-RS"/>
              </w:rPr>
              <w:t>,  letargija**</w:t>
            </w:r>
          </w:p>
        </w:tc>
        <w:tc>
          <w:tcPr>
            <w:tcW w:w="1985" w:type="dxa"/>
            <w:shd w:val="clear" w:color="auto" w:fill="auto"/>
          </w:tcPr>
          <w:p w14:paraId="23382417" w14:textId="77777777" w:rsidR="00CC2D09" w:rsidRPr="008751D6" w:rsidRDefault="00CC2D09">
            <w:pPr>
              <w:pStyle w:val="Text"/>
              <w:ind w:left="0"/>
              <w:rPr>
                <w:sz w:val="22"/>
                <w:szCs w:val="22"/>
                <w:lang w:val="sr-Latn-RS"/>
              </w:rPr>
            </w:pPr>
          </w:p>
        </w:tc>
        <w:tc>
          <w:tcPr>
            <w:tcW w:w="1984" w:type="dxa"/>
          </w:tcPr>
          <w:p w14:paraId="3BCD4A17" w14:textId="77777777" w:rsidR="00CC2D09" w:rsidRPr="008751D6" w:rsidRDefault="00CC2D09">
            <w:pPr>
              <w:pStyle w:val="Text"/>
              <w:ind w:left="0"/>
              <w:rPr>
                <w:sz w:val="22"/>
                <w:szCs w:val="22"/>
                <w:lang w:val="sr-Latn-RS"/>
              </w:rPr>
            </w:pPr>
          </w:p>
        </w:tc>
      </w:tr>
      <w:tr w:rsidR="00CC2D09" w:rsidRPr="008751D6" w14:paraId="3E683B31" w14:textId="77777777" w:rsidTr="00162A59">
        <w:tc>
          <w:tcPr>
            <w:tcW w:w="1838" w:type="dxa"/>
            <w:shd w:val="clear" w:color="auto" w:fill="auto"/>
          </w:tcPr>
          <w:p w14:paraId="1643F864" w14:textId="77777777" w:rsidR="00CC2D09" w:rsidRPr="008751D6" w:rsidRDefault="00CC2D09" w:rsidP="009E2113">
            <w:pPr>
              <w:pStyle w:val="Header"/>
              <w:tabs>
                <w:tab w:val="left" w:pos="284"/>
              </w:tabs>
              <w:jc w:val="both"/>
              <w:rPr>
                <w:i/>
                <w:iCs/>
                <w:sz w:val="22"/>
                <w:szCs w:val="22"/>
                <w:lang w:val="sr-Latn-RS"/>
              </w:rPr>
            </w:pPr>
            <w:r w:rsidRPr="008751D6">
              <w:rPr>
                <w:i/>
                <w:iCs/>
                <w:sz w:val="22"/>
                <w:szCs w:val="22"/>
                <w:lang w:val="sr-Latn-RS"/>
              </w:rPr>
              <w:t>Kardiološki poremećaji</w:t>
            </w:r>
          </w:p>
        </w:tc>
        <w:tc>
          <w:tcPr>
            <w:tcW w:w="1985" w:type="dxa"/>
            <w:shd w:val="clear" w:color="auto" w:fill="auto"/>
          </w:tcPr>
          <w:p w14:paraId="489CC0C3" w14:textId="77777777" w:rsidR="00CC2D09" w:rsidRPr="008751D6" w:rsidRDefault="00CC2D09" w:rsidP="009E2113">
            <w:pPr>
              <w:pStyle w:val="Text"/>
              <w:ind w:left="0"/>
              <w:rPr>
                <w:sz w:val="22"/>
                <w:szCs w:val="22"/>
                <w:lang w:val="sr-Latn-RS"/>
              </w:rPr>
            </w:pPr>
          </w:p>
        </w:tc>
        <w:tc>
          <w:tcPr>
            <w:tcW w:w="2409" w:type="dxa"/>
            <w:shd w:val="clear" w:color="auto" w:fill="auto"/>
          </w:tcPr>
          <w:p w14:paraId="409BC7AA" w14:textId="77777777" w:rsidR="00CC2D09" w:rsidRPr="008751D6" w:rsidRDefault="00CC2D09">
            <w:pPr>
              <w:pStyle w:val="Text"/>
              <w:ind w:left="0"/>
              <w:rPr>
                <w:sz w:val="22"/>
                <w:szCs w:val="22"/>
                <w:lang w:val="sr-Latn-RS"/>
              </w:rPr>
            </w:pPr>
            <w:r w:rsidRPr="008751D6">
              <w:rPr>
                <w:iCs/>
                <w:sz w:val="22"/>
                <w:szCs w:val="22"/>
                <w:lang w:val="sr-Latn-RS"/>
              </w:rPr>
              <w:t>sinusna bradikardija</w:t>
            </w:r>
            <w:r w:rsidRPr="008751D6">
              <w:rPr>
                <w:noProof/>
                <w:sz w:val="22"/>
                <w:szCs w:val="22"/>
                <w:lang w:val="sr-Latn-RS"/>
              </w:rPr>
              <w:t>*</w:t>
            </w:r>
          </w:p>
        </w:tc>
        <w:tc>
          <w:tcPr>
            <w:tcW w:w="1985" w:type="dxa"/>
            <w:shd w:val="clear" w:color="auto" w:fill="auto"/>
          </w:tcPr>
          <w:p w14:paraId="3347A1E5" w14:textId="77777777" w:rsidR="00CC2D09" w:rsidRPr="008751D6" w:rsidRDefault="00CC2D09">
            <w:pPr>
              <w:pStyle w:val="Text"/>
              <w:ind w:left="0"/>
              <w:rPr>
                <w:sz w:val="22"/>
                <w:szCs w:val="22"/>
                <w:lang w:val="sr-Latn-RS"/>
              </w:rPr>
            </w:pPr>
          </w:p>
        </w:tc>
        <w:tc>
          <w:tcPr>
            <w:tcW w:w="1984" w:type="dxa"/>
          </w:tcPr>
          <w:p w14:paraId="5E1A9F90" w14:textId="77777777" w:rsidR="00CC2D09" w:rsidRPr="008751D6" w:rsidRDefault="00CC2D09">
            <w:pPr>
              <w:pStyle w:val="Text"/>
              <w:ind w:left="0"/>
              <w:rPr>
                <w:sz w:val="22"/>
                <w:szCs w:val="22"/>
                <w:lang w:val="sr-Latn-RS"/>
              </w:rPr>
            </w:pPr>
          </w:p>
        </w:tc>
      </w:tr>
      <w:tr w:rsidR="00CC2D09" w:rsidRPr="008751D6" w14:paraId="760F19C0" w14:textId="77777777" w:rsidTr="00162A59">
        <w:tc>
          <w:tcPr>
            <w:tcW w:w="1838" w:type="dxa"/>
            <w:shd w:val="clear" w:color="auto" w:fill="auto"/>
          </w:tcPr>
          <w:p w14:paraId="3FB3A583" w14:textId="77777777" w:rsidR="00CC2D09" w:rsidRPr="008751D6" w:rsidRDefault="00CC2D09" w:rsidP="009E2113">
            <w:pPr>
              <w:pStyle w:val="Text"/>
              <w:ind w:left="0"/>
              <w:rPr>
                <w:i/>
                <w:sz w:val="22"/>
                <w:szCs w:val="22"/>
                <w:lang w:val="sr-Latn-RS"/>
              </w:rPr>
            </w:pPr>
            <w:r w:rsidRPr="008751D6">
              <w:rPr>
                <w:i/>
                <w:iCs/>
                <w:sz w:val="22"/>
                <w:szCs w:val="22"/>
                <w:lang w:val="sr-Latn-RS"/>
              </w:rPr>
              <w:t>Vaskularni poremećaji</w:t>
            </w:r>
          </w:p>
        </w:tc>
        <w:tc>
          <w:tcPr>
            <w:tcW w:w="1985" w:type="dxa"/>
            <w:shd w:val="clear" w:color="auto" w:fill="auto"/>
          </w:tcPr>
          <w:p w14:paraId="69E15CD7" w14:textId="77777777" w:rsidR="00CC2D09" w:rsidRPr="008751D6" w:rsidRDefault="00CC2D09" w:rsidP="009E2113">
            <w:pPr>
              <w:pStyle w:val="Text"/>
              <w:ind w:left="0"/>
              <w:rPr>
                <w:sz w:val="22"/>
                <w:szCs w:val="22"/>
                <w:lang w:val="sr-Latn-RS"/>
              </w:rPr>
            </w:pPr>
          </w:p>
        </w:tc>
        <w:tc>
          <w:tcPr>
            <w:tcW w:w="2409" w:type="dxa"/>
            <w:shd w:val="clear" w:color="auto" w:fill="auto"/>
          </w:tcPr>
          <w:p w14:paraId="05B3A489" w14:textId="77777777" w:rsidR="00CC2D09" w:rsidRPr="008751D6" w:rsidRDefault="00CC2D09">
            <w:pPr>
              <w:pStyle w:val="Text"/>
              <w:ind w:left="0"/>
              <w:rPr>
                <w:sz w:val="22"/>
                <w:szCs w:val="22"/>
                <w:lang w:val="sr-Latn-RS"/>
              </w:rPr>
            </w:pPr>
          </w:p>
        </w:tc>
        <w:tc>
          <w:tcPr>
            <w:tcW w:w="1985" w:type="dxa"/>
            <w:shd w:val="clear" w:color="auto" w:fill="auto"/>
          </w:tcPr>
          <w:p w14:paraId="57BBDBFB" w14:textId="77777777" w:rsidR="00CC2D09" w:rsidRPr="008751D6" w:rsidRDefault="00CC2D09">
            <w:pPr>
              <w:pStyle w:val="Text"/>
              <w:ind w:left="0"/>
              <w:rPr>
                <w:sz w:val="22"/>
                <w:szCs w:val="22"/>
                <w:lang w:val="sr-Latn-RS"/>
              </w:rPr>
            </w:pPr>
            <w:r w:rsidRPr="008751D6">
              <w:rPr>
                <w:iCs/>
                <w:sz w:val="22"/>
                <w:szCs w:val="22"/>
                <w:lang w:val="sr-Latn-RS"/>
              </w:rPr>
              <w:t>naleti vrućine</w:t>
            </w:r>
            <w:r w:rsidRPr="008751D6">
              <w:rPr>
                <w:noProof/>
                <w:sz w:val="22"/>
                <w:szCs w:val="22"/>
                <w:lang w:val="sr-Latn-RS"/>
              </w:rPr>
              <w:t>*</w:t>
            </w:r>
          </w:p>
        </w:tc>
        <w:tc>
          <w:tcPr>
            <w:tcW w:w="1984" w:type="dxa"/>
          </w:tcPr>
          <w:p w14:paraId="5CF31F92" w14:textId="77777777" w:rsidR="00CC2D09" w:rsidRPr="008751D6" w:rsidRDefault="00CC2D09">
            <w:pPr>
              <w:pStyle w:val="Text"/>
              <w:ind w:left="0"/>
              <w:rPr>
                <w:iCs/>
                <w:sz w:val="22"/>
                <w:szCs w:val="22"/>
                <w:lang w:val="sr-Latn-RS"/>
              </w:rPr>
            </w:pPr>
          </w:p>
        </w:tc>
      </w:tr>
      <w:tr w:rsidR="00CC2D09" w:rsidRPr="008751D6" w14:paraId="365B044F" w14:textId="77777777" w:rsidTr="00162A59">
        <w:tc>
          <w:tcPr>
            <w:tcW w:w="1838" w:type="dxa"/>
            <w:shd w:val="clear" w:color="auto" w:fill="auto"/>
          </w:tcPr>
          <w:p w14:paraId="3C5BC24D" w14:textId="77777777" w:rsidR="00CC2D09" w:rsidRPr="008751D6" w:rsidRDefault="00CC2D09" w:rsidP="009E2113">
            <w:pPr>
              <w:pStyle w:val="Header"/>
              <w:tabs>
                <w:tab w:val="left" w:pos="284"/>
              </w:tabs>
              <w:jc w:val="both"/>
              <w:rPr>
                <w:i/>
                <w:iCs/>
                <w:sz w:val="22"/>
                <w:szCs w:val="22"/>
                <w:lang w:val="sr-Latn-RS"/>
              </w:rPr>
            </w:pPr>
            <w:r w:rsidRPr="008751D6">
              <w:rPr>
                <w:i/>
                <w:iCs/>
                <w:sz w:val="22"/>
                <w:szCs w:val="22"/>
                <w:lang w:val="sr-Latn-RS"/>
              </w:rPr>
              <w:t>Gastrointestinalni poremećaji</w:t>
            </w:r>
          </w:p>
          <w:p w14:paraId="2739DF03" w14:textId="77777777" w:rsidR="00CC2D09" w:rsidRPr="008751D6" w:rsidRDefault="00CC2D09">
            <w:pPr>
              <w:pStyle w:val="Text"/>
              <w:ind w:left="0"/>
              <w:rPr>
                <w:i/>
                <w:sz w:val="22"/>
                <w:szCs w:val="22"/>
                <w:lang w:val="sr-Latn-RS"/>
              </w:rPr>
            </w:pPr>
          </w:p>
        </w:tc>
        <w:tc>
          <w:tcPr>
            <w:tcW w:w="1985" w:type="dxa"/>
            <w:shd w:val="clear" w:color="auto" w:fill="auto"/>
          </w:tcPr>
          <w:p w14:paraId="722D442A" w14:textId="212F4A10" w:rsidR="00CC2D09" w:rsidRPr="008751D6" w:rsidRDefault="00CC2D09">
            <w:pPr>
              <w:pStyle w:val="Header"/>
              <w:tabs>
                <w:tab w:val="left" w:pos="284"/>
              </w:tabs>
              <w:jc w:val="both"/>
              <w:rPr>
                <w:iCs/>
                <w:sz w:val="22"/>
                <w:szCs w:val="22"/>
                <w:lang w:val="sr-Latn-RS"/>
              </w:rPr>
            </w:pPr>
            <w:r w:rsidRPr="008751D6">
              <w:rPr>
                <w:iCs/>
                <w:sz w:val="22"/>
                <w:szCs w:val="22"/>
                <w:lang w:val="sr-Latn-RS"/>
              </w:rPr>
              <w:t>dijareja, rijetk</w:t>
            </w:r>
            <w:r w:rsidR="00BA017E" w:rsidRPr="008751D6">
              <w:rPr>
                <w:iCs/>
                <w:sz w:val="22"/>
                <w:szCs w:val="22"/>
                <w:lang w:val="sr-Latn-RS"/>
              </w:rPr>
              <w:t>e</w:t>
            </w:r>
            <w:r w:rsidRPr="008751D6">
              <w:rPr>
                <w:iCs/>
                <w:sz w:val="22"/>
                <w:szCs w:val="22"/>
                <w:lang w:val="sr-Latn-RS"/>
              </w:rPr>
              <w:t xml:space="preserve"> stolic</w:t>
            </w:r>
            <w:r w:rsidR="00BA017E" w:rsidRPr="008751D6">
              <w:rPr>
                <w:iCs/>
                <w:sz w:val="22"/>
                <w:szCs w:val="22"/>
                <w:lang w:val="sr-Latn-RS"/>
              </w:rPr>
              <w:t>e</w:t>
            </w:r>
            <w:r w:rsidRPr="008751D6">
              <w:rPr>
                <w:noProof/>
                <w:sz w:val="22"/>
                <w:szCs w:val="22"/>
                <w:lang w:val="sr-Latn-RS"/>
              </w:rPr>
              <w:t>*</w:t>
            </w:r>
            <w:r w:rsidRPr="008751D6">
              <w:rPr>
                <w:iCs/>
                <w:sz w:val="22"/>
                <w:szCs w:val="22"/>
                <w:lang w:val="sr-Latn-RS"/>
              </w:rPr>
              <w:t>, bol u abdomenu</w:t>
            </w:r>
          </w:p>
          <w:p w14:paraId="4D9CE370" w14:textId="77777777" w:rsidR="00CC2D09" w:rsidRPr="008751D6" w:rsidRDefault="00CC2D09">
            <w:pPr>
              <w:pStyle w:val="Text"/>
              <w:ind w:left="0"/>
              <w:rPr>
                <w:sz w:val="22"/>
                <w:szCs w:val="22"/>
                <w:lang w:val="sr-Latn-RS"/>
              </w:rPr>
            </w:pPr>
          </w:p>
        </w:tc>
        <w:tc>
          <w:tcPr>
            <w:tcW w:w="2409" w:type="dxa"/>
            <w:shd w:val="clear" w:color="auto" w:fill="auto"/>
          </w:tcPr>
          <w:p w14:paraId="16CE13FC" w14:textId="77777777" w:rsidR="00CC2D09" w:rsidRPr="008751D6" w:rsidRDefault="00CC2D09">
            <w:pPr>
              <w:pStyle w:val="Text"/>
              <w:ind w:left="0"/>
              <w:rPr>
                <w:noProof/>
                <w:sz w:val="22"/>
                <w:szCs w:val="22"/>
                <w:lang w:val="sr-Latn-RS"/>
              </w:rPr>
            </w:pPr>
            <w:r w:rsidRPr="008751D6">
              <w:rPr>
                <w:iCs/>
                <w:sz w:val="22"/>
                <w:szCs w:val="22"/>
                <w:lang w:val="sr-Latn-RS"/>
              </w:rPr>
              <w:t xml:space="preserve">mučnina, povraćanje, </w:t>
            </w:r>
            <w:r w:rsidR="00026617" w:rsidRPr="008751D6">
              <w:rPr>
                <w:iCs/>
                <w:sz w:val="22"/>
                <w:szCs w:val="22"/>
                <w:lang w:val="sr-Latn-RS"/>
              </w:rPr>
              <w:t>konstipacija</w:t>
            </w:r>
            <w:r w:rsidRPr="008751D6">
              <w:rPr>
                <w:iCs/>
                <w:sz w:val="22"/>
                <w:szCs w:val="22"/>
                <w:lang w:val="sr-Latn-RS"/>
              </w:rPr>
              <w:t xml:space="preserve">, nadutost, </w:t>
            </w:r>
            <w:r w:rsidR="00026617" w:rsidRPr="008751D6">
              <w:rPr>
                <w:iCs/>
                <w:sz w:val="22"/>
                <w:szCs w:val="22"/>
                <w:lang w:val="sr-Latn-RS"/>
              </w:rPr>
              <w:t>distenzija</w:t>
            </w:r>
            <w:r w:rsidR="00853E78" w:rsidRPr="008751D6">
              <w:rPr>
                <w:iCs/>
                <w:sz w:val="22"/>
                <w:szCs w:val="22"/>
                <w:lang w:val="sr-Latn-RS"/>
              </w:rPr>
              <w:t xml:space="preserve"> abdomena</w:t>
            </w:r>
            <w:r w:rsidRPr="008751D6">
              <w:rPr>
                <w:iCs/>
                <w:sz w:val="22"/>
                <w:szCs w:val="22"/>
                <w:lang w:val="sr-Latn-RS"/>
              </w:rPr>
              <w:t xml:space="preserve">, </w:t>
            </w:r>
            <w:r w:rsidR="00262A08" w:rsidRPr="008751D6">
              <w:rPr>
                <w:iCs/>
                <w:sz w:val="22"/>
                <w:szCs w:val="22"/>
                <w:lang w:val="sr-Latn-RS"/>
              </w:rPr>
              <w:t>os</w:t>
            </w:r>
            <w:r w:rsidR="000D5705" w:rsidRPr="008751D6">
              <w:rPr>
                <w:iCs/>
                <w:sz w:val="22"/>
                <w:szCs w:val="22"/>
                <w:lang w:val="sr-Latn-RS"/>
              </w:rPr>
              <w:t>j</w:t>
            </w:r>
            <w:r w:rsidR="00262A08" w:rsidRPr="008751D6">
              <w:rPr>
                <w:iCs/>
                <w:sz w:val="22"/>
                <w:szCs w:val="22"/>
                <w:lang w:val="sr-Latn-RS"/>
              </w:rPr>
              <w:t>ećaj nelagodnosti u stomaku</w:t>
            </w:r>
            <w:r w:rsidR="00EA5E97" w:rsidRPr="008751D6">
              <w:rPr>
                <w:iCs/>
                <w:sz w:val="22"/>
                <w:szCs w:val="22"/>
                <w:lang w:val="sr-Latn-RS"/>
              </w:rPr>
              <w:t>*,</w:t>
            </w:r>
            <w:r w:rsidRPr="008751D6">
              <w:rPr>
                <w:iCs/>
                <w:sz w:val="22"/>
                <w:szCs w:val="22"/>
                <w:lang w:val="sr-Latn-RS"/>
              </w:rPr>
              <w:t xml:space="preserve"> dispepsija</w:t>
            </w:r>
            <w:r w:rsidRPr="008751D6">
              <w:rPr>
                <w:noProof/>
                <w:sz w:val="22"/>
                <w:szCs w:val="22"/>
                <w:lang w:val="sr-Latn-RS"/>
              </w:rPr>
              <w:br/>
              <w:t>steatoreja**</w:t>
            </w:r>
          </w:p>
        </w:tc>
        <w:tc>
          <w:tcPr>
            <w:tcW w:w="1985" w:type="dxa"/>
            <w:shd w:val="clear" w:color="auto" w:fill="auto"/>
          </w:tcPr>
          <w:p w14:paraId="7AE16B48" w14:textId="77777777" w:rsidR="00CC2D09" w:rsidRPr="008751D6" w:rsidRDefault="00CC2D09">
            <w:pPr>
              <w:pStyle w:val="Text"/>
              <w:ind w:left="0"/>
              <w:rPr>
                <w:sz w:val="22"/>
                <w:szCs w:val="22"/>
                <w:lang w:val="sr-Latn-RS"/>
              </w:rPr>
            </w:pPr>
            <w:r w:rsidRPr="008751D6">
              <w:rPr>
                <w:iCs/>
                <w:sz w:val="22"/>
                <w:szCs w:val="22"/>
                <w:lang w:val="sr-Latn-RS"/>
              </w:rPr>
              <w:t>obezbojavanje fecesa</w:t>
            </w:r>
            <w:r w:rsidRPr="008751D6">
              <w:rPr>
                <w:noProof/>
                <w:sz w:val="22"/>
                <w:szCs w:val="22"/>
                <w:lang w:val="sr-Latn-RS"/>
              </w:rPr>
              <w:t>*</w:t>
            </w:r>
          </w:p>
        </w:tc>
        <w:tc>
          <w:tcPr>
            <w:tcW w:w="1984" w:type="dxa"/>
          </w:tcPr>
          <w:p w14:paraId="34DDA6F6" w14:textId="5E6077A1" w:rsidR="00CC2D09" w:rsidRPr="008751D6" w:rsidRDefault="001D1C7E">
            <w:pPr>
              <w:pStyle w:val="Text"/>
              <w:ind w:left="0"/>
              <w:rPr>
                <w:iCs/>
                <w:sz w:val="22"/>
                <w:szCs w:val="22"/>
                <w:lang w:val="sr-Latn-RS"/>
              </w:rPr>
            </w:pPr>
            <w:r w:rsidRPr="008751D6">
              <w:rPr>
                <w:iCs/>
                <w:sz w:val="22"/>
                <w:szCs w:val="22"/>
                <w:lang w:val="sr-Latn-RS"/>
              </w:rPr>
              <w:t xml:space="preserve">egzokrina insuficijencija pankreasa, </w:t>
            </w:r>
            <w:r w:rsidR="00CC2D09" w:rsidRPr="008751D6">
              <w:rPr>
                <w:iCs/>
                <w:sz w:val="22"/>
                <w:szCs w:val="22"/>
                <w:lang w:val="sr-Latn-RS"/>
              </w:rPr>
              <w:t>pankreatitis</w:t>
            </w:r>
          </w:p>
        </w:tc>
      </w:tr>
      <w:tr w:rsidR="00CC2D09" w:rsidRPr="008751D6" w14:paraId="78C6DAAC" w14:textId="77777777" w:rsidTr="00162A59">
        <w:tc>
          <w:tcPr>
            <w:tcW w:w="1838" w:type="dxa"/>
            <w:shd w:val="clear" w:color="auto" w:fill="auto"/>
          </w:tcPr>
          <w:p w14:paraId="5CC1157A" w14:textId="77777777" w:rsidR="00CC2D09" w:rsidRPr="008751D6" w:rsidRDefault="00CC2D09" w:rsidP="009E2113">
            <w:pPr>
              <w:pStyle w:val="Header"/>
              <w:tabs>
                <w:tab w:val="left" w:pos="284"/>
              </w:tabs>
              <w:jc w:val="both"/>
              <w:rPr>
                <w:i/>
                <w:iCs/>
                <w:sz w:val="22"/>
                <w:szCs w:val="22"/>
                <w:lang w:val="sr-Latn-RS"/>
              </w:rPr>
            </w:pPr>
            <w:r w:rsidRPr="008751D6">
              <w:rPr>
                <w:i/>
                <w:iCs/>
                <w:sz w:val="22"/>
                <w:szCs w:val="22"/>
                <w:lang w:val="sr-Latn-RS"/>
              </w:rPr>
              <w:t>Hepatobilijarni poremećaji</w:t>
            </w:r>
          </w:p>
        </w:tc>
        <w:tc>
          <w:tcPr>
            <w:tcW w:w="1985" w:type="dxa"/>
            <w:shd w:val="clear" w:color="auto" w:fill="auto"/>
          </w:tcPr>
          <w:p w14:paraId="7661CDCC" w14:textId="4791F87E" w:rsidR="00CC2D09" w:rsidRPr="008751D6" w:rsidRDefault="00BA017E">
            <w:pPr>
              <w:pStyle w:val="Text"/>
              <w:ind w:left="0"/>
              <w:rPr>
                <w:sz w:val="22"/>
                <w:szCs w:val="22"/>
                <w:lang w:val="sr-Latn-RS"/>
              </w:rPr>
            </w:pPr>
            <w:r w:rsidRPr="008751D6">
              <w:rPr>
                <w:iCs/>
                <w:sz w:val="22"/>
                <w:szCs w:val="22"/>
                <w:lang w:val="sr-Latn-RS"/>
              </w:rPr>
              <w:t>H</w:t>
            </w:r>
            <w:r w:rsidR="00CC2D09" w:rsidRPr="008751D6">
              <w:rPr>
                <w:iCs/>
                <w:sz w:val="22"/>
                <w:szCs w:val="22"/>
                <w:lang w:val="sr-Latn-RS"/>
              </w:rPr>
              <w:t>olelitijaza</w:t>
            </w:r>
          </w:p>
        </w:tc>
        <w:tc>
          <w:tcPr>
            <w:tcW w:w="2409" w:type="dxa"/>
            <w:shd w:val="clear" w:color="auto" w:fill="auto"/>
          </w:tcPr>
          <w:p w14:paraId="2120FB34" w14:textId="77777777" w:rsidR="00CC2D09" w:rsidRPr="008751D6" w:rsidRDefault="00CC2D09">
            <w:pPr>
              <w:pStyle w:val="Text"/>
              <w:ind w:left="0"/>
              <w:rPr>
                <w:sz w:val="22"/>
                <w:szCs w:val="22"/>
                <w:lang w:val="sr-Latn-RS"/>
              </w:rPr>
            </w:pPr>
            <w:r w:rsidRPr="008751D6">
              <w:rPr>
                <w:iCs/>
                <w:sz w:val="22"/>
                <w:szCs w:val="22"/>
                <w:lang w:val="sr-Latn-RS"/>
              </w:rPr>
              <w:t>bilijarna dilatacija</w:t>
            </w:r>
            <w:r w:rsidRPr="008751D6">
              <w:rPr>
                <w:noProof/>
                <w:sz w:val="22"/>
                <w:szCs w:val="22"/>
                <w:lang w:val="sr-Latn-RS"/>
              </w:rPr>
              <w:t xml:space="preserve"> *</w:t>
            </w:r>
          </w:p>
        </w:tc>
        <w:tc>
          <w:tcPr>
            <w:tcW w:w="1985" w:type="dxa"/>
            <w:shd w:val="clear" w:color="auto" w:fill="auto"/>
          </w:tcPr>
          <w:p w14:paraId="0951C98B" w14:textId="77777777" w:rsidR="00CC2D09" w:rsidRPr="008751D6" w:rsidRDefault="00CC2D09">
            <w:pPr>
              <w:pStyle w:val="Text"/>
              <w:ind w:left="0"/>
              <w:rPr>
                <w:sz w:val="22"/>
                <w:szCs w:val="22"/>
                <w:lang w:val="sr-Latn-RS"/>
              </w:rPr>
            </w:pPr>
          </w:p>
        </w:tc>
        <w:tc>
          <w:tcPr>
            <w:tcW w:w="1984" w:type="dxa"/>
          </w:tcPr>
          <w:p w14:paraId="21AD9032" w14:textId="77777777" w:rsidR="00CC2D09" w:rsidRPr="008751D6" w:rsidRDefault="00262A08" w:rsidP="008319CC">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holecistitis</w:t>
            </w:r>
            <w:r w:rsidR="00DF4D54" w:rsidRPr="008751D6">
              <w:rPr>
                <w:sz w:val="22"/>
                <w:szCs w:val="22"/>
                <w:lang w:val="sr-Latn-RS" w:eastAsia="fr-FR"/>
              </w:rPr>
              <w:t>,</w:t>
            </w:r>
          </w:p>
          <w:p w14:paraId="1A819892" w14:textId="77777777" w:rsidR="00DF4D54" w:rsidRPr="008751D6" w:rsidRDefault="00DF4D54" w:rsidP="008319CC">
            <w:pPr>
              <w:suppressAutoHyphens/>
              <w:overflowPunct w:val="0"/>
              <w:autoSpaceDE w:val="0"/>
              <w:autoSpaceDN w:val="0"/>
              <w:adjustRightInd w:val="0"/>
              <w:spacing w:before="60" w:after="60"/>
              <w:jc w:val="both"/>
              <w:textAlignment w:val="baseline"/>
              <w:rPr>
                <w:sz w:val="22"/>
                <w:szCs w:val="22"/>
                <w:lang w:val="sr-Latn-RS"/>
              </w:rPr>
            </w:pPr>
            <w:r w:rsidRPr="008751D6">
              <w:rPr>
                <w:sz w:val="22"/>
                <w:szCs w:val="22"/>
                <w:lang w:val="sr-Latn-RS"/>
              </w:rPr>
              <w:t>holangitis</w:t>
            </w:r>
          </w:p>
        </w:tc>
      </w:tr>
      <w:tr w:rsidR="00CC2D09" w:rsidRPr="008751D6" w14:paraId="563B45E6" w14:textId="77777777" w:rsidTr="00162A59">
        <w:tc>
          <w:tcPr>
            <w:tcW w:w="1838" w:type="dxa"/>
            <w:shd w:val="clear" w:color="auto" w:fill="auto"/>
          </w:tcPr>
          <w:p w14:paraId="7FBFFD2E" w14:textId="77777777" w:rsidR="00CC2D09" w:rsidRPr="008751D6" w:rsidRDefault="00CC2D09" w:rsidP="009E2113">
            <w:pPr>
              <w:pStyle w:val="Text"/>
              <w:ind w:left="0"/>
              <w:rPr>
                <w:i/>
                <w:noProof/>
                <w:sz w:val="22"/>
                <w:szCs w:val="22"/>
                <w:lang w:val="sr-Latn-RS"/>
              </w:rPr>
            </w:pPr>
            <w:r w:rsidRPr="008751D6">
              <w:rPr>
                <w:i/>
                <w:noProof/>
                <w:sz w:val="22"/>
                <w:szCs w:val="22"/>
                <w:lang w:val="sr-Latn-RS"/>
              </w:rPr>
              <w:lastRenderedPageBreak/>
              <w:t>Poremećaji mišićno-skeletnog i vezivnog tkiva</w:t>
            </w:r>
          </w:p>
        </w:tc>
        <w:tc>
          <w:tcPr>
            <w:tcW w:w="1985" w:type="dxa"/>
            <w:shd w:val="clear" w:color="auto" w:fill="auto"/>
          </w:tcPr>
          <w:p w14:paraId="0360C1EE" w14:textId="77777777" w:rsidR="00CC2D09" w:rsidRPr="008751D6" w:rsidRDefault="00CC2D09">
            <w:pPr>
              <w:pStyle w:val="Text"/>
              <w:ind w:left="0"/>
              <w:rPr>
                <w:sz w:val="22"/>
                <w:szCs w:val="22"/>
                <w:lang w:val="sr-Latn-RS"/>
              </w:rPr>
            </w:pPr>
          </w:p>
        </w:tc>
        <w:tc>
          <w:tcPr>
            <w:tcW w:w="2409" w:type="dxa"/>
            <w:shd w:val="clear" w:color="auto" w:fill="auto"/>
          </w:tcPr>
          <w:p w14:paraId="31FC7073" w14:textId="77777777" w:rsidR="00CC2D09" w:rsidRPr="008751D6" w:rsidRDefault="00CC2D09">
            <w:pPr>
              <w:pStyle w:val="Text"/>
              <w:ind w:left="0"/>
              <w:rPr>
                <w:noProof/>
                <w:sz w:val="22"/>
                <w:szCs w:val="22"/>
                <w:lang w:val="sr-Latn-RS"/>
              </w:rPr>
            </w:pPr>
            <w:r w:rsidRPr="008751D6">
              <w:rPr>
                <w:noProof/>
                <w:sz w:val="22"/>
                <w:szCs w:val="22"/>
                <w:lang w:val="sr-Latn-RS"/>
              </w:rPr>
              <w:t>Bol u mišićno-</w:t>
            </w:r>
            <w:r w:rsidR="00262A08" w:rsidRPr="008751D6">
              <w:rPr>
                <w:noProof/>
                <w:sz w:val="22"/>
                <w:szCs w:val="22"/>
                <w:lang w:val="sr-Latn-RS"/>
              </w:rPr>
              <w:t xml:space="preserve">koštanom </w:t>
            </w:r>
            <w:r w:rsidRPr="008751D6">
              <w:rPr>
                <w:noProof/>
                <w:sz w:val="22"/>
                <w:szCs w:val="22"/>
                <w:lang w:val="sr-Latn-RS"/>
              </w:rPr>
              <w:t xml:space="preserve">sistemu**, </w:t>
            </w:r>
            <w:r w:rsidRPr="008751D6">
              <w:rPr>
                <w:noProof/>
                <w:sz w:val="22"/>
                <w:szCs w:val="22"/>
                <w:lang w:val="sr-Latn-RS"/>
              </w:rPr>
              <w:br/>
              <w:t>mijalgija**</w:t>
            </w:r>
          </w:p>
        </w:tc>
        <w:tc>
          <w:tcPr>
            <w:tcW w:w="1985" w:type="dxa"/>
            <w:shd w:val="clear" w:color="auto" w:fill="auto"/>
          </w:tcPr>
          <w:p w14:paraId="3C72ACF7" w14:textId="77777777" w:rsidR="00CC2D09" w:rsidRPr="008751D6" w:rsidRDefault="00CC2D09">
            <w:pPr>
              <w:pStyle w:val="Text"/>
              <w:ind w:left="0"/>
              <w:rPr>
                <w:sz w:val="22"/>
                <w:szCs w:val="22"/>
                <w:lang w:val="sr-Latn-RS"/>
              </w:rPr>
            </w:pPr>
          </w:p>
        </w:tc>
        <w:tc>
          <w:tcPr>
            <w:tcW w:w="1984" w:type="dxa"/>
          </w:tcPr>
          <w:p w14:paraId="16625A9F" w14:textId="77777777" w:rsidR="00CC2D09" w:rsidRPr="008751D6" w:rsidRDefault="00CC2D09">
            <w:pPr>
              <w:pStyle w:val="Text"/>
              <w:ind w:left="0"/>
              <w:rPr>
                <w:sz w:val="22"/>
                <w:szCs w:val="22"/>
                <w:lang w:val="sr-Latn-RS"/>
              </w:rPr>
            </w:pPr>
          </w:p>
        </w:tc>
      </w:tr>
      <w:tr w:rsidR="00CC2D09" w:rsidRPr="008751D6" w14:paraId="3DC77EA9" w14:textId="77777777" w:rsidTr="00162A59">
        <w:tc>
          <w:tcPr>
            <w:tcW w:w="1838" w:type="dxa"/>
            <w:shd w:val="clear" w:color="auto" w:fill="auto"/>
          </w:tcPr>
          <w:p w14:paraId="3AF574FA" w14:textId="77777777" w:rsidR="00CC2D09" w:rsidRPr="008751D6" w:rsidRDefault="00CC2D09" w:rsidP="009E2113">
            <w:pPr>
              <w:pStyle w:val="Header"/>
              <w:tabs>
                <w:tab w:val="left" w:pos="284"/>
              </w:tabs>
              <w:jc w:val="both"/>
              <w:rPr>
                <w:i/>
                <w:iCs/>
                <w:sz w:val="22"/>
                <w:szCs w:val="22"/>
                <w:lang w:val="sr-Latn-RS"/>
              </w:rPr>
            </w:pPr>
            <w:r w:rsidRPr="008751D6">
              <w:rPr>
                <w:i/>
                <w:iCs/>
                <w:sz w:val="22"/>
                <w:szCs w:val="22"/>
                <w:lang w:val="sr-Latn-RS"/>
              </w:rPr>
              <w:t>Poremećaji kože i potkožnog tkiva</w:t>
            </w:r>
          </w:p>
        </w:tc>
        <w:tc>
          <w:tcPr>
            <w:tcW w:w="1985" w:type="dxa"/>
            <w:shd w:val="clear" w:color="auto" w:fill="auto"/>
          </w:tcPr>
          <w:p w14:paraId="75956E4A" w14:textId="77777777" w:rsidR="00CC2D09" w:rsidRPr="008751D6" w:rsidRDefault="00CC2D09">
            <w:pPr>
              <w:pStyle w:val="Text"/>
              <w:ind w:left="0"/>
              <w:rPr>
                <w:sz w:val="22"/>
                <w:szCs w:val="22"/>
                <w:lang w:val="sr-Latn-RS"/>
              </w:rPr>
            </w:pPr>
          </w:p>
        </w:tc>
        <w:tc>
          <w:tcPr>
            <w:tcW w:w="2409" w:type="dxa"/>
            <w:shd w:val="clear" w:color="auto" w:fill="auto"/>
          </w:tcPr>
          <w:p w14:paraId="00B4F410" w14:textId="77777777" w:rsidR="00CC2D09" w:rsidRPr="008751D6" w:rsidRDefault="00CC2D09">
            <w:pPr>
              <w:pStyle w:val="Text"/>
              <w:ind w:left="0"/>
              <w:rPr>
                <w:sz w:val="22"/>
                <w:szCs w:val="22"/>
                <w:lang w:val="sr-Latn-RS"/>
              </w:rPr>
            </w:pPr>
            <w:r w:rsidRPr="008751D6">
              <w:rPr>
                <w:noProof/>
                <w:sz w:val="22"/>
                <w:szCs w:val="22"/>
                <w:lang w:val="sr-Latn-RS"/>
              </w:rPr>
              <w:t>alopecija, hipotrihoza*</w:t>
            </w:r>
          </w:p>
        </w:tc>
        <w:tc>
          <w:tcPr>
            <w:tcW w:w="1985" w:type="dxa"/>
            <w:shd w:val="clear" w:color="auto" w:fill="auto"/>
          </w:tcPr>
          <w:p w14:paraId="3903C1EF" w14:textId="77777777" w:rsidR="00CC2D09" w:rsidRPr="008751D6" w:rsidRDefault="00CC2D09">
            <w:pPr>
              <w:pStyle w:val="Text"/>
              <w:ind w:left="0"/>
              <w:rPr>
                <w:sz w:val="22"/>
                <w:szCs w:val="22"/>
                <w:lang w:val="sr-Latn-RS"/>
              </w:rPr>
            </w:pPr>
          </w:p>
        </w:tc>
        <w:tc>
          <w:tcPr>
            <w:tcW w:w="1984" w:type="dxa"/>
          </w:tcPr>
          <w:p w14:paraId="6033C989" w14:textId="77777777" w:rsidR="00CC2D09" w:rsidRPr="008751D6" w:rsidRDefault="00CC2D09">
            <w:pPr>
              <w:pStyle w:val="Text"/>
              <w:ind w:left="0"/>
              <w:rPr>
                <w:sz w:val="22"/>
                <w:szCs w:val="22"/>
                <w:lang w:val="sr-Latn-RS"/>
              </w:rPr>
            </w:pPr>
          </w:p>
        </w:tc>
      </w:tr>
      <w:tr w:rsidR="00CC2D09" w:rsidRPr="008751D6" w14:paraId="1A0228F4" w14:textId="77777777" w:rsidTr="00162A59">
        <w:tc>
          <w:tcPr>
            <w:tcW w:w="1838" w:type="dxa"/>
            <w:shd w:val="clear" w:color="auto" w:fill="auto"/>
          </w:tcPr>
          <w:p w14:paraId="2952F6D5" w14:textId="77777777" w:rsidR="00CC2D09" w:rsidRPr="008751D6" w:rsidRDefault="00CC2D09" w:rsidP="009E2113">
            <w:pPr>
              <w:pStyle w:val="Text"/>
              <w:ind w:left="0"/>
              <w:rPr>
                <w:i/>
                <w:sz w:val="22"/>
                <w:szCs w:val="22"/>
                <w:lang w:val="sr-Latn-RS"/>
              </w:rPr>
            </w:pPr>
            <w:r w:rsidRPr="008751D6">
              <w:rPr>
                <w:i/>
                <w:iCs/>
                <w:sz w:val="22"/>
                <w:szCs w:val="22"/>
                <w:lang w:val="sr-Latn-RS"/>
              </w:rPr>
              <w:t>Opšti poremećaji i reakcije na mjestu primjene</w:t>
            </w:r>
          </w:p>
        </w:tc>
        <w:tc>
          <w:tcPr>
            <w:tcW w:w="1985" w:type="dxa"/>
            <w:shd w:val="clear" w:color="auto" w:fill="auto"/>
          </w:tcPr>
          <w:p w14:paraId="6ED41042" w14:textId="77777777" w:rsidR="00CC2D09" w:rsidRPr="008751D6" w:rsidRDefault="00CC2D09">
            <w:pPr>
              <w:pStyle w:val="Text"/>
              <w:ind w:left="0"/>
              <w:rPr>
                <w:sz w:val="22"/>
                <w:szCs w:val="22"/>
                <w:lang w:val="sr-Latn-RS"/>
              </w:rPr>
            </w:pPr>
          </w:p>
        </w:tc>
        <w:tc>
          <w:tcPr>
            <w:tcW w:w="2409" w:type="dxa"/>
            <w:shd w:val="clear" w:color="auto" w:fill="auto"/>
          </w:tcPr>
          <w:p w14:paraId="5880ADBC" w14:textId="77777777" w:rsidR="00CC2D09" w:rsidRPr="008751D6" w:rsidRDefault="00CC2D09">
            <w:pPr>
              <w:pStyle w:val="Text"/>
              <w:ind w:left="0"/>
              <w:rPr>
                <w:sz w:val="22"/>
                <w:szCs w:val="22"/>
                <w:lang w:val="sr-Latn-RS"/>
              </w:rPr>
            </w:pPr>
            <w:r w:rsidRPr="008751D6">
              <w:rPr>
                <w:iCs/>
                <w:sz w:val="22"/>
                <w:szCs w:val="22"/>
                <w:lang w:val="sr-Latn-RS"/>
              </w:rPr>
              <w:t>astenija, zamor, reakcije na mjestu primjene injekcije (bol, masa, induracija, čvorići, pruritus)</w:t>
            </w:r>
          </w:p>
        </w:tc>
        <w:tc>
          <w:tcPr>
            <w:tcW w:w="1985" w:type="dxa"/>
            <w:shd w:val="clear" w:color="auto" w:fill="auto"/>
          </w:tcPr>
          <w:p w14:paraId="5B95E594" w14:textId="77777777" w:rsidR="00CC2D09" w:rsidRPr="008751D6" w:rsidRDefault="00CC2D09">
            <w:pPr>
              <w:pStyle w:val="Text"/>
              <w:ind w:left="0"/>
              <w:rPr>
                <w:sz w:val="22"/>
                <w:szCs w:val="22"/>
                <w:lang w:val="sr-Latn-RS"/>
              </w:rPr>
            </w:pPr>
          </w:p>
        </w:tc>
        <w:tc>
          <w:tcPr>
            <w:tcW w:w="1984" w:type="dxa"/>
          </w:tcPr>
          <w:p w14:paraId="20954844" w14:textId="63859DCB" w:rsidR="00CC2D09" w:rsidRPr="008751D6" w:rsidRDefault="001D1C7E">
            <w:pPr>
              <w:pStyle w:val="Text"/>
              <w:ind w:left="0"/>
              <w:rPr>
                <w:sz w:val="22"/>
                <w:szCs w:val="22"/>
                <w:lang w:val="sr-Latn-RS"/>
              </w:rPr>
            </w:pPr>
            <w:r w:rsidRPr="008751D6">
              <w:rPr>
                <w:sz w:val="22"/>
                <w:szCs w:val="22"/>
                <w:lang w:val="sr-Latn-RS"/>
              </w:rPr>
              <w:t>a</w:t>
            </w:r>
            <w:r w:rsidR="000C2C06" w:rsidRPr="008751D6">
              <w:rPr>
                <w:sz w:val="22"/>
                <w:szCs w:val="22"/>
                <w:lang w:val="sr-Latn-RS"/>
              </w:rPr>
              <w:t>p</w:t>
            </w:r>
            <w:r w:rsidRPr="008751D6">
              <w:rPr>
                <w:sz w:val="22"/>
                <w:szCs w:val="22"/>
                <w:lang w:val="sr-Latn-RS"/>
              </w:rPr>
              <w:t>sces na mjes</w:t>
            </w:r>
            <w:r w:rsidR="00120BB7" w:rsidRPr="008751D6">
              <w:rPr>
                <w:sz w:val="22"/>
                <w:szCs w:val="22"/>
                <w:lang w:val="sr-Latn-RS"/>
              </w:rPr>
              <w:t>t</w:t>
            </w:r>
            <w:r w:rsidRPr="008751D6">
              <w:rPr>
                <w:sz w:val="22"/>
                <w:szCs w:val="22"/>
                <w:lang w:val="sr-Latn-RS"/>
              </w:rPr>
              <w:t>u ubrizgavanja</w:t>
            </w:r>
          </w:p>
        </w:tc>
      </w:tr>
      <w:tr w:rsidR="00262A08" w:rsidRPr="008751D6" w14:paraId="5CF1FB42" w14:textId="77777777" w:rsidTr="00162A59">
        <w:tc>
          <w:tcPr>
            <w:tcW w:w="1838" w:type="dxa"/>
            <w:shd w:val="clear" w:color="auto" w:fill="auto"/>
          </w:tcPr>
          <w:p w14:paraId="5FE9E0B8" w14:textId="77777777" w:rsidR="00262A08" w:rsidRPr="008751D6" w:rsidRDefault="00262A08" w:rsidP="009E2113">
            <w:pPr>
              <w:pStyle w:val="Header"/>
              <w:tabs>
                <w:tab w:val="left" w:pos="284"/>
              </w:tabs>
              <w:jc w:val="both"/>
              <w:rPr>
                <w:i/>
                <w:iCs/>
                <w:sz w:val="22"/>
                <w:szCs w:val="22"/>
                <w:lang w:val="sr-Latn-RS"/>
              </w:rPr>
            </w:pPr>
            <w:r w:rsidRPr="008751D6">
              <w:rPr>
                <w:i/>
                <w:iCs/>
                <w:sz w:val="22"/>
                <w:szCs w:val="22"/>
                <w:lang w:val="sr-Latn-RS"/>
              </w:rPr>
              <w:t>Laboratorijska ispitivanja</w:t>
            </w:r>
          </w:p>
          <w:p w14:paraId="2A5EE902" w14:textId="77777777" w:rsidR="00262A08" w:rsidRPr="008751D6" w:rsidRDefault="00262A08">
            <w:pPr>
              <w:pStyle w:val="Text"/>
              <w:ind w:left="0"/>
              <w:rPr>
                <w:i/>
                <w:sz w:val="22"/>
                <w:szCs w:val="22"/>
                <w:lang w:val="sr-Latn-RS"/>
              </w:rPr>
            </w:pPr>
          </w:p>
        </w:tc>
        <w:tc>
          <w:tcPr>
            <w:tcW w:w="1985" w:type="dxa"/>
            <w:shd w:val="clear" w:color="auto" w:fill="auto"/>
          </w:tcPr>
          <w:p w14:paraId="161DB65D" w14:textId="77777777" w:rsidR="00262A08" w:rsidRPr="008751D6" w:rsidRDefault="00262A08">
            <w:pPr>
              <w:pStyle w:val="Text"/>
              <w:ind w:left="0"/>
              <w:rPr>
                <w:sz w:val="22"/>
                <w:szCs w:val="22"/>
                <w:lang w:val="sr-Latn-RS"/>
              </w:rPr>
            </w:pPr>
          </w:p>
        </w:tc>
        <w:tc>
          <w:tcPr>
            <w:tcW w:w="2409" w:type="dxa"/>
            <w:shd w:val="clear" w:color="auto" w:fill="auto"/>
          </w:tcPr>
          <w:p w14:paraId="0CE9CFF3" w14:textId="46F68F5C" w:rsidR="00262A08" w:rsidRPr="008751D6" w:rsidRDefault="00262A08">
            <w:pPr>
              <w:pStyle w:val="Text"/>
              <w:ind w:left="0"/>
              <w:rPr>
                <w:sz w:val="22"/>
                <w:szCs w:val="22"/>
                <w:lang w:val="sr-Latn-RS"/>
              </w:rPr>
            </w:pPr>
            <w:r w:rsidRPr="008751D6">
              <w:rPr>
                <w:iCs/>
                <w:sz w:val="22"/>
                <w:szCs w:val="22"/>
                <w:lang w:val="sr-Latn-RS"/>
              </w:rPr>
              <w:t>povećane vr</w:t>
            </w:r>
            <w:r w:rsidR="000D5705" w:rsidRPr="008751D6">
              <w:rPr>
                <w:iCs/>
                <w:sz w:val="22"/>
                <w:szCs w:val="22"/>
                <w:lang w:val="sr-Latn-RS"/>
              </w:rPr>
              <w:t>ij</w:t>
            </w:r>
            <w:r w:rsidRPr="008751D6">
              <w:rPr>
                <w:iCs/>
                <w:sz w:val="22"/>
                <w:szCs w:val="22"/>
                <w:lang w:val="sr-Latn-RS"/>
              </w:rPr>
              <w:t>ednosti ALT</w:t>
            </w:r>
            <w:r w:rsidRPr="008751D6">
              <w:rPr>
                <w:noProof/>
                <w:sz w:val="22"/>
                <w:szCs w:val="22"/>
                <w:lang w:val="sr-Latn-RS"/>
              </w:rPr>
              <w:t>*</w:t>
            </w:r>
            <w:r w:rsidRPr="008751D6">
              <w:rPr>
                <w:iCs/>
                <w:sz w:val="22"/>
                <w:szCs w:val="22"/>
                <w:lang w:val="sr-Latn-RS"/>
              </w:rPr>
              <w:t>, odstupanje od normalnih vr</w:t>
            </w:r>
            <w:r w:rsidR="000D5705" w:rsidRPr="008751D6">
              <w:rPr>
                <w:iCs/>
                <w:sz w:val="22"/>
                <w:szCs w:val="22"/>
                <w:lang w:val="sr-Latn-RS"/>
              </w:rPr>
              <w:t>ij</w:t>
            </w:r>
            <w:r w:rsidRPr="008751D6">
              <w:rPr>
                <w:iCs/>
                <w:sz w:val="22"/>
                <w:szCs w:val="22"/>
                <w:lang w:val="sr-Latn-RS"/>
              </w:rPr>
              <w:t>ednosti AST</w:t>
            </w:r>
            <w:r w:rsidRPr="008751D6">
              <w:rPr>
                <w:noProof/>
                <w:sz w:val="22"/>
                <w:szCs w:val="22"/>
                <w:lang w:val="sr-Latn-RS"/>
              </w:rPr>
              <w:t>*</w:t>
            </w:r>
            <w:r w:rsidRPr="008751D6">
              <w:rPr>
                <w:iCs/>
                <w:sz w:val="22"/>
                <w:szCs w:val="22"/>
                <w:lang w:val="sr-Latn-RS"/>
              </w:rPr>
              <w:t>, odstupanje od normalnih vr</w:t>
            </w:r>
            <w:r w:rsidR="000D5705" w:rsidRPr="008751D6">
              <w:rPr>
                <w:iCs/>
                <w:sz w:val="22"/>
                <w:szCs w:val="22"/>
                <w:lang w:val="sr-Latn-RS"/>
              </w:rPr>
              <w:t>ij</w:t>
            </w:r>
            <w:r w:rsidRPr="008751D6">
              <w:rPr>
                <w:iCs/>
                <w:sz w:val="22"/>
                <w:szCs w:val="22"/>
                <w:lang w:val="sr-Latn-RS"/>
              </w:rPr>
              <w:t>ednosti ALT</w:t>
            </w:r>
            <w:r w:rsidRPr="008751D6">
              <w:rPr>
                <w:noProof/>
                <w:sz w:val="22"/>
                <w:szCs w:val="22"/>
                <w:lang w:val="sr-Latn-RS"/>
              </w:rPr>
              <w:t>*</w:t>
            </w:r>
            <w:r w:rsidRPr="008751D6">
              <w:rPr>
                <w:iCs/>
                <w:sz w:val="22"/>
                <w:szCs w:val="22"/>
                <w:lang w:val="sr-Latn-RS"/>
              </w:rPr>
              <w:t>, povećane vr</w:t>
            </w:r>
            <w:r w:rsidR="000D5705" w:rsidRPr="008751D6">
              <w:rPr>
                <w:iCs/>
                <w:sz w:val="22"/>
                <w:szCs w:val="22"/>
                <w:lang w:val="sr-Latn-RS"/>
              </w:rPr>
              <w:t>ij</w:t>
            </w:r>
            <w:r w:rsidRPr="008751D6">
              <w:rPr>
                <w:iCs/>
                <w:sz w:val="22"/>
                <w:szCs w:val="22"/>
                <w:lang w:val="sr-Latn-RS"/>
              </w:rPr>
              <w:t>ednosti  bilirubina</w:t>
            </w:r>
            <w:r w:rsidRPr="008751D6">
              <w:rPr>
                <w:noProof/>
                <w:sz w:val="22"/>
                <w:szCs w:val="22"/>
                <w:lang w:val="sr-Latn-RS"/>
              </w:rPr>
              <w:t>*</w:t>
            </w:r>
            <w:r w:rsidRPr="008751D6">
              <w:rPr>
                <w:iCs/>
                <w:sz w:val="22"/>
                <w:szCs w:val="22"/>
                <w:lang w:val="sr-Latn-RS"/>
              </w:rPr>
              <w:t>, povećane vr</w:t>
            </w:r>
            <w:r w:rsidR="000D5705" w:rsidRPr="008751D6">
              <w:rPr>
                <w:iCs/>
                <w:sz w:val="22"/>
                <w:szCs w:val="22"/>
                <w:lang w:val="sr-Latn-RS"/>
              </w:rPr>
              <w:t>ij</w:t>
            </w:r>
            <w:r w:rsidRPr="008751D6">
              <w:rPr>
                <w:iCs/>
                <w:sz w:val="22"/>
                <w:szCs w:val="22"/>
                <w:lang w:val="sr-Latn-RS"/>
              </w:rPr>
              <w:t>ednosti glukoze u krvi</w:t>
            </w:r>
            <w:r w:rsidRPr="008751D6">
              <w:rPr>
                <w:noProof/>
                <w:sz w:val="22"/>
                <w:szCs w:val="22"/>
                <w:lang w:val="sr-Latn-RS"/>
              </w:rPr>
              <w:t>*</w:t>
            </w:r>
            <w:r w:rsidRPr="008751D6">
              <w:rPr>
                <w:iCs/>
                <w:sz w:val="22"/>
                <w:szCs w:val="22"/>
                <w:lang w:val="sr-Latn-RS"/>
              </w:rPr>
              <w:t>, povećane vr</w:t>
            </w:r>
            <w:r w:rsidR="000D5705" w:rsidRPr="008751D6">
              <w:rPr>
                <w:iCs/>
                <w:sz w:val="22"/>
                <w:szCs w:val="22"/>
                <w:lang w:val="sr-Latn-RS"/>
              </w:rPr>
              <w:t>ij</w:t>
            </w:r>
            <w:r w:rsidRPr="008751D6">
              <w:rPr>
                <w:iCs/>
                <w:sz w:val="22"/>
                <w:szCs w:val="22"/>
                <w:lang w:val="sr-Latn-RS"/>
              </w:rPr>
              <w:t>ednosti glikoziliranog hemoglobina</w:t>
            </w:r>
            <w:r w:rsidRPr="008751D6">
              <w:rPr>
                <w:noProof/>
                <w:sz w:val="22"/>
                <w:szCs w:val="22"/>
                <w:lang w:val="sr-Latn-RS"/>
              </w:rPr>
              <w:t>*</w:t>
            </w:r>
            <w:r w:rsidRPr="008751D6">
              <w:rPr>
                <w:iCs/>
                <w:sz w:val="22"/>
                <w:szCs w:val="22"/>
                <w:lang w:val="sr-Latn-RS"/>
              </w:rPr>
              <w:t>,  smanjena t</w:t>
            </w:r>
            <w:r w:rsidR="000D5705" w:rsidRPr="008751D6">
              <w:rPr>
                <w:iCs/>
                <w:sz w:val="22"/>
                <w:szCs w:val="22"/>
                <w:lang w:val="sr-Latn-RS"/>
              </w:rPr>
              <w:t>j</w:t>
            </w:r>
            <w:r w:rsidRPr="008751D6">
              <w:rPr>
                <w:iCs/>
                <w:sz w:val="22"/>
                <w:szCs w:val="22"/>
                <w:lang w:val="sr-Latn-RS"/>
              </w:rPr>
              <w:t>elesna masa</w:t>
            </w:r>
            <w:r w:rsidRPr="008751D6">
              <w:rPr>
                <w:noProof/>
                <w:sz w:val="22"/>
                <w:szCs w:val="22"/>
                <w:lang w:val="sr-Latn-RS"/>
              </w:rPr>
              <w:t>, smanjene vr</w:t>
            </w:r>
            <w:r w:rsidR="000D5705" w:rsidRPr="008751D6">
              <w:rPr>
                <w:noProof/>
                <w:sz w:val="22"/>
                <w:szCs w:val="22"/>
                <w:lang w:val="sr-Latn-RS"/>
              </w:rPr>
              <w:t>ij</w:t>
            </w:r>
            <w:r w:rsidRPr="008751D6">
              <w:rPr>
                <w:noProof/>
                <w:sz w:val="22"/>
                <w:szCs w:val="22"/>
                <w:lang w:val="sr-Latn-RS"/>
              </w:rPr>
              <w:t>ednosti enzima pankreasa**</w:t>
            </w:r>
          </w:p>
        </w:tc>
        <w:tc>
          <w:tcPr>
            <w:tcW w:w="1985" w:type="dxa"/>
            <w:shd w:val="clear" w:color="auto" w:fill="auto"/>
          </w:tcPr>
          <w:p w14:paraId="00DB5FAB" w14:textId="7BE6A265" w:rsidR="00262A08" w:rsidRPr="008751D6" w:rsidRDefault="00262A08" w:rsidP="008319CC">
            <w:pPr>
              <w:suppressAutoHyphens/>
              <w:overflowPunct w:val="0"/>
              <w:autoSpaceDE w:val="0"/>
              <w:autoSpaceDN w:val="0"/>
              <w:adjustRightInd w:val="0"/>
              <w:spacing w:before="60" w:after="60"/>
              <w:jc w:val="both"/>
              <w:textAlignment w:val="baseline"/>
              <w:rPr>
                <w:iCs/>
                <w:sz w:val="22"/>
                <w:szCs w:val="22"/>
                <w:lang w:val="sr-Latn-RS" w:eastAsia="fr-FR"/>
              </w:rPr>
            </w:pPr>
            <w:r w:rsidRPr="008751D6">
              <w:rPr>
                <w:iCs/>
                <w:sz w:val="22"/>
                <w:szCs w:val="22"/>
                <w:lang w:val="sr-Latn-RS" w:eastAsia="fr-FR"/>
              </w:rPr>
              <w:t>povećane vr</w:t>
            </w:r>
            <w:r w:rsidR="000D5705" w:rsidRPr="008751D6">
              <w:rPr>
                <w:iCs/>
                <w:sz w:val="22"/>
                <w:szCs w:val="22"/>
                <w:lang w:val="sr-Latn-RS" w:eastAsia="fr-FR"/>
              </w:rPr>
              <w:t>ij</w:t>
            </w:r>
            <w:r w:rsidRPr="008751D6">
              <w:rPr>
                <w:iCs/>
                <w:sz w:val="22"/>
                <w:szCs w:val="22"/>
                <w:lang w:val="sr-Latn-RS" w:eastAsia="fr-FR"/>
              </w:rPr>
              <w:t>ednosti  AST</w:t>
            </w:r>
            <w:r w:rsidRPr="008751D6">
              <w:rPr>
                <w:noProof/>
                <w:sz w:val="22"/>
                <w:szCs w:val="22"/>
                <w:lang w:val="sr-Latn-RS" w:eastAsia="fr-FR"/>
              </w:rPr>
              <w:t>*</w:t>
            </w:r>
            <w:r w:rsidRPr="008751D6">
              <w:rPr>
                <w:iCs/>
                <w:sz w:val="22"/>
                <w:szCs w:val="22"/>
                <w:lang w:val="sr-Latn-RS" w:eastAsia="fr-FR"/>
              </w:rPr>
              <w:t>, povećane vr</w:t>
            </w:r>
            <w:r w:rsidR="000D5705" w:rsidRPr="008751D6">
              <w:rPr>
                <w:iCs/>
                <w:sz w:val="22"/>
                <w:szCs w:val="22"/>
                <w:lang w:val="sr-Latn-RS" w:eastAsia="fr-FR"/>
              </w:rPr>
              <w:t>ij</w:t>
            </w:r>
            <w:r w:rsidRPr="008751D6">
              <w:rPr>
                <w:iCs/>
                <w:sz w:val="22"/>
                <w:szCs w:val="22"/>
                <w:lang w:val="sr-Latn-RS" w:eastAsia="fr-FR"/>
              </w:rPr>
              <w:t>ednosti alkalne fosfataze</w:t>
            </w:r>
            <w:r w:rsidRPr="008751D6">
              <w:rPr>
                <w:noProof/>
                <w:sz w:val="22"/>
                <w:szCs w:val="22"/>
                <w:lang w:val="sr-Latn-RS" w:eastAsia="fr-FR"/>
              </w:rPr>
              <w:t>*</w:t>
            </w:r>
            <w:r w:rsidRPr="008751D6">
              <w:rPr>
                <w:iCs/>
                <w:sz w:val="22"/>
                <w:szCs w:val="22"/>
                <w:lang w:val="sr-Latn-RS" w:eastAsia="fr-FR"/>
              </w:rPr>
              <w:t>, odstupanje od normalnih vr</w:t>
            </w:r>
            <w:r w:rsidR="000D5705" w:rsidRPr="008751D6">
              <w:rPr>
                <w:iCs/>
                <w:sz w:val="22"/>
                <w:szCs w:val="22"/>
                <w:lang w:val="sr-Latn-RS" w:eastAsia="fr-FR"/>
              </w:rPr>
              <w:t>ij</w:t>
            </w:r>
            <w:r w:rsidRPr="008751D6">
              <w:rPr>
                <w:iCs/>
                <w:sz w:val="22"/>
                <w:szCs w:val="22"/>
                <w:lang w:val="sr-Latn-RS" w:eastAsia="fr-FR"/>
              </w:rPr>
              <w:t>ednosti bilirubina</w:t>
            </w:r>
            <w:r w:rsidRPr="008751D6">
              <w:rPr>
                <w:noProof/>
                <w:sz w:val="22"/>
                <w:szCs w:val="22"/>
                <w:lang w:val="sr-Latn-RS" w:eastAsia="fr-FR"/>
              </w:rPr>
              <w:t>*</w:t>
            </w:r>
            <w:r w:rsidRPr="008751D6">
              <w:rPr>
                <w:iCs/>
                <w:sz w:val="22"/>
                <w:szCs w:val="22"/>
                <w:lang w:val="sr-Latn-RS" w:eastAsia="fr-FR"/>
              </w:rPr>
              <w:t>, smanjene vr</w:t>
            </w:r>
            <w:r w:rsidR="000D5705" w:rsidRPr="008751D6">
              <w:rPr>
                <w:iCs/>
                <w:sz w:val="22"/>
                <w:szCs w:val="22"/>
                <w:lang w:val="sr-Latn-RS" w:eastAsia="fr-FR"/>
              </w:rPr>
              <w:t>ij</w:t>
            </w:r>
            <w:r w:rsidRPr="008751D6">
              <w:rPr>
                <w:iCs/>
                <w:sz w:val="22"/>
                <w:szCs w:val="22"/>
                <w:lang w:val="sr-Latn-RS" w:eastAsia="fr-FR"/>
              </w:rPr>
              <w:t>ednosti natrijuma u</w:t>
            </w:r>
          </w:p>
          <w:p w14:paraId="7AF1D40C" w14:textId="77777777" w:rsidR="00262A08" w:rsidRPr="008751D6" w:rsidRDefault="00262A08" w:rsidP="009E2113">
            <w:pPr>
              <w:pStyle w:val="Text"/>
              <w:ind w:left="0"/>
              <w:rPr>
                <w:sz w:val="22"/>
                <w:szCs w:val="22"/>
                <w:lang w:val="sr-Latn-RS"/>
              </w:rPr>
            </w:pPr>
            <w:r w:rsidRPr="008751D6">
              <w:rPr>
                <w:iCs/>
                <w:sz w:val="22"/>
                <w:szCs w:val="22"/>
                <w:lang w:val="sr-Latn-RS"/>
              </w:rPr>
              <w:t>krvi</w:t>
            </w:r>
            <w:r w:rsidRPr="008751D6">
              <w:rPr>
                <w:noProof/>
                <w:sz w:val="22"/>
                <w:szCs w:val="22"/>
                <w:lang w:val="sr-Latn-RS"/>
              </w:rPr>
              <w:t>*</w:t>
            </w:r>
          </w:p>
        </w:tc>
        <w:tc>
          <w:tcPr>
            <w:tcW w:w="1984" w:type="dxa"/>
          </w:tcPr>
          <w:p w14:paraId="2A60C1A7" w14:textId="77777777" w:rsidR="00262A08" w:rsidRPr="008751D6" w:rsidRDefault="00262A08">
            <w:pPr>
              <w:pStyle w:val="Text"/>
              <w:ind w:left="0"/>
              <w:rPr>
                <w:iCs/>
                <w:sz w:val="22"/>
                <w:szCs w:val="22"/>
                <w:lang w:val="sr-Latn-RS"/>
              </w:rPr>
            </w:pPr>
          </w:p>
        </w:tc>
      </w:tr>
      <w:tr w:rsidR="00262A08" w:rsidRPr="008751D6" w14:paraId="0E044CEC" w14:textId="77777777" w:rsidTr="00162A59">
        <w:tc>
          <w:tcPr>
            <w:tcW w:w="1838" w:type="dxa"/>
            <w:shd w:val="clear" w:color="auto" w:fill="auto"/>
          </w:tcPr>
          <w:p w14:paraId="4A40F9C7" w14:textId="36B9E845" w:rsidR="00262A08" w:rsidRPr="008751D6" w:rsidRDefault="00262A08" w:rsidP="009E2113">
            <w:pPr>
              <w:pStyle w:val="Header"/>
              <w:tabs>
                <w:tab w:val="left" w:pos="284"/>
              </w:tabs>
              <w:jc w:val="both"/>
              <w:rPr>
                <w:i/>
                <w:iCs/>
                <w:sz w:val="22"/>
                <w:szCs w:val="22"/>
                <w:lang w:val="sr-Latn-RS"/>
              </w:rPr>
            </w:pPr>
            <w:r w:rsidRPr="008751D6">
              <w:rPr>
                <w:i/>
                <w:iCs/>
                <w:sz w:val="22"/>
                <w:szCs w:val="22"/>
                <w:lang w:val="sr-Latn-RS"/>
              </w:rPr>
              <w:t>Poremećaji imunog sistema</w:t>
            </w:r>
          </w:p>
        </w:tc>
        <w:tc>
          <w:tcPr>
            <w:tcW w:w="1985" w:type="dxa"/>
            <w:shd w:val="clear" w:color="auto" w:fill="auto"/>
          </w:tcPr>
          <w:p w14:paraId="39BB293A" w14:textId="77777777" w:rsidR="00262A08" w:rsidRPr="008751D6" w:rsidRDefault="00262A08">
            <w:pPr>
              <w:pStyle w:val="Text"/>
              <w:ind w:left="0"/>
              <w:rPr>
                <w:sz w:val="22"/>
                <w:szCs w:val="22"/>
                <w:lang w:val="sr-Latn-RS"/>
              </w:rPr>
            </w:pPr>
          </w:p>
        </w:tc>
        <w:tc>
          <w:tcPr>
            <w:tcW w:w="2409" w:type="dxa"/>
            <w:shd w:val="clear" w:color="auto" w:fill="auto"/>
          </w:tcPr>
          <w:p w14:paraId="5C29590E" w14:textId="77777777" w:rsidR="00262A08" w:rsidRPr="008751D6" w:rsidRDefault="00262A08">
            <w:pPr>
              <w:pStyle w:val="Text"/>
              <w:ind w:left="0"/>
              <w:rPr>
                <w:iCs/>
                <w:sz w:val="22"/>
                <w:szCs w:val="22"/>
                <w:lang w:val="sr-Latn-RS"/>
              </w:rPr>
            </w:pPr>
          </w:p>
        </w:tc>
        <w:tc>
          <w:tcPr>
            <w:tcW w:w="1985" w:type="dxa"/>
            <w:shd w:val="clear" w:color="auto" w:fill="auto"/>
          </w:tcPr>
          <w:p w14:paraId="394A56C3" w14:textId="77777777" w:rsidR="00262A08" w:rsidRPr="008751D6" w:rsidRDefault="00262A08">
            <w:pPr>
              <w:pStyle w:val="Text"/>
              <w:ind w:left="0"/>
              <w:rPr>
                <w:iCs/>
                <w:sz w:val="22"/>
                <w:szCs w:val="22"/>
                <w:lang w:val="sr-Latn-RS"/>
              </w:rPr>
            </w:pPr>
          </w:p>
        </w:tc>
        <w:tc>
          <w:tcPr>
            <w:tcW w:w="1984" w:type="dxa"/>
          </w:tcPr>
          <w:p w14:paraId="73EF4729" w14:textId="59F1050F" w:rsidR="00262A08" w:rsidRPr="008751D6" w:rsidRDefault="00262A08">
            <w:pPr>
              <w:pStyle w:val="Text"/>
              <w:ind w:left="0"/>
              <w:rPr>
                <w:sz w:val="22"/>
                <w:szCs w:val="22"/>
                <w:lang w:val="sr-Latn-RS"/>
              </w:rPr>
            </w:pPr>
            <w:r w:rsidRPr="008751D6">
              <w:rPr>
                <w:sz w:val="22"/>
                <w:szCs w:val="22"/>
                <w:lang w:val="sr-Latn-RS"/>
              </w:rPr>
              <w:t>alergijske reakcije</w:t>
            </w:r>
          </w:p>
          <w:p w14:paraId="3D89E54F" w14:textId="0E5C00C5" w:rsidR="00262A08" w:rsidRPr="008751D6" w:rsidRDefault="00262A08">
            <w:pPr>
              <w:pStyle w:val="Text"/>
              <w:ind w:left="0"/>
              <w:rPr>
                <w:sz w:val="22"/>
                <w:szCs w:val="22"/>
                <w:lang w:val="sr-Latn-RS"/>
              </w:rPr>
            </w:pPr>
            <w:r w:rsidRPr="008751D6">
              <w:rPr>
                <w:sz w:val="22"/>
                <w:szCs w:val="22"/>
                <w:lang w:val="sr-Latn-RS"/>
              </w:rPr>
              <w:t>(uključujući</w:t>
            </w:r>
          </w:p>
          <w:p w14:paraId="6E2ED373" w14:textId="7A9643C1" w:rsidR="00262A08" w:rsidRPr="008751D6" w:rsidRDefault="00262A08">
            <w:pPr>
              <w:pStyle w:val="Text"/>
              <w:ind w:left="0"/>
              <w:rPr>
                <w:sz w:val="22"/>
                <w:szCs w:val="22"/>
                <w:lang w:val="sr-Latn-RS"/>
              </w:rPr>
            </w:pPr>
            <w:r w:rsidRPr="008751D6">
              <w:rPr>
                <w:sz w:val="22"/>
                <w:szCs w:val="22"/>
                <w:lang w:val="sr-Latn-RS"/>
              </w:rPr>
              <w:t>angioedem,</w:t>
            </w:r>
          </w:p>
          <w:p w14:paraId="1572D51F" w14:textId="71B23A2C" w:rsidR="00262A08" w:rsidRPr="008751D6" w:rsidRDefault="00262A08">
            <w:pPr>
              <w:pStyle w:val="Text"/>
              <w:ind w:left="0"/>
              <w:rPr>
                <w:sz w:val="22"/>
                <w:szCs w:val="22"/>
                <w:lang w:val="sr-Latn-RS"/>
              </w:rPr>
            </w:pPr>
            <w:r w:rsidRPr="008751D6">
              <w:rPr>
                <w:sz w:val="22"/>
                <w:szCs w:val="22"/>
                <w:lang w:val="sr-Latn-RS"/>
              </w:rPr>
              <w:t>anafilaksu,</w:t>
            </w:r>
          </w:p>
          <w:p w14:paraId="7166C0EE" w14:textId="77777777" w:rsidR="00262A08" w:rsidRPr="008751D6" w:rsidRDefault="00262A08">
            <w:pPr>
              <w:pStyle w:val="Text"/>
              <w:ind w:left="0"/>
              <w:rPr>
                <w:iCs/>
                <w:sz w:val="22"/>
                <w:szCs w:val="22"/>
                <w:lang w:val="sr-Latn-RS"/>
              </w:rPr>
            </w:pPr>
            <w:r w:rsidRPr="008751D6">
              <w:rPr>
                <w:sz w:val="22"/>
                <w:szCs w:val="22"/>
                <w:lang w:val="sr-Latn-RS"/>
              </w:rPr>
              <w:t>preosjetljivost)</w:t>
            </w:r>
          </w:p>
        </w:tc>
      </w:tr>
    </w:tbl>
    <w:p w14:paraId="5607A0EC" w14:textId="77777777" w:rsidR="00CC2D09" w:rsidRPr="008751D6" w:rsidRDefault="00CC2D09" w:rsidP="009E2113">
      <w:pPr>
        <w:pStyle w:val="Header"/>
        <w:tabs>
          <w:tab w:val="left" w:pos="284"/>
        </w:tabs>
        <w:jc w:val="both"/>
        <w:rPr>
          <w:noProof/>
          <w:sz w:val="22"/>
          <w:szCs w:val="22"/>
          <w:lang w:val="sr-Latn-RS"/>
        </w:rPr>
      </w:pPr>
      <w:r w:rsidRPr="008751D6">
        <w:rPr>
          <w:noProof/>
          <w:sz w:val="22"/>
          <w:szCs w:val="22"/>
          <w:lang w:val="sr-Latn-RS"/>
        </w:rPr>
        <w:t>* na osnovu studija kod pacijenata sa akromegalijom</w:t>
      </w:r>
    </w:p>
    <w:p w14:paraId="7DB5577F" w14:textId="77777777" w:rsidR="00CC2D09" w:rsidRPr="008751D6" w:rsidRDefault="00CC2D09">
      <w:pPr>
        <w:pStyle w:val="Header"/>
        <w:tabs>
          <w:tab w:val="left" w:pos="284"/>
        </w:tabs>
        <w:jc w:val="both"/>
        <w:rPr>
          <w:sz w:val="22"/>
          <w:szCs w:val="22"/>
          <w:lang w:val="sr-Latn-RS"/>
        </w:rPr>
      </w:pPr>
      <w:r w:rsidRPr="008751D6">
        <w:rPr>
          <w:noProof/>
          <w:sz w:val="22"/>
          <w:szCs w:val="22"/>
          <w:lang w:val="sr-Latn-RS"/>
        </w:rPr>
        <w:t>** na osnovu studija kod pacijenata sa GEP-NET</w:t>
      </w:r>
    </w:p>
    <w:p w14:paraId="30EA9434" w14:textId="77777777" w:rsidR="00CC2D09" w:rsidRPr="008751D6" w:rsidRDefault="00CC2D09">
      <w:pPr>
        <w:spacing w:after="200"/>
        <w:jc w:val="both"/>
        <w:rPr>
          <w:rFonts w:eastAsia="Calibri"/>
          <w:sz w:val="22"/>
          <w:szCs w:val="22"/>
          <w:u w:val="single"/>
          <w:lang w:val="sr-Latn-RS"/>
        </w:rPr>
      </w:pPr>
    </w:p>
    <w:p w14:paraId="0E06B6EB" w14:textId="77777777" w:rsidR="00B877D7" w:rsidRPr="008751D6" w:rsidRDefault="00B877D7" w:rsidP="008319CC">
      <w:pPr>
        <w:spacing w:after="200" w:line="276" w:lineRule="auto"/>
        <w:jc w:val="both"/>
        <w:rPr>
          <w:rFonts w:eastAsia="Calibri"/>
          <w:sz w:val="22"/>
          <w:szCs w:val="22"/>
          <w:u w:val="single"/>
          <w:lang w:val="sr-Latn-RS"/>
        </w:rPr>
      </w:pPr>
      <w:r w:rsidRPr="008751D6">
        <w:rPr>
          <w:rFonts w:eastAsia="Calibri"/>
          <w:sz w:val="22"/>
          <w:szCs w:val="22"/>
          <w:u w:val="single"/>
          <w:lang w:val="sr-Latn-RS"/>
        </w:rPr>
        <w:t>Prijavljivanje sumnji na neželjena dejstva</w:t>
      </w:r>
    </w:p>
    <w:p w14:paraId="32A420AD" w14:textId="77777777" w:rsidR="00B877D7" w:rsidRPr="008751D6" w:rsidRDefault="00B877D7" w:rsidP="009E2113">
      <w:pPr>
        <w:spacing w:after="200"/>
        <w:jc w:val="both"/>
        <w:rPr>
          <w:rFonts w:eastAsia="Calibri"/>
          <w:sz w:val="22"/>
          <w:szCs w:val="22"/>
          <w:lang w:val="sr-Latn-RS"/>
        </w:rPr>
      </w:pPr>
      <w:r w:rsidRPr="008751D6">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D865560" w14:textId="77777777" w:rsidR="00B877D7" w:rsidRPr="008751D6" w:rsidRDefault="00B877D7">
      <w:pPr>
        <w:pStyle w:val="NoSpacing"/>
        <w:jc w:val="both"/>
        <w:rPr>
          <w:rFonts w:eastAsia="Calibri"/>
          <w:sz w:val="22"/>
          <w:szCs w:val="22"/>
          <w:lang w:val="sr-Latn-RS"/>
        </w:rPr>
      </w:pPr>
      <w:r w:rsidRPr="008751D6">
        <w:rPr>
          <w:rFonts w:eastAsia="Calibri"/>
          <w:sz w:val="22"/>
          <w:szCs w:val="22"/>
          <w:lang w:val="sr-Latn-RS"/>
        </w:rPr>
        <w:t xml:space="preserve">Institut za ljekove i medicinska sredstva </w:t>
      </w:r>
    </w:p>
    <w:p w14:paraId="05863D7D" w14:textId="77777777" w:rsidR="00B877D7" w:rsidRPr="008751D6" w:rsidRDefault="00B877D7">
      <w:pPr>
        <w:pStyle w:val="NoSpacing"/>
        <w:jc w:val="both"/>
        <w:rPr>
          <w:rFonts w:eastAsia="Calibri"/>
          <w:sz w:val="22"/>
          <w:szCs w:val="22"/>
          <w:lang w:val="sr-Latn-RS"/>
        </w:rPr>
      </w:pPr>
      <w:r w:rsidRPr="008751D6">
        <w:rPr>
          <w:rFonts w:eastAsia="Calibri"/>
          <w:sz w:val="22"/>
          <w:szCs w:val="22"/>
          <w:lang w:val="sr-Latn-RS"/>
        </w:rPr>
        <w:t>Odjeljenje za farmakovigilancu</w:t>
      </w:r>
    </w:p>
    <w:p w14:paraId="09F19052" w14:textId="77777777" w:rsidR="00B877D7" w:rsidRPr="008751D6" w:rsidRDefault="00B877D7">
      <w:pPr>
        <w:pStyle w:val="NoSpacing"/>
        <w:jc w:val="both"/>
        <w:rPr>
          <w:rFonts w:eastAsia="Calibri"/>
          <w:sz w:val="22"/>
          <w:szCs w:val="22"/>
          <w:lang w:val="sr-Latn-RS"/>
        </w:rPr>
      </w:pPr>
      <w:r w:rsidRPr="008751D6">
        <w:rPr>
          <w:rFonts w:eastAsia="Calibri"/>
          <w:sz w:val="22"/>
          <w:szCs w:val="22"/>
          <w:lang w:val="sr-Latn-RS"/>
        </w:rPr>
        <w:t>Bulevar Ivana Crnojevića 64a, 81000 Podgorica</w:t>
      </w:r>
    </w:p>
    <w:p w14:paraId="133A5E34" w14:textId="77777777" w:rsidR="00B877D7" w:rsidRPr="008751D6" w:rsidRDefault="00B877D7" w:rsidP="008319CC">
      <w:pPr>
        <w:pStyle w:val="NoSpacing"/>
        <w:jc w:val="both"/>
        <w:rPr>
          <w:rFonts w:eastAsia="Calibri"/>
          <w:sz w:val="22"/>
          <w:szCs w:val="22"/>
          <w:lang w:val="sr-Latn-RS"/>
        </w:rPr>
      </w:pPr>
    </w:p>
    <w:p w14:paraId="413C9E26" w14:textId="77777777" w:rsidR="00B877D7" w:rsidRPr="008751D6" w:rsidRDefault="00B877D7" w:rsidP="009E2113">
      <w:pPr>
        <w:pStyle w:val="NoSpacing"/>
        <w:jc w:val="both"/>
        <w:rPr>
          <w:rFonts w:eastAsia="Calibri"/>
          <w:sz w:val="22"/>
          <w:szCs w:val="22"/>
          <w:lang w:val="sr-Latn-RS"/>
        </w:rPr>
      </w:pPr>
      <w:r w:rsidRPr="008751D6">
        <w:rPr>
          <w:rFonts w:eastAsia="Calibri"/>
          <w:sz w:val="22"/>
          <w:szCs w:val="22"/>
          <w:lang w:val="sr-Latn-RS"/>
        </w:rPr>
        <w:t>tel: +382 (0) 20 310 280</w:t>
      </w:r>
    </w:p>
    <w:p w14:paraId="4D8BE68E" w14:textId="77777777" w:rsidR="00B877D7" w:rsidRPr="008751D6" w:rsidRDefault="00B877D7">
      <w:pPr>
        <w:pStyle w:val="NoSpacing"/>
        <w:jc w:val="both"/>
        <w:rPr>
          <w:rFonts w:eastAsia="Calibri"/>
          <w:sz w:val="22"/>
          <w:szCs w:val="22"/>
          <w:lang w:val="sr-Latn-RS"/>
        </w:rPr>
      </w:pPr>
      <w:r w:rsidRPr="008751D6">
        <w:rPr>
          <w:rFonts w:eastAsia="Calibri"/>
          <w:sz w:val="22"/>
          <w:szCs w:val="22"/>
          <w:lang w:val="sr-Latn-RS"/>
        </w:rPr>
        <w:t>fax: +382 (0) 20 310 581</w:t>
      </w:r>
    </w:p>
    <w:p w14:paraId="0B18ABC2" w14:textId="77777777" w:rsidR="00B877D7" w:rsidRPr="008751D6" w:rsidRDefault="00F34821">
      <w:pPr>
        <w:pStyle w:val="NoSpacing"/>
        <w:jc w:val="both"/>
        <w:rPr>
          <w:rFonts w:eastAsia="Calibri"/>
          <w:sz w:val="22"/>
          <w:szCs w:val="22"/>
          <w:lang w:val="sr-Latn-RS"/>
        </w:rPr>
      </w:pPr>
      <w:hyperlink r:id="rId8" w:history="1">
        <w:r w:rsidR="00B877D7" w:rsidRPr="008751D6">
          <w:rPr>
            <w:rStyle w:val="Hyperlink"/>
            <w:rFonts w:eastAsia="Calibri"/>
            <w:sz w:val="22"/>
            <w:szCs w:val="22"/>
            <w:lang w:val="sr-Latn-RS"/>
          </w:rPr>
          <w:t>www.cinmed.me</w:t>
        </w:r>
      </w:hyperlink>
    </w:p>
    <w:p w14:paraId="4C81E09B" w14:textId="77777777" w:rsidR="00B877D7" w:rsidRPr="008751D6" w:rsidRDefault="00F34821">
      <w:pPr>
        <w:pStyle w:val="NoSpacing"/>
        <w:jc w:val="both"/>
        <w:rPr>
          <w:rFonts w:eastAsia="Calibri"/>
          <w:color w:val="0000FF"/>
          <w:sz w:val="22"/>
          <w:szCs w:val="22"/>
          <w:u w:val="single"/>
          <w:lang w:val="sr-Latn-RS"/>
        </w:rPr>
      </w:pPr>
      <w:hyperlink r:id="rId9" w:history="1">
        <w:r w:rsidR="00B877D7" w:rsidRPr="008751D6">
          <w:rPr>
            <w:rStyle w:val="Hyperlink"/>
            <w:rFonts w:eastAsia="Calibri"/>
            <w:sz w:val="22"/>
            <w:szCs w:val="22"/>
            <w:lang w:val="sr-Latn-RS"/>
          </w:rPr>
          <w:t>nezeljenadejstva@cinmed.me</w:t>
        </w:r>
      </w:hyperlink>
    </w:p>
    <w:p w14:paraId="2D927DD1" w14:textId="77777777" w:rsidR="00B877D7" w:rsidRPr="008751D6" w:rsidRDefault="00B877D7">
      <w:pPr>
        <w:pStyle w:val="NoSpacing"/>
        <w:jc w:val="both"/>
        <w:rPr>
          <w:rFonts w:eastAsia="Calibri"/>
          <w:sz w:val="22"/>
          <w:szCs w:val="22"/>
          <w:lang w:val="sr-Latn-RS"/>
        </w:rPr>
      </w:pPr>
      <w:r w:rsidRPr="008751D6">
        <w:rPr>
          <w:rFonts w:eastAsia="Calibri"/>
          <w:sz w:val="22"/>
          <w:szCs w:val="22"/>
          <w:lang w:val="sr-Latn-RS"/>
        </w:rPr>
        <w:t>putem IS zdravstvene zaštite</w:t>
      </w:r>
    </w:p>
    <w:p w14:paraId="38495A01" w14:textId="77777777" w:rsidR="000E29E0" w:rsidRPr="008751D6" w:rsidRDefault="000E29E0">
      <w:pPr>
        <w:pStyle w:val="NoSpacing"/>
        <w:jc w:val="both"/>
        <w:rPr>
          <w:rFonts w:eastAsia="Calibri"/>
          <w:sz w:val="22"/>
          <w:szCs w:val="22"/>
          <w:lang w:val="sr-Latn-RS"/>
        </w:rPr>
      </w:pPr>
      <w:r w:rsidRPr="008751D6">
        <w:rPr>
          <w:rFonts w:eastAsia="Calibri"/>
          <w:sz w:val="22"/>
          <w:szCs w:val="22"/>
          <w:lang w:val="sr-Latn-RS"/>
        </w:rPr>
        <w:t>QR kod za online prijavu sumnje na neželjeno dejstvo lijeka:</w:t>
      </w:r>
    </w:p>
    <w:p w14:paraId="710EA5D6" w14:textId="77777777" w:rsidR="000E29E0" w:rsidRPr="008751D6" w:rsidRDefault="000E29E0">
      <w:pPr>
        <w:pStyle w:val="NoSpacing"/>
        <w:jc w:val="both"/>
        <w:rPr>
          <w:rFonts w:eastAsia="Calibri"/>
          <w:sz w:val="22"/>
          <w:szCs w:val="22"/>
          <w:lang w:val="sr-Latn-RS"/>
        </w:rPr>
      </w:pPr>
    </w:p>
    <w:p w14:paraId="59FCFBE6" w14:textId="77777777" w:rsidR="000E29E0" w:rsidRPr="008751D6" w:rsidRDefault="000E29E0" w:rsidP="008319CC">
      <w:pPr>
        <w:pStyle w:val="NoSpacing"/>
        <w:jc w:val="both"/>
        <w:rPr>
          <w:rFonts w:eastAsia="Calibri"/>
          <w:sz w:val="22"/>
          <w:szCs w:val="22"/>
          <w:lang w:val="sr-Latn-RS"/>
        </w:rPr>
      </w:pPr>
      <w:r w:rsidRPr="008751D6">
        <w:rPr>
          <w:noProof/>
          <w:sz w:val="22"/>
          <w:szCs w:val="22"/>
        </w:rPr>
        <w:lastRenderedPageBreak/>
        <w:drawing>
          <wp:inline distT="0" distB="0" distL="0" distR="0" wp14:anchorId="59589BD1" wp14:editId="375E8508">
            <wp:extent cx="971550" cy="971550"/>
            <wp:effectExtent l="0" t="0" r="0" b="0"/>
            <wp:docPr id="4"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7693D5B" w14:textId="77777777" w:rsidR="000E29E0" w:rsidRPr="008751D6" w:rsidRDefault="000E29E0" w:rsidP="009E2113">
      <w:pPr>
        <w:pStyle w:val="NoSpacing"/>
        <w:jc w:val="both"/>
        <w:rPr>
          <w:rFonts w:eastAsia="Calibri"/>
          <w:sz w:val="22"/>
          <w:szCs w:val="22"/>
          <w:lang w:val="sr-Latn-RS"/>
        </w:rPr>
      </w:pPr>
    </w:p>
    <w:p w14:paraId="520063AC" w14:textId="77777777" w:rsidR="00836B35" w:rsidRPr="008751D6" w:rsidRDefault="00836B35">
      <w:pPr>
        <w:tabs>
          <w:tab w:val="left" w:pos="540"/>
          <w:tab w:val="left" w:pos="569"/>
        </w:tabs>
        <w:jc w:val="both"/>
        <w:rPr>
          <w:b/>
          <w:bCs/>
          <w:sz w:val="22"/>
          <w:szCs w:val="22"/>
          <w:lang w:val="sr-Latn-RS"/>
        </w:rPr>
      </w:pPr>
    </w:p>
    <w:p w14:paraId="73FCA063" w14:textId="77777777" w:rsidR="00CD6F02"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4.9. </w:t>
      </w:r>
      <w:r w:rsidR="00480FB1" w:rsidRPr="008751D6">
        <w:rPr>
          <w:b/>
          <w:bCs/>
          <w:sz w:val="22"/>
          <w:szCs w:val="22"/>
          <w:lang w:val="sr-Latn-RS"/>
        </w:rPr>
        <w:tab/>
      </w:r>
      <w:r w:rsidRPr="008751D6">
        <w:rPr>
          <w:b/>
          <w:bCs/>
          <w:sz w:val="22"/>
          <w:szCs w:val="22"/>
          <w:lang w:val="sr-Latn-RS"/>
        </w:rPr>
        <w:t>Predoziranje</w:t>
      </w:r>
      <w:r w:rsidR="002846DB" w:rsidRPr="008751D6">
        <w:rPr>
          <w:b/>
          <w:bCs/>
          <w:sz w:val="22"/>
          <w:szCs w:val="22"/>
          <w:lang w:val="sr-Latn-RS"/>
        </w:rPr>
        <w:t xml:space="preserve"> </w:t>
      </w:r>
    </w:p>
    <w:p w14:paraId="3DA1ED2D" w14:textId="77777777" w:rsidR="00CD6F02" w:rsidRPr="008751D6" w:rsidRDefault="00CD6F02">
      <w:pPr>
        <w:tabs>
          <w:tab w:val="left" w:pos="540"/>
          <w:tab w:val="left" w:pos="569"/>
        </w:tabs>
        <w:jc w:val="both"/>
        <w:rPr>
          <w:b/>
          <w:bCs/>
          <w:sz w:val="22"/>
          <w:szCs w:val="22"/>
          <w:lang w:val="sr-Latn-RS"/>
        </w:rPr>
      </w:pPr>
    </w:p>
    <w:p w14:paraId="0814B0E4" w14:textId="77ED36F1" w:rsidR="00227BDB" w:rsidRPr="008751D6" w:rsidRDefault="00CC2D09">
      <w:pPr>
        <w:tabs>
          <w:tab w:val="left" w:pos="540"/>
          <w:tab w:val="left" w:pos="569"/>
        </w:tabs>
        <w:jc w:val="both"/>
        <w:rPr>
          <w:sz w:val="22"/>
          <w:szCs w:val="22"/>
          <w:lang w:val="sr-Latn-RS"/>
        </w:rPr>
      </w:pPr>
      <w:r w:rsidRPr="008751D6">
        <w:rPr>
          <w:sz w:val="22"/>
          <w:szCs w:val="22"/>
          <w:lang w:val="sr-Latn-RS"/>
        </w:rPr>
        <w:t>U slučaju predoziranja, terapija je simptomatska.</w:t>
      </w:r>
    </w:p>
    <w:p w14:paraId="6261AB31" w14:textId="77777777" w:rsidR="009A66FF" w:rsidRPr="008751D6" w:rsidRDefault="009A66FF">
      <w:pPr>
        <w:tabs>
          <w:tab w:val="left" w:pos="540"/>
          <w:tab w:val="left" w:pos="569"/>
        </w:tabs>
        <w:jc w:val="both"/>
        <w:rPr>
          <w:sz w:val="22"/>
          <w:szCs w:val="22"/>
          <w:lang w:val="sr-Latn-RS"/>
        </w:rPr>
      </w:pPr>
    </w:p>
    <w:p w14:paraId="1CD2D0A1" w14:textId="77777777" w:rsidR="00C11A2B" w:rsidRPr="008751D6" w:rsidRDefault="00C11A2B">
      <w:pPr>
        <w:tabs>
          <w:tab w:val="left" w:pos="540"/>
          <w:tab w:val="left" w:pos="569"/>
        </w:tabs>
        <w:jc w:val="both"/>
        <w:rPr>
          <w:b/>
          <w:bCs/>
          <w:sz w:val="22"/>
          <w:szCs w:val="22"/>
          <w:lang w:val="sr-Latn-RS"/>
        </w:rPr>
      </w:pPr>
    </w:p>
    <w:p w14:paraId="5E9A73FF"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5. </w:t>
      </w:r>
      <w:r w:rsidR="00480FB1" w:rsidRPr="008751D6">
        <w:rPr>
          <w:b/>
          <w:bCs/>
          <w:sz w:val="22"/>
          <w:szCs w:val="22"/>
          <w:lang w:val="sr-Latn-RS"/>
        </w:rPr>
        <w:tab/>
      </w:r>
      <w:r w:rsidRPr="008751D6">
        <w:rPr>
          <w:b/>
          <w:bCs/>
          <w:sz w:val="22"/>
          <w:szCs w:val="22"/>
          <w:lang w:val="sr-Latn-RS"/>
        </w:rPr>
        <w:t>FARMAKOLOŠK</w:t>
      </w:r>
      <w:r w:rsidR="000D425A" w:rsidRPr="008751D6">
        <w:rPr>
          <w:b/>
          <w:bCs/>
          <w:sz w:val="22"/>
          <w:szCs w:val="22"/>
          <w:lang w:val="sr-Latn-RS"/>
        </w:rPr>
        <w:t>I</w:t>
      </w:r>
      <w:r w:rsidRPr="008751D6">
        <w:rPr>
          <w:b/>
          <w:bCs/>
          <w:sz w:val="22"/>
          <w:szCs w:val="22"/>
          <w:lang w:val="sr-Latn-RS"/>
        </w:rPr>
        <w:t xml:space="preserve"> PODACI</w:t>
      </w:r>
    </w:p>
    <w:p w14:paraId="6660F0B9" w14:textId="77777777" w:rsidR="0072020E" w:rsidRPr="008751D6" w:rsidRDefault="0072020E">
      <w:pPr>
        <w:tabs>
          <w:tab w:val="left" w:pos="540"/>
          <w:tab w:val="left" w:pos="569"/>
        </w:tabs>
        <w:jc w:val="both"/>
        <w:rPr>
          <w:b/>
          <w:bCs/>
          <w:sz w:val="22"/>
          <w:szCs w:val="22"/>
          <w:lang w:val="sr-Latn-RS"/>
        </w:rPr>
      </w:pPr>
    </w:p>
    <w:p w14:paraId="2FFFE969"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5.1. </w:t>
      </w:r>
      <w:r w:rsidR="00480FB1" w:rsidRPr="008751D6">
        <w:rPr>
          <w:b/>
          <w:bCs/>
          <w:sz w:val="22"/>
          <w:szCs w:val="22"/>
          <w:lang w:val="sr-Latn-RS"/>
        </w:rPr>
        <w:tab/>
      </w:r>
      <w:r w:rsidRPr="008751D6">
        <w:rPr>
          <w:b/>
          <w:bCs/>
          <w:sz w:val="22"/>
          <w:szCs w:val="22"/>
          <w:lang w:val="sr-Latn-RS"/>
        </w:rPr>
        <w:t>Farmakodinamski podaci</w:t>
      </w:r>
      <w:r w:rsidR="003A7059" w:rsidRPr="008751D6">
        <w:rPr>
          <w:b/>
          <w:bCs/>
          <w:sz w:val="22"/>
          <w:szCs w:val="22"/>
          <w:lang w:val="sr-Latn-RS"/>
        </w:rPr>
        <w:t xml:space="preserve"> </w:t>
      </w:r>
    </w:p>
    <w:p w14:paraId="07AA32D2" w14:textId="77777777" w:rsidR="00F45F77" w:rsidRPr="008751D6" w:rsidRDefault="00F45F77">
      <w:pPr>
        <w:tabs>
          <w:tab w:val="left" w:pos="540"/>
          <w:tab w:val="left" w:pos="569"/>
        </w:tabs>
        <w:jc w:val="both"/>
        <w:rPr>
          <w:b/>
          <w:bCs/>
          <w:sz w:val="22"/>
          <w:szCs w:val="22"/>
          <w:lang w:val="sr-Latn-RS"/>
        </w:rPr>
      </w:pPr>
    </w:p>
    <w:p w14:paraId="276C5551" w14:textId="7B2BFEF0" w:rsidR="006B56CC" w:rsidRPr="008751D6" w:rsidRDefault="0072020E" w:rsidP="008319CC">
      <w:pPr>
        <w:jc w:val="both"/>
        <w:rPr>
          <w:rFonts w:eastAsia="Calibri"/>
          <w:sz w:val="22"/>
          <w:szCs w:val="22"/>
          <w:lang w:val="sr-Latn-RS"/>
        </w:rPr>
      </w:pPr>
      <w:r w:rsidRPr="008751D6">
        <w:rPr>
          <w:bCs/>
          <w:sz w:val="22"/>
          <w:szCs w:val="22"/>
          <w:lang w:val="sr-Latn-RS"/>
        </w:rPr>
        <w:t>Farmakoterapijska grupa:</w:t>
      </w:r>
      <w:r w:rsidR="00CC2D09" w:rsidRPr="008751D6">
        <w:rPr>
          <w:bCs/>
          <w:sz w:val="22"/>
          <w:szCs w:val="22"/>
          <w:lang w:val="sr-Latn-RS"/>
        </w:rPr>
        <w:t xml:space="preserve"> </w:t>
      </w:r>
      <w:r w:rsidR="00A0168C" w:rsidRPr="008751D6">
        <w:rPr>
          <w:rFonts w:eastAsia="Calibri"/>
          <w:sz w:val="22"/>
          <w:szCs w:val="22"/>
          <w:lang w:val="sr-Latn-RS"/>
        </w:rPr>
        <w:t>Antagonisti hormona rasta</w:t>
      </w:r>
    </w:p>
    <w:p w14:paraId="00CB1C6D" w14:textId="77777777" w:rsidR="0072020E" w:rsidRPr="008751D6" w:rsidRDefault="0072020E" w:rsidP="009E2113">
      <w:pPr>
        <w:tabs>
          <w:tab w:val="left" w:pos="540"/>
          <w:tab w:val="left" w:pos="569"/>
        </w:tabs>
        <w:jc w:val="both"/>
        <w:rPr>
          <w:bCs/>
          <w:sz w:val="22"/>
          <w:szCs w:val="22"/>
          <w:lang w:val="sr-Latn-RS"/>
        </w:rPr>
      </w:pPr>
    </w:p>
    <w:p w14:paraId="0B0E2738" w14:textId="77777777" w:rsidR="0072020E" w:rsidRPr="008751D6" w:rsidRDefault="0072020E">
      <w:pPr>
        <w:tabs>
          <w:tab w:val="left" w:pos="540"/>
          <w:tab w:val="left" w:pos="569"/>
        </w:tabs>
        <w:jc w:val="both"/>
        <w:rPr>
          <w:bCs/>
          <w:sz w:val="22"/>
          <w:szCs w:val="22"/>
          <w:lang w:val="sr-Latn-RS"/>
        </w:rPr>
      </w:pPr>
      <w:r w:rsidRPr="008751D6">
        <w:rPr>
          <w:bCs/>
          <w:sz w:val="22"/>
          <w:szCs w:val="22"/>
          <w:lang w:val="sr-Latn-RS"/>
        </w:rPr>
        <w:t>ATC kod:</w:t>
      </w:r>
      <w:r w:rsidR="00CC2D09" w:rsidRPr="008751D6">
        <w:rPr>
          <w:bCs/>
          <w:sz w:val="22"/>
          <w:szCs w:val="22"/>
          <w:lang w:val="sr-Latn-RS"/>
        </w:rPr>
        <w:t xml:space="preserve"> </w:t>
      </w:r>
      <w:r w:rsidR="00CC2D09" w:rsidRPr="008751D6">
        <w:rPr>
          <w:sz w:val="22"/>
          <w:szCs w:val="22"/>
          <w:lang w:val="sr-Latn-RS"/>
        </w:rPr>
        <w:t>H01CB03</w:t>
      </w:r>
    </w:p>
    <w:p w14:paraId="39033A7F" w14:textId="77777777" w:rsidR="002E37A5" w:rsidRPr="008751D6" w:rsidRDefault="002E37A5">
      <w:pPr>
        <w:tabs>
          <w:tab w:val="left" w:pos="540"/>
          <w:tab w:val="left" w:pos="569"/>
        </w:tabs>
        <w:jc w:val="both"/>
        <w:rPr>
          <w:b/>
          <w:bCs/>
          <w:sz w:val="22"/>
          <w:szCs w:val="22"/>
          <w:lang w:val="sr-Latn-RS"/>
        </w:rPr>
      </w:pPr>
    </w:p>
    <w:p w14:paraId="4BE7F8D4" w14:textId="77777777" w:rsidR="00CC2D09" w:rsidRPr="008751D6" w:rsidRDefault="006B56CC" w:rsidP="008319CC">
      <w:pPr>
        <w:jc w:val="both"/>
        <w:rPr>
          <w:rFonts w:eastAsia="Calibri"/>
          <w:sz w:val="22"/>
          <w:szCs w:val="22"/>
          <w:lang w:val="sr-Latn-RS"/>
        </w:rPr>
      </w:pPr>
      <w:r w:rsidRPr="008751D6">
        <w:rPr>
          <w:rFonts w:eastAsia="Calibri"/>
          <w:sz w:val="22"/>
          <w:szCs w:val="22"/>
          <w:u w:val="single"/>
          <w:lang w:val="sr-Latn-RS"/>
        </w:rPr>
        <w:t>Mehanizam dejstva</w:t>
      </w:r>
      <w:r w:rsidRPr="008751D6">
        <w:rPr>
          <w:rFonts w:eastAsia="Calibri"/>
          <w:sz w:val="22"/>
          <w:szCs w:val="22"/>
          <w:lang w:val="sr-Latn-RS"/>
        </w:rPr>
        <w:t>:</w:t>
      </w:r>
    </w:p>
    <w:p w14:paraId="1D41AF24" w14:textId="77777777" w:rsidR="00162A59" w:rsidRPr="008751D6" w:rsidRDefault="00162A59" w:rsidP="009E2113">
      <w:pPr>
        <w:jc w:val="both"/>
        <w:rPr>
          <w:rFonts w:eastAsia="Calibri"/>
          <w:sz w:val="22"/>
          <w:szCs w:val="22"/>
          <w:lang w:val="sr-Latn-RS"/>
        </w:rPr>
      </w:pPr>
      <w:r w:rsidRPr="008751D6">
        <w:rPr>
          <w:rFonts w:eastAsia="Calibri"/>
          <w:sz w:val="22"/>
          <w:szCs w:val="22"/>
          <w:lang w:val="sr-Latn-RS"/>
        </w:rPr>
        <w:t>Lanreotid je oktapeptidni analog prirodnog somatostatina. Kao i somatostatin, lanreotid je inhibitor različitih endokrinih, neuroendokrinih, egzokrinih i parakrinih funkcija. Ima visok afinitet za humane somatostatinske receptore (SSTR) 2, 3 i 5 i smanjen afinitet vezivanja za humane SSTR 1 i 4. Aktivnost na SSTR 2 i 5 se smatra glavnim mehanizmom odgovornim za inhibiciju hormona rasta (GH). Lanreotid je aktivniji od prirodnog somatostatina i dejstvo mu je značajno duže.</w:t>
      </w:r>
    </w:p>
    <w:p w14:paraId="7BE8AE8C" w14:textId="77777777" w:rsidR="00162A59" w:rsidRPr="008751D6" w:rsidRDefault="00162A59">
      <w:pPr>
        <w:jc w:val="both"/>
        <w:rPr>
          <w:rFonts w:eastAsia="Calibri"/>
          <w:sz w:val="22"/>
          <w:szCs w:val="22"/>
          <w:lang w:val="sr-Latn-RS"/>
        </w:rPr>
      </w:pPr>
    </w:p>
    <w:p w14:paraId="19BBCD3A" w14:textId="39377995" w:rsidR="00162A59" w:rsidRPr="008751D6" w:rsidRDefault="00162A59">
      <w:pPr>
        <w:jc w:val="both"/>
        <w:rPr>
          <w:rFonts w:eastAsia="Calibri"/>
          <w:sz w:val="22"/>
          <w:szCs w:val="22"/>
          <w:lang w:val="sr-Latn-RS"/>
        </w:rPr>
      </w:pPr>
      <w:r w:rsidRPr="008751D6">
        <w:rPr>
          <w:rFonts w:eastAsia="Calibri"/>
          <w:sz w:val="22"/>
          <w:szCs w:val="22"/>
          <w:lang w:val="sr-Latn-RS"/>
        </w:rPr>
        <w:t>Lanreotid, kao i somatostatin, ispoljava opštu egzokrinu antisekretornu aktivnost. Inhibira bazalnu sekreciju motilina, gastričnog inhibitornog peptida i pankreasnog polipeptida, ali nema značajan efekat na lučenje sekretina i gastrina u stanju gladovanja. Osim toga, lanreotid smanjuje vr</w:t>
      </w:r>
      <w:r w:rsidR="00E765C9" w:rsidRPr="008751D6">
        <w:rPr>
          <w:rFonts w:eastAsia="Calibri"/>
          <w:sz w:val="22"/>
          <w:szCs w:val="22"/>
          <w:lang w:val="sr-Latn-RS"/>
        </w:rPr>
        <w:t>ij</w:t>
      </w:r>
      <w:r w:rsidRPr="008751D6">
        <w:rPr>
          <w:rFonts w:eastAsia="Calibri"/>
          <w:sz w:val="22"/>
          <w:szCs w:val="22"/>
          <w:lang w:val="sr-Latn-RS"/>
        </w:rPr>
        <w:t>ednosti hromogranina A u plazmi i 5 hidroksiindolacetatne kiseline u urinu kod pacijenata sa GEP-NET i povećanim vr</w:t>
      </w:r>
      <w:r w:rsidR="00E765C9" w:rsidRPr="008751D6">
        <w:rPr>
          <w:rFonts w:eastAsia="Calibri"/>
          <w:sz w:val="22"/>
          <w:szCs w:val="22"/>
          <w:lang w:val="sr-Latn-RS"/>
        </w:rPr>
        <w:t>ij</w:t>
      </w:r>
      <w:r w:rsidRPr="008751D6">
        <w:rPr>
          <w:rFonts w:eastAsia="Calibri"/>
          <w:sz w:val="22"/>
          <w:szCs w:val="22"/>
          <w:lang w:val="sr-Latn-RS"/>
        </w:rPr>
        <w:t>ednostima ovih tumor markera. Lanreotid prim</w:t>
      </w:r>
      <w:r w:rsidR="00E765C9" w:rsidRPr="008751D6">
        <w:rPr>
          <w:rFonts w:eastAsia="Calibri"/>
          <w:sz w:val="22"/>
          <w:szCs w:val="22"/>
          <w:lang w:val="sr-Latn-RS"/>
        </w:rPr>
        <w:t>j</w:t>
      </w:r>
      <w:r w:rsidRPr="008751D6">
        <w:rPr>
          <w:rFonts w:eastAsia="Calibri"/>
          <w:sz w:val="22"/>
          <w:szCs w:val="22"/>
          <w:lang w:val="sr-Latn-RS"/>
        </w:rPr>
        <w:t>etno smanjuje obrokom indukovano povećanje protoka krvi kroz gornju mezenteričnu arteriju i portalni venski krvotok. Lanreotid značajno smanjuje sekreciju vode, natrijuma, kalijuma i hlorida u jejunumu stimulisanu prostaglandinom E1. Lanreotid smanjuje vr</w:t>
      </w:r>
      <w:r w:rsidR="00E765C9" w:rsidRPr="008751D6">
        <w:rPr>
          <w:rFonts w:eastAsia="Calibri"/>
          <w:sz w:val="22"/>
          <w:szCs w:val="22"/>
          <w:lang w:val="sr-Latn-RS"/>
        </w:rPr>
        <w:t>ij</w:t>
      </w:r>
      <w:r w:rsidRPr="008751D6">
        <w:rPr>
          <w:rFonts w:eastAsia="Calibri"/>
          <w:sz w:val="22"/>
          <w:szCs w:val="22"/>
          <w:lang w:val="sr-Latn-RS"/>
        </w:rPr>
        <w:t>ednosti prolaktina kod pacijenata sa akromegalijom koji su na dugotrajnoj terapiji.</w:t>
      </w:r>
    </w:p>
    <w:p w14:paraId="54BCFA2B" w14:textId="77777777" w:rsidR="00162A59" w:rsidRPr="008751D6" w:rsidRDefault="00162A59">
      <w:pPr>
        <w:jc w:val="both"/>
        <w:rPr>
          <w:rFonts w:eastAsia="Calibri"/>
          <w:sz w:val="22"/>
          <w:szCs w:val="22"/>
          <w:lang w:val="sr-Latn-RS"/>
        </w:rPr>
      </w:pPr>
    </w:p>
    <w:p w14:paraId="70D62420" w14:textId="41701D0B" w:rsidR="00162A59" w:rsidRPr="008751D6" w:rsidRDefault="00162A59">
      <w:pPr>
        <w:jc w:val="both"/>
        <w:rPr>
          <w:rFonts w:eastAsia="Calibri"/>
          <w:sz w:val="22"/>
          <w:szCs w:val="22"/>
          <w:lang w:val="sr-Latn-RS"/>
        </w:rPr>
      </w:pPr>
      <w:r w:rsidRPr="008751D6">
        <w:rPr>
          <w:rFonts w:eastAsia="Calibri"/>
          <w:sz w:val="22"/>
          <w:szCs w:val="22"/>
          <w:lang w:val="sr-Latn-RS"/>
        </w:rPr>
        <w:t>U otvorenoj studiji, l</w:t>
      </w:r>
      <w:r w:rsidR="00E765C9" w:rsidRPr="008751D6">
        <w:rPr>
          <w:rFonts w:eastAsia="Calibri"/>
          <w:sz w:val="22"/>
          <w:szCs w:val="22"/>
          <w:lang w:val="sr-Latn-RS"/>
        </w:rPr>
        <w:t>ij</w:t>
      </w:r>
      <w:r w:rsidRPr="008751D6">
        <w:rPr>
          <w:rFonts w:eastAsia="Calibri"/>
          <w:sz w:val="22"/>
          <w:szCs w:val="22"/>
          <w:lang w:val="sr-Latn-RS"/>
        </w:rPr>
        <w:t>ek Somatuline Autogel 120 mg je prim</w:t>
      </w:r>
      <w:r w:rsidR="00E765C9" w:rsidRPr="008751D6">
        <w:rPr>
          <w:rFonts w:eastAsia="Calibri"/>
          <w:sz w:val="22"/>
          <w:szCs w:val="22"/>
          <w:lang w:val="sr-Latn-RS"/>
        </w:rPr>
        <w:t>j</w:t>
      </w:r>
      <w:r w:rsidRPr="008751D6">
        <w:rPr>
          <w:rFonts w:eastAsia="Calibri"/>
          <w:sz w:val="22"/>
          <w:szCs w:val="22"/>
          <w:lang w:val="sr-Latn-RS"/>
        </w:rPr>
        <w:t>enjivan svakih 28 dana tokom 48 ned</w:t>
      </w:r>
      <w:r w:rsidR="00E765C9" w:rsidRPr="008751D6">
        <w:rPr>
          <w:rFonts w:eastAsia="Calibri"/>
          <w:sz w:val="22"/>
          <w:szCs w:val="22"/>
          <w:lang w:val="sr-Latn-RS"/>
        </w:rPr>
        <w:t>j</w:t>
      </w:r>
      <w:r w:rsidRPr="008751D6">
        <w:rPr>
          <w:rFonts w:eastAsia="Calibri"/>
          <w:sz w:val="22"/>
          <w:szCs w:val="22"/>
          <w:lang w:val="sr-Latn-RS"/>
        </w:rPr>
        <w:t>elja kod 90 prethodno nel</w:t>
      </w:r>
      <w:r w:rsidR="00E765C9" w:rsidRPr="008751D6">
        <w:rPr>
          <w:rFonts w:eastAsia="Calibri"/>
          <w:sz w:val="22"/>
          <w:szCs w:val="22"/>
          <w:lang w:val="sr-Latn-RS"/>
        </w:rPr>
        <w:t>ij</w:t>
      </w:r>
      <w:r w:rsidRPr="008751D6">
        <w:rPr>
          <w:rFonts w:eastAsia="Calibri"/>
          <w:sz w:val="22"/>
          <w:szCs w:val="22"/>
          <w:lang w:val="sr-Latn-RS"/>
        </w:rPr>
        <w:t>ečenih akromegaličnih pacijenata sa dijagnozom makroadenom</w:t>
      </w:r>
      <w:r w:rsidR="00F97B0D" w:rsidRPr="008751D6">
        <w:rPr>
          <w:rFonts w:eastAsia="Calibri"/>
          <w:sz w:val="22"/>
          <w:szCs w:val="22"/>
          <w:lang w:val="sr-Latn-RS"/>
        </w:rPr>
        <w:t>a</w:t>
      </w:r>
      <w:r w:rsidRPr="008751D6">
        <w:rPr>
          <w:rFonts w:eastAsia="Calibri"/>
          <w:sz w:val="22"/>
          <w:szCs w:val="22"/>
          <w:lang w:val="sr-Latn-RS"/>
        </w:rPr>
        <w:t xml:space="preserve"> hipofize. Dok stopa odgovora nije dostigla statistčku značajnost, klinički relevantno smanjenje obima tumora od ≥ 20% je zab</w:t>
      </w:r>
      <w:r w:rsidR="00E765C9" w:rsidRPr="008751D6">
        <w:rPr>
          <w:rFonts w:eastAsia="Calibri"/>
          <w:sz w:val="22"/>
          <w:szCs w:val="22"/>
          <w:lang w:val="sr-Latn-RS"/>
        </w:rPr>
        <w:t>i</w:t>
      </w:r>
      <w:r w:rsidRPr="008751D6">
        <w:rPr>
          <w:rFonts w:eastAsia="Calibri"/>
          <w:sz w:val="22"/>
          <w:szCs w:val="22"/>
          <w:lang w:val="sr-Latn-RS"/>
        </w:rPr>
        <w:t>l</w:t>
      </w:r>
      <w:r w:rsidR="00E765C9" w:rsidRPr="008751D6">
        <w:rPr>
          <w:rFonts w:eastAsia="Calibri"/>
          <w:sz w:val="22"/>
          <w:szCs w:val="22"/>
          <w:lang w:val="sr-Latn-RS"/>
        </w:rPr>
        <w:t>je</w:t>
      </w:r>
      <w:r w:rsidRPr="008751D6">
        <w:rPr>
          <w:rFonts w:eastAsia="Calibri"/>
          <w:sz w:val="22"/>
          <w:szCs w:val="22"/>
          <w:lang w:val="sr-Latn-RS"/>
        </w:rPr>
        <w:t>ženo u 56/89 (63%, 95% CI:52% - 73%) pacijenata u 48. ned</w:t>
      </w:r>
      <w:r w:rsidR="00E765C9" w:rsidRPr="008751D6">
        <w:rPr>
          <w:rFonts w:eastAsia="Calibri"/>
          <w:sz w:val="22"/>
          <w:szCs w:val="22"/>
          <w:lang w:val="sr-Latn-RS"/>
        </w:rPr>
        <w:t>j</w:t>
      </w:r>
      <w:r w:rsidRPr="008751D6">
        <w:rPr>
          <w:rFonts w:eastAsia="Calibri"/>
          <w:sz w:val="22"/>
          <w:szCs w:val="22"/>
          <w:lang w:val="sr-Latn-RS"/>
        </w:rPr>
        <w:t>elji.</w:t>
      </w:r>
    </w:p>
    <w:p w14:paraId="6234DE07" w14:textId="77777777" w:rsidR="00162A59" w:rsidRPr="008751D6" w:rsidRDefault="00162A59">
      <w:pPr>
        <w:jc w:val="both"/>
        <w:rPr>
          <w:rFonts w:eastAsia="Calibri"/>
          <w:color w:val="00B050"/>
          <w:sz w:val="22"/>
          <w:szCs w:val="22"/>
          <w:lang w:val="sr-Latn-RS"/>
        </w:rPr>
      </w:pPr>
    </w:p>
    <w:p w14:paraId="472CC0D2" w14:textId="3BFB9007" w:rsidR="00162A59" w:rsidRPr="008751D6" w:rsidRDefault="00162A59">
      <w:pPr>
        <w:jc w:val="both"/>
        <w:rPr>
          <w:rFonts w:eastAsia="Calibri"/>
          <w:sz w:val="22"/>
          <w:szCs w:val="22"/>
          <w:lang w:val="sr-Latn-RS"/>
        </w:rPr>
      </w:pPr>
      <w:r w:rsidRPr="008751D6">
        <w:rPr>
          <w:rFonts w:eastAsia="Calibri"/>
          <w:sz w:val="22"/>
          <w:szCs w:val="22"/>
          <w:lang w:val="sr-Latn-RS"/>
        </w:rPr>
        <w:t>U 48. ned</w:t>
      </w:r>
      <w:r w:rsidR="00E765C9" w:rsidRPr="008751D6">
        <w:rPr>
          <w:rFonts w:eastAsia="Calibri"/>
          <w:sz w:val="22"/>
          <w:szCs w:val="22"/>
          <w:lang w:val="sr-Latn-RS"/>
        </w:rPr>
        <w:t>j</w:t>
      </w:r>
      <w:r w:rsidRPr="008751D6">
        <w:rPr>
          <w:rFonts w:eastAsia="Calibri"/>
          <w:sz w:val="22"/>
          <w:szCs w:val="22"/>
          <w:lang w:val="sr-Latn-RS"/>
        </w:rPr>
        <w:t>elji, pros</w:t>
      </w:r>
      <w:r w:rsidR="00E765C9" w:rsidRPr="008751D6">
        <w:rPr>
          <w:rFonts w:eastAsia="Calibri"/>
          <w:sz w:val="22"/>
          <w:szCs w:val="22"/>
          <w:lang w:val="sr-Latn-RS"/>
        </w:rPr>
        <w:t>j</w:t>
      </w:r>
      <w:r w:rsidRPr="008751D6">
        <w:rPr>
          <w:rFonts w:eastAsia="Calibri"/>
          <w:sz w:val="22"/>
          <w:szCs w:val="22"/>
          <w:lang w:val="sr-Latn-RS"/>
        </w:rPr>
        <w:t>ečno smanjenje zapremine tumora je iznosilo 26,8%, GH vr</w:t>
      </w:r>
      <w:r w:rsidR="00E765C9" w:rsidRPr="008751D6">
        <w:rPr>
          <w:rFonts w:eastAsia="Calibri"/>
          <w:sz w:val="22"/>
          <w:szCs w:val="22"/>
          <w:lang w:val="sr-Latn-RS"/>
        </w:rPr>
        <w:t>ij</w:t>
      </w:r>
      <w:r w:rsidRPr="008751D6">
        <w:rPr>
          <w:rFonts w:eastAsia="Calibri"/>
          <w:sz w:val="22"/>
          <w:szCs w:val="22"/>
          <w:lang w:val="sr-Latn-RS"/>
        </w:rPr>
        <w:t>ednosti su bile ispod 2,5 mikrograma/</w:t>
      </w:r>
      <w:r w:rsidR="00F97B0D" w:rsidRPr="008751D6">
        <w:rPr>
          <w:rFonts w:eastAsia="Calibri"/>
          <w:sz w:val="22"/>
          <w:szCs w:val="22"/>
          <w:lang w:val="sr-Latn-RS"/>
        </w:rPr>
        <w:t>l</w:t>
      </w:r>
      <w:r w:rsidRPr="008751D6">
        <w:rPr>
          <w:rFonts w:eastAsia="Calibri"/>
          <w:sz w:val="22"/>
          <w:szCs w:val="22"/>
          <w:lang w:val="sr-Latn-RS"/>
        </w:rPr>
        <w:t xml:space="preserve"> kod 77,8% pacijenata, a vr</w:t>
      </w:r>
      <w:r w:rsidR="00E765C9" w:rsidRPr="008751D6">
        <w:rPr>
          <w:rFonts w:eastAsia="Calibri"/>
          <w:sz w:val="22"/>
          <w:szCs w:val="22"/>
          <w:lang w:val="sr-Latn-RS"/>
        </w:rPr>
        <w:t>ij</w:t>
      </w:r>
      <w:r w:rsidRPr="008751D6">
        <w:rPr>
          <w:rFonts w:eastAsia="Calibri"/>
          <w:sz w:val="22"/>
          <w:szCs w:val="22"/>
          <w:lang w:val="sr-Latn-RS"/>
        </w:rPr>
        <w:t>ednosti IGF-1 su normalizovane kod 50%. Normalizacija vr</w:t>
      </w:r>
      <w:r w:rsidR="00E765C9" w:rsidRPr="008751D6">
        <w:rPr>
          <w:rFonts w:eastAsia="Calibri"/>
          <w:sz w:val="22"/>
          <w:szCs w:val="22"/>
          <w:lang w:val="sr-Latn-RS"/>
        </w:rPr>
        <w:t>ij</w:t>
      </w:r>
      <w:r w:rsidRPr="008751D6">
        <w:rPr>
          <w:rFonts w:eastAsia="Calibri"/>
          <w:sz w:val="22"/>
          <w:szCs w:val="22"/>
          <w:lang w:val="sr-Latn-RS"/>
        </w:rPr>
        <w:t>ednosti  IGF-1 u kombinaciji sa vr</w:t>
      </w:r>
      <w:r w:rsidR="00E765C9" w:rsidRPr="008751D6">
        <w:rPr>
          <w:rFonts w:eastAsia="Calibri"/>
          <w:sz w:val="22"/>
          <w:szCs w:val="22"/>
          <w:lang w:val="sr-Latn-RS"/>
        </w:rPr>
        <w:t>ij</w:t>
      </w:r>
      <w:r w:rsidRPr="008751D6">
        <w:rPr>
          <w:rFonts w:eastAsia="Calibri"/>
          <w:sz w:val="22"/>
          <w:szCs w:val="22"/>
          <w:lang w:val="sr-Latn-RS"/>
        </w:rPr>
        <w:t>ednostima GH ispod 2,5 mikrograma/</w:t>
      </w:r>
      <w:r w:rsidR="00F97B0D" w:rsidRPr="008751D6">
        <w:rPr>
          <w:rFonts w:eastAsia="Calibri"/>
          <w:sz w:val="22"/>
          <w:szCs w:val="22"/>
          <w:lang w:val="sr-Latn-RS"/>
        </w:rPr>
        <w:t>l</w:t>
      </w:r>
      <w:r w:rsidRPr="008751D6">
        <w:rPr>
          <w:rFonts w:eastAsia="Calibri"/>
          <w:sz w:val="22"/>
          <w:szCs w:val="22"/>
          <w:lang w:val="sr-Latn-RS"/>
        </w:rPr>
        <w:t xml:space="preserve"> prim</w:t>
      </w:r>
      <w:r w:rsidR="00E765C9" w:rsidRPr="008751D6">
        <w:rPr>
          <w:rFonts w:eastAsia="Calibri"/>
          <w:sz w:val="22"/>
          <w:szCs w:val="22"/>
          <w:lang w:val="sr-Latn-RS"/>
        </w:rPr>
        <w:t>j</w:t>
      </w:r>
      <w:r w:rsidRPr="008751D6">
        <w:rPr>
          <w:rFonts w:eastAsia="Calibri"/>
          <w:sz w:val="22"/>
          <w:szCs w:val="22"/>
          <w:lang w:val="sr-Latn-RS"/>
        </w:rPr>
        <w:t>ećeni su kod 43,5% pacijenata. Većina pacijenata je prijavila jasno ublažavanje simptoma akromegalije kao što su umor, pojačano znojenje, artralgija i oticanje mekih tkiva.</w:t>
      </w:r>
      <w:r w:rsidR="00B3185E" w:rsidRPr="008751D6">
        <w:rPr>
          <w:rFonts w:eastAsia="Calibri"/>
          <w:sz w:val="22"/>
          <w:szCs w:val="22"/>
          <w:lang w:val="sr-Latn-RS"/>
        </w:rPr>
        <w:t xml:space="preserve"> </w:t>
      </w:r>
      <w:r w:rsidRPr="008751D6">
        <w:rPr>
          <w:rFonts w:eastAsia="Calibri"/>
          <w:sz w:val="22"/>
          <w:szCs w:val="22"/>
          <w:lang w:val="sr-Latn-RS"/>
        </w:rPr>
        <w:t>Od 12. ned</w:t>
      </w:r>
      <w:r w:rsidR="00E765C9" w:rsidRPr="008751D6">
        <w:rPr>
          <w:rFonts w:eastAsia="Calibri"/>
          <w:sz w:val="22"/>
          <w:szCs w:val="22"/>
          <w:lang w:val="sr-Latn-RS"/>
        </w:rPr>
        <w:t>j</w:t>
      </w:r>
      <w:r w:rsidRPr="008751D6">
        <w:rPr>
          <w:rFonts w:eastAsia="Calibri"/>
          <w:sz w:val="22"/>
          <w:szCs w:val="22"/>
          <w:lang w:val="sr-Latn-RS"/>
        </w:rPr>
        <w:t>elje pa nadalje  prim</w:t>
      </w:r>
      <w:r w:rsidR="00E765C9" w:rsidRPr="008751D6">
        <w:rPr>
          <w:rFonts w:eastAsia="Calibri"/>
          <w:sz w:val="22"/>
          <w:szCs w:val="22"/>
          <w:lang w:val="sr-Latn-RS"/>
        </w:rPr>
        <w:t>j</w:t>
      </w:r>
      <w:r w:rsidRPr="008751D6">
        <w:rPr>
          <w:rFonts w:eastAsia="Calibri"/>
          <w:sz w:val="22"/>
          <w:szCs w:val="22"/>
          <w:lang w:val="sr-Latn-RS"/>
        </w:rPr>
        <w:t>ećeno je i rano i kontinuirano smanjenje volumena tumora, kao i GH i IGF-1 nivo</w:t>
      </w:r>
      <w:r w:rsidR="00F97B0D" w:rsidRPr="008751D6">
        <w:rPr>
          <w:rFonts w:eastAsia="Calibri"/>
          <w:sz w:val="22"/>
          <w:szCs w:val="22"/>
          <w:lang w:val="sr-Latn-RS"/>
        </w:rPr>
        <w:t>a</w:t>
      </w:r>
      <w:r w:rsidRPr="008751D6">
        <w:rPr>
          <w:rFonts w:eastAsia="Calibri"/>
          <w:sz w:val="22"/>
          <w:szCs w:val="22"/>
          <w:lang w:val="sr-Latn-RS"/>
        </w:rPr>
        <w:t>. Studija je isključila pacijente za koje se očekivalo da je neophodna hirurška intervencija na hipofizi ili radioterapija tokom perioda ispitivanja.</w:t>
      </w:r>
    </w:p>
    <w:p w14:paraId="1AEE1FC5" w14:textId="77777777" w:rsidR="00162A59" w:rsidRPr="008751D6" w:rsidRDefault="00162A59">
      <w:pPr>
        <w:jc w:val="both"/>
        <w:rPr>
          <w:rFonts w:eastAsia="Calibri"/>
          <w:color w:val="00B050"/>
          <w:sz w:val="22"/>
          <w:szCs w:val="22"/>
          <w:lang w:val="sr-Latn-RS"/>
        </w:rPr>
      </w:pPr>
    </w:p>
    <w:p w14:paraId="3C457620" w14:textId="13D30F35" w:rsidR="00162A59" w:rsidRPr="008751D6" w:rsidRDefault="00162A59">
      <w:pPr>
        <w:jc w:val="both"/>
        <w:rPr>
          <w:rFonts w:eastAsia="Calibri"/>
          <w:sz w:val="22"/>
          <w:szCs w:val="22"/>
          <w:lang w:val="sr-Latn-RS"/>
        </w:rPr>
      </w:pPr>
      <w:r w:rsidRPr="008751D6">
        <w:rPr>
          <w:rFonts w:eastAsia="Calibri"/>
          <w:sz w:val="22"/>
          <w:szCs w:val="22"/>
          <w:lang w:val="sr-Latn-RS"/>
        </w:rPr>
        <w:t>Randomizovana, dvostruko sl</w:t>
      </w:r>
      <w:r w:rsidR="00E765C9" w:rsidRPr="008751D6">
        <w:rPr>
          <w:rFonts w:eastAsia="Calibri"/>
          <w:sz w:val="22"/>
          <w:szCs w:val="22"/>
          <w:lang w:val="sr-Latn-RS"/>
        </w:rPr>
        <w:t>ij</w:t>
      </w:r>
      <w:r w:rsidRPr="008751D6">
        <w:rPr>
          <w:rFonts w:eastAsia="Calibri"/>
          <w:sz w:val="22"/>
          <w:szCs w:val="22"/>
          <w:lang w:val="sr-Latn-RS"/>
        </w:rPr>
        <w:t>epa, multicentrična, placebo</w:t>
      </w:r>
      <w:r w:rsidR="009A66FF" w:rsidRPr="008751D6">
        <w:rPr>
          <w:rFonts w:eastAsia="Calibri"/>
          <w:sz w:val="22"/>
          <w:szCs w:val="22"/>
          <w:lang w:val="sr-Latn-RS"/>
        </w:rPr>
        <w:t>m</w:t>
      </w:r>
      <w:r w:rsidRPr="008751D6">
        <w:rPr>
          <w:rFonts w:eastAsia="Calibri"/>
          <w:sz w:val="22"/>
          <w:szCs w:val="22"/>
          <w:lang w:val="sr-Latn-RS"/>
        </w:rPr>
        <w:t xml:space="preserve"> kontrolisana studija faze III, u trajanju od 96 ned</w:t>
      </w:r>
      <w:r w:rsidR="00E765C9" w:rsidRPr="008751D6">
        <w:rPr>
          <w:rFonts w:eastAsia="Calibri"/>
          <w:sz w:val="22"/>
          <w:szCs w:val="22"/>
          <w:lang w:val="sr-Latn-RS"/>
        </w:rPr>
        <w:t>j</w:t>
      </w:r>
      <w:r w:rsidRPr="008751D6">
        <w:rPr>
          <w:rFonts w:eastAsia="Calibri"/>
          <w:sz w:val="22"/>
          <w:szCs w:val="22"/>
          <w:lang w:val="sr-Latn-RS"/>
        </w:rPr>
        <w:t xml:space="preserve">elja, sprovedena je sa </w:t>
      </w:r>
      <w:r w:rsidR="00F97B0D" w:rsidRPr="008751D6">
        <w:rPr>
          <w:rFonts w:eastAsia="Calibri"/>
          <w:sz w:val="22"/>
          <w:szCs w:val="22"/>
          <w:lang w:val="sr-Latn-RS"/>
        </w:rPr>
        <w:t>Somatuline</w:t>
      </w:r>
      <w:r w:rsidRPr="008751D6">
        <w:rPr>
          <w:rFonts w:eastAsia="Calibri"/>
          <w:sz w:val="22"/>
          <w:szCs w:val="22"/>
          <w:lang w:val="sr-Latn-RS"/>
        </w:rPr>
        <w:t xml:space="preserve"> Autogelom kod pacijenata sa gastroenteropankreasnim neuroendokrinim tumorima u cilju proc</w:t>
      </w:r>
      <w:r w:rsidR="00E765C9" w:rsidRPr="008751D6">
        <w:rPr>
          <w:rFonts w:eastAsia="Calibri"/>
          <w:sz w:val="22"/>
          <w:szCs w:val="22"/>
          <w:lang w:val="sr-Latn-RS"/>
        </w:rPr>
        <w:t>j</w:t>
      </w:r>
      <w:r w:rsidRPr="008751D6">
        <w:rPr>
          <w:rFonts w:eastAsia="Calibri"/>
          <w:sz w:val="22"/>
          <w:szCs w:val="22"/>
          <w:lang w:val="sr-Latn-RS"/>
        </w:rPr>
        <w:t>ene antiproliferativnog efekta lanreotida.</w:t>
      </w:r>
    </w:p>
    <w:p w14:paraId="75142B11" w14:textId="77777777" w:rsidR="00F97B0D" w:rsidRPr="008751D6" w:rsidRDefault="00F97B0D">
      <w:pPr>
        <w:jc w:val="both"/>
        <w:rPr>
          <w:rFonts w:eastAsia="Calibri"/>
          <w:sz w:val="22"/>
          <w:szCs w:val="22"/>
          <w:lang w:val="sr-Latn-RS"/>
        </w:rPr>
      </w:pPr>
    </w:p>
    <w:p w14:paraId="4FD16DE2" w14:textId="0273D359" w:rsidR="00162A59" w:rsidRPr="008751D6" w:rsidRDefault="00162A59">
      <w:pPr>
        <w:jc w:val="both"/>
        <w:rPr>
          <w:rFonts w:eastAsia="Calibri"/>
          <w:sz w:val="22"/>
          <w:szCs w:val="22"/>
          <w:lang w:val="sr-Latn-RS"/>
        </w:rPr>
      </w:pPr>
      <w:r w:rsidRPr="008751D6">
        <w:rPr>
          <w:rFonts w:eastAsia="Calibri"/>
          <w:sz w:val="22"/>
          <w:szCs w:val="22"/>
          <w:lang w:val="sr-Latn-RS"/>
        </w:rPr>
        <w:lastRenderedPageBreak/>
        <w:t>Pacijenti su randomizovani 1:1 kako bi primili ili l</w:t>
      </w:r>
      <w:r w:rsidR="00E765C9" w:rsidRPr="008751D6">
        <w:rPr>
          <w:rFonts w:eastAsia="Calibri"/>
          <w:sz w:val="22"/>
          <w:szCs w:val="22"/>
          <w:lang w:val="sr-Latn-RS"/>
        </w:rPr>
        <w:t>ij</w:t>
      </w:r>
      <w:r w:rsidRPr="008751D6">
        <w:rPr>
          <w:rFonts w:eastAsia="Calibri"/>
          <w:sz w:val="22"/>
          <w:szCs w:val="22"/>
          <w:lang w:val="sr-Latn-RS"/>
        </w:rPr>
        <w:t>ek Somatuline Autogel 120 mg svakih 28 dana (n=101) ili placebo (n=103). Randomizacija je određena prethodnom terapijom na početku i prisustvom/ odsustvom progresije na početku, proc</w:t>
      </w:r>
      <w:r w:rsidR="00E765C9" w:rsidRPr="008751D6">
        <w:rPr>
          <w:rFonts w:eastAsia="Calibri"/>
          <w:sz w:val="22"/>
          <w:szCs w:val="22"/>
          <w:lang w:val="sr-Latn-RS"/>
        </w:rPr>
        <w:t>ij</w:t>
      </w:r>
      <w:r w:rsidRPr="008751D6">
        <w:rPr>
          <w:rFonts w:eastAsia="Calibri"/>
          <w:sz w:val="22"/>
          <w:szCs w:val="22"/>
          <w:lang w:val="sr-Latn-RS"/>
        </w:rPr>
        <w:t xml:space="preserve">enjeno na osnovu RECIST 1,0 (engl. </w:t>
      </w:r>
      <w:r w:rsidRPr="008751D6">
        <w:rPr>
          <w:rFonts w:eastAsia="Calibri"/>
          <w:i/>
          <w:sz w:val="22"/>
          <w:szCs w:val="22"/>
          <w:lang w:val="sr-Latn-RS"/>
        </w:rPr>
        <w:t>Response Evaluation Criteria in Solid Tumours</w:t>
      </w:r>
      <w:r w:rsidRPr="008751D6">
        <w:rPr>
          <w:rFonts w:eastAsia="Calibri"/>
          <w:sz w:val="22"/>
          <w:szCs w:val="22"/>
          <w:lang w:val="sr-Latn-RS"/>
        </w:rPr>
        <w:t>) tokom 3 do 6 m</w:t>
      </w:r>
      <w:r w:rsidR="00E765C9" w:rsidRPr="008751D6">
        <w:rPr>
          <w:rFonts w:eastAsia="Calibri"/>
          <w:sz w:val="22"/>
          <w:szCs w:val="22"/>
          <w:lang w:val="sr-Latn-RS"/>
        </w:rPr>
        <w:t>j</w:t>
      </w:r>
      <w:r w:rsidRPr="008751D6">
        <w:rPr>
          <w:rFonts w:eastAsia="Calibri"/>
          <w:sz w:val="22"/>
          <w:szCs w:val="22"/>
          <w:lang w:val="sr-Latn-RS"/>
        </w:rPr>
        <w:t>eseci skrining faze.</w:t>
      </w:r>
    </w:p>
    <w:p w14:paraId="30716326" w14:textId="77777777" w:rsidR="00162A59" w:rsidRPr="008751D6" w:rsidRDefault="00162A59">
      <w:pPr>
        <w:jc w:val="both"/>
        <w:rPr>
          <w:rFonts w:eastAsia="Calibri"/>
          <w:sz w:val="22"/>
          <w:szCs w:val="22"/>
          <w:lang w:val="sr-Latn-RS"/>
        </w:rPr>
      </w:pPr>
    </w:p>
    <w:p w14:paraId="08F57FCD" w14:textId="5CDB6DB4" w:rsidR="00162A59" w:rsidRPr="008751D6" w:rsidRDefault="00162A59">
      <w:pPr>
        <w:jc w:val="both"/>
        <w:rPr>
          <w:rFonts w:eastAsia="Calibri"/>
          <w:sz w:val="22"/>
          <w:szCs w:val="22"/>
          <w:lang w:val="sr-Latn-RS"/>
        </w:rPr>
      </w:pPr>
      <w:r w:rsidRPr="008751D6">
        <w:rPr>
          <w:rFonts w:eastAsia="Calibri"/>
          <w:sz w:val="22"/>
          <w:szCs w:val="22"/>
          <w:lang w:val="sr-Latn-RS"/>
        </w:rPr>
        <w:t>Pacijenti su imali metastatske i/ili lokalno uznapredovale neoperabilne bolesti sa histološki potvrđenim, dobro ili um</w:t>
      </w:r>
      <w:r w:rsidR="00E765C9" w:rsidRPr="008751D6">
        <w:rPr>
          <w:rFonts w:eastAsia="Calibri"/>
          <w:sz w:val="22"/>
          <w:szCs w:val="22"/>
          <w:lang w:val="sr-Latn-RS"/>
        </w:rPr>
        <w:t>j</w:t>
      </w:r>
      <w:r w:rsidRPr="008751D6">
        <w:rPr>
          <w:rFonts w:eastAsia="Calibri"/>
          <w:sz w:val="22"/>
          <w:szCs w:val="22"/>
          <w:lang w:val="sr-Latn-RS"/>
        </w:rPr>
        <w:t>ereno dobro diferenciranim tumorima, primarno lokalizovanim u pankreasu (44,6% pacijenata), središnjem (36,7%) ili završnom (6,9%) d</w:t>
      </w:r>
      <w:r w:rsidR="00E765C9" w:rsidRPr="008751D6">
        <w:rPr>
          <w:rFonts w:eastAsia="Calibri"/>
          <w:sz w:val="22"/>
          <w:szCs w:val="22"/>
          <w:lang w:val="sr-Latn-RS"/>
        </w:rPr>
        <w:t>ij</w:t>
      </w:r>
      <w:r w:rsidRPr="008751D6">
        <w:rPr>
          <w:rFonts w:eastAsia="Calibri"/>
          <w:sz w:val="22"/>
          <w:szCs w:val="22"/>
          <w:lang w:val="sr-Latn-RS"/>
        </w:rPr>
        <w:t xml:space="preserve">elu digestivnog trakta ili je primarna lokalizacija bila nepoznata </w:t>
      </w:r>
      <w:r w:rsidR="00F97B0D" w:rsidRPr="008751D6">
        <w:rPr>
          <w:rFonts w:eastAsia="Calibri"/>
          <w:sz w:val="22"/>
          <w:szCs w:val="22"/>
          <w:lang w:val="sr-Latn-RS"/>
        </w:rPr>
        <w:t>(</w:t>
      </w:r>
      <w:r w:rsidRPr="008751D6">
        <w:rPr>
          <w:rFonts w:eastAsia="Calibri"/>
          <w:sz w:val="22"/>
          <w:szCs w:val="22"/>
          <w:lang w:val="sr-Latn-RS"/>
        </w:rPr>
        <w:t>12,7%).</w:t>
      </w:r>
    </w:p>
    <w:p w14:paraId="4D348A87" w14:textId="77777777" w:rsidR="00162A59" w:rsidRPr="008751D6" w:rsidRDefault="00162A59">
      <w:pPr>
        <w:jc w:val="both"/>
        <w:rPr>
          <w:rFonts w:eastAsia="Calibri"/>
          <w:sz w:val="22"/>
          <w:szCs w:val="22"/>
          <w:lang w:val="sr-Latn-RS"/>
        </w:rPr>
      </w:pPr>
    </w:p>
    <w:p w14:paraId="73B33994" w14:textId="772A0C1A" w:rsidR="00162A59" w:rsidRPr="008751D6" w:rsidRDefault="00162A59">
      <w:pPr>
        <w:jc w:val="both"/>
        <w:rPr>
          <w:rFonts w:eastAsia="Calibri"/>
          <w:sz w:val="22"/>
          <w:szCs w:val="22"/>
          <w:lang w:val="sr-Latn-RS"/>
        </w:rPr>
      </w:pPr>
      <w:r w:rsidRPr="008751D6">
        <w:rPr>
          <w:rFonts w:eastAsia="Calibri"/>
          <w:sz w:val="22"/>
          <w:szCs w:val="22"/>
          <w:lang w:val="sr-Latn-RS"/>
        </w:rPr>
        <w:t>69 % pacijenta sa GEP-NET je imalo tumor gradusa 1 (G1), definisan bilo indeksom proliferacije Ki67≤ 2% (50,5% ukupne populacije pacijenata) ili mitotskim indeksom &lt; 2 mitoze /10 HPF (18</w:t>
      </w:r>
      <w:r w:rsidR="00F97B0D" w:rsidRPr="008751D6">
        <w:rPr>
          <w:rFonts w:eastAsia="Calibri"/>
          <w:sz w:val="22"/>
          <w:szCs w:val="22"/>
          <w:lang w:val="sr-Latn-RS"/>
        </w:rPr>
        <w:t>,</w:t>
      </w:r>
      <w:r w:rsidRPr="008751D6">
        <w:rPr>
          <w:rFonts w:eastAsia="Calibri"/>
          <w:sz w:val="22"/>
          <w:szCs w:val="22"/>
          <w:lang w:val="sr-Latn-RS"/>
        </w:rPr>
        <w:t>5% ukupne populacije pacijenata) i 30 % pacijenata sa GEP-NET je imalo tumore u nižem opsegu gradusa 2 (G2) (definisan indeksom proliferacije Ki67 index &gt; 2% - ≤ 10%). Gradus nije bio dostupan kod 1% pacijenata. U studiji su isključeni pacijenti sa G2 GEP-NET sa većim indeksom ćelijske proliferacije (Ki 67 &gt;10% - ≤ 20%) i  G3 GEP neuroendokrinim karcinomima (Ki 67 index &gt; 20%).</w:t>
      </w:r>
    </w:p>
    <w:p w14:paraId="48D592BC" w14:textId="77777777" w:rsidR="00CE598E" w:rsidRPr="008751D6" w:rsidRDefault="00CE598E">
      <w:pPr>
        <w:jc w:val="both"/>
        <w:rPr>
          <w:rFonts w:eastAsia="Calibri"/>
          <w:sz w:val="22"/>
          <w:szCs w:val="22"/>
          <w:lang w:val="sr-Latn-RS"/>
        </w:rPr>
      </w:pPr>
    </w:p>
    <w:p w14:paraId="3DB4C91E" w14:textId="4E4CECED" w:rsidR="00162A59" w:rsidRPr="008751D6" w:rsidRDefault="00162A59">
      <w:pPr>
        <w:jc w:val="both"/>
        <w:rPr>
          <w:rFonts w:eastAsia="Calibri"/>
          <w:sz w:val="22"/>
          <w:szCs w:val="22"/>
          <w:lang w:val="sr-Latn-RS"/>
        </w:rPr>
      </w:pPr>
      <w:r w:rsidRPr="008751D6">
        <w:rPr>
          <w:rFonts w:eastAsia="Calibri"/>
          <w:sz w:val="22"/>
          <w:szCs w:val="22"/>
          <w:lang w:val="sr-Latn-RS"/>
        </w:rPr>
        <w:t xml:space="preserve">Ukupno, 52,5% pacjenata je imalo </w:t>
      </w:r>
      <w:r w:rsidR="003101BC" w:rsidRPr="008751D6">
        <w:rPr>
          <w:rFonts w:eastAsia="Calibri"/>
          <w:sz w:val="22"/>
          <w:szCs w:val="22"/>
          <w:lang w:val="sr-Latn-RS"/>
        </w:rPr>
        <w:t>tumorsko opterećenje</w:t>
      </w:r>
      <w:r w:rsidRPr="008751D6">
        <w:rPr>
          <w:rFonts w:eastAsia="Calibri"/>
          <w:sz w:val="22"/>
          <w:szCs w:val="22"/>
          <w:lang w:val="sr-Latn-RS"/>
        </w:rPr>
        <w:t xml:space="preserve"> jetre ≤10%, 14,5% je imalo </w:t>
      </w:r>
      <w:r w:rsidR="003101BC" w:rsidRPr="008751D6">
        <w:rPr>
          <w:rFonts w:eastAsia="Calibri"/>
          <w:sz w:val="22"/>
          <w:szCs w:val="22"/>
          <w:lang w:val="sr-Latn-RS"/>
        </w:rPr>
        <w:t>tumorsko opterećenje</w:t>
      </w:r>
      <w:r w:rsidRPr="008751D6">
        <w:rPr>
          <w:rFonts w:eastAsia="Calibri"/>
          <w:sz w:val="22"/>
          <w:szCs w:val="22"/>
          <w:lang w:val="sr-Latn-RS"/>
        </w:rPr>
        <w:t xml:space="preserve"> jetre &gt; 10 i  ≤</w:t>
      </w:r>
      <w:r w:rsidR="009A66FF" w:rsidRPr="008751D6">
        <w:rPr>
          <w:rFonts w:eastAsia="Calibri"/>
          <w:sz w:val="22"/>
          <w:szCs w:val="22"/>
          <w:lang w:val="sr-Latn-RS"/>
        </w:rPr>
        <w:t xml:space="preserve"> </w:t>
      </w:r>
      <w:r w:rsidRPr="008751D6">
        <w:rPr>
          <w:rFonts w:eastAsia="Calibri"/>
          <w:sz w:val="22"/>
          <w:szCs w:val="22"/>
          <w:lang w:val="sr-Latn-RS"/>
        </w:rPr>
        <w:t xml:space="preserve">25%, a 33% je imalo </w:t>
      </w:r>
      <w:r w:rsidR="003101BC" w:rsidRPr="008751D6">
        <w:rPr>
          <w:rFonts w:eastAsia="Calibri"/>
          <w:sz w:val="22"/>
          <w:szCs w:val="22"/>
          <w:lang w:val="sr-Latn-RS"/>
        </w:rPr>
        <w:t>tumorsko opterećenje</w:t>
      </w:r>
      <w:r w:rsidRPr="008751D6">
        <w:rPr>
          <w:rFonts w:eastAsia="Calibri"/>
          <w:sz w:val="22"/>
          <w:szCs w:val="22"/>
          <w:lang w:val="sr-Latn-RS"/>
        </w:rPr>
        <w:t xml:space="preserve"> jetre &gt;25%.</w:t>
      </w:r>
    </w:p>
    <w:p w14:paraId="5B946288" w14:textId="77777777" w:rsidR="00162A59" w:rsidRPr="008751D6" w:rsidRDefault="00162A59">
      <w:pPr>
        <w:jc w:val="both"/>
        <w:rPr>
          <w:rFonts w:eastAsia="Calibri"/>
          <w:sz w:val="22"/>
          <w:szCs w:val="22"/>
          <w:lang w:val="sr-Latn-RS"/>
        </w:rPr>
      </w:pPr>
    </w:p>
    <w:p w14:paraId="79242845" w14:textId="3AB0AB47" w:rsidR="00162A59" w:rsidRPr="008751D6" w:rsidRDefault="00162A59">
      <w:pPr>
        <w:jc w:val="both"/>
        <w:rPr>
          <w:rFonts w:eastAsia="Calibri"/>
          <w:sz w:val="22"/>
          <w:szCs w:val="22"/>
          <w:lang w:val="sr-Latn-RS"/>
        </w:rPr>
      </w:pPr>
      <w:r w:rsidRPr="008751D6">
        <w:rPr>
          <w:rFonts w:eastAsia="Calibri"/>
          <w:sz w:val="22"/>
          <w:szCs w:val="22"/>
          <w:lang w:val="sr-Latn-RS"/>
        </w:rPr>
        <w:t>Primarni parametar efikasnosti je bilo preživljavanje bez progresije bolesti (</w:t>
      </w:r>
      <w:r w:rsidR="00653823" w:rsidRPr="008751D6">
        <w:rPr>
          <w:rFonts w:eastAsia="Calibri"/>
          <w:sz w:val="22"/>
          <w:szCs w:val="22"/>
          <w:lang w:val="sr-Latn-RS"/>
        </w:rPr>
        <w:t xml:space="preserve">engl. </w:t>
      </w:r>
      <w:r w:rsidR="00653823" w:rsidRPr="008751D6">
        <w:rPr>
          <w:rFonts w:eastAsia="Calibri"/>
          <w:i/>
          <w:iCs/>
          <w:sz w:val="22"/>
          <w:szCs w:val="22"/>
          <w:lang w:val="sr-Latn-RS"/>
        </w:rPr>
        <w:t>progression-free survival</w:t>
      </w:r>
      <w:r w:rsidR="00653823" w:rsidRPr="008751D6">
        <w:rPr>
          <w:rFonts w:eastAsia="Calibri"/>
          <w:sz w:val="22"/>
          <w:szCs w:val="22"/>
          <w:lang w:val="sr-Latn-RS"/>
        </w:rPr>
        <w:t xml:space="preserve">, </w:t>
      </w:r>
      <w:r w:rsidRPr="008751D6">
        <w:rPr>
          <w:rFonts w:eastAsia="Calibri"/>
          <w:sz w:val="22"/>
          <w:szCs w:val="22"/>
          <w:lang w:val="sr-Latn-RS"/>
        </w:rPr>
        <w:t>PFS) m</w:t>
      </w:r>
      <w:r w:rsidR="00E765C9" w:rsidRPr="008751D6">
        <w:rPr>
          <w:rFonts w:eastAsia="Calibri"/>
          <w:sz w:val="22"/>
          <w:szCs w:val="22"/>
          <w:lang w:val="sr-Latn-RS"/>
        </w:rPr>
        <w:t>j</w:t>
      </w:r>
      <w:r w:rsidRPr="008751D6">
        <w:rPr>
          <w:rFonts w:eastAsia="Calibri"/>
          <w:sz w:val="22"/>
          <w:szCs w:val="22"/>
          <w:lang w:val="sr-Latn-RS"/>
        </w:rPr>
        <w:t>ereno kao vr</w:t>
      </w:r>
      <w:r w:rsidR="00E765C9" w:rsidRPr="008751D6">
        <w:rPr>
          <w:rFonts w:eastAsia="Calibri"/>
          <w:sz w:val="22"/>
          <w:szCs w:val="22"/>
          <w:lang w:val="sr-Latn-RS"/>
        </w:rPr>
        <w:t>ij</w:t>
      </w:r>
      <w:r w:rsidRPr="008751D6">
        <w:rPr>
          <w:rFonts w:eastAsia="Calibri"/>
          <w:sz w:val="22"/>
          <w:szCs w:val="22"/>
          <w:lang w:val="sr-Latn-RS"/>
        </w:rPr>
        <w:t>eme do progresije bolesti sa RECIST 1,0 ili do smrtnog ishoda u toku 96 ned</w:t>
      </w:r>
      <w:r w:rsidR="00E765C9" w:rsidRPr="008751D6">
        <w:rPr>
          <w:rFonts w:eastAsia="Calibri"/>
          <w:sz w:val="22"/>
          <w:szCs w:val="22"/>
          <w:lang w:val="sr-Latn-RS"/>
        </w:rPr>
        <w:t>j</w:t>
      </w:r>
      <w:r w:rsidRPr="008751D6">
        <w:rPr>
          <w:rFonts w:eastAsia="Calibri"/>
          <w:sz w:val="22"/>
          <w:szCs w:val="22"/>
          <w:lang w:val="sr-Latn-RS"/>
        </w:rPr>
        <w:t>elja nakon prve prim</w:t>
      </w:r>
      <w:r w:rsidR="00E765C9" w:rsidRPr="008751D6">
        <w:rPr>
          <w:rFonts w:eastAsia="Calibri"/>
          <w:sz w:val="22"/>
          <w:szCs w:val="22"/>
          <w:lang w:val="sr-Latn-RS"/>
        </w:rPr>
        <w:t>j</w:t>
      </w:r>
      <w:r w:rsidRPr="008751D6">
        <w:rPr>
          <w:rFonts w:eastAsia="Calibri"/>
          <w:sz w:val="22"/>
          <w:szCs w:val="22"/>
          <w:lang w:val="sr-Latn-RS"/>
        </w:rPr>
        <w:t>ene l</w:t>
      </w:r>
      <w:r w:rsidR="00E765C9" w:rsidRPr="008751D6">
        <w:rPr>
          <w:rFonts w:eastAsia="Calibri"/>
          <w:sz w:val="22"/>
          <w:szCs w:val="22"/>
          <w:lang w:val="sr-Latn-RS"/>
        </w:rPr>
        <w:t>ij</w:t>
      </w:r>
      <w:r w:rsidRPr="008751D6">
        <w:rPr>
          <w:rFonts w:eastAsia="Calibri"/>
          <w:sz w:val="22"/>
          <w:szCs w:val="22"/>
          <w:lang w:val="sr-Latn-RS"/>
        </w:rPr>
        <w:t>eka. Za analizu PFS korišćene su nezavisne, centralno obrađene radiološke proc</w:t>
      </w:r>
      <w:r w:rsidR="00E765C9" w:rsidRPr="008751D6">
        <w:rPr>
          <w:rFonts w:eastAsia="Calibri"/>
          <w:sz w:val="22"/>
          <w:szCs w:val="22"/>
          <w:lang w:val="sr-Latn-RS"/>
        </w:rPr>
        <w:t>j</w:t>
      </w:r>
      <w:r w:rsidRPr="008751D6">
        <w:rPr>
          <w:rFonts w:eastAsia="Calibri"/>
          <w:sz w:val="22"/>
          <w:szCs w:val="22"/>
          <w:lang w:val="sr-Latn-RS"/>
        </w:rPr>
        <w:t xml:space="preserve">ene progresije. </w:t>
      </w:r>
      <w:r w:rsidR="009A66FF" w:rsidRPr="008751D6">
        <w:rPr>
          <w:rFonts w:eastAsia="Calibri"/>
          <w:sz w:val="22"/>
          <w:szCs w:val="22"/>
          <w:lang w:val="sr-Latn-RS"/>
        </w:rPr>
        <w:t xml:space="preserve"> </w:t>
      </w:r>
    </w:p>
    <w:p w14:paraId="7B29C544" w14:textId="77777777" w:rsidR="00162A59" w:rsidRPr="008751D6" w:rsidRDefault="00162A59">
      <w:pPr>
        <w:jc w:val="both"/>
        <w:rPr>
          <w:rFonts w:eastAsia="Calibri"/>
          <w:sz w:val="22"/>
          <w:szCs w:val="22"/>
          <w:lang w:val="sr-Latn-RS"/>
        </w:rPr>
      </w:pPr>
    </w:p>
    <w:p w14:paraId="0C81B89E" w14:textId="77777777" w:rsidR="00162A59" w:rsidRPr="008751D6" w:rsidRDefault="00162A59">
      <w:pPr>
        <w:jc w:val="both"/>
        <w:rPr>
          <w:rFonts w:eastAsia="Calibri"/>
          <w:sz w:val="22"/>
          <w:szCs w:val="22"/>
          <w:lang w:val="sr-Latn-RS"/>
        </w:rPr>
      </w:pPr>
      <w:r w:rsidRPr="008751D6">
        <w:rPr>
          <w:rFonts w:eastAsia="Calibri"/>
          <w:sz w:val="22"/>
          <w:szCs w:val="22"/>
          <w:lang w:val="sr-Latn-RS"/>
        </w:rPr>
        <w:t>Tabela 1. Rezultati efikasnosti studije faze III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037"/>
        <w:gridCol w:w="1559"/>
        <w:gridCol w:w="1932"/>
        <w:gridCol w:w="1559"/>
      </w:tblGrid>
      <w:tr w:rsidR="00162A59" w:rsidRPr="008751D6" w14:paraId="560C9E9D" w14:textId="77777777" w:rsidTr="00827654">
        <w:tc>
          <w:tcPr>
            <w:tcW w:w="4017" w:type="dxa"/>
            <w:gridSpan w:val="2"/>
            <w:shd w:val="clear" w:color="auto" w:fill="auto"/>
          </w:tcPr>
          <w:p w14:paraId="3DDDA975" w14:textId="13D307B8" w:rsidR="00162A59" w:rsidRPr="008751D6" w:rsidRDefault="00162A59" w:rsidP="008319CC">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Medijana preživljavanja bez progresije bolesti</w:t>
            </w:r>
            <w:r w:rsidR="00CE598E" w:rsidRPr="008751D6">
              <w:rPr>
                <w:sz w:val="22"/>
                <w:szCs w:val="22"/>
                <w:lang w:val="sr-Latn-RS" w:eastAsia="fr-FR"/>
              </w:rPr>
              <w:t xml:space="preserve"> </w:t>
            </w:r>
            <w:r w:rsidRPr="008751D6">
              <w:rPr>
                <w:sz w:val="22"/>
                <w:szCs w:val="22"/>
                <w:lang w:val="sr-Latn-RS" w:eastAsia="fr-FR"/>
              </w:rPr>
              <w:t>(ned</w:t>
            </w:r>
            <w:r w:rsidR="00E765C9" w:rsidRPr="008751D6">
              <w:rPr>
                <w:sz w:val="22"/>
                <w:szCs w:val="22"/>
                <w:lang w:val="sr-Latn-RS" w:eastAsia="fr-FR"/>
              </w:rPr>
              <w:t>j</w:t>
            </w:r>
            <w:r w:rsidRPr="008751D6">
              <w:rPr>
                <w:sz w:val="22"/>
                <w:szCs w:val="22"/>
                <w:lang w:val="sr-Latn-RS" w:eastAsia="fr-FR"/>
              </w:rPr>
              <w:t>elje)</w:t>
            </w:r>
          </w:p>
        </w:tc>
        <w:tc>
          <w:tcPr>
            <w:tcW w:w="1559" w:type="dxa"/>
            <w:vMerge w:val="restart"/>
            <w:shd w:val="clear" w:color="auto" w:fill="auto"/>
          </w:tcPr>
          <w:p w14:paraId="7BBAD5E0" w14:textId="77777777" w:rsidR="00162A59" w:rsidRPr="008751D6" w:rsidRDefault="00162A59" w:rsidP="009E2113">
            <w:pPr>
              <w:suppressAutoHyphens/>
              <w:overflowPunct w:val="0"/>
              <w:autoSpaceDE w:val="0"/>
              <w:autoSpaceDN w:val="0"/>
              <w:adjustRightInd w:val="0"/>
              <w:spacing w:before="60" w:after="60"/>
              <w:jc w:val="both"/>
              <w:textAlignment w:val="baseline"/>
              <w:rPr>
                <w:sz w:val="22"/>
                <w:szCs w:val="22"/>
                <w:lang w:val="sr-Latn-RS" w:eastAsia="fr-FR"/>
              </w:rPr>
            </w:pPr>
          </w:p>
          <w:p w14:paraId="49ABF38D"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Odnos rizika (95% CI)</w:t>
            </w:r>
          </w:p>
        </w:tc>
        <w:tc>
          <w:tcPr>
            <w:tcW w:w="1932" w:type="dxa"/>
            <w:vMerge w:val="restart"/>
            <w:shd w:val="clear" w:color="auto" w:fill="auto"/>
          </w:tcPr>
          <w:p w14:paraId="64AB47C1"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p>
          <w:p w14:paraId="19ECA7A9"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Smanjenje rizika od progresije bolesti ili smrtnog ishoda</w:t>
            </w:r>
          </w:p>
          <w:p w14:paraId="26E8AB21"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p>
        </w:tc>
        <w:tc>
          <w:tcPr>
            <w:tcW w:w="1559" w:type="dxa"/>
            <w:vMerge w:val="restart"/>
            <w:shd w:val="clear" w:color="auto" w:fill="auto"/>
          </w:tcPr>
          <w:p w14:paraId="46F9D553"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p>
          <w:p w14:paraId="42B287B2"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p-vr</w:t>
            </w:r>
            <w:r w:rsidR="00E765C9" w:rsidRPr="008751D6">
              <w:rPr>
                <w:sz w:val="22"/>
                <w:szCs w:val="22"/>
                <w:lang w:val="sr-Latn-RS" w:eastAsia="fr-FR"/>
              </w:rPr>
              <w:t>ij</w:t>
            </w:r>
            <w:r w:rsidRPr="008751D6">
              <w:rPr>
                <w:sz w:val="22"/>
                <w:szCs w:val="22"/>
                <w:lang w:val="sr-Latn-RS" w:eastAsia="fr-FR"/>
              </w:rPr>
              <w:t>ednost</w:t>
            </w:r>
          </w:p>
        </w:tc>
      </w:tr>
      <w:tr w:rsidR="00162A59" w:rsidRPr="008751D6" w14:paraId="71579F10" w14:textId="77777777" w:rsidTr="00827654">
        <w:tc>
          <w:tcPr>
            <w:tcW w:w="1980" w:type="dxa"/>
            <w:shd w:val="clear" w:color="auto" w:fill="auto"/>
          </w:tcPr>
          <w:p w14:paraId="3D2DDCE7" w14:textId="77777777" w:rsidR="00162A59" w:rsidRPr="008751D6" w:rsidRDefault="00162A59" w:rsidP="009E2113">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Somatuline Autogel</w:t>
            </w:r>
          </w:p>
          <w:p w14:paraId="23806B07"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(n=101)</w:t>
            </w:r>
          </w:p>
        </w:tc>
        <w:tc>
          <w:tcPr>
            <w:tcW w:w="2037" w:type="dxa"/>
            <w:shd w:val="clear" w:color="auto" w:fill="auto"/>
          </w:tcPr>
          <w:p w14:paraId="1096AE9B"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Placebo</w:t>
            </w:r>
          </w:p>
          <w:p w14:paraId="7FB53996"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(n=103)</w:t>
            </w:r>
          </w:p>
        </w:tc>
        <w:tc>
          <w:tcPr>
            <w:tcW w:w="1559" w:type="dxa"/>
            <w:vMerge/>
            <w:shd w:val="clear" w:color="auto" w:fill="auto"/>
          </w:tcPr>
          <w:p w14:paraId="666F220E"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p>
        </w:tc>
        <w:tc>
          <w:tcPr>
            <w:tcW w:w="1932" w:type="dxa"/>
            <w:vMerge/>
            <w:shd w:val="clear" w:color="auto" w:fill="auto"/>
          </w:tcPr>
          <w:p w14:paraId="507A68F3"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p>
        </w:tc>
        <w:tc>
          <w:tcPr>
            <w:tcW w:w="1559" w:type="dxa"/>
            <w:vMerge/>
            <w:shd w:val="clear" w:color="auto" w:fill="auto"/>
          </w:tcPr>
          <w:p w14:paraId="03190168"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p>
        </w:tc>
      </w:tr>
      <w:tr w:rsidR="00162A59" w:rsidRPr="008751D6" w14:paraId="7C07E8F2" w14:textId="77777777" w:rsidTr="00827654">
        <w:tc>
          <w:tcPr>
            <w:tcW w:w="1980" w:type="dxa"/>
            <w:shd w:val="clear" w:color="auto" w:fill="auto"/>
          </w:tcPr>
          <w:p w14:paraId="497E1011" w14:textId="77777777" w:rsidR="00162A59" w:rsidRPr="008751D6" w:rsidRDefault="00162A59" w:rsidP="009E2113">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&gt; 96 ned</w:t>
            </w:r>
            <w:r w:rsidR="00E765C9" w:rsidRPr="008751D6">
              <w:rPr>
                <w:sz w:val="22"/>
                <w:szCs w:val="22"/>
                <w:lang w:val="sr-Latn-RS" w:eastAsia="fr-FR"/>
              </w:rPr>
              <w:t>j</w:t>
            </w:r>
            <w:r w:rsidRPr="008751D6">
              <w:rPr>
                <w:sz w:val="22"/>
                <w:szCs w:val="22"/>
                <w:lang w:val="sr-Latn-RS" w:eastAsia="fr-FR"/>
              </w:rPr>
              <w:t>elja</w:t>
            </w:r>
          </w:p>
        </w:tc>
        <w:tc>
          <w:tcPr>
            <w:tcW w:w="2037" w:type="dxa"/>
            <w:shd w:val="clear" w:color="auto" w:fill="auto"/>
          </w:tcPr>
          <w:p w14:paraId="043B3246"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72,00 ned</w:t>
            </w:r>
            <w:r w:rsidR="00E765C9" w:rsidRPr="008751D6">
              <w:rPr>
                <w:sz w:val="22"/>
                <w:szCs w:val="22"/>
                <w:lang w:val="sr-Latn-RS" w:eastAsia="fr-FR"/>
              </w:rPr>
              <w:t>j</w:t>
            </w:r>
            <w:r w:rsidRPr="008751D6">
              <w:rPr>
                <w:sz w:val="22"/>
                <w:szCs w:val="22"/>
                <w:lang w:val="sr-Latn-RS" w:eastAsia="fr-FR"/>
              </w:rPr>
              <w:t>elje</w:t>
            </w:r>
          </w:p>
          <w:p w14:paraId="6E044F97"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(95% CI: 48,57; 96,00)</w:t>
            </w:r>
          </w:p>
        </w:tc>
        <w:tc>
          <w:tcPr>
            <w:tcW w:w="1559" w:type="dxa"/>
            <w:shd w:val="clear" w:color="auto" w:fill="auto"/>
          </w:tcPr>
          <w:p w14:paraId="366E3B7B"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 xml:space="preserve">0,470 </w:t>
            </w:r>
          </w:p>
          <w:p w14:paraId="3DECBF9E"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(0,304; 0,729)</w:t>
            </w:r>
          </w:p>
        </w:tc>
        <w:tc>
          <w:tcPr>
            <w:tcW w:w="1932" w:type="dxa"/>
            <w:shd w:val="clear" w:color="auto" w:fill="auto"/>
          </w:tcPr>
          <w:p w14:paraId="3E7FD362"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53 %</w:t>
            </w:r>
          </w:p>
          <w:p w14:paraId="48DD3F47"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p>
        </w:tc>
        <w:tc>
          <w:tcPr>
            <w:tcW w:w="1559" w:type="dxa"/>
            <w:shd w:val="clear" w:color="auto" w:fill="auto"/>
          </w:tcPr>
          <w:p w14:paraId="6AD1571D" w14:textId="77777777" w:rsidR="00162A59" w:rsidRPr="008751D6" w:rsidRDefault="00162A59">
            <w:pPr>
              <w:suppressAutoHyphens/>
              <w:overflowPunct w:val="0"/>
              <w:autoSpaceDE w:val="0"/>
              <w:autoSpaceDN w:val="0"/>
              <w:adjustRightInd w:val="0"/>
              <w:spacing w:before="60" w:after="60"/>
              <w:jc w:val="both"/>
              <w:textAlignment w:val="baseline"/>
              <w:rPr>
                <w:sz w:val="22"/>
                <w:szCs w:val="22"/>
                <w:lang w:val="sr-Latn-RS" w:eastAsia="fr-FR"/>
              </w:rPr>
            </w:pPr>
            <w:r w:rsidRPr="008751D6">
              <w:rPr>
                <w:sz w:val="22"/>
                <w:szCs w:val="22"/>
                <w:lang w:val="sr-Latn-RS" w:eastAsia="fr-FR"/>
              </w:rPr>
              <w:t>0,0002</w:t>
            </w:r>
          </w:p>
        </w:tc>
      </w:tr>
    </w:tbl>
    <w:p w14:paraId="56807E07" w14:textId="77777777" w:rsidR="00162A59" w:rsidRPr="008751D6" w:rsidRDefault="00162A59" w:rsidP="009E2113">
      <w:pPr>
        <w:jc w:val="both"/>
        <w:rPr>
          <w:rFonts w:eastAsia="Calibri"/>
          <w:sz w:val="22"/>
          <w:szCs w:val="22"/>
          <w:lang w:val="sr-Latn-RS"/>
        </w:rPr>
      </w:pPr>
    </w:p>
    <w:p w14:paraId="1A6FC4F6" w14:textId="77777777" w:rsidR="00162A59" w:rsidRPr="008751D6" w:rsidRDefault="00162A59" w:rsidP="009E2113">
      <w:pPr>
        <w:jc w:val="both"/>
        <w:rPr>
          <w:rFonts w:eastAsia="Calibri"/>
          <w:sz w:val="22"/>
          <w:szCs w:val="22"/>
          <w:lang w:val="sr-Latn-RS"/>
        </w:rPr>
      </w:pPr>
    </w:p>
    <w:p w14:paraId="3760ADA6" w14:textId="77777777" w:rsidR="008751D6" w:rsidRPr="008751D6" w:rsidRDefault="008751D6">
      <w:pPr>
        <w:jc w:val="both"/>
        <w:rPr>
          <w:rFonts w:eastAsia="Calibri"/>
          <w:sz w:val="22"/>
          <w:szCs w:val="22"/>
          <w:lang w:val="sr-Latn-RS"/>
        </w:rPr>
      </w:pPr>
    </w:p>
    <w:p w14:paraId="2A40874E" w14:textId="77777777" w:rsidR="008751D6" w:rsidRPr="008751D6" w:rsidRDefault="008751D6">
      <w:pPr>
        <w:jc w:val="both"/>
        <w:rPr>
          <w:rFonts w:eastAsia="Calibri"/>
          <w:sz w:val="22"/>
          <w:szCs w:val="22"/>
          <w:lang w:val="sr-Latn-RS"/>
        </w:rPr>
      </w:pPr>
    </w:p>
    <w:p w14:paraId="395517CA" w14:textId="77777777" w:rsidR="008751D6" w:rsidRPr="008751D6" w:rsidRDefault="008751D6">
      <w:pPr>
        <w:jc w:val="both"/>
        <w:rPr>
          <w:rFonts w:eastAsia="Calibri"/>
          <w:sz w:val="22"/>
          <w:szCs w:val="22"/>
          <w:lang w:val="sr-Latn-RS"/>
        </w:rPr>
      </w:pPr>
    </w:p>
    <w:p w14:paraId="2AD4D1BF" w14:textId="77777777" w:rsidR="008751D6" w:rsidRPr="008751D6" w:rsidRDefault="008751D6">
      <w:pPr>
        <w:jc w:val="both"/>
        <w:rPr>
          <w:rFonts w:eastAsia="Calibri"/>
          <w:sz w:val="22"/>
          <w:szCs w:val="22"/>
          <w:lang w:val="sr-Latn-RS"/>
        </w:rPr>
      </w:pPr>
    </w:p>
    <w:p w14:paraId="6FC4B9BB" w14:textId="77777777" w:rsidR="008751D6" w:rsidRPr="008751D6" w:rsidRDefault="008751D6">
      <w:pPr>
        <w:jc w:val="both"/>
        <w:rPr>
          <w:rFonts w:eastAsia="Calibri"/>
          <w:sz w:val="22"/>
          <w:szCs w:val="22"/>
          <w:lang w:val="sr-Latn-RS"/>
        </w:rPr>
      </w:pPr>
    </w:p>
    <w:p w14:paraId="0FE166F8" w14:textId="77777777" w:rsidR="008751D6" w:rsidRPr="008751D6" w:rsidRDefault="008751D6">
      <w:pPr>
        <w:jc w:val="both"/>
        <w:rPr>
          <w:rFonts w:eastAsia="Calibri"/>
          <w:sz w:val="22"/>
          <w:szCs w:val="22"/>
          <w:lang w:val="sr-Latn-RS"/>
        </w:rPr>
      </w:pPr>
    </w:p>
    <w:p w14:paraId="1D8557DB" w14:textId="77777777" w:rsidR="008751D6" w:rsidRPr="008751D6" w:rsidRDefault="008751D6">
      <w:pPr>
        <w:jc w:val="both"/>
        <w:rPr>
          <w:rFonts w:eastAsia="Calibri"/>
          <w:sz w:val="22"/>
          <w:szCs w:val="22"/>
          <w:lang w:val="sr-Latn-RS"/>
        </w:rPr>
      </w:pPr>
    </w:p>
    <w:p w14:paraId="4BD63A3A" w14:textId="77777777" w:rsidR="008751D6" w:rsidRPr="008751D6" w:rsidRDefault="008751D6">
      <w:pPr>
        <w:jc w:val="both"/>
        <w:rPr>
          <w:rFonts w:eastAsia="Calibri"/>
          <w:sz w:val="22"/>
          <w:szCs w:val="22"/>
          <w:lang w:val="sr-Latn-RS"/>
        </w:rPr>
      </w:pPr>
    </w:p>
    <w:p w14:paraId="03DD9857" w14:textId="77777777" w:rsidR="008751D6" w:rsidRPr="008751D6" w:rsidRDefault="008751D6">
      <w:pPr>
        <w:jc w:val="both"/>
        <w:rPr>
          <w:rFonts w:eastAsia="Calibri"/>
          <w:sz w:val="22"/>
          <w:szCs w:val="22"/>
          <w:lang w:val="sr-Latn-RS"/>
        </w:rPr>
      </w:pPr>
    </w:p>
    <w:p w14:paraId="7CE43A94" w14:textId="77777777" w:rsidR="008751D6" w:rsidRPr="008751D6" w:rsidRDefault="008751D6">
      <w:pPr>
        <w:jc w:val="both"/>
        <w:rPr>
          <w:rFonts w:eastAsia="Calibri"/>
          <w:sz w:val="22"/>
          <w:szCs w:val="22"/>
          <w:lang w:val="sr-Latn-RS"/>
        </w:rPr>
      </w:pPr>
    </w:p>
    <w:p w14:paraId="7665EE68" w14:textId="77777777" w:rsidR="008751D6" w:rsidRPr="008751D6" w:rsidRDefault="008751D6">
      <w:pPr>
        <w:jc w:val="both"/>
        <w:rPr>
          <w:rFonts w:eastAsia="Calibri"/>
          <w:sz w:val="22"/>
          <w:szCs w:val="22"/>
          <w:lang w:val="sr-Latn-RS"/>
        </w:rPr>
      </w:pPr>
    </w:p>
    <w:p w14:paraId="2C8C29F0" w14:textId="77777777" w:rsidR="008751D6" w:rsidRPr="008751D6" w:rsidRDefault="008751D6">
      <w:pPr>
        <w:jc w:val="both"/>
        <w:rPr>
          <w:rFonts w:eastAsia="Calibri"/>
          <w:sz w:val="22"/>
          <w:szCs w:val="22"/>
          <w:lang w:val="sr-Latn-RS"/>
        </w:rPr>
      </w:pPr>
    </w:p>
    <w:p w14:paraId="11F8FD80" w14:textId="77777777" w:rsidR="008751D6" w:rsidRPr="008751D6" w:rsidRDefault="008751D6">
      <w:pPr>
        <w:jc w:val="both"/>
        <w:rPr>
          <w:rFonts w:eastAsia="Calibri"/>
          <w:sz w:val="22"/>
          <w:szCs w:val="22"/>
          <w:lang w:val="sr-Latn-RS"/>
        </w:rPr>
      </w:pPr>
    </w:p>
    <w:p w14:paraId="51D72270" w14:textId="77777777" w:rsidR="008751D6" w:rsidRPr="008751D6" w:rsidRDefault="008751D6">
      <w:pPr>
        <w:jc w:val="both"/>
        <w:rPr>
          <w:rFonts w:eastAsia="Calibri"/>
          <w:sz w:val="22"/>
          <w:szCs w:val="22"/>
          <w:lang w:val="sr-Latn-RS"/>
        </w:rPr>
      </w:pPr>
    </w:p>
    <w:p w14:paraId="1C3D1C71" w14:textId="77777777" w:rsidR="008751D6" w:rsidRPr="008751D6" w:rsidRDefault="008751D6">
      <w:pPr>
        <w:jc w:val="both"/>
        <w:rPr>
          <w:rFonts w:eastAsia="Calibri"/>
          <w:sz w:val="22"/>
          <w:szCs w:val="22"/>
          <w:lang w:val="sr-Latn-RS"/>
        </w:rPr>
      </w:pPr>
    </w:p>
    <w:p w14:paraId="76E5271A" w14:textId="77777777" w:rsidR="008751D6" w:rsidRPr="008751D6" w:rsidRDefault="008751D6">
      <w:pPr>
        <w:jc w:val="both"/>
        <w:rPr>
          <w:rFonts w:eastAsia="Calibri"/>
          <w:sz w:val="22"/>
          <w:szCs w:val="22"/>
          <w:lang w:val="sr-Latn-RS"/>
        </w:rPr>
      </w:pPr>
    </w:p>
    <w:p w14:paraId="3C49C3B8" w14:textId="77777777" w:rsidR="008751D6" w:rsidRPr="008751D6" w:rsidRDefault="008751D6">
      <w:pPr>
        <w:jc w:val="both"/>
        <w:rPr>
          <w:rFonts w:eastAsia="Calibri"/>
          <w:sz w:val="22"/>
          <w:szCs w:val="22"/>
          <w:lang w:val="sr-Latn-RS"/>
        </w:rPr>
      </w:pPr>
    </w:p>
    <w:p w14:paraId="4A39DA96" w14:textId="77777777" w:rsidR="008751D6" w:rsidRPr="008751D6" w:rsidRDefault="008751D6">
      <w:pPr>
        <w:jc w:val="both"/>
        <w:rPr>
          <w:rFonts w:eastAsia="Calibri"/>
          <w:sz w:val="22"/>
          <w:szCs w:val="22"/>
          <w:lang w:val="sr-Latn-RS"/>
        </w:rPr>
      </w:pPr>
    </w:p>
    <w:p w14:paraId="4CE3D2DB" w14:textId="3D2B892A" w:rsidR="00162A59" w:rsidRPr="008751D6" w:rsidRDefault="00162A59">
      <w:pPr>
        <w:jc w:val="both"/>
        <w:rPr>
          <w:rFonts w:eastAsia="Calibri"/>
          <w:sz w:val="22"/>
          <w:szCs w:val="22"/>
          <w:lang w:val="sr-Latn-RS"/>
        </w:rPr>
      </w:pPr>
      <w:r w:rsidRPr="008751D6">
        <w:rPr>
          <w:rFonts w:eastAsia="Calibri"/>
          <w:sz w:val="22"/>
          <w:szCs w:val="22"/>
          <w:lang w:val="sr-Latn-RS"/>
        </w:rPr>
        <w:lastRenderedPageBreak/>
        <w:t>Slika 1. Kaplan-Meier krive preživljavanja bez progresije bolesti</w:t>
      </w:r>
    </w:p>
    <w:p w14:paraId="5B1CEBF5" w14:textId="77777777" w:rsidR="00162A59" w:rsidRPr="008751D6" w:rsidRDefault="00162A59">
      <w:pPr>
        <w:jc w:val="both"/>
        <w:rPr>
          <w:sz w:val="22"/>
          <w:szCs w:val="22"/>
          <w:lang w:val="sr-Latn-RS"/>
        </w:rPr>
      </w:pPr>
      <w:r w:rsidRPr="008751D6">
        <w:rPr>
          <w:noProof/>
          <w:color w:val="365F91"/>
          <w:sz w:val="22"/>
          <w:szCs w:val="22"/>
        </w:rPr>
        <w:drawing>
          <wp:inline distT="0" distB="0" distL="0" distR="0" wp14:anchorId="66BE65AF" wp14:editId="314FCC6F">
            <wp:extent cx="4572000" cy="2952750"/>
            <wp:effectExtent l="0" t="0" r="0" b="0"/>
            <wp:docPr id="3" name="Picture 3" descr="Figure 1 PFS Kaplan Meier - 27may2014 - With ATG instead of Depot 2Jun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FS Kaplan Meier - 27may2014 - With ATG instead of Depot 2Jun20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2952750"/>
                    </a:xfrm>
                    <a:prstGeom prst="rect">
                      <a:avLst/>
                    </a:prstGeom>
                    <a:noFill/>
                    <a:ln>
                      <a:noFill/>
                    </a:ln>
                  </pic:spPr>
                </pic:pic>
              </a:graphicData>
            </a:graphic>
          </wp:inline>
        </w:drawing>
      </w:r>
    </w:p>
    <w:p w14:paraId="7F94EC05" w14:textId="77777777" w:rsidR="00162A59" w:rsidRPr="008751D6" w:rsidRDefault="00162A59">
      <w:pPr>
        <w:jc w:val="both"/>
        <w:rPr>
          <w:sz w:val="22"/>
          <w:szCs w:val="22"/>
          <w:lang w:val="sr-Latn-RS"/>
        </w:rPr>
      </w:pPr>
    </w:p>
    <w:p w14:paraId="0F2F69BD" w14:textId="77777777" w:rsidR="00162A59" w:rsidRPr="008751D6" w:rsidRDefault="00162A59">
      <w:pPr>
        <w:jc w:val="both"/>
        <w:rPr>
          <w:rFonts w:eastAsia="Calibri"/>
          <w:sz w:val="22"/>
          <w:szCs w:val="22"/>
          <w:lang w:val="sr-Latn-RS"/>
        </w:rPr>
      </w:pPr>
    </w:p>
    <w:p w14:paraId="28F83D1F" w14:textId="77777777" w:rsidR="00162A59" w:rsidRPr="008751D6" w:rsidRDefault="00162A59">
      <w:pPr>
        <w:jc w:val="both"/>
        <w:rPr>
          <w:rFonts w:eastAsia="Calibri"/>
          <w:sz w:val="22"/>
          <w:szCs w:val="22"/>
          <w:lang w:val="sr-Latn-RS"/>
        </w:rPr>
      </w:pPr>
    </w:p>
    <w:p w14:paraId="564D9059" w14:textId="07F64CB9" w:rsidR="00162A59" w:rsidRPr="008751D6" w:rsidRDefault="00162A59">
      <w:pPr>
        <w:jc w:val="both"/>
        <w:rPr>
          <w:rFonts w:eastAsia="Calibri"/>
          <w:sz w:val="22"/>
          <w:szCs w:val="22"/>
          <w:lang w:val="sr-Latn-RS"/>
        </w:rPr>
      </w:pPr>
      <w:r w:rsidRPr="008751D6">
        <w:rPr>
          <w:rFonts w:eastAsia="Calibri"/>
          <w:sz w:val="22"/>
          <w:szCs w:val="22"/>
          <w:lang w:val="sr-Latn-RS"/>
        </w:rPr>
        <w:t xml:space="preserve">Pozitivan efekat lanreotida u smanjenju rizika od progresije bolesti ili smrtnog ishoda je bio konzistentan nezavisno od lokalizacije primarnog tumora, </w:t>
      </w:r>
      <w:r w:rsidR="003101BC" w:rsidRPr="008751D6">
        <w:rPr>
          <w:rFonts w:eastAsia="Calibri"/>
          <w:sz w:val="22"/>
          <w:szCs w:val="22"/>
          <w:lang w:val="sr-Latn-RS"/>
        </w:rPr>
        <w:t>tumorskog opterećenja</w:t>
      </w:r>
      <w:r w:rsidRPr="008751D6">
        <w:rPr>
          <w:rFonts w:eastAsia="Calibri"/>
          <w:sz w:val="22"/>
          <w:szCs w:val="22"/>
          <w:lang w:val="sr-Latn-RS"/>
        </w:rPr>
        <w:t xml:space="preserve"> jetre, prethodne hemoterapije, </w:t>
      </w:r>
      <w:r w:rsidR="00653823" w:rsidRPr="008751D6">
        <w:rPr>
          <w:rFonts w:eastAsia="Calibri"/>
          <w:sz w:val="22"/>
          <w:szCs w:val="22"/>
          <w:lang w:val="sr-Latn-RS"/>
        </w:rPr>
        <w:t>početnog</w:t>
      </w:r>
      <w:r w:rsidRPr="008751D6">
        <w:rPr>
          <w:rFonts w:eastAsia="Calibri"/>
          <w:sz w:val="22"/>
          <w:szCs w:val="22"/>
          <w:lang w:val="sr-Latn-RS"/>
        </w:rPr>
        <w:t xml:space="preserve"> Ki67, gradusa tumora ili drugih </w:t>
      </w:r>
      <w:r w:rsidR="00713A73" w:rsidRPr="008751D6">
        <w:rPr>
          <w:rFonts w:eastAsia="Calibri"/>
          <w:sz w:val="22"/>
          <w:szCs w:val="22"/>
          <w:lang w:val="sr-Latn-RS"/>
        </w:rPr>
        <w:t>prethodno o</w:t>
      </w:r>
      <w:r w:rsidR="003101BC" w:rsidRPr="008751D6">
        <w:rPr>
          <w:rFonts w:eastAsia="Calibri"/>
          <w:sz w:val="22"/>
          <w:szCs w:val="22"/>
          <w:lang w:val="sr-Latn-RS"/>
        </w:rPr>
        <w:t>dređenih</w:t>
      </w:r>
      <w:r w:rsidRPr="008751D6">
        <w:rPr>
          <w:rFonts w:eastAsia="Calibri"/>
          <w:sz w:val="22"/>
          <w:szCs w:val="22"/>
          <w:lang w:val="sr-Latn-RS"/>
        </w:rPr>
        <w:t xml:space="preserve"> karakteristika prikazanih na slici 2.</w:t>
      </w:r>
    </w:p>
    <w:p w14:paraId="78A7881C" w14:textId="77777777" w:rsidR="00162A59" w:rsidRPr="008751D6" w:rsidRDefault="00162A59">
      <w:pPr>
        <w:jc w:val="both"/>
        <w:rPr>
          <w:rFonts w:eastAsia="Calibri"/>
          <w:sz w:val="22"/>
          <w:szCs w:val="22"/>
          <w:lang w:val="sr-Latn-RS"/>
        </w:rPr>
      </w:pPr>
    </w:p>
    <w:p w14:paraId="4E1D9BF2" w14:textId="11C2C600" w:rsidR="00162A59" w:rsidRPr="008751D6" w:rsidRDefault="00162A59">
      <w:pPr>
        <w:jc w:val="both"/>
        <w:rPr>
          <w:rFonts w:eastAsia="Calibri"/>
          <w:sz w:val="22"/>
          <w:szCs w:val="22"/>
          <w:lang w:val="sr-Latn-RS"/>
        </w:rPr>
      </w:pPr>
      <w:r w:rsidRPr="008751D6">
        <w:rPr>
          <w:rFonts w:eastAsia="Calibri"/>
          <w:sz w:val="22"/>
          <w:szCs w:val="22"/>
          <w:lang w:val="sr-Latn-RS"/>
        </w:rPr>
        <w:t>Klinički značajna korist l</w:t>
      </w:r>
      <w:r w:rsidR="00E765C9" w:rsidRPr="008751D6">
        <w:rPr>
          <w:rFonts w:eastAsia="Calibri"/>
          <w:sz w:val="22"/>
          <w:szCs w:val="22"/>
          <w:lang w:val="sr-Latn-RS"/>
        </w:rPr>
        <w:t>ij</w:t>
      </w:r>
      <w:r w:rsidRPr="008751D6">
        <w:rPr>
          <w:rFonts w:eastAsia="Calibri"/>
          <w:sz w:val="22"/>
          <w:szCs w:val="22"/>
          <w:lang w:val="sr-Latn-RS"/>
        </w:rPr>
        <w:t>eka Somatuline Autogel prim</w:t>
      </w:r>
      <w:r w:rsidR="00E765C9" w:rsidRPr="008751D6">
        <w:rPr>
          <w:rFonts w:eastAsia="Calibri"/>
          <w:sz w:val="22"/>
          <w:szCs w:val="22"/>
          <w:lang w:val="sr-Latn-RS"/>
        </w:rPr>
        <w:t>ij</w:t>
      </w:r>
      <w:r w:rsidRPr="008751D6">
        <w:rPr>
          <w:rFonts w:eastAsia="Calibri"/>
          <w:sz w:val="22"/>
          <w:szCs w:val="22"/>
          <w:lang w:val="sr-Latn-RS"/>
        </w:rPr>
        <w:t>ećena je u l</w:t>
      </w:r>
      <w:r w:rsidR="00E765C9" w:rsidRPr="008751D6">
        <w:rPr>
          <w:rFonts w:eastAsia="Calibri"/>
          <w:sz w:val="22"/>
          <w:szCs w:val="22"/>
          <w:lang w:val="sr-Latn-RS"/>
        </w:rPr>
        <w:t>ij</w:t>
      </w:r>
      <w:r w:rsidRPr="008751D6">
        <w:rPr>
          <w:rFonts w:eastAsia="Calibri"/>
          <w:sz w:val="22"/>
          <w:szCs w:val="22"/>
          <w:lang w:val="sr-Latn-RS"/>
        </w:rPr>
        <w:t xml:space="preserve">ečenju pacijenata sa tumorima pankreasa, intestinuma i </w:t>
      </w:r>
      <w:r w:rsidR="00713A73" w:rsidRPr="008751D6">
        <w:rPr>
          <w:rFonts w:eastAsia="Calibri"/>
          <w:sz w:val="22"/>
          <w:szCs w:val="22"/>
          <w:lang w:val="sr-Latn-RS"/>
        </w:rPr>
        <w:t>drugog</w:t>
      </w:r>
      <w:r w:rsidRPr="008751D6">
        <w:rPr>
          <w:rFonts w:eastAsia="Calibri"/>
          <w:sz w:val="22"/>
          <w:szCs w:val="22"/>
          <w:lang w:val="sr-Latn-RS"/>
        </w:rPr>
        <w:t xml:space="preserve">/nepoznatog porekla u ispitivanoj populaciji. Ograničen broj pacijenata sa tumorima </w:t>
      </w:r>
      <w:r w:rsidR="00713A73" w:rsidRPr="008751D6">
        <w:rPr>
          <w:rFonts w:eastAsia="Calibri"/>
          <w:sz w:val="22"/>
          <w:szCs w:val="22"/>
          <w:lang w:val="sr-Latn-RS"/>
        </w:rPr>
        <w:t xml:space="preserve">zadnjeg dijela crijeva </w:t>
      </w:r>
      <w:r w:rsidRPr="008751D6">
        <w:rPr>
          <w:rFonts w:eastAsia="Calibri"/>
          <w:sz w:val="22"/>
          <w:szCs w:val="22"/>
          <w:lang w:val="sr-Latn-RS"/>
        </w:rPr>
        <w:t>(14/</w:t>
      </w:r>
      <w:r w:rsidR="00713A73" w:rsidRPr="008751D6">
        <w:rPr>
          <w:rFonts w:eastAsia="Calibri"/>
          <w:sz w:val="22"/>
          <w:szCs w:val="22"/>
          <w:lang w:val="sr-Latn-RS"/>
        </w:rPr>
        <w:t>2</w:t>
      </w:r>
      <w:r w:rsidRPr="008751D6">
        <w:rPr>
          <w:rFonts w:eastAsia="Calibri"/>
          <w:sz w:val="22"/>
          <w:szCs w:val="22"/>
          <w:lang w:val="sr-Latn-RS"/>
        </w:rPr>
        <w:t>04) otežao je interpretaciju rezultata u ovoj podgrupi. Raspoloživi podaci su pokazali da kod ove grupe pacijenata nije bilo koristi od l</w:t>
      </w:r>
      <w:r w:rsidR="009C1EEC" w:rsidRPr="008751D6">
        <w:rPr>
          <w:rFonts w:eastAsia="Calibri"/>
          <w:sz w:val="22"/>
          <w:szCs w:val="22"/>
          <w:lang w:val="sr-Latn-RS"/>
        </w:rPr>
        <w:t>ij</w:t>
      </w:r>
      <w:r w:rsidRPr="008751D6">
        <w:rPr>
          <w:rFonts w:eastAsia="Calibri"/>
          <w:sz w:val="22"/>
          <w:szCs w:val="22"/>
          <w:lang w:val="sr-Latn-RS"/>
        </w:rPr>
        <w:t>ečenja lanreotidom.</w:t>
      </w:r>
    </w:p>
    <w:p w14:paraId="60F483D4" w14:textId="77777777" w:rsidR="00162A59" w:rsidRPr="008751D6" w:rsidRDefault="00162A59">
      <w:pPr>
        <w:jc w:val="both"/>
        <w:rPr>
          <w:rFonts w:eastAsia="Calibri"/>
          <w:sz w:val="22"/>
          <w:szCs w:val="22"/>
          <w:lang w:val="sr-Latn-RS"/>
        </w:rPr>
      </w:pPr>
    </w:p>
    <w:p w14:paraId="1F7251F4" w14:textId="77777777" w:rsidR="00162A59" w:rsidRPr="008751D6" w:rsidRDefault="00162A59">
      <w:pPr>
        <w:jc w:val="both"/>
        <w:rPr>
          <w:sz w:val="22"/>
          <w:szCs w:val="22"/>
          <w:lang w:val="sr-Latn-RS"/>
        </w:rPr>
      </w:pPr>
      <w:r w:rsidRPr="008751D6">
        <w:rPr>
          <w:rFonts w:eastAsia="Calibri"/>
          <w:sz w:val="22"/>
          <w:szCs w:val="22"/>
          <w:lang w:val="sr-Latn-RS"/>
        </w:rPr>
        <w:t>Slika 2. Rezultati analize varijanse Cox proporcionalnih rizika PFS</w:t>
      </w:r>
      <w:r w:rsidRPr="008751D6">
        <w:rPr>
          <w:rFonts w:eastAsia="Calibri"/>
          <w:noProof/>
          <w:sz w:val="22"/>
          <w:szCs w:val="22"/>
        </w:rPr>
        <w:drawing>
          <wp:inline distT="0" distB="0" distL="0" distR="0" wp14:anchorId="5D627A57" wp14:editId="25FC4867">
            <wp:extent cx="5381625" cy="3038475"/>
            <wp:effectExtent l="0" t="0" r="9525" b="9525"/>
            <wp:docPr id="2" name="Picture 2" descr="Figure 2 - Cox Hazard - 27may2014- With ATG instead of Depot 2Jun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 Cox Hazard - 27may2014- With ATG instead of Depot 2Jun20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81625" cy="3038475"/>
                    </a:xfrm>
                    <a:prstGeom prst="rect">
                      <a:avLst/>
                    </a:prstGeom>
                    <a:noFill/>
                    <a:ln>
                      <a:noFill/>
                    </a:ln>
                  </pic:spPr>
                </pic:pic>
              </a:graphicData>
            </a:graphic>
          </wp:inline>
        </w:drawing>
      </w:r>
    </w:p>
    <w:p w14:paraId="7FBED3BB" w14:textId="77777777" w:rsidR="00162A59" w:rsidRPr="008751D6" w:rsidRDefault="00162A59">
      <w:pPr>
        <w:jc w:val="both"/>
        <w:rPr>
          <w:sz w:val="22"/>
          <w:szCs w:val="22"/>
          <w:lang w:val="sr-Latn-RS"/>
        </w:rPr>
      </w:pPr>
    </w:p>
    <w:p w14:paraId="6BCA0069" w14:textId="30EC1981" w:rsidR="009A66FF" w:rsidRPr="008751D6" w:rsidRDefault="00162A59" w:rsidP="009E2113">
      <w:pPr>
        <w:spacing w:before="80" w:after="80"/>
        <w:jc w:val="both"/>
        <w:rPr>
          <w:rFonts w:eastAsia="Calibri"/>
          <w:bCs/>
          <w:sz w:val="22"/>
          <w:szCs w:val="22"/>
          <w:lang w:val="sr-Latn-RS"/>
        </w:rPr>
      </w:pPr>
      <w:r w:rsidRPr="008751D6">
        <w:rPr>
          <w:rFonts w:eastAsia="Calibri"/>
          <w:bCs/>
          <w:sz w:val="22"/>
          <w:szCs w:val="22"/>
          <w:lang w:val="sr-Latn-RS"/>
        </w:rPr>
        <w:t>U produžetku otvorene studije</w:t>
      </w:r>
      <w:r w:rsidRPr="008751D6" w:rsidDel="000229F2">
        <w:rPr>
          <w:rFonts w:eastAsia="Calibri"/>
          <w:bCs/>
          <w:sz w:val="22"/>
          <w:szCs w:val="22"/>
          <w:lang w:val="sr-Latn-RS"/>
        </w:rPr>
        <w:t xml:space="preserve"> </w:t>
      </w:r>
      <w:r w:rsidRPr="008751D6">
        <w:rPr>
          <w:rFonts w:eastAsia="Calibri"/>
          <w:bCs/>
          <w:sz w:val="22"/>
          <w:szCs w:val="22"/>
          <w:lang w:val="sr-Latn-RS"/>
        </w:rPr>
        <w:t>45,6 % pacijenata (47/103) je prešlo sa placeba na terapiju l</w:t>
      </w:r>
      <w:r w:rsidR="009C1EEC" w:rsidRPr="008751D6">
        <w:rPr>
          <w:rFonts w:eastAsia="Calibri"/>
          <w:bCs/>
          <w:sz w:val="22"/>
          <w:szCs w:val="22"/>
          <w:lang w:val="sr-Latn-RS"/>
        </w:rPr>
        <w:t>ij</w:t>
      </w:r>
      <w:r w:rsidRPr="008751D6">
        <w:rPr>
          <w:rFonts w:eastAsia="Calibri"/>
          <w:bCs/>
          <w:sz w:val="22"/>
          <w:szCs w:val="22"/>
          <w:lang w:val="sr-Latn-RS"/>
        </w:rPr>
        <w:t xml:space="preserve">ekom Somatuline Autogel. </w:t>
      </w:r>
    </w:p>
    <w:p w14:paraId="29C5DCEB" w14:textId="77777777" w:rsidR="00162A59" w:rsidRPr="008751D6" w:rsidRDefault="00162A59" w:rsidP="008319CC">
      <w:pPr>
        <w:spacing w:before="80"/>
        <w:jc w:val="both"/>
        <w:rPr>
          <w:sz w:val="22"/>
          <w:szCs w:val="22"/>
          <w:lang w:val="sr-Latn-RS"/>
        </w:rPr>
      </w:pPr>
    </w:p>
    <w:p w14:paraId="26B8DEDE" w14:textId="77777777" w:rsidR="00162A59" w:rsidRPr="008751D6" w:rsidRDefault="00162A59" w:rsidP="009E2113">
      <w:pPr>
        <w:spacing w:before="80" w:after="80"/>
        <w:jc w:val="both"/>
        <w:rPr>
          <w:rFonts w:eastAsia="Calibri"/>
          <w:bCs/>
          <w:sz w:val="22"/>
          <w:szCs w:val="22"/>
          <w:u w:val="single"/>
          <w:lang w:val="sr-Latn-RS"/>
        </w:rPr>
      </w:pPr>
      <w:r w:rsidRPr="008751D6">
        <w:rPr>
          <w:rFonts w:eastAsia="Calibri"/>
          <w:bCs/>
          <w:sz w:val="22"/>
          <w:szCs w:val="22"/>
          <w:u w:val="single"/>
          <w:lang w:val="sr-Latn-RS"/>
        </w:rPr>
        <w:lastRenderedPageBreak/>
        <w:t>Pedijatrijska populacija</w:t>
      </w:r>
    </w:p>
    <w:p w14:paraId="1D4AA6AB" w14:textId="742E215F" w:rsidR="00162A59" w:rsidRPr="008751D6" w:rsidRDefault="00162A59">
      <w:pPr>
        <w:jc w:val="both"/>
        <w:rPr>
          <w:sz w:val="22"/>
          <w:szCs w:val="22"/>
          <w:lang w:val="sr-Latn-RS"/>
        </w:rPr>
      </w:pPr>
      <w:r w:rsidRPr="008751D6">
        <w:rPr>
          <w:rFonts w:eastAsia="Calibri"/>
          <w:bCs/>
          <w:sz w:val="22"/>
          <w:szCs w:val="22"/>
          <w:lang w:val="sr-Latn-RS"/>
        </w:rPr>
        <w:t xml:space="preserve">Evropska agencija za ljekove je odobrila izostavljanje obaveze dostavljanja rezultata studije sa lijekom Somatuline Autogel kod svih grupa pedijatrijskih pacijenata sa akromegalijom i uvećanjem hipofize (pogledati </w:t>
      </w:r>
      <w:r w:rsidR="00713A73" w:rsidRPr="008751D6">
        <w:rPr>
          <w:rFonts w:eastAsia="Calibri"/>
          <w:bCs/>
          <w:sz w:val="22"/>
          <w:szCs w:val="22"/>
          <w:lang w:val="sr-Latn-RS"/>
        </w:rPr>
        <w:t>dio</w:t>
      </w:r>
      <w:r w:rsidRPr="008751D6">
        <w:rPr>
          <w:rFonts w:eastAsia="Calibri"/>
          <w:bCs/>
          <w:sz w:val="22"/>
          <w:szCs w:val="22"/>
          <w:lang w:val="sr-Latn-RS"/>
        </w:rPr>
        <w:t xml:space="preserve"> 4.2 za informacije o primjeni u pedijatrijskoj populaciji). Evropska agencija za ljekove je navela gastroenteropankreasne neuroendokrine tumore (izuzev neuroblastoma, neuro</w:t>
      </w:r>
      <w:r w:rsidR="00EA78C1" w:rsidRPr="008751D6">
        <w:rPr>
          <w:rFonts w:eastAsia="Calibri"/>
          <w:bCs/>
          <w:sz w:val="22"/>
          <w:szCs w:val="22"/>
          <w:lang w:val="sr-Latn-RS"/>
        </w:rPr>
        <w:t>g</w:t>
      </w:r>
      <w:r w:rsidRPr="008751D6">
        <w:rPr>
          <w:rFonts w:eastAsia="Calibri"/>
          <w:bCs/>
          <w:sz w:val="22"/>
          <w:szCs w:val="22"/>
          <w:lang w:val="sr-Latn-RS"/>
        </w:rPr>
        <w:t>anglioblastoma, feohromocitoma)</w:t>
      </w:r>
      <w:r w:rsidR="00F53A72" w:rsidRPr="008751D6">
        <w:rPr>
          <w:sz w:val="22"/>
          <w:szCs w:val="22"/>
          <w:lang w:val="sr-Latn-RS"/>
        </w:rPr>
        <w:t xml:space="preserve"> </w:t>
      </w:r>
      <w:r w:rsidR="00F53A72" w:rsidRPr="008751D6">
        <w:rPr>
          <w:rFonts w:eastAsia="Calibri"/>
          <w:bCs/>
          <w:sz w:val="22"/>
          <w:szCs w:val="22"/>
          <w:lang w:val="sr-Latn-RS"/>
        </w:rPr>
        <w:t>u listi oslobođenih klasa ljekova</w:t>
      </w:r>
      <w:r w:rsidRPr="008751D6">
        <w:rPr>
          <w:rFonts w:eastAsia="Calibri"/>
          <w:bCs/>
          <w:sz w:val="22"/>
          <w:szCs w:val="22"/>
          <w:lang w:val="sr-Latn-RS"/>
        </w:rPr>
        <w:t>.</w:t>
      </w:r>
      <w:r w:rsidR="00F53A72" w:rsidRPr="008751D6">
        <w:rPr>
          <w:rFonts w:eastAsia="Calibri"/>
          <w:bCs/>
          <w:sz w:val="22"/>
          <w:szCs w:val="22"/>
          <w:lang w:val="sr-Latn-RS"/>
        </w:rPr>
        <w:t xml:space="preserve"> </w:t>
      </w:r>
    </w:p>
    <w:p w14:paraId="53E8B48E" w14:textId="77777777" w:rsidR="00CC2D09" w:rsidRPr="008751D6" w:rsidRDefault="00CC2D09">
      <w:pPr>
        <w:tabs>
          <w:tab w:val="left" w:pos="540"/>
          <w:tab w:val="left" w:pos="569"/>
        </w:tabs>
        <w:jc w:val="both"/>
        <w:rPr>
          <w:b/>
          <w:bCs/>
          <w:sz w:val="22"/>
          <w:szCs w:val="22"/>
          <w:lang w:val="sr-Latn-RS"/>
        </w:rPr>
      </w:pPr>
    </w:p>
    <w:p w14:paraId="21637B89"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5.2. </w:t>
      </w:r>
      <w:r w:rsidR="00480FB1" w:rsidRPr="008751D6">
        <w:rPr>
          <w:b/>
          <w:bCs/>
          <w:sz w:val="22"/>
          <w:szCs w:val="22"/>
          <w:lang w:val="sr-Latn-RS"/>
        </w:rPr>
        <w:tab/>
      </w:r>
      <w:r w:rsidRPr="008751D6">
        <w:rPr>
          <w:b/>
          <w:bCs/>
          <w:sz w:val="22"/>
          <w:szCs w:val="22"/>
          <w:lang w:val="sr-Latn-RS"/>
        </w:rPr>
        <w:t>Farmakokinetički podaci</w:t>
      </w:r>
      <w:r w:rsidR="003A7059" w:rsidRPr="008751D6">
        <w:rPr>
          <w:b/>
          <w:bCs/>
          <w:sz w:val="22"/>
          <w:szCs w:val="22"/>
          <w:lang w:val="sr-Latn-RS"/>
        </w:rPr>
        <w:t xml:space="preserve"> </w:t>
      </w:r>
    </w:p>
    <w:p w14:paraId="00870958" w14:textId="77777777" w:rsidR="0072020E" w:rsidRPr="008751D6" w:rsidRDefault="0072020E">
      <w:pPr>
        <w:tabs>
          <w:tab w:val="left" w:pos="540"/>
          <w:tab w:val="left" w:pos="569"/>
        </w:tabs>
        <w:jc w:val="both"/>
        <w:rPr>
          <w:bCs/>
          <w:sz w:val="22"/>
          <w:szCs w:val="22"/>
          <w:lang w:val="sr-Latn-RS"/>
        </w:rPr>
      </w:pPr>
    </w:p>
    <w:p w14:paraId="577E2EE3" w14:textId="5633DE25" w:rsidR="00CC2D09" w:rsidRPr="008751D6" w:rsidRDefault="00CC2D09">
      <w:pPr>
        <w:pStyle w:val="Header"/>
        <w:tabs>
          <w:tab w:val="left" w:pos="284"/>
        </w:tabs>
        <w:jc w:val="both"/>
        <w:rPr>
          <w:sz w:val="22"/>
          <w:szCs w:val="22"/>
          <w:lang w:val="sr-Latn-RS"/>
        </w:rPr>
      </w:pPr>
      <w:r w:rsidRPr="008751D6">
        <w:rPr>
          <w:sz w:val="22"/>
          <w:szCs w:val="22"/>
          <w:lang w:val="sr-Latn-RS"/>
        </w:rPr>
        <w:t xml:space="preserve">Intrinzički farmakokinetički parametri lanreotida nakon intravenske primjene kod zdravih dobrovoljaca ukazuju na ograničenu ekstravaskularnu distribuciju i stabilan volumen distribucije koji iznosi 16,1 </w:t>
      </w:r>
      <w:r w:rsidR="00653823" w:rsidRPr="008751D6">
        <w:rPr>
          <w:sz w:val="22"/>
          <w:szCs w:val="22"/>
          <w:lang w:val="sr-Latn-RS"/>
        </w:rPr>
        <w:t>l</w:t>
      </w:r>
      <w:r w:rsidRPr="008751D6">
        <w:rPr>
          <w:sz w:val="22"/>
          <w:szCs w:val="22"/>
          <w:lang w:val="sr-Latn-RS"/>
        </w:rPr>
        <w:t xml:space="preserve">. Ukupni klirens je 23,7 </w:t>
      </w:r>
      <w:r w:rsidR="00653823" w:rsidRPr="008751D6">
        <w:rPr>
          <w:sz w:val="22"/>
          <w:szCs w:val="22"/>
          <w:lang w:val="sr-Latn-RS"/>
        </w:rPr>
        <w:t>l</w:t>
      </w:r>
      <w:r w:rsidRPr="008751D6">
        <w:rPr>
          <w:sz w:val="22"/>
          <w:szCs w:val="22"/>
          <w:lang w:val="sr-Latn-RS"/>
        </w:rPr>
        <w:t xml:space="preserve">/h, terminalno poluvrijeme eliminacije 1,14 h, a prosječno vrijeme zadržavanja lijeka 0,68 sati. </w:t>
      </w:r>
    </w:p>
    <w:p w14:paraId="1ED9A3F8" w14:textId="77777777" w:rsidR="00CC2D09" w:rsidRPr="008751D6" w:rsidRDefault="00CC2D09">
      <w:pPr>
        <w:pStyle w:val="Header"/>
        <w:tabs>
          <w:tab w:val="left" w:pos="284"/>
        </w:tabs>
        <w:jc w:val="both"/>
        <w:rPr>
          <w:sz w:val="22"/>
          <w:szCs w:val="22"/>
          <w:lang w:val="sr-Latn-RS"/>
        </w:rPr>
      </w:pPr>
    </w:p>
    <w:p w14:paraId="1E741672" w14:textId="77777777" w:rsidR="00CC2D09" w:rsidRPr="008751D6" w:rsidRDefault="00CC2D09">
      <w:pPr>
        <w:pStyle w:val="Header"/>
        <w:tabs>
          <w:tab w:val="left" w:pos="284"/>
        </w:tabs>
        <w:jc w:val="both"/>
        <w:rPr>
          <w:sz w:val="22"/>
          <w:szCs w:val="22"/>
          <w:lang w:val="sr-Latn-RS"/>
        </w:rPr>
      </w:pPr>
      <w:r w:rsidRPr="008751D6">
        <w:rPr>
          <w:sz w:val="22"/>
          <w:szCs w:val="22"/>
          <w:lang w:val="sr-Latn-RS"/>
        </w:rPr>
        <w:t xml:space="preserve">U studijama koje su procijenjivale izlučivanje lanreotida, primijećeno je da se manje od 5 % lanreotida izlučuje putem urina, a manje od 0,5 % se može naći u fecesu u nepromjenjenom obliku, što ukazuje i na djelimičnu bilijarnu ekskreciju. </w:t>
      </w:r>
    </w:p>
    <w:p w14:paraId="668DD37A" w14:textId="77777777" w:rsidR="00CC2D09" w:rsidRPr="008751D6" w:rsidRDefault="00CC2D09">
      <w:pPr>
        <w:pStyle w:val="Header"/>
        <w:tabs>
          <w:tab w:val="left" w:pos="284"/>
        </w:tabs>
        <w:jc w:val="both"/>
        <w:rPr>
          <w:sz w:val="22"/>
          <w:szCs w:val="22"/>
          <w:lang w:val="sr-Latn-RS"/>
        </w:rPr>
      </w:pPr>
    </w:p>
    <w:p w14:paraId="69F6D4C5" w14:textId="735FF279" w:rsidR="00CC2D09" w:rsidRPr="008751D6" w:rsidRDefault="00CC2D09">
      <w:pPr>
        <w:pStyle w:val="Header"/>
        <w:tabs>
          <w:tab w:val="left" w:pos="284"/>
        </w:tabs>
        <w:jc w:val="both"/>
        <w:rPr>
          <w:sz w:val="22"/>
          <w:szCs w:val="22"/>
          <w:lang w:val="sr-Latn-RS"/>
        </w:rPr>
      </w:pPr>
      <w:r w:rsidRPr="008751D6">
        <w:rPr>
          <w:sz w:val="22"/>
          <w:szCs w:val="22"/>
          <w:lang w:val="sr-Latn-RS"/>
        </w:rPr>
        <w:t xml:space="preserve">Nakon primjene duboke subkutane injekcije lijeka Somatuline Autogel od 90 mg i 120 mg kod zdravih dobrovoljaca, postižu se </w:t>
      </w:r>
      <w:r w:rsidR="00F42972" w:rsidRPr="008751D6">
        <w:rPr>
          <w:sz w:val="22"/>
          <w:szCs w:val="22"/>
          <w:lang w:val="sr-Latn-RS"/>
        </w:rPr>
        <w:t>prosječne</w:t>
      </w:r>
      <w:r w:rsidR="00653823" w:rsidRPr="008751D6">
        <w:rPr>
          <w:sz w:val="22"/>
          <w:szCs w:val="22"/>
          <w:lang w:val="sr-Latn-RS"/>
        </w:rPr>
        <w:t xml:space="preserve"> </w:t>
      </w:r>
      <w:r w:rsidRPr="008751D6">
        <w:rPr>
          <w:sz w:val="22"/>
          <w:szCs w:val="22"/>
          <w:lang w:val="sr-Latn-RS"/>
        </w:rPr>
        <w:t>maksimalne koncentracije lanreotida u serumu od 8,39 ng/m</w:t>
      </w:r>
      <w:r w:rsidR="00653823" w:rsidRPr="008751D6">
        <w:rPr>
          <w:sz w:val="22"/>
          <w:szCs w:val="22"/>
          <w:lang w:val="sr-Latn-RS"/>
        </w:rPr>
        <w:t>l</w:t>
      </w:r>
      <w:r w:rsidRPr="008751D6">
        <w:rPr>
          <w:sz w:val="22"/>
          <w:szCs w:val="22"/>
          <w:lang w:val="sr-Latn-RS"/>
        </w:rPr>
        <w:t xml:space="preserve"> i 6,79 ng/m</w:t>
      </w:r>
      <w:r w:rsidR="00653823" w:rsidRPr="008751D6">
        <w:rPr>
          <w:sz w:val="22"/>
          <w:szCs w:val="22"/>
          <w:lang w:val="sr-Latn-RS"/>
        </w:rPr>
        <w:t>l</w:t>
      </w:r>
      <w:r w:rsidRPr="008751D6">
        <w:rPr>
          <w:sz w:val="22"/>
          <w:szCs w:val="22"/>
          <w:lang w:val="sr-Latn-RS"/>
        </w:rPr>
        <w:t>. Ove vrijednosti Cmax se postižu tokom prvog dana i to nakon 12 i 7 sati nakon primjene  (prosječne vrijednosti). Nakon postizanja maksimalnih koncentracija, koncentracija lanreotida u serumu opada polako prateći kinetiku prvog reda uz terminalno poluvrijeme eliminacije od 27,4 i 30,1 dana redom, a 4 nedjelje nakon primjene prosječne koncentracije lanreotida u serumu iznose 1,11 i 1,69 ng/m</w:t>
      </w:r>
      <w:r w:rsidR="00653823" w:rsidRPr="008751D6">
        <w:rPr>
          <w:sz w:val="22"/>
          <w:szCs w:val="22"/>
          <w:lang w:val="sr-Latn-RS"/>
        </w:rPr>
        <w:t>l</w:t>
      </w:r>
      <w:r w:rsidRPr="008751D6">
        <w:rPr>
          <w:sz w:val="22"/>
          <w:szCs w:val="22"/>
          <w:lang w:val="sr-Latn-RS"/>
        </w:rPr>
        <w:t>, redom. Apsolutna bioraspoloživost iznosi 69,0 % i 78,4 %.</w:t>
      </w:r>
    </w:p>
    <w:p w14:paraId="3D4D8785" w14:textId="77777777" w:rsidR="00CC2D09" w:rsidRPr="008751D6" w:rsidRDefault="00CC2D09">
      <w:pPr>
        <w:pStyle w:val="Header"/>
        <w:tabs>
          <w:tab w:val="left" w:pos="284"/>
        </w:tabs>
        <w:jc w:val="both"/>
        <w:rPr>
          <w:sz w:val="22"/>
          <w:szCs w:val="22"/>
          <w:lang w:val="sr-Latn-RS"/>
        </w:rPr>
      </w:pPr>
    </w:p>
    <w:p w14:paraId="6254E01E" w14:textId="42388F51" w:rsidR="00CC2D09" w:rsidRPr="008751D6" w:rsidRDefault="00CC2D09">
      <w:pPr>
        <w:pStyle w:val="Header"/>
        <w:tabs>
          <w:tab w:val="left" w:pos="284"/>
        </w:tabs>
        <w:jc w:val="both"/>
        <w:rPr>
          <w:sz w:val="22"/>
          <w:szCs w:val="22"/>
          <w:lang w:val="sr-Latn-RS"/>
        </w:rPr>
      </w:pPr>
      <w:r w:rsidRPr="008751D6">
        <w:rPr>
          <w:sz w:val="22"/>
          <w:szCs w:val="22"/>
          <w:lang w:val="sr-Latn-RS"/>
        </w:rPr>
        <w:t>Nakon primjene duboke subkutane injekcije lijeka Somatuline</w:t>
      </w:r>
      <w:r w:rsidRPr="008751D6">
        <w:rPr>
          <w:sz w:val="22"/>
          <w:szCs w:val="22"/>
          <w:vertAlign w:val="superscript"/>
          <w:lang w:val="sr-Latn-RS"/>
        </w:rPr>
        <w:t xml:space="preserve"> </w:t>
      </w:r>
      <w:r w:rsidRPr="008751D6">
        <w:rPr>
          <w:sz w:val="22"/>
          <w:szCs w:val="22"/>
          <w:lang w:val="sr-Latn-RS"/>
        </w:rPr>
        <w:t xml:space="preserve">Autogel od 90 mg i 120 mg kod pacijenata sa akromegalijom, postižu se </w:t>
      </w:r>
      <w:r w:rsidR="00F42972" w:rsidRPr="008751D6">
        <w:rPr>
          <w:sz w:val="22"/>
          <w:szCs w:val="22"/>
          <w:lang w:val="sr-Latn-RS"/>
        </w:rPr>
        <w:t xml:space="preserve">prosječne </w:t>
      </w:r>
      <w:r w:rsidRPr="008751D6">
        <w:rPr>
          <w:sz w:val="22"/>
          <w:szCs w:val="22"/>
          <w:lang w:val="sr-Latn-RS"/>
        </w:rPr>
        <w:t>maksimalne koncentracije lanreotida u serumu od 3,5 ng/m</w:t>
      </w:r>
      <w:r w:rsidR="00F42972" w:rsidRPr="008751D6">
        <w:rPr>
          <w:sz w:val="22"/>
          <w:szCs w:val="22"/>
          <w:lang w:val="sr-Latn-RS"/>
        </w:rPr>
        <w:t>l</w:t>
      </w:r>
      <w:r w:rsidRPr="008751D6">
        <w:rPr>
          <w:sz w:val="22"/>
          <w:szCs w:val="22"/>
          <w:lang w:val="sr-Latn-RS"/>
        </w:rPr>
        <w:t xml:space="preserve"> i 3,1 ng/m</w:t>
      </w:r>
      <w:r w:rsidR="00F42972" w:rsidRPr="008751D6">
        <w:rPr>
          <w:sz w:val="22"/>
          <w:szCs w:val="22"/>
          <w:lang w:val="sr-Latn-RS"/>
        </w:rPr>
        <w:t>l</w:t>
      </w:r>
      <w:r w:rsidRPr="008751D6">
        <w:rPr>
          <w:sz w:val="22"/>
          <w:szCs w:val="22"/>
          <w:lang w:val="sr-Latn-RS"/>
        </w:rPr>
        <w:t>. Ove vrijednosti Cmax se postižu tokom prvog dana poslije 6 i 24 sata nakon primjene. Nakon postizanja maksimalnih koncentracija, koncentracija lanreotida u serumu opada polako prateći kinetiku prvog reda, a 4 nedjelje nakon primjene pros</w:t>
      </w:r>
      <w:r w:rsidR="000D5705" w:rsidRPr="008751D6">
        <w:rPr>
          <w:sz w:val="22"/>
          <w:szCs w:val="22"/>
          <w:lang w:val="sr-Latn-RS"/>
        </w:rPr>
        <w:t>j</w:t>
      </w:r>
      <w:r w:rsidRPr="008751D6">
        <w:rPr>
          <w:sz w:val="22"/>
          <w:szCs w:val="22"/>
          <w:lang w:val="sr-Latn-RS"/>
        </w:rPr>
        <w:t>ečne koncentracije lanreotida u serumu iznose 1,0 i 1,4 ng/m</w:t>
      </w:r>
      <w:r w:rsidR="00F42972" w:rsidRPr="008751D6">
        <w:rPr>
          <w:sz w:val="22"/>
          <w:szCs w:val="22"/>
          <w:lang w:val="sr-Latn-RS"/>
        </w:rPr>
        <w:t>l</w:t>
      </w:r>
      <w:r w:rsidRPr="008751D6">
        <w:rPr>
          <w:sz w:val="22"/>
          <w:szCs w:val="22"/>
          <w:lang w:val="sr-Latn-RS"/>
        </w:rPr>
        <w:t xml:space="preserve">, redom. </w:t>
      </w:r>
    </w:p>
    <w:p w14:paraId="6D26C0D4" w14:textId="77777777" w:rsidR="00CC2D09" w:rsidRPr="008751D6" w:rsidRDefault="00CC2D09">
      <w:pPr>
        <w:pStyle w:val="Header"/>
        <w:tabs>
          <w:tab w:val="left" w:pos="284"/>
        </w:tabs>
        <w:jc w:val="both"/>
        <w:rPr>
          <w:sz w:val="22"/>
          <w:szCs w:val="22"/>
          <w:lang w:val="sr-Latn-RS"/>
        </w:rPr>
      </w:pPr>
    </w:p>
    <w:p w14:paraId="02C06E5E" w14:textId="4F84727A" w:rsidR="00CC2D09" w:rsidRPr="008751D6" w:rsidRDefault="00CC2D09">
      <w:pPr>
        <w:pStyle w:val="Header"/>
        <w:tabs>
          <w:tab w:val="left" w:pos="284"/>
        </w:tabs>
        <w:jc w:val="both"/>
        <w:rPr>
          <w:sz w:val="22"/>
          <w:szCs w:val="22"/>
          <w:lang w:val="sr-Latn-RS"/>
        </w:rPr>
      </w:pPr>
      <w:r w:rsidRPr="008751D6">
        <w:rPr>
          <w:sz w:val="22"/>
          <w:szCs w:val="22"/>
          <w:lang w:val="sr-Latn-RS"/>
        </w:rPr>
        <w:t>Ravnotežne koncentracije lanreotida u serumu se postižu u prosjeku nakon primjene 4 injekcije prim</w:t>
      </w:r>
      <w:r w:rsidR="009C1EEC" w:rsidRPr="008751D6">
        <w:rPr>
          <w:sz w:val="22"/>
          <w:szCs w:val="22"/>
          <w:lang w:val="sr-Latn-RS"/>
        </w:rPr>
        <w:t>i</w:t>
      </w:r>
      <w:r w:rsidRPr="008751D6">
        <w:rPr>
          <w:sz w:val="22"/>
          <w:szCs w:val="22"/>
          <w:lang w:val="sr-Latn-RS"/>
        </w:rPr>
        <w:t>jenjene svake 4 nedjelje. Nakon ponovljene primjene doza svake 4 nedjelje prosječne vr</w:t>
      </w:r>
      <w:r w:rsidR="000D5705" w:rsidRPr="008751D6">
        <w:rPr>
          <w:sz w:val="22"/>
          <w:szCs w:val="22"/>
          <w:lang w:val="sr-Latn-RS"/>
        </w:rPr>
        <w:t>ij</w:t>
      </w:r>
      <w:r w:rsidRPr="008751D6">
        <w:rPr>
          <w:sz w:val="22"/>
          <w:szCs w:val="22"/>
          <w:lang w:val="sr-Latn-RS"/>
        </w:rPr>
        <w:t>ednosti Cmax u ravnotežnom stanju su iznosile 5,7 i 7,7 ng/m</w:t>
      </w:r>
      <w:r w:rsidR="00F42972" w:rsidRPr="008751D6">
        <w:rPr>
          <w:sz w:val="22"/>
          <w:szCs w:val="22"/>
          <w:lang w:val="sr-Latn-RS"/>
        </w:rPr>
        <w:t>l</w:t>
      </w:r>
      <w:r w:rsidRPr="008751D6">
        <w:rPr>
          <w:sz w:val="22"/>
          <w:szCs w:val="22"/>
          <w:lang w:val="sr-Latn-RS"/>
        </w:rPr>
        <w:t xml:space="preserve"> nakon primjene doza od 90 mg i 120 mg, redom, dok su prosječne vrijednosti Cmin iznosile 2,5 i 3,8 ng/m</w:t>
      </w:r>
      <w:r w:rsidR="00F42972" w:rsidRPr="008751D6">
        <w:rPr>
          <w:sz w:val="22"/>
          <w:szCs w:val="22"/>
          <w:lang w:val="sr-Latn-RS"/>
        </w:rPr>
        <w:t>l</w:t>
      </w:r>
      <w:r w:rsidRPr="008751D6">
        <w:rPr>
          <w:sz w:val="22"/>
          <w:szCs w:val="22"/>
          <w:lang w:val="sr-Latn-RS"/>
        </w:rPr>
        <w:t>. Indeks fluktuacije između minimalnih i maksimalnih koncentracija bio je umjeren i kretao se u rasponu od 81 do 108 %.</w:t>
      </w:r>
    </w:p>
    <w:p w14:paraId="2B56CE9D" w14:textId="77777777" w:rsidR="00CC2D09" w:rsidRPr="008751D6" w:rsidRDefault="00CC2D09">
      <w:pPr>
        <w:pStyle w:val="Header"/>
        <w:tabs>
          <w:tab w:val="left" w:pos="284"/>
        </w:tabs>
        <w:jc w:val="both"/>
        <w:rPr>
          <w:sz w:val="22"/>
          <w:szCs w:val="22"/>
          <w:lang w:val="sr-Latn-RS"/>
        </w:rPr>
      </w:pPr>
    </w:p>
    <w:p w14:paraId="3C4114EF" w14:textId="77777777" w:rsidR="00CC2D09" w:rsidRPr="008751D6" w:rsidRDefault="00CC2D09">
      <w:pPr>
        <w:pStyle w:val="Header"/>
        <w:tabs>
          <w:tab w:val="left" w:pos="284"/>
        </w:tabs>
        <w:jc w:val="both"/>
        <w:rPr>
          <w:sz w:val="22"/>
          <w:szCs w:val="22"/>
          <w:lang w:val="sr-Latn-RS"/>
        </w:rPr>
      </w:pPr>
      <w:r w:rsidRPr="008751D6">
        <w:rPr>
          <w:sz w:val="22"/>
          <w:szCs w:val="22"/>
          <w:lang w:val="sr-Latn-RS"/>
        </w:rPr>
        <w:t>Nakon primjene duboke subkutane injekcije lijeka Somatuline</w:t>
      </w:r>
      <w:r w:rsidRPr="008751D6">
        <w:rPr>
          <w:sz w:val="22"/>
          <w:szCs w:val="22"/>
          <w:vertAlign w:val="superscript"/>
          <w:lang w:val="sr-Latn-RS"/>
        </w:rPr>
        <w:t xml:space="preserve"> </w:t>
      </w:r>
      <w:r w:rsidRPr="008751D6">
        <w:rPr>
          <w:sz w:val="22"/>
          <w:szCs w:val="22"/>
          <w:lang w:val="sr-Latn-RS"/>
        </w:rPr>
        <w:t xml:space="preserve">Autogel od 90 mg i 120 mg kod pacijenata sa akromegalijom, primijećena je linearna farmakokinetika profila oslobađanja aktivne supstance.  </w:t>
      </w:r>
    </w:p>
    <w:p w14:paraId="27CCF2A3" w14:textId="77777777" w:rsidR="00CC2D09" w:rsidRPr="008751D6" w:rsidRDefault="00CC2D09">
      <w:pPr>
        <w:pStyle w:val="Header"/>
        <w:tabs>
          <w:tab w:val="left" w:pos="284"/>
        </w:tabs>
        <w:jc w:val="both"/>
        <w:rPr>
          <w:sz w:val="22"/>
          <w:szCs w:val="22"/>
          <w:lang w:val="sr-Latn-RS"/>
        </w:rPr>
      </w:pPr>
    </w:p>
    <w:p w14:paraId="7C851A92" w14:textId="77777777" w:rsidR="00CC2D09" w:rsidRPr="008751D6" w:rsidRDefault="00CC2D09">
      <w:pPr>
        <w:pStyle w:val="Header"/>
        <w:tabs>
          <w:tab w:val="left" w:pos="284"/>
        </w:tabs>
        <w:jc w:val="both"/>
        <w:rPr>
          <w:sz w:val="22"/>
          <w:szCs w:val="22"/>
          <w:lang w:val="sr-Latn-RS"/>
        </w:rPr>
      </w:pPr>
      <w:r w:rsidRPr="008751D6">
        <w:rPr>
          <w:sz w:val="22"/>
          <w:szCs w:val="22"/>
          <w:lang w:val="sr-Latn-RS"/>
        </w:rPr>
        <w:t>Minimalne serumske koncentracije lanreotida postignute nakon duboke subkutane primjene tri injekcije lijeka Somatuline</w:t>
      </w:r>
      <w:r w:rsidRPr="008751D6">
        <w:rPr>
          <w:sz w:val="22"/>
          <w:szCs w:val="22"/>
          <w:vertAlign w:val="superscript"/>
          <w:lang w:val="sr-Latn-RS"/>
        </w:rPr>
        <w:t xml:space="preserve"> </w:t>
      </w:r>
      <w:r w:rsidRPr="008751D6">
        <w:rPr>
          <w:sz w:val="22"/>
          <w:szCs w:val="22"/>
          <w:lang w:val="sr-Latn-RS"/>
        </w:rPr>
        <w:t>Autogel 90 ili 120 mg svakih 28 dana, slične su ravnotežnim minimalnim koncentracijama lanreotida u serumu kod pacijenata sa akromegalijom koji su prethodno bili liječeni intramuskularno prim</w:t>
      </w:r>
      <w:r w:rsidR="009C1EEC" w:rsidRPr="008751D6">
        <w:rPr>
          <w:sz w:val="22"/>
          <w:szCs w:val="22"/>
          <w:lang w:val="sr-Latn-RS"/>
        </w:rPr>
        <w:t>i</w:t>
      </w:r>
      <w:r w:rsidRPr="008751D6">
        <w:rPr>
          <w:sz w:val="22"/>
          <w:szCs w:val="22"/>
          <w:lang w:val="sr-Latn-RS"/>
        </w:rPr>
        <w:t>jenjenim lanreotidom od 30 mg u obliku mikročestica sa produženim oslobađanjem (Somatuline LA), svakih 10 ili 7 dana, redom.</w:t>
      </w:r>
    </w:p>
    <w:p w14:paraId="19595E8F" w14:textId="77777777" w:rsidR="00CC2D09" w:rsidRPr="008751D6" w:rsidRDefault="00CC2D09">
      <w:pPr>
        <w:pStyle w:val="Header"/>
        <w:tabs>
          <w:tab w:val="left" w:pos="284"/>
        </w:tabs>
        <w:jc w:val="both"/>
        <w:rPr>
          <w:sz w:val="22"/>
          <w:szCs w:val="22"/>
          <w:lang w:val="sr-Latn-RS"/>
        </w:rPr>
      </w:pPr>
    </w:p>
    <w:p w14:paraId="148D4FD2" w14:textId="3F5EE880" w:rsidR="00CC2D09" w:rsidRPr="008751D6" w:rsidRDefault="00CC2D09">
      <w:pPr>
        <w:pStyle w:val="Header"/>
        <w:tabs>
          <w:tab w:val="left" w:pos="284"/>
        </w:tabs>
        <w:jc w:val="both"/>
        <w:rPr>
          <w:sz w:val="22"/>
          <w:szCs w:val="22"/>
          <w:lang w:val="sr-Latn-RS"/>
        </w:rPr>
      </w:pPr>
      <w:r w:rsidRPr="008751D6">
        <w:rPr>
          <w:sz w:val="22"/>
          <w:szCs w:val="22"/>
          <w:lang w:val="sr-Latn-RS"/>
        </w:rPr>
        <w:t>U populacionoj farmakokinetičkoj analizi kod 2</w:t>
      </w:r>
      <w:r w:rsidR="00F42972" w:rsidRPr="008751D6">
        <w:rPr>
          <w:sz w:val="22"/>
          <w:szCs w:val="22"/>
          <w:lang w:val="sr-Latn-RS"/>
        </w:rPr>
        <w:t>90</w:t>
      </w:r>
      <w:r w:rsidRPr="008751D6">
        <w:rPr>
          <w:sz w:val="22"/>
          <w:szCs w:val="22"/>
          <w:lang w:val="sr-Latn-RS"/>
        </w:rPr>
        <w:t xml:space="preserve"> pacijenata sa GEP-NET koji su primali </w:t>
      </w:r>
      <w:r w:rsidR="00F42972" w:rsidRPr="008751D6">
        <w:rPr>
          <w:sz w:val="22"/>
          <w:szCs w:val="22"/>
          <w:lang w:val="sr-Latn-RS"/>
        </w:rPr>
        <w:t xml:space="preserve">Somatuline </w:t>
      </w:r>
      <w:r w:rsidRPr="008751D6">
        <w:rPr>
          <w:sz w:val="22"/>
          <w:szCs w:val="22"/>
          <w:lang w:val="sr-Latn-RS"/>
        </w:rPr>
        <w:t>Autogel 120 mg, uočeno je brzo početno oslobađanje sa prosječnim vrijednostima Cmax od 7,49±7,58 ng/m</w:t>
      </w:r>
      <w:r w:rsidR="00F42972" w:rsidRPr="008751D6">
        <w:rPr>
          <w:sz w:val="22"/>
          <w:szCs w:val="22"/>
          <w:lang w:val="sr-Latn-RS"/>
        </w:rPr>
        <w:t>l</w:t>
      </w:r>
      <w:r w:rsidRPr="008751D6">
        <w:rPr>
          <w:sz w:val="22"/>
          <w:szCs w:val="22"/>
          <w:lang w:val="sr-Latn-RS"/>
        </w:rPr>
        <w:t xml:space="preserve"> nakon prvog dana primjene pojedinačne injekcije. Ravnotežne koncentracije su dostignute nakon 5 injekcija lijeka </w:t>
      </w:r>
      <w:r w:rsidR="00F42972" w:rsidRPr="008751D6">
        <w:rPr>
          <w:sz w:val="22"/>
          <w:szCs w:val="22"/>
          <w:lang w:val="sr-Latn-RS"/>
        </w:rPr>
        <w:t>Somatuline</w:t>
      </w:r>
      <w:r w:rsidRPr="008751D6">
        <w:rPr>
          <w:sz w:val="22"/>
          <w:szCs w:val="22"/>
          <w:lang w:val="sr-Latn-RS"/>
        </w:rPr>
        <w:t xml:space="preserve"> Autogel 120 mg svakih 28 dana i održavane sve do posljednje procjene (do 96 nedjelja nakon prve injekcije). </w:t>
      </w:r>
      <w:r w:rsidR="002F6C5E" w:rsidRPr="008751D6">
        <w:rPr>
          <w:sz w:val="22"/>
          <w:szCs w:val="22"/>
          <w:lang w:val="sr-Latn-RS"/>
        </w:rPr>
        <w:t>U stanju ravnoteže, p</w:t>
      </w:r>
      <w:r w:rsidRPr="008751D6">
        <w:rPr>
          <w:sz w:val="22"/>
          <w:szCs w:val="22"/>
          <w:lang w:val="sr-Latn-RS"/>
        </w:rPr>
        <w:t xml:space="preserve">rosječne vrijednosti Cmax iznosile </w:t>
      </w:r>
      <w:r w:rsidR="002F6C5E" w:rsidRPr="008751D6">
        <w:rPr>
          <w:sz w:val="22"/>
          <w:szCs w:val="22"/>
          <w:lang w:val="sr-Latn-RS"/>
        </w:rPr>
        <w:t xml:space="preserve">su </w:t>
      </w:r>
      <w:r w:rsidRPr="008751D6">
        <w:rPr>
          <w:sz w:val="22"/>
          <w:szCs w:val="22"/>
          <w:lang w:val="sr-Latn-RS"/>
        </w:rPr>
        <w:t>13,9</w:t>
      </w:r>
      <w:r w:rsidR="00FF3B15" w:rsidRPr="008751D6">
        <w:rPr>
          <w:sz w:val="22"/>
          <w:szCs w:val="22"/>
          <w:lang w:val="sr-Latn-RS"/>
        </w:rPr>
        <w:t xml:space="preserve"> </w:t>
      </w:r>
      <w:r w:rsidRPr="008751D6">
        <w:rPr>
          <w:sz w:val="22"/>
          <w:szCs w:val="22"/>
          <w:lang w:val="sr-Latn-RS"/>
        </w:rPr>
        <w:t>±</w:t>
      </w:r>
      <w:r w:rsidR="00FF3B15" w:rsidRPr="008751D6">
        <w:rPr>
          <w:sz w:val="22"/>
          <w:szCs w:val="22"/>
          <w:lang w:val="sr-Latn-RS"/>
        </w:rPr>
        <w:t xml:space="preserve"> </w:t>
      </w:r>
      <w:r w:rsidRPr="008751D6">
        <w:rPr>
          <w:sz w:val="22"/>
          <w:szCs w:val="22"/>
          <w:lang w:val="sr-Latn-RS"/>
        </w:rPr>
        <w:t>7,44 ng/m</w:t>
      </w:r>
      <w:r w:rsidR="00F42972" w:rsidRPr="008751D6">
        <w:rPr>
          <w:sz w:val="22"/>
          <w:szCs w:val="22"/>
          <w:lang w:val="sr-Latn-RS"/>
        </w:rPr>
        <w:t>l</w:t>
      </w:r>
      <w:r w:rsidRPr="008751D6">
        <w:rPr>
          <w:sz w:val="22"/>
          <w:szCs w:val="22"/>
          <w:lang w:val="sr-Latn-RS"/>
        </w:rPr>
        <w:t xml:space="preserve"> i prosječn</w:t>
      </w:r>
      <w:r w:rsidR="002F6C5E" w:rsidRPr="008751D6">
        <w:rPr>
          <w:sz w:val="22"/>
          <w:szCs w:val="22"/>
          <w:lang w:val="sr-Latn-RS"/>
        </w:rPr>
        <w:t>e</w:t>
      </w:r>
      <w:r w:rsidRPr="008751D6">
        <w:rPr>
          <w:sz w:val="22"/>
          <w:szCs w:val="22"/>
          <w:lang w:val="sr-Latn-RS"/>
        </w:rPr>
        <w:t xml:space="preserve"> </w:t>
      </w:r>
      <w:r w:rsidR="002F6C5E" w:rsidRPr="008751D6">
        <w:rPr>
          <w:sz w:val="22"/>
          <w:szCs w:val="22"/>
          <w:lang w:val="sr-Latn-RS"/>
        </w:rPr>
        <w:t>vrijednosti Cmin</w:t>
      </w:r>
      <w:r w:rsidRPr="008751D6">
        <w:rPr>
          <w:sz w:val="22"/>
          <w:szCs w:val="22"/>
          <w:lang w:val="sr-Latn-RS"/>
        </w:rPr>
        <w:t xml:space="preserve"> u krvi su bil</w:t>
      </w:r>
      <w:r w:rsidR="002F6C5E" w:rsidRPr="008751D6">
        <w:rPr>
          <w:sz w:val="22"/>
          <w:szCs w:val="22"/>
          <w:lang w:val="sr-Latn-RS"/>
        </w:rPr>
        <w:t>e</w:t>
      </w:r>
      <w:r w:rsidRPr="008751D6">
        <w:rPr>
          <w:sz w:val="22"/>
          <w:szCs w:val="22"/>
          <w:lang w:val="sr-Latn-RS"/>
        </w:rPr>
        <w:t xml:space="preserve"> 6,56±1,99 ng/m</w:t>
      </w:r>
      <w:r w:rsidR="00F42972" w:rsidRPr="008751D6">
        <w:rPr>
          <w:sz w:val="22"/>
          <w:szCs w:val="22"/>
          <w:lang w:val="sr-Latn-RS"/>
        </w:rPr>
        <w:t>l</w:t>
      </w:r>
      <w:r w:rsidRPr="008751D6">
        <w:rPr>
          <w:sz w:val="22"/>
          <w:szCs w:val="22"/>
          <w:lang w:val="sr-Latn-RS"/>
        </w:rPr>
        <w:t>. Prosječna vrijednost prividnog terminalnog poluvremena eliminacije je iznosila 49,8</w:t>
      </w:r>
      <w:r w:rsidR="00FF3B15" w:rsidRPr="008751D6">
        <w:rPr>
          <w:sz w:val="22"/>
          <w:szCs w:val="22"/>
          <w:lang w:val="sr-Latn-RS"/>
        </w:rPr>
        <w:t xml:space="preserve"> </w:t>
      </w:r>
      <w:r w:rsidRPr="008751D6">
        <w:rPr>
          <w:sz w:val="22"/>
          <w:szCs w:val="22"/>
          <w:lang w:val="sr-Latn-RS"/>
        </w:rPr>
        <w:t>±</w:t>
      </w:r>
      <w:r w:rsidR="00FF3B15" w:rsidRPr="008751D6">
        <w:rPr>
          <w:sz w:val="22"/>
          <w:szCs w:val="22"/>
          <w:lang w:val="sr-Latn-RS"/>
        </w:rPr>
        <w:t xml:space="preserve"> </w:t>
      </w:r>
      <w:r w:rsidRPr="008751D6">
        <w:rPr>
          <w:sz w:val="22"/>
          <w:szCs w:val="22"/>
          <w:lang w:val="sr-Latn-RS"/>
        </w:rPr>
        <w:t>28.0 dana.</w:t>
      </w:r>
    </w:p>
    <w:p w14:paraId="0C3BE3CA" w14:textId="77777777" w:rsidR="00CC2D09" w:rsidRPr="008751D6" w:rsidRDefault="00CC2D09">
      <w:pPr>
        <w:pStyle w:val="Header"/>
        <w:tabs>
          <w:tab w:val="left" w:pos="284"/>
        </w:tabs>
        <w:jc w:val="both"/>
        <w:rPr>
          <w:b/>
          <w:sz w:val="22"/>
          <w:szCs w:val="22"/>
          <w:lang w:val="sr-Latn-RS"/>
        </w:rPr>
      </w:pPr>
    </w:p>
    <w:p w14:paraId="709E6E35" w14:textId="77777777" w:rsidR="00CC2D09" w:rsidRPr="008751D6" w:rsidRDefault="00CC2D09">
      <w:pPr>
        <w:pStyle w:val="Header"/>
        <w:tabs>
          <w:tab w:val="left" w:pos="284"/>
        </w:tabs>
        <w:jc w:val="both"/>
        <w:rPr>
          <w:b/>
          <w:sz w:val="22"/>
          <w:szCs w:val="22"/>
          <w:lang w:val="sr-Latn-RS"/>
        </w:rPr>
      </w:pPr>
      <w:r w:rsidRPr="008751D6">
        <w:rPr>
          <w:b/>
          <w:sz w:val="22"/>
          <w:szCs w:val="22"/>
          <w:lang w:val="sr-Latn-RS"/>
        </w:rPr>
        <w:lastRenderedPageBreak/>
        <w:t>Pacijenti sa oslabljenom funkcijom bubrega/jetre</w:t>
      </w:r>
    </w:p>
    <w:p w14:paraId="08F6DF71" w14:textId="77777777" w:rsidR="00CC2D09" w:rsidRPr="008751D6" w:rsidRDefault="00CC2D09">
      <w:pPr>
        <w:pStyle w:val="Header"/>
        <w:tabs>
          <w:tab w:val="left" w:pos="284"/>
        </w:tabs>
        <w:jc w:val="both"/>
        <w:rPr>
          <w:b/>
          <w:sz w:val="22"/>
          <w:szCs w:val="22"/>
          <w:lang w:val="sr-Latn-RS"/>
        </w:rPr>
      </w:pPr>
    </w:p>
    <w:p w14:paraId="01E6B305" w14:textId="77777777" w:rsidR="00CC2D09" w:rsidRPr="008751D6" w:rsidRDefault="00CC2D09">
      <w:pPr>
        <w:pStyle w:val="Header"/>
        <w:tabs>
          <w:tab w:val="left" w:pos="284"/>
        </w:tabs>
        <w:jc w:val="both"/>
        <w:rPr>
          <w:sz w:val="22"/>
          <w:szCs w:val="22"/>
          <w:lang w:val="sr-Latn-RS"/>
        </w:rPr>
      </w:pPr>
      <w:r w:rsidRPr="008751D6">
        <w:rPr>
          <w:sz w:val="22"/>
          <w:szCs w:val="22"/>
          <w:lang w:val="sr-Latn-RS"/>
        </w:rPr>
        <w:t xml:space="preserve">Kod pacijenata sa </w:t>
      </w:r>
      <w:r w:rsidR="00707DA5" w:rsidRPr="008751D6">
        <w:rPr>
          <w:sz w:val="22"/>
          <w:szCs w:val="22"/>
          <w:lang w:val="sr-Latn-RS"/>
        </w:rPr>
        <w:t xml:space="preserve">teškim </w:t>
      </w:r>
      <w:r w:rsidRPr="008751D6">
        <w:rPr>
          <w:sz w:val="22"/>
          <w:szCs w:val="22"/>
          <w:lang w:val="sr-Latn-RS"/>
        </w:rPr>
        <w:t xml:space="preserve">oštećenjem funkcije bubrega ukupan klirens lanreotida iz seruma je skoro dvostruko smanjen, uz posljedični porast poluvremena eliminacije i PIK. Kod osoba sa umjerenim do </w:t>
      </w:r>
      <w:r w:rsidR="00707DA5" w:rsidRPr="008751D6">
        <w:rPr>
          <w:sz w:val="22"/>
          <w:szCs w:val="22"/>
          <w:lang w:val="sr-Latn-RS"/>
        </w:rPr>
        <w:t xml:space="preserve">teškim </w:t>
      </w:r>
      <w:r w:rsidRPr="008751D6">
        <w:rPr>
          <w:sz w:val="22"/>
          <w:szCs w:val="22"/>
          <w:lang w:val="sr-Latn-RS"/>
        </w:rPr>
        <w:t>oštećenjem jetre primijećeno je smanjenje klirensa (30 %). Volumen distribucije i srednje vrijeme zadržavanja lanreotida u organizmu su povećani kod osoba sa insuficijencijom jetre bez obzira na stadijum.</w:t>
      </w:r>
    </w:p>
    <w:p w14:paraId="0A6E6671" w14:textId="148C645B" w:rsidR="00CC2D09" w:rsidRPr="008751D6" w:rsidRDefault="00CC2D09">
      <w:pPr>
        <w:pStyle w:val="Header"/>
        <w:tabs>
          <w:tab w:val="left" w:pos="284"/>
        </w:tabs>
        <w:jc w:val="both"/>
        <w:rPr>
          <w:sz w:val="22"/>
          <w:szCs w:val="22"/>
          <w:lang w:val="sr-Latn-RS"/>
        </w:rPr>
      </w:pPr>
      <w:r w:rsidRPr="008751D6">
        <w:rPr>
          <w:sz w:val="22"/>
          <w:szCs w:val="22"/>
          <w:lang w:val="sr-Latn-RS"/>
        </w:rPr>
        <w:t xml:space="preserve">Nije uočen efekat lanreotida na klirens u populacionoj farmakokinetičkoj analizi kod 165 pacijenata sa GEP-NET sa blagim do umjerenim oštećenjem funkcije bubrega (106 i 59 redom) koji su primali </w:t>
      </w:r>
      <w:r w:rsidR="00F42972" w:rsidRPr="008751D6">
        <w:rPr>
          <w:sz w:val="22"/>
          <w:szCs w:val="22"/>
          <w:lang w:val="sr-Latn-RS"/>
        </w:rPr>
        <w:t>Somatuline</w:t>
      </w:r>
      <w:r w:rsidRPr="008751D6">
        <w:rPr>
          <w:sz w:val="22"/>
          <w:szCs w:val="22"/>
          <w:lang w:val="sr-Latn-RS"/>
        </w:rPr>
        <w:t xml:space="preserve"> Autogel. Nisu ispitivani pacijenti sa GEP-NET sa teškim oštećenjem funkcije bubrega.</w:t>
      </w:r>
    </w:p>
    <w:p w14:paraId="485CA331" w14:textId="77777777" w:rsidR="00CC2D09" w:rsidRPr="008751D6" w:rsidRDefault="00CC2D09">
      <w:pPr>
        <w:pStyle w:val="Header"/>
        <w:tabs>
          <w:tab w:val="left" w:pos="284"/>
        </w:tabs>
        <w:jc w:val="both"/>
        <w:rPr>
          <w:sz w:val="22"/>
          <w:szCs w:val="22"/>
          <w:lang w:val="sr-Latn-RS"/>
        </w:rPr>
      </w:pPr>
    </w:p>
    <w:p w14:paraId="24ED6ABB" w14:textId="77777777" w:rsidR="00CC2D09" w:rsidRPr="008751D6" w:rsidRDefault="00CC2D09">
      <w:pPr>
        <w:pStyle w:val="Header"/>
        <w:tabs>
          <w:tab w:val="left" w:pos="284"/>
        </w:tabs>
        <w:jc w:val="both"/>
        <w:rPr>
          <w:b/>
          <w:sz w:val="22"/>
          <w:szCs w:val="22"/>
          <w:lang w:val="sr-Latn-RS"/>
        </w:rPr>
      </w:pPr>
      <w:r w:rsidRPr="008751D6">
        <w:rPr>
          <w:sz w:val="22"/>
          <w:szCs w:val="22"/>
          <w:lang w:val="sr-Latn-RS"/>
        </w:rPr>
        <w:t xml:space="preserve">Nisu ispitivani pacijenti sa GEP-NET sa oštećenjem funkcije jetre (prema </w:t>
      </w:r>
      <w:r w:rsidRPr="008751D6">
        <w:rPr>
          <w:i/>
          <w:sz w:val="22"/>
          <w:szCs w:val="22"/>
          <w:lang w:val="sr-Latn-RS"/>
        </w:rPr>
        <w:t>Child-Pugh</w:t>
      </w:r>
      <w:r w:rsidRPr="008751D6">
        <w:rPr>
          <w:sz w:val="22"/>
          <w:szCs w:val="22"/>
          <w:lang w:val="sr-Latn-RS"/>
        </w:rPr>
        <w:t xml:space="preserve"> skali). </w:t>
      </w:r>
    </w:p>
    <w:p w14:paraId="43244D9E" w14:textId="77777777" w:rsidR="00707DA5" w:rsidRPr="008751D6" w:rsidRDefault="00707DA5">
      <w:pPr>
        <w:jc w:val="both"/>
        <w:rPr>
          <w:rFonts w:eastAsia="Calibri"/>
          <w:sz w:val="22"/>
          <w:szCs w:val="22"/>
          <w:lang w:val="sr-Latn-RS"/>
        </w:rPr>
      </w:pPr>
      <w:r w:rsidRPr="008751D6">
        <w:rPr>
          <w:rFonts w:eastAsia="Calibri"/>
          <w:sz w:val="22"/>
          <w:szCs w:val="22"/>
          <w:lang w:val="sr-Latn-RS"/>
        </w:rPr>
        <w:t>Nije neophodno m</w:t>
      </w:r>
      <w:r w:rsidR="000D5705" w:rsidRPr="008751D6">
        <w:rPr>
          <w:rFonts w:eastAsia="Calibri"/>
          <w:sz w:val="22"/>
          <w:szCs w:val="22"/>
          <w:lang w:val="sr-Latn-RS"/>
        </w:rPr>
        <w:t>ij</w:t>
      </w:r>
      <w:r w:rsidRPr="008751D6">
        <w:rPr>
          <w:rFonts w:eastAsia="Calibri"/>
          <w:sz w:val="22"/>
          <w:szCs w:val="22"/>
          <w:lang w:val="sr-Latn-RS"/>
        </w:rPr>
        <w:t>enjati početnu dozu kod pacijenata sa oštećenom funkcijom bubrega ili jetre, jer se kod ovih populacija očekuje da koncentracije lanreotida u serumu budu u granicama koje se tolerišu kod zdravih ispitanika.</w:t>
      </w:r>
    </w:p>
    <w:p w14:paraId="62C27D63" w14:textId="77777777" w:rsidR="00707DA5" w:rsidRPr="008751D6" w:rsidRDefault="00707DA5">
      <w:pPr>
        <w:pStyle w:val="Header"/>
        <w:tabs>
          <w:tab w:val="left" w:pos="284"/>
        </w:tabs>
        <w:jc w:val="both"/>
        <w:rPr>
          <w:b/>
          <w:sz w:val="22"/>
          <w:szCs w:val="22"/>
          <w:lang w:val="sr-Latn-RS"/>
        </w:rPr>
      </w:pPr>
    </w:p>
    <w:p w14:paraId="5A513ABF" w14:textId="77777777" w:rsidR="00CC2D09" w:rsidRPr="008751D6" w:rsidRDefault="00CC2D09">
      <w:pPr>
        <w:pStyle w:val="Header"/>
        <w:tabs>
          <w:tab w:val="left" w:pos="284"/>
        </w:tabs>
        <w:jc w:val="both"/>
        <w:rPr>
          <w:b/>
          <w:sz w:val="22"/>
          <w:szCs w:val="22"/>
          <w:lang w:val="sr-Latn-RS"/>
        </w:rPr>
      </w:pPr>
      <w:r w:rsidRPr="008751D6">
        <w:rPr>
          <w:b/>
          <w:sz w:val="22"/>
          <w:szCs w:val="22"/>
          <w:lang w:val="sr-Latn-RS"/>
        </w:rPr>
        <w:t>Stariji pacijenti</w:t>
      </w:r>
    </w:p>
    <w:p w14:paraId="79478DEC" w14:textId="77777777" w:rsidR="00CC2D09" w:rsidRPr="008751D6" w:rsidRDefault="00CC2D09">
      <w:pPr>
        <w:pStyle w:val="Header"/>
        <w:tabs>
          <w:tab w:val="left" w:pos="284"/>
        </w:tabs>
        <w:jc w:val="both"/>
        <w:rPr>
          <w:b/>
          <w:sz w:val="22"/>
          <w:szCs w:val="22"/>
          <w:lang w:val="sr-Latn-RS"/>
        </w:rPr>
      </w:pPr>
    </w:p>
    <w:p w14:paraId="491C7D16" w14:textId="77777777" w:rsidR="00CC2D09" w:rsidRPr="008751D6" w:rsidRDefault="00CC2D09">
      <w:pPr>
        <w:pStyle w:val="Header"/>
        <w:tabs>
          <w:tab w:val="left" w:pos="284"/>
        </w:tabs>
        <w:jc w:val="both"/>
        <w:rPr>
          <w:sz w:val="22"/>
          <w:szCs w:val="22"/>
          <w:lang w:val="sr-Latn-RS"/>
        </w:rPr>
      </w:pPr>
      <w:r w:rsidRPr="008751D6">
        <w:rPr>
          <w:sz w:val="22"/>
          <w:szCs w:val="22"/>
          <w:lang w:val="sr-Latn-RS"/>
        </w:rPr>
        <w:t>Kod starijih pacijenata je primijećeno povećanje poluvremena eliminacije i srednjeg vremena zadržavanja lijeka u organizmu u poređenju sa zdravim mladim ljudima. Nije neophodno prilagođavati početnu dozu kod starijih pacijenata, jer se očekuje da koncentracije lanreotida u serumu kod ove populacije pacijenata budu u opsegu serumskih koncentracija koje se dobro podnose među zdravim osobama.</w:t>
      </w:r>
    </w:p>
    <w:p w14:paraId="64F793A0" w14:textId="77777777" w:rsidR="00CC2D09" w:rsidRPr="008751D6" w:rsidRDefault="00CC2D09">
      <w:pPr>
        <w:pStyle w:val="Header"/>
        <w:tabs>
          <w:tab w:val="left" w:pos="284"/>
        </w:tabs>
        <w:jc w:val="both"/>
        <w:rPr>
          <w:sz w:val="22"/>
          <w:szCs w:val="22"/>
          <w:lang w:val="sr-Latn-RS"/>
        </w:rPr>
      </w:pPr>
      <w:r w:rsidRPr="008751D6">
        <w:rPr>
          <w:sz w:val="22"/>
          <w:szCs w:val="22"/>
          <w:lang w:val="sr-Latn-RS"/>
        </w:rPr>
        <w:t>U populacionoj farmakokinetičkoj analizi kod 122 pacijenata sa GEP-NET starosti od 65 do 85 godina nije uočen uticaj godina na klirens i volumen distribucije lanreotida.</w:t>
      </w:r>
    </w:p>
    <w:p w14:paraId="08E74AC7" w14:textId="77777777" w:rsidR="00CC2D09" w:rsidRPr="008751D6" w:rsidRDefault="00CC2D09">
      <w:pPr>
        <w:tabs>
          <w:tab w:val="left" w:pos="540"/>
          <w:tab w:val="left" w:pos="569"/>
        </w:tabs>
        <w:jc w:val="both"/>
        <w:rPr>
          <w:bCs/>
          <w:sz w:val="22"/>
          <w:szCs w:val="22"/>
          <w:lang w:val="sr-Latn-RS"/>
        </w:rPr>
      </w:pPr>
    </w:p>
    <w:p w14:paraId="2C2C6C1E"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5.3. </w:t>
      </w:r>
      <w:r w:rsidR="00480FB1" w:rsidRPr="008751D6">
        <w:rPr>
          <w:b/>
          <w:bCs/>
          <w:sz w:val="22"/>
          <w:szCs w:val="22"/>
          <w:lang w:val="sr-Latn-RS"/>
        </w:rPr>
        <w:tab/>
      </w:r>
      <w:r w:rsidRPr="008751D6">
        <w:rPr>
          <w:b/>
          <w:bCs/>
          <w:sz w:val="22"/>
          <w:szCs w:val="22"/>
          <w:lang w:val="sr-Latn-RS"/>
        </w:rPr>
        <w:t xml:space="preserve">Pretklinički podaci o bezbjednosti </w:t>
      </w:r>
    </w:p>
    <w:p w14:paraId="3F3C7ABD" w14:textId="77777777" w:rsidR="00C11A2B" w:rsidRPr="008751D6" w:rsidRDefault="00C11A2B">
      <w:pPr>
        <w:tabs>
          <w:tab w:val="left" w:pos="540"/>
          <w:tab w:val="left" w:pos="569"/>
        </w:tabs>
        <w:jc w:val="both"/>
        <w:rPr>
          <w:b/>
          <w:bCs/>
          <w:sz w:val="22"/>
          <w:szCs w:val="22"/>
          <w:lang w:val="sr-Latn-RS"/>
        </w:rPr>
      </w:pPr>
    </w:p>
    <w:p w14:paraId="0E3D7536" w14:textId="25697863" w:rsidR="00707DA5" w:rsidRPr="008751D6" w:rsidRDefault="00707DA5">
      <w:pPr>
        <w:jc w:val="both"/>
        <w:rPr>
          <w:rFonts w:eastAsia="Calibri"/>
          <w:iCs/>
          <w:sz w:val="22"/>
          <w:szCs w:val="22"/>
          <w:lang w:val="sr-Latn-RS"/>
        </w:rPr>
      </w:pPr>
      <w:r w:rsidRPr="008751D6">
        <w:rPr>
          <w:rFonts w:eastAsia="Calibri"/>
          <w:iCs/>
          <w:sz w:val="22"/>
          <w:szCs w:val="22"/>
          <w:lang w:val="sr-Latn-RS"/>
        </w:rPr>
        <w:t>Efekti u pretkliničkim studijama prim</w:t>
      </w:r>
      <w:r w:rsidR="000D5705" w:rsidRPr="008751D6">
        <w:rPr>
          <w:rFonts w:eastAsia="Calibri"/>
          <w:iCs/>
          <w:sz w:val="22"/>
          <w:szCs w:val="22"/>
          <w:lang w:val="sr-Latn-RS"/>
        </w:rPr>
        <w:t>ij</w:t>
      </w:r>
      <w:r w:rsidRPr="008751D6">
        <w:rPr>
          <w:rFonts w:eastAsia="Calibri"/>
          <w:iCs/>
          <w:sz w:val="22"/>
          <w:szCs w:val="22"/>
          <w:lang w:val="sr-Latn-RS"/>
        </w:rPr>
        <w:t xml:space="preserve">ećeni su samo kod izloženosti koje se smatraju dovoljno velikim u odnosu na maksimalnu izloženost kod ljudi, što ukazuje na mali značaj za kliničku upotrebu. </w:t>
      </w:r>
    </w:p>
    <w:p w14:paraId="5A3C451B" w14:textId="77777777" w:rsidR="007F6EC4" w:rsidRPr="008751D6" w:rsidRDefault="007F6EC4">
      <w:pPr>
        <w:jc w:val="both"/>
        <w:rPr>
          <w:rFonts w:eastAsia="Calibri"/>
          <w:iCs/>
          <w:sz w:val="22"/>
          <w:szCs w:val="22"/>
          <w:lang w:val="sr-Latn-RS"/>
        </w:rPr>
      </w:pPr>
    </w:p>
    <w:p w14:paraId="66C65635" w14:textId="77777777" w:rsidR="00CC2D09" w:rsidRPr="008751D6" w:rsidRDefault="00CC2D09">
      <w:pPr>
        <w:pStyle w:val="Header"/>
        <w:tabs>
          <w:tab w:val="left" w:pos="284"/>
        </w:tabs>
        <w:jc w:val="both"/>
        <w:rPr>
          <w:iCs/>
          <w:sz w:val="22"/>
          <w:szCs w:val="22"/>
          <w:lang w:val="sr-Latn-RS"/>
        </w:rPr>
      </w:pPr>
      <w:r w:rsidRPr="008751D6">
        <w:rPr>
          <w:iCs/>
          <w:sz w:val="22"/>
          <w:szCs w:val="22"/>
          <w:lang w:val="sr-Latn-RS"/>
        </w:rPr>
        <w:t>U studijama karcinogenosti kod pacova i miševa, nisu primijećene sistemske neoplastične promjene pri dozama većim od terapijskih doza kod ljudi. Primijećena je povećana incidenca subkutanih tumora na mjestu primjene injekcije koja je vjerovatno posljedica pojačane frekvencije primjene doza kod životinja (jednom dnevno) u poređenju sa mjesečnim doziranjem kod ljudi, te stoga ne može imati klinički značaj.</w:t>
      </w:r>
    </w:p>
    <w:p w14:paraId="61E614EE" w14:textId="77777777" w:rsidR="00CC2D09" w:rsidRPr="008751D6" w:rsidRDefault="00CC2D09">
      <w:pPr>
        <w:pStyle w:val="Header"/>
        <w:tabs>
          <w:tab w:val="left" w:pos="284"/>
        </w:tabs>
        <w:jc w:val="both"/>
        <w:rPr>
          <w:iCs/>
          <w:sz w:val="22"/>
          <w:szCs w:val="22"/>
          <w:lang w:val="sr-Latn-RS"/>
        </w:rPr>
      </w:pPr>
    </w:p>
    <w:p w14:paraId="52BDDAF5" w14:textId="77777777" w:rsidR="00CC2D09" w:rsidRPr="008751D6" w:rsidRDefault="00CC2D09">
      <w:pPr>
        <w:pStyle w:val="Header"/>
        <w:tabs>
          <w:tab w:val="left" w:pos="284"/>
        </w:tabs>
        <w:jc w:val="both"/>
        <w:rPr>
          <w:sz w:val="22"/>
          <w:szCs w:val="22"/>
          <w:lang w:val="sr-Latn-RS"/>
        </w:rPr>
      </w:pPr>
      <w:r w:rsidRPr="008751D6">
        <w:rPr>
          <w:iCs/>
          <w:sz w:val="22"/>
          <w:szCs w:val="22"/>
          <w:lang w:val="sr-Latn-RS"/>
        </w:rPr>
        <w:t xml:space="preserve">Rezultati </w:t>
      </w:r>
      <w:r w:rsidRPr="008751D6">
        <w:rPr>
          <w:i/>
          <w:iCs/>
          <w:sz w:val="22"/>
          <w:szCs w:val="22"/>
          <w:lang w:val="sr-Latn-RS"/>
        </w:rPr>
        <w:t>in vivo</w:t>
      </w:r>
      <w:r w:rsidRPr="008751D6">
        <w:rPr>
          <w:iCs/>
          <w:sz w:val="22"/>
          <w:szCs w:val="22"/>
          <w:lang w:val="sr-Latn-RS"/>
        </w:rPr>
        <w:t xml:space="preserve"> i </w:t>
      </w:r>
      <w:r w:rsidRPr="008751D6">
        <w:rPr>
          <w:i/>
          <w:iCs/>
          <w:sz w:val="22"/>
          <w:szCs w:val="22"/>
          <w:lang w:val="sr-Latn-RS"/>
        </w:rPr>
        <w:t>in vitro</w:t>
      </w:r>
      <w:r w:rsidRPr="008751D6">
        <w:rPr>
          <w:iCs/>
          <w:sz w:val="22"/>
          <w:szCs w:val="22"/>
          <w:lang w:val="sr-Latn-RS"/>
        </w:rPr>
        <w:t xml:space="preserve"> standardnih testova nisu pokazali genotoksični potencijal lanreotida.</w:t>
      </w:r>
      <w:r w:rsidRPr="008751D6">
        <w:rPr>
          <w:sz w:val="22"/>
          <w:szCs w:val="22"/>
          <w:lang w:val="sr-Latn-RS"/>
        </w:rPr>
        <w:t xml:space="preserve"> </w:t>
      </w:r>
    </w:p>
    <w:p w14:paraId="5885C371" w14:textId="77777777" w:rsidR="00EA5E97" w:rsidRPr="008751D6" w:rsidRDefault="00EA5E97">
      <w:pPr>
        <w:tabs>
          <w:tab w:val="left" w:pos="540"/>
          <w:tab w:val="left" w:pos="569"/>
        </w:tabs>
        <w:jc w:val="both"/>
        <w:rPr>
          <w:b/>
          <w:bCs/>
          <w:sz w:val="22"/>
          <w:szCs w:val="22"/>
          <w:lang w:val="sr-Latn-RS"/>
        </w:rPr>
      </w:pPr>
    </w:p>
    <w:p w14:paraId="1EA7A91C" w14:textId="77777777" w:rsidR="00EA5E97" w:rsidRPr="008751D6" w:rsidRDefault="00EA5E97">
      <w:pPr>
        <w:tabs>
          <w:tab w:val="left" w:pos="540"/>
          <w:tab w:val="left" w:pos="569"/>
        </w:tabs>
        <w:jc w:val="both"/>
        <w:rPr>
          <w:sz w:val="22"/>
          <w:szCs w:val="22"/>
          <w:lang w:val="sr-Latn-RS"/>
        </w:rPr>
      </w:pPr>
      <w:r w:rsidRPr="008751D6">
        <w:rPr>
          <w:sz w:val="22"/>
          <w:szCs w:val="22"/>
          <w:lang w:val="sr-Latn-RS"/>
        </w:rPr>
        <w:t>Lanreotid nije bio teratogen kod pacova i zečeva. Embrion/fetalna toksičnost je primјećena kod pacova (povećan gubitak prije implantacije) i kod zečeva (povećan gubitak nakon implantacije).</w:t>
      </w:r>
    </w:p>
    <w:p w14:paraId="210F4F98" w14:textId="77777777" w:rsidR="00396DFD" w:rsidRPr="008751D6" w:rsidRDefault="00EA5E97">
      <w:pPr>
        <w:tabs>
          <w:tab w:val="left" w:pos="540"/>
          <w:tab w:val="left" w:pos="569"/>
        </w:tabs>
        <w:jc w:val="both"/>
        <w:rPr>
          <w:sz w:val="22"/>
          <w:szCs w:val="22"/>
          <w:lang w:val="sr-Latn-RS"/>
        </w:rPr>
      </w:pPr>
      <w:r w:rsidRPr="008751D6">
        <w:rPr>
          <w:sz w:val="22"/>
          <w:szCs w:val="22"/>
          <w:lang w:val="sr-Latn-RS"/>
        </w:rPr>
        <w:t>Reproduktivne studije na trudnim pacovima kojima je davano 30 mg/kg subkutanom injekcijom svake 2 nedjelje (pet puta veća doza od doze kod ljudi, na osnovu poređenja površine tijela) pokazale su da dolazi do smanjenog preživljavanja embriona/fetusa. Studije na trudnim zečevima kojima su davane subkutane injekcije od 0,45 mg/kg/dan (dva puta veća doza od terapijske izloženosti ljudi pri maksimalnoj preporučenoj dozi od 120 mg, na osnovu poređenja relativne površine tijela) pokazuju smanjeno preživljavanje fetusa i povećane abnormalnosti fetalnog skeletnog/mekog tkiva.</w:t>
      </w:r>
    </w:p>
    <w:p w14:paraId="636D4B70" w14:textId="345D9F38" w:rsidR="00EA5E97" w:rsidRPr="008751D6" w:rsidRDefault="00EA5E97">
      <w:pPr>
        <w:tabs>
          <w:tab w:val="left" w:pos="540"/>
          <w:tab w:val="left" w:pos="569"/>
        </w:tabs>
        <w:jc w:val="both"/>
        <w:rPr>
          <w:b/>
          <w:bCs/>
          <w:sz w:val="22"/>
          <w:szCs w:val="22"/>
          <w:lang w:val="sr-Latn-RS"/>
        </w:rPr>
      </w:pPr>
    </w:p>
    <w:p w14:paraId="06B208D4" w14:textId="77777777" w:rsidR="005510F1" w:rsidRPr="008751D6" w:rsidRDefault="005510F1">
      <w:pPr>
        <w:tabs>
          <w:tab w:val="left" w:pos="540"/>
          <w:tab w:val="left" w:pos="569"/>
        </w:tabs>
        <w:jc w:val="both"/>
        <w:rPr>
          <w:b/>
          <w:bCs/>
          <w:sz w:val="22"/>
          <w:szCs w:val="22"/>
          <w:lang w:val="sr-Latn-RS"/>
        </w:rPr>
      </w:pPr>
    </w:p>
    <w:p w14:paraId="72F403FE"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6. </w:t>
      </w:r>
      <w:r w:rsidR="00480FB1" w:rsidRPr="008751D6">
        <w:rPr>
          <w:b/>
          <w:bCs/>
          <w:sz w:val="22"/>
          <w:szCs w:val="22"/>
          <w:lang w:val="sr-Latn-RS"/>
        </w:rPr>
        <w:tab/>
      </w:r>
      <w:r w:rsidRPr="008751D6">
        <w:rPr>
          <w:b/>
          <w:bCs/>
          <w:sz w:val="22"/>
          <w:szCs w:val="22"/>
          <w:lang w:val="sr-Latn-RS"/>
        </w:rPr>
        <w:t>FARMACEUTSKI PODACI</w:t>
      </w:r>
    </w:p>
    <w:p w14:paraId="164A0E3A" w14:textId="77777777" w:rsidR="00836B35" w:rsidRPr="008751D6" w:rsidRDefault="00836B35">
      <w:pPr>
        <w:tabs>
          <w:tab w:val="left" w:pos="540"/>
          <w:tab w:val="left" w:pos="569"/>
        </w:tabs>
        <w:jc w:val="both"/>
        <w:rPr>
          <w:bCs/>
          <w:sz w:val="22"/>
          <w:szCs w:val="22"/>
          <w:lang w:val="sr-Latn-RS"/>
        </w:rPr>
      </w:pPr>
    </w:p>
    <w:p w14:paraId="321090BA"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6.1. </w:t>
      </w:r>
      <w:r w:rsidR="00480FB1" w:rsidRPr="008751D6">
        <w:rPr>
          <w:b/>
          <w:bCs/>
          <w:sz w:val="22"/>
          <w:szCs w:val="22"/>
          <w:lang w:val="sr-Latn-RS"/>
        </w:rPr>
        <w:tab/>
      </w:r>
      <w:r w:rsidRPr="008751D6">
        <w:rPr>
          <w:b/>
          <w:bCs/>
          <w:sz w:val="22"/>
          <w:szCs w:val="22"/>
          <w:lang w:val="sr-Latn-RS"/>
        </w:rPr>
        <w:t>Lista pomoćnih supstanci</w:t>
      </w:r>
      <w:r w:rsidR="002E0135" w:rsidRPr="008751D6">
        <w:rPr>
          <w:b/>
          <w:bCs/>
          <w:sz w:val="22"/>
          <w:szCs w:val="22"/>
          <w:lang w:val="sr-Latn-RS"/>
        </w:rPr>
        <w:t xml:space="preserve"> (ekscipijenasa)</w:t>
      </w:r>
    </w:p>
    <w:p w14:paraId="408CF840" w14:textId="77777777" w:rsidR="00C11A2B" w:rsidRPr="008751D6" w:rsidRDefault="00C11A2B">
      <w:pPr>
        <w:tabs>
          <w:tab w:val="left" w:pos="540"/>
          <w:tab w:val="left" w:pos="569"/>
        </w:tabs>
        <w:jc w:val="both"/>
        <w:rPr>
          <w:b/>
          <w:bCs/>
          <w:sz w:val="22"/>
          <w:szCs w:val="22"/>
          <w:lang w:val="sr-Latn-RS"/>
        </w:rPr>
      </w:pPr>
    </w:p>
    <w:p w14:paraId="7B1C906E" w14:textId="77777777" w:rsidR="00CC2D09" w:rsidRPr="008751D6" w:rsidRDefault="00CC2D09">
      <w:pPr>
        <w:pStyle w:val="Header"/>
        <w:tabs>
          <w:tab w:val="left" w:pos="284"/>
        </w:tabs>
        <w:jc w:val="both"/>
        <w:rPr>
          <w:sz w:val="22"/>
          <w:szCs w:val="22"/>
          <w:lang w:val="sr-Latn-RS"/>
        </w:rPr>
      </w:pPr>
      <w:r w:rsidRPr="008751D6">
        <w:rPr>
          <w:sz w:val="22"/>
          <w:szCs w:val="22"/>
          <w:lang w:val="sr-Latn-RS"/>
        </w:rPr>
        <w:t xml:space="preserve">Voda za injekcije, </w:t>
      </w:r>
    </w:p>
    <w:p w14:paraId="11DDBC5B" w14:textId="77777777" w:rsidR="0072020E" w:rsidRPr="008751D6" w:rsidRDefault="00CC2D09">
      <w:pPr>
        <w:tabs>
          <w:tab w:val="left" w:pos="540"/>
          <w:tab w:val="left" w:pos="569"/>
        </w:tabs>
        <w:jc w:val="both"/>
        <w:rPr>
          <w:sz w:val="22"/>
          <w:szCs w:val="22"/>
          <w:lang w:val="sr-Latn-RS"/>
        </w:rPr>
      </w:pPr>
      <w:r w:rsidRPr="008751D6">
        <w:rPr>
          <w:sz w:val="22"/>
          <w:szCs w:val="22"/>
          <w:lang w:val="sr-Latn-RS"/>
        </w:rPr>
        <w:t>sirćetna kiselina, glacijalna (za podešavanje pH vrijednosti).</w:t>
      </w:r>
    </w:p>
    <w:p w14:paraId="028FB439" w14:textId="77777777" w:rsidR="00CC2D09" w:rsidRPr="008751D6" w:rsidRDefault="00CC2D09">
      <w:pPr>
        <w:tabs>
          <w:tab w:val="left" w:pos="540"/>
          <w:tab w:val="left" w:pos="569"/>
        </w:tabs>
        <w:jc w:val="both"/>
        <w:rPr>
          <w:bCs/>
          <w:sz w:val="22"/>
          <w:szCs w:val="22"/>
          <w:lang w:val="sr-Latn-RS"/>
        </w:rPr>
      </w:pPr>
    </w:p>
    <w:p w14:paraId="02F06D86" w14:textId="77777777" w:rsidR="008751D6" w:rsidRPr="008751D6" w:rsidRDefault="008751D6">
      <w:pPr>
        <w:tabs>
          <w:tab w:val="left" w:pos="540"/>
          <w:tab w:val="left" w:pos="569"/>
        </w:tabs>
        <w:jc w:val="both"/>
        <w:rPr>
          <w:b/>
          <w:bCs/>
          <w:sz w:val="22"/>
          <w:szCs w:val="22"/>
          <w:lang w:val="sr-Latn-RS"/>
        </w:rPr>
      </w:pPr>
    </w:p>
    <w:p w14:paraId="5E0194EB" w14:textId="0B34C82F" w:rsidR="0072020E" w:rsidRPr="008751D6" w:rsidRDefault="0072020E">
      <w:pPr>
        <w:tabs>
          <w:tab w:val="left" w:pos="540"/>
          <w:tab w:val="left" w:pos="569"/>
        </w:tabs>
        <w:jc w:val="both"/>
        <w:rPr>
          <w:b/>
          <w:bCs/>
          <w:sz w:val="22"/>
          <w:szCs w:val="22"/>
          <w:lang w:val="sr-Latn-RS"/>
        </w:rPr>
      </w:pPr>
      <w:r w:rsidRPr="008751D6">
        <w:rPr>
          <w:b/>
          <w:bCs/>
          <w:sz w:val="22"/>
          <w:szCs w:val="22"/>
          <w:lang w:val="sr-Latn-RS"/>
        </w:rPr>
        <w:lastRenderedPageBreak/>
        <w:t xml:space="preserve">6.2. </w:t>
      </w:r>
      <w:r w:rsidR="00480FB1" w:rsidRPr="008751D6">
        <w:rPr>
          <w:b/>
          <w:bCs/>
          <w:sz w:val="22"/>
          <w:szCs w:val="22"/>
          <w:lang w:val="sr-Latn-RS"/>
        </w:rPr>
        <w:tab/>
      </w:r>
      <w:r w:rsidRPr="008751D6">
        <w:rPr>
          <w:b/>
          <w:bCs/>
          <w:sz w:val="22"/>
          <w:szCs w:val="22"/>
          <w:lang w:val="sr-Latn-RS"/>
        </w:rPr>
        <w:t>Inkompatibilnost</w:t>
      </w:r>
      <w:r w:rsidR="002846DB" w:rsidRPr="008751D6">
        <w:rPr>
          <w:b/>
          <w:bCs/>
          <w:sz w:val="22"/>
          <w:szCs w:val="22"/>
          <w:lang w:val="sr-Latn-RS"/>
        </w:rPr>
        <w:t>i</w:t>
      </w:r>
    </w:p>
    <w:p w14:paraId="7DBAEDA3" w14:textId="77777777" w:rsidR="00C11A2B" w:rsidRPr="008751D6" w:rsidRDefault="00C11A2B">
      <w:pPr>
        <w:tabs>
          <w:tab w:val="left" w:pos="540"/>
          <w:tab w:val="left" w:pos="569"/>
        </w:tabs>
        <w:jc w:val="both"/>
        <w:rPr>
          <w:b/>
          <w:bCs/>
          <w:sz w:val="22"/>
          <w:szCs w:val="22"/>
          <w:lang w:val="sr-Latn-RS"/>
        </w:rPr>
      </w:pPr>
    </w:p>
    <w:p w14:paraId="073B7723" w14:textId="77777777" w:rsidR="0072020E" w:rsidRPr="008751D6" w:rsidRDefault="00CC2D09">
      <w:pPr>
        <w:tabs>
          <w:tab w:val="left" w:pos="540"/>
          <w:tab w:val="left" w:pos="569"/>
        </w:tabs>
        <w:jc w:val="both"/>
        <w:rPr>
          <w:bCs/>
          <w:sz w:val="22"/>
          <w:szCs w:val="22"/>
          <w:lang w:val="sr-Latn-RS"/>
        </w:rPr>
      </w:pPr>
      <w:r w:rsidRPr="008751D6">
        <w:rPr>
          <w:sz w:val="22"/>
          <w:szCs w:val="22"/>
          <w:lang w:val="sr-Latn-RS"/>
        </w:rPr>
        <w:t>Nije primjenljivo.</w:t>
      </w:r>
    </w:p>
    <w:p w14:paraId="0F562301" w14:textId="77777777" w:rsidR="00707DA5" w:rsidRPr="008751D6" w:rsidRDefault="00707DA5">
      <w:pPr>
        <w:tabs>
          <w:tab w:val="left" w:pos="540"/>
          <w:tab w:val="left" w:pos="569"/>
        </w:tabs>
        <w:jc w:val="both"/>
        <w:rPr>
          <w:b/>
          <w:bCs/>
          <w:sz w:val="22"/>
          <w:szCs w:val="22"/>
          <w:lang w:val="sr-Latn-RS"/>
        </w:rPr>
      </w:pPr>
    </w:p>
    <w:p w14:paraId="7689940F"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6.3.</w:t>
      </w:r>
      <w:r w:rsidR="00C05DF8" w:rsidRPr="008751D6">
        <w:rPr>
          <w:b/>
          <w:bCs/>
          <w:sz w:val="22"/>
          <w:szCs w:val="22"/>
          <w:lang w:val="sr-Latn-RS"/>
        </w:rPr>
        <w:t xml:space="preserve"> </w:t>
      </w:r>
      <w:r w:rsidR="00480FB1" w:rsidRPr="008751D6">
        <w:rPr>
          <w:b/>
          <w:bCs/>
          <w:sz w:val="22"/>
          <w:szCs w:val="22"/>
          <w:lang w:val="sr-Latn-RS"/>
        </w:rPr>
        <w:tab/>
      </w:r>
      <w:r w:rsidRPr="008751D6">
        <w:rPr>
          <w:b/>
          <w:bCs/>
          <w:sz w:val="22"/>
          <w:szCs w:val="22"/>
          <w:lang w:val="sr-Latn-RS"/>
        </w:rPr>
        <w:t>Rok upotrebe</w:t>
      </w:r>
    </w:p>
    <w:p w14:paraId="1701F438" w14:textId="77777777" w:rsidR="00C11A2B" w:rsidRPr="008751D6" w:rsidRDefault="00C11A2B">
      <w:pPr>
        <w:tabs>
          <w:tab w:val="left" w:pos="540"/>
          <w:tab w:val="left" w:pos="569"/>
        </w:tabs>
        <w:jc w:val="both"/>
        <w:rPr>
          <w:b/>
          <w:bCs/>
          <w:sz w:val="22"/>
          <w:szCs w:val="22"/>
          <w:lang w:val="sr-Latn-RS"/>
        </w:rPr>
      </w:pPr>
    </w:p>
    <w:p w14:paraId="4102CA0E" w14:textId="4D320656" w:rsidR="00CC2D09" w:rsidRPr="008751D6" w:rsidRDefault="00585675">
      <w:pPr>
        <w:pStyle w:val="Header"/>
        <w:tabs>
          <w:tab w:val="left" w:pos="284"/>
        </w:tabs>
        <w:jc w:val="both"/>
        <w:rPr>
          <w:sz w:val="22"/>
          <w:szCs w:val="22"/>
          <w:lang w:val="sr-Latn-RS"/>
        </w:rPr>
      </w:pPr>
      <w:r w:rsidRPr="008751D6">
        <w:rPr>
          <w:sz w:val="22"/>
          <w:szCs w:val="22"/>
          <w:lang w:val="sr-Latn-RS"/>
        </w:rPr>
        <w:t xml:space="preserve">3 </w:t>
      </w:r>
      <w:r w:rsidR="00CC2D09" w:rsidRPr="008751D6">
        <w:rPr>
          <w:sz w:val="22"/>
          <w:szCs w:val="22"/>
          <w:lang w:val="sr-Latn-RS"/>
        </w:rPr>
        <w:t>godine.</w:t>
      </w:r>
    </w:p>
    <w:p w14:paraId="230E6064" w14:textId="78591C4E" w:rsidR="00707DA5" w:rsidRPr="008751D6" w:rsidRDefault="00707DA5" w:rsidP="008319CC">
      <w:pPr>
        <w:tabs>
          <w:tab w:val="left" w:pos="0"/>
        </w:tabs>
        <w:jc w:val="both"/>
        <w:rPr>
          <w:rFonts w:eastAsia="Calibri"/>
          <w:sz w:val="22"/>
          <w:szCs w:val="22"/>
          <w:lang w:val="sr-Latn-RS"/>
        </w:rPr>
      </w:pPr>
      <w:r w:rsidRPr="008751D6">
        <w:rPr>
          <w:rFonts w:eastAsia="Calibri"/>
          <w:sz w:val="22"/>
          <w:szCs w:val="22"/>
          <w:lang w:val="sr-Latn-RS"/>
        </w:rPr>
        <w:t>Rok upotrebe l</w:t>
      </w:r>
      <w:r w:rsidR="000D5705" w:rsidRPr="008751D6">
        <w:rPr>
          <w:rFonts w:eastAsia="Calibri"/>
          <w:sz w:val="22"/>
          <w:szCs w:val="22"/>
          <w:lang w:val="sr-Latn-RS"/>
        </w:rPr>
        <w:t>ij</w:t>
      </w:r>
      <w:r w:rsidRPr="008751D6">
        <w:rPr>
          <w:rFonts w:eastAsia="Calibri"/>
          <w:sz w:val="22"/>
          <w:szCs w:val="22"/>
          <w:lang w:val="sr-Latn-RS"/>
        </w:rPr>
        <w:t>eka nakon otvaranja: upotr</w:t>
      </w:r>
      <w:r w:rsidR="000D5705" w:rsidRPr="008751D6">
        <w:rPr>
          <w:rFonts w:eastAsia="Calibri"/>
          <w:sz w:val="22"/>
          <w:szCs w:val="22"/>
          <w:lang w:val="sr-Latn-RS"/>
        </w:rPr>
        <w:t>ij</w:t>
      </w:r>
      <w:r w:rsidRPr="008751D6">
        <w:rPr>
          <w:rFonts w:eastAsia="Calibri"/>
          <w:sz w:val="22"/>
          <w:szCs w:val="22"/>
          <w:lang w:val="sr-Latn-RS"/>
        </w:rPr>
        <w:t>ebiti odmah.</w:t>
      </w:r>
    </w:p>
    <w:p w14:paraId="7994A5FB" w14:textId="77777777" w:rsidR="00707DA5" w:rsidRPr="008751D6" w:rsidRDefault="00707DA5" w:rsidP="009E2113">
      <w:pPr>
        <w:tabs>
          <w:tab w:val="left" w:pos="540"/>
          <w:tab w:val="left" w:pos="569"/>
        </w:tabs>
        <w:jc w:val="both"/>
        <w:rPr>
          <w:b/>
          <w:bCs/>
          <w:sz w:val="22"/>
          <w:szCs w:val="22"/>
          <w:lang w:val="sr-Latn-RS"/>
        </w:rPr>
      </w:pPr>
    </w:p>
    <w:p w14:paraId="56B07D3A"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6.4. </w:t>
      </w:r>
      <w:r w:rsidR="00480FB1" w:rsidRPr="008751D6">
        <w:rPr>
          <w:b/>
          <w:bCs/>
          <w:sz w:val="22"/>
          <w:szCs w:val="22"/>
          <w:lang w:val="sr-Latn-RS"/>
        </w:rPr>
        <w:tab/>
      </w:r>
      <w:r w:rsidRPr="008751D6">
        <w:rPr>
          <w:b/>
          <w:bCs/>
          <w:sz w:val="22"/>
          <w:szCs w:val="22"/>
          <w:lang w:val="sr-Latn-RS"/>
        </w:rPr>
        <w:t>Posebne mjere upozorenja pri čuvanju</w:t>
      </w:r>
      <w:r w:rsidR="00F8570A" w:rsidRPr="008751D6">
        <w:rPr>
          <w:b/>
          <w:bCs/>
          <w:sz w:val="22"/>
          <w:szCs w:val="22"/>
          <w:lang w:val="sr-Latn-RS"/>
        </w:rPr>
        <w:t xml:space="preserve"> lijeka</w:t>
      </w:r>
    </w:p>
    <w:p w14:paraId="4BC0FB67" w14:textId="77777777" w:rsidR="00C11A2B" w:rsidRPr="008751D6" w:rsidRDefault="00C11A2B">
      <w:pPr>
        <w:tabs>
          <w:tab w:val="left" w:pos="540"/>
          <w:tab w:val="left" w:pos="569"/>
        </w:tabs>
        <w:jc w:val="both"/>
        <w:rPr>
          <w:b/>
          <w:bCs/>
          <w:sz w:val="22"/>
          <w:szCs w:val="22"/>
          <w:lang w:val="sr-Latn-RS"/>
        </w:rPr>
      </w:pPr>
    </w:p>
    <w:p w14:paraId="45797662" w14:textId="77777777" w:rsidR="00707DA5" w:rsidRPr="008751D6" w:rsidRDefault="00707DA5">
      <w:pPr>
        <w:jc w:val="both"/>
        <w:rPr>
          <w:rFonts w:eastAsia="Calibri"/>
          <w:sz w:val="22"/>
          <w:szCs w:val="22"/>
          <w:lang w:val="sr-Latn-RS"/>
        </w:rPr>
      </w:pPr>
      <w:r w:rsidRPr="008751D6">
        <w:rPr>
          <w:rFonts w:eastAsia="Calibri"/>
          <w:sz w:val="22"/>
          <w:szCs w:val="22"/>
          <w:lang w:val="sr-Latn-RS"/>
        </w:rPr>
        <w:t>Čuvati u frižideru (na temperaturi od 2°C do 8°C ). Čuvati u originalnom pakovanju, radi zaštite od sv</w:t>
      </w:r>
      <w:r w:rsidR="000D5705" w:rsidRPr="008751D6">
        <w:rPr>
          <w:rFonts w:eastAsia="Calibri"/>
          <w:sz w:val="22"/>
          <w:szCs w:val="22"/>
          <w:lang w:val="sr-Latn-RS"/>
        </w:rPr>
        <w:t>j</w:t>
      </w:r>
      <w:r w:rsidRPr="008751D6">
        <w:rPr>
          <w:rFonts w:eastAsia="Calibri"/>
          <w:sz w:val="22"/>
          <w:szCs w:val="22"/>
          <w:lang w:val="sr-Latn-RS"/>
        </w:rPr>
        <w:t>etlosti. Ne zamrzavati.</w:t>
      </w:r>
    </w:p>
    <w:p w14:paraId="5FBF70E1" w14:textId="2E41A2B0" w:rsidR="00707DA5" w:rsidRPr="008751D6" w:rsidRDefault="00707DA5">
      <w:pPr>
        <w:jc w:val="both"/>
        <w:rPr>
          <w:rFonts w:eastAsia="Calibri"/>
          <w:sz w:val="22"/>
          <w:szCs w:val="22"/>
          <w:lang w:val="sr-Latn-RS"/>
        </w:rPr>
      </w:pPr>
      <w:r w:rsidRPr="008751D6">
        <w:rPr>
          <w:rFonts w:eastAsia="Calibri"/>
          <w:sz w:val="22"/>
          <w:szCs w:val="22"/>
          <w:lang w:val="sr-Latn-RS"/>
        </w:rPr>
        <w:t>Za uslove čuvanja nakon prvog otvaranja l</w:t>
      </w:r>
      <w:r w:rsidR="000D5705" w:rsidRPr="008751D6">
        <w:rPr>
          <w:rFonts w:eastAsia="Calibri"/>
          <w:sz w:val="22"/>
          <w:szCs w:val="22"/>
          <w:lang w:val="sr-Latn-RS"/>
        </w:rPr>
        <w:t>ij</w:t>
      </w:r>
      <w:r w:rsidRPr="008751D6">
        <w:rPr>
          <w:rFonts w:eastAsia="Calibri"/>
          <w:sz w:val="22"/>
          <w:szCs w:val="22"/>
          <w:lang w:val="sr-Latn-RS"/>
        </w:rPr>
        <w:t xml:space="preserve">eka pogledati </w:t>
      </w:r>
      <w:r w:rsidR="003E630A" w:rsidRPr="008751D6">
        <w:rPr>
          <w:rFonts w:eastAsia="Calibri"/>
          <w:sz w:val="22"/>
          <w:szCs w:val="22"/>
          <w:lang w:val="sr-Latn-RS"/>
        </w:rPr>
        <w:t xml:space="preserve">dio </w:t>
      </w:r>
      <w:r w:rsidRPr="008751D6">
        <w:rPr>
          <w:rFonts w:eastAsia="Calibri"/>
          <w:sz w:val="22"/>
          <w:szCs w:val="22"/>
          <w:lang w:val="sr-Latn-RS"/>
        </w:rPr>
        <w:t>6.3.</w:t>
      </w:r>
    </w:p>
    <w:p w14:paraId="4E5A5B6D" w14:textId="3ED4D988" w:rsidR="00CC2D09" w:rsidRPr="008751D6" w:rsidRDefault="00CC2D09">
      <w:pPr>
        <w:pStyle w:val="Header"/>
        <w:tabs>
          <w:tab w:val="left" w:pos="284"/>
        </w:tabs>
        <w:jc w:val="both"/>
        <w:rPr>
          <w:sz w:val="22"/>
          <w:szCs w:val="22"/>
          <w:lang w:val="sr-Latn-RS"/>
        </w:rPr>
      </w:pPr>
      <w:r w:rsidRPr="008751D6">
        <w:rPr>
          <w:sz w:val="22"/>
          <w:szCs w:val="22"/>
          <w:lang w:val="sr-Latn-RS"/>
        </w:rPr>
        <w:t xml:space="preserve">Nakon vađenja iz frižidera proizvod u zaštitnoj kesici se može čuvati na temperaturi do 40°C najduže </w:t>
      </w:r>
      <w:r w:rsidR="00ED29F9" w:rsidRPr="008751D6">
        <w:rPr>
          <w:sz w:val="22"/>
          <w:szCs w:val="22"/>
          <w:lang w:val="sr-Latn-RS"/>
        </w:rPr>
        <w:t xml:space="preserve">72 </w:t>
      </w:r>
      <w:r w:rsidRPr="008751D6">
        <w:rPr>
          <w:sz w:val="22"/>
          <w:szCs w:val="22"/>
          <w:lang w:val="sr-Latn-RS"/>
        </w:rPr>
        <w:t xml:space="preserve">sata prije primjene injekcije ili se može vratiti u frižider i čuvati do kasnije primjene injekcije. Ovaj postupak se može ponoviti najviše tri puta tako da ukupno vrijeme čuvanja lijeka van frižidera na temperaturi do 40°C ne bude duže od </w:t>
      </w:r>
      <w:r w:rsidR="00ED29F9" w:rsidRPr="008751D6">
        <w:rPr>
          <w:sz w:val="22"/>
          <w:szCs w:val="22"/>
          <w:lang w:val="sr-Latn-RS"/>
        </w:rPr>
        <w:t>72</w:t>
      </w:r>
      <w:r w:rsidRPr="008751D6">
        <w:rPr>
          <w:sz w:val="22"/>
          <w:szCs w:val="22"/>
          <w:lang w:val="sr-Latn-RS"/>
        </w:rPr>
        <w:t xml:space="preserve"> sata.</w:t>
      </w:r>
    </w:p>
    <w:p w14:paraId="7B724FD1" w14:textId="77777777" w:rsidR="00EC2532" w:rsidRPr="008751D6" w:rsidRDefault="00EC2532">
      <w:pPr>
        <w:tabs>
          <w:tab w:val="left" w:pos="540"/>
          <w:tab w:val="left" w:pos="569"/>
        </w:tabs>
        <w:jc w:val="both"/>
        <w:rPr>
          <w:bCs/>
          <w:sz w:val="22"/>
          <w:szCs w:val="22"/>
          <w:lang w:val="sr-Latn-RS"/>
        </w:rPr>
      </w:pPr>
    </w:p>
    <w:p w14:paraId="6B6D025A"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6.5. </w:t>
      </w:r>
      <w:r w:rsidR="00480FB1" w:rsidRPr="008751D6">
        <w:rPr>
          <w:b/>
          <w:bCs/>
          <w:sz w:val="22"/>
          <w:szCs w:val="22"/>
          <w:lang w:val="sr-Latn-RS"/>
        </w:rPr>
        <w:tab/>
      </w:r>
      <w:r w:rsidR="002846DB" w:rsidRPr="008751D6">
        <w:rPr>
          <w:b/>
          <w:bCs/>
          <w:sz w:val="22"/>
          <w:szCs w:val="22"/>
          <w:lang w:val="sr-Latn-RS"/>
        </w:rPr>
        <w:t xml:space="preserve">Vrsta i sadržaj </w:t>
      </w:r>
      <w:r w:rsidR="00F8570A" w:rsidRPr="008751D6">
        <w:rPr>
          <w:b/>
          <w:bCs/>
          <w:sz w:val="22"/>
          <w:szCs w:val="22"/>
          <w:lang w:val="sr-Latn-RS"/>
        </w:rPr>
        <w:t>pakovanja</w:t>
      </w:r>
      <w:r w:rsidR="00C06864" w:rsidRPr="008751D6">
        <w:rPr>
          <w:b/>
          <w:bCs/>
          <w:sz w:val="22"/>
          <w:szCs w:val="22"/>
          <w:lang w:val="sr-Latn-RS"/>
        </w:rPr>
        <w:t xml:space="preserve"> </w:t>
      </w:r>
    </w:p>
    <w:p w14:paraId="50003998" w14:textId="77777777" w:rsidR="00C11A2B" w:rsidRPr="008751D6" w:rsidRDefault="00C11A2B">
      <w:pPr>
        <w:tabs>
          <w:tab w:val="left" w:pos="540"/>
          <w:tab w:val="left" w:pos="569"/>
        </w:tabs>
        <w:jc w:val="both"/>
        <w:rPr>
          <w:b/>
          <w:bCs/>
          <w:sz w:val="22"/>
          <w:szCs w:val="22"/>
          <w:lang w:val="sr-Latn-RS"/>
        </w:rPr>
      </w:pPr>
    </w:p>
    <w:p w14:paraId="33AE62A6" w14:textId="369915EF" w:rsidR="00707DA5" w:rsidRPr="008751D6" w:rsidRDefault="00707DA5">
      <w:pPr>
        <w:jc w:val="both"/>
        <w:rPr>
          <w:rFonts w:eastAsia="Calibri"/>
          <w:sz w:val="22"/>
          <w:szCs w:val="22"/>
          <w:lang w:val="sr-Latn-RS"/>
        </w:rPr>
      </w:pPr>
      <w:r w:rsidRPr="008751D6">
        <w:rPr>
          <w:rFonts w:eastAsia="Calibri"/>
          <w:sz w:val="22"/>
          <w:szCs w:val="22"/>
          <w:lang w:val="sr-Latn-RS"/>
        </w:rPr>
        <w:t>Unutrašnje pakovanje sadrži napunjen</w:t>
      </w:r>
      <w:r w:rsidR="005510F1" w:rsidRPr="008751D6">
        <w:rPr>
          <w:rFonts w:eastAsia="Calibri"/>
          <w:sz w:val="22"/>
          <w:szCs w:val="22"/>
          <w:lang w:val="sr-Latn-RS"/>
        </w:rPr>
        <w:t>i</w:t>
      </w:r>
      <w:r w:rsidRPr="008751D6">
        <w:rPr>
          <w:rFonts w:eastAsia="Calibri"/>
          <w:sz w:val="22"/>
          <w:szCs w:val="22"/>
          <w:lang w:val="sr-Latn-RS"/>
        </w:rPr>
        <w:t xml:space="preserve"> špric</w:t>
      </w:r>
      <w:r w:rsidRPr="008751D6">
        <w:rPr>
          <w:rFonts w:eastAsia="Calibri"/>
          <w:bCs/>
          <w:sz w:val="22"/>
          <w:szCs w:val="22"/>
          <w:lang w:val="sr-Latn-RS"/>
        </w:rPr>
        <w:t xml:space="preserve"> (od polipropilena) sa automatskim zaštitnim sistemom koga čine klip sa štitnikom </w:t>
      </w:r>
      <w:r w:rsidRPr="008751D6">
        <w:rPr>
          <w:rFonts w:eastAsia="Calibri"/>
          <w:sz w:val="22"/>
          <w:szCs w:val="22"/>
          <w:lang w:val="sr-Latn-RS"/>
        </w:rPr>
        <w:t>(od brom-butil gume) i igla od nerđajućeg čelika pokrivena plastičnom kapicom.</w:t>
      </w:r>
    </w:p>
    <w:p w14:paraId="440B3965" w14:textId="77777777" w:rsidR="00707DA5" w:rsidRPr="008751D6" w:rsidRDefault="00707DA5">
      <w:pPr>
        <w:jc w:val="both"/>
        <w:rPr>
          <w:rFonts w:eastAsia="Calibri"/>
          <w:color w:val="FF0000"/>
          <w:sz w:val="22"/>
          <w:szCs w:val="22"/>
          <w:lang w:val="sr-Latn-RS"/>
        </w:rPr>
      </w:pPr>
    </w:p>
    <w:p w14:paraId="7DA5AF47" w14:textId="04356610" w:rsidR="00707DA5" w:rsidRPr="008751D6" w:rsidRDefault="00707DA5">
      <w:pPr>
        <w:jc w:val="both"/>
        <w:rPr>
          <w:rFonts w:eastAsia="Calibri"/>
          <w:sz w:val="22"/>
          <w:szCs w:val="22"/>
          <w:lang w:val="sr-Latn-RS"/>
        </w:rPr>
      </w:pPr>
      <w:r w:rsidRPr="008751D6">
        <w:rPr>
          <w:rFonts w:eastAsia="Calibri"/>
          <w:sz w:val="22"/>
          <w:szCs w:val="22"/>
          <w:lang w:val="sr-Latn-RS"/>
        </w:rPr>
        <w:t>Spoljnje pakovanje je složiva kartonska kutija u kojoj se nalazi jedan napunjen</w:t>
      </w:r>
      <w:r w:rsidR="005510F1" w:rsidRPr="008751D6">
        <w:rPr>
          <w:rFonts w:eastAsia="Calibri"/>
          <w:sz w:val="22"/>
          <w:szCs w:val="22"/>
          <w:lang w:val="sr-Latn-RS"/>
        </w:rPr>
        <w:t>i</w:t>
      </w:r>
      <w:r w:rsidRPr="008751D6">
        <w:rPr>
          <w:rFonts w:eastAsia="Calibri"/>
          <w:sz w:val="22"/>
          <w:szCs w:val="22"/>
          <w:lang w:val="sr-Latn-RS"/>
        </w:rPr>
        <w:t xml:space="preserve"> injekcioni špric pričvršćen za plastično ležište i upakovan u višeslojnu kesicu (polietilen teraftalat/aluminijum/polietilen laminat).</w:t>
      </w:r>
    </w:p>
    <w:p w14:paraId="584243F5" w14:textId="77777777" w:rsidR="00CC2D09" w:rsidRPr="008751D6" w:rsidRDefault="00CC2D09">
      <w:pPr>
        <w:pStyle w:val="Header"/>
        <w:tabs>
          <w:tab w:val="left" w:pos="284"/>
        </w:tabs>
        <w:jc w:val="both"/>
        <w:rPr>
          <w:color w:val="FF0000"/>
          <w:sz w:val="22"/>
          <w:szCs w:val="22"/>
          <w:lang w:val="sr-Latn-RS"/>
        </w:rPr>
      </w:pPr>
    </w:p>
    <w:p w14:paraId="0135EFF0" w14:textId="1F0F03C5" w:rsidR="00707DA5" w:rsidRPr="008751D6" w:rsidRDefault="00707DA5">
      <w:pPr>
        <w:jc w:val="both"/>
        <w:rPr>
          <w:rFonts w:eastAsia="Calibri"/>
          <w:sz w:val="22"/>
          <w:szCs w:val="22"/>
          <w:lang w:val="sr-Latn-RS" w:eastAsia="sr-Latn-CS"/>
        </w:rPr>
      </w:pPr>
      <w:r w:rsidRPr="008751D6">
        <w:rPr>
          <w:rFonts w:eastAsia="Calibri"/>
          <w:sz w:val="22"/>
          <w:szCs w:val="22"/>
          <w:lang w:val="sr-Latn-RS" w:eastAsia="sr-Latn-CS"/>
        </w:rPr>
        <w:t>Pakovanje l</w:t>
      </w:r>
      <w:r w:rsidR="000D5705" w:rsidRPr="008751D6">
        <w:rPr>
          <w:rFonts w:eastAsia="Calibri"/>
          <w:sz w:val="22"/>
          <w:szCs w:val="22"/>
          <w:lang w:val="sr-Latn-RS" w:eastAsia="sr-Latn-CS"/>
        </w:rPr>
        <w:t>ij</w:t>
      </w:r>
      <w:r w:rsidRPr="008751D6">
        <w:rPr>
          <w:rFonts w:eastAsia="Calibri"/>
          <w:sz w:val="22"/>
          <w:szCs w:val="22"/>
          <w:lang w:val="sr-Latn-RS" w:eastAsia="sr-Latn-CS"/>
        </w:rPr>
        <w:t>eka Somatuline Autogel, 90 mg, sadrži jedan napunjen</w:t>
      </w:r>
      <w:r w:rsidR="008F5247" w:rsidRPr="008751D6">
        <w:rPr>
          <w:rFonts w:eastAsia="Calibri"/>
          <w:sz w:val="22"/>
          <w:szCs w:val="22"/>
          <w:lang w:val="sr-Latn-RS" w:eastAsia="sr-Latn-CS"/>
        </w:rPr>
        <w:t>i</w:t>
      </w:r>
      <w:r w:rsidRPr="008751D6">
        <w:rPr>
          <w:rFonts w:eastAsia="Calibri"/>
          <w:sz w:val="22"/>
          <w:szCs w:val="22"/>
          <w:lang w:val="sr-Latn-RS" w:eastAsia="sr-Latn-CS"/>
        </w:rPr>
        <w:t xml:space="preserve"> injekcioni špric sa 0,5 m</w:t>
      </w:r>
      <w:r w:rsidR="007F6EC4" w:rsidRPr="008751D6">
        <w:rPr>
          <w:rFonts w:eastAsia="Calibri"/>
          <w:sz w:val="22"/>
          <w:szCs w:val="22"/>
          <w:lang w:val="sr-Latn-RS" w:eastAsia="sr-Latn-CS"/>
        </w:rPr>
        <w:t>l</w:t>
      </w:r>
      <w:r w:rsidRPr="008751D6">
        <w:rPr>
          <w:rFonts w:eastAsia="Calibri"/>
          <w:sz w:val="22"/>
          <w:szCs w:val="22"/>
          <w:lang w:val="sr-Latn-RS" w:eastAsia="sr-Latn-CS"/>
        </w:rPr>
        <w:t xml:space="preserve"> rastvora za injekciju u napunjenom injekcionom špricu </w:t>
      </w:r>
      <w:r w:rsidR="00585675" w:rsidRPr="008751D6">
        <w:rPr>
          <w:rFonts w:eastAsia="Calibri"/>
          <w:sz w:val="22"/>
          <w:szCs w:val="22"/>
          <w:lang w:val="sr-Latn-RS" w:eastAsia="sr-Latn-CS"/>
        </w:rPr>
        <w:t>sa pričvršćenom</w:t>
      </w:r>
      <w:r w:rsidRPr="008751D6">
        <w:rPr>
          <w:rFonts w:eastAsia="Calibri"/>
          <w:sz w:val="22"/>
          <w:szCs w:val="22"/>
          <w:lang w:val="sr-Latn-RS" w:eastAsia="sr-Latn-CS"/>
        </w:rPr>
        <w:t xml:space="preserve"> igl</w:t>
      </w:r>
      <w:r w:rsidR="00585675" w:rsidRPr="008751D6">
        <w:rPr>
          <w:rFonts w:eastAsia="Calibri"/>
          <w:sz w:val="22"/>
          <w:szCs w:val="22"/>
          <w:lang w:val="sr-Latn-RS" w:eastAsia="sr-Latn-CS"/>
        </w:rPr>
        <w:t>om</w:t>
      </w:r>
      <w:r w:rsidRPr="008751D6">
        <w:rPr>
          <w:rFonts w:eastAsia="Calibri"/>
          <w:sz w:val="22"/>
          <w:szCs w:val="22"/>
          <w:lang w:val="sr-Latn-RS" w:eastAsia="sr-Latn-CS"/>
        </w:rPr>
        <w:t xml:space="preserve"> (1,2 mm x 20 mm). </w:t>
      </w:r>
    </w:p>
    <w:p w14:paraId="0D428D2D" w14:textId="3AA567D5" w:rsidR="00707DA5" w:rsidRPr="008751D6" w:rsidRDefault="00707DA5">
      <w:pPr>
        <w:jc w:val="both"/>
        <w:rPr>
          <w:rFonts w:eastAsia="Calibri"/>
          <w:sz w:val="22"/>
          <w:szCs w:val="22"/>
          <w:lang w:val="sr-Latn-RS" w:eastAsia="sr-Latn-CS"/>
        </w:rPr>
      </w:pPr>
      <w:r w:rsidRPr="008751D6">
        <w:rPr>
          <w:rFonts w:eastAsia="Calibri"/>
          <w:sz w:val="22"/>
          <w:szCs w:val="22"/>
          <w:lang w:val="sr-Latn-RS" w:eastAsia="sr-Latn-CS"/>
        </w:rPr>
        <w:t xml:space="preserve">Pakovanje </w:t>
      </w:r>
      <w:r w:rsidR="000D5705" w:rsidRPr="008751D6">
        <w:rPr>
          <w:rFonts w:eastAsia="Calibri"/>
          <w:sz w:val="22"/>
          <w:szCs w:val="22"/>
          <w:lang w:val="sr-Latn-RS" w:eastAsia="sr-Latn-CS"/>
        </w:rPr>
        <w:t xml:space="preserve">lijeka </w:t>
      </w:r>
      <w:r w:rsidRPr="008751D6">
        <w:rPr>
          <w:rFonts w:eastAsia="Calibri"/>
          <w:sz w:val="22"/>
          <w:szCs w:val="22"/>
          <w:lang w:val="sr-Latn-RS" w:eastAsia="sr-Latn-CS"/>
        </w:rPr>
        <w:t>Somatuline Autogel, 120 mg, sadrži jedan napunjen</w:t>
      </w:r>
      <w:r w:rsidR="008F5247" w:rsidRPr="008751D6">
        <w:rPr>
          <w:rFonts w:eastAsia="Calibri"/>
          <w:sz w:val="22"/>
          <w:szCs w:val="22"/>
          <w:lang w:val="sr-Latn-RS" w:eastAsia="sr-Latn-CS"/>
        </w:rPr>
        <w:t>i</w:t>
      </w:r>
      <w:r w:rsidRPr="008751D6">
        <w:rPr>
          <w:rFonts w:eastAsia="Calibri"/>
          <w:sz w:val="22"/>
          <w:szCs w:val="22"/>
          <w:lang w:val="sr-Latn-RS" w:eastAsia="sr-Latn-CS"/>
        </w:rPr>
        <w:t xml:space="preserve"> injekcioni špric sa 0,5 m</w:t>
      </w:r>
      <w:r w:rsidR="007F6EC4" w:rsidRPr="008751D6">
        <w:rPr>
          <w:rFonts w:eastAsia="Calibri"/>
          <w:sz w:val="22"/>
          <w:szCs w:val="22"/>
          <w:lang w:val="sr-Latn-RS" w:eastAsia="sr-Latn-CS"/>
        </w:rPr>
        <w:t>l</w:t>
      </w:r>
      <w:r w:rsidRPr="008751D6">
        <w:rPr>
          <w:rFonts w:eastAsia="Calibri"/>
          <w:sz w:val="22"/>
          <w:szCs w:val="22"/>
          <w:lang w:val="sr-Latn-RS" w:eastAsia="sr-Latn-CS"/>
        </w:rPr>
        <w:t xml:space="preserve"> rastvora za injekciju u napunjenom injekcionom špricu </w:t>
      </w:r>
      <w:r w:rsidR="00585675" w:rsidRPr="008751D6">
        <w:rPr>
          <w:rFonts w:eastAsia="Calibri"/>
          <w:sz w:val="22"/>
          <w:szCs w:val="22"/>
          <w:lang w:val="sr-Latn-RS" w:eastAsia="sr-Latn-CS"/>
        </w:rPr>
        <w:t>sa pričvršćenom</w:t>
      </w:r>
      <w:r w:rsidRPr="008751D6">
        <w:rPr>
          <w:rFonts w:eastAsia="Calibri"/>
          <w:sz w:val="22"/>
          <w:szCs w:val="22"/>
          <w:lang w:val="sr-Latn-RS" w:eastAsia="sr-Latn-CS"/>
        </w:rPr>
        <w:t xml:space="preserve"> igl</w:t>
      </w:r>
      <w:r w:rsidR="00585675" w:rsidRPr="008751D6">
        <w:rPr>
          <w:rFonts w:eastAsia="Calibri"/>
          <w:sz w:val="22"/>
          <w:szCs w:val="22"/>
          <w:lang w:val="sr-Latn-RS" w:eastAsia="sr-Latn-CS"/>
        </w:rPr>
        <w:t>om</w:t>
      </w:r>
      <w:r w:rsidRPr="008751D6">
        <w:rPr>
          <w:rFonts w:eastAsia="Calibri"/>
          <w:sz w:val="22"/>
          <w:szCs w:val="22"/>
          <w:lang w:val="sr-Latn-RS" w:eastAsia="sr-Latn-CS"/>
        </w:rPr>
        <w:t xml:space="preserve"> (1,2 mm x 20 mm).</w:t>
      </w:r>
    </w:p>
    <w:p w14:paraId="4D2EB9A9" w14:textId="77777777" w:rsidR="0072020E" w:rsidRPr="008751D6" w:rsidRDefault="0072020E">
      <w:pPr>
        <w:tabs>
          <w:tab w:val="left" w:pos="540"/>
          <w:tab w:val="left" w:pos="569"/>
        </w:tabs>
        <w:jc w:val="both"/>
        <w:rPr>
          <w:bCs/>
          <w:sz w:val="22"/>
          <w:szCs w:val="22"/>
          <w:lang w:val="sr-Latn-RS"/>
        </w:rPr>
      </w:pPr>
    </w:p>
    <w:p w14:paraId="14956439" w14:textId="77777777" w:rsidR="002846DB"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6.6. </w:t>
      </w:r>
      <w:r w:rsidR="00480FB1" w:rsidRPr="008751D6">
        <w:rPr>
          <w:b/>
          <w:bCs/>
          <w:sz w:val="22"/>
          <w:szCs w:val="22"/>
          <w:lang w:val="sr-Latn-RS"/>
        </w:rPr>
        <w:tab/>
      </w:r>
      <w:r w:rsidRPr="008751D6">
        <w:rPr>
          <w:b/>
          <w:bCs/>
          <w:color w:val="000000"/>
          <w:sz w:val="22"/>
          <w:szCs w:val="22"/>
          <w:lang w:val="sr-Latn-RS"/>
        </w:rPr>
        <w:t>Posebne mjere opreza pri odlaganju materijala koji treba odbaciti nakon primjene lijeka</w:t>
      </w:r>
      <w:r w:rsidRPr="008751D6">
        <w:rPr>
          <w:b/>
          <w:bCs/>
          <w:sz w:val="22"/>
          <w:szCs w:val="22"/>
          <w:lang w:val="sr-Latn-RS"/>
        </w:rPr>
        <w:t xml:space="preserve"> </w:t>
      </w:r>
      <w:r w:rsidR="00310F03" w:rsidRPr="008751D6">
        <w:rPr>
          <w:b/>
          <w:bCs/>
          <w:sz w:val="22"/>
          <w:szCs w:val="22"/>
          <w:lang w:val="sr-Latn-RS"/>
        </w:rPr>
        <w:t xml:space="preserve">(i druga uputsva za rukovanje lijekom) </w:t>
      </w:r>
    </w:p>
    <w:p w14:paraId="42329601" w14:textId="77777777" w:rsidR="00CC2D09" w:rsidRPr="008751D6" w:rsidRDefault="00CC2D09">
      <w:pPr>
        <w:pStyle w:val="Header"/>
        <w:tabs>
          <w:tab w:val="left" w:pos="284"/>
        </w:tabs>
        <w:jc w:val="both"/>
        <w:rPr>
          <w:sz w:val="22"/>
          <w:szCs w:val="22"/>
          <w:lang w:val="sr-Latn-RS"/>
        </w:rPr>
      </w:pPr>
    </w:p>
    <w:p w14:paraId="29B18027" w14:textId="77777777" w:rsidR="00CC2D09" w:rsidRPr="008751D6" w:rsidRDefault="00CC2D09">
      <w:pPr>
        <w:pStyle w:val="Header"/>
        <w:tabs>
          <w:tab w:val="left" w:pos="284"/>
        </w:tabs>
        <w:jc w:val="both"/>
        <w:rPr>
          <w:sz w:val="22"/>
          <w:szCs w:val="22"/>
          <w:lang w:val="sr-Latn-RS"/>
        </w:rPr>
      </w:pPr>
      <w:r w:rsidRPr="008751D6">
        <w:rPr>
          <w:sz w:val="22"/>
          <w:szCs w:val="22"/>
          <w:lang w:val="sr-Latn-RS"/>
        </w:rPr>
        <w:t>Rastvor za injekciju u napunjenom injekcionom špricu je spreman za upotrebu.</w:t>
      </w:r>
    </w:p>
    <w:p w14:paraId="198E1F34" w14:textId="77777777" w:rsidR="00CC2D09" w:rsidRPr="008751D6" w:rsidRDefault="00CC2D09">
      <w:pPr>
        <w:pStyle w:val="Header"/>
        <w:tabs>
          <w:tab w:val="left" w:pos="284"/>
        </w:tabs>
        <w:jc w:val="both"/>
        <w:rPr>
          <w:sz w:val="22"/>
          <w:szCs w:val="22"/>
          <w:lang w:val="sr-Latn-RS"/>
        </w:rPr>
      </w:pPr>
      <w:r w:rsidRPr="008751D6">
        <w:rPr>
          <w:sz w:val="22"/>
          <w:szCs w:val="22"/>
          <w:lang w:val="sr-Latn-RS"/>
        </w:rPr>
        <w:t>Nakon prvog otvaranja proizvod treba upotrijebiti odmah.</w:t>
      </w:r>
    </w:p>
    <w:p w14:paraId="7C4FC8DB" w14:textId="77777777" w:rsidR="00CC2D09" w:rsidRPr="008751D6" w:rsidRDefault="00CC2D09">
      <w:pPr>
        <w:pStyle w:val="Header"/>
        <w:tabs>
          <w:tab w:val="left" w:pos="284"/>
        </w:tabs>
        <w:jc w:val="both"/>
        <w:rPr>
          <w:sz w:val="22"/>
          <w:szCs w:val="22"/>
          <w:lang w:val="sr-Latn-RS"/>
        </w:rPr>
      </w:pPr>
      <w:r w:rsidRPr="008751D6">
        <w:rPr>
          <w:sz w:val="22"/>
          <w:szCs w:val="22"/>
          <w:lang w:val="sr-Latn-RS"/>
        </w:rPr>
        <w:t>Za jednokratnu primjenu.</w:t>
      </w:r>
    </w:p>
    <w:p w14:paraId="1BD977E4" w14:textId="77777777" w:rsidR="00CC2D09" w:rsidRPr="008751D6" w:rsidRDefault="00CC2D09">
      <w:pPr>
        <w:pStyle w:val="Header"/>
        <w:tabs>
          <w:tab w:val="left" w:pos="284"/>
        </w:tabs>
        <w:jc w:val="both"/>
        <w:rPr>
          <w:sz w:val="22"/>
          <w:szCs w:val="22"/>
          <w:lang w:val="sr-Latn-RS"/>
        </w:rPr>
      </w:pPr>
    </w:p>
    <w:p w14:paraId="00D922E6" w14:textId="77777777" w:rsidR="00CC2D09" w:rsidRPr="008751D6" w:rsidRDefault="00CC2D09">
      <w:pPr>
        <w:pStyle w:val="Header"/>
        <w:tabs>
          <w:tab w:val="left" w:pos="284"/>
        </w:tabs>
        <w:jc w:val="both"/>
        <w:rPr>
          <w:sz w:val="22"/>
          <w:szCs w:val="22"/>
          <w:lang w:val="sr-Latn-RS"/>
        </w:rPr>
      </w:pPr>
      <w:r w:rsidRPr="008751D6">
        <w:rPr>
          <w:sz w:val="22"/>
          <w:szCs w:val="22"/>
          <w:lang w:val="sr-Latn-RS"/>
        </w:rPr>
        <w:t xml:space="preserve">Veoma je važno da se lijek primjeni u skladu sa uputstvima navedenim u </w:t>
      </w:r>
      <w:r w:rsidR="00707DA5" w:rsidRPr="008751D6">
        <w:rPr>
          <w:rFonts w:eastAsia="Calibri"/>
          <w:sz w:val="22"/>
          <w:szCs w:val="22"/>
          <w:lang w:val="sr-Latn-RS"/>
        </w:rPr>
        <w:t>Uputstvu za l</w:t>
      </w:r>
      <w:r w:rsidR="000D5705" w:rsidRPr="008751D6">
        <w:rPr>
          <w:rFonts w:eastAsia="Calibri"/>
          <w:sz w:val="22"/>
          <w:szCs w:val="22"/>
          <w:lang w:val="sr-Latn-RS"/>
        </w:rPr>
        <w:t>ij</w:t>
      </w:r>
      <w:r w:rsidR="00707DA5" w:rsidRPr="008751D6">
        <w:rPr>
          <w:rFonts w:eastAsia="Calibri"/>
          <w:sz w:val="22"/>
          <w:szCs w:val="22"/>
          <w:lang w:val="sr-Latn-RS"/>
        </w:rPr>
        <w:t>ek</w:t>
      </w:r>
      <w:r w:rsidRPr="008751D6">
        <w:rPr>
          <w:sz w:val="22"/>
          <w:szCs w:val="22"/>
          <w:lang w:val="sr-Latn-RS"/>
        </w:rPr>
        <w:t>.</w:t>
      </w:r>
    </w:p>
    <w:p w14:paraId="251C8675" w14:textId="77777777" w:rsidR="00CC2D09" w:rsidRPr="008751D6" w:rsidRDefault="00CC2D09">
      <w:pPr>
        <w:pStyle w:val="Header"/>
        <w:tabs>
          <w:tab w:val="left" w:pos="284"/>
        </w:tabs>
        <w:jc w:val="both"/>
        <w:rPr>
          <w:sz w:val="22"/>
          <w:szCs w:val="22"/>
          <w:lang w:val="sr-Latn-RS"/>
        </w:rPr>
      </w:pPr>
    </w:p>
    <w:p w14:paraId="525EF31F" w14:textId="77777777" w:rsidR="00CC2D09" w:rsidRPr="008751D6" w:rsidRDefault="00CC2D09">
      <w:pPr>
        <w:pStyle w:val="Header"/>
        <w:tabs>
          <w:tab w:val="left" w:pos="284"/>
        </w:tabs>
        <w:jc w:val="both"/>
        <w:rPr>
          <w:sz w:val="22"/>
          <w:szCs w:val="22"/>
          <w:lang w:val="sr-Latn-RS"/>
        </w:rPr>
      </w:pPr>
      <w:r w:rsidRPr="008751D6">
        <w:rPr>
          <w:sz w:val="22"/>
          <w:szCs w:val="22"/>
          <w:lang w:val="sr-Latn-RS"/>
        </w:rPr>
        <w:t>Nemojte upotrebljavati lijek ukoliko je zaštitna kesica oštećena ili otvorena.</w:t>
      </w:r>
    </w:p>
    <w:p w14:paraId="1FA1CF95" w14:textId="77777777" w:rsidR="00CC2D09" w:rsidRPr="008751D6" w:rsidRDefault="00CC2D09">
      <w:pPr>
        <w:pStyle w:val="Header"/>
        <w:tabs>
          <w:tab w:val="left" w:pos="284"/>
        </w:tabs>
        <w:jc w:val="both"/>
        <w:rPr>
          <w:sz w:val="22"/>
          <w:szCs w:val="22"/>
          <w:lang w:val="sr-Latn-RS"/>
        </w:rPr>
      </w:pPr>
    </w:p>
    <w:p w14:paraId="1DA544B9" w14:textId="77777777" w:rsidR="00707DA5" w:rsidRPr="008751D6" w:rsidRDefault="00707DA5">
      <w:pPr>
        <w:jc w:val="both"/>
        <w:rPr>
          <w:rFonts w:eastAsia="Calibri"/>
          <w:sz w:val="22"/>
          <w:szCs w:val="22"/>
          <w:lang w:val="sr-Latn-RS"/>
        </w:rPr>
      </w:pPr>
      <w:r w:rsidRPr="008751D6">
        <w:rPr>
          <w:rFonts w:eastAsia="Calibri"/>
          <w:sz w:val="22"/>
          <w:szCs w:val="22"/>
          <w:lang w:val="sr-Latn-RS"/>
        </w:rPr>
        <w:t>Svu neiskorišćenu količinu l</w:t>
      </w:r>
      <w:r w:rsidR="00AD13EE" w:rsidRPr="008751D6">
        <w:rPr>
          <w:rFonts w:eastAsia="Calibri"/>
          <w:sz w:val="22"/>
          <w:szCs w:val="22"/>
          <w:lang w:val="sr-Latn-RS"/>
        </w:rPr>
        <w:t>ij</w:t>
      </w:r>
      <w:r w:rsidRPr="008751D6">
        <w:rPr>
          <w:rFonts w:eastAsia="Calibri"/>
          <w:sz w:val="22"/>
          <w:szCs w:val="22"/>
          <w:lang w:val="sr-Latn-RS"/>
        </w:rPr>
        <w:t>eka ili otpadnog materijala nakon njegove upotrebe treba ukloniti, u skladu sa važećim propisima.</w:t>
      </w:r>
    </w:p>
    <w:p w14:paraId="684A2C85" w14:textId="77777777" w:rsidR="00CC2D09" w:rsidRPr="008751D6" w:rsidRDefault="00CC2D09">
      <w:pPr>
        <w:pStyle w:val="Header"/>
        <w:tabs>
          <w:tab w:val="left" w:pos="284"/>
        </w:tabs>
        <w:jc w:val="both"/>
        <w:rPr>
          <w:sz w:val="22"/>
          <w:szCs w:val="22"/>
          <w:lang w:val="sr-Latn-RS"/>
        </w:rPr>
      </w:pPr>
    </w:p>
    <w:p w14:paraId="009AD6D1" w14:textId="77777777" w:rsidR="0072020E" w:rsidRPr="008751D6" w:rsidRDefault="0072020E">
      <w:pPr>
        <w:tabs>
          <w:tab w:val="left" w:pos="540"/>
          <w:tab w:val="left" w:pos="569"/>
        </w:tabs>
        <w:jc w:val="both"/>
        <w:rPr>
          <w:bCs/>
          <w:sz w:val="22"/>
          <w:szCs w:val="22"/>
          <w:lang w:val="sr-Latn-RS"/>
        </w:rPr>
      </w:pPr>
    </w:p>
    <w:p w14:paraId="4F2FC400" w14:textId="77777777" w:rsidR="00F8570A"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7. </w:t>
      </w:r>
      <w:r w:rsidR="00480FB1" w:rsidRPr="008751D6">
        <w:rPr>
          <w:b/>
          <w:bCs/>
          <w:sz w:val="22"/>
          <w:szCs w:val="22"/>
          <w:lang w:val="sr-Latn-RS"/>
        </w:rPr>
        <w:tab/>
      </w:r>
      <w:r w:rsidRPr="008751D6">
        <w:rPr>
          <w:b/>
          <w:bCs/>
          <w:sz w:val="22"/>
          <w:szCs w:val="22"/>
          <w:lang w:val="sr-Latn-RS"/>
        </w:rPr>
        <w:t>NOSILAC DOZVOLE</w:t>
      </w:r>
      <w:r w:rsidR="00483928" w:rsidRPr="008751D6">
        <w:rPr>
          <w:b/>
          <w:bCs/>
          <w:sz w:val="22"/>
          <w:szCs w:val="22"/>
          <w:lang w:val="sr-Latn-RS"/>
        </w:rPr>
        <w:t xml:space="preserve"> </w:t>
      </w:r>
    </w:p>
    <w:p w14:paraId="767F170E" w14:textId="77777777" w:rsidR="00EA5E97" w:rsidRPr="008751D6" w:rsidRDefault="00EA5E97">
      <w:pPr>
        <w:tabs>
          <w:tab w:val="left" w:pos="540"/>
          <w:tab w:val="left" w:pos="569"/>
        </w:tabs>
        <w:jc w:val="both"/>
        <w:rPr>
          <w:b/>
          <w:bCs/>
          <w:sz w:val="22"/>
          <w:szCs w:val="22"/>
          <w:lang w:val="sr-Latn-RS"/>
        </w:rPr>
      </w:pPr>
    </w:p>
    <w:p w14:paraId="04A45E57" w14:textId="57D28D9E" w:rsidR="00CC2D09" w:rsidRPr="008751D6" w:rsidRDefault="0025625F">
      <w:pPr>
        <w:pStyle w:val="Header"/>
        <w:tabs>
          <w:tab w:val="left" w:pos="284"/>
        </w:tabs>
        <w:jc w:val="both"/>
        <w:rPr>
          <w:sz w:val="22"/>
          <w:szCs w:val="22"/>
          <w:lang w:val="sr-Latn-RS"/>
        </w:rPr>
      </w:pPr>
      <w:r w:rsidRPr="008751D6">
        <w:rPr>
          <w:bCs/>
          <w:sz w:val="22"/>
          <w:szCs w:val="22"/>
          <w:lang w:val="sr-Latn-RS"/>
        </w:rPr>
        <w:t xml:space="preserve">PharmaSwiss - Montenegro, PharmaSwiss d.o.o. </w:t>
      </w:r>
      <w:r w:rsidR="0058144B" w:rsidRPr="008751D6">
        <w:rPr>
          <w:bCs/>
          <w:sz w:val="22"/>
          <w:szCs w:val="22"/>
          <w:lang w:val="sr-Latn-RS"/>
        </w:rPr>
        <w:t xml:space="preserve">Beograd, </w:t>
      </w:r>
      <w:r w:rsidR="00CC2D09" w:rsidRPr="008751D6">
        <w:rPr>
          <w:bCs/>
          <w:sz w:val="22"/>
          <w:szCs w:val="22"/>
          <w:lang w:val="sr-Latn-RS"/>
        </w:rPr>
        <w:t>dio stranog društva u Podgorici</w:t>
      </w:r>
      <w:r w:rsidR="00CC2D09" w:rsidRPr="008751D6">
        <w:rPr>
          <w:sz w:val="22"/>
          <w:szCs w:val="22"/>
          <w:lang w:val="sr-Latn-RS"/>
        </w:rPr>
        <w:t xml:space="preserve"> </w:t>
      </w:r>
    </w:p>
    <w:p w14:paraId="30C3D299" w14:textId="203EE741" w:rsidR="00C61BE0" w:rsidRPr="008751D6" w:rsidRDefault="0026025F">
      <w:pPr>
        <w:tabs>
          <w:tab w:val="left" w:pos="540"/>
          <w:tab w:val="left" w:pos="569"/>
        </w:tabs>
        <w:jc w:val="both"/>
        <w:rPr>
          <w:bCs/>
          <w:sz w:val="22"/>
          <w:szCs w:val="22"/>
          <w:lang w:val="sr-Latn-RS"/>
        </w:rPr>
      </w:pPr>
      <w:r>
        <w:rPr>
          <w:sz w:val="22"/>
          <w:szCs w:val="22"/>
          <w:lang w:val="sr-Latn-RS"/>
        </w:rPr>
        <w:t>Rimski t</w:t>
      </w:r>
      <w:r w:rsidR="00CC2D09" w:rsidRPr="008751D6">
        <w:rPr>
          <w:sz w:val="22"/>
          <w:szCs w:val="22"/>
          <w:lang w:val="sr-Latn-RS"/>
        </w:rPr>
        <w:t xml:space="preserve">rg </w:t>
      </w:r>
      <w:r w:rsidR="006257B6" w:rsidRPr="008751D6">
        <w:rPr>
          <w:sz w:val="22"/>
          <w:szCs w:val="22"/>
          <w:lang w:val="sr-Latn-RS"/>
        </w:rPr>
        <w:t xml:space="preserve">br. </w:t>
      </w:r>
      <w:r w:rsidR="00CC2D09" w:rsidRPr="008751D6">
        <w:rPr>
          <w:sz w:val="22"/>
          <w:szCs w:val="22"/>
          <w:lang w:val="sr-Latn-RS"/>
        </w:rPr>
        <w:t>16, Podgorica, Crna Gora</w:t>
      </w:r>
    </w:p>
    <w:p w14:paraId="63730AC0" w14:textId="1570285A" w:rsidR="00C37FD7" w:rsidRPr="008751D6" w:rsidRDefault="00C37FD7">
      <w:pPr>
        <w:tabs>
          <w:tab w:val="left" w:pos="540"/>
          <w:tab w:val="left" w:pos="569"/>
        </w:tabs>
        <w:jc w:val="both"/>
        <w:rPr>
          <w:bCs/>
          <w:sz w:val="22"/>
          <w:szCs w:val="22"/>
          <w:lang w:val="sr-Latn-RS"/>
        </w:rPr>
      </w:pPr>
    </w:p>
    <w:p w14:paraId="0AC8BDA6" w14:textId="50592316" w:rsidR="008751D6" w:rsidRPr="008751D6" w:rsidRDefault="008751D6">
      <w:pPr>
        <w:tabs>
          <w:tab w:val="left" w:pos="540"/>
          <w:tab w:val="left" w:pos="569"/>
        </w:tabs>
        <w:jc w:val="both"/>
        <w:rPr>
          <w:bCs/>
          <w:sz w:val="22"/>
          <w:szCs w:val="22"/>
          <w:lang w:val="sr-Latn-RS"/>
        </w:rPr>
      </w:pPr>
    </w:p>
    <w:p w14:paraId="06A3EEAB" w14:textId="04176DE9" w:rsidR="008751D6" w:rsidRPr="008751D6" w:rsidRDefault="008751D6">
      <w:pPr>
        <w:tabs>
          <w:tab w:val="left" w:pos="540"/>
          <w:tab w:val="left" w:pos="569"/>
        </w:tabs>
        <w:jc w:val="both"/>
        <w:rPr>
          <w:bCs/>
          <w:sz w:val="22"/>
          <w:szCs w:val="22"/>
          <w:lang w:val="sr-Latn-RS"/>
        </w:rPr>
      </w:pPr>
    </w:p>
    <w:p w14:paraId="11E034F3" w14:textId="77777777" w:rsidR="008751D6" w:rsidRPr="008751D6" w:rsidRDefault="008751D6">
      <w:pPr>
        <w:tabs>
          <w:tab w:val="left" w:pos="540"/>
          <w:tab w:val="left" w:pos="569"/>
        </w:tabs>
        <w:jc w:val="both"/>
        <w:rPr>
          <w:bCs/>
          <w:sz w:val="22"/>
          <w:szCs w:val="22"/>
          <w:lang w:val="sr-Latn-RS"/>
        </w:rPr>
      </w:pPr>
    </w:p>
    <w:p w14:paraId="4F70596A"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lastRenderedPageBreak/>
        <w:t xml:space="preserve">8. </w:t>
      </w:r>
      <w:r w:rsidR="00480FB1" w:rsidRPr="008751D6">
        <w:rPr>
          <w:b/>
          <w:bCs/>
          <w:sz w:val="22"/>
          <w:szCs w:val="22"/>
          <w:lang w:val="sr-Latn-RS"/>
        </w:rPr>
        <w:tab/>
      </w:r>
      <w:r w:rsidRPr="008751D6">
        <w:rPr>
          <w:b/>
          <w:bCs/>
          <w:sz w:val="22"/>
          <w:szCs w:val="22"/>
          <w:lang w:val="sr-Latn-RS"/>
        </w:rPr>
        <w:t>BROJ DOZVOLE</w:t>
      </w:r>
      <w:r w:rsidR="008A6D43" w:rsidRPr="008751D6">
        <w:rPr>
          <w:b/>
          <w:bCs/>
          <w:sz w:val="22"/>
          <w:szCs w:val="22"/>
          <w:lang w:val="sr-Latn-RS"/>
        </w:rPr>
        <w:t xml:space="preserve"> ZA STAVLJANJE LIJEKA U PROMET</w:t>
      </w:r>
    </w:p>
    <w:p w14:paraId="24232667" w14:textId="77777777" w:rsidR="00CC2D09" w:rsidRPr="008751D6" w:rsidRDefault="00CC2D09">
      <w:pPr>
        <w:pStyle w:val="Header"/>
        <w:tabs>
          <w:tab w:val="left" w:pos="284"/>
        </w:tabs>
        <w:jc w:val="both"/>
        <w:rPr>
          <w:sz w:val="22"/>
          <w:szCs w:val="22"/>
          <w:lang w:val="sr-Latn-RS"/>
        </w:rPr>
      </w:pPr>
    </w:p>
    <w:p w14:paraId="738510A9" w14:textId="58F40121" w:rsidR="004E205C" w:rsidRPr="008751D6" w:rsidRDefault="00CC2D09">
      <w:pPr>
        <w:jc w:val="both"/>
        <w:rPr>
          <w:sz w:val="22"/>
          <w:szCs w:val="22"/>
          <w:lang w:val="sr-Latn-RS"/>
        </w:rPr>
      </w:pPr>
      <w:r w:rsidRPr="008751D6">
        <w:rPr>
          <w:sz w:val="22"/>
          <w:szCs w:val="22"/>
          <w:lang w:val="sr-Latn-RS"/>
        </w:rPr>
        <w:t>Somatuline</w:t>
      </w:r>
      <w:r w:rsidRPr="008751D6">
        <w:rPr>
          <w:sz w:val="22"/>
          <w:szCs w:val="22"/>
          <w:vertAlign w:val="superscript"/>
          <w:lang w:val="sr-Latn-RS"/>
        </w:rPr>
        <w:t xml:space="preserve"> </w:t>
      </w:r>
      <w:r w:rsidRPr="008751D6">
        <w:rPr>
          <w:sz w:val="22"/>
          <w:szCs w:val="22"/>
          <w:lang w:val="sr-Latn-RS"/>
        </w:rPr>
        <w:t>Autogel</w:t>
      </w:r>
      <w:r w:rsidR="008751D6">
        <w:rPr>
          <w:sz w:val="22"/>
          <w:szCs w:val="22"/>
          <w:lang w:val="sr-Latn-RS"/>
        </w:rPr>
        <w:t>,</w:t>
      </w:r>
      <w:r w:rsidRPr="008751D6">
        <w:rPr>
          <w:sz w:val="22"/>
          <w:szCs w:val="22"/>
          <w:lang w:val="sr-Latn-RS"/>
        </w:rPr>
        <w:t xml:space="preserve"> rastvor za injekciju u napunjenom injekcionom špricu, 90 mg</w:t>
      </w:r>
      <w:r w:rsidR="00C52C6D">
        <w:rPr>
          <w:sz w:val="22"/>
          <w:szCs w:val="22"/>
          <w:lang w:val="sr-Latn-RS"/>
        </w:rPr>
        <w:t xml:space="preserve">, </w:t>
      </w:r>
      <w:r w:rsidR="00C52C6D" w:rsidRPr="00F44E74">
        <w:rPr>
          <w:lang w:val="sr-Latn-RS"/>
        </w:rPr>
        <w:t>napunjeni injekcioni špric, 1 x 90 mg</w:t>
      </w:r>
      <w:r w:rsidRPr="008751D6">
        <w:rPr>
          <w:sz w:val="22"/>
          <w:szCs w:val="22"/>
          <w:lang w:val="sr-Latn-RS"/>
        </w:rPr>
        <w:t xml:space="preserve">: </w:t>
      </w:r>
    </w:p>
    <w:p w14:paraId="5332BEE0" w14:textId="375B23F1" w:rsidR="008751D6" w:rsidRPr="008751D6" w:rsidRDefault="008751D6">
      <w:pPr>
        <w:jc w:val="both"/>
        <w:rPr>
          <w:sz w:val="22"/>
          <w:szCs w:val="22"/>
          <w:lang w:val="sr-Latn-RS"/>
        </w:rPr>
      </w:pPr>
      <w:r w:rsidRPr="008751D6">
        <w:rPr>
          <w:sz w:val="22"/>
          <w:szCs w:val="22"/>
          <w:lang w:val="sr-Latn-RS" w:eastAsia="sr-Latn-ME"/>
        </w:rPr>
        <w:t>2030/24/2747 - 1513</w:t>
      </w:r>
    </w:p>
    <w:p w14:paraId="1D5A17BF" w14:textId="2A92B1DE" w:rsidR="008751D6" w:rsidRPr="008751D6" w:rsidRDefault="00CC2D09">
      <w:pPr>
        <w:jc w:val="both"/>
        <w:rPr>
          <w:sz w:val="22"/>
          <w:szCs w:val="22"/>
          <w:lang w:val="sr-Latn-RS"/>
        </w:rPr>
      </w:pPr>
      <w:r w:rsidRPr="008751D6">
        <w:rPr>
          <w:sz w:val="22"/>
          <w:szCs w:val="22"/>
          <w:lang w:val="sr-Latn-RS"/>
        </w:rPr>
        <w:t>Somatuline</w:t>
      </w:r>
      <w:r w:rsidRPr="008751D6">
        <w:rPr>
          <w:sz w:val="22"/>
          <w:szCs w:val="22"/>
          <w:vertAlign w:val="superscript"/>
          <w:lang w:val="sr-Latn-RS"/>
        </w:rPr>
        <w:t xml:space="preserve"> </w:t>
      </w:r>
      <w:r w:rsidRPr="008751D6">
        <w:rPr>
          <w:sz w:val="22"/>
          <w:szCs w:val="22"/>
          <w:lang w:val="sr-Latn-RS"/>
        </w:rPr>
        <w:t>Autogel</w:t>
      </w:r>
      <w:r w:rsidR="008751D6">
        <w:rPr>
          <w:sz w:val="22"/>
          <w:szCs w:val="22"/>
          <w:lang w:val="sr-Latn-RS"/>
        </w:rPr>
        <w:t>,</w:t>
      </w:r>
      <w:r w:rsidRPr="008751D6">
        <w:rPr>
          <w:sz w:val="22"/>
          <w:szCs w:val="22"/>
          <w:lang w:val="sr-Latn-RS"/>
        </w:rPr>
        <w:t xml:space="preserve"> rastvor za injekciju u napunjenom injekcionom špricu, 120 mg</w:t>
      </w:r>
      <w:r w:rsidR="00C52C6D">
        <w:rPr>
          <w:sz w:val="22"/>
          <w:szCs w:val="22"/>
          <w:lang w:val="sr-Latn-RS"/>
        </w:rPr>
        <w:t xml:space="preserve">, </w:t>
      </w:r>
      <w:r w:rsidR="00C52C6D" w:rsidRPr="00F44E74">
        <w:rPr>
          <w:lang w:val="sr-Latn-RS"/>
        </w:rPr>
        <w:t>na</w:t>
      </w:r>
      <w:r w:rsidR="00C52C6D">
        <w:rPr>
          <w:lang w:val="sr-Latn-RS"/>
        </w:rPr>
        <w:t>punjeni injekcioni špric, 1 x 120</w:t>
      </w:r>
      <w:r w:rsidR="00C52C6D" w:rsidRPr="00F44E74">
        <w:rPr>
          <w:lang w:val="sr-Latn-RS"/>
        </w:rPr>
        <w:t xml:space="preserve"> mg</w:t>
      </w:r>
      <w:r w:rsidRPr="008751D6">
        <w:rPr>
          <w:sz w:val="22"/>
          <w:szCs w:val="22"/>
          <w:lang w:val="sr-Latn-RS"/>
        </w:rPr>
        <w:t xml:space="preserve">: </w:t>
      </w:r>
    </w:p>
    <w:p w14:paraId="52DD1C07" w14:textId="1CAC698D" w:rsidR="00F45F77" w:rsidRPr="008751D6" w:rsidRDefault="008751D6">
      <w:pPr>
        <w:jc w:val="both"/>
        <w:rPr>
          <w:sz w:val="22"/>
          <w:szCs w:val="22"/>
          <w:lang w:val="sr-Latn-RS"/>
        </w:rPr>
      </w:pPr>
      <w:r w:rsidRPr="008751D6">
        <w:rPr>
          <w:sz w:val="22"/>
          <w:szCs w:val="22"/>
          <w:lang w:val="sr-Latn-RS" w:eastAsia="sr-Latn-ME"/>
        </w:rPr>
        <w:t>2030/24/2749 - 1515</w:t>
      </w:r>
    </w:p>
    <w:p w14:paraId="07892378" w14:textId="1D38045E" w:rsidR="00C11A2B" w:rsidRPr="008751D6" w:rsidRDefault="00C11A2B">
      <w:pPr>
        <w:jc w:val="both"/>
        <w:rPr>
          <w:bCs/>
          <w:sz w:val="22"/>
          <w:szCs w:val="22"/>
          <w:lang w:val="sr-Latn-RS"/>
        </w:rPr>
      </w:pPr>
      <w:bookmarkStart w:id="1" w:name="_GoBack"/>
      <w:bookmarkEnd w:id="1"/>
    </w:p>
    <w:p w14:paraId="090C3E74" w14:textId="77777777" w:rsidR="008751D6" w:rsidRPr="008751D6" w:rsidRDefault="008751D6">
      <w:pPr>
        <w:jc w:val="both"/>
        <w:rPr>
          <w:bCs/>
          <w:sz w:val="22"/>
          <w:szCs w:val="22"/>
          <w:lang w:val="sr-Latn-RS"/>
        </w:rPr>
      </w:pPr>
    </w:p>
    <w:p w14:paraId="33226DCA" w14:textId="77777777" w:rsidR="0072020E" w:rsidRPr="008751D6" w:rsidRDefault="0072020E">
      <w:pPr>
        <w:tabs>
          <w:tab w:val="left" w:pos="540"/>
          <w:tab w:val="left" w:pos="569"/>
        </w:tabs>
        <w:jc w:val="both"/>
        <w:rPr>
          <w:b/>
          <w:bCs/>
          <w:sz w:val="22"/>
          <w:szCs w:val="22"/>
          <w:lang w:val="sr-Latn-RS"/>
        </w:rPr>
      </w:pPr>
      <w:r w:rsidRPr="008751D6">
        <w:rPr>
          <w:b/>
          <w:bCs/>
          <w:sz w:val="22"/>
          <w:szCs w:val="22"/>
          <w:lang w:val="sr-Latn-RS"/>
        </w:rPr>
        <w:t xml:space="preserve">9. </w:t>
      </w:r>
      <w:r w:rsidR="00480FB1" w:rsidRPr="008751D6">
        <w:rPr>
          <w:b/>
          <w:bCs/>
          <w:sz w:val="22"/>
          <w:szCs w:val="22"/>
          <w:lang w:val="sr-Latn-RS"/>
        </w:rPr>
        <w:tab/>
      </w:r>
      <w:r w:rsidRPr="008751D6">
        <w:rPr>
          <w:b/>
          <w:bCs/>
          <w:sz w:val="22"/>
          <w:szCs w:val="22"/>
          <w:lang w:val="sr-Latn-RS"/>
        </w:rPr>
        <w:t xml:space="preserve">DATUM </w:t>
      </w:r>
      <w:r w:rsidR="00C05DF8" w:rsidRPr="008751D6">
        <w:rPr>
          <w:b/>
          <w:bCs/>
          <w:sz w:val="22"/>
          <w:szCs w:val="22"/>
          <w:lang w:val="sr-Latn-RS"/>
        </w:rPr>
        <w:t xml:space="preserve">PRVE </w:t>
      </w:r>
      <w:r w:rsidR="008A6D43" w:rsidRPr="008751D6">
        <w:rPr>
          <w:b/>
          <w:bCs/>
          <w:sz w:val="22"/>
          <w:szCs w:val="22"/>
          <w:lang w:val="sr-Latn-RS"/>
        </w:rPr>
        <w:t>DOZVOLE</w:t>
      </w:r>
      <w:r w:rsidR="00C05DF8" w:rsidRPr="008751D6">
        <w:rPr>
          <w:b/>
          <w:bCs/>
          <w:sz w:val="22"/>
          <w:szCs w:val="22"/>
          <w:lang w:val="sr-Latn-RS"/>
        </w:rPr>
        <w:t>/OBNOVE DOZVOLE</w:t>
      </w:r>
      <w:r w:rsidR="008A6D43" w:rsidRPr="008751D6">
        <w:rPr>
          <w:b/>
          <w:bCs/>
          <w:sz w:val="22"/>
          <w:szCs w:val="22"/>
          <w:lang w:val="sr-Latn-RS"/>
        </w:rPr>
        <w:t xml:space="preserve"> ZA STAVLJANJE LIJEKA U PROMET</w:t>
      </w:r>
    </w:p>
    <w:p w14:paraId="4ADAA4E4" w14:textId="77777777" w:rsidR="00EA5E97" w:rsidRPr="008751D6" w:rsidRDefault="00EA5E97">
      <w:pPr>
        <w:tabs>
          <w:tab w:val="left" w:pos="540"/>
          <w:tab w:val="left" w:pos="569"/>
        </w:tabs>
        <w:jc w:val="both"/>
        <w:rPr>
          <w:b/>
          <w:bCs/>
          <w:sz w:val="22"/>
          <w:szCs w:val="22"/>
          <w:lang w:val="sr-Latn-RS"/>
        </w:rPr>
      </w:pPr>
    </w:p>
    <w:p w14:paraId="7EF4DE36" w14:textId="32E13637" w:rsidR="008751D6" w:rsidRPr="008751D6" w:rsidRDefault="008751D6" w:rsidP="008751D6">
      <w:pPr>
        <w:tabs>
          <w:tab w:val="left" w:pos="540"/>
          <w:tab w:val="left" w:pos="569"/>
        </w:tabs>
        <w:jc w:val="both"/>
        <w:rPr>
          <w:bCs/>
          <w:sz w:val="22"/>
          <w:szCs w:val="22"/>
          <w:lang w:val="sr-Latn-RS"/>
        </w:rPr>
      </w:pPr>
      <w:r w:rsidRPr="008751D6">
        <w:rPr>
          <w:sz w:val="22"/>
          <w:szCs w:val="22"/>
          <w:lang w:val="sr-Latn-RS"/>
        </w:rPr>
        <w:t xml:space="preserve">Datum prve dozvole: </w:t>
      </w:r>
      <w:r w:rsidRPr="008751D6">
        <w:rPr>
          <w:sz w:val="22"/>
          <w:szCs w:val="22"/>
          <w:lang w:val="sr-Latn-RS" w:eastAsia="sr-Latn-ME"/>
        </w:rPr>
        <w:t>09.12.2013. godine</w:t>
      </w:r>
    </w:p>
    <w:p w14:paraId="12FDC1DE" w14:textId="377B4088" w:rsidR="008751D6" w:rsidRPr="008751D6" w:rsidRDefault="008751D6" w:rsidP="008751D6">
      <w:pPr>
        <w:tabs>
          <w:tab w:val="left" w:pos="540"/>
          <w:tab w:val="left" w:pos="569"/>
        </w:tabs>
        <w:jc w:val="both"/>
        <w:rPr>
          <w:sz w:val="22"/>
          <w:szCs w:val="22"/>
          <w:lang w:val="sr-Latn-RS"/>
        </w:rPr>
      </w:pPr>
      <w:r w:rsidRPr="008751D6">
        <w:rPr>
          <w:sz w:val="22"/>
          <w:szCs w:val="22"/>
          <w:lang w:val="sr-Latn-RS"/>
        </w:rPr>
        <w:t xml:space="preserve">Datum poslednje obnove dozvole: </w:t>
      </w:r>
      <w:r w:rsidRPr="008751D6">
        <w:rPr>
          <w:sz w:val="22"/>
          <w:szCs w:val="22"/>
          <w:lang w:val="sr-Latn-RS" w:eastAsia="sr-Latn-ME"/>
        </w:rPr>
        <w:t>24.05.2024. godine</w:t>
      </w:r>
    </w:p>
    <w:p w14:paraId="5F87FA3B" w14:textId="2D7046FD" w:rsidR="008751D6" w:rsidRPr="008751D6" w:rsidRDefault="008751D6">
      <w:pPr>
        <w:tabs>
          <w:tab w:val="left" w:pos="540"/>
          <w:tab w:val="left" w:pos="569"/>
        </w:tabs>
        <w:jc w:val="both"/>
        <w:rPr>
          <w:sz w:val="22"/>
          <w:szCs w:val="22"/>
          <w:lang w:val="sr-Latn-RS"/>
        </w:rPr>
      </w:pPr>
    </w:p>
    <w:p w14:paraId="5DED0BD5" w14:textId="77777777" w:rsidR="008751D6" w:rsidRPr="008751D6" w:rsidRDefault="008751D6">
      <w:pPr>
        <w:tabs>
          <w:tab w:val="left" w:pos="540"/>
          <w:tab w:val="left" w:pos="569"/>
        </w:tabs>
        <w:jc w:val="both"/>
        <w:rPr>
          <w:bCs/>
          <w:sz w:val="22"/>
          <w:szCs w:val="22"/>
          <w:lang w:val="sr-Latn-RS"/>
        </w:rPr>
      </w:pPr>
    </w:p>
    <w:p w14:paraId="0A8A970A" w14:textId="77777777" w:rsidR="003F6A59" w:rsidRPr="008751D6" w:rsidRDefault="0072020E">
      <w:pPr>
        <w:tabs>
          <w:tab w:val="left" w:pos="540"/>
          <w:tab w:val="left" w:pos="569"/>
        </w:tabs>
        <w:ind w:left="540" w:hanging="540"/>
        <w:jc w:val="both"/>
        <w:rPr>
          <w:b/>
          <w:bCs/>
          <w:sz w:val="22"/>
          <w:szCs w:val="22"/>
          <w:lang w:val="sr-Latn-RS"/>
        </w:rPr>
      </w:pPr>
      <w:r w:rsidRPr="008751D6">
        <w:rPr>
          <w:b/>
          <w:bCs/>
          <w:sz w:val="22"/>
          <w:szCs w:val="22"/>
          <w:lang w:val="sr-Latn-RS"/>
        </w:rPr>
        <w:t xml:space="preserve">10. </w:t>
      </w:r>
      <w:r w:rsidR="00480FB1" w:rsidRPr="008751D6">
        <w:rPr>
          <w:b/>
          <w:bCs/>
          <w:sz w:val="22"/>
          <w:szCs w:val="22"/>
          <w:lang w:val="sr-Latn-RS"/>
        </w:rPr>
        <w:tab/>
      </w:r>
      <w:r w:rsidR="002846DB" w:rsidRPr="008751D6">
        <w:rPr>
          <w:b/>
          <w:bCs/>
          <w:sz w:val="22"/>
          <w:szCs w:val="22"/>
          <w:lang w:val="sr-Latn-RS"/>
        </w:rPr>
        <w:t>D</w:t>
      </w:r>
      <w:r w:rsidR="00EC2532" w:rsidRPr="008751D6">
        <w:rPr>
          <w:b/>
          <w:bCs/>
          <w:sz w:val="22"/>
          <w:szCs w:val="22"/>
          <w:lang w:val="sr-Latn-RS"/>
        </w:rPr>
        <w:t xml:space="preserve">ATUM REVIZIJE TEKSTA </w:t>
      </w:r>
    </w:p>
    <w:p w14:paraId="01D106EB" w14:textId="77777777" w:rsidR="00EA5E97" w:rsidRPr="008751D6" w:rsidRDefault="00EA5E97">
      <w:pPr>
        <w:tabs>
          <w:tab w:val="left" w:pos="540"/>
          <w:tab w:val="left" w:pos="569"/>
        </w:tabs>
        <w:ind w:left="540" w:hanging="540"/>
        <w:jc w:val="both"/>
        <w:rPr>
          <w:bCs/>
          <w:sz w:val="22"/>
          <w:szCs w:val="22"/>
          <w:lang w:val="sr-Latn-RS"/>
        </w:rPr>
      </w:pPr>
    </w:p>
    <w:p w14:paraId="52DF975B" w14:textId="5A7AF910" w:rsidR="003F6A59" w:rsidRPr="008751D6" w:rsidRDefault="008751D6">
      <w:pPr>
        <w:jc w:val="both"/>
        <w:rPr>
          <w:sz w:val="22"/>
          <w:szCs w:val="22"/>
          <w:lang w:val="sr-Latn-RS"/>
        </w:rPr>
      </w:pPr>
      <w:r w:rsidRPr="008751D6">
        <w:rPr>
          <w:sz w:val="22"/>
          <w:szCs w:val="22"/>
          <w:lang w:val="sr-Latn-RS"/>
        </w:rPr>
        <w:t>Maj, 2024. godine</w:t>
      </w:r>
    </w:p>
    <w:sectPr w:rsidR="003F6A59" w:rsidRPr="008751D6" w:rsidSect="00EF3B86">
      <w:headerReference w:type="default" r:id="rId14"/>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90955" w14:textId="77777777" w:rsidR="00F34821" w:rsidRDefault="00F34821">
      <w:r>
        <w:separator/>
      </w:r>
    </w:p>
  </w:endnote>
  <w:endnote w:type="continuationSeparator" w:id="0">
    <w:p w14:paraId="5D659100" w14:textId="77777777" w:rsidR="00F34821" w:rsidRDefault="00F3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88A0" w14:textId="14D66AFB"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52C6D">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52C6D">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533B0" w14:textId="77777777" w:rsidR="00F34821" w:rsidRDefault="00F34821">
      <w:r>
        <w:separator/>
      </w:r>
    </w:p>
  </w:footnote>
  <w:footnote w:type="continuationSeparator" w:id="0">
    <w:p w14:paraId="66895895" w14:textId="77777777" w:rsidR="00F34821" w:rsidRDefault="00F3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9621" w14:textId="4DD5A045" w:rsidR="00ED075F" w:rsidRDefault="00ED075F">
    <w:pPr>
      <w:pStyle w:val="Header"/>
    </w:pPr>
  </w:p>
  <w:p w14:paraId="41697822" w14:textId="77777777" w:rsidR="00EF3B86" w:rsidRPr="00FD4723" w:rsidRDefault="00EF3B86" w:rsidP="00E7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838625A"/>
    <w:multiLevelType w:val="hybridMultilevel"/>
    <w:tmpl w:val="D8B4ECEC"/>
    <w:lvl w:ilvl="0" w:tplc="3F5E45EA">
      <w:start w:val="4"/>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DAA12A7"/>
    <w:multiLevelType w:val="hybridMultilevel"/>
    <w:tmpl w:val="FFA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F3B17"/>
    <w:multiLevelType w:val="hybridMultilevel"/>
    <w:tmpl w:val="5A62C97C"/>
    <w:lvl w:ilvl="0" w:tplc="0E4847A8">
      <w:start w:val="4"/>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0" w15:restartNumberingAfterBreak="0">
    <w:nsid w:val="3FC53AAE"/>
    <w:multiLevelType w:val="hybridMultilevel"/>
    <w:tmpl w:val="CD6C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53E2D"/>
    <w:multiLevelType w:val="hybridMultilevel"/>
    <w:tmpl w:val="AAC4CEB6"/>
    <w:lvl w:ilvl="0" w:tplc="44F245F0">
      <w:start w:val="4"/>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3FB0943"/>
    <w:multiLevelType w:val="hybridMultilevel"/>
    <w:tmpl w:val="783E4118"/>
    <w:lvl w:ilvl="0" w:tplc="3F5E45EA">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4"/>
  </w:num>
  <w:num w:numId="5">
    <w:abstractNumId w:val="5"/>
  </w:num>
  <w:num w:numId="6">
    <w:abstractNumId w:val="1"/>
  </w:num>
  <w:num w:numId="7">
    <w:abstractNumId w:val="12"/>
  </w:num>
  <w:num w:numId="8">
    <w:abstractNumId w:val="4"/>
  </w:num>
  <w:num w:numId="9">
    <w:abstractNumId w:val="7"/>
  </w:num>
  <w:num w:numId="10">
    <w:abstractNumId w:val="16"/>
  </w:num>
  <w:num w:numId="11">
    <w:abstractNumId w:val="6"/>
  </w:num>
  <w:num w:numId="12">
    <w:abstractNumId w:val="13"/>
  </w:num>
  <w:num w:numId="13">
    <w:abstractNumId w:val="9"/>
  </w:num>
  <w:num w:numId="14">
    <w:abstractNumId w:val="11"/>
  </w:num>
  <w:num w:numId="15">
    <w:abstractNumId w:val="8"/>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D70"/>
    <w:rsid w:val="00015430"/>
    <w:rsid w:val="000161E6"/>
    <w:rsid w:val="000176CA"/>
    <w:rsid w:val="00026617"/>
    <w:rsid w:val="00036FA0"/>
    <w:rsid w:val="0003793F"/>
    <w:rsid w:val="0004252C"/>
    <w:rsid w:val="00057E35"/>
    <w:rsid w:val="000640E9"/>
    <w:rsid w:val="000648C1"/>
    <w:rsid w:val="00076726"/>
    <w:rsid w:val="00080303"/>
    <w:rsid w:val="00082EDC"/>
    <w:rsid w:val="000A3F58"/>
    <w:rsid w:val="000C2C06"/>
    <w:rsid w:val="000D2343"/>
    <w:rsid w:val="000D3449"/>
    <w:rsid w:val="000D425A"/>
    <w:rsid w:val="000D5705"/>
    <w:rsid w:val="000D60CC"/>
    <w:rsid w:val="000E2084"/>
    <w:rsid w:val="000E29E0"/>
    <w:rsid w:val="000E6F55"/>
    <w:rsid w:val="000F5605"/>
    <w:rsid w:val="000F77FA"/>
    <w:rsid w:val="00107BF7"/>
    <w:rsid w:val="00120BB7"/>
    <w:rsid w:val="00126F53"/>
    <w:rsid w:val="0013005B"/>
    <w:rsid w:val="001376B1"/>
    <w:rsid w:val="00142C67"/>
    <w:rsid w:val="0014766D"/>
    <w:rsid w:val="001536CC"/>
    <w:rsid w:val="00162A59"/>
    <w:rsid w:val="00164A4E"/>
    <w:rsid w:val="001657FE"/>
    <w:rsid w:val="0016762C"/>
    <w:rsid w:val="001A3FBA"/>
    <w:rsid w:val="001A5518"/>
    <w:rsid w:val="001B1C6A"/>
    <w:rsid w:val="001C1263"/>
    <w:rsid w:val="001C1417"/>
    <w:rsid w:val="001D1C7E"/>
    <w:rsid w:val="001E390B"/>
    <w:rsid w:val="001E7714"/>
    <w:rsid w:val="001F22FD"/>
    <w:rsid w:val="001F42FB"/>
    <w:rsid w:val="001F719A"/>
    <w:rsid w:val="002031B3"/>
    <w:rsid w:val="00215931"/>
    <w:rsid w:val="00222277"/>
    <w:rsid w:val="00227BDB"/>
    <w:rsid w:val="002349F9"/>
    <w:rsid w:val="00234CB1"/>
    <w:rsid w:val="002352F8"/>
    <w:rsid w:val="002510A5"/>
    <w:rsid w:val="00254A0A"/>
    <w:rsid w:val="0025625F"/>
    <w:rsid w:val="00257DFC"/>
    <w:rsid w:val="0026025F"/>
    <w:rsid w:val="00262A08"/>
    <w:rsid w:val="00262B28"/>
    <w:rsid w:val="00266046"/>
    <w:rsid w:val="002846DB"/>
    <w:rsid w:val="00284CCD"/>
    <w:rsid w:val="002969A9"/>
    <w:rsid w:val="002C6637"/>
    <w:rsid w:val="002D4CB3"/>
    <w:rsid w:val="002E0135"/>
    <w:rsid w:val="002E37A5"/>
    <w:rsid w:val="002F6C5E"/>
    <w:rsid w:val="00302EAD"/>
    <w:rsid w:val="00303E96"/>
    <w:rsid w:val="003101BC"/>
    <w:rsid w:val="00310F03"/>
    <w:rsid w:val="003247D2"/>
    <w:rsid w:val="00335881"/>
    <w:rsid w:val="003445C1"/>
    <w:rsid w:val="00355B61"/>
    <w:rsid w:val="00362686"/>
    <w:rsid w:val="00363919"/>
    <w:rsid w:val="00367E10"/>
    <w:rsid w:val="00370919"/>
    <w:rsid w:val="00371510"/>
    <w:rsid w:val="00396DFD"/>
    <w:rsid w:val="003A02C2"/>
    <w:rsid w:val="003A7059"/>
    <w:rsid w:val="003B0872"/>
    <w:rsid w:val="003B7A36"/>
    <w:rsid w:val="003C17AB"/>
    <w:rsid w:val="003C7823"/>
    <w:rsid w:val="003E1DCC"/>
    <w:rsid w:val="003E630A"/>
    <w:rsid w:val="003F12F3"/>
    <w:rsid w:val="003F6A59"/>
    <w:rsid w:val="004065C8"/>
    <w:rsid w:val="004069AC"/>
    <w:rsid w:val="00411B4B"/>
    <w:rsid w:val="00415BEE"/>
    <w:rsid w:val="00416E93"/>
    <w:rsid w:val="00424254"/>
    <w:rsid w:val="00427F85"/>
    <w:rsid w:val="00436F42"/>
    <w:rsid w:val="004378B4"/>
    <w:rsid w:val="00441D3B"/>
    <w:rsid w:val="00451314"/>
    <w:rsid w:val="00452E9D"/>
    <w:rsid w:val="004534C7"/>
    <w:rsid w:val="00454D0C"/>
    <w:rsid w:val="00456F6D"/>
    <w:rsid w:val="004671AA"/>
    <w:rsid w:val="00480FB1"/>
    <w:rsid w:val="00483928"/>
    <w:rsid w:val="00497C48"/>
    <w:rsid w:val="004A1D22"/>
    <w:rsid w:val="004D6103"/>
    <w:rsid w:val="004D70A9"/>
    <w:rsid w:val="004E205C"/>
    <w:rsid w:val="004E3BCE"/>
    <w:rsid w:val="004F0E97"/>
    <w:rsid w:val="00515C21"/>
    <w:rsid w:val="00522044"/>
    <w:rsid w:val="00527FBE"/>
    <w:rsid w:val="00530BD7"/>
    <w:rsid w:val="00531D55"/>
    <w:rsid w:val="005454E4"/>
    <w:rsid w:val="00545530"/>
    <w:rsid w:val="00545CD2"/>
    <w:rsid w:val="005476F3"/>
    <w:rsid w:val="00550A40"/>
    <w:rsid w:val="005510F1"/>
    <w:rsid w:val="0056603A"/>
    <w:rsid w:val="00572527"/>
    <w:rsid w:val="00573E40"/>
    <w:rsid w:val="00576348"/>
    <w:rsid w:val="0058144B"/>
    <w:rsid w:val="00585675"/>
    <w:rsid w:val="00593FAB"/>
    <w:rsid w:val="005A0B2E"/>
    <w:rsid w:val="005A23D2"/>
    <w:rsid w:val="005A36CB"/>
    <w:rsid w:val="005A52F7"/>
    <w:rsid w:val="005A6C30"/>
    <w:rsid w:val="005B49B8"/>
    <w:rsid w:val="005C0741"/>
    <w:rsid w:val="005C5EF4"/>
    <w:rsid w:val="005D77EE"/>
    <w:rsid w:val="005E2E0B"/>
    <w:rsid w:val="005E7A7D"/>
    <w:rsid w:val="00610BFC"/>
    <w:rsid w:val="006257B6"/>
    <w:rsid w:val="00646BD1"/>
    <w:rsid w:val="00652046"/>
    <w:rsid w:val="00653823"/>
    <w:rsid w:val="006561C2"/>
    <w:rsid w:val="00665580"/>
    <w:rsid w:val="00671CB3"/>
    <w:rsid w:val="00674BAF"/>
    <w:rsid w:val="00682200"/>
    <w:rsid w:val="006823FF"/>
    <w:rsid w:val="006A1497"/>
    <w:rsid w:val="006B0BD1"/>
    <w:rsid w:val="006B56CC"/>
    <w:rsid w:val="006D20A5"/>
    <w:rsid w:val="006D37BF"/>
    <w:rsid w:val="006E268E"/>
    <w:rsid w:val="00702E22"/>
    <w:rsid w:val="00707DA5"/>
    <w:rsid w:val="00713A73"/>
    <w:rsid w:val="0072020E"/>
    <w:rsid w:val="00786071"/>
    <w:rsid w:val="007A3ECB"/>
    <w:rsid w:val="007A4A80"/>
    <w:rsid w:val="007D315B"/>
    <w:rsid w:val="007F211A"/>
    <w:rsid w:val="007F6EC4"/>
    <w:rsid w:val="008232DB"/>
    <w:rsid w:val="00824AB9"/>
    <w:rsid w:val="00827654"/>
    <w:rsid w:val="0083135F"/>
    <w:rsid w:val="008319CC"/>
    <w:rsid w:val="00836B35"/>
    <w:rsid w:val="00843BDE"/>
    <w:rsid w:val="00853E78"/>
    <w:rsid w:val="008751D6"/>
    <w:rsid w:val="008862FD"/>
    <w:rsid w:val="0089705C"/>
    <w:rsid w:val="008A3943"/>
    <w:rsid w:val="008A6D43"/>
    <w:rsid w:val="008B491E"/>
    <w:rsid w:val="008C1A28"/>
    <w:rsid w:val="008C2E98"/>
    <w:rsid w:val="008D64DF"/>
    <w:rsid w:val="008E49BD"/>
    <w:rsid w:val="008E53E9"/>
    <w:rsid w:val="008E5771"/>
    <w:rsid w:val="008F43F9"/>
    <w:rsid w:val="008F5247"/>
    <w:rsid w:val="008F6E5D"/>
    <w:rsid w:val="008F7A77"/>
    <w:rsid w:val="00935063"/>
    <w:rsid w:val="00940B9B"/>
    <w:rsid w:val="00941025"/>
    <w:rsid w:val="0095676E"/>
    <w:rsid w:val="00956983"/>
    <w:rsid w:val="00963CF0"/>
    <w:rsid w:val="00964BB1"/>
    <w:rsid w:val="009775D9"/>
    <w:rsid w:val="0099508E"/>
    <w:rsid w:val="00997175"/>
    <w:rsid w:val="009A1847"/>
    <w:rsid w:val="009A507E"/>
    <w:rsid w:val="009A66FF"/>
    <w:rsid w:val="009B062A"/>
    <w:rsid w:val="009C1EEC"/>
    <w:rsid w:val="009E2113"/>
    <w:rsid w:val="009E7C6F"/>
    <w:rsid w:val="009F06E9"/>
    <w:rsid w:val="009F1793"/>
    <w:rsid w:val="009F2D23"/>
    <w:rsid w:val="00A013DA"/>
    <w:rsid w:val="00A0168C"/>
    <w:rsid w:val="00A01D69"/>
    <w:rsid w:val="00A02335"/>
    <w:rsid w:val="00A21F76"/>
    <w:rsid w:val="00A46C9A"/>
    <w:rsid w:val="00A4716B"/>
    <w:rsid w:val="00A54C75"/>
    <w:rsid w:val="00A619F3"/>
    <w:rsid w:val="00A62A73"/>
    <w:rsid w:val="00A87FF6"/>
    <w:rsid w:val="00AA0A3B"/>
    <w:rsid w:val="00AB50CA"/>
    <w:rsid w:val="00AC53CE"/>
    <w:rsid w:val="00AD13EE"/>
    <w:rsid w:val="00AD2193"/>
    <w:rsid w:val="00AD63D0"/>
    <w:rsid w:val="00AF0B89"/>
    <w:rsid w:val="00AF2AC7"/>
    <w:rsid w:val="00AF6058"/>
    <w:rsid w:val="00AF74CE"/>
    <w:rsid w:val="00B208DB"/>
    <w:rsid w:val="00B23F69"/>
    <w:rsid w:val="00B3185E"/>
    <w:rsid w:val="00B3528A"/>
    <w:rsid w:val="00B45624"/>
    <w:rsid w:val="00B60619"/>
    <w:rsid w:val="00B66A70"/>
    <w:rsid w:val="00B67366"/>
    <w:rsid w:val="00B80EE1"/>
    <w:rsid w:val="00B84135"/>
    <w:rsid w:val="00B86C1F"/>
    <w:rsid w:val="00B877D7"/>
    <w:rsid w:val="00B94497"/>
    <w:rsid w:val="00BA017E"/>
    <w:rsid w:val="00BA5839"/>
    <w:rsid w:val="00BA6CA3"/>
    <w:rsid w:val="00BD23D9"/>
    <w:rsid w:val="00BE7F11"/>
    <w:rsid w:val="00BF6CCF"/>
    <w:rsid w:val="00C04D34"/>
    <w:rsid w:val="00C05DF8"/>
    <w:rsid w:val="00C06864"/>
    <w:rsid w:val="00C10F54"/>
    <w:rsid w:val="00C11A2B"/>
    <w:rsid w:val="00C23D8D"/>
    <w:rsid w:val="00C3749D"/>
    <w:rsid w:val="00C37AA3"/>
    <w:rsid w:val="00C37FD7"/>
    <w:rsid w:val="00C43419"/>
    <w:rsid w:val="00C44CF3"/>
    <w:rsid w:val="00C52C6D"/>
    <w:rsid w:val="00C61BE0"/>
    <w:rsid w:val="00C70B0E"/>
    <w:rsid w:val="00C77251"/>
    <w:rsid w:val="00C773CA"/>
    <w:rsid w:val="00C83785"/>
    <w:rsid w:val="00C9415C"/>
    <w:rsid w:val="00C94C0D"/>
    <w:rsid w:val="00CA1FEB"/>
    <w:rsid w:val="00CC2D09"/>
    <w:rsid w:val="00CD4F85"/>
    <w:rsid w:val="00CD6F02"/>
    <w:rsid w:val="00CE246D"/>
    <w:rsid w:val="00CE598E"/>
    <w:rsid w:val="00CF07A0"/>
    <w:rsid w:val="00CF3E03"/>
    <w:rsid w:val="00D0082A"/>
    <w:rsid w:val="00D21455"/>
    <w:rsid w:val="00D30704"/>
    <w:rsid w:val="00D47634"/>
    <w:rsid w:val="00D65879"/>
    <w:rsid w:val="00D709B3"/>
    <w:rsid w:val="00D74ABE"/>
    <w:rsid w:val="00DA2ED6"/>
    <w:rsid w:val="00DB768F"/>
    <w:rsid w:val="00DB76B8"/>
    <w:rsid w:val="00DC2EA1"/>
    <w:rsid w:val="00DD0C73"/>
    <w:rsid w:val="00DD5457"/>
    <w:rsid w:val="00DD6AAF"/>
    <w:rsid w:val="00DE3F5C"/>
    <w:rsid w:val="00DF1D20"/>
    <w:rsid w:val="00DF4D54"/>
    <w:rsid w:val="00E02003"/>
    <w:rsid w:val="00E13E4C"/>
    <w:rsid w:val="00E21324"/>
    <w:rsid w:val="00E246B9"/>
    <w:rsid w:val="00E31FEA"/>
    <w:rsid w:val="00E45169"/>
    <w:rsid w:val="00E453C7"/>
    <w:rsid w:val="00E47787"/>
    <w:rsid w:val="00E51C30"/>
    <w:rsid w:val="00E62249"/>
    <w:rsid w:val="00E64180"/>
    <w:rsid w:val="00E71FD7"/>
    <w:rsid w:val="00E74AEE"/>
    <w:rsid w:val="00E765C9"/>
    <w:rsid w:val="00E868E5"/>
    <w:rsid w:val="00E9237A"/>
    <w:rsid w:val="00E927DE"/>
    <w:rsid w:val="00E939FA"/>
    <w:rsid w:val="00EA5765"/>
    <w:rsid w:val="00EA5E97"/>
    <w:rsid w:val="00EA78C1"/>
    <w:rsid w:val="00EB1197"/>
    <w:rsid w:val="00EB58DC"/>
    <w:rsid w:val="00EC2532"/>
    <w:rsid w:val="00ED075F"/>
    <w:rsid w:val="00ED29F9"/>
    <w:rsid w:val="00ED7812"/>
    <w:rsid w:val="00EF1A2F"/>
    <w:rsid w:val="00EF3B86"/>
    <w:rsid w:val="00F1190A"/>
    <w:rsid w:val="00F317E9"/>
    <w:rsid w:val="00F34554"/>
    <w:rsid w:val="00F3463A"/>
    <w:rsid w:val="00F34821"/>
    <w:rsid w:val="00F36CC9"/>
    <w:rsid w:val="00F42972"/>
    <w:rsid w:val="00F45F77"/>
    <w:rsid w:val="00F5167F"/>
    <w:rsid w:val="00F52258"/>
    <w:rsid w:val="00F53A72"/>
    <w:rsid w:val="00F54264"/>
    <w:rsid w:val="00F82F60"/>
    <w:rsid w:val="00F8570A"/>
    <w:rsid w:val="00F91C7B"/>
    <w:rsid w:val="00F97B0D"/>
    <w:rsid w:val="00FE00C0"/>
    <w:rsid w:val="00FF1EB4"/>
    <w:rsid w:val="00FF3B1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D9E8A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CC2D09"/>
    <w:rPr>
      <w:sz w:val="24"/>
      <w:szCs w:val="24"/>
      <w:lang w:val="en-US" w:eastAsia="en-US"/>
    </w:rPr>
  </w:style>
  <w:style w:type="paragraph" w:customStyle="1" w:styleId="Text">
    <w:name w:val="Text"/>
    <w:basedOn w:val="Normal"/>
    <w:rsid w:val="00CC2D09"/>
    <w:pPr>
      <w:suppressAutoHyphens/>
      <w:overflowPunct w:val="0"/>
      <w:autoSpaceDE w:val="0"/>
      <w:autoSpaceDN w:val="0"/>
      <w:adjustRightInd w:val="0"/>
      <w:spacing w:before="60" w:after="60"/>
      <w:ind w:left="936"/>
      <w:jc w:val="both"/>
      <w:textAlignment w:val="baseline"/>
    </w:pPr>
    <w:rPr>
      <w:szCs w:val="20"/>
      <w:lang w:val="en-GB" w:eastAsia="fr-FR"/>
    </w:rPr>
  </w:style>
  <w:style w:type="paragraph" w:styleId="ListParagraph">
    <w:name w:val="List Paragraph"/>
    <w:basedOn w:val="Normal"/>
    <w:uiPriority w:val="34"/>
    <w:qFormat/>
    <w:rsid w:val="00941025"/>
    <w:pPr>
      <w:tabs>
        <w:tab w:val="left" w:pos="284"/>
      </w:tabs>
      <w:ind w:left="720"/>
      <w:contextualSpacing/>
      <w:jc w:val="both"/>
    </w:pPr>
    <w:rPr>
      <w:sz w:val="22"/>
    </w:rPr>
  </w:style>
  <w:style w:type="paragraph" w:styleId="BodyText">
    <w:name w:val="Body Text"/>
    <w:basedOn w:val="Normal"/>
    <w:link w:val="BodyTextChar"/>
    <w:unhideWhenUsed/>
    <w:rsid w:val="00707DA5"/>
    <w:pPr>
      <w:tabs>
        <w:tab w:val="left" w:pos="284"/>
      </w:tabs>
      <w:spacing w:after="120"/>
      <w:jc w:val="both"/>
    </w:pPr>
    <w:rPr>
      <w:sz w:val="22"/>
    </w:rPr>
  </w:style>
  <w:style w:type="character" w:customStyle="1" w:styleId="BodyTextChar">
    <w:name w:val="Body Text Char"/>
    <w:basedOn w:val="DefaultParagraphFont"/>
    <w:link w:val="BodyText"/>
    <w:rsid w:val="00707DA5"/>
    <w:rPr>
      <w:sz w:val="22"/>
      <w:szCs w:val="24"/>
      <w:lang w:val="en-US" w:eastAsia="en-US"/>
    </w:rPr>
  </w:style>
  <w:style w:type="paragraph" w:styleId="Revision">
    <w:name w:val="Revision"/>
    <w:hidden/>
    <w:uiPriority w:val="99"/>
    <w:semiHidden/>
    <w:rsid w:val="00EA5E97"/>
    <w:rPr>
      <w:sz w:val="24"/>
      <w:szCs w:val="24"/>
      <w:lang w:val="en-US" w:eastAsia="en-US"/>
    </w:rPr>
  </w:style>
  <w:style w:type="character" w:styleId="Hyperlink">
    <w:name w:val="Hyperlink"/>
    <w:basedOn w:val="DefaultParagraphFont"/>
    <w:unhideWhenUsed/>
    <w:rsid w:val="00B877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555149">
      <w:bodyDiv w:val="1"/>
      <w:marLeft w:val="0"/>
      <w:marRight w:val="0"/>
      <w:marTop w:val="0"/>
      <w:marBottom w:val="0"/>
      <w:divBdr>
        <w:top w:val="none" w:sz="0" w:space="0" w:color="auto"/>
        <w:left w:val="none" w:sz="0" w:space="0" w:color="auto"/>
        <w:bottom w:val="none" w:sz="0" w:space="0" w:color="auto"/>
        <w:right w:val="none" w:sz="0" w:space="0" w:color="auto"/>
      </w:divBdr>
    </w:div>
    <w:div w:id="131125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8297-3B02-44B6-A85C-4680A6862C1C}">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4338</Words>
  <Characters>24732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29012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10</cp:revision>
  <dcterms:created xsi:type="dcterms:W3CDTF">2024-04-16T11:49:00Z</dcterms:created>
  <dcterms:modified xsi:type="dcterms:W3CDTF">2024-05-24T10:09:00Z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449097d-8494-49be-8a4b-4e936cf918e5_Enabled">
    <vt:lpwstr>true</vt:lpwstr>
  </property>
  <property fmtid="{D5CDD505-2E9C-101B-9397-08002B2CF9AE}" pid="4" name="MSIP_Label_c449097d-8494-49be-8a4b-4e936cf918e5_SetDate">
    <vt:lpwstr>2022-05-05T19:48:14Z</vt:lpwstr>
  </property>
  <property fmtid="{D5CDD505-2E9C-101B-9397-08002B2CF9AE}" pid="5" name="MSIP_Label_c449097d-8494-49be-8a4b-4e936cf918e5_Method">
    <vt:lpwstr>Standard</vt:lpwstr>
  </property>
  <property fmtid="{D5CDD505-2E9C-101B-9397-08002B2CF9AE}" pid="6" name="MSIP_Label_c449097d-8494-49be-8a4b-4e936cf918e5_Name">
    <vt:lpwstr>CORP SpinCo Information Label</vt:lpwstr>
  </property>
  <property fmtid="{D5CDD505-2E9C-101B-9397-08002B2CF9AE}" pid="7" name="MSIP_Label_c449097d-8494-49be-8a4b-4e936cf918e5_SiteId">
    <vt:lpwstr>a72dda32-ee80-4da8-a3ac-ec0e9e41a50a</vt:lpwstr>
  </property>
  <property fmtid="{D5CDD505-2E9C-101B-9397-08002B2CF9AE}" pid="8" name="MSIP_Label_c449097d-8494-49be-8a4b-4e936cf918e5_ActionId">
    <vt:lpwstr>3f14eec6-ccaf-42bc-8f00-1ccc2565d5df</vt:lpwstr>
  </property>
  <property fmtid="{D5CDD505-2E9C-101B-9397-08002B2CF9AE}" pid="9" name="MSIP_Label_c449097d-8494-49be-8a4b-4e936cf918e5_ContentBits">
    <vt:lpwstr>0</vt:lpwstr>
  </property>
</Properties>
</file>