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571EA" w14:textId="77777777" w:rsidR="002510A5" w:rsidRPr="00FB15F5" w:rsidRDefault="002510A5" w:rsidP="002510A5">
      <w:pPr>
        <w:jc w:val="center"/>
        <w:rPr>
          <w:b/>
          <w:bCs/>
          <w:iCs/>
          <w:sz w:val="22"/>
          <w:szCs w:val="22"/>
          <w:u w:val="single"/>
          <w:lang w:val="sr-Latn-ME"/>
        </w:rPr>
      </w:pPr>
      <w:r w:rsidRPr="00FB15F5">
        <w:rPr>
          <w:b/>
          <w:bCs/>
          <w:iCs/>
          <w:sz w:val="22"/>
          <w:szCs w:val="22"/>
          <w:u w:val="single"/>
          <w:lang w:val="sr-Latn-ME"/>
        </w:rPr>
        <w:t>SAŽETAK KARAKTERISTIKA LIJEKA</w:t>
      </w:r>
    </w:p>
    <w:p w14:paraId="4F5FF6A6" w14:textId="77777777" w:rsidR="002510A5" w:rsidRPr="00FB15F5" w:rsidRDefault="002510A5" w:rsidP="002510A5">
      <w:pPr>
        <w:rPr>
          <w:b/>
          <w:bCs/>
          <w:i/>
          <w:iCs/>
          <w:sz w:val="22"/>
          <w:szCs w:val="22"/>
          <w:u w:val="single"/>
          <w:lang w:val="sr-Latn-ME"/>
        </w:rPr>
      </w:pPr>
    </w:p>
    <w:p w14:paraId="1BC49799" w14:textId="77777777" w:rsidR="003C17AB" w:rsidRPr="00FB15F5" w:rsidRDefault="003C17AB" w:rsidP="00F5167F">
      <w:pPr>
        <w:tabs>
          <w:tab w:val="left" w:pos="540"/>
          <w:tab w:val="left" w:pos="569"/>
        </w:tabs>
        <w:rPr>
          <w:noProof/>
          <w:sz w:val="22"/>
          <w:szCs w:val="22"/>
          <w:lang w:val="sr-Latn-ME"/>
        </w:rPr>
      </w:pPr>
    </w:p>
    <w:p w14:paraId="5B519665" w14:textId="77777777" w:rsidR="00411B4B" w:rsidRPr="00FB15F5" w:rsidRDefault="00411B4B" w:rsidP="00F5167F">
      <w:pPr>
        <w:tabs>
          <w:tab w:val="left" w:pos="540"/>
          <w:tab w:val="left" w:pos="569"/>
        </w:tabs>
        <w:rPr>
          <w:b/>
          <w:bCs/>
          <w:sz w:val="22"/>
          <w:szCs w:val="22"/>
          <w:lang w:val="sr-Latn-ME"/>
        </w:rPr>
      </w:pPr>
      <w:r w:rsidRPr="00FB15F5">
        <w:rPr>
          <w:b/>
          <w:bCs/>
          <w:sz w:val="22"/>
          <w:szCs w:val="22"/>
          <w:lang w:val="sr-Latn-ME"/>
        </w:rPr>
        <w:t>1.</w:t>
      </w:r>
      <w:r w:rsidR="00F5167F" w:rsidRPr="00FB15F5">
        <w:rPr>
          <w:b/>
          <w:bCs/>
          <w:sz w:val="22"/>
          <w:szCs w:val="22"/>
          <w:lang w:val="sr-Latn-ME"/>
        </w:rPr>
        <w:tab/>
      </w:r>
      <w:r w:rsidR="002846DB" w:rsidRPr="00FB15F5">
        <w:rPr>
          <w:b/>
          <w:bCs/>
          <w:sz w:val="22"/>
          <w:szCs w:val="22"/>
          <w:lang w:val="sr-Latn-ME"/>
        </w:rPr>
        <w:t xml:space="preserve">NAZIV </w:t>
      </w:r>
      <w:r w:rsidRPr="00FB15F5">
        <w:rPr>
          <w:b/>
          <w:bCs/>
          <w:sz w:val="22"/>
          <w:szCs w:val="22"/>
          <w:lang w:val="sr-Latn-ME"/>
        </w:rPr>
        <w:t>LIJEKA</w:t>
      </w:r>
    </w:p>
    <w:p w14:paraId="640389F7" w14:textId="77777777" w:rsidR="00EC2532" w:rsidRPr="00FB15F5" w:rsidRDefault="00EC2532">
      <w:pPr>
        <w:rPr>
          <w:sz w:val="22"/>
          <w:szCs w:val="22"/>
          <w:lang w:val="sr-Latn-ME"/>
        </w:rPr>
      </w:pPr>
    </w:p>
    <w:p w14:paraId="3E275F22" w14:textId="72F2F4FE" w:rsidR="000D425A" w:rsidRPr="00FB15F5" w:rsidRDefault="003A5C6C">
      <w:pPr>
        <w:rPr>
          <w:iCs/>
          <w:sz w:val="22"/>
          <w:szCs w:val="22"/>
          <w:lang w:val="sr-Latn-ME"/>
        </w:rPr>
      </w:pPr>
      <w:proofErr w:type="spellStart"/>
      <w:r w:rsidRPr="00FB15F5">
        <w:rPr>
          <w:iCs/>
          <w:sz w:val="22"/>
          <w:szCs w:val="22"/>
          <w:lang w:val="sr-Latn-ME"/>
        </w:rPr>
        <w:t>Estracyt</w:t>
      </w:r>
      <w:proofErr w:type="spellEnd"/>
      <w:r w:rsidRPr="00FB15F5">
        <w:rPr>
          <w:iCs/>
          <w:sz w:val="22"/>
          <w:szCs w:val="22"/>
          <w:lang w:val="sr-Latn-ME"/>
        </w:rPr>
        <w:t>, 140 mg, kapsula, tvrda</w:t>
      </w:r>
    </w:p>
    <w:p w14:paraId="07796A1B" w14:textId="61380A9C" w:rsidR="006D20A5" w:rsidRPr="00FB15F5" w:rsidRDefault="006D20A5" w:rsidP="006D20A5">
      <w:pPr>
        <w:rPr>
          <w:bCs/>
          <w:sz w:val="22"/>
          <w:szCs w:val="22"/>
          <w:lang w:val="sr-Latn-ME"/>
        </w:rPr>
      </w:pPr>
      <w:proofErr w:type="spellStart"/>
      <w:r w:rsidRPr="00FB15F5">
        <w:rPr>
          <w:sz w:val="22"/>
          <w:szCs w:val="22"/>
          <w:lang w:val="sr-Latn-ME"/>
        </w:rPr>
        <w:t>INN</w:t>
      </w:r>
      <w:proofErr w:type="spellEnd"/>
      <w:r w:rsidRPr="00FB15F5">
        <w:rPr>
          <w:sz w:val="22"/>
          <w:szCs w:val="22"/>
          <w:lang w:val="sr-Latn-ME"/>
        </w:rPr>
        <w:t>:</w:t>
      </w:r>
      <w:r w:rsidR="003A5C6C" w:rsidRPr="00FB15F5">
        <w:rPr>
          <w:sz w:val="22"/>
          <w:szCs w:val="22"/>
          <w:lang w:val="sr-Latn-ME"/>
        </w:rPr>
        <w:t xml:space="preserve"> </w:t>
      </w:r>
      <w:proofErr w:type="spellStart"/>
      <w:r w:rsidR="001E4242" w:rsidRPr="00FB15F5">
        <w:rPr>
          <w:bCs/>
          <w:sz w:val="22"/>
          <w:szCs w:val="22"/>
          <w:lang w:val="sr-Latn-ME"/>
        </w:rPr>
        <w:t>estramustin</w:t>
      </w:r>
      <w:proofErr w:type="spellEnd"/>
    </w:p>
    <w:p w14:paraId="03908588" w14:textId="14A9E73A" w:rsidR="00530BD7" w:rsidRPr="00FB15F5" w:rsidRDefault="00530BD7">
      <w:pPr>
        <w:rPr>
          <w:bCs/>
          <w:sz w:val="22"/>
          <w:szCs w:val="22"/>
          <w:lang w:val="sr-Latn-ME"/>
        </w:rPr>
      </w:pPr>
    </w:p>
    <w:p w14:paraId="55186952" w14:textId="77777777" w:rsidR="00133A78" w:rsidRPr="00FB15F5" w:rsidRDefault="00133A78">
      <w:pPr>
        <w:rPr>
          <w:bCs/>
          <w:sz w:val="22"/>
          <w:szCs w:val="22"/>
          <w:lang w:val="sr-Latn-ME"/>
        </w:rPr>
      </w:pPr>
    </w:p>
    <w:p w14:paraId="5A5F6F8C" w14:textId="77777777" w:rsidR="00411B4B" w:rsidRPr="00FB15F5" w:rsidRDefault="00411B4B" w:rsidP="00F5167F">
      <w:pPr>
        <w:tabs>
          <w:tab w:val="left" w:pos="540"/>
          <w:tab w:val="left" w:pos="569"/>
        </w:tabs>
        <w:rPr>
          <w:b/>
          <w:bCs/>
          <w:sz w:val="22"/>
          <w:szCs w:val="22"/>
          <w:lang w:val="sr-Latn-ME"/>
        </w:rPr>
      </w:pPr>
      <w:r w:rsidRPr="00FB15F5">
        <w:rPr>
          <w:b/>
          <w:bCs/>
          <w:sz w:val="22"/>
          <w:szCs w:val="22"/>
          <w:lang w:val="sr-Latn-ME"/>
        </w:rPr>
        <w:t xml:space="preserve">2. </w:t>
      </w:r>
      <w:r w:rsidR="00F5167F" w:rsidRPr="00FB15F5">
        <w:rPr>
          <w:b/>
          <w:bCs/>
          <w:sz w:val="22"/>
          <w:szCs w:val="22"/>
          <w:lang w:val="sr-Latn-ME"/>
        </w:rPr>
        <w:tab/>
      </w:r>
      <w:r w:rsidRPr="00FB15F5">
        <w:rPr>
          <w:b/>
          <w:bCs/>
          <w:sz w:val="22"/>
          <w:szCs w:val="22"/>
          <w:lang w:val="sr-Latn-ME"/>
        </w:rPr>
        <w:t>KVALITATIVNI I KVANTITATIVNI SASTAV</w:t>
      </w:r>
    </w:p>
    <w:p w14:paraId="1A473018" w14:textId="77777777" w:rsidR="005A0B2E" w:rsidRPr="00FB15F5" w:rsidRDefault="005A0B2E">
      <w:pPr>
        <w:rPr>
          <w:sz w:val="22"/>
          <w:szCs w:val="22"/>
          <w:lang w:val="sr-Latn-ME"/>
        </w:rPr>
      </w:pPr>
    </w:p>
    <w:p w14:paraId="3BEDD1BD" w14:textId="160547B8" w:rsidR="001E4242" w:rsidRPr="00FB15F5" w:rsidRDefault="001E4242" w:rsidP="009F447A">
      <w:pPr>
        <w:widowControl w:val="0"/>
        <w:autoSpaceDE w:val="0"/>
        <w:autoSpaceDN w:val="0"/>
        <w:jc w:val="both"/>
        <w:rPr>
          <w:sz w:val="22"/>
          <w:szCs w:val="22"/>
          <w:lang w:val="sr-Latn-ME"/>
        </w:rPr>
      </w:pPr>
      <w:r w:rsidRPr="00FB15F5">
        <w:rPr>
          <w:sz w:val="22"/>
          <w:szCs w:val="22"/>
          <w:lang w:val="sr-Latn-ME"/>
        </w:rPr>
        <w:t xml:space="preserve">Jedna kapsula, tvrda sadrži 140 mg </w:t>
      </w:r>
      <w:proofErr w:type="spellStart"/>
      <w:r w:rsidRPr="00FB15F5">
        <w:rPr>
          <w:sz w:val="22"/>
          <w:szCs w:val="22"/>
          <w:lang w:val="sr-Latn-ME"/>
        </w:rPr>
        <w:t>estramustin</w:t>
      </w:r>
      <w:proofErr w:type="spellEnd"/>
      <w:r w:rsidRPr="00FB15F5">
        <w:rPr>
          <w:sz w:val="22"/>
          <w:szCs w:val="22"/>
          <w:lang w:val="sr-Latn-ME"/>
        </w:rPr>
        <w:t xml:space="preserve"> fosfata (u obliku </w:t>
      </w:r>
      <w:proofErr w:type="spellStart"/>
      <w:r w:rsidRPr="00FB15F5">
        <w:rPr>
          <w:sz w:val="22"/>
          <w:szCs w:val="22"/>
          <w:lang w:val="sr-Latn-ME"/>
        </w:rPr>
        <w:t>estramustin</w:t>
      </w:r>
      <w:proofErr w:type="spellEnd"/>
      <w:r w:rsidRPr="00FB15F5">
        <w:rPr>
          <w:sz w:val="22"/>
          <w:szCs w:val="22"/>
          <w:lang w:val="sr-Latn-ME"/>
        </w:rPr>
        <w:t xml:space="preserve"> fosfat natrijum, </w:t>
      </w:r>
      <w:proofErr w:type="spellStart"/>
      <w:r w:rsidRPr="00FB15F5">
        <w:rPr>
          <w:sz w:val="22"/>
          <w:szCs w:val="22"/>
          <w:lang w:val="sr-Latn-ME"/>
        </w:rPr>
        <w:t>monohidrata</w:t>
      </w:r>
      <w:proofErr w:type="spellEnd"/>
      <w:r w:rsidRPr="00FB15F5">
        <w:rPr>
          <w:sz w:val="22"/>
          <w:szCs w:val="22"/>
          <w:lang w:val="sr-Latn-ME"/>
        </w:rPr>
        <w:t>).</w:t>
      </w:r>
    </w:p>
    <w:p w14:paraId="657EA38F" w14:textId="77777777" w:rsidR="00133A78" w:rsidRPr="00FB15F5" w:rsidRDefault="00133A78">
      <w:pPr>
        <w:rPr>
          <w:sz w:val="22"/>
          <w:szCs w:val="22"/>
          <w:lang w:val="sr-Latn-ME"/>
        </w:rPr>
      </w:pPr>
    </w:p>
    <w:p w14:paraId="380CC137" w14:textId="1C4D889D" w:rsidR="0003793F" w:rsidRPr="00FB15F5" w:rsidRDefault="0003793F">
      <w:pPr>
        <w:rPr>
          <w:sz w:val="22"/>
          <w:szCs w:val="22"/>
          <w:lang w:val="sr-Latn-ME"/>
        </w:rPr>
      </w:pPr>
      <w:r w:rsidRPr="00FB15F5">
        <w:rPr>
          <w:sz w:val="22"/>
          <w:szCs w:val="22"/>
          <w:lang w:val="sr-Latn-ME"/>
        </w:rPr>
        <w:t xml:space="preserve">Za spisak svih </w:t>
      </w:r>
      <w:proofErr w:type="spellStart"/>
      <w:r w:rsidRPr="00FB15F5">
        <w:rPr>
          <w:sz w:val="22"/>
          <w:szCs w:val="22"/>
          <w:lang w:val="sr-Latn-ME"/>
        </w:rPr>
        <w:t>ekscipijenasa</w:t>
      </w:r>
      <w:proofErr w:type="spellEnd"/>
      <w:r w:rsidRPr="00FB15F5">
        <w:rPr>
          <w:sz w:val="22"/>
          <w:szCs w:val="22"/>
          <w:lang w:val="sr-Latn-ME"/>
        </w:rPr>
        <w:t>, pogledati dio 6.1.</w:t>
      </w:r>
    </w:p>
    <w:p w14:paraId="7E80F0CD" w14:textId="1C4E2076" w:rsidR="00C37FD7" w:rsidRPr="00FB15F5" w:rsidRDefault="00C37FD7">
      <w:pPr>
        <w:rPr>
          <w:sz w:val="22"/>
          <w:szCs w:val="22"/>
          <w:lang w:val="sr-Latn-ME"/>
        </w:rPr>
      </w:pPr>
    </w:p>
    <w:p w14:paraId="7C4001AA" w14:textId="77777777" w:rsidR="00133A78" w:rsidRPr="00FB15F5" w:rsidRDefault="00133A78">
      <w:pPr>
        <w:rPr>
          <w:sz w:val="22"/>
          <w:szCs w:val="22"/>
          <w:lang w:val="sr-Latn-ME"/>
        </w:rPr>
      </w:pPr>
    </w:p>
    <w:p w14:paraId="33A2F62A" w14:textId="77777777" w:rsidR="00411B4B" w:rsidRPr="00FB15F5" w:rsidRDefault="00411B4B" w:rsidP="00F5167F">
      <w:pPr>
        <w:tabs>
          <w:tab w:val="left" w:pos="540"/>
          <w:tab w:val="left" w:pos="569"/>
        </w:tabs>
        <w:rPr>
          <w:b/>
          <w:bCs/>
          <w:sz w:val="22"/>
          <w:szCs w:val="22"/>
          <w:lang w:val="sr-Latn-ME"/>
        </w:rPr>
      </w:pPr>
      <w:r w:rsidRPr="00FB15F5">
        <w:rPr>
          <w:b/>
          <w:bCs/>
          <w:sz w:val="22"/>
          <w:szCs w:val="22"/>
          <w:lang w:val="sr-Latn-ME"/>
        </w:rPr>
        <w:t xml:space="preserve">3. </w:t>
      </w:r>
      <w:r w:rsidR="00F5167F" w:rsidRPr="00FB15F5">
        <w:rPr>
          <w:b/>
          <w:bCs/>
          <w:sz w:val="22"/>
          <w:szCs w:val="22"/>
          <w:lang w:val="sr-Latn-ME"/>
        </w:rPr>
        <w:tab/>
      </w:r>
      <w:r w:rsidRPr="00FB15F5">
        <w:rPr>
          <w:b/>
          <w:bCs/>
          <w:sz w:val="22"/>
          <w:szCs w:val="22"/>
          <w:lang w:val="sr-Latn-ME"/>
        </w:rPr>
        <w:t>FARMACEUTSKI OBLIK</w:t>
      </w:r>
      <w:r w:rsidR="009F2D23" w:rsidRPr="00FB15F5">
        <w:rPr>
          <w:b/>
          <w:bCs/>
          <w:sz w:val="22"/>
          <w:szCs w:val="22"/>
          <w:lang w:val="sr-Latn-ME"/>
        </w:rPr>
        <w:t xml:space="preserve"> </w:t>
      </w:r>
    </w:p>
    <w:p w14:paraId="38D734B8" w14:textId="77777777" w:rsidR="001E4242" w:rsidRPr="00FB15F5" w:rsidRDefault="001E4242" w:rsidP="00F5167F">
      <w:pPr>
        <w:tabs>
          <w:tab w:val="left" w:pos="540"/>
          <w:tab w:val="left" w:pos="569"/>
        </w:tabs>
        <w:rPr>
          <w:b/>
          <w:bCs/>
          <w:sz w:val="22"/>
          <w:szCs w:val="22"/>
          <w:lang w:val="sr-Latn-ME"/>
        </w:rPr>
      </w:pPr>
    </w:p>
    <w:p w14:paraId="1A9D34C0" w14:textId="77777777" w:rsidR="001E4242" w:rsidRPr="00FB15F5" w:rsidRDefault="001E4242" w:rsidP="001E4242">
      <w:pPr>
        <w:pStyle w:val="Header"/>
        <w:tabs>
          <w:tab w:val="left" w:pos="284"/>
        </w:tabs>
        <w:rPr>
          <w:sz w:val="22"/>
          <w:szCs w:val="22"/>
          <w:lang w:val="sr-Latn-ME"/>
        </w:rPr>
      </w:pPr>
      <w:r w:rsidRPr="00FB15F5">
        <w:rPr>
          <w:sz w:val="22"/>
          <w:szCs w:val="22"/>
          <w:lang w:val="sr-Latn-ME"/>
        </w:rPr>
        <w:t>Kapsula, tvrda.</w:t>
      </w:r>
    </w:p>
    <w:p w14:paraId="5FE55092" w14:textId="77777777" w:rsidR="001E4242" w:rsidRPr="00FB15F5" w:rsidRDefault="001E4242" w:rsidP="009F447A">
      <w:pPr>
        <w:pStyle w:val="Header"/>
        <w:tabs>
          <w:tab w:val="left" w:pos="284"/>
        </w:tabs>
        <w:jc w:val="both"/>
        <w:rPr>
          <w:sz w:val="22"/>
          <w:szCs w:val="22"/>
          <w:lang w:val="sr-Latn-ME"/>
        </w:rPr>
      </w:pPr>
      <w:r w:rsidRPr="00FB15F5">
        <w:rPr>
          <w:sz w:val="22"/>
          <w:szCs w:val="22"/>
          <w:lang w:val="sr-Latn-ME"/>
        </w:rPr>
        <w:t>Neprovidna, bijela, tvrda želatinska kapsula, sa kružno odštampanom oznakom „ESTRACYT</w:t>
      </w:r>
      <w:r w:rsidRPr="00FB15F5">
        <w:rPr>
          <w:sz w:val="22"/>
          <w:szCs w:val="22"/>
          <w:vertAlign w:val="superscript"/>
          <w:lang w:val="sr-Latn-ME"/>
        </w:rPr>
        <w:t>®“</w:t>
      </w:r>
      <w:r w:rsidRPr="00FB15F5">
        <w:rPr>
          <w:sz w:val="22"/>
          <w:szCs w:val="22"/>
          <w:lang w:val="sr-Latn-ME"/>
        </w:rPr>
        <w:t xml:space="preserve"> na kapici i „K </w:t>
      </w:r>
      <w:proofErr w:type="spellStart"/>
      <w:r w:rsidRPr="00FB15F5">
        <w:rPr>
          <w:sz w:val="22"/>
          <w:szCs w:val="22"/>
          <w:lang w:val="sr-Latn-ME"/>
        </w:rPr>
        <w:t>Ph</w:t>
      </w:r>
      <w:proofErr w:type="spellEnd"/>
      <w:r w:rsidRPr="00FB15F5">
        <w:rPr>
          <w:sz w:val="22"/>
          <w:szCs w:val="22"/>
          <w:lang w:val="sr-Latn-ME"/>
        </w:rPr>
        <w:t xml:space="preserve"> 750“ na tijelu kapsule, koja sadrži prašak skoro bijele boje. </w:t>
      </w:r>
    </w:p>
    <w:p w14:paraId="2A1D49E6" w14:textId="272B42F0" w:rsidR="00EC2532" w:rsidRPr="00FB15F5" w:rsidRDefault="00EC2532">
      <w:pPr>
        <w:rPr>
          <w:bCs/>
          <w:sz w:val="22"/>
          <w:szCs w:val="22"/>
          <w:lang w:val="sr-Latn-ME"/>
        </w:rPr>
      </w:pPr>
    </w:p>
    <w:p w14:paraId="41B3B659" w14:textId="77777777" w:rsidR="00133A78" w:rsidRPr="00FB15F5" w:rsidRDefault="00133A78">
      <w:pPr>
        <w:rPr>
          <w:bCs/>
          <w:sz w:val="22"/>
          <w:szCs w:val="22"/>
          <w:lang w:val="sr-Latn-ME"/>
        </w:rPr>
      </w:pPr>
    </w:p>
    <w:p w14:paraId="24759D8F" w14:textId="4ED7C3E9" w:rsidR="00CD6F02" w:rsidRPr="00FB15F5" w:rsidRDefault="00411B4B" w:rsidP="00480FB1">
      <w:pPr>
        <w:tabs>
          <w:tab w:val="left" w:pos="540"/>
          <w:tab w:val="left" w:pos="569"/>
        </w:tabs>
        <w:rPr>
          <w:b/>
          <w:bCs/>
          <w:sz w:val="22"/>
          <w:szCs w:val="22"/>
          <w:lang w:val="sr-Latn-ME"/>
        </w:rPr>
      </w:pPr>
      <w:r w:rsidRPr="00FB15F5">
        <w:rPr>
          <w:b/>
          <w:bCs/>
          <w:sz w:val="22"/>
          <w:szCs w:val="22"/>
          <w:lang w:val="sr-Latn-ME"/>
        </w:rPr>
        <w:t xml:space="preserve">4. </w:t>
      </w:r>
      <w:r w:rsidR="00480FB1" w:rsidRPr="00FB15F5">
        <w:rPr>
          <w:b/>
          <w:bCs/>
          <w:sz w:val="22"/>
          <w:szCs w:val="22"/>
          <w:lang w:val="sr-Latn-ME"/>
        </w:rPr>
        <w:tab/>
      </w:r>
      <w:r w:rsidRPr="00FB15F5">
        <w:rPr>
          <w:b/>
          <w:bCs/>
          <w:sz w:val="22"/>
          <w:szCs w:val="22"/>
          <w:lang w:val="sr-Latn-ME"/>
        </w:rPr>
        <w:t>KLINIČKI PODACI</w:t>
      </w:r>
    </w:p>
    <w:p w14:paraId="67832EAB" w14:textId="77777777" w:rsidR="001E4242" w:rsidRPr="00FB15F5" w:rsidRDefault="001E4242" w:rsidP="00480FB1">
      <w:pPr>
        <w:tabs>
          <w:tab w:val="left" w:pos="540"/>
          <w:tab w:val="left" w:pos="569"/>
        </w:tabs>
        <w:rPr>
          <w:bCs/>
          <w:sz w:val="22"/>
          <w:szCs w:val="22"/>
          <w:lang w:val="sr-Latn-ME"/>
        </w:rPr>
      </w:pPr>
    </w:p>
    <w:p w14:paraId="4F2A4BB1" w14:textId="77777777" w:rsidR="00411B4B" w:rsidRPr="00FB15F5" w:rsidRDefault="00411B4B" w:rsidP="00480FB1">
      <w:pPr>
        <w:tabs>
          <w:tab w:val="left" w:pos="540"/>
          <w:tab w:val="left" w:pos="569"/>
        </w:tabs>
        <w:rPr>
          <w:b/>
          <w:bCs/>
          <w:sz w:val="22"/>
          <w:szCs w:val="22"/>
          <w:lang w:val="sr-Latn-ME"/>
        </w:rPr>
      </w:pPr>
      <w:r w:rsidRPr="00FB15F5">
        <w:rPr>
          <w:b/>
          <w:bCs/>
          <w:sz w:val="22"/>
          <w:szCs w:val="22"/>
          <w:lang w:val="sr-Latn-ME"/>
        </w:rPr>
        <w:t xml:space="preserve">4.1. </w:t>
      </w:r>
      <w:r w:rsidR="00480FB1" w:rsidRPr="00FB15F5">
        <w:rPr>
          <w:b/>
          <w:bCs/>
          <w:sz w:val="22"/>
          <w:szCs w:val="22"/>
          <w:lang w:val="sr-Latn-ME"/>
        </w:rPr>
        <w:tab/>
      </w:r>
      <w:r w:rsidRPr="00FB15F5">
        <w:rPr>
          <w:b/>
          <w:bCs/>
          <w:sz w:val="22"/>
          <w:szCs w:val="22"/>
          <w:lang w:val="sr-Latn-ME"/>
        </w:rPr>
        <w:t>Terapijske indikacije</w:t>
      </w:r>
    </w:p>
    <w:p w14:paraId="555D6344" w14:textId="77777777" w:rsidR="00133A78" w:rsidRPr="00FB15F5" w:rsidRDefault="00133A78" w:rsidP="00480FB1">
      <w:pPr>
        <w:tabs>
          <w:tab w:val="left" w:pos="540"/>
          <w:tab w:val="left" w:pos="569"/>
        </w:tabs>
        <w:rPr>
          <w:sz w:val="22"/>
          <w:szCs w:val="22"/>
          <w:lang w:val="sr-Latn-ME"/>
        </w:rPr>
      </w:pPr>
    </w:p>
    <w:p w14:paraId="24A6AFDA" w14:textId="349BBAE3" w:rsidR="00411B4B" w:rsidRPr="00FB15F5" w:rsidRDefault="001E4242" w:rsidP="009F447A">
      <w:pPr>
        <w:tabs>
          <w:tab w:val="left" w:pos="540"/>
          <w:tab w:val="left" w:pos="569"/>
        </w:tabs>
        <w:jc w:val="both"/>
        <w:rPr>
          <w:sz w:val="22"/>
          <w:szCs w:val="22"/>
          <w:lang w:val="sr-Latn-ME"/>
        </w:rPr>
      </w:pPr>
      <w:proofErr w:type="spellStart"/>
      <w:r w:rsidRPr="00FB15F5">
        <w:rPr>
          <w:sz w:val="22"/>
          <w:szCs w:val="22"/>
          <w:lang w:val="sr-Latn-ME"/>
        </w:rPr>
        <w:t>Karcinom</w:t>
      </w:r>
      <w:proofErr w:type="spellEnd"/>
      <w:r w:rsidRPr="00FB15F5">
        <w:rPr>
          <w:sz w:val="22"/>
          <w:szCs w:val="22"/>
          <w:lang w:val="sr-Latn-ME"/>
        </w:rPr>
        <w:t xml:space="preserve"> prostate u </w:t>
      </w:r>
      <w:proofErr w:type="spellStart"/>
      <w:r w:rsidRPr="00FB15F5">
        <w:rPr>
          <w:sz w:val="22"/>
          <w:szCs w:val="22"/>
          <w:lang w:val="sr-Latn-ME"/>
        </w:rPr>
        <w:t>uznapredovalom</w:t>
      </w:r>
      <w:proofErr w:type="spellEnd"/>
      <w:r w:rsidRPr="00FB15F5">
        <w:rPr>
          <w:sz w:val="22"/>
          <w:szCs w:val="22"/>
          <w:lang w:val="sr-Latn-ME"/>
        </w:rPr>
        <w:t xml:space="preserve"> stadijumu, posebno kod pacijenata sa tumorima </w:t>
      </w:r>
      <w:proofErr w:type="spellStart"/>
      <w:r w:rsidRPr="00FB15F5">
        <w:rPr>
          <w:sz w:val="22"/>
          <w:szCs w:val="22"/>
          <w:lang w:val="sr-Latn-ME"/>
        </w:rPr>
        <w:t>refraktornim</w:t>
      </w:r>
      <w:proofErr w:type="spellEnd"/>
      <w:r w:rsidRPr="00FB15F5">
        <w:rPr>
          <w:sz w:val="22"/>
          <w:szCs w:val="22"/>
          <w:lang w:val="sr-Latn-ME"/>
        </w:rPr>
        <w:t xml:space="preserve"> na hormonsku terapiju i kao primarna terapija kod pacijenata čiji </w:t>
      </w:r>
      <w:proofErr w:type="spellStart"/>
      <w:r w:rsidRPr="00FB15F5">
        <w:rPr>
          <w:sz w:val="22"/>
          <w:szCs w:val="22"/>
          <w:lang w:val="sr-Latn-ME"/>
        </w:rPr>
        <w:t>prognostički</w:t>
      </w:r>
      <w:proofErr w:type="spellEnd"/>
      <w:r w:rsidRPr="00FB15F5">
        <w:rPr>
          <w:sz w:val="22"/>
          <w:szCs w:val="22"/>
          <w:lang w:val="sr-Latn-ME"/>
        </w:rPr>
        <w:t xml:space="preserve"> faktori ukazuju na lošu prognozu same hormonske terapije.</w:t>
      </w:r>
    </w:p>
    <w:p w14:paraId="2121EA81" w14:textId="77777777" w:rsidR="001E4242" w:rsidRPr="00FB15F5" w:rsidRDefault="001E4242" w:rsidP="009F447A">
      <w:pPr>
        <w:tabs>
          <w:tab w:val="left" w:pos="540"/>
          <w:tab w:val="left" w:pos="569"/>
        </w:tabs>
        <w:jc w:val="both"/>
        <w:rPr>
          <w:bCs/>
          <w:sz w:val="22"/>
          <w:szCs w:val="22"/>
          <w:lang w:val="sr-Latn-ME"/>
        </w:rPr>
      </w:pPr>
    </w:p>
    <w:p w14:paraId="29B4FCE9" w14:textId="77777777" w:rsidR="00411B4B" w:rsidRPr="00FB15F5" w:rsidRDefault="00411B4B" w:rsidP="00480FB1">
      <w:pPr>
        <w:tabs>
          <w:tab w:val="left" w:pos="540"/>
          <w:tab w:val="left" w:pos="569"/>
        </w:tabs>
        <w:rPr>
          <w:b/>
          <w:bCs/>
          <w:sz w:val="22"/>
          <w:szCs w:val="22"/>
          <w:lang w:val="sr-Latn-ME"/>
        </w:rPr>
      </w:pPr>
      <w:r w:rsidRPr="00FB15F5">
        <w:rPr>
          <w:b/>
          <w:bCs/>
          <w:sz w:val="22"/>
          <w:szCs w:val="22"/>
          <w:lang w:val="sr-Latn-ME"/>
        </w:rPr>
        <w:t xml:space="preserve">4.2. </w:t>
      </w:r>
      <w:r w:rsidR="00480FB1" w:rsidRPr="00FB15F5">
        <w:rPr>
          <w:b/>
          <w:bCs/>
          <w:sz w:val="22"/>
          <w:szCs w:val="22"/>
          <w:lang w:val="sr-Latn-ME"/>
        </w:rPr>
        <w:tab/>
      </w:r>
      <w:r w:rsidRPr="00FB15F5">
        <w:rPr>
          <w:b/>
          <w:bCs/>
          <w:sz w:val="22"/>
          <w:szCs w:val="22"/>
          <w:lang w:val="sr-Latn-ME"/>
        </w:rPr>
        <w:t>Doziranje i način primjene</w:t>
      </w:r>
    </w:p>
    <w:p w14:paraId="1F5751C2" w14:textId="77777777" w:rsidR="0072020E" w:rsidRPr="00FB15F5" w:rsidRDefault="0072020E" w:rsidP="00480FB1">
      <w:pPr>
        <w:tabs>
          <w:tab w:val="left" w:pos="540"/>
          <w:tab w:val="left" w:pos="569"/>
        </w:tabs>
        <w:rPr>
          <w:bCs/>
          <w:sz w:val="22"/>
          <w:szCs w:val="22"/>
          <w:lang w:val="sr-Latn-ME"/>
        </w:rPr>
      </w:pPr>
    </w:p>
    <w:p w14:paraId="6548CD40" w14:textId="77777777" w:rsidR="001E4242" w:rsidRPr="00FB15F5" w:rsidRDefault="001E4242" w:rsidP="009F447A">
      <w:pPr>
        <w:tabs>
          <w:tab w:val="left" w:pos="540"/>
          <w:tab w:val="left" w:pos="569"/>
        </w:tabs>
        <w:jc w:val="both"/>
        <w:rPr>
          <w:bCs/>
          <w:sz w:val="22"/>
          <w:szCs w:val="22"/>
          <w:u w:val="single"/>
          <w:lang w:val="sr-Latn-ME"/>
        </w:rPr>
      </w:pPr>
      <w:r w:rsidRPr="00FB15F5">
        <w:rPr>
          <w:bCs/>
          <w:sz w:val="22"/>
          <w:szCs w:val="22"/>
          <w:u w:val="single"/>
          <w:lang w:val="sr-Latn-ME"/>
        </w:rPr>
        <w:t>Način primjene</w:t>
      </w:r>
    </w:p>
    <w:p w14:paraId="49635577" w14:textId="04C64940" w:rsidR="001E4242" w:rsidRPr="00FB15F5" w:rsidRDefault="001E4242" w:rsidP="009F447A">
      <w:pPr>
        <w:tabs>
          <w:tab w:val="left" w:pos="540"/>
          <w:tab w:val="left" w:pos="569"/>
        </w:tabs>
        <w:jc w:val="both"/>
        <w:rPr>
          <w:sz w:val="22"/>
          <w:szCs w:val="22"/>
          <w:lang w:val="sr-Latn-ME"/>
        </w:rPr>
      </w:pPr>
      <w:r w:rsidRPr="00FB15F5">
        <w:rPr>
          <w:sz w:val="22"/>
          <w:szCs w:val="22"/>
          <w:lang w:val="sr-Latn-ME"/>
        </w:rPr>
        <w:t xml:space="preserve">Lijek </w:t>
      </w:r>
      <w:proofErr w:type="spellStart"/>
      <w:r w:rsidRPr="00FB15F5">
        <w:rPr>
          <w:sz w:val="22"/>
          <w:szCs w:val="22"/>
          <w:lang w:val="sr-Latn-ME"/>
        </w:rPr>
        <w:t>Estracyt</w:t>
      </w:r>
      <w:proofErr w:type="spellEnd"/>
      <w:r w:rsidRPr="00FB15F5">
        <w:rPr>
          <w:sz w:val="22"/>
          <w:szCs w:val="22"/>
          <w:lang w:val="sr-Latn-ME"/>
        </w:rPr>
        <w:t xml:space="preserve"> je namijenjen za oralnu upotrebu.</w:t>
      </w:r>
    </w:p>
    <w:p w14:paraId="02D29CA9" w14:textId="77777777" w:rsidR="001E4242" w:rsidRPr="00FB15F5" w:rsidRDefault="001E4242" w:rsidP="009F447A">
      <w:pPr>
        <w:jc w:val="both"/>
        <w:rPr>
          <w:sz w:val="22"/>
          <w:szCs w:val="22"/>
          <w:lang w:val="sr-Latn-ME"/>
        </w:rPr>
      </w:pPr>
      <w:r w:rsidRPr="00FB15F5">
        <w:rPr>
          <w:sz w:val="22"/>
          <w:szCs w:val="22"/>
          <w:lang w:val="sr-Latn-ME"/>
        </w:rPr>
        <w:t xml:space="preserve">Lijek </w:t>
      </w:r>
      <w:proofErr w:type="spellStart"/>
      <w:r w:rsidRPr="00FB15F5">
        <w:rPr>
          <w:sz w:val="22"/>
          <w:szCs w:val="22"/>
          <w:lang w:val="sr-Latn-ME"/>
        </w:rPr>
        <w:t>Estracyt</w:t>
      </w:r>
      <w:proofErr w:type="spellEnd"/>
      <w:r w:rsidRPr="00FB15F5">
        <w:rPr>
          <w:sz w:val="22"/>
          <w:szCs w:val="22"/>
          <w:lang w:val="sr-Latn-ME"/>
        </w:rPr>
        <w:t xml:space="preserve"> treba da primjenjuju stručnjaci sa iskustvom u davanju </w:t>
      </w:r>
      <w:proofErr w:type="spellStart"/>
      <w:r w:rsidRPr="00FB15F5">
        <w:rPr>
          <w:sz w:val="22"/>
          <w:szCs w:val="22"/>
          <w:lang w:val="sr-Latn-ME"/>
        </w:rPr>
        <w:t>antineoplastične</w:t>
      </w:r>
      <w:proofErr w:type="spellEnd"/>
      <w:r w:rsidRPr="00FB15F5">
        <w:rPr>
          <w:sz w:val="22"/>
          <w:szCs w:val="22"/>
          <w:lang w:val="sr-Latn-ME"/>
        </w:rPr>
        <w:t xml:space="preserve"> terapije.</w:t>
      </w:r>
    </w:p>
    <w:p w14:paraId="64D0BE7B" w14:textId="77777777" w:rsidR="001E4242" w:rsidRPr="00FB15F5" w:rsidRDefault="001E4242" w:rsidP="009F447A">
      <w:pPr>
        <w:jc w:val="both"/>
        <w:rPr>
          <w:sz w:val="22"/>
          <w:szCs w:val="22"/>
          <w:lang w:val="sr-Latn-ME"/>
        </w:rPr>
      </w:pPr>
    </w:p>
    <w:p w14:paraId="372872A4" w14:textId="77777777" w:rsidR="001E4242" w:rsidRPr="00FB15F5" w:rsidRDefault="001E4242" w:rsidP="009F447A">
      <w:pPr>
        <w:tabs>
          <w:tab w:val="left" w:pos="540"/>
          <w:tab w:val="left" w:pos="569"/>
        </w:tabs>
        <w:jc w:val="both"/>
        <w:rPr>
          <w:bCs/>
          <w:sz w:val="22"/>
          <w:szCs w:val="22"/>
          <w:u w:val="single"/>
          <w:lang w:val="sr-Latn-ME"/>
        </w:rPr>
      </w:pPr>
      <w:r w:rsidRPr="00FB15F5">
        <w:rPr>
          <w:bCs/>
          <w:sz w:val="22"/>
          <w:szCs w:val="22"/>
          <w:u w:val="single"/>
          <w:lang w:val="sr-Latn-ME"/>
        </w:rPr>
        <w:t>Doziranje</w:t>
      </w:r>
    </w:p>
    <w:p w14:paraId="25C2D505" w14:textId="77777777" w:rsidR="001E4242" w:rsidRPr="00FB15F5" w:rsidRDefault="001E4242" w:rsidP="009F447A">
      <w:pPr>
        <w:jc w:val="both"/>
        <w:rPr>
          <w:sz w:val="22"/>
          <w:szCs w:val="22"/>
          <w:lang w:val="sr-Latn-ME"/>
        </w:rPr>
      </w:pPr>
      <w:r w:rsidRPr="00FB15F5">
        <w:rPr>
          <w:sz w:val="22"/>
          <w:szCs w:val="22"/>
          <w:lang w:val="sr-Latn-ME"/>
        </w:rPr>
        <w:t xml:space="preserve">Opseg doza se kreće između 7 – 14 mg/kg (4-8 kapsula) dnevno podijeljeno u 2 (ili 3) doze. Preporučuje se početna doza od 4-6 kapsula da bi se postigla doza od najmanje 10 mg/kg. Kapsule treba uzimati sa vodom, najmanje 1 sat prije ili 2 sata posle jela. Mlijeko, mlječni proizvodi ili ljekovi koji sadrže kalcijum, magnezijum ili aluminijum (npr. antacidi) ne smiju se uzimati istovremeno sa kapsulama lijeka </w:t>
      </w:r>
      <w:proofErr w:type="spellStart"/>
      <w:r w:rsidRPr="00FB15F5">
        <w:rPr>
          <w:sz w:val="22"/>
          <w:szCs w:val="22"/>
          <w:lang w:val="sr-Latn-ME"/>
        </w:rPr>
        <w:t>Estracyt</w:t>
      </w:r>
      <w:proofErr w:type="spellEnd"/>
      <w:r w:rsidRPr="00FB15F5">
        <w:rPr>
          <w:sz w:val="22"/>
          <w:szCs w:val="22"/>
          <w:lang w:val="sr-Latn-ME"/>
        </w:rPr>
        <w:t>.</w:t>
      </w:r>
    </w:p>
    <w:p w14:paraId="32FF5260" w14:textId="3E72F9AF" w:rsidR="00452E9D" w:rsidRPr="00FB15F5" w:rsidRDefault="001E4242" w:rsidP="009F447A">
      <w:pPr>
        <w:tabs>
          <w:tab w:val="left" w:pos="540"/>
          <w:tab w:val="left" w:pos="569"/>
        </w:tabs>
        <w:jc w:val="both"/>
        <w:rPr>
          <w:sz w:val="22"/>
          <w:szCs w:val="22"/>
          <w:lang w:val="sr-Latn-ME"/>
        </w:rPr>
      </w:pPr>
      <w:r w:rsidRPr="00FB15F5">
        <w:rPr>
          <w:sz w:val="22"/>
          <w:szCs w:val="22"/>
          <w:lang w:val="sr-Latn-ME"/>
        </w:rPr>
        <w:t>Ukoliko se posle 4-6 nedjelja ne postigne odgovor, liječenje treba prekinuti.</w:t>
      </w:r>
    </w:p>
    <w:p w14:paraId="3632F4F3" w14:textId="77BA3A80" w:rsidR="00452E9D" w:rsidRPr="00FB15F5" w:rsidRDefault="00452E9D" w:rsidP="009F447A">
      <w:pPr>
        <w:tabs>
          <w:tab w:val="left" w:pos="540"/>
          <w:tab w:val="left" w:pos="569"/>
        </w:tabs>
        <w:jc w:val="both"/>
        <w:rPr>
          <w:bCs/>
          <w:sz w:val="22"/>
          <w:szCs w:val="22"/>
          <w:lang w:val="sr-Latn-ME"/>
        </w:rPr>
      </w:pPr>
    </w:p>
    <w:p w14:paraId="5BEBCCFE" w14:textId="77777777" w:rsidR="00411B4B" w:rsidRPr="00FB15F5" w:rsidRDefault="00411B4B" w:rsidP="009F447A">
      <w:pPr>
        <w:tabs>
          <w:tab w:val="left" w:pos="540"/>
          <w:tab w:val="left" w:pos="569"/>
        </w:tabs>
        <w:jc w:val="both"/>
        <w:rPr>
          <w:b/>
          <w:bCs/>
          <w:sz w:val="22"/>
          <w:szCs w:val="22"/>
          <w:lang w:val="sr-Latn-ME"/>
        </w:rPr>
      </w:pPr>
      <w:r w:rsidRPr="00FB15F5">
        <w:rPr>
          <w:b/>
          <w:bCs/>
          <w:sz w:val="22"/>
          <w:szCs w:val="22"/>
          <w:lang w:val="sr-Latn-ME"/>
        </w:rPr>
        <w:t xml:space="preserve">4.3. </w:t>
      </w:r>
      <w:r w:rsidR="00480FB1" w:rsidRPr="00FB15F5">
        <w:rPr>
          <w:b/>
          <w:bCs/>
          <w:sz w:val="22"/>
          <w:szCs w:val="22"/>
          <w:lang w:val="sr-Latn-ME"/>
        </w:rPr>
        <w:tab/>
      </w:r>
      <w:proofErr w:type="spellStart"/>
      <w:r w:rsidRPr="00FB15F5">
        <w:rPr>
          <w:b/>
          <w:bCs/>
          <w:sz w:val="22"/>
          <w:szCs w:val="22"/>
          <w:lang w:val="sr-Latn-ME"/>
        </w:rPr>
        <w:t>Kontraindikacije</w:t>
      </w:r>
      <w:proofErr w:type="spellEnd"/>
    </w:p>
    <w:p w14:paraId="31174FF1" w14:textId="77777777" w:rsidR="00C3183C" w:rsidRPr="00FB15F5" w:rsidRDefault="00C3183C" w:rsidP="009F447A">
      <w:pPr>
        <w:spacing w:before="120" w:after="60"/>
        <w:jc w:val="both"/>
        <w:rPr>
          <w:sz w:val="22"/>
          <w:szCs w:val="22"/>
          <w:lang w:val="sr-Latn-ME"/>
        </w:rPr>
      </w:pPr>
      <w:r w:rsidRPr="00FB15F5">
        <w:rPr>
          <w:sz w:val="22"/>
          <w:szCs w:val="22"/>
          <w:lang w:val="sr-Latn-ME"/>
        </w:rPr>
        <w:t xml:space="preserve">Lijek </w:t>
      </w:r>
      <w:proofErr w:type="spellStart"/>
      <w:r w:rsidRPr="00FB15F5">
        <w:rPr>
          <w:sz w:val="22"/>
          <w:szCs w:val="22"/>
          <w:lang w:val="sr-Latn-ME"/>
        </w:rPr>
        <w:t>Estracyt</w:t>
      </w:r>
      <w:proofErr w:type="spellEnd"/>
      <w:r w:rsidRPr="00FB15F5">
        <w:rPr>
          <w:sz w:val="22"/>
          <w:szCs w:val="22"/>
          <w:lang w:val="sr-Latn-ME"/>
        </w:rPr>
        <w:t xml:space="preserve"> ne treba primjenjivati kod pacijenata sa:</w:t>
      </w:r>
    </w:p>
    <w:p w14:paraId="6662ADC3" w14:textId="77777777" w:rsidR="00C3183C" w:rsidRPr="00FB15F5" w:rsidRDefault="00C3183C" w:rsidP="009F447A">
      <w:pPr>
        <w:numPr>
          <w:ilvl w:val="0"/>
          <w:numId w:val="12"/>
        </w:numPr>
        <w:tabs>
          <w:tab w:val="clear" w:pos="420"/>
        </w:tabs>
        <w:spacing w:before="60"/>
        <w:ind w:left="360"/>
        <w:jc w:val="both"/>
        <w:rPr>
          <w:sz w:val="22"/>
          <w:szCs w:val="22"/>
          <w:lang w:val="sr-Latn-ME"/>
        </w:rPr>
      </w:pPr>
      <w:r w:rsidRPr="00FB15F5">
        <w:rPr>
          <w:sz w:val="22"/>
          <w:szCs w:val="22"/>
          <w:lang w:val="sr-Latn-ME"/>
        </w:rPr>
        <w:t xml:space="preserve">poznatom preosjetljivošću na aktivnu supstancu </w:t>
      </w:r>
      <w:proofErr w:type="spellStart"/>
      <w:r w:rsidRPr="00FB15F5">
        <w:rPr>
          <w:sz w:val="22"/>
          <w:szCs w:val="22"/>
          <w:lang w:val="sr-Latn-ME"/>
        </w:rPr>
        <w:t>estramustin</w:t>
      </w:r>
      <w:proofErr w:type="spellEnd"/>
      <w:r w:rsidRPr="00FB15F5">
        <w:rPr>
          <w:sz w:val="22"/>
          <w:szCs w:val="22"/>
          <w:lang w:val="sr-Latn-ME"/>
        </w:rPr>
        <w:t xml:space="preserve"> fosfat, </w:t>
      </w:r>
      <w:proofErr w:type="spellStart"/>
      <w:r w:rsidRPr="00FB15F5">
        <w:rPr>
          <w:sz w:val="22"/>
          <w:szCs w:val="22"/>
          <w:lang w:val="sr-Latn-ME"/>
        </w:rPr>
        <w:t>estradiol</w:t>
      </w:r>
      <w:proofErr w:type="spellEnd"/>
      <w:r w:rsidRPr="00FB15F5">
        <w:rPr>
          <w:sz w:val="22"/>
          <w:szCs w:val="22"/>
          <w:lang w:val="sr-Latn-ME"/>
        </w:rPr>
        <w:t>, azotne iperite (</w:t>
      </w:r>
      <w:r w:rsidRPr="00FB15F5">
        <w:rPr>
          <w:i/>
          <w:sz w:val="22"/>
          <w:szCs w:val="22"/>
          <w:lang w:val="sr-Latn-ME"/>
        </w:rPr>
        <w:t xml:space="preserve">nitrogen </w:t>
      </w:r>
      <w:proofErr w:type="spellStart"/>
      <w:r w:rsidRPr="00FB15F5">
        <w:rPr>
          <w:i/>
          <w:sz w:val="22"/>
          <w:szCs w:val="22"/>
          <w:lang w:val="sr-Latn-ME"/>
        </w:rPr>
        <w:t>mustard</w:t>
      </w:r>
      <w:proofErr w:type="spellEnd"/>
      <w:r w:rsidRPr="00FB15F5">
        <w:rPr>
          <w:sz w:val="22"/>
          <w:szCs w:val="22"/>
          <w:lang w:val="sr-Latn-ME"/>
        </w:rPr>
        <w:t>) ili na bilo koju od pomoćnih supstanci lijeka navedenih u dijelu 6.1;</w:t>
      </w:r>
    </w:p>
    <w:p w14:paraId="72B1012E" w14:textId="77777777" w:rsidR="00C3183C" w:rsidRPr="00FB15F5" w:rsidRDefault="00C3183C" w:rsidP="009F447A">
      <w:pPr>
        <w:numPr>
          <w:ilvl w:val="0"/>
          <w:numId w:val="12"/>
        </w:numPr>
        <w:tabs>
          <w:tab w:val="clear" w:pos="420"/>
        </w:tabs>
        <w:ind w:left="360"/>
        <w:jc w:val="both"/>
        <w:rPr>
          <w:sz w:val="22"/>
          <w:szCs w:val="22"/>
          <w:lang w:val="sr-Latn-ME"/>
        </w:rPr>
      </w:pPr>
      <w:proofErr w:type="spellStart"/>
      <w:r w:rsidRPr="00FB15F5">
        <w:rPr>
          <w:sz w:val="22"/>
          <w:szCs w:val="22"/>
          <w:lang w:val="sr-Latn-ME"/>
        </w:rPr>
        <w:t>peptičkim</w:t>
      </w:r>
      <w:proofErr w:type="spellEnd"/>
      <w:r w:rsidRPr="00FB15F5">
        <w:rPr>
          <w:sz w:val="22"/>
          <w:szCs w:val="22"/>
          <w:lang w:val="sr-Latn-ME"/>
        </w:rPr>
        <w:t xml:space="preserve"> </w:t>
      </w:r>
      <w:proofErr w:type="spellStart"/>
      <w:r w:rsidRPr="00FB15F5">
        <w:rPr>
          <w:sz w:val="22"/>
          <w:szCs w:val="22"/>
          <w:lang w:val="sr-Latn-ME"/>
        </w:rPr>
        <w:t>ulkusom</w:t>
      </w:r>
      <w:proofErr w:type="spellEnd"/>
      <w:r w:rsidRPr="00FB15F5">
        <w:rPr>
          <w:sz w:val="22"/>
          <w:szCs w:val="22"/>
          <w:lang w:val="sr-Latn-ME"/>
        </w:rPr>
        <w:t>, teškim oboljenjem jetre;</w:t>
      </w:r>
    </w:p>
    <w:p w14:paraId="0B873EC5" w14:textId="77777777" w:rsidR="00C3183C" w:rsidRPr="00FB15F5" w:rsidRDefault="00C3183C" w:rsidP="009F447A">
      <w:pPr>
        <w:numPr>
          <w:ilvl w:val="0"/>
          <w:numId w:val="12"/>
        </w:numPr>
        <w:tabs>
          <w:tab w:val="clear" w:pos="420"/>
        </w:tabs>
        <w:ind w:left="360"/>
        <w:jc w:val="both"/>
        <w:rPr>
          <w:color w:val="FF0000"/>
          <w:sz w:val="22"/>
          <w:szCs w:val="22"/>
          <w:lang w:val="sr-Latn-ME"/>
        </w:rPr>
      </w:pPr>
      <w:r w:rsidRPr="00FB15F5">
        <w:rPr>
          <w:sz w:val="22"/>
          <w:szCs w:val="22"/>
          <w:lang w:val="sr-Latn-ME"/>
        </w:rPr>
        <w:t xml:space="preserve">teškim </w:t>
      </w:r>
      <w:proofErr w:type="spellStart"/>
      <w:r w:rsidRPr="00FB15F5">
        <w:rPr>
          <w:sz w:val="22"/>
          <w:szCs w:val="22"/>
          <w:lang w:val="sr-Latn-ME"/>
        </w:rPr>
        <w:t>kardiovaskularnim</w:t>
      </w:r>
      <w:proofErr w:type="spellEnd"/>
      <w:r w:rsidRPr="00FB15F5">
        <w:rPr>
          <w:sz w:val="22"/>
          <w:szCs w:val="22"/>
          <w:lang w:val="sr-Latn-ME"/>
        </w:rPr>
        <w:t xml:space="preserve"> oboljenjem: </w:t>
      </w:r>
      <w:proofErr w:type="spellStart"/>
      <w:r w:rsidRPr="00FB15F5">
        <w:rPr>
          <w:sz w:val="22"/>
          <w:szCs w:val="22"/>
          <w:lang w:val="sr-Latn-ME"/>
        </w:rPr>
        <w:t>ishemijskim</w:t>
      </w:r>
      <w:proofErr w:type="spellEnd"/>
      <w:r w:rsidRPr="00FB15F5">
        <w:rPr>
          <w:sz w:val="22"/>
          <w:szCs w:val="22"/>
          <w:lang w:val="sr-Latn-ME"/>
        </w:rPr>
        <w:t xml:space="preserve">, </w:t>
      </w:r>
      <w:proofErr w:type="spellStart"/>
      <w:r w:rsidRPr="00FB15F5">
        <w:rPr>
          <w:sz w:val="22"/>
          <w:szCs w:val="22"/>
          <w:lang w:val="sr-Latn-ME"/>
        </w:rPr>
        <w:t>tromboembolijskim</w:t>
      </w:r>
      <w:proofErr w:type="spellEnd"/>
      <w:r w:rsidRPr="00FB15F5">
        <w:rPr>
          <w:sz w:val="22"/>
          <w:szCs w:val="22"/>
          <w:lang w:val="sr-Latn-ME"/>
        </w:rPr>
        <w:t xml:space="preserve"> ili komplikacijama vezanim za retenciju tečnosti.</w:t>
      </w:r>
    </w:p>
    <w:p w14:paraId="00240764" w14:textId="77777777" w:rsidR="0072020E" w:rsidRPr="00FB15F5" w:rsidRDefault="0072020E" w:rsidP="00480FB1">
      <w:pPr>
        <w:tabs>
          <w:tab w:val="left" w:pos="540"/>
          <w:tab w:val="left" w:pos="569"/>
        </w:tabs>
        <w:rPr>
          <w:bCs/>
          <w:sz w:val="22"/>
          <w:szCs w:val="22"/>
          <w:lang w:val="sr-Latn-ME"/>
        </w:rPr>
      </w:pPr>
    </w:p>
    <w:p w14:paraId="013C3603" w14:textId="77777777" w:rsidR="00411B4B" w:rsidRPr="00FB15F5" w:rsidRDefault="00411B4B" w:rsidP="00480FB1">
      <w:pPr>
        <w:tabs>
          <w:tab w:val="left" w:pos="540"/>
          <w:tab w:val="left" w:pos="569"/>
        </w:tabs>
        <w:rPr>
          <w:b/>
          <w:bCs/>
          <w:sz w:val="22"/>
          <w:szCs w:val="22"/>
          <w:lang w:val="sr-Latn-ME"/>
        </w:rPr>
      </w:pPr>
      <w:r w:rsidRPr="00FB15F5">
        <w:rPr>
          <w:b/>
          <w:bCs/>
          <w:sz w:val="22"/>
          <w:szCs w:val="22"/>
          <w:lang w:val="sr-Latn-ME"/>
        </w:rPr>
        <w:t xml:space="preserve">4.4. </w:t>
      </w:r>
      <w:r w:rsidR="00480FB1" w:rsidRPr="00FB15F5">
        <w:rPr>
          <w:b/>
          <w:bCs/>
          <w:sz w:val="22"/>
          <w:szCs w:val="22"/>
          <w:lang w:val="sr-Latn-ME"/>
        </w:rPr>
        <w:tab/>
      </w:r>
      <w:r w:rsidRPr="00FB15F5">
        <w:rPr>
          <w:b/>
          <w:bCs/>
          <w:sz w:val="22"/>
          <w:szCs w:val="22"/>
          <w:lang w:val="sr-Latn-ME"/>
        </w:rPr>
        <w:t>Posebna upozorenja i mjere opreza pri upotrebi lijeka</w:t>
      </w:r>
    </w:p>
    <w:p w14:paraId="7DF0CAC8" w14:textId="77777777" w:rsidR="0072020E" w:rsidRPr="00FB15F5" w:rsidRDefault="0072020E" w:rsidP="00480FB1">
      <w:pPr>
        <w:tabs>
          <w:tab w:val="left" w:pos="540"/>
          <w:tab w:val="left" w:pos="569"/>
        </w:tabs>
        <w:rPr>
          <w:bCs/>
          <w:sz w:val="22"/>
          <w:szCs w:val="22"/>
          <w:lang w:val="sr-Latn-ME"/>
        </w:rPr>
      </w:pPr>
    </w:p>
    <w:p w14:paraId="4C57BC42" w14:textId="77777777" w:rsidR="00CF0220" w:rsidRPr="00FB15F5" w:rsidRDefault="00CF0220" w:rsidP="009F447A">
      <w:pPr>
        <w:jc w:val="both"/>
        <w:rPr>
          <w:sz w:val="22"/>
          <w:szCs w:val="22"/>
          <w:lang w:val="sr-Latn-ME"/>
        </w:rPr>
      </w:pPr>
      <w:r w:rsidRPr="00FB15F5">
        <w:rPr>
          <w:sz w:val="22"/>
          <w:szCs w:val="22"/>
          <w:lang w:val="sr-Latn-ME"/>
        </w:rPr>
        <w:lastRenderedPageBreak/>
        <w:t xml:space="preserve">Lijek </w:t>
      </w:r>
      <w:proofErr w:type="spellStart"/>
      <w:r w:rsidRPr="00FB15F5">
        <w:rPr>
          <w:sz w:val="22"/>
          <w:szCs w:val="22"/>
          <w:lang w:val="sr-Latn-ME"/>
        </w:rPr>
        <w:t>Estracyt</w:t>
      </w:r>
      <w:proofErr w:type="spellEnd"/>
      <w:r w:rsidRPr="00FB15F5">
        <w:rPr>
          <w:sz w:val="22"/>
          <w:szCs w:val="22"/>
          <w:lang w:val="sr-Latn-ME"/>
        </w:rPr>
        <w:t xml:space="preserve"> treba pažljivo koristiti kod pacijenata koji u anamnezi imaju </w:t>
      </w:r>
      <w:proofErr w:type="spellStart"/>
      <w:r w:rsidRPr="00FB15F5">
        <w:rPr>
          <w:sz w:val="22"/>
          <w:szCs w:val="22"/>
          <w:lang w:val="sr-Latn-ME"/>
        </w:rPr>
        <w:t>tromboflebitis</w:t>
      </w:r>
      <w:proofErr w:type="spellEnd"/>
      <w:r w:rsidRPr="00FB15F5">
        <w:rPr>
          <w:sz w:val="22"/>
          <w:szCs w:val="22"/>
          <w:lang w:val="sr-Latn-ME"/>
        </w:rPr>
        <w:t xml:space="preserve">, trombozu ili </w:t>
      </w:r>
      <w:proofErr w:type="spellStart"/>
      <w:r w:rsidRPr="00FB15F5">
        <w:rPr>
          <w:sz w:val="22"/>
          <w:szCs w:val="22"/>
          <w:lang w:val="sr-Latn-ME"/>
        </w:rPr>
        <w:t>tromboembolijski</w:t>
      </w:r>
      <w:proofErr w:type="spellEnd"/>
      <w:r w:rsidRPr="00FB15F5">
        <w:rPr>
          <w:sz w:val="22"/>
          <w:szCs w:val="22"/>
          <w:lang w:val="sr-Latn-ME"/>
        </w:rPr>
        <w:t xml:space="preserve"> poremećaj, posebno ako je isti bio povezan sa primjenom estrogena. Takođe je potreban oprez kod pacijenata sa </w:t>
      </w:r>
      <w:proofErr w:type="spellStart"/>
      <w:r w:rsidRPr="00FB15F5">
        <w:rPr>
          <w:sz w:val="22"/>
          <w:szCs w:val="22"/>
          <w:lang w:val="sr-Latn-ME"/>
        </w:rPr>
        <w:t>cerebrovaskularnom</w:t>
      </w:r>
      <w:proofErr w:type="spellEnd"/>
      <w:r w:rsidRPr="00FB15F5">
        <w:rPr>
          <w:sz w:val="22"/>
          <w:szCs w:val="22"/>
          <w:lang w:val="sr-Latn-ME"/>
        </w:rPr>
        <w:t xml:space="preserve"> ili koronarnom bolešću.</w:t>
      </w:r>
    </w:p>
    <w:p w14:paraId="5CDE1B92" w14:textId="77777777" w:rsidR="00CF0220" w:rsidRPr="00FB15F5" w:rsidRDefault="00CF0220" w:rsidP="009F447A">
      <w:pPr>
        <w:jc w:val="both"/>
        <w:rPr>
          <w:sz w:val="22"/>
          <w:szCs w:val="22"/>
          <w:lang w:val="sr-Latn-ME"/>
        </w:rPr>
      </w:pPr>
    </w:p>
    <w:p w14:paraId="4FD4A9F2" w14:textId="77777777" w:rsidR="00CF0220" w:rsidRPr="00FB15F5" w:rsidRDefault="00CF0220" w:rsidP="009F447A">
      <w:pPr>
        <w:jc w:val="both"/>
        <w:rPr>
          <w:b/>
          <w:sz w:val="22"/>
          <w:szCs w:val="22"/>
          <w:lang w:val="sr-Latn-ME"/>
        </w:rPr>
      </w:pPr>
      <w:r w:rsidRPr="00FB15F5">
        <w:rPr>
          <w:b/>
          <w:sz w:val="22"/>
          <w:szCs w:val="22"/>
          <w:lang w:val="sr-Latn-ME"/>
        </w:rPr>
        <w:t>Tolerancija na glukozu</w:t>
      </w:r>
    </w:p>
    <w:p w14:paraId="2C88970F" w14:textId="77777777" w:rsidR="00CF0220" w:rsidRPr="00FB15F5" w:rsidRDefault="00CF0220" w:rsidP="009F447A">
      <w:pPr>
        <w:jc w:val="both"/>
        <w:rPr>
          <w:sz w:val="22"/>
          <w:szCs w:val="22"/>
          <w:lang w:val="sr-Latn-ME"/>
        </w:rPr>
      </w:pPr>
      <w:r w:rsidRPr="00FB15F5">
        <w:rPr>
          <w:sz w:val="22"/>
          <w:szCs w:val="22"/>
          <w:lang w:val="sr-Latn-ME"/>
        </w:rPr>
        <w:t xml:space="preserve">Zbog slabijeg podnošenja glukoze, pacijente sa dijabetes </w:t>
      </w:r>
      <w:proofErr w:type="spellStart"/>
      <w:r w:rsidRPr="00FB15F5">
        <w:rPr>
          <w:sz w:val="22"/>
          <w:szCs w:val="22"/>
          <w:lang w:val="sr-Latn-ME"/>
        </w:rPr>
        <w:t>melitusom</w:t>
      </w:r>
      <w:proofErr w:type="spellEnd"/>
      <w:r w:rsidRPr="00FB15F5">
        <w:rPr>
          <w:sz w:val="22"/>
          <w:szCs w:val="22"/>
          <w:lang w:val="sr-Latn-ME"/>
        </w:rPr>
        <w:t xml:space="preserve"> treba pažljivo kontrolisati dok koriste lijek </w:t>
      </w:r>
      <w:proofErr w:type="spellStart"/>
      <w:r w:rsidRPr="00FB15F5">
        <w:rPr>
          <w:sz w:val="22"/>
          <w:szCs w:val="22"/>
          <w:lang w:val="sr-Latn-ME"/>
        </w:rPr>
        <w:t>Estracyt</w:t>
      </w:r>
      <w:proofErr w:type="spellEnd"/>
      <w:r w:rsidRPr="00FB15F5">
        <w:rPr>
          <w:sz w:val="22"/>
          <w:szCs w:val="22"/>
          <w:lang w:val="sr-Latn-ME"/>
        </w:rPr>
        <w:t>.</w:t>
      </w:r>
    </w:p>
    <w:p w14:paraId="0F17F4BE" w14:textId="77777777" w:rsidR="00CF0220" w:rsidRPr="00FB15F5" w:rsidRDefault="00CF0220" w:rsidP="009F447A">
      <w:pPr>
        <w:jc w:val="both"/>
        <w:rPr>
          <w:sz w:val="22"/>
          <w:szCs w:val="22"/>
          <w:lang w:val="sr-Latn-ME"/>
        </w:rPr>
      </w:pPr>
    </w:p>
    <w:p w14:paraId="2514CBC8" w14:textId="77777777" w:rsidR="00CF0220" w:rsidRPr="00FB15F5" w:rsidRDefault="00CF0220" w:rsidP="009F447A">
      <w:pPr>
        <w:jc w:val="both"/>
        <w:rPr>
          <w:b/>
          <w:sz w:val="22"/>
          <w:szCs w:val="22"/>
          <w:lang w:val="sr-Latn-ME"/>
        </w:rPr>
      </w:pPr>
      <w:r w:rsidRPr="00FB15F5">
        <w:rPr>
          <w:b/>
          <w:sz w:val="22"/>
          <w:szCs w:val="22"/>
          <w:lang w:val="sr-Latn-ME"/>
        </w:rPr>
        <w:t>Povišen krvni pritisak</w:t>
      </w:r>
    </w:p>
    <w:p w14:paraId="29DA7852" w14:textId="77777777" w:rsidR="00CF0220" w:rsidRPr="00FB15F5" w:rsidRDefault="00CF0220" w:rsidP="009F447A">
      <w:pPr>
        <w:jc w:val="both"/>
        <w:rPr>
          <w:sz w:val="22"/>
          <w:szCs w:val="22"/>
          <w:lang w:val="sr-Latn-ME"/>
        </w:rPr>
      </w:pPr>
      <w:r w:rsidRPr="00FB15F5">
        <w:rPr>
          <w:sz w:val="22"/>
          <w:szCs w:val="22"/>
          <w:lang w:val="sr-Latn-ME"/>
        </w:rPr>
        <w:t>Pošto može da izazove hipertenziju, potrebna je periodična kontrola krvnog pritiska.</w:t>
      </w:r>
    </w:p>
    <w:p w14:paraId="3D46B243" w14:textId="77777777" w:rsidR="00CF0220" w:rsidRPr="00FB15F5" w:rsidRDefault="00CF0220" w:rsidP="009F447A">
      <w:pPr>
        <w:jc w:val="both"/>
        <w:rPr>
          <w:color w:val="FF0000"/>
          <w:sz w:val="22"/>
          <w:szCs w:val="22"/>
          <w:lang w:val="sr-Latn-ME"/>
        </w:rPr>
      </w:pPr>
    </w:p>
    <w:p w14:paraId="5C319153" w14:textId="77777777" w:rsidR="00CF0220" w:rsidRPr="00FB15F5" w:rsidRDefault="00CF0220" w:rsidP="009F447A">
      <w:pPr>
        <w:jc w:val="both"/>
        <w:rPr>
          <w:b/>
          <w:sz w:val="22"/>
          <w:szCs w:val="22"/>
          <w:lang w:val="sr-Latn-ME"/>
        </w:rPr>
      </w:pPr>
      <w:r w:rsidRPr="00FB15F5">
        <w:rPr>
          <w:b/>
          <w:sz w:val="22"/>
          <w:szCs w:val="22"/>
          <w:lang w:val="sr-Latn-ME"/>
        </w:rPr>
        <w:t>Zadržavanje tečnosti</w:t>
      </w:r>
    </w:p>
    <w:p w14:paraId="74A106F3" w14:textId="77777777" w:rsidR="00CF0220" w:rsidRPr="00FB15F5" w:rsidRDefault="00CF0220" w:rsidP="009F447A">
      <w:pPr>
        <w:jc w:val="both"/>
        <w:rPr>
          <w:sz w:val="22"/>
          <w:szCs w:val="22"/>
          <w:lang w:val="sr-Latn-ME"/>
        </w:rPr>
      </w:pPr>
      <w:r w:rsidRPr="00FB15F5">
        <w:rPr>
          <w:sz w:val="22"/>
          <w:szCs w:val="22"/>
          <w:lang w:val="sr-Latn-ME"/>
        </w:rPr>
        <w:t xml:space="preserve">Kod nekih pacijenata koji dobijaju lijek </w:t>
      </w:r>
      <w:proofErr w:type="spellStart"/>
      <w:r w:rsidRPr="00FB15F5">
        <w:rPr>
          <w:sz w:val="22"/>
          <w:szCs w:val="22"/>
          <w:lang w:val="sr-Latn-ME"/>
        </w:rPr>
        <w:t>Estracyt</w:t>
      </w:r>
      <w:proofErr w:type="spellEnd"/>
      <w:r w:rsidRPr="00FB15F5">
        <w:rPr>
          <w:sz w:val="22"/>
          <w:szCs w:val="22"/>
          <w:lang w:val="sr-Latn-ME"/>
        </w:rPr>
        <w:t xml:space="preserve"> u terapiji zapaženo je pogoršanje prethodno postojećeg ili pojava novih perifernih </w:t>
      </w:r>
      <w:proofErr w:type="spellStart"/>
      <w:r w:rsidRPr="00FB15F5">
        <w:rPr>
          <w:sz w:val="22"/>
          <w:szCs w:val="22"/>
          <w:lang w:val="sr-Latn-ME"/>
        </w:rPr>
        <w:t>edema</w:t>
      </w:r>
      <w:proofErr w:type="spellEnd"/>
      <w:r w:rsidRPr="00FB15F5">
        <w:rPr>
          <w:sz w:val="22"/>
          <w:szCs w:val="22"/>
          <w:lang w:val="sr-Latn-ME"/>
        </w:rPr>
        <w:t xml:space="preserve"> ili </w:t>
      </w:r>
      <w:proofErr w:type="spellStart"/>
      <w:r w:rsidRPr="00FB15F5">
        <w:rPr>
          <w:sz w:val="22"/>
          <w:szCs w:val="22"/>
          <w:lang w:val="sr-Latn-ME"/>
        </w:rPr>
        <w:t>kongestivnog</w:t>
      </w:r>
      <w:proofErr w:type="spellEnd"/>
      <w:r w:rsidRPr="00FB15F5">
        <w:rPr>
          <w:sz w:val="22"/>
          <w:szCs w:val="22"/>
          <w:lang w:val="sr-Latn-ME"/>
        </w:rPr>
        <w:t xml:space="preserve"> srčanog oboljenja. Ostala stanja na koja može uticati retencija tečnosti, kao što su epilepsija, migrena, ili poremećaj funkcije bubrega, zahtijevaju pažljivo praćenje.</w:t>
      </w:r>
    </w:p>
    <w:p w14:paraId="60948466" w14:textId="77777777" w:rsidR="00CF0220" w:rsidRPr="00FB15F5" w:rsidRDefault="00CF0220" w:rsidP="009F447A">
      <w:pPr>
        <w:jc w:val="both"/>
        <w:rPr>
          <w:color w:val="FF0000"/>
          <w:sz w:val="22"/>
          <w:szCs w:val="22"/>
          <w:lang w:val="sr-Latn-ME"/>
        </w:rPr>
      </w:pPr>
    </w:p>
    <w:p w14:paraId="3CA81B17" w14:textId="77777777" w:rsidR="00CF0220" w:rsidRPr="00FB15F5" w:rsidRDefault="00CF0220" w:rsidP="009F447A">
      <w:pPr>
        <w:jc w:val="both"/>
        <w:rPr>
          <w:b/>
          <w:sz w:val="22"/>
          <w:szCs w:val="22"/>
          <w:lang w:val="sr-Latn-ME"/>
        </w:rPr>
      </w:pPr>
      <w:r w:rsidRPr="00FB15F5">
        <w:rPr>
          <w:b/>
          <w:sz w:val="22"/>
          <w:szCs w:val="22"/>
          <w:lang w:val="sr-Latn-ME"/>
        </w:rPr>
        <w:t>Metabolizam kalcijuma/fosfora</w:t>
      </w:r>
    </w:p>
    <w:p w14:paraId="09DBB266" w14:textId="182419A0" w:rsidR="00CF0220" w:rsidRPr="00FB15F5" w:rsidRDefault="00CF0220" w:rsidP="009F447A">
      <w:pPr>
        <w:tabs>
          <w:tab w:val="left" w:pos="540"/>
          <w:tab w:val="left" w:pos="569"/>
        </w:tabs>
        <w:jc w:val="both"/>
        <w:rPr>
          <w:sz w:val="22"/>
          <w:szCs w:val="22"/>
          <w:lang w:val="sr-Latn-ME"/>
        </w:rPr>
      </w:pPr>
      <w:r w:rsidRPr="00FB15F5">
        <w:rPr>
          <w:sz w:val="22"/>
          <w:szCs w:val="22"/>
          <w:lang w:val="sr-Latn-ME"/>
        </w:rPr>
        <w:t xml:space="preserve">Lijek </w:t>
      </w:r>
      <w:proofErr w:type="spellStart"/>
      <w:r w:rsidRPr="00FB15F5">
        <w:rPr>
          <w:sz w:val="22"/>
          <w:szCs w:val="22"/>
          <w:lang w:val="sr-Latn-ME"/>
        </w:rPr>
        <w:t>Estracyt</w:t>
      </w:r>
      <w:proofErr w:type="spellEnd"/>
      <w:r w:rsidRPr="00FB15F5">
        <w:rPr>
          <w:sz w:val="22"/>
          <w:szCs w:val="22"/>
          <w:lang w:val="sr-Latn-ME"/>
        </w:rPr>
        <w:t xml:space="preserve"> može da utiče na metabolizam kalcijuma i fosfora i zbog toga se mora pažljivo primjenjivati kod pacijenata sa </w:t>
      </w:r>
      <w:proofErr w:type="spellStart"/>
      <w:r w:rsidRPr="00FB15F5">
        <w:rPr>
          <w:sz w:val="22"/>
          <w:szCs w:val="22"/>
          <w:lang w:val="sr-Latn-ME"/>
        </w:rPr>
        <w:t>metaboličkim</w:t>
      </w:r>
      <w:proofErr w:type="spellEnd"/>
      <w:r w:rsidRPr="00FB15F5">
        <w:rPr>
          <w:sz w:val="22"/>
          <w:szCs w:val="22"/>
          <w:lang w:val="sr-Latn-ME"/>
        </w:rPr>
        <w:t xml:space="preserve"> oboljenjima kostiju koja su udružena sa </w:t>
      </w:r>
      <w:proofErr w:type="spellStart"/>
      <w:r w:rsidRPr="00FB15F5">
        <w:rPr>
          <w:sz w:val="22"/>
          <w:szCs w:val="22"/>
          <w:lang w:val="sr-Latn-ME"/>
        </w:rPr>
        <w:t>hiperkalcemijom</w:t>
      </w:r>
      <w:proofErr w:type="spellEnd"/>
      <w:r w:rsidRPr="00FB15F5">
        <w:rPr>
          <w:sz w:val="22"/>
          <w:szCs w:val="22"/>
          <w:lang w:val="sr-Latn-ME"/>
        </w:rPr>
        <w:t xml:space="preserve"> ili kod pacijenata sa </w:t>
      </w:r>
      <w:proofErr w:type="spellStart"/>
      <w:r w:rsidRPr="00FB15F5">
        <w:rPr>
          <w:sz w:val="22"/>
          <w:szCs w:val="22"/>
          <w:lang w:val="sr-Latn-ME"/>
        </w:rPr>
        <w:t>renalnom</w:t>
      </w:r>
      <w:proofErr w:type="spellEnd"/>
      <w:r w:rsidRPr="00FB15F5">
        <w:rPr>
          <w:sz w:val="22"/>
          <w:szCs w:val="22"/>
          <w:lang w:val="sr-Latn-ME"/>
        </w:rPr>
        <w:t xml:space="preserve"> </w:t>
      </w:r>
      <w:proofErr w:type="spellStart"/>
      <w:r w:rsidRPr="00FB15F5">
        <w:rPr>
          <w:sz w:val="22"/>
          <w:szCs w:val="22"/>
          <w:lang w:val="sr-Latn-ME"/>
        </w:rPr>
        <w:t>insuficijencijom</w:t>
      </w:r>
      <w:proofErr w:type="spellEnd"/>
      <w:r w:rsidRPr="00FB15F5">
        <w:rPr>
          <w:sz w:val="22"/>
          <w:szCs w:val="22"/>
          <w:lang w:val="sr-Latn-ME"/>
        </w:rPr>
        <w:t xml:space="preserve">. Rizik od </w:t>
      </w:r>
      <w:proofErr w:type="spellStart"/>
      <w:r w:rsidRPr="00FB15F5">
        <w:rPr>
          <w:sz w:val="22"/>
          <w:szCs w:val="22"/>
          <w:lang w:val="sr-Latn-ME"/>
        </w:rPr>
        <w:t>hipokalcemije</w:t>
      </w:r>
      <w:proofErr w:type="spellEnd"/>
      <w:r w:rsidRPr="00FB15F5">
        <w:rPr>
          <w:sz w:val="22"/>
          <w:szCs w:val="22"/>
          <w:lang w:val="sr-Latn-ME"/>
        </w:rPr>
        <w:t xml:space="preserve"> javlja se kod pacijenata sa </w:t>
      </w:r>
      <w:proofErr w:type="spellStart"/>
      <w:r w:rsidRPr="00FB15F5">
        <w:rPr>
          <w:sz w:val="22"/>
          <w:szCs w:val="22"/>
          <w:lang w:val="sr-Latn-ME"/>
        </w:rPr>
        <w:t>karcinomom</w:t>
      </w:r>
      <w:proofErr w:type="spellEnd"/>
      <w:r w:rsidRPr="00FB15F5">
        <w:rPr>
          <w:sz w:val="22"/>
          <w:szCs w:val="22"/>
          <w:lang w:val="sr-Latn-ME"/>
        </w:rPr>
        <w:t xml:space="preserve"> prostate i </w:t>
      </w:r>
      <w:proofErr w:type="spellStart"/>
      <w:r w:rsidRPr="00FB15F5">
        <w:rPr>
          <w:sz w:val="22"/>
          <w:szCs w:val="22"/>
          <w:lang w:val="sr-Latn-ME"/>
        </w:rPr>
        <w:t>osteoblastičnim</w:t>
      </w:r>
      <w:proofErr w:type="spellEnd"/>
      <w:r w:rsidRPr="00FB15F5">
        <w:rPr>
          <w:sz w:val="22"/>
          <w:szCs w:val="22"/>
          <w:lang w:val="sr-Latn-ME"/>
        </w:rPr>
        <w:t xml:space="preserve"> metastazama, pa je kod njih potrebno strogo kontrolisati nivo kalcijuma.</w:t>
      </w:r>
    </w:p>
    <w:p w14:paraId="10863D77" w14:textId="77777777" w:rsidR="00CF0220" w:rsidRPr="00FB15F5" w:rsidRDefault="00CF0220" w:rsidP="009F447A">
      <w:pPr>
        <w:tabs>
          <w:tab w:val="left" w:pos="540"/>
          <w:tab w:val="left" w:pos="569"/>
        </w:tabs>
        <w:jc w:val="both"/>
        <w:rPr>
          <w:sz w:val="22"/>
          <w:szCs w:val="22"/>
          <w:u w:val="single"/>
          <w:lang w:val="sr-Latn-ME"/>
        </w:rPr>
      </w:pPr>
    </w:p>
    <w:p w14:paraId="35E87100" w14:textId="77777777" w:rsidR="00CF0220" w:rsidRPr="00FB15F5" w:rsidRDefault="00CF0220" w:rsidP="009F447A">
      <w:pPr>
        <w:jc w:val="both"/>
        <w:rPr>
          <w:sz w:val="22"/>
          <w:szCs w:val="22"/>
          <w:lang w:val="sr-Latn-ME"/>
        </w:rPr>
      </w:pPr>
      <w:r w:rsidRPr="00FB15F5">
        <w:rPr>
          <w:sz w:val="22"/>
          <w:szCs w:val="22"/>
          <w:lang w:val="sr-Latn-ME"/>
        </w:rPr>
        <w:t xml:space="preserve">Lijek </w:t>
      </w:r>
      <w:proofErr w:type="spellStart"/>
      <w:r w:rsidRPr="00FB15F5">
        <w:rPr>
          <w:sz w:val="22"/>
          <w:szCs w:val="22"/>
          <w:lang w:val="sr-Latn-ME"/>
        </w:rPr>
        <w:t>Estracyt</w:t>
      </w:r>
      <w:proofErr w:type="spellEnd"/>
      <w:r w:rsidRPr="00FB15F5">
        <w:rPr>
          <w:sz w:val="22"/>
          <w:szCs w:val="22"/>
          <w:lang w:val="sr-Latn-ME"/>
        </w:rPr>
        <w:t xml:space="preserve"> se slabo </w:t>
      </w:r>
      <w:proofErr w:type="spellStart"/>
      <w:r w:rsidRPr="00FB15F5">
        <w:rPr>
          <w:sz w:val="22"/>
          <w:szCs w:val="22"/>
          <w:lang w:val="sr-Latn-ME"/>
        </w:rPr>
        <w:t>metaboliše</w:t>
      </w:r>
      <w:proofErr w:type="spellEnd"/>
      <w:r w:rsidRPr="00FB15F5">
        <w:rPr>
          <w:sz w:val="22"/>
          <w:szCs w:val="22"/>
          <w:lang w:val="sr-Latn-ME"/>
        </w:rPr>
        <w:t xml:space="preserve"> kod pacijenata sa oslabljenom funkcijom jetre, pa se kod ovih pacijenata mora oprezno primjenjivati. Testove funkcije jetre treba obavljati u redovnim intervalima.</w:t>
      </w:r>
    </w:p>
    <w:p w14:paraId="3143CFC3" w14:textId="77777777" w:rsidR="00CF0220" w:rsidRPr="00FB15F5" w:rsidRDefault="00CF0220" w:rsidP="009F447A">
      <w:pPr>
        <w:jc w:val="both"/>
        <w:rPr>
          <w:color w:val="FF0000"/>
          <w:sz w:val="22"/>
          <w:szCs w:val="22"/>
          <w:lang w:val="sr-Latn-ME"/>
        </w:rPr>
      </w:pPr>
    </w:p>
    <w:p w14:paraId="11863F9D" w14:textId="77777777" w:rsidR="00CF0220" w:rsidRPr="00FB15F5" w:rsidRDefault="00CF0220" w:rsidP="009F447A">
      <w:pPr>
        <w:jc w:val="both"/>
        <w:rPr>
          <w:sz w:val="22"/>
          <w:szCs w:val="22"/>
          <w:lang w:val="sr-Latn-ME"/>
        </w:rPr>
      </w:pPr>
      <w:r w:rsidRPr="00FB15F5">
        <w:rPr>
          <w:b/>
          <w:sz w:val="22"/>
          <w:szCs w:val="22"/>
          <w:lang w:val="sr-Latn-ME"/>
        </w:rPr>
        <w:t xml:space="preserve">Napomena: </w:t>
      </w:r>
      <w:r w:rsidRPr="00FB15F5">
        <w:rPr>
          <w:sz w:val="22"/>
          <w:szCs w:val="22"/>
          <w:lang w:val="sr-Latn-ME"/>
        </w:rPr>
        <w:t>Pošto ljekovi koji sadrže estrogen utiču na određene endokrine funkcije i funkciju jetre, moguć je njihov uticaj i na vrijednosti laboratorijskih testova.</w:t>
      </w:r>
    </w:p>
    <w:p w14:paraId="6643205B" w14:textId="77777777" w:rsidR="00CF0220" w:rsidRPr="00FB15F5" w:rsidRDefault="00CF0220" w:rsidP="009F447A">
      <w:pPr>
        <w:jc w:val="both"/>
        <w:rPr>
          <w:sz w:val="22"/>
          <w:szCs w:val="22"/>
          <w:lang w:val="sr-Latn-ME"/>
        </w:rPr>
      </w:pPr>
    </w:p>
    <w:p w14:paraId="383D3759" w14:textId="77777777" w:rsidR="00CF0220" w:rsidRPr="00FB15F5" w:rsidRDefault="00CF0220" w:rsidP="009F447A">
      <w:pPr>
        <w:jc w:val="both"/>
        <w:rPr>
          <w:sz w:val="22"/>
          <w:szCs w:val="22"/>
          <w:lang w:val="sr-Latn-ME"/>
        </w:rPr>
      </w:pPr>
      <w:proofErr w:type="spellStart"/>
      <w:r w:rsidRPr="00FB15F5">
        <w:rPr>
          <w:b/>
          <w:sz w:val="22"/>
          <w:szCs w:val="22"/>
          <w:lang w:val="sr-Latn-ME"/>
        </w:rPr>
        <w:t>Imunosupresivno</w:t>
      </w:r>
      <w:proofErr w:type="spellEnd"/>
      <w:r w:rsidRPr="00FB15F5">
        <w:rPr>
          <w:b/>
          <w:sz w:val="22"/>
          <w:szCs w:val="22"/>
          <w:lang w:val="sr-Latn-ME"/>
        </w:rPr>
        <w:t xml:space="preserve"> dejstvo/povećana sklonost ka infekcijama</w:t>
      </w:r>
      <w:r w:rsidRPr="00FB15F5">
        <w:rPr>
          <w:sz w:val="22"/>
          <w:szCs w:val="22"/>
          <w:lang w:val="sr-Latn-ME"/>
        </w:rPr>
        <w:t xml:space="preserve"> </w:t>
      </w:r>
    </w:p>
    <w:p w14:paraId="1F812794" w14:textId="77777777" w:rsidR="00CF0220" w:rsidRPr="00FB15F5" w:rsidRDefault="00CF0220" w:rsidP="009F447A">
      <w:pPr>
        <w:jc w:val="both"/>
        <w:rPr>
          <w:sz w:val="22"/>
          <w:szCs w:val="22"/>
          <w:lang w:val="sr-Latn-ME"/>
        </w:rPr>
      </w:pPr>
      <w:r w:rsidRPr="00FB15F5">
        <w:rPr>
          <w:sz w:val="22"/>
          <w:szCs w:val="22"/>
          <w:lang w:val="sr-Latn-ME"/>
        </w:rPr>
        <w:t>Primjena živih ili živih-</w:t>
      </w:r>
      <w:proofErr w:type="spellStart"/>
      <w:r w:rsidRPr="00FB15F5">
        <w:rPr>
          <w:sz w:val="22"/>
          <w:szCs w:val="22"/>
          <w:lang w:val="sr-Latn-ME"/>
        </w:rPr>
        <w:t>atenuisanih</w:t>
      </w:r>
      <w:proofErr w:type="spellEnd"/>
      <w:r w:rsidRPr="00FB15F5">
        <w:rPr>
          <w:sz w:val="22"/>
          <w:szCs w:val="22"/>
          <w:lang w:val="sr-Latn-ME"/>
        </w:rPr>
        <w:t xml:space="preserve"> vakcina kod pacijenata </w:t>
      </w:r>
      <w:proofErr w:type="spellStart"/>
      <w:r w:rsidRPr="00FB15F5">
        <w:rPr>
          <w:sz w:val="22"/>
          <w:szCs w:val="22"/>
          <w:lang w:val="sr-Latn-ME"/>
        </w:rPr>
        <w:t>imunokompromitovanih</w:t>
      </w:r>
      <w:proofErr w:type="spellEnd"/>
      <w:r w:rsidRPr="00FB15F5">
        <w:rPr>
          <w:sz w:val="22"/>
          <w:szCs w:val="22"/>
          <w:lang w:val="sr-Latn-ME"/>
        </w:rPr>
        <w:t xml:space="preserve"> primjenom </w:t>
      </w:r>
      <w:proofErr w:type="spellStart"/>
      <w:r w:rsidRPr="00FB15F5">
        <w:rPr>
          <w:sz w:val="22"/>
          <w:szCs w:val="22"/>
          <w:lang w:val="sr-Latn-ME"/>
        </w:rPr>
        <w:t>hemoterapijskih</w:t>
      </w:r>
      <w:proofErr w:type="spellEnd"/>
      <w:r w:rsidRPr="00FB15F5">
        <w:rPr>
          <w:sz w:val="22"/>
          <w:szCs w:val="22"/>
          <w:lang w:val="sr-Latn-ME"/>
        </w:rPr>
        <w:t xml:space="preserve"> </w:t>
      </w:r>
      <w:proofErr w:type="spellStart"/>
      <w:r w:rsidRPr="00FB15F5">
        <w:rPr>
          <w:sz w:val="22"/>
          <w:szCs w:val="22"/>
          <w:lang w:val="sr-Latn-ME"/>
        </w:rPr>
        <w:t>agenasa</w:t>
      </w:r>
      <w:proofErr w:type="spellEnd"/>
      <w:r w:rsidRPr="00FB15F5">
        <w:rPr>
          <w:sz w:val="22"/>
          <w:szCs w:val="22"/>
          <w:lang w:val="sr-Latn-ME"/>
        </w:rPr>
        <w:t xml:space="preserve"> uključujući i </w:t>
      </w:r>
      <w:proofErr w:type="spellStart"/>
      <w:r w:rsidRPr="00FB15F5">
        <w:rPr>
          <w:sz w:val="22"/>
          <w:szCs w:val="22"/>
          <w:lang w:val="sr-Latn-ME"/>
        </w:rPr>
        <w:t>estramustin</w:t>
      </w:r>
      <w:proofErr w:type="spellEnd"/>
      <w:r w:rsidRPr="00FB15F5">
        <w:rPr>
          <w:sz w:val="22"/>
          <w:szCs w:val="22"/>
          <w:lang w:val="sr-Latn-ME"/>
        </w:rPr>
        <w:t xml:space="preserve">, može dovesti do ozbiljnih ili fatalnih infekcija. Kod pacijenata koji primaju </w:t>
      </w:r>
      <w:proofErr w:type="spellStart"/>
      <w:r w:rsidRPr="00FB15F5">
        <w:rPr>
          <w:sz w:val="22"/>
          <w:szCs w:val="22"/>
          <w:lang w:val="sr-Latn-ME"/>
        </w:rPr>
        <w:t>estramustin</w:t>
      </w:r>
      <w:proofErr w:type="spellEnd"/>
      <w:r w:rsidRPr="00FB15F5">
        <w:rPr>
          <w:sz w:val="22"/>
          <w:szCs w:val="22"/>
          <w:lang w:val="sr-Latn-ME"/>
        </w:rPr>
        <w:t xml:space="preserve"> treba izbjegavati vakcinaciju živim vakcinama. Mrtve ili </w:t>
      </w:r>
      <w:proofErr w:type="spellStart"/>
      <w:r w:rsidRPr="00FB15F5">
        <w:rPr>
          <w:sz w:val="22"/>
          <w:szCs w:val="22"/>
          <w:lang w:val="sr-Latn-ME"/>
        </w:rPr>
        <w:t>inaktivisane</w:t>
      </w:r>
      <w:proofErr w:type="spellEnd"/>
      <w:r w:rsidRPr="00FB15F5">
        <w:rPr>
          <w:sz w:val="22"/>
          <w:szCs w:val="22"/>
          <w:lang w:val="sr-Latn-ME"/>
        </w:rPr>
        <w:t xml:space="preserve"> vakcine mogu se primjenjivati; međutim, odgovor na takve vakcine može biti umanjen.</w:t>
      </w:r>
    </w:p>
    <w:p w14:paraId="38D80EDD" w14:textId="77777777" w:rsidR="00CF0220" w:rsidRPr="00FB15F5" w:rsidRDefault="00CF0220" w:rsidP="009F447A">
      <w:pPr>
        <w:jc w:val="both"/>
        <w:rPr>
          <w:sz w:val="22"/>
          <w:szCs w:val="22"/>
          <w:lang w:val="sr-Latn-ME"/>
        </w:rPr>
      </w:pPr>
    </w:p>
    <w:p w14:paraId="53BF13AB" w14:textId="77777777" w:rsidR="00CF0220" w:rsidRPr="00FB15F5" w:rsidRDefault="00CF0220" w:rsidP="009F447A">
      <w:pPr>
        <w:jc w:val="both"/>
        <w:rPr>
          <w:sz w:val="22"/>
          <w:szCs w:val="22"/>
          <w:u w:val="single"/>
          <w:lang w:val="sr-Latn-ME"/>
        </w:rPr>
      </w:pPr>
      <w:r w:rsidRPr="00FB15F5">
        <w:rPr>
          <w:sz w:val="22"/>
          <w:szCs w:val="22"/>
          <w:u w:val="single"/>
          <w:lang w:val="sr-Latn-ME"/>
        </w:rPr>
        <w:t>Informacije o pomoćnim supstancama sa potvrđenim dejstvom</w:t>
      </w:r>
    </w:p>
    <w:p w14:paraId="646269BA" w14:textId="77777777" w:rsidR="00CF0220" w:rsidRPr="00FB15F5" w:rsidRDefault="00CF0220" w:rsidP="009F447A">
      <w:pPr>
        <w:jc w:val="both"/>
        <w:rPr>
          <w:sz w:val="22"/>
          <w:szCs w:val="22"/>
          <w:lang w:val="sr-Latn-ME"/>
        </w:rPr>
      </w:pPr>
      <w:r w:rsidRPr="00FB15F5">
        <w:rPr>
          <w:sz w:val="22"/>
          <w:szCs w:val="22"/>
          <w:lang w:val="sr-Latn-ME"/>
        </w:rPr>
        <w:t>Ovaj lijek sadrži manje od 1 </w:t>
      </w:r>
      <w:proofErr w:type="spellStart"/>
      <w:r w:rsidRPr="00FB15F5">
        <w:rPr>
          <w:sz w:val="22"/>
          <w:szCs w:val="22"/>
          <w:lang w:val="sr-Latn-ME"/>
        </w:rPr>
        <w:t>mmol</w:t>
      </w:r>
      <w:proofErr w:type="spellEnd"/>
      <w:r w:rsidRPr="00FB15F5">
        <w:rPr>
          <w:sz w:val="22"/>
          <w:szCs w:val="22"/>
          <w:lang w:val="sr-Latn-ME"/>
        </w:rPr>
        <w:t xml:space="preserve"> natrijuma (23 mg) po kapsuli, što u suštini znači da je „bez natrijuma“.</w:t>
      </w:r>
    </w:p>
    <w:p w14:paraId="3928AD6A" w14:textId="77777777" w:rsidR="00057E35" w:rsidRPr="00FB15F5" w:rsidRDefault="00057E35" w:rsidP="00480FB1">
      <w:pPr>
        <w:tabs>
          <w:tab w:val="left" w:pos="540"/>
          <w:tab w:val="left" w:pos="569"/>
        </w:tabs>
        <w:rPr>
          <w:bCs/>
          <w:sz w:val="22"/>
          <w:szCs w:val="22"/>
          <w:lang w:val="sr-Latn-ME"/>
        </w:rPr>
      </w:pPr>
    </w:p>
    <w:p w14:paraId="68918071" w14:textId="77777777" w:rsidR="00411B4B" w:rsidRPr="00FB15F5" w:rsidRDefault="00411B4B" w:rsidP="00480FB1">
      <w:pPr>
        <w:tabs>
          <w:tab w:val="left" w:pos="540"/>
          <w:tab w:val="left" w:pos="569"/>
        </w:tabs>
        <w:rPr>
          <w:b/>
          <w:bCs/>
          <w:sz w:val="22"/>
          <w:szCs w:val="22"/>
          <w:lang w:val="sr-Latn-ME"/>
        </w:rPr>
      </w:pPr>
      <w:r w:rsidRPr="00FB15F5">
        <w:rPr>
          <w:b/>
          <w:bCs/>
          <w:sz w:val="22"/>
          <w:szCs w:val="22"/>
          <w:lang w:val="sr-Latn-ME"/>
        </w:rPr>
        <w:t>4.5.</w:t>
      </w:r>
      <w:r w:rsidR="000D60CC" w:rsidRPr="00FB15F5">
        <w:rPr>
          <w:b/>
          <w:bCs/>
          <w:sz w:val="22"/>
          <w:szCs w:val="22"/>
          <w:lang w:val="sr-Latn-ME"/>
        </w:rPr>
        <w:tab/>
      </w:r>
      <w:r w:rsidRPr="00FB15F5">
        <w:rPr>
          <w:b/>
          <w:bCs/>
          <w:sz w:val="22"/>
          <w:szCs w:val="22"/>
          <w:lang w:val="sr-Latn-ME"/>
        </w:rPr>
        <w:t>Interakcije sa drugim ljekovima i druge vrste interakcija</w:t>
      </w:r>
    </w:p>
    <w:p w14:paraId="6D0A78AF" w14:textId="77777777" w:rsidR="00936B6E" w:rsidRPr="00FB15F5" w:rsidRDefault="00936B6E" w:rsidP="00480FB1">
      <w:pPr>
        <w:tabs>
          <w:tab w:val="left" w:pos="540"/>
          <w:tab w:val="left" w:pos="569"/>
        </w:tabs>
        <w:rPr>
          <w:b/>
          <w:bCs/>
          <w:sz w:val="22"/>
          <w:szCs w:val="22"/>
          <w:lang w:val="sr-Latn-ME"/>
        </w:rPr>
      </w:pPr>
    </w:p>
    <w:p w14:paraId="557D90EA" w14:textId="77777777" w:rsidR="00936B6E" w:rsidRPr="00FB15F5" w:rsidRDefault="00936B6E" w:rsidP="009F447A">
      <w:pPr>
        <w:jc w:val="both"/>
        <w:rPr>
          <w:sz w:val="22"/>
          <w:szCs w:val="22"/>
          <w:lang w:val="sr-Latn-ME"/>
        </w:rPr>
      </w:pPr>
      <w:r w:rsidRPr="00FB15F5">
        <w:rPr>
          <w:sz w:val="22"/>
          <w:szCs w:val="22"/>
          <w:lang w:val="sr-Latn-ME"/>
        </w:rPr>
        <w:t xml:space="preserve">Opisano je da estrogeni povećavaju terapijsku aktivnost i toksičnost </w:t>
      </w:r>
      <w:proofErr w:type="spellStart"/>
      <w:r w:rsidRPr="00FB15F5">
        <w:rPr>
          <w:sz w:val="22"/>
          <w:szCs w:val="22"/>
          <w:lang w:val="sr-Latn-ME"/>
        </w:rPr>
        <w:t>tricikličnih</w:t>
      </w:r>
      <w:proofErr w:type="spellEnd"/>
      <w:r w:rsidRPr="00FB15F5">
        <w:rPr>
          <w:sz w:val="22"/>
          <w:szCs w:val="22"/>
          <w:lang w:val="sr-Latn-ME"/>
        </w:rPr>
        <w:t xml:space="preserve"> </w:t>
      </w:r>
      <w:proofErr w:type="spellStart"/>
      <w:r w:rsidRPr="00FB15F5">
        <w:rPr>
          <w:sz w:val="22"/>
          <w:szCs w:val="22"/>
          <w:lang w:val="sr-Latn-ME"/>
        </w:rPr>
        <w:t>antidepresiva</w:t>
      </w:r>
      <w:proofErr w:type="spellEnd"/>
      <w:r w:rsidRPr="00FB15F5">
        <w:rPr>
          <w:sz w:val="22"/>
          <w:szCs w:val="22"/>
          <w:lang w:val="sr-Latn-ME"/>
        </w:rPr>
        <w:t>, najvjerovatnije uslijed inhibicije njihovog metabolizma.</w:t>
      </w:r>
    </w:p>
    <w:p w14:paraId="4D2D4D5B" w14:textId="77777777" w:rsidR="00936B6E" w:rsidRPr="00FB15F5" w:rsidRDefault="00936B6E" w:rsidP="009F447A">
      <w:pPr>
        <w:jc w:val="both"/>
        <w:rPr>
          <w:sz w:val="22"/>
          <w:szCs w:val="22"/>
          <w:lang w:val="sr-Latn-ME"/>
        </w:rPr>
      </w:pPr>
    </w:p>
    <w:p w14:paraId="5DFD688F" w14:textId="77777777" w:rsidR="00936B6E" w:rsidRPr="00FB15F5" w:rsidRDefault="00936B6E" w:rsidP="009F447A">
      <w:pPr>
        <w:jc w:val="both"/>
        <w:rPr>
          <w:sz w:val="22"/>
          <w:szCs w:val="22"/>
          <w:lang w:val="sr-Latn-ME"/>
        </w:rPr>
      </w:pPr>
      <w:r w:rsidRPr="00FB15F5">
        <w:rPr>
          <w:sz w:val="22"/>
          <w:szCs w:val="22"/>
          <w:lang w:val="sr-Latn-ME"/>
        </w:rPr>
        <w:t xml:space="preserve">Mlijeko, mlječni proizvodi ili ljekovi koji sadrže kalcijum, magnezijum ili aluminijum mogu oslabiti resorpciju </w:t>
      </w:r>
      <w:proofErr w:type="spellStart"/>
      <w:r w:rsidRPr="00FB15F5">
        <w:rPr>
          <w:sz w:val="22"/>
          <w:szCs w:val="22"/>
          <w:lang w:val="sr-Latn-ME"/>
        </w:rPr>
        <w:t>estramustina</w:t>
      </w:r>
      <w:proofErr w:type="spellEnd"/>
      <w:r w:rsidRPr="00FB15F5">
        <w:rPr>
          <w:sz w:val="22"/>
          <w:szCs w:val="22"/>
          <w:lang w:val="sr-Latn-ME"/>
        </w:rPr>
        <w:t xml:space="preserve">, pa se istovremena upotreba ovih elemenata mora izbjegavati. </w:t>
      </w:r>
      <w:proofErr w:type="spellStart"/>
      <w:r w:rsidRPr="00FB15F5">
        <w:rPr>
          <w:sz w:val="22"/>
          <w:szCs w:val="22"/>
          <w:lang w:val="sr-Latn-ME"/>
        </w:rPr>
        <w:t>Estramustin</w:t>
      </w:r>
      <w:proofErr w:type="spellEnd"/>
      <w:r w:rsidRPr="00FB15F5">
        <w:rPr>
          <w:sz w:val="22"/>
          <w:szCs w:val="22"/>
          <w:lang w:val="sr-Latn-ME"/>
        </w:rPr>
        <w:t xml:space="preserve"> formira </w:t>
      </w:r>
      <w:proofErr w:type="spellStart"/>
      <w:r w:rsidRPr="00FB15F5">
        <w:rPr>
          <w:sz w:val="22"/>
          <w:szCs w:val="22"/>
          <w:lang w:val="sr-Latn-ME"/>
        </w:rPr>
        <w:t>nerastvorljive</w:t>
      </w:r>
      <w:proofErr w:type="spellEnd"/>
      <w:r w:rsidRPr="00FB15F5">
        <w:rPr>
          <w:sz w:val="22"/>
          <w:szCs w:val="22"/>
          <w:lang w:val="sr-Latn-ME"/>
        </w:rPr>
        <w:t xml:space="preserve"> soli sa polivalentnim jonima metala i to je mehanizam koji stoji iza ovih interakcija. </w:t>
      </w:r>
    </w:p>
    <w:p w14:paraId="5DA1213F" w14:textId="77777777" w:rsidR="00936B6E" w:rsidRPr="00FB15F5" w:rsidRDefault="00936B6E" w:rsidP="009F447A">
      <w:pPr>
        <w:jc w:val="both"/>
        <w:rPr>
          <w:sz w:val="22"/>
          <w:szCs w:val="22"/>
          <w:lang w:val="sr-Latn-ME"/>
        </w:rPr>
      </w:pPr>
    </w:p>
    <w:p w14:paraId="09854BED" w14:textId="7ABD923E" w:rsidR="00936B6E" w:rsidRPr="00FB15F5" w:rsidRDefault="00936B6E" w:rsidP="009F447A">
      <w:pPr>
        <w:pStyle w:val="Header"/>
        <w:tabs>
          <w:tab w:val="left" w:pos="284"/>
        </w:tabs>
        <w:jc w:val="both"/>
        <w:rPr>
          <w:sz w:val="22"/>
          <w:szCs w:val="22"/>
          <w:lang w:val="sr-Latn-ME"/>
        </w:rPr>
      </w:pPr>
      <w:r w:rsidRPr="00FB15F5">
        <w:rPr>
          <w:sz w:val="22"/>
          <w:szCs w:val="22"/>
          <w:lang w:val="sr-Latn-ME"/>
        </w:rPr>
        <w:t xml:space="preserve">Ne može se isključiti interakcija između </w:t>
      </w:r>
      <w:proofErr w:type="spellStart"/>
      <w:r w:rsidRPr="00FB15F5">
        <w:rPr>
          <w:sz w:val="22"/>
          <w:szCs w:val="22"/>
          <w:lang w:val="sr-Latn-ME"/>
        </w:rPr>
        <w:t>estramustina</w:t>
      </w:r>
      <w:proofErr w:type="spellEnd"/>
      <w:r w:rsidRPr="00FB15F5">
        <w:rPr>
          <w:sz w:val="22"/>
          <w:szCs w:val="22"/>
          <w:lang w:val="sr-Latn-ME"/>
        </w:rPr>
        <w:t xml:space="preserve"> i ACE </w:t>
      </w:r>
      <w:proofErr w:type="spellStart"/>
      <w:r w:rsidRPr="00FB15F5">
        <w:rPr>
          <w:sz w:val="22"/>
          <w:szCs w:val="22"/>
          <w:lang w:val="sr-Latn-ME"/>
        </w:rPr>
        <w:t>inhibitora</w:t>
      </w:r>
      <w:proofErr w:type="spellEnd"/>
      <w:r w:rsidRPr="00FB15F5">
        <w:rPr>
          <w:sz w:val="22"/>
          <w:szCs w:val="22"/>
          <w:lang w:val="sr-Latn-ME"/>
        </w:rPr>
        <w:t xml:space="preserve">, koja može dovesti do povećanog rizika od nastanka </w:t>
      </w:r>
      <w:proofErr w:type="spellStart"/>
      <w:r w:rsidRPr="00FB15F5">
        <w:rPr>
          <w:sz w:val="22"/>
          <w:szCs w:val="22"/>
          <w:lang w:val="sr-Latn-ME"/>
        </w:rPr>
        <w:t>angioneurotskog</w:t>
      </w:r>
      <w:proofErr w:type="spellEnd"/>
      <w:r w:rsidRPr="00FB15F5">
        <w:rPr>
          <w:sz w:val="22"/>
          <w:szCs w:val="22"/>
          <w:lang w:val="sr-Latn-ME"/>
        </w:rPr>
        <w:t xml:space="preserve"> </w:t>
      </w:r>
      <w:proofErr w:type="spellStart"/>
      <w:r w:rsidRPr="00FB15F5">
        <w:rPr>
          <w:sz w:val="22"/>
          <w:szCs w:val="22"/>
          <w:lang w:val="sr-Latn-ME"/>
        </w:rPr>
        <w:t>edema</w:t>
      </w:r>
      <w:proofErr w:type="spellEnd"/>
      <w:r w:rsidRPr="00FB15F5">
        <w:rPr>
          <w:sz w:val="22"/>
          <w:szCs w:val="22"/>
          <w:lang w:val="sr-Latn-ME"/>
        </w:rPr>
        <w:t xml:space="preserve"> (vidjeti dio 4.8).</w:t>
      </w:r>
    </w:p>
    <w:p w14:paraId="30F94D16" w14:textId="77777777" w:rsidR="0072020E" w:rsidRPr="00FB15F5" w:rsidRDefault="0072020E" w:rsidP="009F447A">
      <w:pPr>
        <w:tabs>
          <w:tab w:val="left" w:pos="540"/>
          <w:tab w:val="left" w:pos="569"/>
        </w:tabs>
        <w:jc w:val="both"/>
        <w:rPr>
          <w:bCs/>
          <w:sz w:val="22"/>
          <w:szCs w:val="22"/>
          <w:lang w:val="sr-Latn-ME"/>
        </w:rPr>
      </w:pPr>
    </w:p>
    <w:p w14:paraId="670F1D41" w14:textId="77777777" w:rsidR="0072020E" w:rsidRPr="00FB15F5" w:rsidRDefault="0072020E" w:rsidP="009F447A">
      <w:pPr>
        <w:tabs>
          <w:tab w:val="left" w:pos="540"/>
          <w:tab w:val="left" w:pos="569"/>
        </w:tabs>
        <w:jc w:val="both"/>
        <w:rPr>
          <w:b/>
          <w:sz w:val="22"/>
          <w:szCs w:val="22"/>
          <w:lang w:val="sr-Latn-ME"/>
        </w:rPr>
      </w:pPr>
      <w:r w:rsidRPr="00FB15F5">
        <w:rPr>
          <w:b/>
          <w:bCs/>
          <w:sz w:val="22"/>
          <w:szCs w:val="22"/>
          <w:lang w:val="sr-Latn-ME"/>
        </w:rPr>
        <w:t xml:space="preserve">4.6. </w:t>
      </w:r>
      <w:r w:rsidR="00480FB1" w:rsidRPr="00FB15F5">
        <w:rPr>
          <w:b/>
          <w:bCs/>
          <w:sz w:val="22"/>
          <w:szCs w:val="22"/>
          <w:lang w:val="sr-Latn-ME"/>
        </w:rPr>
        <w:tab/>
      </w:r>
      <w:r w:rsidR="006D20A5" w:rsidRPr="00FB15F5">
        <w:rPr>
          <w:b/>
          <w:sz w:val="22"/>
          <w:szCs w:val="22"/>
          <w:lang w:val="sr-Latn-ME"/>
        </w:rPr>
        <w:t>Plodnost, trudnoća i dojenje</w:t>
      </w:r>
    </w:p>
    <w:p w14:paraId="49E245C4" w14:textId="77777777" w:rsidR="002031B3" w:rsidRPr="00FB15F5" w:rsidRDefault="002031B3" w:rsidP="009F447A">
      <w:pPr>
        <w:tabs>
          <w:tab w:val="left" w:pos="540"/>
          <w:tab w:val="left" w:pos="569"/>
        </w:tabs>
        <w:jc w:val="both"/>
        <w:rPr>
          <w:sz w:val="22"/>
          <w:szCs w:val="22"/>
          <w:u w:val="single"/>
          <w:lang w:val="sr-Latn-ME"/>
        </w:rPr>
      </w:pPr>
    </w:p>
    <w:p w14:paraId="7FA1CCD4" w14:textId="77777777" w:rsidR="00FF7784" w:rsidRPr="00FB15F5" w:rsidRDefault="00FF7784" w:rsidP="009F447A">
      <w:pPr>
        <w:jc w:val="both"/>
        <w:rPr>
          <w:sz w:val="22"/>
          <w:szCs w:val="22"/>
          <w:lang w:val="sr-Latn-ME"/>
        </w:rPr>
      </w:pPr>
      <w:r w:rsidRPr="00FB15F5">
        <w:rPr>
          <w:sz w:val="22"/>
          <w:szCs w:val="22"/>
          <w:lang w:val="sr-Latn-ME"/>
        </w:rPr>
        <w:t>Ne primjenjuje se kod žena.</w:t>
      </w:r>
    </w:p>
    <w:p w14:paraId="7D3BCD35" w14:textId="77777777" w:rsidR="00FF7784" w:rsidRPr="00FB15F5" w:rsidRDefault="00FF7784" w:rsidP="00FF7784">
      <w:pPr>
        <w:rPr>
          <w:sz w:val="22"/>
          <w:szCs w:val="22"/>
          <w:lang w:val="sr-Latn-ME"/>
        </w:rPr>
      </w:pPr>
    </w:p>
    <w:p w14:paraId="296302DB" w14:textId="6ACDA0A7" w:rsidR="00FF7784" w:rsidRPr="00FB15F5" w:rsidRDefault="00FF7784" w:rsidP="009F447A">
      <w:pPr>
        <w:tabs>
          <w:tab w:val="left" w:pos="540"/>
          <w:tab w:val="left" w:pos="569"/>
        </w:tabs>
        <w:jc w:val="both"/>
        <w:rPr>
          <w:sz w:val="22"/>
          <w:szCs w:val="22"/>
          <w:u w:val="single"/>
          <w:lang w:val="sr-Latn-ME"/>
        </w:rPr>
      </w:pPr>
      <w:r w:rsidRPr="00FB15F5">
        <w:rPr>
          <w:sz w:val="22"/>
          <w:szCs w:val="22"/>
          <w:lang w:val="sr-Latn-ME"/>
        </w:rPr>
        <w:lastRenderedPageBreak/>
        <w:t xml:space="preserve">Poznato je da su i </w:t>
      </w:r>
      <w:proofErr w:type="spellStart"/>
      <w:r w:rsidRPr="00FB15F5">
        <w:rPr>
          <w:sz w:val="22"/>
          <w:szCs w:val="22"/>
          <w:lang w:val="sr-Latn-ME"/>
        </w:rPr>
        <w:t>estradiol</w:t>
      </w:r>
      <w:proofErr w:type="spellEnd"/>
      <w:r w:rsidRPr="00FB15F5">
        <w:rPr>
          <w:sz w:val="22"/>
          <w:szCs w:val="22"/>
          <w:lang w:val="sr-Latn-ME"/>
        </w:rPr>
        <w:t xml:space="preserve"> i azotni iperit </w:t>
      </w:r>
      <w:proofErr w:type="spellStart"/>
      <w:r w:rsidRPr="00FB15F5">
        <w:rPr>
          <w:sz w:val="22"/>
          <w:szCs w:val="22"/>
          <w:lang w:val="sr-Latn-ME"/>
        </w:rPr>
        <w:t>mutageni</w:t>
      </w:r>
      <w:proofErr w:type="spellEnd"/>
      <w:r w:rsidRPr="00FB15F5">
        <w:rPr>
          <w:sz w:val="22"/>
          <w:szCs w:val="22"/>
          <w:lang w:val="sr-Latn-ME"/>
        </w:rPr>
        <w:t>, pa samim tim muškarci koji koriste ovu terapiju treba da primjenjuju kontraceptivne mjere (vidjeti dio 5.3).</w:t>
      </w:r>
    </w:p>
    <w:p w14:paraId="57E8407E" w14:textId="77777777" w:rsidR="00227BDB" w:rsidRPr="00FB15F5" w:rsidRDefault="00227BDB" w:rsidP="009F447A">
      <w:pPr>
        <w:tabs>
          <w:tab w:val="left" w:pos="540"/>
          <w:tab w:val="left" w:pos="569"/>
        </w:tabs>
        <w:ind w:left="540" w:hanging="540"/>
        <w:jc w:val="both"/>
        <w:rPr>
          <w:b/>
          <w:bCs/>
          <w:sz w:val="22"/>
          <w:szCs w:val="22"/>
          <w:lang w:val="sr-Latn-ME"/>
        </w:rPr>
      </w:pPr>
    </w:p>
    <w:p w14:paraId="03FF06A2" w14:textId="77777777" w:rsidR="0072020E" w:rsidRPr="00FB15F5" w:rsidRDefault="0072020E" w:rsidP="009F447A">
      <w:pPr>
        <w:tabs>
          <w:tab w:val="left" w:pos="540"/>
          <w:tab w:val="left" w:pos="569"/>
        </w:tabs>
        <w:ind w:left="540" w:hanging="540"/>
        <w:jc w:val="both"/>
        <w:rPr>
          <w:b/>
          <w:bCs/>
          <w:sz w:val="22"/>
          <w:szCs w:val="22"/>
          <w:lang w:val="sr-Latn-ME"/>
        </w:rPr>
      </w:pPr>
      <w:r w:rsidRPr="00FB15F5">
        <w:rPr>
          <w:b/>
          <w:bCs/>
          <w:sz w:val="22"/>
          <w:szCs w:val="22"/>
          <w:lang w:val="sr-Latn-ME"/>
        </w:rPr>
        <w:t xml:space="preserve">4.7. </w:t>
      </w:r>
      <w:r w:rsidR="00480FB1" w:rsidRPr="00FB15F5">
        <w:rPr>
          <w:b/>
          <w:bCs/>
          <w:sz w:val="22"/>
          <w:szCs w:val="22"/>
          <w:lang w:val="sr-Latn-ME"/>
        </w:rPr>
        <w:tab/>
      </w:r>
      <w:r w:rsidRPr="00FB15F5">
        <w:rPr>
          <w:b/>
          <w:bCs/>
          <w:sz w:val="22"/>
          <w:szCs w:val="22"/>
          <w:lang w:val="sr-Latn-ME"/>
        </w:rPr>
        <w:t xml:space="preserve">Uticaj na </w:t>
      </w:r>
      <w:r w:rsidR="002031B3" w:rsidRPr="00FB15F5">
        <w:rPr>
          <w:b/>
          <w:bCs/>
          <w:sz w:val="22"/>
          <w:szCs w:val="22"/>
          <w:lang w:val="sr-Latn-ME"/>
        </w:rPr>
        <w:t xml:space="preserve">sposobnost </w:t>
      </w:r>
      <w:r w:rsidR="00F34554" w:rsidRPr="00FB15F5">
        <w:rPr>
          <w:b/>
          <w:bCs/>
          <w:sz w:val="22"/>
          <w:szCs w:val="22"/>
          <w:lang w:val="sr-Latn-ME"/>
        </w:rPr>
        <w:t>upravljanja vozili</w:t>
      </w:r>
      <w:r w:rsidRPr="00FB15F5">
        <w:rPr>
          <w:b/>
          <w:bCs/>
          <w:sz w:val="22"/>
          <w:szCs w:val="22"/>
          <w:lang w:val="sr-Latn-ME"/>
        </w:rPr>
        <w:t>m</w:t>
      </w:r>
      <w:r w:rsidR="00F34554" w:rsidRPr="00FB15F5">
        <w:rPr>
          <w:b/>
          <w:bCs/>
          <w:sz w:val="22"/>
          <w:szCs w:val="22"/>
          <w:lang w:val="sr-Latn-ME"/>
        </w:rPr>
        <w:t>a</w:t>
      </w:r>
      <w:r w:rsidRPr="00FB15F5">
        <w:rPr>
          <w:b/>
          <w:bCs/>
          <w:sz w:val="22"/>
          <w:szCs w:val="22"/>
          <w:lang w:val="sr-Latn-ME"/>
        </w:rPr>
        <w:t xml:space="preserve"> i </w:t>
      </w:r>
      <w:r w:rsidR="000D3449" w:rsidRPr="00FB15F5">
        <w:rPr>
          <w:b/>
          <w:bCs/>
          <w:sz w:val="22"/>
          <w:szCs w:val="22"/>
          <w:lang w:val="sr-Latn-ME"/>
        </w:rPr>
        <w:t xml:space="preserve">rukovanje </w:t>
      </w:r>
      <w:r w:rsidRPr="00FB15F5">
        <w:rPr>
          <w:b/>
          <w:bCs/>
          <w:sz w:val="22"/>
          <w:szCs w:val="22"/>
          <w:lang w:val="sr-Latn-ME"/>
        </w:rPr>
        <w:t>mašinama</w:t>
      </w:r>
    </w:p>
    <w:p w14:paraId="432B3FA7" w14:textId="77777777" w:rsidR="00FF7784" w:rsidRPr="00FB15F5" w:rsidRDefault="00FF7784" w:rsidP="009F447A">
      <w:pPr>
        <w:tabs>
          <w:tab w:val="left" w:pos="540"/>
          <w:tab w:val="left" w:pos="569"/>
        </w:tabs>
        <w:ind w:left="540" w:hanging="540"/>
        <w:jc w:val="both"/>
        <w:rPr>
          <w:b/>
          <w:bCs/>
          <w:sz w:val="22"/>
          <w:szCs w:val="22"/>
          <w:lang w:val="sr-Latn-ME"/>
        </w:rPr>
      </w:pPr>
    </w:p>
    <w:p w14:paraId="64B8A1F5" w14:textId="77777777" w:rsidR="00FF7784" w:rsidRPr="00FB15F5" w:rsidRDefault="00FF7784" w:rsidP="009F447A">
      <w:pPr>
        <w:keepNext/>
        <w:keepLines/>
        <w:jc w:val="both"/>
        <w:rPr>
          <w:sz w:val="22"/>
          <w:szCs w:val="22"/>
          <w:lang w:val="sr-Latn-ME"/>
        </w:rPr>
      </w:pPr>
      <w:r w:rsidRPr="00FB15F5">
        <w:rPr>
          <w:sz w:val="22"/>
          <w:szCs w:val="22"/>
          <w:lang w:val="sr-Latn-ME"/>
        </w:rPr>
        <w:t xml:space="preserve">Uticaj </w:t>
      </w:r>
      <w:proofErr w:type="spellStart"/>
      <w:r w:rsidRPr="00FB15F5">
        <w:rPr>
          <w:sz w:val="22"/>
          <w:szCs w:val="22"/>
          <w:lang w:val="sr-Latn-ME"/>
        </w:rPr>
        <w:t>estramustina</w:t>
      </w:r>
      <w:proofErr w:type="spellEnd"/>
      <w:r w:rsidRPr="00FB15F5">
        <w:rPr>
          <w:sz w:val="22"/>
          <w:szCs w:val="22"/>
          <w:lang w:val="sr-Latn-ME"/>
        </w:rPr>
        <w:t xml:space="preserve"> na sposobnost upravljanja motornim vozilom ili rukovanja mašinama nije sistematski procjenjivan.</w:t>
      </w:r>
    </w:p>
    <w:p w14:paraId="69AE14B2" w14:textId="77777777" w:rsidR="0072020E" w:rsidRPr="00FB15F5" w:rsidRDefault="0072020E" w:rsidP="009F447A">
      <w:pPr>
        <w:tabs>
          <w:tab w:val="left" w:pos="540"/>
          <w:tab w:val="left" w:pos="569"/>
        </w:tabs>
        <w:jc w:val="both"/>
        <w:rPr>
          <w:b/>
          <w:bCs/>
          <w:sz w:val="22"/>
          <w:szCs w:val="22"/>
          <w:lang w:val="sr-Latn-ME"/>
        </w:rPr>
      </w:pPr>
    </w:p>
    <w:p w14:paraId="565CD212" w14:textId="77777777" w:rsidR="0072020E" w:rsidRPr="00FB15F5" w:rsidRDefault="0072020E" w:rsidP="009F447A">
      <w:pPr>
        <w:tabs>
          <w:tab w:val="left" w:pos="540"/>
          <w:tab w:val="left" w:pos="569"/>
        </w:tabs>
        <w:jc w:val="both"/>
        <w:rPr>
          <w:b/>
          <w:bCs/>
          <w:sz w:val="22"/>
          <w:szCs w:val="22"/>
          <w:lang w:val="sr-Latn-ME"/>
        </w:rPr>
      </w:pPr>
      <w:r w:rsidRPr="00FB15F5">
        <w:rPr>
          <w:b/>
          <w:bCs/>
          <w:sz w:val="22"/>
          <w:szCs w:val="22"/>
          <w:lang w:val="sr-Latn-ME"/>
        </w:rPr>
        <w:t xml:space="preserve">4.8. </w:t>
      </w:r>
      <w:r w:rsidR="00480FB1" w:rsidRPr="00FB15F5">
        <w:rPr>
          <w:b/>
          <w:bCs/>
          <w:sz w:val="22"/>
          <w:szCs w:val="22"/>
          <w:lang w:val="sr-Latn-ME"/>
        </w:rPr>
        <w:tab/>
      </w:r>
      <w:r w:rsidRPr="00FB15F5">
        <w:rPr>
          <w:b/>
          <w:bCs/>
          <w:sz w:val="22"/>
          <w:szCs w:val="22"/>
          <w:lang w:val="sr-Latn-ME"/>
        </w:rPr>
        <w:t>Neželjena dejstva</w:t>
      </w:r>
    </w:p>
    <w:p w14:paraId="26FC1212" w14:textId="77777777" w:rsidR="00924B98" w:rsidRPr="00FB15F5" w:rsidRDefault="00924B98" w:rsidP="009F447A">
      <w:pPr>
        <w:tabs>
          <w:tab w:val="left" w:pos="540"/>
          <w:tab w:val="left" w:pos="569"/>
        </w:tabs>
        <w:jc w:val="both"/>
        <w:rPr>
          <w:b/>
          <w:bCs/>
          <w:sz w:val="22"/>
          <w:szCs w:val="22"/>
          <w:lang w:val="sr-Latn-ME"/>
        </w:rPr>
      </w:pPr>
    </w:p>
    <w:p w14:paraId="28853D58" w14:textId="77777777" w:rsidR="00924B98" w:rsidRPr="00FB15F5" w:rsidRDefault="00924B98" w:rsidP="009F447A">
      <w:pPr>
        <w:autoSpaceDE w:val="0"/>
        <w:autoSpaceDN w:val="0"/>
        <w:adjustRightInd w:val="0"/>
        <w:jc w:val="both"/>
        <w:rPr>
          <w:sz w:val="22"/>
          <w:szCs w:val="22"/>
          <w:lang w:val="sr-Latn-ME"/>
        </w:rPr>
      </w:pPr>
      <w:r w:rsidRPr="00FB15F5">
        <w:rPr>
          <w:sz w:val="22"/>
          <w:szCs w:val="22"/>
          <w:lang w:val="sr-Latn-ME"/>
        </w:rPr>
        <w:t xml:space="preserve">Najčešće neželjene reakcije uključuju </w:t>
      </w:r>
      <w:proofErr w:type="spellStart"/>
      <w:r w:rsidRPr="00FB15F5">
        <w:rPr>
          <w:sz w:val="22"/>
          <w:szCs w:val="22"/>
          <w:lang w:val="sr-Latn-ME"/>
        </w:rPr>
        <w:t>ginekomastiju</w:t>
      </w:r>
      <w:proofErr w:type="spellEnd"/>
      <w:r w:rsidRPr="00FB15F5">
        <w:rPr>
          <w:sz w:val="22"/>
          <w:szCs w:val="22"/>
          <w:lang w:val="sr-Latn-ME"/>
        </w:rPr>
        <w:t>, mučninu/povraćanje i zadržavanje tečnosti/</w:t>
      </w:r>
      <w:proofErr w:type="spellStart"/>
      <w:r w:rsidRPr="00FB15F5">
        <w:rPr>
          <w:sz w:val="22"/>
          <w:szCs w:val="22"/>
          <w:lang w:val="sr-Latn-ME"/>
        </w:rPr>
        <w:t>edeme</w:t>
      </w:r>
      <w:proofErr w:type="spellEnd"/>
      <w:r w:rsidRPr="00FB15F5">
        <w:rPr>
          <w:sz w:val="22"/>
          <w:szCs w:val="22"/>
          <w:lang w:val="sr-Latn-ME"/>
        </w:rPr>
        <w:t>.</w:t>
      </w:r>
    </w:p>
    <w:p w14:paraId="1A8F2FF7" w14:textId="77777777" w:rsidR="00924B98" w:rsidRPr="00FB15F5" w:rsidRDefault="00924B98" w:rsidP="009F447A">
      <w:pPr>
        <w:autoSpaceDE w:val="0"/>
        <w:autoSpaceDN w:val="0"/>
        <w:adjustRightInd w:val="0"/>
        <w:jc w:val="both"/>
        <w:rPr>
          <w:sz w:val="22"/>
          <w:szCs w:val="22"/>
          <w:lang w:val="sr-Latn-ME"/>
        </w:rPr>
      </w:pPr>
      <w:r w:rsidRPr="00FB15F5">
        <w:rPr>
          <w:sz w:val="22"/>
          <w:szCs w:val="22"/>
          <w:lang w:val="sr-Latn-ME"/>
        </w:rPr>
        <w:t xml:space="preserve">Najčešće ozbiljne neželjene reakcije su embolija, </w:t>
      </w:r>
      <w:proofErr w:type="spellStart"/>
      <w:r w:rsidRPr="00FB15F5">
        <w:rPr>
          <w:sz w:val="22"/>
          <w:szCs w:val="22"/>
          <w:lang w:val="sr-Latn-ME"/>
        </w:rPr>
        <w:t>ishemija</w:t>
      </w:r>
      <w:proofErr w:type="spellEnd"/>
      <w:r w:rsidRPr="00FB15F5">
        <w:rPr>
          <w:sz w:val="22"/>
          <w:szCs w:val="22"/>
          <w:lang w:val="sr-Latn-ME"/>
        </w:rPr>
        <w:t xml:space="preserve"> </w:t>
      </w:r>
      <w:proofErr w:type="spellStart"/>
      <w:r w:rsidRPr="00FB15F5">
        <w:rPr>
          <w:sz w:val="22"/>
          <w:szCs w:val="22"/>
          <w:lang w:val="sr-Latn-ME"/>
        </w:rPr>
        <w:t>miokarda</w:t>
      </w:r>
      <w:proofErr w:type="spellEnd"/>
      <w:r w:rsidRPr="00FB15F5">
        <w:rPr>
          <w:sz w:val="22"/>
          <w:szCs w:val="22"/>
          <w:lang w:val="sr-Latn-ME"/>
        </w:rPr>
        <w:t xml:space="preserve">, </w:t>
      </w:r>
      <w:proofErr w:type="spellStart"/>
      <w:r w:rsidRPr="00FB15F5">
        <w:rPr>
          <w:sz w:val="22"/>
          <w:szCs w:val="22"/>
          <w:lang w:val="sr-Latn-ME"/>
        </w:rPr>
        <w:t>kongestivna</w:t>
      </w:r>
      <w:proofErr w:type="spellEnd"/>
      <w:r w:rsidRPr="00FB15F5">
        <w:rPr>
          <w:sz w:val="22"/>
          <w:szCs w:val="22"/>
          <w:lang w:val="sr-Latn-ME"/>
        </w:rPr>
        <w:t xml:space="preserve"> srčana </w:t>
      </w:r>
      <w:proofErr w:type="spellStart"/>
      <w:r w:rsidRPr="00FB15F5">
        <w:rPr>
          <w:sz w:val="22"/>
          <w:szCs w:val="22"/>
          <w:lang w:val="sr-Latn-ME"/>
        </w:rPr>
        <w:t>insuficijencija</w:t>
      </w:r>
      <w:proofErr w:type="spellEnd"/>
      <w:r w:rsidRPr="00FB15F5">
        <w:rPr>
          <w:sz w:val="22"/>
          <w:szCs w:val="22"/>
          <w:lang w:val="sr-Latn-ME"/>
        </w:rPr>
        <w:t xml:space="preserve"> i </w:t>
      </w:r>
      <w:proofErr w:type="spellStart"/>
      <w:r w:rsidRPr="00FB15F5">
        <w:rPr>
          <w:sz w:val="22"/>
          <w:szCs w:val="22"/>
          <w:lang w:val="sr-Latn-ME"/>
        </w:rPr>
        <w:t>angioedem</w:t>
      </w:r>
      <w:proofErr w:type="spellEnd"/>
      <w:r w:rsidRPr="00FB15F5">
        <w:rPr>
          <w:sz w:val="22"/>
          <w:szCs w:val="22"/>
          <w:lang w:val="sr-Latn-ME"/>
        </w:rPr>
        <w:t>.</w:t>
      </w:r>
    </w:p>
    <w:p w14:paraId="0FB2D507" w14:textId="77777777" w:rsidR="00924B98" w:rsidRPr="00FB15F5" w:rsidRDefault="00924B98" w:rsidP="009F447A">
      <w:pPr>
        <w:autoSpaceDE w:val="0"/>
        <w:autoSpaceDN w:val="0"/>
        <w:adjustRightInd w:val="0"/>
        <w:jc w:val="both"/>
        <w:rPr>
          <w:sz w:val="22"/>
          <w:szCs w:val="22"/>
          <w:lang w:val="sr-Latn-ME"/>
        </w:rPr>
      </w:pPr>
      <w:r w:rsidRPr="00FB15F5">
        <w:rPr>
          <w:sz w:val="22"/>
          <w:szCs w:val="22"/>
          <w:lang w:val="sr-Latn-ME"/>
        </w:rPr>
        <w:t xml:space="preserve">Prijavljena neželjena dejstva, navedena prema </w:t>
      </w:r>
      <w:proofErr w:type="spellStart"/>
      <w:r w:rsidRPr="00FB15F5">
        <w:rPr>
          <w:sz w:val="22"/>
          <w:szCs w:val="22"/>
          <w:lang w:val="sr-Latn-ME"/>
        </w:rPr>
        <w:t>MedDRA</w:t>
      </w:r>
      <w:proofErr w:type="spellEnd"/>
      <w:r w:rsidRPr="00FB15F5">
        <w:rPr>
          <w:sz w:val="22"/>
          <w:szCs w:val="22"/>
          <w:lang w:val="sr-Latn-ME"/>
        </w:rPr>
        <w:t xml:space="preserve"> klasi sistema organa su:</w:t>
      </w:r>
    </w:p>
    <w:p w14:paraId="022FC5CA" w14:textId="77777777" w:rsidR="00924B98" w:rsidRPr="00FB15F5" w:rsidRDefault="00924B98" w:rsidP="00924B98">
      <w:pPr>
        <w:autoSpaceDE w:val="0"/>
        <w:autoSpaceDN w:val="0"/>
        <w:adjustRightInd w:val="0"/>
        <w:rPr>
          <w:sz w:val="22"/>
          <w:szCs w:val="22"/>
          <w:lang w:val="sr-Latn-ME"/>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2408"/>
        <w:gridCol w:w="2429"/>
        <w:gridCol w:w="2416"/>
      </w:tblGrid>
      <w:tr w:rsidR="00924B98" w:rsidRPr="00FB15F5" w14:paraId="561EC03E" w14:textId="77777777" w:rsidTr="009F447A">
        <w:trPr>
          <w:trHeight w:val="1026"/>
          <w:tblHeader/>
          <w:jc w:val="center"/>
        </w:trPr>
        <w:tc>
          <w:tcPr>
            <w:tcW w:w="2087" w:type="dxa"/>
          </w:tcPr>
          <w:p w14:paraId="38E4711B"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 xml:space="preserve">Klasa sistema organa, prema </w:t>
            </w:r>
            <w:proofErr w:type="spellStart"/>
            <w:r w:rsidRPr="00FB15F5">
              <w:rPr>
                <w:rFonts w:cs="Times New Roman"/>
                <w:b/>
                <w:sz w:val="22"/>
                <w:szCs w:val="22"/>
                <w:lang w:val="sr-Latn-ME"/>
              </w:rPr>
              <w:t>MedDRA</w:t>
            </w:r>
            <w:proofErr w:type="spellEnd"/>
            <w:r w:rsidRPr="00FB15F5">
              <w:rPr>
                <w:rFonts w:cs="Times New Roman"/>
                <w:b/>
                <w:sz w:val="22"/>
                <w:szCs w:val="22"/>
                <w:lang w:val="sr-Latn-ME"/>
              </w:rPr>
              <w:t xml:space="preserve"> klasifikaciji</w:t>
            </w:r>
          </w:p>
        </w:tc>
        <w:tc>
          <w:tcPr>
            <w:tcW w:w="2408" w:type="dxa"/>
          </w:tcPr>
          <w:p w14:paraId="2ED3DA13"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Veoma česta</w:t>
            </w:r>
          </w:p>
          <w:p w14:paraId="1061C666"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 1/10</w:t>
            </w:r>
          </w:p>
          <w:p w14:paraId="1204F313" w14:textId="77777777" w:rsidR="00924B98" w:rsidRPr="00FB15F5" w:rsidRDefault="00924B98" w:rsidP="00C2081A">
            <w:pPr>
              <w:pStyle w:val="TableText"/>
              <w:jc w:val="center"/>
              <w:rPr>
                <w:rFonts w:cs="Times New Roman"/>
                <w:b/>
                <w:sz w:val="22"/>
                <w:szCs w:val="22"/>
                <w:lang w:val="sr-Latn-ME"/>
              </w:rPr>
            </w:pPr>
          </w:p>
        </w:tc>
        <w:tc>
          <w:tcPr>
            <w:tcW w:w="2429" w:type="dxa"/>
          </w:tcPr>
          <w:p w14:paraId="62EDE655"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Česta</w:t>
            </w:r>
          </w:p>
          <w:p w14:paraId="5BAA4130"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od ≥ 1/100 do &lt; 1/10</w:t>
            </w:r>
          </w:p>
          <w:p w14:paraId="2D93C760" w14:textId="77777777" w:rsidR="00924B98" w:rsidRPr="00FB15F5" w:rsidRDefault="00924B98" w:rsidP="00C2081A">
            <w:pPr>
              <w:pStyle w:val="TableText"/>
              <w:jc w:val="center"/>
              <w:rPr>
                <w:rFonts w:cs="Times New Roman"/>
                <w:b/>
                <w:sz w:val="22"/>
                <w:szCs w:val="22"/>
                <w:lang w:val="sr-Latn-ME"/>
              </w:rPr>
            </w:pPr>
          </w:p>
        </w:tc>
        <w:tc>
          <w:tcPr>
            <w:tcW w:w="2416" w:type="dxa"/>
          </w:tcPr>
          <w:p w14:paraId="195467CC"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Nepoznata učestalost (ne može se procijeniti na osnovu dostupnih podataka)</w:t>
            </w:r>
          </w:p>
        </w:tc>
      </w:tr>
      <w:tr w:rsidR="00924B98" w:rsidRPr="00FB15F5" w14:paraId="4CC3A795" w14:textId="77777777" w:rsidTr="009F447A">
        <w:trPr>
          <w:trHeight w:val="766"/>
          <w:jc w:val="center"/>
        </w:trPr>
        <w:tc>
          <w:tcPr>
            <w:tcW w:w="2087" w:type="dxa"/>
          </w:tcPr>
          <w:p w14:paraId="74C20122"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Poremećaji na nivou krvi i limfnog sistema</w:t>
            </w:r>
          </w:p>
        </w:tc>
        <w:tc>
          <w:tcPr>
            <w:tcW w:w="2408" w:type="dxa"/>
          </w:tcPr>
          <w:p w14:paraId="51B263CC" w14:textId="77777777" w:rsidR="00924B98" w:rsidRPr="00FB15F5" w:rsidRDefault="00924B98" w:rsidP="00C2081A">
            <w:pPr>
              <w:pStyle w:val="TableText"/>
              <w:jc w:val="center"/>
              <w:rPr>
                <w:rStyle w:val="TableText9"/>
                <w:rFonts w:cs="Times New Roman"/>
                <w:sz w:val="22"/>
                <w:szCs w:val="22"/>
                <w:lang w:val="sr-Latn-ME"/>
              </w:rPr>
            </w:pPr>
            <w:r w:rsidRPr="00FB15F5">
              <w:rPr>
                <w:rStyle w:val="TableText9"/>
                <w:rFonts w:cs="Times New Roman"/>
                <w:sz w:val="22"/>
                <w:szCs w:val="22"/>
                <w:lang w:val="sr-Latn-ME"/>
              </w:rPr>
              <w:t>Anemija,</w:t>
            </w:r>
          </w:p>
          <w:p w14:paraId="43AB590F" w14:textId="77777777" w:rsidR="00924B98" w:rsidRPr="00FB15F5" w:rsidRDefault="00924B98" w:rsidP="00C2081A">
            <w:pPr>
              <w:pStyle w:val="TableText"/>
              <w:jc w:val="center"/>
              <w:rPr>
                <w:rFonts w:cs="Times New Roman"/>
                <w:sz w:val="22"/>
                <w:szCs w:val="22"/>
                <w:lang w:val="sr-Latn-ME"/>
              </w:rPr>
            </w:pPr>
            <w:proofErr w:type="spellStart"/>
            <w:r w:rsidRPr="00FB15F5">
              <w:rPr>
                <w:rStyle w:val="TableText9"/>
                <w:rFonts w:cs="Times New Roman"/>
                <w:sz w:val="22"/>
                <w:szCs w:val="22"/>
                <w:lang w:val="sr-Latn-ME"/>
              </w:rPr>
              <w:t>leukopenija</w:t>
            </w:r>
            <w:proofErr w:type="spellEnd"/>
          </w:p>
        </w:tc>
        <w:tc>
          <w:tcPr>
            <w:tcW w:w="2429" w:type="dxa"/>
          </w:tcPr>
          <w:p w14:paraId="1F846706" w14:textId="77777777" w:rsidR="00924B98" w:rsidRPr="00FB15F5" w:rsidRDefault="00924B98" w:rsidP="00C2081A">
            <w:pPr>
              <w:pStyle w:val="TableText"/>
              <w:jc w:val="center"/>
              <w:rPr>
                <w:rFonts w:cs="Times New Roman"/>
                <w:sz w:val="22"/>
                <w:szCs w:val="22"/>
                <w:lang w:val="sr-Latn-ME"/>
              </w:rPr>
            </w:pPr>
            <w:proofErr w:type="spellStart"/>
            <w:r w:rsidRPr="00FB15F5">
              <w:rPr>
                <w:rStyle w:val="TableText9"/>
                <w:rFonts w:cs="Times New Roman"/>
                <w:sz w:val="22"/>
                <w:szCs w:val="22"/>
                <w:lang w:val="sr-Latn-ME"/>
              </w:rPr>
              <w:t>Trombocitopenija</w:t>
            </w:r>
            <w:proofErr w:type="spellEnd"/>
          </w:p>
        </w:tc>
        <w:tc>
          <w:tcPr>
            <w:tcW w:w="2416" w:type="dxa"/>
          </w:tcPr>
          <w:p w14:paraId="35710B1A" w14:textId="77777777" w:rsidR="00924B98" w:rsidRPr="00FB15F5" w:rsidRDefault="00924B98" w:rsidP="00C2081A">
            <w:pPr>
              <w:pStyle w:val="TableText"/>
              <w:jc w:val="center"/>
              <w:rPr>
                <w:rFonts w:cs="Times New Roman"/>
                <w:sz w:val="22"/>
                <w:szCs w:val="22"/>
                <w:lang w:val="sr-Latn-ME"/>
              </w:rPr>
            </w:pPr>
          </w:p>
        </w:tc>
      </w:tr>
      <w:tr w:rsidR="00924B98" w:rsidRPr="00FB15F5" w14:paraId="5BE869CE" w14:textId="77777777" w:rsidTr="009F447A">
        <w:trPr>
          <w:trHeight w:val="521"/>
          <w:jc w:val="center"/>
        </w:trPr>
        <w:tc>
          <w:tcPr>
            <w:tcW w:w="2087" w:type="dxa"/>
          </w:tcPr>
          <w:p w14:paraId="0900CF61"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Imunološki poremećaji</w:t>
            </w:r>
          </w:p>
        </w:tc>
        <w:tc>
          <w:tcPr>
            <w:tcW w:w="2408" w:type="dxa"/>
          </w:tcPr>
          <w:p w14:paraId="7F208451" w14:textId="77777777" w:rsidR="00924B98" w:rsidRPr="00FB15F5" w:rsidRDefault="00924B98" w:rsidP="00C2081A">
            <w:pPr>
              <w:pStyle w:val="TableText"/>
              <w:jc w:val="center"/>
              <w:rPr>
                <w:rFonts w:cs="Times New Roman"/>
                <w:sz w:val="22"/>
                <w:szCs w:val="22"/>
                <w:lang w:val="sr-Latn-ME"/>
              </w:rPr>
            </w:pPr>
          </w:p>
        </w:tc>
        <w:tc>
          <w:tcPr>
            <w:tcW w:w="2429" w:type="dxa"/>
          </w:tcPr>
          <w:p w14:paraId="1D810D97" w14:textId="77777777" w:rsidR="00924B98" w:rsidRPr="00FB15F5" w:rsidRDefault="00924B98" w:rsidP="00C2081A">
            <w:pPr>
              <w:pStyle w:val="TableText"/>
              <w:jc w:val="center"/>
              <w:rPr>
                <w:rFonts w:cs="Times New Roman"/>
                <w:sz w:val="22"/>
                <w:szCs w:val="22"/>
                <w:lang w:val="sr-Latn-ME"/>
              </w:rPr>
            </w:pPr>
          </w:p>
        </w:tc>
        <w:tc>
          <w:tcPr>
            <w:tcW w:w="2416" w:type="dxa"/>
          </w:tcPr>
          <w:p w14:paraId="7AF31E90"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Reakcije preosjetljivosti</w:t>
            </w:r>
          </w:p>
        </w:tc>
      </w:tr>
      <w:tr w:rsidR="00924B98" w:rsidRPr="00FB15F5" w14:paraId="42BEDCDA" w14:textId="77777777" w:rsidTr="009F447A">
        <w:trPr>
          <w:trHeight w:val="766"/>
          <w:jc w:val="center"/>
        </w:trPr>
        <w:tc>
          <w:tcPr>
            <w:tcW w:w="2087" w:type="dxa"/>
          </w:tcPr>
          <w:p w14:paraId="7E2FE876"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Poremećaji metabolizma i ishrane</w:t>
            </w:r>
          </w:p>
        </w:tc>
        <w:tc>
          <w:tcPr>
            <w:tcW w:w="2408" w:type="dxa"/>
          </w:tcPr>
          <w:p w14:paraId="0EF5F4E6"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Retencija tečnosti</w:t>
            </w:r>
          </w:p>
        </w:tc>
        <w:tc>
          <w:tcPr>
            <w:tcW w:w="2429" w:type="dxa"/>
          </w:tcPr>
          <w:p w14:paraId="0CC0E31D" w14:textId="77777777" w:rsidR="00924B98" w:rsidRPr="00FB15F5" w:rsidRDefault="00924B98" w:rsidP="00C2081A">
            <w:pPr>
              <w:pStyle w:val="TableText"/>
              <w:jc w:val="center"/>
              <w:rPr>
                <w:rFonts w:cs="Times New Roman"/>
                <w:sz w:val="22"/>
                <w:szCs w:val="22"/>
                <w:lang w:val="sr-Latn-ME"/>
              </w:rPr>
            </w:pPr>
          </w:p>
        </w:tc>
        <w:tc>
          <w:tcPr>
            <w:tcW w:w="2416" w:type="dxa"/>
          </w:tcPr>
          <w:p w14:paraId="5ED594EB" w14:textId="77777777" w:rsidR="00924B98" w:rsidRPr="00FB15F5" w:rsidRDefault="00924B98" w:rsidP="00C2081A">
            <w:pPr>
              <w:pStyle w:val="TableText"/>
              <w:jc w:val="center"/>
              <w:rPr>
                <w:rFonts w:cs="Times New Roman"/>
                <w:sz w:val="22"/>
                <w:szCs w:val="22"/>
                <w:lang w:val="sr-Latn-ME"/>
              </w:rPr>
            </w:pPr>
          </w:p>
        </w:tc>
      </w:tr>
      <w:tr w:rsidR="00924B98" w:rsidRPr="00FB15F5" w14:paraId="15044A47" w14:textId="77777777" w:rsidTr="009F447A">
        <w:trPr>
          <w:trHeight w:val="505"/>
          <w:jc w:val="center"/>
        </w:trPr>
        <w:tc>
          <w:tcPr>
            <w:tcW w:w="2087" w:type="dxa"/>
          </w:tcPr>
          <w:p w14:paraId="2F2B7D19"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Psihijatrijski poremećaji</w:t>
            </w:r>
          </w:p>
        </w:tc>
        <w:tc>
          <w:tcPr>
            <w:tcW w:w="2408" w:type="dxa"/>
          </w:tcPr>
          <w:p w14:paraId="326B031F" w14:textId="77777777" w:rsidR="00924B98" w:rsidRPr="00FB15F5" w:rsidRDefault="00924B98" w:rsidP="00C2081A">
            <w:pPr>
              <w:pStyle w:val="TableText"/>
              <w:jc w:val="center"/>
              <w:rPr>
                <w:rFonts w:cs="Times New Roman"/>
                <w:sz w:val="22"/>
                <w:szCs w:val="22"/>
                <w:lang w:val="sr-Latn-ME"/>
              </w:rPr>
            </w:pPr>
          </w:p>
        </w:tc>
        <w:tc>
          <w:tcPr>
            <w:tcW w:w="2429" w:type="dxa"/>
          </w:tcPr>
          <w:p w14:paraId="4E638A56" w14:textId="77777777" w:rsidR="00924B98" w:rsidRPr="00FB15F5" w:rsidRDefault="00924B98" w:rsidP="00C2081A">
            <w:pPr>
              <w:pStyle w:val="TableText"/>
              <w:jc w:val="center"/>
              <w:rPr>
                <w:rFonts w:cs="Times New Roman"/>
                <w:sz w:val="22"/>
                <w:szCs w:val="22"/>
                <w:lang w:val="sr-Latn-ME"/>
              </w:rPr>
            </w:pPr>
          </w:p>
        </w:tc>
        <w:tc>
          <w:tcPr>
            <w:tcW w:w="2416" w:type="dxa"/>
          </w:tcPr>
          <w:p w14:paraId="5BBEE96C" w14:textId="77777777" w:rsidR="00924B98" w:rsidRPr="00FB15F5" w:rsidRDefault="00924B98" w:rsidP="00C2081A">
            <w:pPr>
              <w:pStyle w:val="TableText"/>
              <w:jc w:val="center"/>
              <w:rPr>
                <w:rStyle w:val="TableText9"/>
                <w:rFonts w:cs="Times New Roman"/>
                <w:sz w:val="22"/>
                <w:szCs w:val="22"/>
                <w:lang w:val="sr-Latn-ME"/>
              </w:rPr>
            </w:pPr>
            <w:r w:rsidRPr="00FB15F5">
              <w:rPr>
                <w:rStyle w:val="TableText9"/>
                <w:rFonts w:cs="Times New Roman"/>
                <w:sz w:val="22"/>
                <w:szCs w:val="22"/>
                <w:lang w:val="sr-Latn-ME"/>
              </w:rPr>
              <w:t>Zbunjenost,</w:t>
            </w:r>
          </w:p>
          <w:p w14:paraId="460DA874"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Depresija</w:t>
            </w:r>
          </w:p>
        </w:tc>
      </w:tr>
      <w:tr w:rsidR="00924B98" w:rsidRPr="00FB15F5" w14:paraId="68B2889A" w14:textId="77777777" w:rsidTr="009F447A">
        <w:trPr>
          <w:trHeight w:val="521"/>
          <w:jc w:val="center"/>
        </w:trPr>
        <w:tc>
          <w:tcPr>
            <w:tcW w:w="2087" w:type="dxa"/>
          </w:tcPr>
          <w:p w14:paraId="60A23AFE" w14:textId="77777777" w:rsidR="00924B98" w:rsidRPr="00FB15F5" w:rsidRDefault="00924B98" w:rsidP="00C2081A">
            <w:pPr>
              <w:pStyle w:val="TableText"/>
              <w:jc w:val="center"/>
              <w:rPr>
                <w:rFonts w:cs="Times New Roman"/>
                <w:b/>
                <w:sz w:val="22"/>
                <w:szCs w:val="22"/>
                <w:lang w:val="sr-Latn-ME"/>
              </w:rPr>
            </w:pPr>
            <w:proofErr w:type="spellStart"/>
            <w:r w:rsidRPr="00FB15F5">
              <w:rPr>
                <w:rFonts w:cs="Times New Roman"/>
                <w:b/>
                <w:sz w:val="22"/>
                <w:szCs w:val="22"/>
                <w:lang w:val="sr-Latn-ME"/>
              </w:rPr>
              <w:t>Poremećiji</w:t>
            </w:r>
            <w:proofErr w:type="spellEnd"/>
            <w:r w:rsidRPr="00FB15F5">
              <w:rPr>
                <w:rFonts w:cs="Times New Roman"/>
                <w:b/>
                <w:sz w:val="22"/>
                <w:szCs w:val="22"/>
                <w:lang w:val="sr-Latn-ME"/>
              </w:rPr>
              <w:t xml:space="preserve"> nervnog sistema</w:t>
            </w:r>
          </w:p>
        </w:tc>
        <w:tc>
          <w:tcPr>
            <w:tcW w:w="2408" w:type="dxa"/>
          </w:tcPr>
          <w:p w14:paraId="4ABDFAC3" w14:textId="77777777" w:rsidR="00924B98" w:rsidRPr="00FB15F5" w:rsidRDefault="00924B98" w:rsidP="00C2081A">
            <w:pPr>
              <w:pStyle w:val="TableText"/>
              <w:jc w:val="center"/>
              <w:rPr>
                <w:rFonts w:cs="Times New Roman"/>
                <w:sz w:val="22"/>
                <w:szCs w:val="22"/>
                <w:lang w:val="sr-Latn-ME"/>
              </w:rPr>
            </w:pPr>
          </w:p>
        </w:tc>
        <w:tc>
          <w:tcPr>
            <w:tcW w:w="2429" w:type="dxa"/>
          </w:tcPr>
          <w:p w14:paraId="7549F888" w14:textId="77777777" w:rsidR="00924B98" w:rsidRPr="00FB15F5" w:rsidRDefault="00924B98" w:rsidP="00C2081A">
            <w:pPr>
              <w:pStyle w:val="TableText"/>
              <w:jc w:val="center"/>
              <w:rPr>
                <w:rFonts w:cs="Times New Roman"/>
                <w:sz w:val="22"/>
                <w:szCs w:val="22"/>
                <w:lang w:val="sr-Latn-ME"/>
              </w:rPr>
            </w:pPr>
            <w:r w:rsidRPr="00FB15F5">
              <w:rPr>
                <w:rFonts w:cs="Times New Roman"/>
                <w:sz w:val="22"/>
                <w:szCs w:val="22"/>
                <w:lang w:val="sr-Latn-ME"/>
              </w:rPr>
              <w:t>Letargija,</w:t>
            </w:r>
          </w:p>
          <w:p w14:paraId="31D0769D" w14:textId="77777777" w:rsidR="00924B98" w:rsidRPr="00FB15F5" w:rsidRDefault="00924B98" w:rsidP="00C2081A">
            <w:pPr>
              <w:pStyle w:val="TableText"/>
              <w:jc w:val="center"/>
              <w:rPr>
                <w:rFonts w:cs="Times New Roman"/>
                <w:sz w:val="22"/>
                <w:szCs w:val="22"/>
                <w:lang w:val="sr-Latn-ME"/>
              </w:rPr>
            </w:pPr>
            <w:r w:rsidRPr="00FB15F5">
              <w:rPr>
                <w:rFonts w:cs="Times New Roman"/>
                <w:sz w:val="22"/>
                <w:szCs w:val="22"/>
                <w:lang w:val="sr-Latn-ME"/>
              </w:rPr>
              <w:t>Glavobolja</w:t>
            </w:r>
          </w:p>
        </w:tc>
        <w:tc>
          <w:tcPr>
            <w:tcW w:w="2416" w:type="dxa"/>
          </w:tcPr>
          <w:p w14:paraId="25632C98" w14:textId="77777777" w:rsidR="00924B98" w:rsidRPr="00FB15F5" w:rsidRDefault="00924B98" w:rsidP="00C2081A">
            <w:pPr>
              <w:pStyle w:val="TableText"/>
              <w:jc w:val="center"/>
              <w:rPr>
                <w:rFonts w:cs="Times New Roman"/>
                <w:sz w:val="22"/>
                <w:szCs w:val="22"/>
                <w:lang w:val="sr-Latn-ME"/>
              </w:rPr>
            </w:pPr>
          </w:p>
        </w:tc>
      </w:tr>
      <w:tr w:rsidR="00924B98" w:rsidRPr="00FB15F5" w14:paraId="5033066F" w14:textId="77777777" w:rsidTr="009F447A">
        <w:trPr>
          <w:trHeight w:val="505"/>
          <w:jc w:val="center"/>
        </w:trPr>
        <w:tc>
          <w:tcPr>
            <w:tcW w:w="2087" w:type="dxa"/>
          </w:tcPr>
          <w:p w14:paraId="242F5D6E"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Kardiološki poremećaji</w:t>
            </w:r>
          </w:p>
        </w:tc>
        <w:tc>
          <w:tcPr>
            <w:tcW w:w="2408" w:type="dxa"/>
          </w:tcPr>
          <w:p w14:paraId="48200480" w14:textId="77777777" w:rsidR="00924B98" w:rsidRPr="00FB15F5" w:rsidRDefault="00924B98" w:rsidP="00C2081A">
            <w:pPr>
              <w:pStyle w:val="TableText"/>
              <w:jc w:val="center"/>
              <w:rPr>
                <w:rFonts w:cs="Times New Roman"/>
                <w:sz w:val="22"/>
                <w:szCs w:val="22"/>
                <w:lang w:val="sr-Latn-ME"/>
              </w:rPr>
            </w:pPr>
            <w:proofErr w:type="spellStart"/>
            <w:r w:rsidRPr="00FB15F5">
              <w:rPr>
                <w:rFonts w:cs="Times New Roman"/>
                <w:sz w:val="22"/>
                <w:szCs w:val="22"/>
                <w:lang w:val="sr-Latn-ME"/>
              </w:rPr>
              <w:t>Kongestivna</w:t>
            </w:r>
            <w:proofErr w:type="spellEnd"/>
            <w:r w:rsidRPr="00FB15F5">
              <w:rPr>
                <w:rFonts w:cs="Times New Roman"/>
                <w:sz w:val="22"/>
                <w:szCs w:val="22"/>
                <w:lang w:val="sr-Latn-ME"/>
              </w:rPr>
              <w:t xml:space="preserve"> srčana </w:t>
            </w:r>
            <w:proofErr w:type="spellStart"/>
            <w:r w:rsidRPr="00FB15F5">
              <w:rPr>
                <w:rFonts w:cs="Times New Roman"/>
                <w:sz w:val="22"/>
                <w:szCs w:val="22"/>
                <w:lang w:val="sr-Latn-ME"/>
              </w:rPr>
              <w:t>insuficijencija</w:t>
            </w:r>
            <w:proofErr w:type="spellEnd"/>
          </w:p>
        </w:tc>
        <w:tc>
          <w:tcPr>
            <w:tcW w:w="2429" w:type="dxa"/>
          </w:tcPr>
          <w:p w14:paraId="0F597D8B" w14:textId="77777777" w:rsidR="00924B98" w:rsidRPr="00FB15F5" w:rsidRDefault="00924B98" w:rsidP="00C2081A">
            <w:pPr>
              <w:pStyle w:val="TableText"/>
              <w:jc w:val="center"/>
              <w:rPr>
                <w:rFonts w:cs="Times New Roman"/>
                <w:sz w:val="22"/>
                <w:szCs w:val="22"/>
                <w:lang w:val="sr-Latn-ME"/>
              </w:rPr>
            </w:pPr>
            <w:r w:rsidRPr="00FB15F5">
              <w:rPr>
                <w:rFonts w:cs="Times New Roman"/>
                <w:sz w:val="22"/>
                <w:szCs w:val="22"/>
                <w:lang w:val="sr-Latn-ME"/>
              </w:rPr>
              <w:t xml:space="preserve">Infarkt </w:t>
            </w:r>
            <w:proofErr w:type="spellStart"/>
            <w:r w:rsidRPr="00FB15F5">
              <w:rPr>
                <w:rFonts w:cs="Times New Roman"/>
                <w:sz w:val="22"/>
                <w:szCs w:val="22"/>
                <w:lang w:val="sr-Latn-ME"/>
              </w:rPr>
              <w:t>miokarda</w:t>
            </w:r>
            <w:proofErr w:type="spellEnd"/>
          </w:p>
        </w:tc>
        <w:tc>
          <w:tcPr>
            <w:tcW w:w="2416" w:type="dxa"/>
          </w:tcPr>
          <w:p w14:paraId="7731E534" w14:textId="77777777" w:rsidR="00924B98" w:rsidRPr="00FB15F5" w:rsidRDefault="00924B98" w:rsidP="00C2081A">
            <w:pPr>
              <w:pStyle w:val="TableText"/>
              <w:jc w:val="center"/>
              <w:rPr>
                <w:rFonts w:cs="Times New Roman"/>
                <w:sz w:val="22"/>
                <w:szCs w:val="22"/>
                <w:lang w:val="sr-Latn-ME"/>
              </w:rPr>
            </w:pPr>
            <w:proofErr w:type="spellStart"/>
            <w:r w:rsidRPr="00FB15F5">
              <w:rPr>
                <w:rFonts w:cs="Times New Roman"/>
                <w:sz w:val="22"/>
                <w:szCs w:val="22"/>
                <w:lang w:val="sr-Latn-ME"/>
              </w:rPr>
              <w:t>Ishemija</w:t>
            </w:r>
            <w:proofErr w:type="spellEnd"/>
            <w:r w:rsidRPr="00FB15F5">
              <w:rPr>
                <w:rFonts w:cs="Times New Roman"/>
                <w:sz w:val="22"/>
                <w:szCs w:val="22"/>
                <w:lang w:val="sr-Latn-ME"/>
              </w:rPr>
              <w:t xml:space="preserve"> </w:t>
            </w:r>
            <w:proofErr w:type="spellStart"/>
            <w:r w:rsidRPr="00FB15F5">
              <w:rPr>
                <w:rFonts w:cs="Times New Roman"/>
                <w:sz w:val="22"/>
                <w:szCs w:val="22"/>
                <w:lang w:val="sr-Latn-ME"/>
              </w:rPr>
              <w:t>miokarda</w:t>
            </w:r>
            <w:proofErr w:type="spellEnd"/>
          </w:p>
        </w:tc>
      </w:tr>
      <w:tr w:rsidR="00924B98" w:rsidRPr="00FB15F5" w14:paraId="0BC4BF8E" w14:textId="77777777" w:rsidTr="009F447A">
        <w:trPr>
          <w:trHeight w:val="521"/>
          <w:jc w:val="center"/>
        </w:trPr>
        <w:tc>
          <w:tcPr>
            <w:tcW w:w="2087" w:type="dxa"/>
          </w:tcPr>
          <w:p w14:paraId="508AA49E"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Vaskularni poremećaji</w:t>
            </w:r>
          </w:p>
        </w:tc>
        <w:tc>
          <w:tcPr>
            <w:tcW w:w="2408" w:type="dxa"/>
          </w:tcPr>
          <w:p w14:paraId="71DA287F" w14:textId="77777777" w:rsidR="00924B98" w:rsidRPr="00FB15F5" w:rsidRDefault="00924B98" w:rsidP="00C2081A">
            <w:pPr>
              <w:pStyle w:val="TableText"/>
              <w:jc w:val="center"/>
              <w:rPr>
                <w:rFonts w:cs="Times New Roman"/>
                <w:sz w:val="22"/>
                <w:szCs w:val="22"/>
                <w:lang w:val="sr-Latn-ME"/>
              </w:rPr>
            </w:pPr>
          </w:p>
        </w:tc>
        <w:tc>
          <w:tcPr>
            <w:tcW w:w="2429" w:type="dxa"/>
          </w:tcPr>
          <w:p w14:paraId="59508DF1"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Embolija</w:t>
            </w:r>
          </w:p>
        </w:tc>
        <w:tc>
          <w:tcPr>
            <w:tcW w:w="2416" w:type="dxa"/>
          </w:tcPr>
          <w:p w14:paraId="02622F7F"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Hipertenzija</w:t>
            </w:r>
          </w:p>
        </w:tc>
      </w:tr>
      <w:tr w:rsidR="00924B98" w:rsidRPr="00FB15F5" w14:paraId="7019A447" w14:textId="77777777" w:rsidTr="009F447A">
        <w:trPr>
          <w:trHeight w:val="505"/>
          <w:jc w:val="center"/>
        </w:trPr>
        <w:tc>
          <w:tcPr>
            <w:tcW w:w="2087" w:type="dxa"/>
          </w:tcPr>
          <w:p w14:paraId="15F568B5"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Gastrointestinalni poremećaji</w:t>
            </w:r>
          </w:p>
        </w:tc>
        <w:tc>
          <w:tcPr>
            <w:tcW w:w="2408" w:type="dxa"/>
          </w:tcPr>
          <w:p w14:paraId="02BEA21E" w14:textId="77777777" w:rsidR="00924B98" w:rsidRPr="00FB15F5" w:rsidRDefault="00924B98" w:rsidP="00C2081A">
            <w:pPr>
              <w:pStyle w:val="TableText"/>
              <w:jc w:val="center"/>
              <w:rPr>
                <w:rStyle w:val="TableText9"/>
                <w:rFonts w:cs="Times New Roman"/>
                <w:sz w:val="22"/>
                <w:szCs w:val="22"/>
                <w:lang w:val="sr-Latn-ME"/>
              </w:rPr>
            </w:pPr>
            <w:r w:rsidRPr="00FB15F5">
              <w:rPr>
                <w:rStyle w:val="TableText9"/>
                <w:rFonts w:cs="Times New Roman"/>
                <w:sz w:val="22"/>
                <w:szCs w:val="22"/>
                <w:lang w:val="sr-Latn-ME"/>
              </w:rPr>
              <w:t>Mučnina i Povraćanje</w:t>
            </w:r>
            <w:r w:rsidRPr="00FB15F5">
              <w:rPr>
                <w:rStyle w:val="TableText9"/>
                <w:rFonts w:cs="Times New Roman"/>
                <w:sz w:val="22"/>
                <w:szCs w:val="22"/>
                <w:lang w:val="sr-Latn-ME" w:eastAsia="zh-CN"/>
              </w:rPr>
              <w:t>*</w:t>
            </w:r>
            <w:r w:rsidRPr="00FB15F5">
              <w:rPr>
                <w:rStyle w:val="TableText9"/>
                <w:rFonts w:cs="Times New Roman"/>
                <w:sz w:val="22"/>
                <w:szCs w:val="22"/>
                <w:lang w:val="sr-Latn-ME"/>
              </w:rPr>
              <w:t>,</w:t>
            </w:r>
          </w:p>
          <w:p w14:paraId="665E103B"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Dijareja</w:t>
            </w:r>
            <w:r w:rsidRPr="00FB15F5">
              <w:rPr>
                <w:rStyle w:val="TableText9"/>
                <w:rFonts w:cs="Times New Roman"/>
                <w:sz w:val="22"/>
                <w:szCs w:val="22"/>
                <w:lang w:val="sr-Latn-ME" w:eastAsia="zh-CN"/>
              </w:rPr>
              <w:t>*</w:t>
            </w:r>
          </w:p>
        </w:tc>
        <w:tc>
          <w:tcPr>
            <w:tcW w:w="2429" w:type="dxa"/>
          </w:tcPr>
          <w:p w14:paraId="41A199E4" w14:textId="77777777" w:rsidR="00924B98" w:rsidRPr="00FB15F5" w:rsidRDefault="00924B98" w:rsidP="00C2081A">
            <w:pPr>
              <w:pStyle w:val="TableText"/>
              <w:jc w:val="center"/>
              <w:rPr>
                <w:rFonts w:cs="Times New Roman"/>
                <w:sz w:val="22"/>
                <w:szCs w:val="22"/>
                <w:lang w:val="sr-Latn-ME"/>
              </w:rPr>
            </w:pPr>
          </w:p>
        </w:tc>
        <w:tc>
          <w:tcPr>
            <w:tcW w:w="2416" w:type="dxa"/>
          </w:tcPr>
          <w:p w14:paraId="6F998895" w14:textId="77777777" w:rsidR="00924B98" w:rsidRPr="00FB15F5" w:rsidRDefault="00924B98" w:rsidP="00C2081A">
            <w:pPr>
              <w:pStyle w:val="TableText"/>
              <w:jc w:val="center"/>
              <w:rPr>
                <w:rFonts w:cs="Times New Roman"/>
                <w:sz w:val="22"/>
                <w:szCs w:val="22"/>
                <w:lang w:val="sr-Latn-ME"/>
              </w:rPr>
            </w:pPr>
          </w:p>
        </w:tc>
      </w:tr>
      <w:tr w:rsidR="00924B98" w:rsidRPr="00FB15F5" w14:paraId="6A97D5AB" w14:textId="77777777" w:rsidTr="009F447A">
        <w:trPr>
          <w:trHeight w:val="505"/>
          <w:jc w:val="center"/>
        </w:trPr>
        <w:tc>
          <w:tcPr>
            <w:tcW w:w="2087" w:type="dxa"/>
          </w:tcPr>
          <w:p w14:paraId="22C02437" w14:textId="77777777" w:rsidR="00924B98" w:rsidRPr="00FB15F5" w:rsidRDefault="00924B98" w:rsidP="00C2081A">
            <w:pPr>
              <w:pStyle w:val="TableText"/>
              <w:jc w:val="center"/>
              <w:rPr>
                <w:rFonts w:cs="Times New Roman"/>
                <w:b/>
                <w:sz w:val="22"/>
                <w:szCs w:val="22"/>
                <w:lang w:val="sr-Latn-ME"/>
              </w:rPr>
            </w:pPr>
            <w:proofErr w:type="spellStart"/>
            <w:r w:rsidRPr="00FB15F5">
              <w:rPr>
                <w:rFonts w:cs="Times New Roman"/>
                <w:b/>
                <w:sz w:val="22"/>
                <w:szCs w:val="22"/>
                <w:lang w:val="sr-Latn-ME"/>
              </w:rPr>
              <w:t>Hepatobilijarni</w:t>
            </w:r>
            <w:proofErr w:type="spellEnd"/>
            <w:r w:rsidRPr="00FB15F5">
              <w:rPr>
                <w:rFonts w:cs="Times New Roman"/>
                <w:b/>
                <w:sz w:val="22"/>
                <w:szCs w:val="22"/>
                <w:lang w:val="sr-Latn-ME"/>
              </w:rPr>
              <w:t xml:space="preserve"> poremećaji</w:t>
            </w:r>
          </w:p>
        </w:tc>
        <w:tc>
          <w:tcPr>
            <w:tcW w:w="2408" w:type="dxa"/>
          </w:tcPr>
          <w:p w14:paraId="403A2587"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Poremećaj funkcije jetre</w:t>
            </w:r>
          </w:p>
        </w:tc>
        <w:tc>
          <w:tcPr>
            <w:tcW w:w="2429" w:type="dxa"/>
          </w:tcPr>
          <w:p w14:paraId="11BE73D4" w14:textId="77777777" w:rsidR="00924B98" w:rsidRPr="00FB15F5" w:rsidRDefault="00924B98" w:rsidP="00C2081A">
            <w:pPr>
              <w:pStyle w:val="TableText"/>
              <w:jc w:val="center"/>
              <w:rPr>
                <w:rFonts w:cs="Times New Roman"/>
                <w:sz w:val="22"/>
                <w:szCs w:val="22"/>
                <w:lang w:val="sr-Latn-ME"/>
              </w:rPr>
            </w:pPr>
          </w:p>
        </w:tc>
        <w:tc>
          <w:tcPr>
            <w:tcW w:w="2416" w:type="dxa"/>
          </w:tcPr>
          <w:p w14:paraId="526E3FF1" w14:textId="77777777" w:rsidR="00924B98" w:rsidRPr="00FB15F5" w:rsidRDefault="00924B98" w:rsidP="00C2081A">
            <w:pPr>
              <w:pStyle w:val="TableText"/>
              <w:jc w:val="center"/>
              <w:rPr>
                <w:rFonts w:cs="Times New Roman"/>
                <w:sz w:val="22"/>
                <w:szCs w:val="22"/>
                <w:lang w:val="sr-Latn-ME"/>
              </w:rPr>
            </w:pPr>
          </w:p>
        </w:tc>
      </w:tr>
      <w:tr w:rsidR="00924B98" w:rsidRPr="00FB15F5" w14:paraId="51F1525B" w14:textId="77777777" w:rsidTr="009F447A">
        <w:trPr>
          <w:trHeight w:val="781"/>
          <w:jc w:val="center"/>
        </w:trPr>
        <w:tc>
          <w:tcPr>
            <w:tcW w:w="2087" w:type="dxa"/>
          </w:tcPr>
          <w:p w14:paraId="5DECE825"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Poremećaji na nivou kože i potkožnog tkiva</w:t>
            </w:r>
          </w:p>
        </w:tc>
        <w:tc>
          <w:tcPr>
            <w:tcW w:w="2408" w:type="dxa"/>
          </w:tcPr>
          <w:p w14:paraId="6492CA47" w14:textId="77777777" w:rsidR="00924B98" w:rsidRPr="00FB15F5" w:rsidRDefault="00924B98" w:rsidP="00C2081A">
            <w:pPr>
              <w:pStyle w:val="TableText"/>
              <w:jc w:val="center"/>
              <w:rPr>
                <w:rFonts w:cs="Times New Roman"/>
                <w:sz w:val="22"/>
                <w:szCs w:val="22"/>
                <w:lang w:val="sr-Latn-ME"/>
              </w:rPr>
            </w:pPr>
          </w:p>
        </w:tc>
        <w:tc>
          <w:tcPr>
            <w:tcW w:w="2429" w:type="dxa"/>
          </w:tcPr>
          <w:p w14:paraId="6E66E2C7" w14:textId="77777777" w:rsidR="00924B98" w:rsidRPr="00FB15F5" w:rsidRDefault="00924B98" w:rsidP="00C2081A">
            <w:pPr>
              <w:pStyle w:val="TableText"/>
              <w:jc w:val="center"/>
              <w:rPr>
                <w:rFonts w:cs="Times New Roman"/>
                <w:sz w:val="22"/>
                <w:szCs w:val="22"/>
                <w:lang w:val="sr-Latn-ME"/>
              </w:rPr>
            </w:pPr>
          </w:p>
        </w:tc>
        <w:tc>
          <w:tcPr>
            <w:tcW w:w="2416" w:type="dxa"/>
          </w:tcPr>
          <w:p w14:paraId="7C16D617" w14:textId="77777777" w:rsidR="00924B98" w:rsidRPr="00FB15F5" w:rsidRDefault="00924B98" w:rsidP="00C2081A">
            <w:pPr>
              <w:pStyle w:val="TableText"/>
              <w:jc w:val="center"/>
              <w:rPr>
                <w:rFonts w:cs="Times New Roman"/>
                <w:sz w:val="22"/>
                <w:szCs w:val="22"/>
                <w:lang w:val="sr-Latn-ME"/>
              </w:rPr>
            </w:pPr>
            <w:proofErr w:type="spellStart"/>
            <w:r w:rsidRPr="00FB15F5">
              <w:rPr>
                <w:rStyle w:val="TableText9"/>
                <w:rFonts w:cs="Times New Roman"/>
                <w:sz w:val="22"/>
                <w:szCs w:val="22"/>
                <w:lang w:val="sr-Latn-ME"/>
              </w:rPr>
              <w:t>Angioedem</w:t>
            </w:r>
            <w:proofErr w:type="spellEnd"/>
            <w:r w:rsidRPr="00FB15F5">
              <w:rPr>
                <w:rStyle w:val="TableText9"/>
                <w:rFonts w:cs="Times New Roman"/>
                <w:sz w:val="22"/>
                <w:szCs w:val="22"/>
                <w:lang w:val="sr-Latn-ME"/>
              </w:rPr>
              <w:t>**, Alergijski dermatitis</w:t>
            </w:r>
          </w:p>
          <w:p w14:paraId="13201C7B" w14:textId="77777777" w:rsidR="00924B98" w:rsidRPr="00FB15F5" w:rsidRDefault="00924B98" w:rsidP="00C2081A">
            <w:pPr>
              <w:pStyle w:val="TableText"/>
              <w:jc w:val="center"/>
              <w:rPr>
                <w:rFonts w:cs="Times New Roman"/>
                <w:sz w:val="22"/>
                <w:szCs w:val="22"/>
                <w:lang w:val="sr-Latn-ME"/>
              </w:rPr>
            </w:pPr>
          </w:p>
        </w:tc>
      </w:tr>
      <w:tr w:rsidR="00924B98" w:rsidRPr="00FB15F5" w14:paraId="4E640FB9" w14:textId="77777777" w:rsidTr="009F447A">
        <w:trPr>
          <w:trHeight w:val="1026"/>
          <w:jc w:val="center"/>
        </w:trPr>
        <w:tc>
          <w:tcPr>
            <w:tcW w:w="2087" w:type="dxa"/>
          </w:tcPr>
          <w:p w14:paraId="31F14553"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Poremećaji mišićno-skeletnog, vezivnog i koštanog tkiva</w:t>
            </w:r>
          </w:p>
        </w:tc>
        <w:tc>
          <w:tcPr>
            <w:tcW w:w="2408" w:type="dxa"/>
          </w:tcPr>
          <w:p w14:paraId="0FFD59F2" w14:textId="77777777" w:rsidR="00924B98" w:rsidRPr="00FB15F5" w:rsidRDefault="00924B98" w:rsidP="00C2081A">
            <w:pPr>
              <w:pStyle w:val="TableText"/>
              <w:jc w:val="center"/>
              <w:rPr>
                <w:rFonts w:cs="Times New Roman"/>
                <w:sz w:val="22"/>
                <w:szCs w:val="22"/>
                <w:lang w:val="sr-Latn-ME"/>
              </w:rPr>
            </w:pPr>
          </w:p>
        </w:tc>
        <w:tc>
          <w:tcPr>
            <w:tcW w:w="2429" w:type="dxa"/>
          </w:tcPr>
          <w:p w14:paraId="057055C2" w14:textId="77777777" w:rsidR="00924B98" w:rsidRPr="00FB15F5" w:rsidRDefault="00924B98" w:rsidP="00C2081A">
            <w:pPr>
              <w:pStyle w:val="TableText"/>
              <w:jc w:val="center"/>
              <w:rPr>
                <w:rFonts w:cs="Times New Roman"/>
                <w:sz w:val="22"/>
                <w:szCs w:val="22"/>
                <w:lang w:val="sr-Latn-ME"/>
              </w:rPr>
            </w:pPr>
          </w:p>
        </w:tc>
        <w:tc>
          <w:tcPr>
            <w:tcW w:w="2416" w:type="dxa"/>
          </w:tcPr>
          <w:p w14:paraId="4196B9D6" w14:textId="77777777" w:rsidR="00924B98" w:rsidRPr="00FB15F5" w:rsidRDefault="00924B98" w:rsidP="00C2081A">
            <w:pPr>
              <w:pStyle w:val="TableText"/>
              <w:jc w:val="center"/>
              <w:rPr>
                <w:rFonts w:cs="Times New Roman"/>
                <w:sz w:val="22"/>
                <w:szCs w:val="22"/>
                <w:lang w:val="sr-Latn-ME"/>
              </w:rPr>
            </w:pPr>
            <w:r w:rsidRPr="00FB15F5">
              <w:rPr>
                <w:rStyle w:val="TableText9"/>
                <w:rFonts w:cs="Times New Roman"/>
                <w:sz w:val="22"/>
                <w:szCs w:val="22"/>
                <w:lang w:val="sr-Latn-ME"/>
              </w:rPr>
              <w:t>Mišićna slabost</w:t>
            </w:r>
          </w:p>
        </w:tc>
      </w:tr>
      <w:tr w:rsidR="00924B98" w:rsidRPr="00FB15F5" w14:paraId="5060BCFF" w14:textId="77777777" w:rsidTr="009F447A">
        <w:trPr>
          <w:trHeight w:val="1026"/>
          <w:jc w:val="center"/>
        </w:trPr>
        <w:tc>
          <w:tcPr>
            <w:tcW w:w="2087" w:type="dxa"/>
          </w:tcPr>
          <w:p w14:paraId="6FBC02E5" w14:textId="77777777" w:rsidR="00924B98" w:rsidRPr="00FB15F5" w:rsidRDefault="00924B98" w:rsidP="00C2081A">
            <w:pPr>
              <w:pStyle w:val="TableText"/>
              <w:jc w:val="center"/>
              <w:rPr>
                <w:rFonts w:cs="Times New Roman"/>
                <w:b/>
                <w:sz w:val="22"/>
                <w:szCs w:val="22"/>
                <w:lang w:val="sr-Latn-ME"/>
              </w:rPr>
            </w:pPr>
            <w:r w:rsidRPr="00FB15F5">
              <w:rPr>
                <w:rFonts w:cs="Times New Roman"/>
                <w:b/>
                <w:sz w:val="22"/>
                <w:szCs w:val="22"/>
                <w:lang w:val="sr-Latn-ME"/>
              </w:rPr>
              <w:t>Poremećaji reproduktivnog sistema i na nivou dojki</w:t>
            </w:r>
          </w:p>
        </w:tc>
        <w:tc>
          <w:tcPr>
            <w:tcW w:w="2408" w:type="dxa"/>
          </w:tcPr>
          <w:p w14:paraId="1AC81177" w14:textId="77777777" w:rsidR="00924B98" w:rsidRPr="00FB15F5" w:rsidRDefault="00924B98" w:rsidP="00C2081A">
            <w:pPr>
              <w:pStyle w:val="TableText"/>
              <w:jc w:val="center"/>
              <w:rPr>
                <w:rFonts w:cs="Times New Roman"/>
                <w:sz w:val="22"/>
                <w:szCs w:val="22"/>
                <w:lang w:val="sr-Latn-ME"/>
              </w:rPr>
            </w:pPr>
            <w:proofErr w:type="spellStart"/>
            <w:r w:rsidRPr="00FB15F5">
              <w:rPr>
                <w:rStyle w:val="TableText9"/>
                <w:rFonts w:cs="Times New Roman"/>
                <w:sz w:val="22"/>
                <w:szCs w:val="22"/>
                <w:lang w:val="sr-Latn-ME"/>
              </w:rPr>
              <w:t>Ginekomastija</w:t>
            </w:r>
            <w:proofErr w:type="spellEnd"/>
          </w:p>
        </w:tc>
        <w:tc>
          <w:tcPr>
            <w:tcW w:w="2429" w:type="dxa"/>
          </w:tcPr>
          <w:p w14:paraId="0852C8E4" w14:textId="77777777" w:rsidR="00924B98" w:rsidRPr="00FB15F5" w:rsidRDefault="00924B98" w:rsidP="00C2081A">
            <w:pPr>
              <w:pStyle w:val="TableText"/>
              <w:jc w:val="center"/>
              <w:rPr>
                <w:rFonts w:cs="Times New Roman"/>
                <w:sz w:val="22"/>
                <w:szCs w:val="22"/>
                <w:lang w:val="sr-Latn-ME"/>
              </w:rPr>
            </w:pPr>
          </w:p>
        </w:tc>
        <w:tc>
          <w:tcPr>
            <w:tcW w:w="2416" w:type="dxa"/>
          </w:tcPr>
          <w:p w14:paraId="6AF19151" w14:textId="77777777" w:rsidR="00924B98" w:rsidRPr="00FB15F5" w:rsidRDefault="00924B98" w:rsidP="00C2081A">
            <w:pPr>
              <w:pStyle w:val="TableText"/>
              <w:jc w:val="center"/>
              <w:rPr>
                <w:rFonts w:cs="Times New Roman"/>
                <w:sz w:val="22"/>
                <w:szCs w:val="22"/>
                <w:lang w:val="sr-Latn-ME"/>
              </w:rPr>
            </w:pPr>
            <w:proofErr w:type="spellStart"/>
            <w:r w:rsidRPr="00FB15F5">
              <w:rPr>
                <w:rFonts w:cs="Times New Roman"/>
                <w:sz w:val="22"/>
                <w:szCs w:val="22"/>
                <w:lang w:val="sr-Latn-ME"/>
              </w:rPr>
              <w:t>Erektilna</w:t>
            </w:r>
            <w:proofErr w:type="spellEnd"/>
            <w:r w:rsidRPr="00FB15F5">
              <w:rPr>
                <w:rFonts w:cs="Times New Roman"/>
                <w:sz w:val="22"/>
                <w:szCs w:val="22"/>
                <w:lang w:val="sr-Latn-ME"/>
              </w:rPr>
              <w:t xml:space="preserve"> </w:t>
            </w:r>
            <w:proofErr w:type="spellStart"/>
            <w:r w:rsidRPr="00FB15F5">
              <w:rPr>
                <w:rFonts w:cs="Times New Roman"/>
                <w:sz w:val="22"/>
                <w:szCs w:val="22"/>
                <w:lang w:val="sr-Latn-ME"/>
              </w:rPr>
              <w:t>disfukcija</w:t>
            </w:r>
            <w:proofErr w:type="spellEnd"/>
          </w:p>
        </w:tc>
      </w:tr>
    </w:tbl>
    <w:p w14:paraId="7C32BE61" w14:textId="77777777" w:rsidR="00924B98" w:rsidRPr="00FB15F5" w:rsidRDefault="00924B98" w:rsidP="00924B98">
      <w:pPr>
        <w:ind w:left="180" w:hanging="180"/>
        <w:jc w:val="center"/>
        <w:rPr>
          <w:rStyle w:val="TableText9"/>
          <w:sz w:val="22"/>
          <w:szCs w:val="22"/>
          <w:lang w:val="sr-Latn-ME"/>
        </w:rPr>
      </w:pPr>
      <w:r w:rsidRPr="00FB15F5">
        <w:rPr>
          <w:rStyle w:val="TableText9"/>
          <w:sz w:val="22"/>
          <w:szCs w:val="22"/>
          <w:lang w:val="sr-Latn-ME" w:eastAsia="zh-CN"/>
        </w:rPr>
        <w:t>*Ove neželjene reakcije ispoljavaju se u</w:t>
      </w:r>
      <w:r w:rsidRPr="00FB15F5">
        <w:rPr>
          <w:sz w:val="22"/>
          <w:szCs w:val="22"/>
          <w:lang w:val="sr-Latn-ME"/>
        </w:rPr>
        <w:t>glavnom tokom prve dvije nedjelje od početka terapije</w:t>
      </w:r>
      <w:r w:rsidRPr="00FB15F5">
        <w:rPr>
          <w:sz w:val="22"/>
          <w:szCs w:val="22"/>
          <w:lang w:val="sr-Latn-ME" w:eastAsia="zh-CN"/>
        </w:rPr>
        <w:t>.</w:t>
      </w:r>
    </w:p>
    <w:p w14:paraId="41BE7B96" w14:textId="77777777" w:rsidR="00924B98" w:rsidRPr="00FB15F5" w:rsidRDefault="00924B98" w:rsidP="00924B98">
      <w:pPr>
        <w:pStyle w:val="TableText"/>
        <w:jc w:val="center"/>
        <w:rPr>
          <w:rFonts w:cs="Times New Roman"/>
          <w:sz w:val="22"/>
          <w:szCs w:val="22"/>
          <w:lang w:val="sr-Latn-ME"/>
        </w:rPr>
      </w:pPr>
      <w:r w:rsidRPr="00FB15F5">
        <w:rPr>
          <w:rStyle w:val="TableText9"/>
          <w:rFonts w:cs="Times New Roman"/>
          <w:sz w:val="22"/>
          <w:szCs w:val="22"/>
          <w:lang w:val="sr-Latn-ME"/>
        </w:rPr>
        <w:t>**</w:t>
      </w:r>
      <w:proofErr w:type="spellStart"/>
      <w:r w:rsidRPr="00FB15F5">
        <w:rPr>
          <w:rFonts w:cs="Times New Roman"/>
          <w:sz w:val="22"/>
          <w:szCs w:val="22"/>
          <w:lang w:val="sr-Latn-ME"/>
        </w:rPr>
        <w:t>Angioedem</w:t>
      </w:r>
      <w:proofErr w:type="spellEnd"/>
      <w:r w:rsidRPr="00FB15F5">
        <w:rPr>
          <w:rFonts w:cs="Times New Roman"/>
          <w:sz w:val="22"/>
          <w:szCs w:val="22"/>
          <w:lang w:val="sr-Latn-ME"/>
        </w:rPr>
        <w:t xml:space="preserve"> (</w:t>
      </w:r>
      <w:proofErr w:type="spellStart"/>
      <w:r w:rsidRPr="00FB15F5">
        <w:rPr>
          <w:rFonts w:cs="Times New Roman"/>
          <w:i/>
          <w:sz w:val="22"/>
          <w:szCs w:val="22"/>
          <w:lang w:val="sr-Latn-ME"/>
        </w:rPr>
        <w:t>Quincke</w:t>
      </w:r>
      <w:proofErr w:type="spellEnd"/>
      <w:r w:rsidRPr="00FB15F5">
        <w:rPr>
          <w:rFonts w:cs="Times New Roman"/>
          <w:sz w:val="22"/>
          <w:szCs w:val="22"/>
          <w:lang w:val="sr-Latn-ME"/>
        </w:rPr>
        <w:t xml:space="preserve">-ov </w:t>
      </w:r>
      <w:proofErr w:type="spellStart"/>
      <w:r w:rsidRPr="00FB15F5">
        <w:rPr>
          <w:rFonts w:cs="Times New Roman"/>
          <w:sz w:val="22"/>
          <w:szCs w:val="22"/>
          <w:lang w:val="sr-Latn-ME"/>
        </w:rPr>
        <w:t>edem</w:t>
      </w:r>
      <w:proofErr w:type="spellEnd"/>
      <w:r w:rsidRPr="00FB15F5">
        <w:rPr>
          <w:rFonts w:cs="Times New Roman"/>
          <w:sz w:val="22"/>
          <w:szCs w:val="22"/>
          <w:lang w:val="sr-Latn-ME"/>
        </w:rPr>
        <w:t xml:space="preserve">, </w:t>
      </w:r>
      <w:proofErr w:type="spellStart"/>
      <w:r w:rsidRPr="00FB15F5">
        <w:rPr>
          <w:rFonts w:cs="Times New Roman"/>
          <w:sz w:val="22"/>
          <w:szCs w:val="22"/>
          <w:lang w:val="sr-Latn-ME"/>
        </w:rPr>
        <w:t>edem</w:t>
      </w:r>
      <w:proofErr w:type="spellEnd"/>
      <w:r w:rsidRPr="00FB15F5">
        <w:rPr>
          <w:rFonts w:cs="Times New Roman"/>
          <w:sz w:val="22"/>
          <w:szCs w:val="22"/>
          <w:lang w:val="sr-Latn-ME"/>
        </w:rPr>
        <w:t xml:space="preserve"> </w:t>
      </w:r>
      <w:proofErr w:type="spellStart"/>
      <w:r w:rsidRPr="00FB15F5">
        <w:rPr>
          <w:rFonts w:cs="Times New Roman"/>
          <w:sz w:val="22"/>
          <w:szCs w:val="22"/>
          <w:lang w:val="sr-Latn-ME"/>
        </w:rPr>
        <w:t>laringsa</w:t>
      </w:r>
      <w:proofErr w:type="spellEnd"/>
      <w:r w:rsidRPr="00FB15F5">
        <w:rPr>
          <w:rFonts w:cs="Times New Roman"/>
          <w:sz w:val="22"/>
          <w:szCs w:val="22"/>
          <w:lang w:val="sr-Latn-ME"/>
        </w:rPr>
        <w:t>) takođe se može ispoljiti. U mnogim prijavljenim slučajevima, uključujući jedan sa smrtnim ishodom, pacijenti su istovremeno primali i ACE-</w:t>
      </w:r>
      <w:proofErr w:type="spellStart"/>
      <w:r w:rsidRPr="00FB15F5">
        <w:rPr>
          <w:rFonts w:cs="Times New Roman"/>
          <w:sz w:val="22"/>
          <w:szCs w:val="22"/>
          <w:lang w:val="sr-Latn-ME"/>
        </w:rPr>
        <w:t>inhibitore</w:t>
      </w:r>
      <w:proofErr w:type="spellEnd"/>
      <w:r w:rsidRPr="00FB15F5">
        <w:rPr>
          <w:rFonts w:cs="Times New Roman"/>
          <w:sz w:val="22"/>
          <w:szCs w:val="22"/>
          <w:lang w:val="sr-Latn-ME"/>
        </w:rPr>
        <w:t xml:space="preserve">. Ukoliko se </w:t>
      </w:r>
      <w:proofErr w:type="spellStart"/>
      <w:r w:rsidRPr="00FB15F5">
        <w:rPr>
          <w:rFonts w:cs="Times New Roman"/>
          <w:sz w:val="22"/>
          <w:szCs w:val="22"/>
          <w:lang w:val="sr-Latn-ME"/>
        </w:rPr>
        <w:t>angioneurotički</w:t>
      </w:r>
      <w:proofErr w:type="spellEnd"/>
      <w:r w:rsidRPr="00FB15F5">
        <w:rPr>
          <w:rFonts w:cs="Times New Roman"/>
          <w:sz w:val="22"/>
          <w:szCs w:val="22"/>
          <w:lang w:val="sr-Latn-ME"/>
        </w:rPr>
        <w:t xml:space="preserve"> </w:t>
      </w:r>
      <w:proofErr w:type="spellStart"/>
      <w:r w:rsidRPr="00FB15F5">
        <w:rPr>
          <w:rFonts w:cs="Times New Roman"/>
          <w:sz w:val="22"/>
          <w:szCs w:val="22"/>
          <w:lang w:val="sr-Latn-ME"/>
        </w:rPr>
        <w:t>edem</w:t>
      </w:r>
      <w:proofErr w:type="spellEnd"/>
      <w:r w:rsidRPr="00FB15F5">
        <w:rPr>
          <w:rFonts w:cs="Times New Roman"/>
          <w:sz w:val="22"/>
          <w:szCs w:val="22"/>
          <w:lang w:val="sr-Latn-ME"/>
        </w:rPr>
        <w:t xml:space="preserve"> javi, terapiju </w:t>
      </w:r>
      <w:proofErr w:type="spellStart"/>
      <w:r w:rsidRPr="00FB15F5">
        <w:rPr>
          <w:rFonts w:cs="Times New Roman"/>
          <w:sz w:val="22"/>
          <w:szCs w:val="22"/>
          <w:lang w:val="sr-Latn-ME"/>
        </w:rPr>
        <w:t>estramustinom</w:t>
      </w:r>
      <w:proofErr w:type="spellEnd"/>
      <w:r w:rsidRPr="00FB15F5">
        <w:rPr>
          <w:rFonts w:cs="Times New Roman"/>
          <w:sz w:val="22"/>
          <w:szCs w:val="22"/>
          <w:lang w:val="sr-Latn-ME"/>
        </w:rPr>
        <w:t xml:space="preserve"> treba odmah prekinuti.</w:t>
      </w:r>
    </w:p>
    <w:p w14:paraId="41F3DB79" w14:textId="77777777" w:rsidR="004E70AD" w:rsidRPr="00FB15F5" w:rsidRDefault="004E70AD" w:rsidP="00480FB1">
      <w:pPr>
        <w:tabs>
          <w:tab w:val="left" w:pos="540"/>
          <w:tab w:val="left" w:pos="569"/>
        </w:tabs>
        <w:rPr>
          <w:b/>
          <w:bCs/>
          <w:sz w:val="22"/>
          <w:szCs w:val="22"/>
          <w:lang w:val="sr-Latn-ME"/>
        </w:rPr>
      </w:pPr>
    </w:p>
    <w:p w14:paraId="4337901E" w14:textId="77777777" w:rsidR="005A23D2" w:rsidRPr="00FB15F5" w:rsidRDefault="005A23D2" w:rsidP="00A46C9A">
      <w:pPr>
        <w:spacing w:after="200" w:line="276" w:lineRule="auto"/>
        <w:rPr>
          <w:rFonts w:eastAsia="Calibri"/>
          <w:sz w:val="22"/>
          <w:szCs w:val="22"/>
          <w:u w:val="single"/>
          <w:lang w:val="sr-Latn-ME"/>
        </w:rPr>
      </w:pPr>
      <w:r w:rsidRPr="00FB15F5">
        <w:rPr>
          <w:rFonts w:eastAsia="Calibri"/>
          <w:sz w:val="22"/>
          <w:szCs w:val="22"/>
          <w:u w:val="single"/>
          <w:lang w:val="sr-Latn-ME"/>
        </w:rPr>
        <w:t>Prijavljivanje sumnji na neželjena dejstva</w:t>
      </w:r>
    </w:p>
    <w:p w14:paraId="45A09C99" w14:textId="77777777" w:rsidR="005A23D2" w:rsidRPr="00FB15F5" w:rsidRDefault="005A23D2" w:rsidP="00A46C9A">
      <w:pPr>
        <w:spacing w:after="200"/>
        <w:jc w:val="both"/>
        <w:rPr>
          <w:rFonts w:eastAsia="Calibri"/>
          <w:sz w:val="22"/>
          <w:szCs w:val="22"/>
          <w:lang w:val="sr-Latn-ME"/>
        </w:rPr>
      </w:pPr>
      <w:r w:rsidRPr="00FB15F5">
        <w:rPr>
          <w:rFonts w:eastAsia="Calibri"/>
          <w:sz w:val="22"/>
          <w:szCs w:val="22"/>
          <w:lang w:val="sr-Latn-ME"/>
        </w:rPr>
        <w:lastRenderedPageBreak/>
        <w:t>Prijavljivanje neželjenih dejstava nakon dobijanja dozvole je od velikog značaja jer obezbjeđuje kont</w:t>
      </w:r>
      <w:r w:rsidR="00EA5765" w:rsidRPr="00FB15F5">
        <w:rPr>
          <w:rFonts w:eastAsia="Calibri"/>
          <w:sz w:val="22"/>
          <w:szCs w:val="22"/>
          <w:lang w:val="sr-Latn-ME"/>
        </w:rPr>
        <w:t>inuirano praćenje odnosa korist</w:t>
      </w:r>
      <w:r w:rsidRPr="00FB15F5">
        <w:rPr>
          <w:rFonts w:eastAsia="Calibri"/>
          <w:sz w:val="22"/>
          <w:szCs w:val="22"/>
          <w:lang w:val="sr-Latn-ME"/>
        </w:rPr>
        <w:t>/rizik primjene lijeka. Zdravstveni radnici treba da prijave svaku sumnju na neželjeno</w:t>
      </w:r>
      <w:r w:rsidR="009B062A" w:rsidRPr="00FB15F5">
        <w:rPr>
          <w:rFonts w:eastAsia="Calibri"/>
          <w:sz w:val="22"/>
          <w:szCs w:val="22"/>
          <w:lang w:val="sr-Latn-ME"/>
        </w:rPr>
        <w:t xml:space="preserve"> </w:t>
      </w:r>
      <w:r w:rsidRPr="00FB15F5">
        <w:rPr>
          <w:rFonts w:eastAsia="Calibri"/>
          <w:sz w:val="22"/>
          <w:szCs w:val="22"/>
          <w:lang w:val="sr-Latn-ME"/>
        </w:rPr>
        <w:t xml:space="preserve">dejstvo ovog lijeka </w:t>
      </w:r>
      <w:r w:rsidR="004E70AD" w:rsidRPr="00FB15F5">
        <w:rPr>
          <w:rFonts w:eastAsia="Calibri"/>
          <w:sz w:val="22"/>
          <w:szCs w:val="22"/>
          <w:lang w:val="sr-Latn-ME"/>
        </w:rPr>
        <w:t>Institutu</w:t>
      </w:r>
      <w:r w:rsidRPr="00FB15F5">
        <w:rPr>
          <w:rFonts w:eastAsia="Calibri"/>
          <w:sz w:val="22"/>
          <w:szCs w:val="22"/>
          <w:lang w:val="sr-Latn-ME"/>
        </w:rPr>
        <w:t xml:space="preserve"> za ljekove i medicinska sredstva</w:t>
      </w:r>
      <w:r w:rsidR="004E70AD" w:rsidRPr="00FB15F5">
        <w:rPr>
          <w:rFonts w:eastAsia="Calibri"/>
          <w:sz w:val="22"/>
          <w:szCs w:val="22"/>
          <w:lang w:val="sr-Latn-ME"/>
        </w:rPr>
        <w:t xml:space="preserve"> </w:t>
      </w:r>
      <w:r w:rsidRPr="00FB15F5">
        <w:rPr>
          <w:rFonts w:eastAsia="Calibri"/>
          <w:sz w:val="22"/>
          <w:szCs w:val="22"/>
          <w:lang w:val="sr-Latn-ME"/>
        </w:rPr>
        <w:t>(</w:t>
      </w:r>
      <w:r w:rsidR="004E70AD" w:rsidRPr="00FB15F5">
        <w:rPr>
          <w:rFonts w:eastAsia="Calibri"/>
          <w:sz w:val="22"/>
          <w:szCs w:val="22"/>
          <w:lang w:val="sr-Latn-ME"/>
        </w:rPr>
        <w:t>CInMED</w:t>
      </w:r>
      <w:r w:rsidRPr="00FB15F5">
        <w:rPr>
          <w:rFonts w:eastAsia="Calibri"/>
          <w:sz w:val="22"/>
          <w:szCs w:val="22"/>
          <w:lang w:val="sr-Latn-ME"/>
        </w:rPr>
        <w:t>):</w:t>
      </w:r>
    </w:p>
    <w:p w14:paraId="3DA48149" w14:textId="77777777" w:rsidR="005A23D2" w:rsidRPr="00FB15F5" w:rsidRDefault="004E70AD" w:rsidP="00A46C9A">
      <w:pPr>
        <w:pStyle w:val="NoSpacing"/>
        <w:jc w:val="both"/>
        <w:rPr>
          <w:rFonts w:eastAsia="Calibri"/>
          <w:sz w:val="22"/>
          <w:szCs w:val="22"/>
          <w:lang w:val="sr-Latn-ME"/>
        </w:rPr>
      </w:pPr>
      <w:r w:rsidRPr="00FB15F5">
        <w:rPr>
          <w:rFonts w:eastAsia="Calibri"/>
          <w:sz w:val="22"/>
          <w:szCs w:val="22"/>
          <w:lang w:val="sr-Latn-ME"/>
        </w:rPr>
        <w:t xml:space="preserve">Institut </w:t>
      </w:r>
      <w:r w:rsidR="005A23D2" w:rsidRPr="00FB15F5">
        <w:rPr>
          <w:rFonts w:eastAsia="Calibri"/>
          <w:sz w:val="22"/>
          <w:szCs w:val="22"/>
          <w:lang w:val="sr-Latn-ME"/>
        </w:rPr>
        <w:t xml:space="preserve">za ljekove i medicinska sredstva </w:t>
      </w:r>
    </w:p>
    <w:p w14:paraId="6B008FFB" w14:textId="77777777" w:rsidR="005A23D2" w:rsidRPr="00FB15F5" w:rsidRDefault="005A23D2" w:rsidP="00A46C9A">
      <w:pPr>
        <w:pStyle w:val="NoSpacing"/>
        <w:jc w:val="both"/>
        <w:rPr>
          <w:rFonts w:eastAsia="Calibri"/>
          <w:sz w:val="22"/>
          <w:szCs w:val="22"/>
          <w:lang w:val="sr-Latn-ME"/>
        </w:rPr>
      </w:pPr>
      <w:r w:rsidRPr="00FB15F5">
        <w:rPr>
          <w:rFonts w:eastAsia="Calibri"/>
          <w:sz w:val="22"/>
          <w:szCs w:val="22"/>
          <w:lang w:val="sr-Latn-ME"/>
        </w:rPr>
        <w:t xml:space="preserve">Odjeljenje za </w:t>
      </w:r>
      <w:proofErr w:type="spellStart"/>
      <w:r w:rsidRPr="00FB15F5">
        <w:rPr>
          <w:rFonts w:eastAsia="Calibri"/>
          <w:sz w:val="22"/>
          <w:szCs w:val="22"/>
          <w:lang w:val="sr-Latn-ME"/>
        </w:rPr>
        <w:t>farmakovigilancu</w:t>
      </w:r>
      <w:proofErr w:type="spellEnd"/>
    </w:p>
    <w:p w14:paraId="0FA06E72" w14:textId="77777777" w:rsidR="00EA5765" w:rsidRPr="00FB15F5" w:rsidRDefault="005A23D2" w:rsidP="00A46C9A">
      <w:pPr>
        <w:pStyle w:val="NoSpacing"/>
        <w:jc w:val="both"/>
        <w:rPr>
          <w:rFonts w:eastAsia="Calibri"/>
          <w:sz w:val="22"/>
          <w:szCs w:val="22"/>
          <w:lang w:val="sr-Latn-ME"/>
        </w:rPr>
      </w:pPr>
      <w:r w:rsidRPr="00FB15F5">
        <w:rPr>
          <w:rFonts w:eastAsia="Calibri"/>
          <w:sz w:val="22"/>
          <w:szCs w:val="22"/>
          <w:lang w:val="sr-Latn-ME"/>
        </w:rPr>
        <w:t>Bulevar Ivana Crnojevića 64a, 81000 Podgorica</w:t>
      </w:r>
    </w:p>
    <w:p w14:paraId="18B9D260" w14:textId="77777777" w:rsidR="00EA5765" w:rsidRPr="00FB15F5" w:rsidRDefault="00EA5765" w:rsidP="00A46C9A">
      <w:pPr>
        <w:pStyle w:val="NoSpacing"/>
        <w:rPr>
          <w:rFonts w:eastAsia="Calibri"/>
          <w:sz w:val="22"/>
          <w:szCs w:val="22"/>
          <w:lang w:val="sr-Latn-ME"/>
        </w:rPr>
      </w:pPr>
    </w:p>
    <w:p w14:paraId="2BC860E0" w14:textId="77777777" w:rsidR="005A23D2" w:rsidRPr="00FB15F5" w:rsidRDefault="005A23D2" w:rsidP="00A46C9A">
      <w:pPr>
        <w:pStyle w:val="NoSpacing"/>
        <w:jc w:val="both"/>
        <w:rPr>
          <w:rFonts w:eastAsia="Calibri"/>
          <w:sz w:val="22"/>
          <w:szCs w:val="22"/>
          <w:lang w:val="sr-Latn-ME"/>
        </w:rPr>
      </w:pPr>
      <w:r w:rsidRPr="00FB15F5">
        <w:rPr>
          <w:rFonts w:eastAsia="Calibri"/>
          <w:sz w:val="22"/>
          <w:szCs w:val="22"/>
          <w:lang w:val="sr-Latn-ME"/>
        </w:rPr>
        <w:t>tel: +382 (0) 20 310 280</w:t>
      </w:r>
    </w:p>
    <w:p w14:paraId="41394D76" w14:textId="77777777" w:rsidR="00EA5765" w:rsidRPr="00FB15F5" w:rsidRDefault="005A23D2" w:rsidP="00FF3EDF">
      <w:pPr>
        <w:pStyle w:val="NoSpacing"/>
        <w:tabs>
          <w:tab w:val="left" w:pos="6720"/>
        </w:tabs>
        <w:jc w:val="both"/>
        <w:rPr>
          <w:rFonts w:eastAsia="Calibri"/>
          <w:sz w:val="22"/>
          <w:szCs w:val="22"/>
          <w:lang w:val="sr-Latn-ME"/>
        </w:rPr>
      </w:pPr>
      <w:proofErr w:type="spellStart"/>
      <w:r w:rsidRPr="00FB15F5">
        <w:rPr>
          <w:rFonts w:eastAsia="Calibri"/>
          <w:sz w:val="22"/>
          <w:szCs w:val="22"/>
          <w:lang w:val="sr-Latn-ME"/>
        </w:rPr>
        <w:t>fax</w:t>
      </w:r>
      <w:proofErr w:type="spellEnd"/>
      <w:r w:rsidRPr="00FB15F5">
        <w:rPr>
          <w:rFonts w:eastAsia="Calibri"/>
          <w:sz w:val="22"/>
          <w:szCs w:val="22"/>
          <w:lang w:val="sr-Latn-ME"/>
        </w:rPr>
        <w:t>:</w:t>
      </w:r>
      <w:r w:rsidR="00EA5765" w:rsidRPr="00FB15F5">
        <w:rPr>
          <w:rFonts w:eastAsia="Calibri"/>
          <w:sz w:val="22"/>
          <w:szCs w:val="22"/>
          <w:lang w:val="sr-Latn-ME"/>
        </w:rPr>
        <w:t xml:space="preserve"> </w:t>
      </w:r>
      <w:r w:rsidRPr="00FB15F5">
        <w:rPr>
          <w:rFonts w:eastAsia="Calibri"/>
          <w:sz w:val="22"/>
          <w:szCs w:val="22"/>
          <w:lang w:val="sr-Latn-ME"/>
        </w:rPr>
        <w:t>+382 (0) 20 310 581</w:t>
      </w:r>
      <w:r w:rsidR="00FF3EDF" w:rsidRPr="00FB15F5">
        <w:rPr>
          <w:rFonts w:eastAsia="Calibri"/>
          <w:sz w:val="22"/>
          <w:szCs w:val="22"/>
          <w:lang w:val="sr-Latn-ME"/>
        </w:rPr>
        <w:tab/>
      </w:r>
    </w:p>
    <w:p w14:paraId="4E5D8AC6" w14:textId="77777777" w:rsidR="005A23D2" w:rsidRPr="00FB15F5" w:rsidRDefault="00547A39" w:rsidP="00A46C9A">
      <w:pPr>
        <w:pStyle w:val="NoSpacing"/>
        <w:jc w:val="both"/>
        <w:rPr>
          <w:rFonts w:eastAsia="Calibri"/>
          <w:sz w:val="22"/>
          <w:szCs w:val="22"/>
          <w:lang w:val="sr-Latn-ME"/>
        </w:rPr>
      </w:pPr>
      <w:hyperlink r:id="rId8" w:history="1">
        <w:r w:rsidR="004E70AD" w:rsidRPr="00FB15F5">
          <w:rPr>
            <w:rStyle w:val="Hyperlink"/>
            <w:rFonts w:eastAsia="Calibri"/>
            <w:sz w:val="22"/>
            <w:szCs w:val="22"/>
            <w:lang w:val="sr-Latn-ME"/>
          </w:rPr>
          <w:t>www.cinmed.me</w:t>
        </w:r>
      </w:hyperlink>
    </w:p>
    <w:p w14:paraId="75A19EC6" w14:textId="77777777" w:rsidR="00EA5765" w:rsidRPr="00FB15F5" w:rsidRDefault="00547A39" w:rsidP="00A46C9A">
      <w:pPr>
        <w:pStyle w:val="NoSpacing"/>
        <w:jc w:val="both"/>
        <w:rPr>
          <w:rFonts w:eastAsia="Calibri"/>
          <w:color w:val="0000FF"/>
          <w:sz w:val="22"/>
          <w:szCs w:val="22"/>
          <w:u w:val="single"/>
          <w:lang w:val="sr-Latn-ME"/>
        </w:rPr>
      </w:pPr>
      <w:hyperlink r:id="rId9" w:history="1">
        <w:r w:rsidR="004E70AD" w:rsidRPr="00FB15F5">
          <w:rPr>
            <w:rStyle w:val="Hyperlink"/>
            <w:rFonts w:eastAsia="Calibri"/>
            <w:sz w:val="22"/>
            <w:szCs w:val="22"/>
            <w:lang w:val="sr-Latn-ME"/>
          </w:rPr>
          <w:t>nezeljenadejstva@cinmed.me</w:t>
        </w:r>
      </w:hyperlink>
    </w:p>
    <w:p w14:paraId="545511C2" w14:textId="77777777" w:rsidR="005A23D2" w:rsidRPr="00FB15F5" w:rsidRDefault="005A23D2" w:rsidP="00A46C9A">
      <w:pPr>
        <w:pStyle w:val="NoSpacing"/>
        <w:jc w:val="both"/>
        <w:rPr>
          <w:rFonts w:eastAsia="Calibri"/>
          <w:sz w:val="22"/>
          <w:szCs w:val="22"/>
          <w:lang w:val="sr-Latn-ME"/>
        </w:rPr>
      </w:pPr>
      <w:r w:rsidRPr="00FB15F5">
        <w:rPr>
          <w:rFonts w:eastAsia="Calibri"/>
          <w:sz w:val="22"/>
          <w:szCs w:val="22"/>
          <w:lang w:val="sr-Latn-ME"/>
        </w:rPr>
        <w:t>putem IS zdravstvene zaštite</w:t>
      </w:r>
    </w:p>
    <w:p w14:paraId="5E9714D1" w14:textId="77777777" w:rsidR="007E31E9" w:rsidRPr="00FB15F5" w:rsidRDefault="007E31E9" w:rsidP="00A46C9A">
      <w:pPr>
        <w:pStyle w:val="NoSpacing"/>
        <w:jc w:val="both"/>
        <w:rPr>
          <w:rFonts w:eastAsia="Calibri"/>
          <w:sz w:val="22"/>
          <w:szCs w:val="22"/>
          <w:lang w:val="sr-Latn-ME"/>
        </w:rPr>
      </w:pPr>
      <w:proofErr w:type="spellStart"/>
      <w:r w:rsidRPr="00FB15F5">
        <w:rPr>
          <w:rFonts w:eastAsia="Calibri"/>
          <w:sz w:val="22"/>
          <w:szCs w:val="22"/>
          <w:lang w:val="sr-Latn-ME"/>
        </w:rPr>
        <w:t>QR</w:t>
      </w:r>
      <w:proofErr w:type="spellEnd"/>
      <w:r w:rsidRPr="00FB15F5">
        <w:rPr>
          <w:rFonts w:eastAsia="Calibri"/>
          <w:sz w:val="22"/>
          <w:szCs w:val="22"/>
          <w:lang w:val="sr-Latn-ME"/>
        </w:rPr>
        <w:t xml:space="preserve"> kod za </w:t>
      </w:r>
      <w:proofErr w:type="spellStart"/>
      <w:r w:rsidRPr="00FB15F5">
        <w:rPr>
          <w:rFonts w:eastAsia="Calibri"/>
          <w:sz w:val="22"/>
          <w:szCs w:val="22"/>
          <w:lang w:val="sr-Latn-ME"/>
        </w:rPr>
        <w:t>online</w:t>
      </w:r>
      <w:proofErr w:type="spellEnd"/>
      <w:r w:rsidRPr="00FB15F5">
        <w:rPr>
          <w:rFonts w:eastAsia="Calibri"/>
          <w:sz w:val="22"/>
          <w:szCs w:val="22"/>
          <w:lang w:val="sr-Latn-ME"/>
        </w:rPr>
        <w:t xml:space="preserve"> prijavu</w:t>
      </w:r>
      <w:r w:rsidR="00D74CD2" w:rsidRPr="00FB15F5">
        <w:rPr>
          <w:rFonts w:eastAsia="Calibri"/>
          <w:sz w:val="22"/>
          <w:szCs w:val="22"/>
          <w:lang w:val="sr-Latn-ME"/>
        </w:rPr>
        <w:t xml:space="preserve"> sumnje na neželjeno dejstvo lijeka</w:t>
      </w:r>
      <w:r w:rsidRPr="00FB15F5">
        <w:rPr>
          <w:rFonts w:eastAsia="Calibri"/>
          <w:sz w:val="22"/>
          <w:szCs w:val="22"/>
          <w:lang w:val="sr-Latn-ME"/>
        </w:rPr>
        <w:t>:</w:t>
      </w:r>
    </w:p>
    <w:p w14:paraId="650691DB" w14:textId="77777777" w:rsidR="007E31E9" w:rsidRPr="00FB15F5" w:rsidRDefault="007E31E9" w:rsidP="00A46C9A">
      <w:pPr>
        <w:pStyle w:val="NoSpacing"/>
        <w:jc w:val="both"/>
        <w:rPr>
          <w:rFonts w:eastAsia="Calibri"/>
          <w:sz w:val="22"/>
          <w:szCs w:val="22"/>
          <w:lang w:val="sr-Latn-ME"/>
        </w:rPr>
      </w:pPr>
    </w:p>
    <w:p w14:paraId="48166908" w14:textId="77777777" w:rsidR="004F17E2" w:rsidRPr="00FB15F5" w:rsidRDefault="007E31E9" w:rsidP="007E31E9">
      <w:pPr>
        <w:pStyle w:val="NoSpacing"/>
        <w:rPr>
          <w:rFonts w:eastAsia="Calibri"/>
          <w:sz w:val="22"/>
          <w:szCs w:val="22"/>
          <w:lang w:val="sr-Latn-ME"/>
        </w:rPr>
      </w:pPr>
      <w:r w:rsidRPr="00FB15F5">
        <w:rPr>
          <w:noProof/>
          <w:sz w:val="22"/>
          <w:szCs w:val="22"/>
          <w:lang w:val="sr-Latn-ME" w:eastAsia="sr-Latn-ME"/>
        </w:rPr>
        <w:drawing>
          <wp:inline distT="0" distB="0" distL="0" distR="0" wp14:anchorId="5FADB9DA" wp14:editId="26BFCA5F">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EC83605" w14:textId="77777777" w:rsidR="00836B35" w:rsidRPr="00FB15F5" w:rsidRDefault="00836B35" w:rsidP="00480FB1">
      <w:pPr>
        <w:tabs>
          <w:tab w:val="left" w:pos="540"/>
          <w:tab w:val="left" w:pos="569"/>
        </w:tabs>
        <w:rPr>
          <w:b/>
          <w:bCs/>
          <w:sz w:val="22"/>
          <w:szCs w:val="22"/>
          <w:lang w:val="sr-Latn-ME"/>
        </w:rPr>
      </w:pPr>
    </w:p>
    <w:p w14:paraId="01CD16B1" w14:textId="77777777" w:rsidR="00CD6F02"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4.9. </w:t>
      </w:r>
      <w:r w:rsidR="00480FB1" w:rsidRPr="00FB15F5">
        <w:rPr>
          <w:b/>
          <w:bCs/>
          <w:sz w:val="22"/>
          <w:szCs w:val="22"/>
          <w:lang w:val="sr-Latn-ME"/>
        </w:rPr>
        <w:tab/>
      </w:r>
      <w:proofErr w:type="spellStart"/>
      <w:r w:rsidRPr="00FB15F5">
        <w:rPr>
          <w:b/>
          <w:bCs/>
          <w:sz w:val="22"/>
          <w:szCs w:val="22"/>
          <w:lang w:val="sr-Latn-ME"/>
        </w:rPr>
        <w:t>Predoziranje</w:t>
      </w:r>
      <w:proofErr w:type="spellEnd"/>
      <w:r w:rsidR="002846DB" w:rsidRPr="00FB15F5">
        <w:rPr>
          <w:b/>
          <w:bCs/>
          <w:sz w:val="22"/>
          <w:szCs w:val="22"/>
          <w:lang w:val="sr-Latn-ME"/>
        </w:rPr>
        <w:t xml:space="preserve"> </w:t>
      </w:r>
    </w:p>
    <w:p w14:paraId="33EC329C" w14:textId="77777777" w:rsidR="00CD6F02" w:rsidRPr="00FB15F5" w:rsidRDefault="00CD6F02" w:rsidP="00480FB1">
      <w:pPr>
        <w:tabs>
          <w:tab w:val="left" w:pos="540"/>
          <w:tab w:val="left" w:pos="569"/>
        </w:tabs>
        <w:rPr>
          <w:b/>
          <w:bCs/>
          <w:sz w:val="22"/>
          <w:szCs w:val="22"/>
          <w:lang w:val="sr-Latn-ME"/>
        </w:rPr>
      </w:pPr>
    </w:p>
    <w:p w14:paraId="6744E57A" w14:textId="77777777" w:rsidR="003D1B15" w:rsidRPr="00FB15F5" w:rsidRDefault="003D1B15" w:rsidP="009F447A">
      <w:pPr>
        <w:jc w:val="both"/>
        <w:rPr>
          <w:sz w:val="22"/>
          <w:szCs w:val="22"/>
          <w:lang w:val="sr-Latn-ME"/>
        </w:rPr>
      </w:pPr>
      <w:r w:rsidRPr="00FB15F5">
        <w:rPr>
          <w:sz w:val="22"/>
          <w:szCs w:val="22"/>
          <w:lang w:val="sr-Latn-ME"/>
        </w:rPr>
        <w:t xml:space="preserve">Mada do sada nema iskustava sa </w:t>
      </w:r>
      <w:proofErr w:type="spellStart"/>
      <w:r w:rsidRPr="00FB15F5">
        <w:rPr>
          <w:sz w:val="22"/>
          <w:szCs w:val="22"/>
          <w:lang w:val="sr-Latn-ME"/>
        </w:rPr>
        <w:t>predoziranjem</w:t>
      </w:r>
      <w:proofErr w:type="spellEnd"/>
      <w:r w:rsidRPr="00FB15F5">
        <w:rPr>
          <w:sz w:val="22"/>
          <w:szCs w:val="22"/>
          <w:lang w:val="sr-Latn-ME"/>
        </w:rPr>
        <w:t xml:space="preserve"> za očekivati je da takve epizode mogu izazvati naglašene manifestacije poznatih neželjenih reakcija, posebno gastrointestinalnih simptoma. U slučaju </w:t>
      </w:r>
      <w:proofErr w:type="spellStart"/>
      <w:r w:rsidRPr="00FB15F5">
        <w:rPr>
          <w:sz w:val="22"/>
          <w:szCs w:val="22"/>
          <w:lang w:val="sr-Latn-ME"/>
        </w:rPr>
        <w:t>predoziranja</w:t>
      </w:r>
      <w:proofErr w:type="spellEnd"/>
      <w:r w:rsidRPr="00FB15F5">
        <w:rPr>
          <w:sz w:val="22"/>
          <w:szCs w:val="22"/>
          <w:lang w:val="sr-Latn-ME"/>
        </w:rPr>
        <w:t xml:space="preserve">, potrebno je </w:t>
      </w:r>
      <w:proofErr w:type="spellStart"/>
      <w:r w:rsidRPr="00FB15F5">
        <w:rPr>
          <w:sz w:val="22"/>
          <w:szCs w:val="22"/>
          <w:lang w:val="sr-Latn-ME"/>
        </w:rPr>
        <w:t>gastričnom</w:t>
      </w:r>
      <w:proofErr w:type="spellEnd"/>
      <w:r w:rsidRPr="00FB15F5">
        <w:rPr>
          <w:sz w:val="22"/>
          <w:szCs w:val="22"/>
          <w:lang w:val="sr-Latn-ME"/>
        </w:rPr>
        <w:t xml:space="preserve"> </w:t>
      </w:r>
      <w:proofErr w:type="spellStart"/>
      <w:r w:rsidRPr="00FB15F5">
        <w:rPr>
          <w:sz w:val="22"/>
          <w:szCs w:val="22"/>
          <w:lang w:val="sr-Latn-ME"/>
        </w:rPr>
        <w:t>lavažom</w:t>
      </w:r>
      <w:proofErr w:type="spellEnd"/>
      <w:r w:rsidRPr="00FB15F5">
        <w:rPr>
          <w:sz w:val="22"/>
          <w:szCs w:val="22"/>
          <w:lang w:val="sr-Latn-ME"/>
        </w:rPr>
        <w:t xml:space="preserve"> evakuisati želudačni sadržaj i uključiti </w:t>
      </w:r>
      <w:proofErr w:type="spellStart"/>
      <w:r w:rsidRPr="00FB15F5">
        <w:rPr>
          <w:sz w:val="22"/>
          <w:szCs w:val="22"/>
          <w:lang w:val="sr-Latn-ME"/>
        </w:rPr>
        <w:t>simptomatsku</w:t>
      </w:r>
      <w:proofErr w:type="spellEnd"/>
      <w:r w:rsidRPr="00FB15F5">
        <w:rPr>
          <w:sz w:val="22"/>
          <w:szCs w:val="22"/>
          <w:lang w:val="sr-Latn-ME"/>
        </w:rPr>
        <w:t xml:space="preserve"> terapiju. Potrebno je kontrolisati hematološke i </w:t>
      </w:r>
      <w:proofErr w:type="spellStart"/>
      <w:r w:rsidRPr="00FB15F5">
        <w:rPr>
          <w:sz w:val="22"/>
          <w:szCs w:val="22"/>
          <w:lang w:val="sr-Latn-ME"/>
        </w:rPr>
        <w:t>hepatičke</w:t>
      </w:r>
      <w:proofErr w:type="spellEnd"/>
      <w:r w:rsidRPr="00FB15F5">
        <w:rPr>
          <w:sz w:val="22"/>
          <w:szCs w:val="22"/>
          <w:lang w:val="sr-Latn-ME"/>
        </w:rPr>
        <w:t xml:space="preserve"> parametre tokom najmanje 6 nedjelja nakon </w:t>
      </w:r>
      <w:proofErr w:type="spellStart"/>
      <w:r w:rsidRPr="00FB15F5">
        <w:rPr>
          <w:sz w:val="22"/>
          <w:szCs w:val="22"/>
          <w:lang w:val="sr-Latn-ME"/>
        </w:rPr>
        <w:t>predoziranja</w:t>
      </w:r>
      <w:proofErr w:type="spellEnd"/>
      <w:r w:rsidRPr="00FB15F5">
        <w:rPr>
          <w:sz w:val="22"/>
          <w:szCs w:val="22"/>
          <w:lang w:val="sr-Latn-ME"/>
        </w:rPr>
        <w:t xml:space="preserve"> </w:t>
      </w:r>
      <w:proofErr w:type="spellStart"/>
      <w:r w:rsidRPr="00FB15F5">
        <w:rPr>
          <w:sz w:val="22"/>
          <w:szCs w:val="22"/>
          <w:lang w:val="sr-Latn-ME"/>
        </w:rPr>
        <w:t>estramustinom</w:t>
      </w:r>
      <w:proofErr w:type="spellEnd"/>
      <w:r w:rsidRPr="00FB15F5">
        <w:rPr>
          <w:sz w:val="22"/>
          <w:szCs w:val="22"/>
          <w:lang w:val="sr-Latn-ME"/>
        </w:rPr>
        <w:t>.</w:t>
      </w:r>
    </w:p>
    <w:p w14:paraId="075E47E5" w14:textId="74923511" w:rsidR="00227BDB" w:rsidRPr="00FB15F5" w:rsidRDefault="00227BDB" w:rsidP="00480FB1">
      <w:pPr>
        <w:tabs>
          <w:tab w:val="left" w:pos="540"/>
          <w:tab w:val="left" w:pos="569"/>
        </w:tabs>
        <w:rPr>
          <w:b/>
          <w:bCs/>
          <w:sz w:val="22"/>
          <w:szCs w:val="22"/>
          <w:lang w:val="sr-Latn-ME"/>
        </w:rPr>
      </w:pPr>
    </w:p>
    <w:p w14:paraId="280AC3F0" w14:textId="77777777" w:rsidR="00133A78" w:rsidRPr="00FB15F5" w:rsidRDefault="00133A78" w:rsidP="00480FB1">
      <w:pPr>
        <w:tabs>
          <w:tab w:val="left" w:pos="540"/>
          <w:tab w:val="left" w:pos="569"/>
        </w:tabs>
        <w:rPr>
          <w:b/>
          <w:bCs/>
          <w:sz w:val="22"/>
          <w:szCs w:val="22"/>
          <w:lang w:val="sr-Latn-ME"/>
        </w:rPr>
      </w:pPr>
    </w:p>
    <w:p w14:paraId="5243A4CB" w14:textId="4551EECB"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5. </w:t>
      </w:r>
      <w:r w:rsidR="00480FB1" w:rsidRPr="00FB15F5">
        <w:rPr>
          <w:b/>
          <w:bCs/>
          <w:sz w:val="22"/>
          <w:szCs w:val="22"/>
          <w:lang w:val="sr-Latn-ME"/>
        </w:rPr>
        <w:tab/>
      </w:r>
      <w:r w:rsidRPr="00FB15F5">
        <w:rPr>
          <w:b/>
          <w:bCs/>
          <w:sz w:val="22"/>
          <w:szCs w:val="22"/>
          <w:lang w:val="sr-Latn-ME"/>
        </w:rPr>
        <w:t>FARMAKOLOŠK</w:t>
      </w:r>
      <w:r w:rsidR="000D425A" w:rsidRPr="00FB15F5">
        <w:rPr>
          <w:b/>
          <w:bCs/>
          <w:sz w:val="22"/>
          <w:szCs w:val="22"/>
          <w:lang w:val="sr-Latn-ME"/>
        </w:rPr>
        <w:t>I</w:t>
      </w:r>
      <w:r w:rsidRPr="00FB15F5">
        <w:rPr>
          <w:b/>
          <w:bCs/>
          <w:sz w:val="22"/>
          <w:szCs w:val="22"/>
          <w:lang w:val="sr-Latn-ME"/>
        </w:rPr>
        <w:t xml:space="preserve"> PODACI</w:t>
      </w:r>
    </w:p>
    <w:p w14:paraId="4DDFCF0C" w14:textId="77777777" w:rsidR="00133A78" w:rsidRPr="00FB15F5" w:rsidRDefault="00133A78" w:rsidP="00480FB1">
      <w:pPr>
        <w:tabs>
          <w:tab w:val="left" w:pos="540"/>
          <w:tab w:val="left" w:pos="569"/>
        </w:tabs>
        <w:rPr>
          <w:b/>
          <w:bCs/>
          <w:sz w:val="22"/>
          <w:szCs w:val="22"/>
          <w:lang w:val="sr-Latn-ME"/>
        </w:rPr>
      </w:pPr>
    </w:p>
    <w:p w14:paraId="0815D924" w14:textId="7B1E20DE"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5.1. </w:t>
      </w:r>
      <w:r w:rsidR="00480FB1" w:rsidRPr="00FB15F5">
        <w:rPr>
          <w:b/>
          <w:bCs/>
          <w:sz w:val="22"/>
          <w:szCs w:val="22"/>
          <w:lang w:val="sr-Latn-ME"/>
        </w:rPr>
        <w:tab/>
      </w:r>
      <w:proofErr w:type="spellStart"/>
      <w:r w:rsidRPr="00FB15F5">
        <w:rPr>
          <w:b/>
          <w:bCs/>
          <w:sz w:val="22"/>
          <w:szCs w:val="22"/>
          <w:lang w:val="sr-Latn-ME"/>
        </w:rPr>
        <w:t>Farmakodinamski</w:t>
      </w:r>
      <w:proofErr w:type="spellEnd"/>
      <w:r w:rsidRPr="00FB15F5">
        <w:rPr>
          <w:b/>
          <w:bCs/>
          <w:sz w:val="22"/>
          <w:szCs w:val="22"/>
          <w:lang w:val="sr-Latn-ME"/>
        </w:rPr>
        <w:t xml:space="preserve"> podaci</w:t>
      </w:r>
      <w:r w:rsidR="003A7059" w:rsidRPr="00FB15F5">
        <w:rPr>
          <w:b/>
          <w:bCs/>
          <w:sz w:val="22"/>
          <w:szCs w:val="22"/>
          <w:lang w:val="sr-Latn-ME"/>
        </w:rPr>
        <w:t xml:space="preserve"> </w:t>
      </w:r>
    </w:p>
    <w:p w14:paraId="4937E1F1" w14:textId="77777777" w:rsidR="00F45F77" w:rsidRPr="00FB15F5" w:rsidRDefault="00F45F77" w:rsidP="00480FB1">
      <w:pPr>
        <w:tabs>
          <w:tab w:val="left" w:pos="540"/>
          <w:tab w:val="left" w:pos="569"/>
        </w:tabs>
        <w:rPr>
          <w:b/>
          <w:bCs/>
          <w:sz w:val="22"/>
          <w:szCs w:val="22"/>
          <w:lang w:val="sr-Latn-ME"/>
        </w:rPr>
      </w:pPr>
    </w:p>
    <w:p w14:paraId="5B6FCA50" w14:textId="4683B209" w:rsidR="0072020E" w:rsidRPr="00FB15F5" w:rsidRDefault="0072020E" w:rsidP="00480FB1">
      <w:pPr>
        <w:tabs>
          <w:tab w:val="left" w:pos="540"/>
          <w:tab w:val="left" w:pos="569"/>
        </w:tabs>
        <w:rPr>
          <w:bCs/>
          <w:sz w:val="22"/>
          <w:szCs w:val="22"/>
          <w:lang w:val="sr-Latn-ME"/>
        </w:rPr>
      </w:pPr>
      <w:proofErr w:type="spellStart"/>
      <w:r w:rsidRPr="00FB15F5">
        <w:rPr>
          <w:bCs/>
          <w:sz w:val="22"/>
          <w:szCs w:val="22"/>
          <w:lang w:val="sr-Latn-ME"/>
        </w:rPr>
        <w:t>Farmakoterapijska</w:t>
      </w:r>
      <w:proofErr w:type="spellEnd"/>
      <w:r w:rsidRPr="00FB15F5">
        <w:rPr>
          <w:bCs/>
          <w:sz w:val="22"/>
          <w:szCs w:val="22"/>
          <w:lang w:val="sr-Latn-ME"/>
        </w:rPr>
        <w:t xml:space="preserve"> grupa:</w:t>
      </w:r>
      <w:r w:rsidR="003D1B15" w:rsidRPr="00FB15F5">
        <w:rPr>
          <w:bCs/>
          <w:sz w:val="22"/>
          <w:szCs w:val="22"/>
          <w:lang w:val="sr-Latn-ME"/>
        </w:rPr>
        <w:t xml:space="preserve"> </w:t>
      </w:r>
      <w:proofErr w:type="spellStart"/>
      <w:r w:rsidR="003D1B15" w:rsidRPr="00FB15F5">
        <w:rPr>
          <w:bCs/>
          <w:sz w:val="22"/>
          <w:szCs w:val="22"/>
          <w:lang w:val="sr-Latn-ME"/>
        </w:rPr>
        <w:t>antineoplastici</w:t>
      </w:r>
      <w:proofErr w:type="spellEnd"/>
      <w:r w:rsidR="003D1B15" w:rsidRPr="00FB15F5">
        <w:rPr>
          <w:bCs/>
          <w:sz w:val="22"/>
          <w:szCs w:val="22"/>
          <w:lang w:val="sr-Latn-ME"/>
        </w:rPr>
        <w:t xml:space="preserve">, ostali </w:t>
      </w:r>
      <w:proofErr w:type="spellStart"/>
      <w:r w:rsidR="003D1B15" w:rsidRPr="00FB15F5">
        <w:rPr>
          <w:bCs/>
          <w:sz w:val="22"/>
          <w:szCs w:val="22"/>
          <w:lang w:val="sr-Latn-ME"/>
        </w:rPr>
        <w:t>antineoplastici</w:t>
      </w:r>
      <w:proofErr w:type="spellEnd"/>
    </w:p>
    <w:p w14:paraId="03800AA4" w14:textId="77777777" w:rsidR="00133A78" w:rsidRPr="00FB15F5" w:rsidRDefault="00133A78" w:rsidP="00480FB1">
      <w:pPr>
        <w:tabs>
          <w:tab w:val="left" w:pos="540"/>
          <w:tab w:val="left" w:pos="569"/>
        </w:tabs>
        <w:rPr>
          <w:bCs/>
          <w:sz w:val="22"/>
          <w:szCs w:val="22"/>
          <w:lang w:val="sr-Latn-ME"/>
        </w:rPr>
      </w:pPr>
    </w:p>
    <w:p w14:paraId="6AB14018" w14:textId="64B80AB7" w:rsidR="0072020E" w:rsidRPr="00FB15F5" w:rsidRDefault="0072020E" w:rsidP="00480FB1">
      <w:pPr>
        <w:tabs>
          <w:tab w:val="left" w:pos="540"/>
          <w:tab w:val="left" w:pos="569"/>
        </w:tabs>
        <w:rPr>
          <w:sz w:val="22"/>
          <w:szCs w:val="22"/>
          <w:lang w:val="sr-Latn-ME"/>
        </w:rPr>
      </w:pPr>
      <w:r w:rsidRPr="00FB15F5">
        <w:rPr>
          <w:bCs/>
          <w:sz w:val="22"/>
          <w:szCs w:val="22"/>
          <w:lang w:val="sr-Latn-ME"/>
        </w:rPr>
        <w:t>ATC kod:</w:t>
      </w:r>
      <w:r w:rsidR="003D1B15" w:rsidRPr="00FB15F5">
        <w:rPr>
          <w:sz w:val="22"/>
          <w:szCs w:val="22"/>
          <w:lang w:val="sr-Latn-ME"/>
        </w:rPr>
        <w:t xml:space="preserve"> L01XX11</w:t>
      </w:r>
    </w:p>
    <w:p w14:paraId="18566672" w14:textId="77777777" w:rsidR="00D70680" w:rsidRPr="00FB15F5" w:rsidRDefault="00D70680" w:rsidP="00480FB1">
      <w:pPr>
        <w:tabs>
          <w:tab w:val="left" w:pos="540"/>
          <w:tab w:val="left" w:pos="569"/>
        </w:tabs>
        <w:rPr>
          <w:bCs/>
          <w:sz w:val="22"/>
          <w:szCs w:val="22"/>
          <w:lang w:val="sr-Latn-ME"/>
        </w:rPr>
      </w:pPr>
    </w:p>
    <w:p w14:paraId="0D6A6189" w14:textId="77777777" w:rsidR="00D70680" w:rsidRPr="00FB15F5" w:rsidRDefault="00D70680" w:rsidP="009F447A">
      <w:pPr>
        <w:autoSpaceDE w:val="0"/>
        <w:autoSpaceDN w:val="0"/>
        <w:adjustRightInd w:val="0"/>
        <w:jc w:val="both"/>
        <w:rPr>
          <w:sz w:val="22"/>
          <w:szCs w:val="22"/>
          <w:lang w:val="sr-Latn-ME"/>
        </w:rPr>
      </w:pPr>
      <w:proofErr w:type="spellStart"/>
      <w:r w:rsidRPr="00FB15F5">
        <w:rPr>
          <w:sz w:val="22"/>
          <w:szCs w:val="22"/>
          <w:lang w:val="sr-Latn-ME"/>
        </w:rPr>
        <w:t>Estramustinfosfat</w:t>
      </w:r>
      <w:proofErr w:type="spellEnd"/>
      <w:r w:rsidRPr="00FB15F5">
        <w:rPr>
          <w:sz w:val="22"/>
          <w:szCs w:val="22"/>
          <w:lang w:val="sr-Latn-ME"/>
        </w:rPr>
        <w:t xml:space="preserve"> (</w:t>
      </w:r>
      <w:proofErr w:type="spellStart"/>
      <w:r w:rsidRPr="00FB15F5">
        <w:rPr>
          <w:sz w:val="22"/>
          <w:szCs w:val="22"/>
          <w:lang w:val="sr-Latn-ME"/>
        </w:rPr>
        <w:t>EMP</w:t>
      </w:r>
      <w:proofErr w:type="spellEnd"/>
      <w:r w:rsidRPr="00FB15F5">
        <w:rPr>
          <w:sz w:val="22"/>
          <w:szCs w:val="22"/>
          <w:lang w:val="sr-Latn-ME"/>
        </w:rPr>
        <w:t xml:space="preserve">) je jedinstven </w:t>
      </w:r>
      <w:proofErr w:type="spellStart"/>
      <w:r w:rsidRPr="00FB15F5">
        <w:rPr>
          <w:sz w:val="22"/>
          <w:szCs w:val="22"/>
          <w:lang w:val="sr-Latn-ME"/>
        </w:rPr>
        <w:t>antitumorski</w:t>
      </w:r>
      <w:proofErr w:type="spellEnd"/>
      <w:r w:rsidRPr="00FB15F5">
        <w:rPr>
          <w:sz w:val="22"/>
          <w:szCs w:val="22"/>
          <w:lang w:val="sr-Latn-ME"/>
        </w:rPr>
        <w:t xml:space="preserve"> lijek sa dvostrukim mehanizmom dejstva. </w:t>
      </w:r>
      <w:proofErr w:type="spellStart"/>
      <w:r w:rsidRPr="00FB15F5">
        <w:rPr>
          <w:sz w:val="22"/>
          <w:szCs w:val="22"/>
          <w:lang w:val="sr-Latn-ME"/>
        </w:rPr>
        <w:t>Estron</w:t>
      </w:r>
      <w:proofErr w:type="spellEnd"/>
      <w:r w:rsidRPr="00FB15F5">
        <w:rPr>
          <w:sz w:val="22"/>
          <w:szCs w:val="22"/>
          <w:lang w:val="sr-Latn-ME"/>
        </w:rPr>
        <w:t xml:space="preserve"> i </w:t>
      </w:r>
      <w:proofErr w:type="spellStart"/>
      <w:r w:rsidRPr="00FB15F5">
        <w:rPr>
          <w:sz w:val="22"/>
          <w:szCs w:val="22"/>
          <w:lang w:val="sr-Latn-ME"/>
        </w:rPr>
        <w:t>estradiol</w:t>
      </w:r>
      <w:proofErr w:type="spellEnd"/>
      <w:r w:rsidRPr="00FB15F5">
        <w:rPr>
          <w:sz w:val="22"/>
          <w:szCs w:val="22"/>
          <w:lang w:val="sr-Latn-ME"/>
        </w:rPr>
        <w:t xml:space="preserve">, proizvodi metabolizma </w:t>
      </w:r>
      <w:proofErr w:type="spellStart"/>
      <w:r w:rsidRPr="00FB15F5">
        <w:rPr>
          <w:sz w:val="22"/>
          <w:szCs w:val="22"/>
          <w:lang w:val="sr-Latn-ME"/>
        </w:rPr>
        <w:t>estramustin</w:t>
      </w:r>
      <w:proofErr w:type="spellEnd"/>
      <w:r w:rsidRPr="00FB15F5">
        <w:rPr>
          <w:sz w:val="22"/>
          <w:szCs w:val="22"/>
          <w:lang w:val="sr-Latn-ME"/>
        </w:rPr>
        <w:t xml:space="preserve"> fosfata, pokazuju </w:t>
      </w:r>
      <w:proofErr w:type="spellStart"/>
      <w:r w:rsidRPr="00FB15F5">
        <w:rPr>
          <w:sz w:val="22"/>
          <w:szCs w:val="22"/>
          <w:lang w:val="sr-Latn-ME"/>
        </w:rPr>
        <w:t>antigonadotropnu</w:t>
      </w:r>
      <w:proofErr w:type="spellEnd"/>
      <w:r w:rsidRPr="00FB15F5">
        <w:rPr>
          <w:sz w:val="22"/>
          <w:szCs w:val="22"/>
          <w:lang w:val="sr-Latn-ME"/>
        </w:rPr>
        <w:t xml:space="preserve"> aktivnost koja dovodi do smanjenja nivoa </w:t>
      </w:r>
      <w:proofErr w:type="spellStart"/>
      <w:r w:rsidRPr="00FB15F5">
        <w:rPr>
          <w:sz w:val="22"/>
          <w:szCs w:val="22"/>
          <w:lang w:val="sr-Latn-ME"/>
        </w:rPr>
        <w:t>testosterona</w:t>
      </w:r>
      <w:proofErr w:type="spellEnd"/>
      <w:r w:rsidRPr="00FB15F5">
        <w:rPr>
          <w:sz w:val="22"/>
          <w:szCs w:val="22"/>
          <w:lang w:val="sr-Latn-ME"/>
        </w:rPr>
        <w:t xml:space="preserve">, sličnog onom koji se postiže nakon hirurške kastracije. </w:t>
      </w:r>
      <w:proofErr w:type="spellStart"/>
      <w:r w:rsidRPr="00FB15F5">
        <w:rPr>
          <w:sz w:val="22"/>
          <w:szCs w:val="22"/>
          <w:lang w:val="sr-Latn-ME"/>
        </w:rPr>
        <w:t>Estramustin</w:t>
      </w:r>
      <w:proofErr w:type="spellEnd"/>
      <w:r w:rsidRPr="00FB15F5">
        <w:rPr>
          <w:sz w:val="22"/>
          <w:szCs w:val="22"/>
          <w:lang w:val="sr-Latn-ME"/>
        </w:rPr>
        <w:t xml:space="preserve">, </w:t>
      </w:r>
      <w:proofErr w:type="spellStart"/>
      <w:r w:rsidRPr="00FB15F5">
        <w:rPr>
          <w:sz w:val="22"/>
          <w:szCs w:val="22"/>
          <w:lang w:val="sr-Latn-ME"/>
        </w:rPr>
        <w:t>citotoksični</w:t>
      </w:r>
      <w:proofErr w:type="spellEnd"/>
      <w:r w:rsidRPr="00FB15F5">
        <w:rPr>
          <w:sz w:val="22"/>
          <w:szCs w:val="22"/>
          <w:lang w:val="sr-Latn-ME"/>
        </w:rPr>
        <w:t xml:space="preserve"> </w:t>
      </w:r>
      <w:proofErr w:type="spellStart"/>
      <w:r w:rsidRPr="00FB15F5">
        <w:rPr>
          <w:sz w:val="22"/>
          <w:szCs w:val="22"/>
          <w:lang w:val="sr-Latn-ME"/>
        </w:rPr>
        <w:t>metabolit</w:t>
      </w:r>
      <w:proofErr w:type="spellEnd"/>
      <w:r w:rsidRPr="00FB15F5">
        <w:rPr>
          <w:sz w:val="22"/>
          <w:szCs w:val="22"/>
          <w:lang w:val="sr-Latn-ME"/>
        </w:rPr>
        <w:t xml:space="preserve"> koji nastaje </w:t>
      </w:r>
      <w:proofErr w:type="spellStart"/>
      <w:r w:rsidRPr="00FB15F5">
        <w:rPr>
          <w:sz w:val="22"/>
          <w:szCs w:val="22"/>
          <w:lang w:val="sr-Latn-ME"/>
        </w:rPr>
        <w:t>defosforilacijom</w:t>
      </w:r>
      <w:proofErr w:type="spellEnd"/>
      <w:r w:rsidRPr="00FB15F5">
        <w:rPr>
          <w:sz w:val="22"/>
          <w:szCs w:val="22"/>
          <w:lang w:val="sr-Latn-ME"/>
        </w:rPr>
        <w:t xml:space="preserve"> polazne supstance, dalje podliježe metabolizmu do </w:t>
      </w:r>
      <w:proofErr w:type="spellStart"/>
      <w:r w:rsidRPr="00FB15F5">
        <w:rPr>
          <w:sz w:val="22"/>
          <w:szCs w:val="22"/>
          <w:lang w:val="sr-Latn-ME"/>
        </w:rPr>
        <w:t>estromustina</w:t>
      </w:r>
      <w:proofErr w:type="spellEnd"/>
      <w:r w:rsidRPr="00FB15F5">
        <w:rPr>
          <w:sz w:val="22"/>
          <w:szCs w:val="22"/>
          <w:lang w:val="sr-Latn-ME"/>
        </w:rPr>
        <w:t xml:space="preserve">; oba ova </w:t>
      </w:r>
      <w:proofErr w:type="spellStart"/>
      <w:r w:rsidRPr="00FB15F5">
        <w:rPr>
          <w:sz w:val="22"/>
          <w:szCs w:val="22"/>
          <w:lang w:val="sr-Latn-ME"/>
        </w:rPr>
        <w:t>metabolita</w:t>
      </w:r>
      <w:proofErr w:type="spellEnd"/>
      <w:r w:rsidRPr="00FB15F5">
        <w:rPr>
          <w:sz w:val="22"/>
          <w:szCs w:val="22"/>
          <w:lang w:val="sr-Latn-ME"/>
        </w:rPr>
        <w:t xml:space="preserve"> imaju </w:t>
      </w:r>
      <w:proofErr w:type="spellStart"/>
      <w:r w:rsidRPr="00FB15F5">
        <w:rPr>
          <w:sz w:val="22"/>
          <w:szCs w:val="22"/>
          <w:lang w:val="sr-Latn-ME"/>
        </w:rPr>
        <w:t>antimitotički</w:t>
      </w:r>
      <w:proofErr w:type="spellEnd"/>
      <w:r w:rsidRPr="00FB15F5">
        <w:rPr>
          <w:sz w:val="22"/>
          <w:szCs w:val="22"/>
          <w:lang w:val="sr-Latn-ME"/>
        </w:rPr>
        <w:t xml:space="preserve"> efekat u ćelijama tumora. Ovi efekti zavise od inhibicije stvaranja </w:t>
      </w:r>
      <w:proofErr w:type="spellStart"/>
      <w:r w:rsidRPr="00FB15F5">
        <w:rPr>
          <w:sz w:val="22"/>
          <w:szCs w:val="22"/>
          <w:lang w:val="sr-Latn-ME"/>
        </w:rPr>
        <w:t>mikrotubula</w:t>
      </w:r>
      <w:proofErr w:type="spellEnd"/>
      <w:r w:rsidRPr="00FB15F5">
        <w:rPr>
          <w:sz w:val="22"/>
          <w:szCs w:val="22"/>
          <w:lang w:val="sr-Latn-ME"/>
        </w:rPr>
        <w:t xml:space="preserve"> u </w:t>
      </w:r>
      <w:proofErr w:type="spellStart"/>
      <w:r w:rsidRPr="00FB15F5">
        <w:rPr>
          <w:sz w:val="22"/>
          <w:szCs w:val="22"/>
          <w:lang w:val="sr-Latn-ME"/>
        </w:rPr>
        <w:t>metafazi</w:t>
      </w:r>
      <w:proofErr w:type="spellEnd"/>
      <w:r w:rsidRPr="00FB15F5">
        <w:rPr>
          <w:sz w:val="22"/>
          <w:szCs w:val="22"/>
          <w:lang w:val="sr-Latn-ME"/>
        </w:rPr>
        <w:t xml:space="preserve"> i razdvajanja </w:t>
      </w:r>
      <w:proofErr w:type="spellStart"/>
      <w:r w:rsidRPr="00FB15F5">
        <w:rPr>
          <w:sz w:val="22"/>
          <w:szCs w:val="22"/>
          <w:lang w:val="sr-Latn-ME"/>
        </w:rPr>
        <w:t>mikrotubula</w:t>
      </w:r>
      <w:proofErr w:type="spellEnd"/>
      <w:r w:rsidRPr="00FB15F5">
        <w:rPr>
          <w:sz w:val="22"/>
          <w:szCs w:val="22"/>
          <w:lang w:val="sr-Latn-ME"/>
        </w:rPr>
        <w:t xml:space="preserve"> u </w:t>
      </w:r>
      <w:proofErr w:type="spellStart"/>
      <w:r w:rsidRPr="00FB15F5">
        <w:rPr>
          <w:sz w:val="22"/>
          <w:szCs w:val="22"/>
          <w:lang w:val="sr-Latn-ME"/>
        </w:rPr>
        <w:t>interfazi</w:t>
      </w:r>
      <w:proofErr w:type="spellEnd"/>
      <w:r w:rsidRPr="00FB15F5">
        <w:rPr>
          <w:sz w:val="22"/>
          <w:szCs w:val="22"/>
          <w:lang w:val="sr-Latn-ME"/>
        </w:rPr>
        <w:t xml:space="preserve">. Efekat na </w:t>
      </w:r>
      <w:proofErr w:type="spellStart"/>
      <w:r w:rsidRPr="00FB15F5">
        <w:rPr>
          <w:sz w:val="22"/>
          <w:szCs w:val="22"/>
          <w:lang w:val="sr-Latn-ME"/>
        </w:rPr>
        <w:t>mikrotubule</w:t>
      </w:r>
      <w:proofErr w:type="spellEnd"/>
      <w:r w:rsidRPr="00FB15F5">
        <w:rPr>
          <w:sz w:val="22"/>
          <w:szCs w:val="22"/>
          <w:lang w:val="sr-Latn-ME"/>
        </w:rPr>
        <w:t xml:space="preserve"> takođe je pokazan </w:t>
      </w:r>
      <w:r w:rsidRPr="00FB15F5">
        <w:rPr>
          <w:i/>
          <w:sz w:val="22"/>
          <w:szCs w:val="22"/>
          <w:lang w:val="sr-Latn-ME"/>
        </w:rPr>
        <w:t xml:space="preserve">in </w:t>
      </w:r>
      <w:proofErr w:type="spellStart"/>
      <w:r w:rsidRPr="00FB15F5">
        <w:rPr>
          <w:i/>
          <w:sz w:val="22"/>
          <w:szCs w:val="22"/>
          <w:lang w:val="sr-Latn-ME"/>
        </w:rPr>
        <w:t>vivo</w:t>
      </w:r>
      <w:proofErr w:type="spellEnd"/>
      <w:r w:rsidRPr="00FB15F5">
        <w:rPr>
          <w:sz w:val="22"/>
          <w:szCs w:val="22"/>
          <w:lang w:val="sr-Latn-ME"/>
        </w:rPr>
        <w:t xml:space="preserve"> na </w:t>
      </w:r>
      <w:proofErr w:type="spellStart"/>
      <w:r w:rsidRPr="00FB15F5">
        <w:rPr>
          <w:sz w:val="22"/>
          <w:szCs w:val="22"/>
          <w:lang w:val="sr-Latn-ME"/>
        </w:rPr>
        <w:t>ksenograftima</w:t>
      </w:r>
      <w:proofErr w:type="spellEnd"/>
      <w:r w:rsidRPr="00FB15F5">
        <w:rPr>
          <w:sz w:val="22"/>
          <w:szCs w:val="22"/>
          <w:lang w:val="sr-Latn-ME"/>
        </w:rPr>
        <w:t xml:space="preserve"> tumora prostate </w:t>
      </w:r>
      <w:proofErr w:type="spellStart"/>
      <w:r w:rsidRPr="00FB15F5">
        <w:rPr>
          <w:sz w:val="22"/>
          <w:szCs w:val="22"/>
          <w:lang w:val="sr-Latn-ME"/>
        </w:rPr>
        <w:t>ljudi</w:t>
      </w:r>
      <w:proofErr w:type="spellEnd"/>
      <w:r w:rsidRPr="00FB15F5">
        <w:rPr>
          <w:sz w:val="22"/>
          <w:szCs w:val="22"/>
          <w:lang w:val="sr-Latn-ME"/>
        </w:rPr>
        <w:t xml:space="preserve">. Pokazano je da je inhibicija </w:t>
      </w:r>
      <w:proofErr w:type="spellStart"/>
      <w:r w:rsidRPr="00FB15F5">
        <w:rPr>
          <w:sz w:val="22"/>
          <w:szCs w:val="22"/>
          <w:lang w:val="sr-Latn-ME"/>
        </w:rPr>
        <w:t>polimerizacije</w:t>
      </w:r>
      <w:proofErr w:type="spellEnd"/>
      <w:r w:rsidRPr="00FB15F5">
        <w:rPr>
          <w:sz w:val="22"/>
          <w:szCs w:val="22"/>
          <w:lang w:val="sr-Latn-ME"/>
        </w:rPr>
        <w:t xml:space="preserve"> </w:t>
      </w:r>
      <w:proofErr w:type="spellStart"/>
      <w:r w:rsidRPr="00FB15F5">
        <w:rPr>
          <w:sz w:val="22"/>
          <w:szCs w:val="22"/>
          <w:lang w:val="sr-Latn-ME"/>
        </w:rPr>
        <w:t>mikrotubula</w:t>
      </w:r>
      <w:proofErr w:type="spellEnd"/>
      <w:r w:rsidRPr="00FB15F5">
        <w:rPr>
          <w:sz w:val="22"/>
          <w:szCs w:val="22"/>
          <w:lang w:val="sr-Latn-ME"/>
        </w:rPr>
        <w:t xml:space="preserve"> od strane </w:t>
      </w:r>
      <w:proofErr w:type="spellStart"/>
      <w:r w:rsidRPr="00FB15F5">
        <w:rPr>
          <w:sz w:val="22"/>
          <w:szCs w:val="22"/>
          <w:lang w:val="sr-Latn-ME"/>
        </w:rPr>
        <w:t>estramustina</w:t>
      </w:r>
      <w:proofErr w:type="spellEnd"/>
      <w:r w:rsidRPr="00FB15F5">
        <w:rPr>
          <w:sz w:val="22"/>
          <w:szCs w:val="22"/>
          <w:lang w:val="sr-Latn-ME"/>
        </w:rPr>
        <w:t xml:space="preserve"> posljedica direktne interakcije sa </w:t>
      </w:r>
      <w:proofErr w:type="spellStart"/>
      <w:r w:rsidRPr="00FB15F5">
        <w:rPr>
          <w:sz w:val="22"/>
          <w:szCs w:val="22"/>
          <w:lang w:val="sr-Latn-ME"/>
        </w:rPr>
        <w:t>tubulinom</w:t>
      </w:r>
      <w:proofErr w:type="spellEnd"/>
      <w:r w:rsidRPr="00FB15F5">
        <w:rPr>
          <w:sz w:val="22"/>
          <w:szCs w:val="22"/>
          <w:lang w:val="sr-Latn-ME"/>
        </w:rPr>
        <w:t xml:space="preserve">. Uz to, pokazana je i interakcija između </w:t>
      </w:r>
      <w:proofErr w:type="spellStart"/>
      <w:r w:rsidRPr="00FB15F5">
        <w:rPr>
          <w:sz w:val="22"/>
          <w:szCs w:val="22"/>
          <w:lang w:val="sr-Latn-ME"/>
        </w:rPr>
        <w:t>estramustina</w:t>
      </w:r>
      <w:proofErr w:type="spellEnd"/>
      <w:r w:rsidRPr="00FB15F5">
        <w:rPr>
          <w:sz w:val="22"/>
          <w:szCs w:val="22"/>
          <w:lang w:val="sr-Latn-ME"/>
        </w:rPr>
        <w:t xml:space="preserve"> i proteina vezanih za </w:t>
      </w:r>
      <w:proofErr w:type="spellStart"/>
      <w:r w:rsidRPr="00FB15F5">
        <w:rPr>
          <w:sz w:val="22"/>
          <w:szCs w:val="22"/>
          <w:lang w:val="sr-Latn-ME"/>
        </w:rPr>
        <w:t>mikrotubule</w:t>
      </w:r>
      <w:proofErr w:type="spellEnd"/>
      <w:r w:rsidRPr="00FB15F5">
        <w:rPr>
          <w:sz w:val="22"/>
          <w:szCs w:val="22"/>
          <w:lang w:val="sr-Latn-ME"/>
        </w:rPr>
        <w:t>.</w:t>
      </w:r>
    </w:p>
    <w:p w14:paraId="644B7EBC" w14:textId="77777777" w:rsidR="00D70680" w:rsidRPr="00FB15F5" w:rsidRDefault="00D70680" w:rsidP="009F447A">
      <w:pPr>
        <w:autoSpaceDE w:val="0"/>
        <w:autoSpaceDN w:val="0"/>
        <w:adjustRightInd w:val="0"/>
        <w:jc w:val="both"/>
        <w:rPr>
          <w:sz w:val="22"/>
          <w:szCs w:val="22"/>
          <w:lang w:val="sr-Latn-ME"/>
        </w:rPr>
      </w:pPr>
    </w:p>
    <w:p w14:paraId="1670EDCA" w14:textId="77777777" w:rsidR="00D70680" w:rsidRPr="00FB15F5" w:rsidRDefault="00D70680" w:rsidP="009F447A">
      <w:pPr>
        <w:autoSpaceDE w:val="0"/>
        <w:autoSpaceDN w:val="0"/>
        <w:adjustRightInd w:val="0"/>
        <w:jc w:val="both"/>
        <w:rPr>
          <w:sz w:val="22"/>
          <w:szCs w:val="22"/>
          <w:lang w:val="sr-Latn-ME"/>
        </w:rPr>
      </w:pPr>
      <w:r w:rsidRPr="00FB15F5">
        <w:rPr>
          <w:sz w:val="22"/>
          <w:szCs w:val="22"/>
          <w:lang w:val="sr-Latn-ME"/>
        </w:rPr>
        <w:t xml:space="preserve">Pokazano je da </w:t>
      </w:r>
      <w:proofErr w:type="spellStart"/>
      <w:r w:rsidRPr="00FB15F5">
        <w:rPr>
          <w:sz w:val="22"/>
          <w:szCs w:val="22"/>
          <w:lang w:val="sr-Latn-ME"/>
        </w:rPr>
        <w:t>estramustin</w:t>
      </w:r>
      <w:proofErr w:type="spellEnd"/>
      <w:r w:rsidRPr="00FB15F5">
        <w:rPr>
          <w:sz w:val="22"/>
          <w:szCs w:val="22"/>
          <w:lang w:val="sr-Latn-ME"/>
        </w:rPr>
        <w:t xml:space="preserve"> modulira funkciju P-</w:t>
      </w:r>
      <w:proofErr w:type="spellStart"/>
      <w:r w:rsidRPr="00FB15F5">
        <w:rPr>
          <w:sz w:val="22"/>
          <w:szCs w:val="22"/>
          <w:lang w:val="sr-Latn-ME"/>
        </w:rPr>
        <w:t>glikoproteina</w:t>
      </w:r>
      <w:proofErr w:type="spellEnd"/>
      <w:r w:rsidRPr="00FB15F5">
        <w:rPr>
          <w:sz w:val="22"/>
          <w:szCs w:val="22"/>
          <w:lang w:val="sr-Latn-ME"/>
        </w:rPr>
        <w:t xml:space="preserve"> u rezistentnim ćelijskim linijama, a uslijed toga dovodi do povećanja akumulacije lijeka u ćeliji i pojačavanja </w:t>
      </w:r>
      <w:proofErr w:type="spellStart"/>
      <w:r w:rsidRPr="00FB15F5">
        <w:rPr>
          <w:sz w:val="22"/>
          <w:szCs w:val="22"/>
          <w:lang w:val="sr-Latn-ME"/>
        </w:rPr>
        <w:t>citotoksičnosti</w:t>
      </w:r>
      <w:proofErr w:type="spellEnd"/>
      <w:r w:rsidRPr="00FB15F5">
        <w:rPr>
          <w:sz w:val="22"/>
          <w:szCs w:val="22"/>
          <w:lang w:val="sr-Latn-ME"/>
        </w:rPr>
        <w:t xml:space="preserve"> istovremeno primijenjenih </w:t>
      </w:r>
      <w:proofErr w:type="spellStart"/>
      <w:r w:rsidRPr="00FB15F5">
        <w:rPr>
          <w:sz w:val="22"/>
          <w:szCs w:val="22"/>
          <w:lang w:val="sr-Latn-ME"/>
        </w:rPr>
        <w:t>citotoksičnih</w:t>
      </w:r>
      <w:proofErr w:type="spellEnd"/>
      <w:r w:rsidRPr="00FB15F5">
        <w:rPr>
          <w:sz w:val="22"/>
          <w:szCs w:val="22"/>
          <w:lang w:val="sr-Latn-ME"/>
        </w:rPr>
        <w:t xml:space="preserve"> ljekova. Ova </w:t>
      </w:r>
      <w:proofErr w:type="spellStart"/>
      <w:r w:rsidRPr="00FB15F5">
        <w:rPr>
          <w:sz w:val="22"/>
          <w:szCs w:val="22"/>
          <w:lang w:val="sr-Latn-ME"/>
        </w:rPr>
        <w:t>modulatorna</w:t>
      </w:r>
      <w:proofErr w:type="spellEnd"/>
      <w:r w:rsidRPr="00FB15F5">
        <w:rPr>
          <w:sz w:val="22"/>
          <w:szCs w:val="22"/>
          <w:lang w:val="sr-Latn-ME"/>
        </w:rPr>
        <w:t xml:space="preserve"> sposobnost može biti osnova za </w:t>
      </w:r>
      <w:proofErr w:type="spellStart"/>
      <w:r w:rsidRPr="00FB15F5">
        <w:rPr>
          <w:sz w:val="22"/>
          <w:szCs w:val="22"/>
          <w:lang w:val="sr-Latn-ME"/>
        </w:rPr>
        <w:t>sinergiju</w:t>
      </w:r>
      <w:proofErr w:type="spellEnd"/>
      <w:r w:rsidRPr="00FB15F5">
        <w:rPr>
          <w:sz w:val="22"/>
          <w:szCs w:val="22"/>
          <w:lang w:val="sr-Latn-ME"/>
        </w:rPr>
        <w:t xml:space="preserve"> otkrivenu </w:t>
      </w:r>
      <w:r w:rsidRPr="00FB15F5">
        <w:rPr>
          <w:i/>
          <w:sz w:val="22"/>
          <w:szCs w:val="22"/>
          <w:lang w:val="sr-Latn-ME"/>
        </w:rPr>
        <w:t xml:space="preserve">in </w:t>
      </w:r>
      <w:proofErr w:type="spellStart"/>
      <w:r w:rsidRPr="00FB15F5">
        <w:rPr>
          <w:i/>
          <w:sz w:val="22"/>
          <w:szCs w:val="22"/>
          <w:lang w:val="sr-Latn-ME"/>
        </w:rPr>
        <w:t>vitro</w:t>
      </w:r>
      <w:proofErr w:type="spellEnd"/>
      <w:r w:rsidRPr="00FB15F5">
        <w:rPr>
          <w:sz w:val="22"/>
          <w:szCs w:val="22"/>
          <w:lang w:val="sr-Latn-ME"/>
        </w:rPr>
        <w:t xml:space="preserve"> kod ćelija tumora prostate </w:t>
      </w:r>
      <w:proofErr w:type="spellStart"/>
      <w:r w:rsidRPr="00FB15F5">
        <w:rPr>
          <w:sz w:val="22"/>
          <w:szCs w:val="22"/>
          <w:lang w:val="sr-Latn-ME"/>
        </w:rPr>
        <w:t>ljudi</w:t>
      </w:r>
      <w:proofErr w:type="spellEnd"/>
      <w:r w:rsidRPr="00FB15F5">
        <w:rPr>
          <w:sz w:val="22"/>
          <w:szCs w:val="22"/>
          <w:lang w:val="sr-Latn-ME"/>
        </w:rPr>
        <w:t xml:space="preserve"> između </w:t>
      </w:r>
      <w:proofErr w:type="spellStart"/>
      <w:r w:rsidRPr="00FB15F5">
        <w:rPr>
          <w:sz w:val="22"/>
          <w:szCs w:val="22"/>
          <w:lang w:val="sr-Latn-ME"/>
        </w:rPr>
        <w:t>estramustina</w:t>
      </w:r>
      <w:proofErr w:type="spellEnd"/>
      <w:r w:rsidRPr="00FB15F5">
        <w:rPr>
          <w:sz w:val="22"/>
          <w:szCs w:val="22"/>
          <w:lang w:val="sr-Latn-ME"/>
        </w:rPr>
        <w:t xml:space="preserve"> i drugih </w:t>
      </w:r>
      <w:proofErr w:type="spellStart"/>
      <w:r w:rsidRPr="00FB15F5">
        <w:rPr>
          <w:sz w:val="22"/>
          <w:szCs w:val="22"/>
          <w:lang w:val="sr-Latn-ME"/>
        </w:rPr>
        <w:t>agenasa</w:t>
      </w:r>
      <w:proofErr w:type="spellEnd"/>
      <w:r w:rsidRPr="00FB15F5">
        <w:rPr>
          <w:sz w:val="22"/>
          <w:szCs w:val="22"/>
          <w:lang w:val="sr-Latn-ME"/>
        </w:rPr>
        <w:t xml:space="preserve">, kao što su </w:t>
      </w:r>
      <w:proofErr w:type="spellStart"/>
      <w:r w:rsidRPr="00FB15F5">
        <w:rPr>
          <w:sz w:val="22"/>
          <w:szCs w:val="22"/>
          <w:lang w:val="sr-Latn-ME"/>
        </w:rPr>
        <w:t>paklitaksel</w:t>
      </w:r>
      <w:proofErr w:type="spellEnd"/>
      <w:r w:rsidRPr="00FB15F5">
        <w:rPr>
          <w:sz w:val="22"/>
          <w:szCs w:val="22"/>
          <w:lang w:val="sr-Latn-ME"/>
        </w:rPr>
        <w:t xml:space="preserve">, </w:t>
      </w:r>
      <w:proofErr w:type="spellStart"/>
      <w:r w:rsidRPr="00FB15F5">
        <w:rPr>
          <w:sz w:val="22"/>
          <w:szCs w:val="22"/>
          <w:lang w:val="sr-Latn-ME"/>
        </w:rPr>
        <w:t>vinblastin</w:t>
      </w:r>
      <w:proofErr w:type="spellEnd"/>
      <w:r w:rsidRPr="00FB15F5">
        <w:rPr>
          <w:sz w:val="22"/>
          <w:szCs w:val="22"/>
          <w:lang w:val="sr-Latn-ME"/>
        </w:rPr>
        <w:t xml:space="preserve">, </w:t>
      </w:r>
      <w:proofErr w:type="spellStart"/>
      <w:r w:rsidRPr="00FB15F5">
        <w:rPr>
          <w:sz w:val="22"/>
          <w:szCs w:val="22"/>
          <w:lang w:val="sr-Latn-ME"/>
        </w:rPr>
        <w:t>etopozid</w:t>
      </w:r>
      <w:proofErr w:type="spellEnd"/>
      <w:r w:rsidRPr="00FB15F5">
        <w:rPr>
          <w:sz w:val="22"/>
          <w:szCs w:val="22"/>
          <w:lang w:val="sr-Latn-ME"/>
        </w:rPr>
        <w:t xml:space="preserve"> i </w:t>
      </w:r>
      <w:proofErr w:type="spellStart"/>
      <w:r w:rsidRPr="00FB15F5">
        <w:rPr>
          <w:sz w:val="22"/>
          <w:szCs w:val="22"/>
          <w:lang w:val="sr-Latn-ME"/>
        </w:rPr>
        <w:t>doksorubicin</w:t>
      </w:r>
      <w:proofErr w:type="spellEnd"/>
      <w:r w:rsidRPr="00FB15F5">
        <w:rPr>
          <w:sz w:val="22"/>
          <w:szCs w:val="22"/>
          <w:lang w:val="sr-Latn-ME"/>
        </w:rPr>
        <w:t xml:space="preserve">. Podaci koji pokazuju </w:t>
      </w:r>
      <w:proofErr w:type="spellStart"/>
      <w:r w:rsidRPr="00FB15F5">
        <w:rPr>
          <w:sz w:val="22"/>
          <w:szCs w:val="22"/>
          <w:lang w:val="sr-Latn-ME"/>
        </w:rPr>
        <w:t>sinergistički</w:t>
      </w:r>
      <w:proofErr w:type="spellEnd"/>
      <w:r w:rsidRPr="00FB15F5">
        <w:rPr>
          <w:sz w:val="22"/>
          <w:szCs w:val="22"/>
          <w:lang w:val="sr-Latn-ME"/>
        </w:rPr>
        <w:t xml:space="preserve"> efekat </w:t>
      </w:r>
      <w:proofErr w:type="spellStart"/>
      <w:r w:rsidRPr="00FB15F5">
        <w:rPr>
          <w:sz w:val="22"/>
          <w:szCs w:val="22"/>
          <w:lang w:val="sr-Latn-ME"/>
        </w:rPr>
        <w:t>estramustina</w:t>
      </w:r>
      <w:proofErr w:type="spellEnd"/>
      <w:r w:rsidRPr="00FB15F5">
        <w:rPr>
          <w:sz w:val="22"/>
          <w:szCs w:val="22"/>
          <w:lang w:val="sr-Latn-ME"/>
        </w:rPr>
        <w:t xml:space="preserve"> i </w:t>
      </w:r>
      <w:proofErr w:type="spellStart"/>
      <w:r w:rsidRPr="00FB15F5">
        <w:rPr>
          <w:sz w:val="22"/>
          <w:szCs w:val="22"/>
          <w:lang w:val="sr-Latn-ME"/>
        </w:rPr>
        <w:t>etopozida</w:t>
      </w:r>
      <w:proofErr w:type="spellEnd"/>
      <w:r w:rsidRPr="00FB15F5">
        <w:rPr>
          <w:sz w:val="22"/>
          <w:szCs w:val="22"/>
          <w:lang w:val="sr-Latn-ME"/>
        </w:rPr>
        <w:t xml:space="preserve"> </w:t>
      </w:r>
      <w:r w:rsidRPr="00FB15F5">
        <w:rPr>
          <w:i/>
          <w:sz w:val="22"/>
          <w:szCs w:val="22"/>
          <w:lang w:val="sr-Latn-ME"/>
        </w:rPr>
        <w:t xml:space="preserve">in </w:t>
      </w:r>
      <w:proofErr w:type="spellStart"/>
      <w:r w:rsidRPr="00FB15F5">
        <w:rPr>
          <w:i/>
          <w:sz w:val="22"/>
          <w:szCs w:val="22"/>
          <w:lang w:val="sr-Latn-ME"/>
        </w:rPr>
        <w:t>vivo</w:t>
      </w:r>
      <w:proofErr w:type="spellEnd"/>
      <w:r w:rsidRPr="00FB15F5">
        <w:rPr>
          <w:i/>
          <w:sz w:val="22"/>
          <w:szCs w:val="22"/>
          <w:lang w:val="sr-Latn-ME"/>
        </w:rPr>
        <w:t xml:space="preserve"> </w:t>
      </w:r>
      <w:r w:rsidRPr="00FB15F5">
        <w:rPr>
          <w:sz w:val="22"/>
          <w:szCs w:val="22"/>
          <w:lang w:val="sr-Latn-ME"/>
        </w:rPr>
        <w:t>protiv tumora prostate pacova takođe idu u prilog ovoj hipotezi.</w:t>
      </w:r>
    </w:p>
    <w:p w14:paraId="055F11CA" w14:textId="77777777" w:rsidR="00D70680" w:rsidRPr="00FB15F5" w:rsidRDefault="00D70680" w:rsidP="009F447A">
      <w:pPr>
        <w:autoSpaceDE w:val="0"/>
        <w:autoSpaceDN w:val="0"/>
        <w:adjustRightInd w:val="0"/>
        <w:jc w:val="both"/>
        <w:rPr>
          <w:sz w:val="22"/>
          <w:szCs w:val="22"/>
          <w:lang w:val="sr-Latn-ME"/>
        </w:rPr>
      </w:pPr>
      <w:r w:rsidRPr="00FB15F5">
        <w:rPr>
          <w:sz w:val="22"/>
          <w:szCs w:val="22"/>
          <w:lang w:val="sr-Latn-ME"/>
        </w:rPr>
        <w:t xml:space="preserve">Pokazano je da </w:t>
      </w:r>
      <w:proofErr w:type="spellStart"/>
      <w:r w:rsidRPr="00FB15F5">
        <w:rPr>
          <w:sz w:val="22"/>
          <w:szCs w:val="22"/>
          <w:lang w:val="sr-Latn-ME"/>
        </w:rPr>
        <w:t>estramustin</w:t>
      </w:r>
      <w:proofErr w:type="spellEnd"/>
      <w:r w:rsidRPr="00FB15F5">
        <w:rPr>
          <w:sz w:val="22"/>
          <w:szCs w:val="22"/>
          <w:lang w:val="sr-Latn-ME"/>
        </w:rPr>
        <w:t xml:space="preserve"> u kombinaciji sa </w:t>
      </w:r>
      <w:proofErr w:type="spellStart"/>
      <w:r w:rsidRPr="00FB15F5">
        <w:rPr>
          <w:sz w:val="22"/>
          <w:szCs w:val="22"/>
          <w:lang w:val="sr-Latn-ME"/>
        </w:rPr>
        <w:t>vinblastinom</w:t>
      </w:r>
      <w:proofErr w:type="spellEnd"/>
      <w:r w:rsidRPr="00FB15F5">
        <w:rPr>
          <w:sz w:val="22"/>
          <w:szCs w:val="22"/>
          <w:lang w:val="sr-Latn-ME"/>
        </w:rPr>
        <w:t xml:space="preserve">, </w:t>
      </w:r>
      <w:proofErr w:type="spellStart"/>
      <w:r w:rsidRPr="00FB15F5">
        <w:rPr>
          <w:sz w:val="22"/>
          <w:szCs w:val="22"/>
          <w:lang w:val="sr-Latn-ME"/>
        </w:rPr>
        <w:t>etopozidom</w:t>
      </w:r>
      <w:proofErr w:type="spellEnd"/>
      <w:r w:rsidRPr="00FB15F5">
        <w:rPr>
          <w:sz w:val="22"/>
          <w:szCs w:val="22"/>
          <w:lang w:val="sr-Latn-ME"/>
        </w:rPr>
        <w:t xml:space="preserve"> ili </w:t>
      </w:r>
      <w:proofErr w:type="spellStart"/>
      <w:r w:rsidRPr="00FB15F5">
        <w:rPr>
          <w:sz w:val="22"/>
          <w:szCs w:val="22"/>
          <w:lang w:val="sr-Latn-ME"/>
        </w:rPr>
        <w:t>taksolom</w:t>
      </w:r>
      <w:proofErr w:type="spellEnd"/>
      <w:r w:rsidRPr="00FB15F5">
        <w:rPr>
          <w:sz w:val="22"/>
          <w:szCs w:val="22"/>
          <w:lang w:val="sr-Latn-ME"/>
        </w:rPr>
        <w:t xml:space="preserve"> dovodi do boljeg odgovora nego bilo koji od ljekova primijenjen samostalno, a bez povećanja toksičnosti.</w:t>
      </w:r>
    </w:p>
    <w:p w14:paraId="43BD7AC0"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lastRenderedPageBreak/>
        <w:t xml:space="preserve">5.2. </w:t>
      </w:r>
      <w:r w:rsidR="00480FB1" w:rsidRPr="00FB15F5">
        <w:rPr>
          <w:b/>
          <w:bCs/>
          <w:sz w:val="22"/>
          <w:szCs w:val="22"/>
          <w:lang w:val="sr-Latn-ME"/>
        </w:rPr>
        <w:tab/>
      </w:r>
      <w:proofErr w:type="spellStart"/>
      <w:r w:rsidRPr="00FB15F5">
        <w:rPr>
          <w:b/>
          <w:bCs/>
          <w:sz w:val="22"/>
          <w:szCs w:val="22"/>
          <w:lang w:val="sr-Latn-ME"/>
        </w:rPr>
        <w:t>Farmakokinetički</w:t>
      </w:r>
      <w:proofErr w:type="spellEnd"/>
      <w:r w:rsidRPr="00FB15F5">
        <w:rPr>
          <w:b/>
          <w:bCs/>
          <w:sz w:val="22"/>
          <w:szCs w:val="22"/>
          <w:lang w:val="sr-Latn-ME"/>
        </w:rPr>
        <w:t xml:space="preserve"> podaci</w:t>
      </w:r>
      <w:r w:rsidR="003A7059" w:rsidRPr="00FB15F5">
        <w:rPr>
          <w:b/>
          <w:bCs/>
          <w:sz w:val="22"/>
          <w:szCs w:val="22"/>
          <w:lang w:val="sr-Latn-ME"/>
        </w:rPr>
        <w:t xml:space="preserve"> </w:t>
      </w:r>
    </w:p>
    <w:p w14:paraId="0DFB9F2A" w14:textId="77777777" w:rsidR="00614D84" w:rsidRPr="00FB15F5" w:rsidRDefault="00614D84" w:rsidP="00480FB1">
      <w:pPr>
        <w:tabs>
          <w:tab w:val="left" w:pos="540"/>
          <w:tab w:val="left" w:pos="569"/>
        </w:tabs>
        <w:rPr>
          <w:b/>
          <w:bCs/>
          <w:sz w:val="22"/>
          <w:szCs w:val="22"/>
          <w:lang w:val="sr-Latn-ME"/>
        </w:rPr>
      </w:pPr>
    </w:p>
    <w:p w14:paraId="5914FF44" w14:textId="77777777" w:rsidR="00614D84" w:rsidRPr="00FB15F5" w:rsidRDefault="00614D84" w:rsidP="009F447A">
      <w:pPr>
        <w:autoSpaceDE w:val="0"/>
        <w:autoSpaceDN w:val="0"/>
        <w:adjustRightInd w:val="0"/>
        <w:jc w:val="both"/>
        <w:rPr>
          <w:sz w:val="22"/>
          <w:szCs w:val="22"/>
          <w:lang w:val="sr-Latn-ME"/>
        </w:rPr>
      </w:pPr>
      <w:r w:rsidRPr="00FB15F5">
        <w:rPr>
          <w:sz w:val="22"/>
          <w:szCs w:val="22"/>
          <w:lang w:val="sr-Latn-ME"/>
        </w:rPr>
        <w:t xml:space="preserve">Resorpcija </w:t>
      </w:r>
      <w:proofErr w:type="spellStart"/>
      <w:r w:rsidRPr="00FB15F5">
        <w:rPr>
          <w:sz w:val="22"/>
          <w:szCs w:val="22"/>
          <w:lang w:val="sr-Latn-ME"/>
        </w:rPr>
        <w:t>radioobilježenog</w:t>
      </w:r>
      <w:proofErr w:type="spellEnd"/>
      <w:r w:rsidRPr="00FB15F5">
        <w:rPr>
          <w:sz w:val="22"/>
          <w:szCs w:val="22"/>
          <w:lang w:val="sr-Latn-ME"/>
        </w:rPr>
        <w:t xml:space="preserve"> </w:t>
      </w:r>
      <w:proofErr w:type="spellStart"/>
      <w:r w:rsidRPr="00FB15F5">
        <w:rPr>
          <w:sz w:val="22"/>
          <w:szCs w:val="22"/>
          <w:lang w:val="sr-Latn-ME"/>
        </w:rPr>
        <w:t>estramustin</w:t>
      </w:r>
      <w:proofErr w:type="spellEnd"/>
      <w:r w:rsidRPr="00FB15F5">
        <w:rPr>
          <w:sz w:val="22"/>
          <w:szCs w:val="22"/>
          <w:lang w:val="sr-Latn-ME"/>
        </w:rPr>
        <w:t xml:space="preserve"> fosfata (</w:t>
      </w:r>
      <w:proofErr w:type="spellStart"/>
      <w:r w:rsidRPr="00FB15F5">
        <w:rPr>
          <w:sz w:val="22"/>
          <w:szCs w:val="22"/>
          <w:lang w:val="sr-Latn-ME"/>
        </w:rPr>
        <w:t>EMP</w:t>
      </w:r>
      <w:proofErr w:type="spellEnd"/>
      <w:r w:rsidRPr="00FB15F5">
        <w:rPr>
          <w:sz w:val="22"/>
          <w:szCs w:val="22"/>
          <w:lang w:val="sr-Latn-ME"/>
        </w:rPr>
        <w:t xml:space="preserve">) ispitivana je kod pacijenata nakon oralne primjene formulacije u kapsuli. Oralna resorpcija iznosila je oko 75% u poređenju sa </w:t>
      </w:r>
      <w:proofErr w:type="spellStart"/>
      <w:r w:rsidRPr="00FB15F5">
        <w:rPr>
          <w:sz w:val="22"/>
          <w:szCs w:val="22"/>
          <w:lang w:val="sr-Latn-ME"/>
        </w:rPr>
        <w:t>intravenskom</w:t>
      </w:r>
      <w:proofErr w:type="spellEnd"/>
      <w:r w:rsidRPr="00FB15F5">
        <w:rPr>
          <w:sz w:val="22"/>
          <w:szCs w:val="22"/>
          <w:lang w:val="sr-Latn-ME"/>
        </w:rPr>
        <w:t xml:space="preserve"> primjenom.</w:t>
      </w:r>
    </w:p>
    <w:p w14:paraId="1591C2F9" w14:textId="77777777" w:rsidR="00614D84" w:rsidRPr="00FB15F5" w:rsidRDefault="00614D84" w:rsidP="009F447A">
      <w:pPr>
        <w:autoSpaceDE w:val="0"/>
        <w:autoSpaceDN w:val="0"/>
        <w:adjustRightInd w:val="0"/>
        <w:jc w:val="both"/>
        <w:rPr>
          <w:sz w:val="22"/>
          <w:szCs w:val="22"/>
          <w:lang w:val="sr-Latn-ME"/>
        </w:rPr>
      </w:pPr>
    </w:p>
    <w:p w14:paraId="13F19A2F" w14:textId="77777777" w:rsidR="00614D84" w:rsidRPr="00FB15F5" w:rsidRDefault="00614D84" w:rsidP="009F447A">
      <w:pPr>
        <w:autoSpaceDE w:val="0"/>
        <w:autoSpaceDN w:val="0"/>
        <w:adjustRightInd w:val="0"/>
        <w:jc w:val="both"/>
        <w:rPr>
          <w:sz w:val="22"/>
          <w:szCs w:val="22"/>
          <w:lang w:val="sr-Latn-ME"/>
        </w:rPr>
      </w:pPr>
      <w:proofErr w:type="spellStart"/>
      <w:r w:rsidRPr="00FB15F5">
        <w:rPr>
          <w:sz w:val="22"/>
          <w:szCs w:val="22"/>
          <w:lang w:val="sr-Latn-ME"/>
        </w:rPr>
        <w:t>EMP</w:t>
      </w:r>
      <w:proofErr w:type="spellEnd"/>
      <w:r w:rsidRPr="00FB15F5">
        <w:rPr>
          <w:sz w:val="22"/>
          <w:szCs w:val="22"/>
          <w:lang w:val="sr-Latn-ME"/>
        </w:rPr>
        <w:t xml:space="preserve"> je </w:t>
      </w:r>
      <w:proofErr w:type="spellStart"/>
      <w:r w:rsidRPr="00FB15F5">
        <w:rPr>
          <w:sz w:val="22"/>
          <w:szCs w:val="22"/>
          <w:lang w:val="sr-Latn-ME"/>
        </w:rPr>
        <w:t>prolijek</w:t>
      </w:r>
      <w:proofErr w:type="spellEnd"/>
      <w:r w:rsidRPr="00FB15F5">
        <w:rPr>
          <w:sz w:val="22"/>
          <w:szCs w:val="22"/>
          <w:lang w:val="sr-Latn-ME"/>
        </w:rPr>
        <w:t xml:space="preserve">. On se brzo </w:t>
      </w:r>
      <w:proofErr w:type="spellStart"/>
      <w:r w:rsidRPr="00FB15F5">
        <w:rPr>
          <w:sz w:val="22"/>
          <w:szCs w:val="22"/>
          <w:lang w:val="sr-Latn-ME"/>
        </w:rPr>
        <w:t>defosforiliše</w:t>
      </w:r>
      <w:proofErr w:type="spellEnd"/>
      <w:r w:rsidRPr="00FB15F5">
        <w:rPr>
          <w:sz w:val="22"/>
          <w:szCs w:val="22"/>
          <w:lang w:val="sr-Latn-ME"/>
        </w:rPr>
        <w:t xml:space="preserve"> u gastrointestinalnom traktu do </w:t>
      </w:r>
      <w:proofErr w:type="spellStart"/>
      <w:r w:rsidRPr="00FB15F5">
        <w:rPr>
          <w:sz w:val="22"/>
          <w:szCs w:val="22"/>
          <w:lang w:val="sr-Latn-ME"/>
        </w:rPr>
        <w:t>estramustina</w:t>
      </w:r>
      <w:proofErr w:type="spellEnd"/>
      <w:r w:rsidRPr="00FB15F5">
        <w:rPr>
          <w:sz w:val="22"/>
          <w:szCs w:val="22"/>
          <w:lang w:val="sr-Latn-ME"/>
        </w:rPr>
        <w:t xml:space="preserve">, i </w:t>
      </w:r>
      <w:proofErr w:type="spellStart"/>
      <w:r w:rsidRPr="00FB15F5">
        <w:rPr>
          <w:sz w:val="22"/>
          <w:szCs w:val="22"/>
          <w:lang w:val="sr-Latn-ME"/>
        </w:rPr>
        <w:t>intaktni</w:t>
      </w:r>
      <w:proofErr w:type="spellEnd"/>
      <w:r w:rsidRPr="00FB15F5">
        <w:rPr>
          <w:sz w:val="22"/>
          <w:szCs w:val="22"/>
          <w:lang w:val="sr-Latn-ME"/>
        </w:rPr>
        <w:t xml:space="preserve"> </w:t>
      </w:r>
      <w:proofErr w:type="spellStart"/>
      <w:r w:rsidRPr="00FB15F5">
        <w:rPr>
          <w:sz w:val="22"/>
          <w:szCs w:val="22"/>
          <w:lang w:val="sr-Latn-ME"/>
        </w:rPr>
        <w:t>EMP</w:t>
      </w:r>
      <w:proofErr w:type="spellEnd"/>
      <w:r w:rsidRPr="00FB15F5">
        <w:rPr>
          <w:sz w:val="22"/>
          <w:szCs w:val="22"/>
          <w:lang w:val="sr-Latn-ME"/>
        </w:rPr>
        <w:t xml:space="preserve"> se ne detektuje u plazmi nakon oralne primjene. Stepen vezivanja EMP za proteine iznosi 99%. </w:t>
      </w:r>
      <w:proofErr w:type="spellStart"/>
      <w:r w:rsidRPr="00FB15F5">
        <w:rPr>
          <w:sz w:val="22"/>
          <w:szCs w:val="22"/>
          <w:lang w:val="sr-Latn-ME"/>
        </w:rPr>
        <w:t>Estramustin</w:t>
      </w:r>
      <w:proofErr w:type="spellEnd"/>
      <w:r w:rsidRPr="00FB15F5">
        <w:rPr>
          <w:sz w:val="22"/>
          <w:szCs w:val="22"/>
          <w:lang w:val="sr-Latn-ME"/>
        </w:rPr>
        <w:t xml:space="preserve"> se </w:t>
      </w:r>
      <w:proofErr w:type="spellStart"/>
      <w:r w:rsidRPr="00FB15F5">
        <w:rPr>
          <w:sz w:val="22"/>
          <w:szCs w:val="22"/>
          <w:lang w:val="sr-Latn-ME"/>
        </w:rPr>
        <w:t>metaboliše</w:t>
      </w:r>
      <w:proofErr w:type="spellEnd"/>
      <w:r w:rsidRPr="00FB15F5">
        <w:rPr>
          <w:sz w:val="22"/>
          <w:szCs w:val="22"/>
          <w:lang w:val="sr-Latn-ME"/>
        </w:rPr>
        <w:t xml:space="preserve"> do </w:t>
      </w:r>
      <w:proofErr w:type="spellStart"/>
      <w:r w:rsidRPr="00FB15F5">
        <w:rPr>
          <w:sz w:val="22"/>
          <w:szCs w:val="22"/>
          <w:lang w:val="sr-Latn-ME"/>
        </w:rPr>
        <w:t>estromustina</w:t>
      </w:r>
      <w:proofErr w:type="spellEnd"/>
      <w:r w:rsidRPr="00FB15F5">
        <w:rPr>
          <w:sz w:val="22"/>
          <w:szCs w:val="22"/>
          <w:lang w:val="sr-Latn-ME"/>
        </w:rPr>
        <w:t>, koji predstavlja glavno jedinjenje u plazmi. Relativna oralna biološka raspoloživost (</w:t>
      </w:r>
      <w:proofErr w:type="spellStart"/>
      <w:r w:rsidRPr="00FB15F5">
        <w:rPr>
          <w:sz w:val="22"/>
          <w:szCs w:val="22"/>
          <w:lang w:val="sr-Latn-ME"/>
        </w:rPr>
        <w:t>PIKpo</w:t>
      </w:r>
      <w:proofErr w:type="spellEnd"/>
      <w:r w:rsidRPr="00FB15F5">
        <w:rPr>
          <w:sz w:val="22"/>
          <w:szCs w:val="22"/>
          <w:lang w:val="sr-Latn-ME"/>
        </w:rPr>
        <w:t>/</w:t>
      </w:r>
      <w:proofErr w:type="spellStart"/>
      <w:r w:rsidRPr="00FB15F5">
        <w:rPr>
          <w:sz w:val="22"/>
          <w:szCs w:val="22"/>
          <w:lang w:val="sr-Latn-ME"/>
        </w:rPr>
        <w:t>PIKiv</w:t>
      </w:r>
      <w:proofErr w:type="spellEnd"/>
      <w:r w:rsidRPr="00FB15F5">
        <w:rPr>
          <w:sz w:val="22"/>
          <w:szCs w:val="22"/>
          <w:lang w:val="sr-Latn-ME"/>
        </w:rPr>
        <w:t xml:space="preserve">) </w:t>
      </w:r>
      <w:proofErr w:type="spellStart"/>
      <w:r w:rsidRPr="00FB15F5">
        <w:rPr>
          <w:sz w:val="22"/>
          <w:szCs w:val="22"/>
          <w:lang w:val="sr-Latn-ME"/>
        </w:rPr>
        <w:t>estromustina</w:t>
      </w:r>
      <w:proofErr w:type="spellEnd"/>
      <w:r w:rsidRPr="00FB15F5">
        <w:rPr>
          <w:sz w:val="22"/>
          <w:szCs w:val="22"/>
          <w:lang w:val="sr-Latn-ME"/>
        </w:rPr>
        <w:t xml:space="preserve"> je visoka; oko 90% kod pacijenata koji su lijek uzeli na prazan želudac. I </w:t>
      </w:r>
      <w:proofErr w:type="spellStart"/>
      <w:r w:rsidRPr="00FB15F5">
        <w:rPr>
          <w:sz w:val="22"/>
          <w:szCs w:val="22"/>
          <w:lang w:val="sr-Latn-ME"/>
        </w:rPr>
        <w:t>estramustin</w:t>
      </w:r>
      <w:proofErr w:type="spellEnd"/>
      <w:r w:rsidRPr="00FB15F5">
        <w:rPr>
          <w:sz w:val="22"/>
          <w:szCs w:val="22"/>
          <w:lang w:val="sr-Latn-ME"/>
        </w:rPr>
        <w:t xml:space="preserve"> i </w:t>
      </w:r>
      <w:proofErr w:type="spellStart"/>
      <w:r w:rsidRPr="00FB15F5">
        <w:rPr>
          <w:sz w:val="22"/>
          <w:szCs w:val="22"/>
          <w:lang w:val="sr-Latn-ME"/>
        </w:rPr>
        <w:t>estromustin</w:t>
      </w:r>
      <w:proofErr w:type="spellEnd"/>
      <w:r w:rsidRPr="00FB15F5">
        <w:rPr>
          <w:sz w:val="22"/>
          <w:szCs w:val="22"/>
          <w:lang w:val="sr-Latn-ME"/>
        </w:rPr>
        <w:t xml:space="preserve"> su </w:t>
      </w:r>
      <w:proofErr w:type="spellStart"/>
      <w:r w:rsidRPr="00FB15F5">
        <w:rPr>
          <w:sz w:val="22"/>
          <w:szCs w:val="22"/>
          <w:lang w:val="sr-Latn-ME"/>
        </w:rPr>
        <w:t>citotoksični</w:t>
      </w:r>
      <w:proofErr w:type="spellEnd"/>
      <w:r w:rsidRPr="00FB15F5">
        <w:rPr>
          <w:sz w:val="22"/>
          <w:szCs w:val="22"/>
          <w:lang w:val="sr-Latn-ME"/>
        </w:rPr>
        <w:t xml:space="preserve"> i u visokom procentu se vezuju za proteine. Poluvrijeme eliminacije za </w:t>
      </w:r>
      <w:proofErr w:type="spellStart"/>
      <w:r w:rsidRPr="00FB15F5">
        <w:rPr>
          <w:sz w:val="22"/>
          <w:szCs w:val="22"/>
          <w:lang w:val="sr-Latn-ME"/>
        </w:rPr>
        <w:t>estromustin</w:t>
      </w:r>
      <w:proofErr w:type="spellEnd"/>
      <w:r w:rsidRPr="00FB15F5">
        <w:rPr>
          <w:sz w:val="22"/>
          <w:szCs w:val="22"/>
          <w:lang w:val="sr-Latn-ME"/>
        </w:rPr>
        <w:t xml:space="preserve"> iznosi oko 80 časova. </w:t>
      </w:r>
      <w:proofErr w:type="spellStart"/>
      <w:r w:rsidRPr="00FB15F5">
        <w:rPr>
          <w:sz w:val="22"/>
          <w:szCs w:val="22"/>
          <w:lang w:val="sr-Latn-ME"/>
        </w:rPr>
        <w:t>Estramustin</w:t>
      </w:r>
      <w:proofErr w:type="spellEnd"/>
      <w:r w:rsidRPr="00FB15F5">
        <w:rPr>
          <w:sz w:val="22"/>
          <w:szCs w:val="22"/>
          <w:lang w:val="sr-Latn-ME"/>
        </w:rPr>
        <w:t xml:space="preserve"> i </w:t>
      </w:r>
      <w:proofErr w:type="spellStart"/>
      <w:r w:rsidRPr="00FB15F5">
        <w:rPr>
          <w:sz w:val="22"/>
          <w:szCs w:val="22"/>
          <w:lang w:val="sr-Latn-ME"/>
        </w:rPr>
        <w:t>estromustin</w:t>
      </w:r>
      <w:proofErr w:type="spellEnd"/>
      <w:r w:rsidRPr="00FB15F5">
        <w:rPr>
          <w:sz w:val="22"/>
          <w:szCs w:val="22"/>
          <w:lang w:val="sr-Latn-ME"/>
        </w:rPr>
        <w:t xml:space="preserve"> se dalje </w:t>
      </w:r>
      <w:proofErr w:type="spellStart"/>
      <w:r w:rsidRPr="00FB15F5">
        <w:rPr>
          <w:sz w:val="22"/>
          <w:szCs w:val="22"/>
          <w:lang w:val="sr-Latn-ME"/>
        </w:rPr>
        <w:t>metabolišu</w:t>
      </w:r>
      <w:proofErr w:type="spellEnd"/>
      <w:r w:rsidRPr="00FB15F5">
        <w:rPr>
          <w:sz w:val="22"/>
          <w:szCs w:val="22"/>
          <w:lang w:val="sr-Latn-ME"/>
        </w:rPr>
        <w:t xml:space="preserve"> u odgovarajuće estrogene: </w:t>
      </w:r>
      <w:proofErr w:type="spellStart"/>
      <w:r w:rsidRPr="00FB15F5">
        <w:rPr>
          <w:sz w:val="22"/>
          <w:szCs w:val="22"/>
          <w:lang w:val="sr-Latn-ME"/>
        </w:rPr>
        <w:t>estradiol</w:t>
      </w:r>
      <w:proofErr w:type="spellEnd"/>
      <w:r w:rsidRPr="00FB15F5">
        <w:rPr>
          <w:sz w:val="22"/>
          <w:szCs w:val="22"/>
          <w:lang w:val="sr-Latn-ME"/>
        </w:rPr>
        <w:t xml:space="preserve"> i </w:t>
      </w:r>
      <w:proofErr w:type="spellStart"/>
      <w:r w:rsidRPr="00FB15F5">
        <w:rPr>
          <w:sz w:val="22"/>
          <w:szCs w:val="22"/>
          <w:lang w:val="sr-Latn-ME"/>
        </w:rPr>
        <w:t>estron</w:t>
      </w:r>
      <w:proofErr w:type="spellEnd"/>
      <w:r w:rsidRPr="00FB15F5">
        <w:rPr>
          <w:sz w:val="22"/>
          <w:szCs w:val="22"/>
          <w:lang w:val="sr-Latn-ME"/>
        </w:rPr>
        <w:t xml:space="preserve">. </w:t>
      </w:r>
    </w:p>
    <w:p w14:paraId="36B4BABE" w14:textId="77777777" w:rsidR="00614D84" w:rsidRPr="00FB15F5" w:rsidRDefault="00614D84" w:rsidP="009F447A">
      <w:pPr>
        <w:autoSpaceDE w:val="0"/>
        <w:autoSpaceDN w:val="0"/>
        <w:adjustRightInd w:val="0"/>
        <w:jc w:val="both"/>
        <w:rPr>
          <w:sz w:val="22"/>
          <w:szCs w:val="22"/>
          <w:lang w:val="sr-Latn-ME"/>
        </w:rPr>
      </w:pPr>
    </w:p>
    <w:p w14:paraId="4E6CD14E" w14:textId="77777777" w:rsidR="00614D84" w:rsidRPr="00FB15F5" w:rsidRDefault="00614D84" w:rsidP="009F447A">
      <w:pPr>
        <w:autoSpaceDE w:val="0"/>
        <w:autoSpaceDN w:val="0"/>
        <w:adjustRightInd w:val="0"/>
        <w:jc w:val="both"/>
        <w:rPr>
          <w:sz w:val="22"/>
          <w:szCs w:val="22"/>
          <w:lang w:val="sr-Latn-ME"/>
        </w:rPr>
      </w:pPr>
      <w:r w:rsidRPr="00FB15F5">
        <w:rPr>
          <w:sz w:val="22"/>
          <w:szCs w:val="22"/>
          <w:lang w:val="sr-Latn-ME"/>
        </w:rPr>
        <w:t xml:space="preserve">Nakon </w:t>
      </w:r>
      <w:proofErr w:type="spellStart"/>
      <w:r w:rsidRPr="00FB15F5">
        <w:rPr>
          <w:sz w:val="22"/>
          <w:szCs w:val="22"/>
          <w:lang w:val="sr-Latn-ME"/>
        </w:rPr>
        <w:t>intravenske</w:t>
      </w:r>
      <w:proofErr w:type="spellEnd"/>
      <w:r w:rsidRPr="00FB15F5">
        <w:rPr>
          <w:sz w:val="22"/>
          <w:szCs w:val="22"/>
          <w:lang w:val="sr-Latn-ME"/>
        </w:rPr>
        <w:t xml:space="preserve"> primjene, </w:t>
      </w:r>
      <w:proofErr w:type="spellStart"/>
      <w:r w:rsidRPr="00FB15F5">
        <w:rPr>
          <w:sz w:val="22"/>
          <w:szCs w:val="22"/>
          <w:lang w:val="sr-Latn-ME"/>
        </w:rPr>
        <w:t>intaktni</w:t>
      </w:r>
      <w:proofErr w:type="spellEnd"/>
      <w:r w:rsidRPr="00FB15F5">
        <w:rPr>
          <w:sz w:val="22"/>
          <w:szCs w:val="22"/>
          <w:lang w:val="sr-Latn-ME"/>
        </w:rPr>
        <w:t xml:space="preserve"> </w:t>
      </w:r>
      <w:proofErr w:type="spellStart"/>
      <w:r w:rsidRPr="00FB15F5">
        <w:rPr>
          <w:sz w:val="22"/>
          <w:szCs w:val="22"/>
          <w:lang w:val="sr-Latn-ME"/>
        </w:rPr>
        <w:t>EMP</w:t>
      </w:r>
      <w:proofErr w:type="spellEnd"/>
      <w:r w:rsidRPr="00FB15F5">
        <w:rPr>
          <w:sz w:val="22"/>
          <w:szCs w:val="22"/>
          <w:lang w:val="sr-Latn-ME"/>
        </w:rPr>
        <w:t xml:space="preserve"> se detektuje u plazmi, ali se brzo </w:t>
      </w:r>
      <w:proofErr w:type="spellStart"/>
      <w:r w:rsidRPr="00FB15F5">
        <w:rPr>
          <w:sz w:val="22"/>
          <w:szCs w:val="22"/>
          <w:lang w:val="sr-Latn-ME"/>
        </w:rPr>
        <w:t>metaboliše</w:t>
      </w:r>
      <w:proofErr w:type="spellEnd"/>
      <w:r w:rsidRPr="00FB15F5">
        <w:rPr>
          <w:sz w:val="22"/>
          <w:szCs w:val="22"/>
          <w:lang w:val="sr-Latn-ME"/>
        </w:rPr>
        <w:t xml:space="preserve"> (poluvrijeme eliminacije: 1,2 sata) i formiraju se isti </w:t>
      </w:r>
      <w:proofErr w:type="spellStart"/>
      <w:r w:rsidRPr="00FB15F5">
        <w:rPr>
          <w:sz w:val="22"/>
          <w:szCs w:val="22"/>
          <w:lang w:val="sr-Latn-ME"/>
        </w:rPr>
        <w:t>metaboliti</w:t>
      </w:r>
      <w:proofErr w:type="spellEnd"/>
      <w:r w:rsidRPr="00FB15F5">
        <w:rPr>
          <w:sz w:val="22"/>
          <w:szCs w:val="22"/>
          <w:lang w:val="sr-Latn-ME"/>
        </w:rPr>
        <w:t xml:space="preserve"> kao i nakon oralne primjene. Nakon </w:t>
      </w:r>
      <w:proofErr w:type="spellStart"/>
      <w:r w:rsidRPr="00FB15F5">
        <w:rPr>
          <w:sz w:val="22"/>
          <w:szCs w:val="22"/>
          <w:lang w:val="sr-Latn-ME"/>
        </w:rPr>
        <w:t>intravenske</w:t>
      </w:r>
      <w:proofErr w:type="spellEnd"/>
      <w:r w:rsidRPr="00FB15F5">
        <w:rPr>
          <w:sz w:val="22"/>
          <w:szCs w:val="22"/>
          <w:lang w:val="sr-Latn-ME"/>
        </w:rPr>
        <w:t xml:space="preserve"> primjene </w:t>
      </w:r>
      <w:proofErr w:type="spellStart"/>
      <w:r w:rsidRPr="00FB15F5">
        <w:rPr>
          <w:sz w:val="22"/>
          <w:szCs w:val="22"/>
          <w:lang w:val="sr-Latn-ME"/>
        </w:rPr>
        <w:t>estromustin</w:t>
      </w:r>
      <w:proofErr w:type="spellEnd"/>
      <w:r w:rsidRPr="00FB15F5">
        <w:rPr>
          <w:sz w:val="22"/>
          <w:szCs w:val="22"/>
          <w:lang w:val="sr-Latn-ME"/>
        </w:rPr>
        <w:t xml:space="preserve"> je takođe osnovni </w:t>
      </w:r>
      <w:proofErr w:type="spellStart"/>
      <w:r w:rsidRPr="00FB15F5">
        <w:rPr>
          <w:sz w:val="22"/>
          <w:szCs w:val="22"/>
          <w:lang w:val="sr-Latn-ME"/>
        </w:rPr>
        <w:t>metabolit</w:t>
      </w:r>
      <w:proofErr w:type="spellEnd"/>
      <w:r w:rsidRPr="00FB15F5">
        <w:rPr>
          <w:sz w:val="22"/>
          <w:szCs w:val="22"/>
          <w:lang w:val="sr-Latn-ME"/>
        </w:rPr>
        <w:t>.</w:t>
      </w:r>
    </w:p>
    <w:p w14:paraId="3FA685B6" w14:textId="77777777" w:rsidR="00614D84" w:rsidRPr="00FB15F5" w:rsidRDefault="00614D84" w:rsidP="009F447A">
      <w:pPr>
        <w:autoSpaceDE w:val="0"/>
        <w:autoSpaceDN w:val="0"/>
        <w:adjustRightInd w:val="0"/>
        <w:jc w:val="both"/>
        <w:rPr>
          <w:spacing w:val="-2"/>
          <w:sz w:val="22"/>
          <w:szCs w:val="22"/>
          <w:lang w:val="sr-Latn-ME"/>
        </w:rPr>
      </w:pPr>
    </w:p>
    <w:p w14:paraId="726471ED" w14:textId="77777777" w:rsidR="00614D84" w:rsidRPr="00FB15F5" w:rsidRDefault="00614D84" w:rsidP="009F447A">
      <w:pPr>
        <w:autoSpaceDE w:val="0"/>
        <w:autoSpaceDN w:val="0"/>
        <w:adjustRightInd w:val="0"/>
        <w:jc w:val="both"/>
        <w:rPr>
          <w:spacing w:val="-2"/>
          <w:sz w:val="22"/>
          <w:szCs w:val="22"/>
          <w:lang w:val="sr-Latn-ME"/>
        </w:rPr>
      </w:pPr>
      <w:r w:rsidRPr="00FB15F5">
        <w:rPr>
          <w:spacing w:val="-2"/>
          <w:sz w:val="22"/>
          <w:szCs w:val="22"/>
          <w:lang w:val="sr-Latn-ME"/>
        </w:rPr>
        <w:t xml:space="preserve">Nivoi </w:t>
      </w:r>
      <w:proofErr w:type="spellStart"/>
      <w:r w:rsidRPr="00FB15F5">
        <w:rPr>
          <w:spacing w:val="-2"/>
          <w:sz w:val="22"/>
          <w:szCs w:val="22"/>
          <w:lang w:val="sr-Latn-ME"/>
        </w:rPr>
        <w:t>EMP</w:t>
      </w:r>
      <w:proofErr w:type="spellEnd"/>
      <w:r w:rsidRPr="00FB15F5">
        <w:rPr>
          <w:spacing w:val="-2"/>
          <w:sz w:val="22"/>
          <w:szCs w:val="22"/>
          <w:lang w:val="sr-Latn-ME"/>
        </w:rPr>
        <w:t xml:space="preserve"> i njegovih </w:t>
      </w:r>
      <w:proofErr w:type="spellStart"/>
      <w:r w:rsidRPr="00FB15F5">
        <w:rPr>
          <w:spacing w:val="-2"/>
          <w:sz w:val="22"/>
          <w:szCs w:val="22"/>
          <w:lang w:val="sr-Latn-ME"/>
        </w:rPr>
        <w:t>metabolita</w:t>
      </w:r>
      <w:proofErr w:type="spellEnd"/>
      <w:r w:rsidRPr="00FB15F5">
        <w:rPr>
          <w:spacing w:val="-2"/>
          <w:sz w:val="22"/>
          <w:szCs w:val="22"/>
          <w:lang w:val="sr-Latn-ME"/>
        </w:rPr>
        <w:t xml:space="preserve"> u plazmi su u skoro linearnoj korelaciji sa primijenjenom dozom nakon oralne ili </w:t>
      </w:r>
      <w:proofErr w:type="spellStart"/>
      <w:r w:rsidRPr="00FB15F5">
        <w:rPr>
          <w:spacing w:val="-2"/>
          <w:sz w:val="22"/>
          <w:szCs w:val="22"/>
          <w:lang w:val="sr-Latn-ME"/>
        </w:rPr>
        <w:t>intravenske</w:t>
      </w:r>
      <w:proofErr w:type="spellEnd"/>
      <w:r w:rsidRPr="00FB15F5">
        <w:rPr>
          <w:spacing w:val="-2"/>
          <w:sz w:val="22"/>
          <w:szCs w:val="22"/>
          <w:lang w:val="sr-Latn-ME"/>
        </w:rPr>
        <w:t xml:space="preserve"> primjene. Nivo </w:t>
      </w:r>
      <w:proofErr w:type="spellStart"/>
      <w:r w:rsidRPr="00FB15F5">
        <w:rPr>
          <w:spacing w:val="-2"/>
          <w:sz w:val="22"/>
          <w:szCs w:val="22"/>
          <w:lang w:val="sr-Latn-ME"/>
        </w:rPr>
        <w:t>metabolita</w:t>
      </w:r>
      <w:proofErr w:type="spellEnd"/>
      <w:r w:rsidRPr="00FB15F5">
        <w:rPr>
          <w:spacing w:val="-2"/>
          <w:sz w:val="22"/>
          <w:szCs w:val="22"/>
          <w:lang w:val="sr-Latn-ME"/>
        </w:rPr>
        <w:t xml:space="preserve"> u ravnotežnom stanju ne mijenja se tokom dugoročne oralne terapije.</w:t>
      </w:r>
    </w:p>
    <w:p w14:paraId="127396FF" w14:textId="77777777" w:rsidR="00614D84" w:rsidRPr="00FB15F5" w:rsidRDefault="00614D84" w:rsidP="009F447A">
      <w:pPr>
        <w:autoSpaceDE w:val="0"/>
        <w:autoSpaceDN w:val="0"/>
        <w:adjustRightInd w:val="0"/>
        <w:jc w:val="both"/>
        <w:rPr>
          <w:sz w:val="22"/>
          <w:szCs w:val="22"/>
          <w:lang w:val="sr-Latn-ME"/>
        </w:rPr>
      </w:pPr>
    </w:p>
    <w:p w14:paraId="77747EE3" w14:textId="77777777" w:rsidR="00614D84" w:rsidRPr="00FB15F5" w:rsidRDefault="00614D84" w:rsidP="009F447A">
      <w:pPr>
        <w:autoSpaceDE w:val="0"/>
        <w:autoSpaceDN w:val="0"/>
        <w:adjustRightInd w:val="0"/>
        <w:jc w:val="both"/>
        <w:rPr>
          <w:sz w:val="22"/>
          <w:szCs w:val="22"/>
          <w:lang w:val="sr-Latn-ME"/>
        </w:rPr>
      </w:pPr>
      <w:proofErr w:type="spellStart"/>
      <w:r w:rsidRPr="00FB15F5">
        <w:rPr>
          <w:sz w:val="22"/>
          <w:szCs w:val="22"/>
          <w:lang w:val="sr-Latn-ME"/>
        </w:rPr>
        <w:t>Estramustin</w:t>
      </w:r>
      <w:proofErr w:type="spellEnd"/>
      <w:r w:rsidRPr="00FB15F5">
        <w:rPr>
          <w:sz w:val="22"/>
          <w:szCs w:val="22"/>
          <w:lang w:val="sr-Latn-ME"/>
        </w:rPr>
        <w:t xml:space="preserve"> i </w:t>
      </w:r>
      <w:proofErr w:type="spellStart"/>
      <w:r w:rsidRPr="00FB15F5">
        <w:rPr>
          <w:sz w:val="22"/>
          <w:szCs w:val="22"/>
          <w:lang w:val="sr-Latn-ME"/>
        </w:rPr>
        <w:t>estromustin</w:t>
      </w:r>
      <w:proofErr w:type="spellEnd"/>
      <w:r w:rsidRPr="00FB15F5">
        <w:rPr>
          <w:sz w:val="22"/>
          <w:szCs w:val="22"/>
          <w:lang w:val="sr-Latn-ME"/>
        </w:rPr>
        <w:t xml:space="preserve"> se izlučuju putem žuči i </w:t>
      </w:r>
      <w:proofErr w:type="spellStart"/>
      <w:r w:rsidRPr="00FB15F5">
        <w:rPr>
          <w:sz w:val="22"/>
          <w:szCs w:val="22"/>
          <w:lang w:val="sr-Latn-ME"/>
        </w:rPr>
        <w:t>fecesa</w:t>
      </w:r>
      <w:proofErr w:type="spellEnd"/>
      <w:r w:rsidRPr="00FB15F5">
        <w:rPr>
          <w:sz w:val="22"/>
          <w:szCs w:val="22"/>
          <w:lang w:val="sr-Latn-ME"/>
        </w:rPr>
        <w:t xml:space="preserve"> i ne javljaju se u urinu. </w:t>
      </w:r>
      <w:proofErr w:type="spellStart"/>
      <w:r w:rsidRPr="00FB15F5">
        <w:rPr>
          <w:sz w:val="22"/>
          <w:szCs w:val="22"/>
          <w:lang w:val="sr-Latn-ME"/>
        </w:rPr>
        <w:t>Estradiol</w:t>
      </w:r>
      <w:proofErr w:type="spellEnd"/>
      <w:r w:rsidRPr="00FB15F5">
        <w:rPr>
          <w:sz w:val="22"/>
          <w:szCs w:val="22"/>
          <w:lang w:val="sr-Latn-ME"/>
        </w:rPr>
        <w:t xml:space="preserve"> i </w:t>
      </w:r>
      <w:proofErr w:type="spellStart"/>
      <w:r w:rsidRPr="00FB15F5">
        <w:rPr>
          <w:sz w:val="22"/>
          <w:szCs w:val="22"/>
          <w:lang w:val="sr-Latn-ME"/>
        </w:rPr>
        <w:t>estron</w:t>
      </w:r>
      <w:proofErr w:type="spellEnd"/>
      <w:r w:rsidRPr="00FB15F5">
        <w:rPr>
          <w:sz w:val="22"/>
          <w:szCs w:val="22"/>
          <w:lang w:val="sr-Latn-ME"/>
        </w:rPr>
        <w:t xml:space="preserve"> se dalje </w:t>
      </w:r>
      <w:proofErr w:type="spellStart"/>
      <w:r w:rsidRPr="00FB15F5">
        <w:rPr>
          <w:sz w:val="22"/>
          <w:szCs w:val="22"/>
          <w:lang w:val="sr-Latn-ME"/>
        </w:rPr>
        <w:t>metabolišu</w:t>
      </w:r>
      <w:proofErr w:type="spellEnd"/>
      <w:r w:rsidRPr="00FB15F5">
        <w:rPr>
          <w:sz w:val="22"/>
          <w:szCs w:val="22"/>
          <w:lang w:val="sr-Latn-ME"/>
        </w:rPr>
        <w:t xml:space="preserve"> i djelimično izlučuju urinom. </w:t>
      </w:r>
    </w:p>
    <w:p w14:paraId="4B34CAE4" w14:textId="77777777" w:rsidR="00614D84" w:rsidRPr="00FB15F5" w:rsidRDefault="00614D84" w:rsidP="009F447A">
      <w:pPr>
        <w:autoSpaceDE w:val="0"/>
        <w:autoSpaceDN w:val="0"/>
        <w:adjustRightInd w:val="0"/>
        <w:jc w:val="both"/>
        <w:rPr>
          <w:sz w:val="22"/>
          <w:szCs w:val="22"/>
          <w:lang w:val="sr-Latn-ME"/>
        </w:rPr>
      </w:pPr>
      <w:proofErr w:type="spellStart"/>
      <w:r w:rsidRPr="00FB15F5">
        <w:rPr>
          <w:sz w:val="22"/>
          <w:szCs w:val="22"/>
          <w:lang w:val="sr-Latn-ME"/>
        </w:rPr>
        <w:t>Estramustin</w:t>
      </w:r>
      <w:proofErr w:type="spellEnd"/>
      <w:r w:rsidRPr="00FB15F5">
        <w:rPr>
          <w:sz w:val="22"/>
          <w:szCs w:val="22"/>
          <w:lang w:val="sr-Latn-ME"/>
        </w:rPr>
        <w:t xml:space="preserve"> i </w:t>
      </w:r>
      <w:proofErr w:type="spellStart"/>
      <w:r w:rsidRPr="00FB15F5">
        <w:rPr>
          <w:sz w:val="22"/>
          <w:szCs w:val="22"/>
          <w:lang w:val="sr-Latn-ME"/>
        </w:rPr>
        <w:t>estromustin</w:t>
      </w:r>
      <w:proofErr w:type="spellEnd"/>
      <w:r w:rsidRPr="00FB15F5">
        <w:rPr>
          <w:sz w:val="22"/>
          <w:szCs w:val="22"/>
          <w:lang w:val="sr-Latn-ME"/>
        </w:rPr>
        <w:t xml:space="preserve"> su pronađeni u tkivu tumora prostate </w:t>
      </w:r>
      <w:proofErr w:type="spellStart"/>
      <w:r w:rsidRPr="00FB15F5">
        <w:rPr>
          <w:sz w:val="22"/>
          <w:szCs w:val="22"/>
          <w:lang w:val="sr-Latn-ME"/>
        </w:rPr>
        <w:t>ljudi</w:t>
      </w:r>
      <w:proofErr w:type="spellEnd"/>
      <w:r w:rsidRPr="00FB15F5">
        <w:rPr>
          <w:sz w:val="22"/>
          <w:szCs w:val="22"/>
          <w:lang w:val="sr-Latn-ME"/>
        </w:rPr>
        <w:t xml:space="preserve"> nakon terapije sa EMP. Kod pacijenata su zabilježeni viši nivoi </w:t>
      </w:r>
      <w:proofErr w:type="spellStart"/>
      <w:r w:rsidRPr="00FB15F5">
        <w:rPr>
          <w:sz w:val="22"/>
          <w:szCs w:val="22"/>
          <w:lang w:val="sr-Latn-ME"/>
        </w:rPr>
        <w:t>estramustina</w:t>
      </w:r>
      <w:proofErr w:type="spellEnd"/>
      <w:r w:rsidRPr="00FB15F5">
        <w:rPr>
          <w:sz w:val="22"/>
          <w:szCs w:val="22"/>
          <w:lang w:val="sr-Latn-ME"/>
        </w:rPr>
        <w:t xml:space="preserve"> i </w:t>
      </w:r>
      <w:proofErr w:type="spellStart"/>
      <w:r w:rsidRPr="00FB15F5">
        <w:rPr>
          <w:sz w:val="22"/>
          <w:szCs w:val="22"/>
          <w:lang w:val="sr-Latn-ME"/>
        </w:rPr>
        <w:t>estromustina</w:t>
      </w:r>
      <w:proofErr w:type="spellEnd"/>
      <w:r w:rsidRPr="00FB15F5">
        <w:rPr>
          <w:sz w:val="22"/>
          <w:szCs w:val="22"/>
          <w:lang w:val="sr-Latn-ME"/>
        </w:rPr>
        <w:t xml:space="preserve"> u tumorskom tkivu nego u plazmi. Razlog ovome može biti to što </w:t>
      </w:r>
      <w:proofErr w:type="spellStart"/>
      <w:r w:rsidRPr="00FB15F5">
        <w:rPr>
          <w:sz w:val="22"/>
          <w:szCs w:val="22"/>
          <w:lang w:val="sr-Latn-ME"/>
        </w:rPr>
        <w:t>estramustin</w:t>
      </w:r>
      <w:proofErr w:type="spellEnd"/>
      <w:r w:rsidRPr="00FB15F5">
        <w:rPr>
          <w:sz w:val="22"/>
          <w:szCs w:val="22"/>
          <w:lang w:val="sr-Latn-ME"/>
        </w:rPr>
        <w:t xml:space="preserve"> i </w:t>
      </w:r>
      <w:proofErr w:type="spellStart"/>
      <w:r w:rsidRPr="00FB15F5">
        <w:rPr>
          <w:sz w:val="22"/>
          <w:szCs w:val="22"/>
          <w:lang w:val="sr-Latn-ME"/>
        </w:rPr>
        <w:t>estromustin</w:t>
      </w:r>
      <w:proofErr w:type="spellEnd"/>
      <w:r w:rsidRPr="00FB15F5">
        <w:rPr>
          <w:sz w:val="22"/>
          <w:szCs w:val="22"/>
          <w:lang w:val="sr-Latn-ME"/>
        </w:rPr>
        <w:t xml:space="preserve"> ulaze u tumorsko tkivo tako što se vezuju za protein za koji je pokazano da postoji u tkivu tumora prostate.</w:t>
      </w:r>
    </w:p>
    <w:p w14:paraId="571AE394" w14:textId="77777777" w:rsidR="0072020E" w:rsidRPr="00FB15F5" w:rsidRDefault="0072020E" w:rsidP="00480FB1">
      <w:pPr>
        <w:tabs>
          <w:tab w:val="left" w:pos="540"/>
          <w:tab w:val="left" w:pos="569"/>
        </w:tabs>
        <w:rPr>
          <w:bCs/>
          <w:sz w:val="22"/>
          <w:szCs w:val="22"/>
          <w:lang w:val="sr-Latn-ME"/>
        </w:rPr>
      </w:pPr>
    </w:p>
    <w:p w14:paraId="3D9977B6"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5.3. </w:t>
      </w:r>
      <w:r w:rsidR="00480FB1" w:rsidRPr="00FB15F5">
        <w:rPr>
          <w:b/>
          <w:bCs/>
          <w:sz w:val="22"/>
          <w:szCs w:val="22"/>
          <w:lang w:val="sr-Latn-ME"/>
        </w:rPr>
        <w:tab/>
      </w:r>
      <w:proofErr w:type="spellStart"/>
      <w:r w:rsidRPr="00FB15F5">
        <w:rPr>
          <w:b/>
          <w:bCs/>
          <w:sz w:val="22"/>
          <w:szCs w:val="22"/>
          <w:lang w:val="sr-Latn-ME"/>
        </w:rPr>
        <w:t>Pretklinički</w:t>
      </w:r>
      <w:proofErr w:type="spellEnd"/>
      <w:r w:rsidRPr="00FB15F5">
        <w:rPr>
          <w:b/>
          <w:bCs/>
          <w:sz w:val="22"/>
          <w:szCs w:val="22"/>
          <w:lang w:val="sr-Latn-ME"/>
        </w:rPr>
        <w:t xml:space="preserve"> podaci o bezbjednosti </w:t>
      </w:r>
    </w:p>
    <w:p w14:paraId="43925DE1" w14:textId="77777777" w:rsidR="00836B35" w:rsidRPr="00FB15F5" w:rsidRDefault="00836B35" w:rsidP="00480FB1">
      <w:pPr>
        <w:tabs>
          <w:tab w:val="left" w:pos="540"/>
          <w:tab w:val="left" w:pos="569"/>
        </w:tabs>
        <w:rPr>
          <w:bCs/>
          <w:sz w:val="22"/>
          <w:szCs w:val="22"/>
          <w:lang w:val="sr-Latn-ME"/>
        </w:rPr>
      </w:pPr>
    </w:p>
    <w:p w14:paraId="224AB649" w14:textId="77777777" w:rsidR="00614D84" w:rsidRPr="00FB15F5" w:rsidRDefault="00614D84" w:rsidP="009F447A">
      <w:pPr>
        <w:autoSpaceDE w:val="0"/>
        <w:autoSpaceDN w:val="0"/>
        <w:adjustRightInd w:val="0"/>
        <w:jc w:val="both"/>
        <w:rPr>
          <w:sz w:val="22"/>
          <w:szCs w:val="22"/>
          <w:lang w:val="sr-Latn-ME"/>
        </w:rPr>
      </w:pPr>
      <w:r w:rsidRPr="00FB15F5">
        <w:rPr>
          <w:sz w:val="22"/>
          <w:szCs w:val="22"/>
          <w:lang w:val="sr-Latn-ME"/>
        </w:rPr>
        <w:t>Oralna LD</w:t>
      </w:r>
      <w:r w:rsidRPr="00FB15F5">
        <w:rPr>
          <w:sz w:val="22"/>
          <w:szCs w:val="22"/>
          <w:vertAlign w:val="subscript"/>
          <w:lang w:val="sr-Latn-ME"/>
        </w:rPr>
        <w:t>50</w:t>
      </w:r>
      <w:r w:rsidRPr="00FB15F5">
        <w:rPr>
          <w:sz w:val="22"/>
          <w:szCs w:val="22"/>
          <w:lang w:val="sr-Latn-ME"/>
        </w:rPr>
        <w:t xml:space="preserve"> kod miševa i pacova za </w:t>
      </w:r>
      <w:proofErr w:type="spellStart"/>
      <w:r w:rsidRPr="00FB15F5">
        <w:rPr>
          <w:sz w:val="22"/>
          <w:szCs w:val="22"/>
          <w:lang w:val="sr-Latn-ME"/>
        </w:rPr>
        <w:t>estramustin</w:t>
      </w:r>
      <w:proofErr w:type="spellEnd"/>
      <w:r w:rsidRPr="00FB15F5">
        <w:rPr>
          <w:sz w:val="22"/>
          <w:szCs w:val="22"/>
          <w:lang w:val="sr-Latn-ME"/>
        </w:rPr>
        <w:t xml:space="preserve"> fosfat iznosi više od 2000 mg/kg. </w:t>
      </w:r>
      <w:proofErr w:type="spellStart"/>
      <w:r w:rsidRPr="00FB15F5">
        <w:rPr>
          <w:sz w:val="22"/>
          <w:szCs w:val="22"/>
          <w:lang w:val="sr-Latn-ME"/>
        </w:rPr>
        <w:t>Intravenska</w:t>
      </w:r>
      <w:proofErr w:type="spellEnd"/>
      <w:r w:rsidRPr="00FB15F5">
        <w:rPr>
          <w:sz w:val="22"/>
          <w:szCs w:val="22"/>
          <w:lang w:val="sr-Latn-ME"/>
        </w:rPr>
        <w:t xml:space="preserve"> </w:t>
      </w:r>
      <w:proofErr w:type="spellStart"/>
      <w:r w:rsidRPr="00FB15F5">
        <w:rPr>
          <w:sz w:val="22"/>
          <w:szCs w:val="22"/>
          <w:lang w:val="sr-Latn-ME"/>
        </w:rPr>
        <w:t>LD</w:t>
      </w:r>
      <w:r w:rsidRPr="00FB15F5">
        <w:rPr>
          <w:sz w:val="22"/>
          <w:szCs w:val="22"/>
          <w:vertAlign w:val="subscript"/>
          <w:lang w:val="sr-Latn-ME"/>
        </w:rPr>
        <w:t>50</w:t>
      </w:r>
      <w:proofErr w:type="spellEnd"/>
      <w:r w:rsidRPr="00FB15F5">
        <w:rPr>
          <w:sz w:val="22"/>
          <w:szCs w:val="22"/>
          <w:lang w:val="sr-Latn-ME"/>
        </w:rPr>
        <w:t xml:space="preserve"> iznosi 440 mg/kg za miševe, 192 mg/kg za pacove i između 400 i 800 mg/kg za pse. </w:t>
      </w:r>
      <w:proofErr w:type="spellStart"/>
      <w:r w:rsidRPr="00FB15F5">
        <w:rPr>
          <w:sz w:val="22"/>
          <w:szCs w:val="22"/>
          <w:lang w:val="sr-Latn-ME"/>
        </w:rPr>
        <w:t>Hematolimfopoetski</w:t>
      </w:r>
      <w:proofErr w:type="spellEnd"/>
      <w:r w:rsidRPr="00FB15F5">
        <w:rPr>
          <w:sz w:val="22"/>
          <w:szCs w:val="22"/>
          <w:lang w:val="sr-Latn-ME"/>
        </w:rPr>
        <w:t xml:space="preserve"> i endokrini sistem i muški i ženski reproduktivni organi su glavni ciljni organi nakon pojedinačne doze.</w:t>
      </w:r>
    </w:p>
    <w:p w14:paraId="273FC61E" w14:textId="77777777" w:rsidR="00614D84" w:rsidRPr="00FB15F5" w:rsidRDefault="00614D84" w:rsidP="009F447A">
      <w:pPr>
        <w:autoSpaceDE w:val="0"/>
        <w:autoSpaceDN w:val="0"/>
        <w:adjustRightInd w:val="0"/>
        <w:jc w:val="both"/>
        <w:rPr>
          <w:sz w:val="22"/>
          <w:szCs w:val="22"/>
          <w:lang w:val="sr-Latn-ME"/>
        </w:rPr>
      </w:pPr>
    </w:p>
    <w:p w14:paraId="54A03E32" w14:textId="77777777" w:rsidR="00614D84" w:rsidRPr="00FB15F5" w:rsidRDefault="00614D84" w:rsidP="009F447A">
      <w:pPr>
        <w:autoSpaceDE w:val="0"/>
        <w:autoSpaceDN w:val="0"/>
        <w:adjustRightInd w:val="0"/>
        <w:jc w:val="both"/>
        <w:rPr>
          <w:sz w:val="22"/>
          <w:szCs w:val="22"/>
          <w:lang w:val="sr-Latn-ME"/>
        </w:rPr>
      </w:pPr>
      <w:r w:rsidRPr="00FB15F5">
        <w:rPr>
          <w:sz w:val="22"/>
          <w:szCs w:val="22"/>
          <w:lang w:val="sr-Latn-ME"/>
        </w:rPr>
        <w:t xml:space="preserve">Toksični efekti nakon ponovljene primjene ispitivani su kod pacova, pasa i majmuna. Glavni ciljni organi nakon oralno i </w:t>
      </w:r>
      <w:proofErr w:type="spellStart"/>
      <w:r w:rsidRPr="00FB15F5">
        <w:rPr>
          <w:sz w:val="22"/>
          <w:szCs w:val="22"/>
          <w:lang w:val="sr-Latn-ME"/>
        </w:rPr>
        <w:t>intravenski</w:t>
      </w:r>
      <w:proofErr w:type="spellEnd"/>
      <w:r w:rsidRPr="00FB15F5">
        <w:rPr>
          <w:sz w:val="22"/>
          <w:szCs w:val="22"/>
          <w:lang w:val="sr-Latn-ME"/>
        </w:rPr>
        <w:t xml:space="preserve"> primijenjenog </w:t>
      </w:r>
      <w:proofErr w:type="spellStart"/>
      <w:r w:rsidRPr="00FB15F5">
        <w:rPr>
          <w:sz w:val="22"/>
          <w:szCs w:val="22"/>
          <w:lang w:val="sr-Latn-ME"/>
        </w:rPr>
        <w:t>EMP</w:t>
      </w:r>
      <w:proofErr w:type="spellEnd"/>
      <w:r w:rsidRPr="00FB15F5">
        <w:rPr>
          <w:sz w:val="22"/>
          <w:szCs w:val="22"/>
          <w:lang w:val="sr-Latn-ME"/>
        </w:rPr>
        <w:t xml:space="preserve"> kod gore navedenih ciljnih vrsta su </w:t>
      </w:r>
      <w:proofErr w:type="spellStart"/>
      <w:r w:rsidRPr="00FB15F5">
        <w:rPr>
          <w:sz w:val="22"/>
          <w:szCs w:val="22"/>
          <w:lang w:val="sr-Latn-ME"/>
        </w:rPr>
        <w:t>hematolimfopoetički</w:t>
      </w:r>
      <w:proofErr w:type="spellEnd"/>
      <w:r w:rsidRPr="00FB15F5">
        <w:rPr>
          <w:sz w:val="22"/>
          <w:szCs w:val="22"/>
          <w:lang w:val="sr-Latn-ME"/>
        </w:rPr>
        <w:t xml:space="preserve"> i endokrini sistemi i muški i ženski reproduktivni organi. Promjene zabilježene u organima/sistemima organa pasa i majmuna su uglavnom povezane sa </w:t>
      </w:r>
      <w:proofErr w:type="spellStart"/>
      <w:r w:rsidRPr="00FB15F5">
        <w:rPr>
          <w:sz w:val="22"/>
          <w:szCs w:val="22"/>
          <w:lang w:val="sr-Latn-ME"/>
        </w:rPr>
        <w:t>estrogenskim</w:t>
      </w:r>
      <w:proofErr w:type="spellEnd"/>
      <w:r w:rsidRPr="00FB15F5">
        <w:rPr>
          <w:sz w:val="22"/>
          <w:szCs w:val="22"/>
          <w:lang w:val="sr-Latn-ME"/>
        </w:rPr>
        <w:t xml:space="preserve"> djelovanjem jedinjenja, dok su kod pacova zabilježena i </w:t>
      </w:r>
      <w:proofErr w:type="spellStart"/>
      <w:r w:rsidRPr="00FB15F5">
        <w:rPr>
          <w:sz w:val="22"/>
          <w:szCs w:val="22"/>
          <w:lang w:val="sr-Latn-ME"/>
        </w:rPr>
        <w:t>estrogenska</w:t>
      </w:r>
      <w:proofErr w:type="spellEnd"/>
      <w:r w:rsidRPr="00FB15F5">
        <w:rPr>
          <w:sz w:val="22"/>
          <w:szCs w:val="22"/>
          <w:lang w:val="sr-Latn-ME"/>
        </w:rPr>
        <w:t xml:space="preserve"> i </w:t>
      </w:r>
      <w:proofErr w:type="spellStart"/>
      <w:r w:rsidRPr="00FB15F5">
        <w:rPr>
          <w:sz w:val="22"/>
          <w:szCs w:val="22"/>
          <w:lang w:val="sr-Latn-ME"/>
        </w:rPr>
        <w:t>citotoksična</w:t>
      </w:r>
      <w:proofErr w:type="spellEnd"/>
      <w:r w:rsidRPr="00FB15F5">
        <w:rPr>
          <w:sz w:val="22"/>
          <w:szCs w:val="22"/>
          <w:lang w:val="sr-Latn-ME"/>
        </w:rPr>
        <w:t xml:space="preserve"> dejstva.</w:t>
      </w:r>
    </w:p>
    <w:p w14:paraId="227EE114" w14:textId="77777777" w:rsidR="00614D84" w:rsidRPr="00FB15F5" w:rsidRDefault="00614D84" w:rsidP="009F447A">
      <w:pPr>
        <w:autoSpaceDE w:val="0"/>
        <w:autoSpaceDN w:val="0"/>
        <w:adjustRightInd w:val="0"/>
        <w:jc w:val="both"/>
        <w:rPr>
          <w:sz w:val="22"/>
          <w:szCs w:val="22"/>
          <w:lang w:val="sr-Latn-ME"/>
        </w:rPr>
      </w:pPr>
    </w:p>
    <w:p w14:paraId="788D78BB" w14:textId="77777777" w:rsidR="00614D84" w:rsidRPr="00FB15F5" w:rsidRDefault="00614D84" w:rsidP="009F447A">
      <w:pPr>
        <w:autoSpaceDE w:val="0"/>
        <w:autoSpaceDN w:val="0"/>
        <w:adjustRightInd w:val="0"/>
        <w:jc w:val="both"/>
        <w:rPr>
          <w:sz w:val="22"/>
          <w:szCs w:val="22"/>
          <w:lang w:val="sr-Latn-ME"/>
        </w:rPr>
      </w:pPr>
      <w:r w:rsidRPr="00FB15F5">
        <w:rPr>
          <w:sz w:val="22"/>
          <w:szCs w:val="22"/>
          <w:lang w:val="sr-Latn-ME"/>
        </w:rPr>
        <w:t xml:space="preserve">Nisu sprovedena ispitivanja uticaja na reprodukciju niti ispitivanja </w:t>
      </w:r>
      <w:proofErr w:type="spellStart"/>
      <w:r w:rsidRPr="00FB15F5">
        <w:rPr>
          <w:sz w:val="22"/>
          <w:szCs w:val="22"/>
          <w:lang w:val="sr-Latn-ME"/>
        </w:rPr>
        <w:t>onkogenosti</w:t>
      </w:r>
      <w:proofErr w:type="spellEnd"/>
      <w:r w:rsidRPr="00FB15F5">
        <w:rPr>
          <w:sz w:val="22"/>
          <w:szCs w:val="22"/>
          <w:lang w:val="sr-Latn-ME"/>
        </w:rPr>
        <w:t xml:space="preserve">. </w:t>
      </w:r>
      <w:proofErr w:type="spellStart"/>
      <w:r w:rsidRPr="00FB15F5">
        <w:rPr>
          <w:sz w:val="22"/>
          <w:szCs w:val="22"/>
          <w:lang w:val="sr-Latn-ME"/>
        </w:rPr>
        <w:t>Mutagenost</w:t>
      </w:r>
      <w:proofErr w:type="spellEnd"/>
      <w:r w:rsidRPr="00FB15F5">
        <w:rPr>
          <w:sz w:val="22"/>
          <w:szCs w:val="22"/>
          <w:lang w:val="sr-Latn-ME"/>
        </w:rPr>
        <w:t xml:space="preserve"> jedinjenja nije u potpunosti ispitana. Uprkos tome, EMP se mora smatrati toksičnim za reproduktivne organe i potencijalno </w:t>
      </w:r>
      <w:proofErr w:type="spellStart"/>
      <w:r w:rsidRPr="00FB15F5">
        <w:rPr>
          <w:sz w:val="22"/>
          <w:szCs w:val="22"/>
          <w:lang w:val="sr-Latn-ME"/>
        </w:rPr>
        <w:t>mutagenim</w:t>
      </w:r>
      <w:proofErr w:type="spellEnd"/>
      <w:r w:rsidRPr="00FB15F5">
        <w:rPr>
          <w:sz w:val="22"/>
          <w:szCs w:val="22"/>
          <w:lang w:val="sr-Latn-ME"/>
        </w:rPr>
        <w:t xml:space="preserve"> i kancerogenim, kao i drugi </w:t>
      </w:r>
      <w:proofErr w:type="spellStart"/>
      <w:r w:rsidRPr="00FB15F5">
        <w:rPr>
          <w:sz w:val="22"/>
          <w:szCs w:val="22"/>
          <w:lang w:val="sr-Latn-ME"/>
        </w:rPr>
        <w:t>estrogenski</w:t>
      </w:r>
      <w:proofErr w:type="spellEnd"/>
      <w:r w:rsidRPr="00FB15F5">
        <w:rPr>
          <w:sz w:val="22"/>
          <w:szCs w:val="22"/>
          <w:lang w:val="sr-Latn-ME"/>
        </w:rPr>
        <w:t xml:space="preserve"> i </w:t>
      </w:r>
      <w:proofErr w:type="spellStart"/>
      <w:r w:rsidRPr="00FB15F5">
        <w:rPr>
          <w:sz w:val="22"/>
          <w:szCs w:val="22"/>
          <w:lang w:val="sr-Latn-ME"/>
        </w:rPr>
        <w:t>antimitotički</w:t>
      </w:r>
      <w:proofErr w:type="spellEnd"/>
      <w:r w:rsidRPr="00FB15F5">
        <w:rPr>
          <w:sz w:val="22"/>
          <w:szCs w:val="22"/>
          <w:lang w:val="sr-Latn-ME"/>
        </w:rPr>
        <w:t xml:space="preserve"> agensi.</w:t>
      </w:r>
    </w:p>
    <w:p w14:paraId="665D8E2D" w14:textId="77777777" w:rsidR="00614D84" w:rsidRPr="00FB15F5" w:rsidRDefault="00614D84" w:rsidP="00614D84">
      <w:pPr>
        <w:autoSpaceDE w:val="0"/>
        <w:autoSpaceDN w:val="0"/>
        <w:adjustRightInd w:val="0"/>
        <w:rPr>
          <w:sz w:val="22"/>
          <w:szCs w:val="22"/>
          <w:lang w:val="sr-Latn-ME"/>
        </w:rPr>
      </w:pPr>
    </w:p>
    <w:p w14:paraId="612855A1" w14:textId="77777777" w:rsidR="00396DFD" w:rsidRPr="00FB15F5" w:rsidRDefault="00396DFD" w:rsidP="00480FB1">
      <w:pPr>
        <w:tabs>
          <w:tab w:val="left" w:pos="540"/>
          <w:tab w:val="left" w:pos="569"/>
        </w:tabs>
        <w:rPr>
          <w:b/>
          <w:bCs/>
          <w:sz w:val="22"/>
          <w:szCs w:val="22"/>
          <w:lang w:val="sr-Latn-ME"/>
        </w:rPr>
      </w:pPr>
    </w:p>
    <w:p w14:paraId="6369F9F9"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6. </w:t>
      </w:r>
      <w:r w:rsidR="00480FB1" w:rsidRPr="00FB15F5">
        <w:rPr>
          <w:b/>
          <w:bCs/>
          <w:sz w:val="22"/>
          <w:szCs w:val="22"/>
          <w:lang w:val="sr-Latn-ME"/>
        </w:rPr>
        <w:tab/>
      </w:r>
      <w:r w:rsidRPr="00FB15F5">
        <w:rPr>
          <w:b/>
          <w:bCs/>
          <w:sz w:val="22"/>
          <w:szCs w:val="22"/>
          <w:lang w:val="sr-Latn-ME"/>
        </w:rPr>
        <w:t>FARMACEUTSKI PODACI</w:t>
      </w:r>
    </w:p>
    <w:p w14:paraId="73A7A24A" w14:textId="77777777" w:rsidR="00836B35" w:rsidRPr="00FB15F5" w:rsidRDefault="00836B35" w:rsidP="00480FB1">
      <w:pPr>
        <w:tabs>
          <w:tab w:val="left" w:pos="540"/>
          <w:tab w:val="left" w:pos="569"/>
        </w:tabs>
        <w:rPr>
          <w:bCs/>
          <w:sz w:val="22"/>
          <w:szCs w:val="22"/>
          <w:lang w:val="sr-Latn-ME"/>
        </w:rPr>
      </w:pPr>
    </w:p>
    <w:p w14:paraId="24178D49" w14:textId="082A9085" w:rsidR="008D5544"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6.1. </w:t>
      </w:r>
      <w:r w:rsidR="00480FB1" w:rsidRPr="00FB15F5">
        <w:rPr>
          <w:b/>
          <w:bCs/>
          <w:sz w:val="22"/>
          <w:szCs w:val="22"/>
          <w:lang w:val="sr-Latn-ME"/>
        </w:rPr>
        <w:tab/>
      </w:r>
      <w:r w:rsidRPr="00FB15F5">
        <w:rPr>
          <w:b/>
          <w:bCs/>
          <w:sz w:val="22"/>
          <w:szCs w:val="22"/>
          <w:lang w:val="sr-Latn-ME"/>
        </w:rPr>
        <w:t>Lista pomoćnih supstanci</w:t>
      </w:r>
      <w:r w:rsidR="002E0135" w:rsidRPr="00FB15F5">
        <w:rPr>
          <w:b/>
          <w:bCs/>
          <w:sz w:val="22"/>
          <w:szCs w:val="22"/>
          <w:lang w:val="sr-Latn-ME"/>
        </w:rPr>
        <w:t xml:space="preserve"> (</w:t>
      </w:r>
      <w:proofErr w:type="spellStart"/>
      <w:r w:rsidR="002E0135" w:rsidRPr="00FB15F5">
        <w:rPr>
          <w:b/>
          <w:bCs/>
          <w:sz w:val="22"/>
          <w:szCs w:val="22"/>
          <w:lang w:val="sr-Latn-ME"/>
        </w:rPr>
        <w:t>ekscipijenasa</w:t>
      </w:r>
      <w:proofErr w:type="spellEnd"/>
      <w:r w:rsidR="002E0135" w:rsidRPr="00FB15F5">
        <w:rPr>
          <w:b/>
          <w:bCs/>
          <w:sz w:val="22"/>
          <w:szCs w:val="22"/>
          <w:lang w:val="sr-Latn-ME"/>
        </w:rPr>
        <w:t>)</w:t>
      </w:r>
    </w:p>
    <w:p w14:paraId="57162D95" w14:textId="77777777" w:rsidR="009F447A" w:rsidRDefault="009F447A" w:rsidP="008D5544">
      <w:pPr>
        <w:rPr>
          <w:sz w:val="22"/>
          <w:szCs w:val="22"/>
          <w:u w:val="single"/>
          <w:lang w:val="sr-Latn-ME"/>
        </w:rPr>
      </w:pPr>
    </w:p>
    <w:p w14:paraId="3693DF8B" w14:textId="294855F4" w:rsidR="008D5544" w:rsidRPr="00FB15F5" w:rsidRDefault="008D5544" w:rsidP="008D5544">
      <w:pPr>
        <w:rPr>
          <w:sz w:val="22"/>
          <w:szCs w:val="22"/>
          <w:u w:val="single"/>
          <w:lang w:val="sr-Latn-ME"/>
        </w:rPr>
      </w:pPr>
      <w:r w:rsidRPr="00FB15F5">
        <w:rPr>
          <w:sz w:val="22"/>
          <w:szCs w:val="22"/>
          <w:u w:val="single"/>
          <w:lang w:val="sr-Latn-ME"/>
        </w:rPr>
        <w:t>Sadržaj kapsule, tvrde:</w:t>
      </w:r>
    </w:p>
    <w:p w14:paraId="61F3AFE9" w14:textId="77777777" w:rsidR="008D5544" w:rsidRPr="00FB15F5" w:rsidRDefault="008D5544" w:rsidP="008D5544">
      <w:pPr>
        <w:rPr>
          <w:sz w:val="22"/>
          <w:szCs w:val="22"/>
          <w:lang w:val="sr-Latn-ME"/>
        </w:rPr>
      </w:pPr>
      <w:r w:rsidRPr="00FB15F5">
        <w:rPr>
          <w:sz w:val="22"/>
          <w:szCs w:val="22"/>
          <w:lang w:val="sr-Latn-ME"/>
        </w:rPr>
        <w:t>Talk</w:t>
      </w:r>
    </w:p>
    <w:p w14:paraId="5CB0645F" w14:textId="77777777" w:rsidR="008D5544" w:rsidRPr="00FB15F5" w:rsidRDefault="008D5544" w:rsidP="008D5544">
      <w:pPr>
        <w:rPr>
          <w:sz w:val="22"/>
          <w:szCs w:val="22"/>
          <w:lang w:val="sr-Latn-ME"/>
        </w:rPr>
      </w:pPr>
      <w:r w:rsidRPr="00FB15F5">
        <w:rPr>
          <w:sz w:val="22"/>
          <w:szCs w:val="22"/>
          <w:lang w:val="sr-Latn-ME"/>
        </w:rPr>
        <w:t xml:space="preserve">Natrijum </w:t>
      </w:r>
      <w:proofErr w:type="spellStart"/>
      <w:r w:rsidRPr="00FB15F5">
        <w:rPr>
          <w:sz w:val="22"/>
          <w:szCs w:val="22"/>
          <w:lang w:val="sr-Latn-ME"/>
        </w:rPr>
        <w:t>laurilsulfat</w:t>
      </w:r>
      <w:proofErr w:type="spellEnd"/>
    </w:p>
    <w:p w14:paraId="76076B79" w14:textId="77777777" w:rsidR="008D5544" w:rsidRPr="00FB15F5" w:rsidRDefault="008D5544" w:rsidP="008D5544">
      <w:pPr>
        <w:rPr>
          <w:sz w:val="22"/>
          <w:szCs w:val="22"/>
          <w:lang w:val="sr-Latn-ME"/>
        </w:rPr>
      </w:pPr>
      <w:bookmarkStart w:id="0" w:name="_Hlk127440161"/>
      <w:r w:rsidRPr="00FB15F5">
        <w:rPr>
          <w:sz w:val="22"/>
          <w:szCs w:val="22"/>
          <w:lang w:val="sr-Latn-ME"/>
        </w:rPr>
        <w:t>Silicijum dioksid, koloidni, bezvodni</w:t>
      </w:r>
    </w:p>
    <w:bookmarkEnd w:id="0"/>
    <w:p w14:paraId="15B2EE6E" w14:textId="77777777" w:rsidR="008D5544" w:rsidRPr="00FB15F5" w:rsidRDefault="008D5544" w:rsidP="008D5544">
      <w:pPr>
        <w:rPr>
          <w:sz w:val="22"/>
          <w:szCs w:val="22"/>
          <w:lang w:val="sr-Latn-ME"/>
        </w:rPr>
      </w:pPr>
      <w:r w:rsidRPr="00FB15F5">
        <w:rPr>
          <w:sz w:val="22"/>
          <w:szCs w:val="22"/>
          <w:lang w:val="sr-Latn-ME"/>
        </w:rPr>
        <w:t xml:space="preserve">Magnezijum </w:t>
      </w:r>
      <w:proofErr w:type="spellStart"/>
      <w:r w:rsidRPr="00FB15F5">
        <w:rPr>
          <w:sz w:val="22"/>
          <w:szCs w:val="22"/>
          <w:lang w:val="sr-Latn-ME"/>
        </w:rPr>
        <w:t>stearat</w:t>
      </w:r>
      <w:proofErr w:type="spellEnd"/>
    </w:p>
    <w:p w14:paraId="0C71B3FA" w14:textId="77777777" w:rsidR="008D5544" w:rsidRPr="00FB15F5" w:rsidRDefault="008D5544" w:rsidP="008D5544">
      <w:pPr>
        <w:rPr>
          <w:sz w:val="22"/>
          <w:szCs w:val="22"/>
          <w:lang w:val="sr-Latn-ME"/>
        </w:rPr>
      </w:pPr>
    </w:p>
    <w:p w14:paraId="49065872" w14:textId="77777777" w:rsidR="009F447A" w:rsidRDefault="009F447A" w:rsidP="008D5544">
      <w:pPr>
        <w:rPr>
          <w:sz w:val="22"/>
          <w:szCs w:val="22"/>
          <w:u w:val="single"/>
          <w:lang w:val="sr-Latn-ME"/>
        </w:rPr>
      </w:pPr>
    </w:p>
    <w:p w14:paraId="01123246" w14:textId="78AABC4A" w:rsidR="008D5544" w:rsidRPr="00FB15F5" w:rsidRDefault="008D5544" w:rsidP="008D5544">
      <w:pPr>
        <w:rPr>
          <w:sz w:val="22"/>
          <w:szCs w:val="22"/>
          <w:u w:val="single"/>
          <w:lang w:val="sr-Latn-ME"/>
        </w:rPr>
      </w:pPr>
      <w:r w:rsidRPr="00FB15F5">
        <w:rPr>
          <w:sz w:val="22"/>
          <w:szCs w:val="22"/>
          <w:u w:val="single"/>
          <w:lang w:val="sr-Latn-ME"/>
        </w:rPr>
        <w:lastRenderedPageBreak/>
        <w:t>Sastav kapsule, tvrde:</w:t>
      </w:r>
    </w:p>
    <w:p w14:paraId="321F609A" w14:textId="77777777" w:rsidR="008D5544" w:rsidRPr="00FB15F5" w:rsidRDefault="008D5544" w:rsidP="008D5544">
      <w:pPr>
        <w:rPr>
          <w:sz w:val="22"/>
          <w:szCs w:val="22"/>
          <w:lang w:val="sr-Latn-ME"/>
        </w:rPr>
      </w:pPr>
      <w:r w:rsidRPr="00FB15F5">
        <w:rPr>
          <w:sz w:val="22"/>
          <w:szCs w:val="22"/>
          <w:lang w:val="sr-Latn-ME"/>
        </w:rPr>
        <w:t>Titan dioksid (E 171)</w:t>
      </w:r>
    </w:p>
    <w:p w14:paraId="78C9BE1F" w14:textId="77777777" w:rsidR="008D5544" w:rsidRPr="00FB15F5" w:rsidRDefault="008D5544" w:rsidP="008D5544">
      <w:pPr>
        <w:rPr>
          <w:sz w:val="22"/>
          <w:szCs w:val="22"/>
          <w:lang w:val="sr-Latn-ME"/>
        </w:rPr>
      </w:pPr>
      <w:r w:rsidRPr="00FB15F5">
        <w:rPr>
          <w:sz w:val="22"/>
          <w:szCs w:val="22"/>
          <w:lang w:val="sr-Latn-ME"/>
        </w:rPr>
        <w:t>Želatin</w:t>
      </w:r>
    </w:p>
    <w:p w14:paraId="6E8FB038" w14:textId="77777777" w:rsidR="008D5544" w:rsidRPr="00FB15F5" w:rsidRDefault="008D5544" w:rsidP="008D5544">
      <w:pPr>
        <w:ind w:left="284"/>
        <w:rPr>
          <w:sz w:val="22"/>
          <w:szCs w:val="22"/>
          <w:lang w:val="sr-Latn-ME"/>
        </w:rPr>
      </w:pPr>
    </w:p>
    <w:p w14:paraId="19684DCE" w14:textId="77777777" w:rsidR="008D5544" w:rsidRPr="00FB15F5" w:rsidRDefault="008D5544" w:rsidP="008D5544">
      <w:pPr>
        <w:ind w:right="144"/>
        <w:rPr>
          <w:sz w:val="22"/>
          <w:szCs w:val="22"/>
          <w:lang w:val="sr-Latn-ME"/>
        </w:rPr>
      </w:pPr>
      <w:r w:rsidRPr="00FB15F5">
        <w:rPr>
          <w:sz w:val="22"/>
          <w:szCs w:val="22"/>
          <w:u w:val="single"/>
          <w:lang w:val="sr-Latn-ME"/>
        </w:rPr>
        <w:t>Sastav mastila za štampu na kapsuli, tvrdoj</w:t>
      </w:r>
      <w:r w:rsidRPr="00FB15F5">
        <w:rPr>
          <w:sz w:val="22"/>
          <w:szCs w:val="22"/>
          <w:lang w:val="sr-Latn-ME"/>
        </w:rPr>
        <w:t xml:space="preserve">: </w:t>
      </w:r>
    </w:p>
    <w:p w14:paraId="517D9C3F" w14:textId="77777777" w:rsidR="008D5544" w:rsidRPr="00FB15F5" w:rsidRDefault="008D5544" w:rsidP="008D5544">
      <w:pPr>
        <w:rPr>
          <w:sz w:val="22"/>
          <w:szCs w:val="22"/>
          <w:lang w:val="sr-Latn-ME"/>
        </w:rPr>
      </w:pPr>
      <w:r w:rsidRPr="00FB15F5">
        <w:rPr>
          <w:sz w:val="22"/>
          <w:szCs w:val="22"/>
          <w:lang w:val="sr-Latn-ME"/>
        </w:rPr>
        <w:t>Gvožđe (III) oksid, crni (E 172)</w:t>
      </w:r>
    </w:p>
    <w:p w14:paraId="5ADFF081" w14:textId="77777777" w:rsidR="008D5544" w:rsidRPr="00FB15F5" w:rsidRDefault="008D5544" w:rsidP="008D5544">
      <w:pPr>
        <w:rPr>
          <w:sz w:val="22"/>
          <w:szCs w:val="22"/>
          <w:lang w:val="sr-Latn-ME"/>
        </w:rPr>
      </w:pPr>
      <w:proofErr w:type="spellStart"/>
      <w:r w:rsidRPr="00FB15F5">
        <w:rPr>
          <w:sz w:val="22"/>
          <w:szCs w:val="22"/>
          <w:lang w:val="sr-Latn-ME"/>
        </w:rPr>
        <w:t>Propilen</w:t>
      </w:r>
      <w:proofErr w:type="spellEnd"/>
      <w:r w:rsidRPr="00FB15F5">
        <w:rPr>
          <w:sz w:val="22"/>
          <w:szCs w:val="22"/>
          <w:lang w:val="sr-Latn-ME"/>
        </w:rPr>
        <w:t xml:space="preserve"> </w:t>
      </w:r>
      <w:proofErr w:type="spellStart"/>
      <w:r w:rsidRPr="00FB15F5">
        <w:rPr>
          <w:sz w:val="22"/>
          <w:szCs w:val="22"/>
          <w:lang w:val="sr-Latn-ME"/>
        </w:rPr>
        <w:t>glikol</w:t>
      </w:r>
      <w:proofErr w:type="spellEnd"/>
      <w:r w:rsidRPr="00FB15F5">
        <w:rPr>
          <w:sz w:val="22"/>
          <w:szCs w:val="22"/>
          <w:lang w:val="sr-Latn-ME"/>
        </w:rPr>
        <w:t xml:space="preserve"> (E 1520)</w:t>
      </w:r>
    </w:p>
    <w:p w14:paraId="5C1A79FA" w14:textId="77777777" w:rsidR="008D5544" w:rsidRPr="00FB15F5" w:rsidRDefault="008D5544" w:rsidP="008D5544">
      <w:pPr>
        <w:pStyle w:val="Header"/>
        <w:rPr>
          <w:sz w:val="22"/>
          <w:szCs w:val="22"/>
          <w:lang w:val="sr-Latn-ME"/>
        </w:rPr>
      </w:pPr>
      <w:r w:rsidRPr="00FB15F5">
        <w:rPr>
          <w:sz w:val="22"/>
          <w:szCs w:val="22"/>
          <w:lang w:val="sr-Latn-ME"/>
        </w:rPr>
        <w:t>Šelak</w:t>
      </w:r>
    </w:p>
    <w:p w14:paraId="7EC641FC" w14:textId="77777777" w:rsidR="008D5544" w:rsidRPr="00FB15F5" w:rsidRDefault="008D5544" w:rsidP="008D5544">
      <w:pPr>
        <w:pStyle w:val="Header"/>
        <w:rPr>
          <w:sz w:val="22"/>
          <w:szCs w:val="22"/>
          <w:lang w:val="sr-Latn-ME"/>
        </w:rPr>
      </w:pPr>
      <w:bookmarkStart w:id="1" w:name="_Hlk127440195"/>
      <w:r w:rsidRPr="00FB15F5">
        <w:rPr>
          <w:sz w:val="22"/>
          <w:szCs w:val="22"/>
          <w:lang w:val="sr-Latn-ME"/>
        </w:rPr>
        <w:t xml:space="preserve">Rastvor amonijaka, </w:t>
      </w:r>
      <w:proofErr w:type="spellStart"/>
      <w:r w:rsidRPr="00FB15F5">
        <w:rPr>
          <w:sz w:val="22"/>
          <w:szCs w:val="22"/>
          <w:lang w:val="sr-Latn-ME"/>
        </w:rPr>
        <w:t>koncentrovani</w:t>
      </w:r>
      <w:proofErr w:type="spellEnd"/>
    </w:p>
    <w:bookmarkEnd w:id="1"/>
    <w:p w14:paraId="16DE5C68" w14:textId="77777777" w:rsidR="008D5544" w:rsidRPr="00FB15F5" w:rsidRDefault="008D5544" w:rsidP="008D5544">
      <w:pPr>
        <w:pStyle w:val="Header"/>
        <w:ind w:firstLine="288"/>
        <w:rPr>
          <w:sz w:val="22"/>
          <w:szCs w:val="22"/>
          <w:lang w:val="sr-Latn-ME"/>
        </w:rPr>
      </w:pPr>
    </w:p>
    <w:p w14:paraId="6B8BBEFF" w14:textId="77777777" w:rsidR="008D5544" w:rsidRPr="00FB15F5" w:rsidRDefault="008D5544" w:rsidP="008D5544">
      <w:pPr>
        <w:ind w:right="144"/>
        <w:rPr>
          <w:sz w:val="22"/>
          <w:szCs w:val="22"/>
          <w:lang w:val="sr-Latn-ME"/>
        </w:rPr>
      </w:pPr>
      <w:r w:rsidRPr="00FB15F5">
        <w:rPr>
          <w:sz w:val="22"/>
          <w:szCs w:val="22"/>
          <w:u w:val="single"/>
          <w:lang w:val="sr-Latn-ME"/>
        </w:rPr>
        <w:t>Sastav alternativnog mastila za štampu na kapsuli, tvrdoj</w:t>
      </w:r>
      <w:r w:rsidRPr="00FB15F5">
        <w:rPr>
          <w:sz w:val="22"/>
          <w:szCs w:val="22"/>
          <w:lang w:val="sr-Latn-ME"/>
        </w:rPr>
        <w:t xml:space="preserve">: </w:t>
      </w:r>
    </w:p>
    <w:p w14:paraId="6B2B25D5" w14:textId="77777777" w:rsidR="008D5544" w:rsidRPr="00FB15F5" w:rsidRDefault="008D5544" w:rsidP="008D5544">
      <w:pPr>
        <w:rPr>
          <w:sz w:val="22"/>
          <w:szCs w:val="22"/>
          <w:lang w:val="sr-Latn-ME"/>
        </w:rPr>
      </w:pPr>
      <w:r w:rsidRPr="00FB15F5">
        <w:rPr>
          <w:sz w:val="22"/>
          <w:szCs w:val="22"/>
          <w:lang w:val="sr-Latn-ME"/>
        </w:rPr>
        <w:t>Gvožđe (III) oksid, crni (E 172)</w:t>
      </w:r>
    </w:p>
    <w:p w14:paraId="71575D7A" w14:textId="77777777" w:rsidR="008D5544" w:rsidRPr="00FB15F5" w:rsidRDefault="008D5544" w:rsidP="008D5544">
      <w:pPr>
        <w:rPr>
          <w:sz w:val="22"/>
          <w:szCs w:val="22"/>
          <w:lang w:val="sr-Latn-ME"/>
        </w:rPr>
      </w:pPr>
      <w:proofErr w:type="spellStart"/>
      <w:r w:rsidRPr="00FB15F5">
        <w:rPr>
          <w:sz w:val="22"/>
          <w:szCs w:val="22"/>
          <w:lang w:val="sr-Latn-ME"/>
        </w:rPr>
        <w:t>Propilen</w:t>
      </w:r>
      <w:proofErr w:type="spellEnd"/>
      <w:r w:rsidRPr="00FB15F5">
        <w:rPr>
          <w:sz w:val="22"/>
          <w:szCs w:val="22"/>
          <w:lang w:val="sr-Latn-ME"/>
        </w:rPr>
        <w:t xml:space="preserve"> </w:t>
      </w:r>
      <w:proofErr w:type="spellStart"/>
      <w:r w:rsidRPr="00FB15F5">
        <w:rPr>
          <w:sz w:val="22"/>
          <w:szCs w:val="22"/>
          <w:lang w:val="sr-Latn-ME"/>
        </w:rPr>
        <w:t>glikol</w:t>
      </w:r>
      <w:proofErr w:type="spellEnd"/>
      <w:r w:rsidRPr="00FB15F5">
        <w:rPr>
          <w:sz w:val="22"/>
          <w:szCs w:val="22"/>
          <w:lang w:val="sr-Latn-ME"/>
        </w:rPr>
        <w:t xml:space="preserve"> (E 1520)</w:t>
      </w:r>
    </w:p>
    <w:p w14:paraId="3FAA1053" w14:textId="77777777" w:rsidR="008D5544" w:rsidRPr="00FB15F5" w:rsidRDefault="008D5544" w:rsidP="008D5544">
      <w:pPr>
        <w:pStyle w:val="Header"/>
        <w:rPr>
          <w:sz w:val="22"/>
          <w:szCs w:val="22"/>
          <w:lang w:val="sr-Latn-ME"/>
        </w:rPr>
      </w:pPr>
      <w:r w:rsidRPr="00FB15F5">
        <w:rPr>
          <w:sz w:val="22"/>
          <w:szCs w:val="22"/>
          <w:lang w:val="sr-Latn-ME"/>
        </w:rPr>
        <w:t>Šelak</w:t>
      </w:r>
    </w:p>
    <w:p w14:paraId="7A41157E" w14:textId="77777777" w:rsidR="008D5544" w:rsidRPr="00FB15F5" w:rsidRDefault="008D5544" w:rsidP="008D5544">
      <w:pPr>
        <w:pStyle w:val="Header"/>
        <w:rPr>
          <w:sz w:val="22"/>
          <w:szCs w:val="22"/>
          <w:lang w:val="sr-Latn-ME"/>
        </w:rPr>
      </w:pPr>
      <w:r w:rsidRPr="00FB15F5">
        <w:rPr>
          <w:sz w:val="22"/>
          <w:szCs w:val="22"/>
          <w:lang w:val="sr-Latn-ME"/>
        </w:rPr>
        <w:t xml:space="preserve">Rastvor amonijaka, </w:t>
      </w:r>
      <w:proofErr w:type="spellStart"/>
      <w:r w:rsidRPr="00FB15F5">
        <w:rPr>
          <w:sz w:val="22"/>
          <w:szCs w:val="22"/>
          <w:lang w:val="sr-Latn-ME"/>
        </w:rPr>
        <w:t>koncentrovani</w:t>
      </w:r>
      <w:proofErr w:type="spellEnd"/>
    </w:p>
    <w:p w14:paraId="2DE27EB5" w14:textId="77777777" w:rsidR="008D5544" w:rsidRPr="00FB15F5" w:rsidRDefault="008D5544" w:rsidP="008D5544">
      <w:pPr>
        <w:pStyle w:val="Header"/>
        <w:rPr>
          <w:sz w:val="22"/>
          <w:szCs w:val="22"/>
          <w:lang w:val="sr-Latn-ME"/>
        </w:rPr>
      </w:pPr>
      <w:r w:rsidRPr="00FB15F5">
        <w:rPr>
          <w:sz w:val="22"/>
          <w:szCs w:val="22"/>
          <w:lang w:val="sr-Latn-ME"/>
        </w:rPr>
        <w:t>Kalijum hidroksid</w:t>
      </w:r>
    </w:p>
    <w:p w14:paraId="75C04752" w14:textId="77777777" w:rsidR="0072020E" w:rsidRPr="00FB15F5" w:rsidRDefault="0072020E" w:rsidP="00480FB1">
      <w:pPr>
        <w:tabs>
          <w:tab w:val="left" w:pos="540"/>
          <w:tab w:val="left" w:pos="569"/>
        </w:tabs>
        <w:rPr>
          <w:bCs/>
          <w:sz w:val="22"/>
          <w:szCs w:val="22"/>
          <w:lang w:val="sr-Latn-ME"/>
        </w:rPr>
      </w:pPr>
    </w:p>
    <w:p w14:paraId="6C7CFFEF"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6.2. </w:t>
      </w:r>
      <w:r w:rsidR="00480FB1" w:rsidRPr="00FB15F5">
        <w:rPr>
          <w:b/>
          <w:bCs/>
          <w:sz w:val="22"/>
          <w:szCs w:val="22"/>
          <w:lang w:val="sr-Latn-ME"/>
        </w:rPr>
        <w:tab/>
      </w:r>
      <w:r w:rsidRPr="00FB15F5">
        <w:rPr>
          <w:b/>
          <w:bCs/>
          <w:sz w:val="22"/>
          <w:szCs w:val="22"/>
          <w:lang w:val="sr-Latn-ME"/>
        </w:rPr>
        <w:t>Inkompatibilnost</w:t>
      </w:r>
      <w:r w:rsidR="002846DB" w:rsidRPr="00FB15F5">
        <w:rPr>
          <w:b/>
          <w:bCs/>
          <w:sz w:val="22"/>
          <w:szCs w:val="22"/>
          <w:lang w:val="sr-Latn-ME"/>
        </w:rPr>
        <w:t>i</w:t>
      </w:r>
    </w:p>
    <w:p w14:paraId="187448E4" w14:textId="77777777" w:rsidR="00093884" w:rsidRPr="00FB15F5" w:rsidRDefault="00093884" w:rsidP="00480FB1">
      <w:pPr>
        <w:tabs>
          <w:tab w:val="left" w:pos="540"/>
          <w:tab w:val="left" w:pos="569"/>
        </w:tabs>
        <w:rPr>
          <w:sz w:val="22"/>
          <w:szCs w:val="22"/>
          <w:lang w:val="sr-Latn-ME"/>
        </w:rPr>
      </w:pPr>
    </w:p>
    <w:p w14:paraId="127375D4" w14:textId="615F19F9" w:rsidR="0072020E" w:rsidRPr="00FB15F5" w:rsidRDefault="00093884" w:rsidP="00480FB1">
      <w:pPr>
        <w:tabs>
          <w:tab w:val="left" w:pos="540"/>
          <w:tab w:val="left" w:pos="569"/>
        </w:tabs>
        <w:rPr>
          <w:sz w:val="22"/>
          <w:szCs w:val="22"/>
          <w:lang w:val="sr-Latn-ME"/>
        </w:rPr>
      </w:pPr>
      <w:r w:rsidRPr="00FB15F5">
        <w:rPr>
          <w:sz w:val="22"/>
          <w:szCs w:val="22"/>
          <w:lang w:val="sr-Latn-ME"/>
        </w:rPr>
        <w:t xml:space="preserve">Do </w:t>
      </w:r>
      <w:proofErr w:type="spellStart"/>
      <w:r w:rsidRPr="00FB15F5">
        <w:rPr>
          <w:sz w:val="22"/>
          <w:szCs w:val="22"/>
          <w:lang w:val="sr-Latn-ME"/>
        </w:rPr>
        <w:t>precipitacije</w:t>
      </w:r>
      <w:proofErr w:type="spellEnd"/>
      <w:r w:rsidRPr="00FB15F5">
        <w:rPr>
          <w:sz w:val="22"/>
          <w:szCs w:val="22"/>
          <w:lang w:val="sr-Latn-ME"/>
        </w:rPr>
        <w:t xml:space="preserve"> </w:t>
      </w:r>
      <w:proofErr w:type="spellStart"/>
      <w:r w:rsidRPr="00FB15F5">
        <w:rPr>
          <w:sz w:val="22"/>
          <w:szCs w:val="22"/>
          <w:lang w:val="sr-Latn-ME"/>
        </w:rPr>
        <w:t>estramustin</w:t>
      </w:r>
      <w:proofErr w:type="spellEnd"/>
      <w:r w:rsidRPr="00FB15F5">
        <w:rPr>
          <w:sz w:val="22"/>
          <w:szCs w:val="22"/>
          <w:lang w:val="sr-Latn-ME"/>
        </w:rPr>
        <w:t xml:space="preserve"> fosfata dolazi pod dejstvom kalcijuma, magnezijuma ili soli aluminijuma.</w:t>
      </w:r>
    </w:p>
    <w:p w14:paraId="34BE4D8D" w14:textId="77777777" w:rsidR="00093884" w:rsidRPr="00FB15F5" w:rsidRDefault="00093884" w:rsidP="00480FB1">
      <w:pPr>
        <w:tabs>
          <w:tab w:val="left" w:pos="540"/>
          <w:tab w:val="left" w:pos="569"/>
        </w:tabs>
        <w:rPr>
          <w:bCs/>
          <w:sz w:val="22"/>
          <w:szCs w:val="22"/>
          <w:lang w:val="sr-Latn-ME"/>
        </w:rPr>
      </w:pPr>
    </w:p>
    <w:p w14:paraId="727BFF2F"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6.3.</w:t>
      </w:r>
      <w:r w:rsidR="00C05DF8" w:rsidRPr="00FB15F5">
        <w:rPr>
          <w:b/>
          <w:bCs/>
          <w:sz w:val="22"/>
          <w:szCs w:val="22"/>
          <w:lang w:val="sr-Latn-ME"/>
        </w:rPr>
        <w:t xml:space="preserve"> </w:t>
      </w:r>
      <w:r w:rsidR="00480FB1" w:rsidRPr="00FB15F5">
        <w:rPr>
          <w:b/>
          <w:bCs/>
          <w:sz w:val="22"/>
          <w:szCs w:val="22"/>
          <w:lang w:val="sr-Latn-ME"/>
        </w:rPr>
        <w:tab/>
      </w:r>
      <w:r w:rsidRPr="00FB15F5">
        <w:rPr>
          <w:b/>
          <w:bCs/>
          <w:sz w:val="22"/>
          <w:szCs w:val="22"/>
          <w:lang w:val="sr-Latn-ME"/>
        </w:rPr>
        <w:t>Rok upotrebe</w:t>
      </w:r>
    </w:p>
    <w:p w14:paraId="0E08CAB0" w14:textId="77777777" w:rsidR="00093884" w:rsidRPr="00FB15F5" w:rsidRDefault="00093884" w:rsidP="00480FB1">
      <w:pPr>
        <w:tabs>
          <w:tab w:val="left" w:pos="540"/>
          <w:tab w:val="left" w:pos="569"/>
        </w:tabs>
        <w:rPr>
          <w:b/>
          <w:bCs/>
          <w:sz w:val="22"/>
          <w:szCs w:val="22"/>
          <w:lang w:val="sr-Latn-ME"/>
        </w:rPr>
      </w:pPr>
    </w:p>
    <w:p w14:paraId="643FD263" w14:textId="77777777" w:rsidR="00093884" w:rsidRPr="00FB15F5" w:rsidRDefault="00093884" w:rsidP="00093884">
      <w:pPr>
        <w:pStyle w:val="Header"/>
        <w:tabs>
          <w:tab w:val="left" w:pos="284"/>
        </w:tabs>
        <w:rPr>
          <w:sz w:val="22"/>
          <w:szCs w:val="22"/>
          <w:lang w:val="sr-Latn-ME"/>
        </w:rPr>
      </w:pPr>
      <w:r w:rsidRPr="00FB15F5">
        <w:rPr>
          <w:sz w:val="22"/>
          <w:szCs w:val="22"/>
          <w:lang w:val="sr-Latn-ME"/>
        </w:rPr>
        <w:t>Tri (3) godine.</w:t>
      </w:r>
    </w:p>
    <w:p w14:paraId="19F99E9F" w14:textId="77777777" w:rsidR="0072020E" w:rsidRPr="00FB15F5" w:rsidRDefault="0072020E" w:rsidP="00480FB1">
      <w:pPr>
        <w:tabs>
          <w:tab w:val="left" w:pos="540"/>
          <w:tab w:val="left" w:pos="569"/>
        </w:tabs>
        <w:rPr>
          <w:bCs/>
          <w:sz w:val="22"/>
          <w:szCs w:val="22"/>
          <w:lang w:val="sr-Latn-ME"/>
        </w:rPr>
      </w:pPr>
    </w:p>
    <w:p w14:paraId="1846E6A6"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6.4. </w:t>
      </w:r>
      <w:r w:rsidR="00480FB1" w:rsidRPr="00FB15F5">
        <w:rPr>
          <w:b/>
          <w:bCs/>
          <w:sz w:val="22"/>
          <w:szCs w:val="22"/>
          <w:lang w:val="sr-Latn-ME"/>
        </w:rPr>
        <w:tab/>
      </w:r>
      <w:r w:rsidRPr="00FB15F5">
        <w:rPr>
          <w:b/>
          <w:bCs/>
          <w:sz w:val="22"/>
          <w:szCs w:val="22"/>
          <w:lang w:val="sr-Latn-ME"/>
        </w:rPr>
        <w:t>Posebne mjere upozorenja pri čuvanju</w:t>
      </w:r>
      <w:r w:rsidR="00F8570A" w:rsidRPr="00FB15F5">
        <w:rPr>
          <w:b/>
          <w:bCs/>
          <w:sz w:val="22"/>
          <w:szCs w:val="22"/>
          <w:lang w:val="sr-Latn-ME"/>
        </w:rPr>
        <w:t xml:space="preserve"> lijeka</w:t>
      </w:r>
    </w:p>
    <w:p w14:paraId="730B1A36" w14:textId="77777777" w:rsidR="00EC2532" w:rsidRPr="00FB15F5" w:rsidRDefault="00EC2532" w:rsidP="00480FB1">
      <w:pPr>
        <w:tabs>
          <w:tab w:val="left" w:pos="540"/>
          <w:tab w:val="left" w:pos="569"/>
        </w:tabs>
        <w:rPr>
          <w:bCs/>
          <w:sz w:val="22"/>
          <w:szCs w:val="22"/>
          <w:lang w:val="sr-Latn-ME"/>
        </w:rPr>
      </w:pPr>
    </w:p>
    <w:p w14:paraId="4D905974" w14:textId="77777777" w:rsidR="00093884" w:rsidRPr="00FB15F5" w:rsidRDefault="00093884" w:rsidP="00093884">
      <w:pPr>
        <w:pStyle w:val="Header"/>
        <w:tabs>
          <w:tab w:val="left" w:pos="284"/>
        </w:tabs>
        <w:rPr>
          <w:sz w:val="22"/>
          <w:szCs w:val="22"/>
          <w:lang w:val="sr-Latn-ME"/>
        </w:rPr>
      </w:pPr>
      <w:r w:rsidRPr="00FB15F5">
        <w:rPr>
          <w:sz w:val="22"/>
          <w:szCs w:val="22"/>
          <w:lang w:val="sr-Latn-ME"/>
        </w:rPr>
        <w:t>Čuvati na temperaturi do 25°C.</w:t>
      </w:r>
    </w:p>
    <w:p w14:paraId="15ADF4AD" w14:textId="77777777" w:rsidR="00093884" w:rsidRPr="00FB15F5" w:rsidRDefault="00093884" w:rsidP="00480FB1">
      <w:pPr>
        <w:tabs>
          <w:tab w:val="left" w:pos="540"/>
          <w:tab w:val="left" w:pos="569"/>
        </w:tabs>
        <w:rPr>
          <w:bCs/>
          <w:sz w:val="22"/>
          <w:szCs w:val="22"/>
          <w:lang w:val="sr-Latn-ME"/>
        </w:rPr>
      </w:pPr>
    </w:p>
    <w:p w14:paraId="0BF97465"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6.5. </w:t>
      </w:r>
      <w:r w:rsidR="00480FB1" w:rsidRPr="00FB15F5">
        <w:rPr>
          <w:b/>
          <w:bCs/>
          <w:sz w:val="22"/>
          <w:szCs w:val="22"/>
          <w:lang w:val="sr-Latn-ME"/>
        </w:rPr>
        <w:tab/>
      </w:r>
      <w:r w:rsidR="002846DB" w:rsidRPr="00FB15F5">
        <w:rPr>
          <w:b/>
          <w:bCs/>
          <w:sz w:val="22"/>
          <w:szCs w:val="22"/>
          <w:lang w:val="sr-Latn-ME"/>
        </w:rPr>
        <w:t xml:space="preserve">Vrsta i sadržaj </w:t>
      </w:r>
      <w:r w:rsidR="00F8570A" w:rsidRPr="00FB15F5">
        <w:rPr>
          <w:b/>
          <w:bCs/>
          <w:sz w:val="22"/>
          <w:szCs w:val="22"/>
          <w:lang w:val="sr-Latn-ME"/>
        </w:rPr>
        <w:t>pakovanja</w:t>
      </w:r>
      <w:r w:rsidR="00C06864" w:rsidRPr="00FB15F5">
        <w:rPr>
          <w:b/>
          <w:bCs/>
          <w:sz w:val="22"/>
          <w:szCs w:val="22"/>
          <w:lang w:val="sr-Latn-ME"/>
        </w:rPr>
        <w:t xml:space="preserve"> </w:t>
      </w:r>
    </w:p>
    <w:p w14:paraId="7BF2F405" w14:textId="77777777" w:rsidR="0072020E" w:rsidRPr="00FB15F5" w:rsidRDefault="0072020E" w:rsidP="00480FB1">
      <w:pPr>
        <w:tabs>
          <w:tab w:val="left" w:pos="540"/>
          <w:tab w:val="left" w:pos="569"/>
        </w:tabs>
        <w:rPr>
          <w:bCs/>
          <w:sz w:val="22"/>
          <w:szCs w:val="22"/>
          <w:lang w:val="sr-Latn-ME"/>
        </w:rPr>
      </w:pPr>
    </w:p>
    <w:p w14:paraId="2A55F114" w14:textId="77777777" w:rsidR="0029672B" w:rsidRPr="00FB15F5" w:rsidRDefault="0029672B" w:rsidP="0029672B">
      <w:pPr>
        <w:pStyle w:val="Header"/>
        <w:tabs>
          <w:tab w:val="left" w:pos="284"/>
        </w:tabs>
        <w:rPr>
          <w:sz w:val="22"/>
          <w:szCs w:val="22"/>
          <w:lang w:val="sr-Latn-ME"/>
        </w:rPr>
      </w:pPr>
      <w:r w:rsidRPr="00FB15F5">
        <w:rPr>
          <w:sz w:val="22"/>
          <w:szCs w:val="22"/>
          <w:lang w:val="sr-Latn-ME"/>
        </w:rPr>
        <w:t xml:space="preserve">Unutrašnje pakovanje je boca od tamnog stakla (tip III), zatvorena HDPE zatvaračem bijele boje, koja sadrži 100 kapsula, tvrdih. Boca sadrži i kapsulu od </w:t>
      </w:r>
      <w:proofErr w:type="spellStart"/>
      <w:r w:rsidRPr="00FB15F5">
        <w:rPr>
          <w:sz w:val="22"/>
          <w:szCs w:val="22"/>
          <w:lang w:val="sr-Latn-ME"/>
        </w:rPr>
        <w:t>polipropilena</w:t>
      </w:r>
      <w:proofErr w:type="spellEnd"/>
      <w:r w:rsidRPr="00FB15F5">
        <w:rPr>
          <w:sz w:val="22"/>
          <w:szCs w:val="22"/>
          <w:lang w:val="sr-Latn-ME"/>
        </w:rPr>
        <w:t xml:space="preserve"> sa </w:t>
      </w:r>
      <w:proofErr w:type="spellStart"/>
      <w:r w:rsidRPr="00FB15F5">
        <w:rPr>
          <w:sz w:val="22"/>
          <w:szCs w:val="22"/>
          <w:lang w:val="sr-Latn-ME"/>
        </w:rPr>
        <w:t>silika</w:t>
      </w:r>
      <w:proofErr w:type="spellEnd"/>
      <w:r w:rsidRPr="00FB15F5">
        <w:rPr>
          <w:sz w:val="22"/>
          <w:szCs w:val="22"/>
          <w:lang w:val="sr-Latn-ME"/>
        </w:rPr>
        <w:t xml:space="preserve"> gelom kao </w:t>
      </w:r>
      <w:proofErr w:type="spellStart"/>
      <w:r w:rsidRPr="00FB15F5">
        <w:rPr>
          <w:sz w:val="22"/>
          <w:szCs w:val="22"/>
          <w:lang w:val="sr-Latn-ME"/>
        </w:rPr>
        <w:t>desikantom</w:t>
      </w:r>
      <w:proofErr w:type="spellEnd"/>
      <w:r w:rsidRPr="00FB15F5">
        <w:rPr>
          <w:sz w:val="22"/>
          <w:szCs w:val="22"/>
          <w:lang w:val="sr-Latn-ME"/>
        </w:rPr>
        <w:t>.</w:t>
      </w:r>
    </w:p>
    <w:p w14:paraId="3E0E51E0" w14:textId="77777777" w:rsidR="0029672B" w:rsidRPr="00FB15F5" w:rsidRDefault="0029672B" w:rsidP="0029672B">
      <w:pPr>
        <w:pStyle w:val="Header"/>
        <w:tabs>
          <w:tab w:val="left" w:pos="284"/>
        </w:tabs>
        <w:rPr>
          <w:sz w:val="22"/>
          <w:szCs w:val="22"/>
          <w:lang w:val="sr-Latn-ME"/>
        </w:rPr>
      </w:pPr>
    </w:p>
    <w:p w14:paraId="4667CE66" w14:textId="77777777" w:rsidR="0029672B" w:rsidRPr="00FB15F5" w:rsidRDefault="0029672B" w:rsidP="0029672B">
      <w:pPr>
        <w:pStyle w:val="Header"/>
        <w:tabs>
          <w:tab w:val="left" w:pos="284"/>
        </w:tabs>
        <w:rPr>
          <w:sz w:val="22"/>
          <w:szCs w:val="22"/>
          <w:lang w:val="sr-Latn-ME"/>
        </w:rPr>
      </w:pPr>
      <w:r w:rsidRPr="00FB15F5">
        <w:rPr>
          <w:sz w:val="22"/>
          <w:szCs w:val="22"/>
          <w:lang w:val="sr-Latn-ME"/>
        </w:rPr>
        <w:t xml:space="preserve">Spoljašnje pakovanje je </w:t>
      </w:r>
      <w:proofErr w:type="spellStart"/>
      <w:r w:rsidRPr="00FB15F5">
        <w:rPr>
          <w:sz w:val="22"/>
          <w:szCs w:val="22"/>
          <w:lang w:val="sr-Latn-ME"/>
        </w:rPr>
        <w:t>složiva</w:t>
      </w:r>
      <w:proofErr w:type="spellEnd"/>
      <w:r w:rsidRPr="00FB15F5">
        <w:rPr>
          <w:sz w:val="22"/>
          <w:szCs w:val="22"/>
          <w:lang w:val="sr-Latn-ME"/>
        </w:rPr>
        <w:t xml:space="preserve"> kartonska kutija u kojoj se nalazi jedna boca sa 100 kapsula, tvrdih i Uputstvo za lijek.</w:t>
      </w:r>
    </w:p>
    <w:p w14:paraId="503F6015" w14:textId="77777777" w:rsidR="0029672B" w:rsidRPr="00FB15F5" w:rsidRDefault="0029672B" w:rsidP="00480FB1">
      <w:pPr>
        <w:tabs>
          <w:tab w:val="left" w:pos="540"/>
          <w:tab w:val="left" w:pos="569"/>
        </w:tabs>
        <w:rPr>
          <w:bCs/>
          <w:sz w:val="22"/>
          <w:szCs w:val="22"/>
          <w:lang w:val="sr-Latn-ME"/>
        </w:rPr>
      </w:pPr>
    </w:p>
    <w:p w14:paraId="32885FE6" w14:textId="77777777" w:rsidR="002846DB"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6.6. </w:t>
      </w:r>
      <w:r w:rsidR="00480FB1" w:rsidRPr="00FB15F5">
        <w:rPr>
          <w:b/>
          <w:bCs/>
          <w:sz w:val="22"/>
          <w:szCs w:val="22"/>
          <w:lang w:val="sr-Latn-ME"/>
        </w:rPr>
        <w:tab/>
      </w:r>
      <w:r w:rsidRPr="00FB15F5">
        <w:rPr>
          <w:b/>
          <w:bCs/>
          <w:color w:val="000000"/>
          <w:sz w:val="22"/>
          <w:szCs w:val="22"/>
          <w:lang w:val="sr-Latn-ME"/>
        </w:rPr>
        <w:t>Posebne mjere opreza pri odlaganju materijala koji treba odbaciti nakon primjene lijeka</w:t>
      </w:r>
      <w:r w:rsidRPr="00FB15F5">
        <w:rPr>
          <w:b/>
          <w:bCs/>
          <w:sz w:val="22"/>
          <w:szCs w:val="22"/>
          <w:lang w:val="sr-Latn-ME"/>
        </w:rPr>
        <w:t xml:space="preserve"> </w:t>
      </w:r>
      <w:r w:rsidR="00310F03" w:rsidRPr="00FB15F5">
        <w:rPr>
          <w:b/>
          <w:bCs/>
          <w:sz w:val="22"/>
          <w:szCs w:val="22"/>
          <w:lang w:val="sr-Latn-ME"/>
        </w:rPr>
        <w:t>(i druga uputs</w:t>
      </w:r>
      <w:r w:rsidR="004109FA" w:rsidRPr="00FB15F5">
        <w:rPr>
          <w:b/>
          <w:bCs/>
          <w:sz w:val="22"/>
          <w:szCs w:val="22"/>
          <w:lang w:val="sr-Latn-ME"/>
        </w:rPr>
        <w:t>t</w:t>
      </w:r>
      <w:r w:rsidR="00310F03" w:rsidRPr="00FB15F5">
        <w:rPr>
          <w:b/>
          <w:bCs/>
          <w:sz w:val="22"/>
          <w:szCs w:val="22"/>
          <w:lang w:val="sr-Latn-ME"/>
        </w:rPr>
        <w:t xml:space="preserve">va za rukovanje lijekom) </w:t>
      </w:r>
    </w:p>
    <w:p w14:paraId="34D3CC9A" w14:textId="77777777" w:rsidR="00B66A70" w:rsidRPr="00FB15F5" w:rsidRDefault="00B66A70" w:rsidP="00480FB1">
      <w:pPr>
        <w:tabs>
          <w:tab w:val="left" w:pos="540"/>
          <w:tab w:val="left" w:pos="569"/>
        </w:tabs>
        <w:rPr>
          <w:b/>
          <w:bCs/>
          <w:sz w:val="22"/>
          <w:szCs w:val="22"/>
          <w:lang w:val="sr-Latn-ME"/>
        </w:rPr>
      </w:pPr>
    </w:p>
    <w:p w14:paraId="7813F29B" w14:textId="77777777" w:rsidR="00B97C10" w:rsidRPr="00FB15F5" w:rsidRDefault="00B97C10" w:rsidP="00B97C10">
      <w:pPr>
        <w:pStyle w:val="Header"/>
        <w:tabs>
          <w:tab w:val="left" w:pos="284"/>
        </w:tabs>
        <w:rPr>
          <w:sz w:val="22"/>
          <w:szCs w:val="22"/>
          <w:lang w:val="sr-Latn-ME"/>
        </w:rPr>
      </w:pPr>
      <w:proofErr w:type="spellStart"/>
      <w:r w:rsidRPr="00FB15F5">
        <w:rPr>
          <w:sz w:val="22"/>
          <w:szCs w:val="22"/>
          <w:lang w:val="sr-Latn-ME"/>
        </w:rPr>
        <w:t>Neupotrijebljeni</w:t>
      </w:r>
      <w:proofErr w:type="spellEnd"/>
      <w:r w:rsidRPr="00FB15F5">
        <w:rPr>
          <w:sz w:val="22"/>
          <w:szCs w:val="22"/>
          <w:lang w:val="sr-Latn-ME"/>
        </w:rPr>
        <w:t xml:space="preserve"> lijek ili otpadni materijal se uništavaju u skladu sa važećim propisima.</w:t>
      </w:r>
    </w:p>
    <w:p w14:paraId="3C5D05D0" w14:textId="35A686D9" w:rsidR="0072020E" w:rsidRPr="00FB15F5" w:rsidRDefault="0072020E" w:rsidP="00480FB1">
      <w:pPr>
        <w:tabs>
          <w:tab w:val="left" w:pos="540"/>
          <w:tab w:val="left" w:pos="569"/>
        </w:tabs>
        <w:rPr>
          <w:bCs/>
          <w:sz w:val="22"/>
          <w:szCs w:val="22"/>
          <w:lang w:val="sr-Latn-ME"/>
        </w:rPr>
      </w:pPr>
    </w:p>
    <w:p w14:paraId="50900B52" w14:textId="77777777" w:rsidR="00133A78" w:rsidRPr="00FB15F5" w:rsidRDefault="00133A78" w:rsidP="00480FB1">
      <w:pPr>
        <w:tabs>
          <w:tab w:val="left" w:pos="540"/>
          <w:tab w:val="left" w:pos="569"/>
        </w:tabs>
        <w:rPr>
          <w:bCs/>
          <w:sz w:val="22"/>
          <w:szCs w:val="22"/>
          <w:lang w:val="sr-Latn-ME"/>
        </w:rPr>
      </w:pPr>
    </w:p>
    <w:p w14:paraId="57B4DC8B" w14:textId="77777777" w:rsidR="00F8570A"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7. </w:t>
      </w:r>
      <w:r w:rsidR="00480FB1" w:rsidRPr="00FB15F5">
        <w:rPr>
          <w:b/>
          <w:bCs/>
          <w:sz w:val="22"/>
          <w:szCs w:val="22"/>
          <w:lang w:val="sr-Latn-ME"/>
        </w:rPr>
        <w:tab/>
      </w:r>
      <w:r w:rsidRPr="00FB15F5">
        <w:rPr>
          <w:b/>
          <w:bCs/>
          <w:sz w:val="22"/>
          <w:szCs w:val="22"/>
          <w:lang w:val="sr-Latn-ME"/>
        </w:rPr>
        <w:t>NOSILAC DOZVOLE</w:t>
      </w:r>
      <w:r w:rsidR="00483928" w:rsidRPr="00FB15F5">
        <w:rPr>
          <w:b/>
          <w:bCs/>
          <w:sz w:val="22"/>
          <w:szCs w:val="22"/>
          <w:lang w:val="sr-Latn-ME"/>
        </w:rPr>
        <w:t xml:space="preserve"> </w:t>
      </w:r>
    </w:p>
    <w:p w14:paraId="507DB47C" w14:textId="77777777" w:rsidR="00C61BE0" w:rsidRPr="00FB15F5" w:rsidRDefault="00C61BE0" w:rsidP="00480FB1">
      <w:pPr>
        <w:tabs>
          <w:tab w:val="left" w:pos="540"/>
          <w:tab w:val="left" w:pos="569"/>
        </w:tabs>
        <w:rPr>
          <w:bCs/>
          <w:sz w:val="22"/>
          <w:szCs w:val="22"/>
          <w:lang w:val="sr-Latn-ME"/>
        </w:rPr>
      </w:pPr>
    </w:p>
    <w:p w14:paraId="39D0747B" w14:textId="77777777" w:rsidR="00CB13DD" w:rsidRPr="00FB15F5" w:rsidRDefault="00CB13DD" w:rsidP="00CB13DD">
      <w:pPr>
        <w:pStyle w:val="Header"/>
        <w:tabs>
          <w:tab w:val="left" w:pos="284"/>
        </w:tabs>
        <w:rPr>
          <w:spacing w:val="-2"/>
          <w:sz w:val="22"/>
          <w:szCs w:val="22"/>
          <w:lang w:val="sr-Latn-ME"/>
        </w:rPr>
      </w:pPr>
      <w:r w:rsidRPr="00FB15F5">
        <w:rPr>
          <w:spacing w:val="-2"/>
          <w:sz w:val="22"/>
          <w:szCs w:val="22"/>
          <w:lang w:val="sr-Latn-ME"/>
        </w:rPr>
        <w:t xml:space="preserve">Evropa </w:t>
      </w:r>
      <w:proofErr w:type="spellStart"/>
      <w:r w:rsidRPr="00FB15F5">
        <w:rPr>
          <w:spacing w:val="-2"/>
          <w:sz w:val="22"/>
          <w:szCs w:val="22"/>
          <w:lang w:val="sr-Latn-ME"/>
        </w:rPr>
        <w:t>Lek</w:t>
      </w:r>
      <w:proofErr w:type="spellEnd"/>
      <w:r w:rsidRPr="00FB15F5">
        <w:rPr>
          <w:spacing w:val="-2"/>
          <w:sz w:val="22"/>
          <w:szCs w:val="22"/>
          <w:lang w:val="sr-Latn-ME"/>
        </w:rPr>
        <w:t xml:space="preserve"> Pharma d.o.o. Podgorica</w:t>
      </w:r>
    </w:p>
    <w:p w14:paraId="0D116A47" w14:textId="77777777" w:rsidR="00CB13DD" w:rsidRPr="00FB15F5" w:rsidRDefault="00CB13DD" w:rsidP="00CB13DD">
      <w:pPr>
        <w:pStyle w:val="Header"/>
        <w:tabs>
          <w:tab w:val="left" w:pos="284"/>
        </w:tabs>
        <w:rPr>
          <w:spacing w:val="-2"/>
          <w:sz w:val="22"/>
          <w:szCs w:val="22"/>
          <w:lang w:val="sr-Latn-ME"/>
        </w:rPr>
      </w:pPr>
      <w:r w:rsidRPr="00FB15F5">
        <w:rPr>
          <w:spacing w:val="-2"/>
          <w:sz w:val="22"/>
          <w:szCs w:val="22"/>
          <w:lang w:val="sr-Latn-ME"/>
        </w:rPr>
        <w:t>Kritskog odreda 4/1, 81 000 Podgorica, Crna Gora</w:t>
      </w:r>
    </w:p>
    <w:p w14:paraId="48EF68D5" w14:textId="49E871CC" w:rsidR="00133A78" w:rsidRPr="00FB15F5" w:rsidRDefault="00133A78" w:rsidP="00480FB1">
      <w:pPr>
        <w:tabs>
          <w:tab w:val="left" w:pos="540"/>
          <w:tab w:val="left" w:pos="569"/>
        </w:tabs>
        <w:rPr>
          <w:bCs/>
          <w:sz w:val="22"/>
          <w:szCs w:val="22"/>
          <w:lang w:val="sr-Latn-ME"/>
        </w:rPr>
      </w:pPr>
    </w:p>
    <w:p w14:paraId="0F3E1C72" w14:textId="77777777" w:rsidR="00133A78" w:rsidRPr="00FB15F5" w:rsidRDefault="00133A78" w:rsidP="00480FB1">
      <w:pPr>
        <w:tabs>
          <w:tab w:val="left" w:pos="540"/>
          <w:tab w:val="left" w:pos="569"/>
        </w:tabs>
        <w:rPr>
          <w:bCs/>
          <w:sz w:val="22"/>
          <w:szCs w:val="22"/>
          <w:lang w:val="sr-Latn-ME"/>
        </w:rPr>
      </w:pPr>
    </w:p>
    <w:p w14:paraId="6D8C943C"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t xml:space="preserve">8. </w:t>
      </w:r>
      <w:r w:rsidR="00480FB1" w:rsidRPr="00FB15F5">
        <w:rPr>
          <w:b/>
          <w:bCs/>
          <w:sz w:val="22"/>
          <w:szCs w:val="22"/>
          <w:lang w:val="sr-Latn-ME"/>
        </w:rPr>
        <w:tab/>
      </w:r>
      <w:r w:rsidRPr="00FB15F5">
        <w:rPr>
          <w:b/>
          <w:bCs/>
          <w:sz w:val="22"/>
          <w:szCs w:val="22"/>
          <w:lang w:val="sr-Latn-ME"/>
        </w:rPr>
        <w:t>BROJ DOZVOLE</w:t>
      </w:r>
      <w:r w:rsidR="008A6D43" w:rsidRPr="00FB15F5">
        <w:rPr>
          <w:b/>
          <w:bCs/>
          <w:sz w:val="22"/>
          <w:szCs w:val="22"/>
          <w:lang w:val="sr-Latn-ME"/>
        </w:rPr>
        <w:t xml:space="preserve"> ZA STAVLJANJE LIJEKA U PROMET</w:t>
      </w:r>
    </w:p>
    <w:p w14:paraId="451FC60C" w14:textId="09A37497" w:rsidR="0072020E" w:rsidRPr="00FB15F5" w:rsidRDefault="0072020E" w:rsidP="00480FB1">
      <w:pPr>
        <w:tabs>
          <w:tab w:val="left" w:pos="540"/>
          <w:tab w:val="left" w:pos="569"/>
        </w:tabs>
        <w:rPr>
          <w:bCs/>
          <w:sz w:val="22"/>
          <w:szCs w:val="22"/>
          <w:lang w:val="sr-Latn-ME"/>
        </w:rPr>
      </w:pPr>
    </w:p>
    <w:p w14:paraId="3068FF34" w14:textId="37410E6E" w:rsidR="00133A78" w:rsidRPr="00FB15F5" w:rsidRDefault="00FB15F5" w:rsidP="00480FB1">
      <w:pPr>
        <w:tabs>
          <w:tab w:val="left" w:pos="540"/>
          <w:tab w:val="left" w:pos="569"/>
        </w:tabs>
        <w:rPr>
          <w:bCs/>
          <w:sz w:val="22"/>
          <w:szCs w:val="22"/>
          <w:lang w:val="sr-Latn-ME"/>
        </w:rPr>
      </w:pPr>
      <w:r w:rsidRPr="00FB15F5">
        <w:rPr>
          <w:sz w:val="22"/>
          <w:szCs w:val="22"/>
          <w:lang w:val="sr-Latn-ME"/>
        </w:rPr>
        <w:t xml:space="preserve">2030/24/2804 – 2497 </w:t>
      </w:r>
    </w:p>
    <w:p w14:paraId="1D6F9D77" w14:textId="1C4F2B86" w:rsidR="00FB15F5" w:rsidRDefault="00FB15F5" w:rsidP="00480FB1">
      <w:pPr>
        <w:tabs>
          <w:tab w:val="left" w:pos="540"/>
          <w:tab w:val="left" w:pos="569"/>
        </w:tabs>
        <w:rPr>
          <w:bCs/>
          <w:sz w:val="22"/>
          <w:szCs w:val="22"/>
          <w:lang w:val="sr-Latn-ME"/>
        </w:rPr>
      </w:pPr>
    </w:p>
    <w:p w14:paraId="2445807C" w14:textId="2DA91FE6" w:rsidR="009F447A" w:rsidRDefault="009F447A" w:rsidP="00480FB1">
      <w:pPr>
        <w:tabs>
          <w:tab w:val="left" w:pos="540"/>
          <w:tab w:val="left" w:pos="569"/>
        </w:tabs>
        <w:rPr>
          <w:bCs/>
          <w:sz w:val="22"/>
          <w:szCs w:val="22"/>
          <w:lang w:val="sr-Latn-ME"/>
        </w:rPr>
      </w:pPr>
    </w:p>
    <w:p w14:paraId="4C398B41" w14:textId="49A8788E" w:rsidR="009F447A" w:rsidRDefault="009F447A" w:rsidP="00480FB1">
      <w:pPr>
        <w:tabs>
          <w:tab w:val="left" w:pos="540"/>
          <w:tab w:val="left" w:pos="569"/>
        </w:tabs>
        <w:rPr>
          <w:bCs/>
          <w:sz w:val="22"/>
          <w:szCs w:val="22"/>
          <w:lang w:val="sr-Latn-ME"/>
        </w:rPr>
      </w:pPr>
    </w:p>
    <w:p w14:paraId="5F25A8DD" w14:textId="77777777" w:rsidR="009F447A" w:rsidRPr="00FB15F5" w:rsidRDefault="009F447A" w:rsidP="00480FB1">
      <w:pPr>
        <w:tabs>
          <w:tab w:val="left" w:pos="540"/>
          <w:tab w:val="left" w:pos="569"/>
        </w:tabs>
        <w:rPr>
          <w:bCs/>
          <w:sz w:val="22"/>
          <w:szCs w:val="22"/>
          <w:lang w:val="sr-Latn-ME"/>
        </w:rPr>
      </w:pPr>
    </w:p>
    <w:p w14:paraId="1095C0ED" w14:textId="77777777" w:rsidR="0072020E" w:rsidRPr="00FB15F5" w:rsidRDefault="0072020E" w:rsidP="00480FB1">
      <w:pPr>
        <w:tabs>
          <w:tab w:val="left" w:pos="540"/>
          <w:tab w:val="left" w:pos="569"/>
        </w:tabs>
        <w:rPr>
          <w:b/>
          <w:bCs/>
          <w:sz w:val="22"/>
          <w:szCs w:val="22"/>
          <w:lang w:val="sr-Latn-ME"/>
        </w:rPr>
      </w:pPr>
      <w:r w:rsidRPr="00FB15F5">
        <w:rPr>
          <w:b/>
          <w:bCs/>
          <w:sz w:val="22"/>
          <w:szCs w:val="22"/>
          <w:lang w:val="sr-Latn-ME"/>
        </w:rPr>
        <w:lastRenderedPageBreak/>
        <w:t xml:space="preserve">9. </w:t>
      </w:r>
      <w:r w:rsidR="00480FB1" w:rsidRPr="00FB15F5">
        <w:rPr>
          <w:b/>
          <w:bCs/>
          <w:sz w:val="22"/>
          <w:szCs w:val="22"/>
          <w:lang w:val="sr-Latn-ME"/>
        </w:rPr>
        <w:tab/>
      </w:r>
      <w:r w:rsidRPr="00FB15F5">
        <w:rPr>
          <w:b/>
          <w:bCs/>
          <w:sz w:val="22"/>
          <w:szCs w:val="22"/>
          <w:lang w:val="sr-Latn-ME"/>
        </w:rPr>
        <w:t xml:space="preserve">DATUM </w:t>
      </w:r>
      <w:r w:rsidR="00C05DF8" w:rsidRPr="00FB15F5">
        <w:rPr>
          <w:b/>
          <w:bCs/>
          <w:sz w:val="22"/>
          <w:szCs w:val="22"/>
          <w:lang w:val="sr-Latn-ME"/>
        </w:rPr>
        <w:t xml:space="preserve">PRVE </w:t>
      </w:r>
      <w:r w:rsidR="008A6D43" w:rsidRPr="00FB15F5">
        <w:rPr>
          <w:b/>
          <w:bCs/>
          <w:sz w:val="22"/>
          <w:szCs w:val="22"/>
          <w:lang w:val="sr-Latn-ME"/>
        </w:rPr>
        <w:t>DOZVOLE</w:t>
      </w:r>
      <w:r w:rsidR="00C05DF8" w:rsidRPr="00FB15F5">
        <w:rPr>
          <w:b/>
          <w:bCs/>
          <w:sz w:val="22"/>
          <w:szCs w:val="22"/>
          <w:lang w:val="sr-Latn-ME"/>
        </w:rPr>
        <w:t>/OBNOVE DOZVOLE</w:t>
      </w:r>
      <w:r w:rsidR="008A6D43" w:rsidRPr="00FB15F5">
        <w:rPr>
          <w:b/>
          <w:bCs/>
          <w:sz w:val="22"/>
          <w:szCs w:val="22"/>
          <w:lang w:val="sr-Latn-ME"/>
        </w:rPr>
        <w:t xml:space="preserve"> ZA STAVLJANJE LIJEKA U PROMET</w:t>
      </w:r>
    </w:p>
    <w:p w14:paraId="5C170DC0" w14:textId="77777777" w:rsidR="0072020E" w:rsidRPr="00FB15F5" w:rsidRDefault="0072020E" w:rsidP="00480FB1">
      <w:pPr>
        <w:tabs>
          <w:tab w:val="left" w:pos="540"/>
          <w:tab w:val="left" w:pos="569"/>
        </w:tabs>
        <w:rPr>
          <w:bCs/>
          <w:sz w:val="22"/>
          <w:szCs w:val="22"/>
          <w:lang w:val="sr-Latn-ME"/>
        </w:rPr>
      </w:pPr>
    </w:p>
    <w:p w14:paraId="6623857A" w14:textId="77777777" w:rsidR="00CB13DD" w:rsidRPr="00FB15F5" w:rsidRDefault="00CB13DD" w:rsidP="00CB13DD">
      <w:pPr>
        <w:shd w:val="clear" w:color="auto" w:fill="FFFFFF"/>
        <w:tabs>
          <w:tab w:val="left" w:pos="259"/>
        </w:tabs>
        <w:ind w:left="10"/>
        <w:rPr>
          <w:sz w:val="22"/>
          <w:szCs w:val="22"/>
          <w:lang w:val="sr-Latn-ME"/>
        </w:rPr>
      </w:pPr>
      <w:r w:rsidRPr="00FB15F5">
        <w:rPr>
          <w:bCs/>
          <w:spacing w:val="-4"/>
          <w:sz w:val="22"/>
          <w:szCs w:val="22"/>
          <w:lang w:val="sr-Latn-ME"/>
        </w:rPr>
        <w:t>Datum prve dozvole:</w:t>
      </w:r>
      <w:r w:rsidRPr="00FB15F5">
        <w:rPr>
          <w:sz w:val="22"/>
          <w:szCs w:val="22"/>
          <w:lang w:val="sr-Latn-ME"/>
        </w:rPr>
        <w:t xml:space="preserve"> 04.10.2013. godine</w:t>
      </w:r>
    </w:p>
    <w:p w14:paraId="7BC484FD" w14:textId="04078445" w:rsidR="00CB13DD" w:rsidRPr="00FB15F5" w:rsidRDefault="00CB13DD" w:rsidP="00CB13DD">
      <w:pPr>
        <w:shd w:val="clear" w:color="auto" w:fill="FFFFFF"/>
        <w:tabs>
          <w:tab w:val="left" w:pos="259"/>
        </w:tabs>
        <w:ind w:left="10"/>
        <w:rPr>
          <w:sz w:val="22"/>
          <w:szCs w:val="22"/>
          <w:lang w:val="sr-Latn-ME"/>
        </w:rPr>
      </w:pPr>
      <w:r w:rsidRPr="00FB15F5">
        <w:rPr>
          <w:sz w:val="22"/>
          <w:szCs w:val="22"/>
          <w:lang w:val="sr-Latn-ME"/>
        </w:rPr>
        <w:t>Datum posljednje obnove dozvole:</w:t>
      </w:r>
      <w:r w:rsidR="00FB15F5" w:rsidRPr="00FB15F5">
        <w:rPr>
          <w:sz w:val="22"/>
          <w:szCs w:val="22"/>
          <w:lang w:val="sr-Latn-ME"/>
        </w:rPr>
        <w:t xml:space="preserve"> 28.05.2024. godine</w:t>
      </w:r>
    </w:p>
    <w:p w14:paraId="7B776DCA" w14:textId="30E14A73" w:rsidR="00836B35" w:rsidRPr="00FB15F5" w:rsidRDefault="00836B35" w:rsidP="00480FB1">
      <w:pPr>
        <w:tabs>
          <w:tab w:val="left" w:pos="540"/>
          <w:tab w:val="left" w:pos="569"/>
        </w:tabs>
        <w:rPr>
          <w:bCs/>
          <w:sz w:val="22"/>
          <w:szCs w:val="22"/>
          <w:lang w:val="sr-Latn-ME"/>
        </w:rPr>
      </w:pPr>
    </w:p>
    <w:p w14:paraId="4DF1DB25" w14:textId="77777777" w:rsidR="00133A78" w:rsidRPr="00FB15F5" w:rsidRDefault="00133A78" w:rsidP="00480FB1">
      <w:pPr>
        <w:tabs>
          <w:tab w:val="left" w:pos="540"/>
          <w:tab w:val="left" w:pos="569"/>
        </w:tabs>
        <w:rPr>
          <w:bCs/>
          <w:sz w:val="22"/>
          <w:szCs w:val="22"/>
          <w:lang w:val="sr-Latn-ME"/>
        </w:rPr>
      </w:pPr>
    </w:p>
    <w:p w14:paraId="2FBBE5EE" w14:textId="77777777" w:rsidR="003F6A59" w:rsidRPr="00FB15F5" w:rsidRDefault="0072020E" w:rsidP="00C05DF8">
      <w:pPr>
        <w:tabs>
          <w:tab w:val="left" w:pos="540"/>
          <w:tab w:val="left" w:pos="569"/>
        </w:tabs>
        <w:ind w:left="540" w:hanging="540"/>
        <w:rPr>
          <w:bCs/>
          <w:sz w:val="22"/>
          <w:szCs w:val="22"/>
          <w:lang w:val="sr-Latn-ME"/>
        </w:rPr>
      </w:pPr>
      <w:r w:rsidRPr="00FB15F5">
        <w:rPr>
          <w:b/>
          <w:bCs/>
          <w:sz w:val="22"/>
          <w:szCs w:val="22"/>
          <w:lang w:val="sr-Latn-ME"/>
        </w:rPr>
        <w:t xml:space="preserve">10. </w:t>
      </w:r>
      <w:r w:rsidR="00480FB1" w:rsidRPr="00FB15F5">
        <w:rPr>
          <w:b/>
          <w:bCs/>
          <w:sz w:val="22"/>
          <w:szCs w:val="22"/>
          <w:lang w:val="sr-Latn-ME"/>
        </w:rPr>
        <w:tab/>
      </w:r>
      <w:r w:rsidR="002846DB" w:rsidRPr="00FB15F5">
        <w:rPr>
          <w:b/>
          <w:bCs/>
          <w:sz w:val="22"/>
          <w:szCs w:val="22"/>
          <w:lang w:val="sr-Latn-ME"/>
        </w:rPr>
        <w:t>D</w:t>
      </w:r>
      <w:r w:rsidR="00EC2532" w:rsidRPr="00FB15F5">
        <w:rPr>
          <w:b/>
          <w:bCs/>
          <w:sz w:val="22"/>
          <w:szCs w:val="22"/>
          <w:lang w:val="sr-Latn-ME"/>
        </w:rPr>
        <w:t xml:space="preserve">ATUM REVIZIJE TEKSTA </w:t>
      </w:r>
    </w:p>
    <w:p w14:paraId="4276404E" w14:textId="3D3E9CD3" w:rsidR="003F6A59" w:rsidRPr="00FB15F5" w:rsidRDefault="003F6A59" w:rsidP="00DE3F5C">
      <w:pPr>
        <w:rPr>
          <w:sz w:val="22"/>
          <w:szCs w:val="22"/>
          <w:lang w:val="sr-Latn-ME"/>
        </w:rPr>
      </w:pPr>
    </w:p>
    <w:p w14:paraId="261329E3" w14:textId="5A56DA4D" w:rsidR="00FB15F5" w:rsidRPr="00FB15F5" w:rsidRDefault="00FB15F5" w:rsidP="00DE3F5C">
      <w:pPr>
        <w:rPr>
          <w:sz w:val="22"/>
          <w:szCs w:val="22"/>
          <w:lang w:val="sr-Latn-ME"/>
        </w:rPr>
      </w:pPr>
      <w:r w:rsidRPr="00FB15F5">
        <w:rPr>
          <w:sz w:val="22"/>
          <w:szCs w:val="22"/>
          <w:lang w:val="sr-Latn-ME"/>
        </w:rPr>
        <w:t>Maj, 2024. godine</w:t>
      </w:r>
      <w:bookmarkStart w:id="2" w:name="_GoBack"/>
      <w:bookmarkEnd w:id="2"/>
    </w:p>
    <w:sectPr w:rsidR="00FB15F5" w:rsidRPr="00FB15F5"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F3094" w14:textId="77777777" w:rsidR="00547A39" w:rsidRDefault="00547A39">
      <w:r>
        <w:separator/>
      </w:r>
    </w:p>
  </w:endnote>
  <w:endnote w:type="continuationSeparator" w:id="0">
    <w:p w14:paraId="1CC825C3" w14:textId="77777777" w:rsidR="00547A39" w:rsidRDefault="0054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7A15" w14:textId="15A0EE3D"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F447A">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F447A">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952A" w14:textId="77777777" w:rsidR="00547A39" w:rsidRDefault="00547A39">
      <w:r>
        <w:separator/>
      </w:r>
    </w:p>
  </w:footnote>
  <w:footnote w:type="continuationSeparator" w:id="0">
    <w:p w14:paraId="54D272BE" w14:textId="77777777" w:rsidR="00547A39" w:rsidRDefault="0054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0BFB"/>
    <w:multiLevelType w:val="hybridMultilevel"/>
    <w:tmpl w:val="4A6A4F6C"/>
    <w:lvl w:ilvl="0" w:tplc="C4846F24">
      <w:numFmt w:val="bullet"/>
      <w:lvlText w:val="-"/>
      <w:lvlJc w:val="left"/>
      <w:pPr>
        <w:tabs>
          <w:tab w:val="num" w:pos="420"/>
        </w:tabs>
        <w:ind w:left="420" w:hanging="360"/>
      </w:pPr>
      <w:rPr>
        <w:rFonts w:ascii="Times New Roman" w:eastAsia="Times New Roman" w:hAnsi="Times New Roman" w:cs="Times New Roman" w:hint="default"/>
      </w:rPr>
    </w:lvl>
    <w:lvl w:ilvl="1" w:tplc="081A0003">
      <w:start w:val="1"/>
      <w:numFmt w:val="bullet"/>
      <w:lvlText w:val="o"/>
      <w:lvlJc w:val="left"/>
      <w:pPr>
        <w:tabs>
          <w:tab w:val="num" w:pos="1140"/>
        </w:tabs>
        <w:ind w:left="1140" w:hanging="360"/>
      </w:pPr>
      <w:rPr>
        <w:rFonts w:ascii="Courier New" w:hAnsi="Courier New" w:cs="Courier New" w:hint="default"/>
      </w:rPr>
    </w:lvl>
    <w:lvl w:ilvl="2" w:tplc="081A0005" w:tentative="1">
      <w:start w:val="1"/>
      <w:numFmt w:val="bullet"/>
      <w:lvlText w:val=""/>
      <w:lvlJc w:val="left"/>
      <w:pPr>
        <w:tabs>
          <w:tab w:val="num" w:pos="1860"/>
        </w:tabs>
        <w:ind w:left="1860" w:hanging="360"/>
      </w:pPr>
      <w:rPr>
        <w:rFonts w:ascii="Wingdings" w:hAnsi="Wingdings" w:hint="default"/>
      </w:rPr>
    </w:lvl>
    <w:lvl w:ilvl="3" w:tplc="081A0001" w:tentative="1">
      <w:start w:val="1"/>
      <w:numFmt w:val="bullet"/>
      <w:lvlText w:val=""/>
      <w:lvlJc w:val="left"/>
      <w:pPr>
        <w:tabs>
          <w:tab w:val="num" w:pos="2580"/>
        </w:tabs>
        <w:ind w:left="2580" w:hanging="360"/>
      </w:pPr>
      <w:rPr>
        <w:rFonts w:ascii="Symbol" w:hAnsi="Symbol" w:hint="default"/>
      </w:rPr>
    </w:lvl>
    <w:lvl w:ilvl="4" w:tplc="081A0003" w:tentative="1">
      <w:start w:val="1"/>
      <w:numFmt w:val="bullet"/>
      <w:lvlText w:val="o"/>
      <w:lvlJc w:val="left"/>
      <w:pPr>
        <w:tabs>
          <w:tab w:val="num" w:pos="3300"/>
        </w:tabs>
        <w:ind w:left="3300" w:hanging="360"/>
      </w:pPr>
      <w:rPr>
        <w:rFonts w:ascii="Courier New" w:hAnsi="Courier New" w:cs="Courier New" w:hint="default"/>
      </w:rPr>
    </w:lvl>
    <w:lvl w:ilvl="5" w:tplc="081A0005" w:tentative="1">
      <w:start w:val="1"/>
      <w:numFmt w:val="bullet"/>
      <w:lvlText w:val=""/>
      <w:lvlJc w:val="left"/>
      <w:pPr>
        <w:tabs>
          <w:tab w:val="num" w:pos="4020"/>
        </w:tabs>
        <w:ind w:left="4020" w:hanging="360"/>
      </w:pPr>
      <w:rPr>
        <w:rFonts w:ascii="Wingdings" w:hAnsi="Wingdings" w:hint="default"/>
      </w:rPr>
    </w:lvl>
    <w:lvl w:ilvl="6" w:tplc="081A0001" w:tentative="1">
      <w:start w:val="1"/>
      <w:numFmt w:val="bullet"/>
      <w:lvlText w:val=""/>
      <w:lvlJc w:val="left"/>
      <w:pPr>
        <w:tabs>
          <w:tab w:val="num" w:pos="4740"/>
        </w:tabs>
        <w:ind w:left="4740" w:hanging="360"/>
      </w:pPr>
      <w:rPr>
        <w:rFonts w:ascii="Symbol" w:hAnsi="Symbol" w:hint="default"/>
      </w:rPr>
    </w:lvl>
    <w:lvl w:ilvl="7" w:tplc="081A0003" w:tentative="1">
      <w:start w:val="1"/>
      <w:numFmt w:val="bullet"/>
      <w:lvlText w:val="o"/>
      <w:lvlJc w:val="left"/>
      <w:pPr>
        <w:tabs>
          <w:tab w:val="num" w:pos="5460"/>
        </w:tabs>
        <w:ind w:left="5460" w:hanging="360"/>
      </w:pPr>
      <w:rPr>
        <w:rFonts w:ascii="Courier New" w:hAnsi="Courier New" w:cs="Courier New" w:hint="default"/>
      </w:rPr>
    </w:lvl>
    <w:lvl w:ilvl="8" w:tplc="081A0005" w:tentative="1">
      <w:start w:val="1"/>
      <w:numFmt w:val="bullet"/>
      <w:lvlText w:val=""/>
      <w:lvlJc w:val="left"/>
      <w:pPr>
        <w:tabs>
          <w:tab w:val="num" w:pos="6180"/>
        </w:tabs>
        <w:ind w:left="61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8752A"/>
    <w:rsid w:val="00093884"/>
    <w:rsid w:val="000A3F58"/>
    <w:rsid w:val="000D2343"/>
    <w:rsid w:val="000D3449"/>
    <w:rsid w:val="000D425A"/>
    <w:rsid w:val="000D60CC"/>
    <w:rsid w:val="000E2084"/>
    <w:rsid w:val="000E6F55"/>
    <w:rsid w:val="000F77FA"/>
    <w:rsid w:val="00107BF7"/>
    <w:rsid w:val="00126F53"/>
    <w:rsid w:val="00133A78"/>
    <w:rsid w:val="0014766D"/>
    <w:rsid w:val="001536CC"/>
    <w:rsid w:val="001A3FBA"/>
    <w:rsid w:val="001A5518"/>
    <w:rsid w:val="001B1C6A"/>
    <w:rsid w:val="001C1263"/>
    <w:rsid w:val="001C1417"/>
    <w:rsid w:val="001E390B"/>
    <w:rsid w:val="001E4242"/>
    <w:rsid w:val="001F42FB"/>
    <w:rsid w:val="001F719A"/>
    <w:rsid w:val="002031B3"/>
    <w:rsid w:val="00215931"/>
    <w:rsid w:val="00224C91"/>
    <w:rsid w:val="00227BDB"/>
    <w:rsid w:val="00234CB1"/>
    <w:rsid w:val="002352F8"/>
    <w:rsid w:val="002510A5"/>
    <w:rsid w:val="00254A0A"/>
    <w:rsid w:val="00266046"/>
    <w:rsid w:val="002846DB"/>
    <w:rsid w:val="00284CCD"/>
    <w:rsid w:val="0029672B"/>
    <w:rsid w:val="002C6637"/>
    <w:rsid w:val="002E0135"/>
    <w:rsid w:val="002E37A5"/>
    <w:rsid w:val="00310F03"/>
    <w:rsid w:val="003247D2"/>
    <w:rsid w:val="003445C1"/>
    <w:rsid w:val="00355B61"/>
    <w:rsid w:val="00362686"/>
    <w:rsid w:val="00371510"/>
    <w:rsid w:val="00396DFD"/>
    <w:rsid w:val="003A5C6C"/>
    <w:rsid w:val="003A7059"/>
    <w:rsid w:val="003B7A36"/>
    <w:rsid w:val="003C17AB"/>
    <w:rsid w:val="003C7823"/>
    <w:rsid w:val="003D1B15"/>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4B8"/>
    <w:rsid w:val="00480FB1"/>
    <w:rsid w:val="00483928"/>
    <w:rsid w:val="004C331F"/>
    <w:rsid w:val="004D6103"/>
    <w:rsid w:val="004E3BCE"/>
    <w:rsid w:val="004E70AD"/>
    <w:rsid w:val="004F0E97"/>
    <w:rsid w:val="004F17E2"/>
    <w:rsid w:val="00501DD1"/>
    <w:rsid w:val="00515C21"/>
    <w:rsid w:val="00530BD7"/>
    <w:rsid w:val="00545CD2"/>
    <w:rsid w:val="005476F3"/>
    <w:rsid w:val="00547A39"/>
    <w:rsid w:val="00572527"/>
    <w:rsid w:val="00573E40"/>
    <w:rsid w:val="00576348"/>
    <w:rsid w:val="005A0B2E"/>
    <w:rsid w:val="005A23D2"/>
    <w:rsid w:val="005A36CB"/>
    <w:rsid w:val="005B49B8"/>
    <w:rsid w:val="005C0741"/>
    <w:rsid w:val="005C5EF4"/>
    <w:rsid w:val="005E2E0B"/>
    <w:rsid w:val="005E67AD"/>
    <w:rsid w:val="005E7A7D"/>
    <w:rsid w:val="00602457"/>
    <w:rsid w:val="00614D84"/>
    <w:rsid w:val="00644FC3"/>
    <w:rsid w:val="00646BD1"/>
    <w:rsid w:val="00652247"/>
    <w:rsid w:val="006561C2"/>
    <w:rsid w:val="00671CB3"/>
    <w:rsid w:val="00674BAF"/>
    <w:rsid w:val="00682200"/>
    <w:rsid w:val="00692BF6"/>
    <w:rsid w:val="006A1351"/>
    <w:rsid w:val="006A1497"/>
    <w:rsid w:val="006B0BD1"/>
    <w:rsid w:val="006B5404"/>
    <w:rsid w:val="006D20A5"/>
    <w:rsid w:val="006D37BF"/>
    <w:rsid w:val="00702E22"/>
    <w:rsid w:val="0072020E"/>
    <w:rsid w:val="00754902"/>
    <w:rsid w:val="00786071"/>
    <w:rsid w:val="007A3ECB"/>
    <w:rsid w:val="007D7BB3"/>
    <w:rsid w:val="007E1E41"/>
    <w:rsid w:val="007E31E9"/>
    <w:rsid w:val="007F05E3"/>
    <w:rsid w:val="00806D9D"/>
    <w:rsid w:val="00824AB9"/>
    <w:rsid w:val="00836B35"/>
    <w:rsid w:val="00843BDE"/>
    <w:rsid w:val="0087588C"/>
    <w:rsid w:val="0089705C"/>
    <w:rsid w:val="008A6D43"/>
    <w:rsid w:val="008B491E"/>
    <w:rsid w:val="008C1A28"/>
    <w:rsid w:val="008C2E98"/>
    <w:rsid w:val="008D5544"/>
    <w:rsid w:val="008E49BD"/>
    <w:rsid w:val="008E53E9"/>
    <w:rsid w:val="008E5771"/>
    <w:rsid w:val="008F4ACF"/>
    <w:rsid w:val="00924166"/>
    <w:rsid w:val="00924B98"/>
    <w:rsid w:val="00936B6E"/>
    <w:rsid w:val="00940B9B"/>
    <w:rsid w:val="00953573"/>
    <w:rsid w:val="0095676E"/>
    <w:rsid w:val="00956983"/>
    <w:rsid w:val="00963CF0"/>
    <w:rsid w:val="00964BB1"/>
    <w:rsid w:val="009775D9"/>
    <w:rsid w:val="00997175"/>
    <w:rsid w:val="009A1847"/>
    <w:rsid w:val="009B062A"/>
    <w:rsid w:val="009E4EDD"/>
    <w:rsid w:val="009E7C6F"/>
    <w:rsid w:val="009F1793"/>
    <w:rsid w:val="009F2D23"/>
    <w:rsid w:val="009F447A"/>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60619"/>
    <w:rsid w:val="00B66A70"/>
    <w:rsid w:val="00B67366"/>
    <w:rsid w:val="00B80EE1"/>
    <w:rsid w:val="00B84135"/>
    <w:rsid w:val="00B97C10"/>
    <w:rsid w:val="00C04D34"/>
    <w:rsid w:val="00C05DF8"/>
    <w:rsid w:val="00C06864"/>
    <w:rsid w:val="00C10F54"/>
    <w:rsid w:val="00C23D8D"/>
    <w:rsid w:val="00C3183C"/>
    <w:rsid w:val="00C37AA3"/>
    <w:rsid w:val="00C37FD7"/>
    <w:rsid w:val="00C43419"/>
    <w:rsid w:val="00C44CF3"/>
    <w:rsid w:val="00C61BE0"/>
    <w:rsid w:val="00C6707E"/>
    <w:rsid w:val="00C70B0E"/>
    <w:rsid w:val="00C773CA"/>
    <w:rsid w:val="00C83785"/>
    <w:rsid w:val="00C87FA8"/>
    <w:rsid w:val="00C94C0D"/>
    <w:rsid w:val="00CA1FEB"/>
    <w:rsid w:val="00CB13DD"/>
    <w:rsid w:val="00CD4F85"/>
    <w:rsid w:val="00CD6F02"/>
    <w:rsid w:val="00CE246D"/>
    <w:rsid w:val="00CF0220"/>
    <w:rsid w:val="00CF07A0"/>
    <w:rsid w:val="00CF3E03"/>
    <w:rsid w:val="00D0082A"/>
    <w:rsid w:val="00D21455"/>
    <w:rsid w:val="00D47634"/>
    <w:rsid w:val="00D70680"/>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F3B86"/>
    <w:rsid w:val="00F115E9"/>
    <w:rsid w:val="00F317E9"/>
    <w:rsid w:val="00F34554"/>
    <w:rsid w:val="00F35B68"/>
    <w:rsid w:val="00F45F77"/>
    <w:rsid w:val="00F5167F"/>
    <w:rsid w:val="00F52258"/>
    <w:rsid w:val="00F8570A"/>
    <w:rsid w:val="00F91C7B"/>
    <w:rsid w:val="00FB15F5"/>
    <w:rsid w:val="00FF3EDF"/>
    <w:rsid w:val="00FF5F82"/>
    <w:rsid w:val="00FF778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0943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uiPriority w:val="99"/>
    <w:rsid w:val="001E4242"/>
    <w:rPr>
      <w:sz w:val="24"/>
      <w:szCs w:val="24"/>
      <w:lang w:val="en-US" w:eastAsia="en-US"/>
    </w:rPr>
  </w:style>
  <w:style w:type="character" w:customStyle="1" w:styleId="TableText9">
    <w:name w:val="TableText 9"/>
    <w:rsid w:val="00924B98"/>
    <w:rPr>
      <w:rFonts w:ascii="Times New Roman" w:hAnsi="Times New Roman"/>
      <w:sz w:val="18"/>
    </w:rPr>
  </w:style>
  <w:style w:type="paragraph" w:customStyle="1" w:styleId="TableText">
    <w:name w:val="TableText"/>
    <w:link w:val="TableTextChar"/>
    <w:rsid w:val="00924B98"/>
    <w:rPr>
      <w:rFonts w:cs="Arial"/>
      <w:lang w:val="en-US" w:eastAsia="en-US"/>
    </w:rPr>
  </w:style>
  <w:style w:type="character" w:customStyle="1" w:styleId="TableTextChar">
    <w:name w:val="TableText Char"/>
    <w:link w:val="TableText"/>
    <w:locked/>
    <w:rsid w:val="00924B98"/>
    <w:rPr>
      <w:rFonts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6DD5C-6161-40DE-848F-ED89B868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14779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24</cp:revision>
  <cp:lastPrinted>2023-02-09T08:16:00Z</cp:lastPrinted>
  <dcterms:created xsi:type="dcterms:W3CDTF">2024-05-27T11:39:00Z</dcterms:created>
  <dcterms:modified xsi:type="dcterms:W3CDTF">2024-05-28T06:29:00Z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