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C33BF" w14:textId="77777777" w:rsidR="002510A5" w:rsidRPr="00AB5B90" w:rsidRDefault="002510A5" w:rsidP="002510A5">
      <w:pPr>
        <w:jc w:val="center"/>
        <w:rPr>
          <w:b/>
          <w:bCs/>
          <w:iCs/>
          <w:sz w:val="22"/>
          <w:szCs w:val="22"/>
          <w:u w:val="single"/>
          <w:lang w:val="sr-Latn-ME"/>
        </w:rPr>
      </w:pPr>
      <w:r w:rsidRPr="00AB5B90">
        <w:rPr>
          <w:b/>
          <w:bCs/>
          <w:iCs/>
          <w:sz w:val="22"/>
          <w:szCs w:val="22"/>
          <w:u w:val="single"/>
          <w:lang w:val="sr-Latn-ME"/>
        </w:rPr>
        <w:t>SAŽETAK KARAKTERISTIKA LIJEKA</w:t>
      </w:r>
    </w:p>
    <w:p w14:paraId="4DC9E64D" w14:textId="77777777" w:rsidR="002510A5" w:rsidRPr="00AB5B90" w:rsidRDefault="002510A5" w:rsidP="002510A5">
      <w:pPr>
        <w:rPr>
          <w:b/>
          <w:bCs/>
          <w:i/>
          <w:iCs/>
          <w:sz w:val="22"/>
          <w:szCs w:val="22"/>
          <w:u w:val="single"/>
          <w:lang w:val="sr-Latn-ME"/>
        </w:rPr>
      </w:pPr>
    </w:p>
    <w:p w14:paraId="5C672302" w14:textId="77777777" w:rsidR="003C17AB" w:rsidRPr="00AB5B90" w:rsidRDefault="003C17AB" w:rsidP="00F5167F">
      <w:pPr>
        <w:tabs>
          <w:tab w:val="left" w:pos="540"/>
          <w:tab w:val="left" w:pos="569"/>
        </w:tabs>
        <w:rPr>
          <w:noProof/>
          <w:sz w:val="22"/>
          <w:szCs w:val="22"/>
          <w:lang w:val="sr-Latn-ME"/>
        </w:rPr>
      </w:pPr>
    </w:p>
    <w:p w14:paraId="7BB6EC9F" w14:textId="77777777" w:rsidR="00C37FD7" w:rsidRPr="00AB5B90" w:rsidRDefault="00C37FD7" w:rsidP="00F5167F">
      <w:pPr>
        <w:tabs>
          <w:tab w:val="left" w:pos="540"/>
          <w:tab w:val="left" w:pos="569"/>
        </w:tabs>
        <w:rPr>
          <w:bCs/>
          <w:sz w:val="22"/>
          <w:szCs w:val="22"/>
          <w:lang w:val="sr-Latn-ME"/>
        </w:rPr>
      </w:pPr>
    </w:p>
    <w:p w14:paraId="33A09B5B" w14:textId="77777777" w:rsidR="00411B4B" w:rsidRPr="00AB5B90" w:rsidRDefault="00411B4B" w:rsidP="003E5B22">
      <w:pPr>
        <w:tabs>
          <w:tab w:val="left" w:pos="540"/>
          <w:tab w:val="left" w:pos="569"/>
        </w:tabs>
        <w:jc w:val="both"/>
        <w:rPr>
          <w:b/>
          <w:bCs/>
          <w:sz w:val="22"/>
          <w:szCs w:val="22"/>
          <w:lang w:val="sr-Latn-ME"/>
        </w:rPr>
      </w:pPr>
      <w:r w:rsidRPr="00AB5B90">
        <w:rPr>
          <w:b/>
          <w:bCs/>
          <w:sz w:val="22"/>
          <w:szCs w:val="22"/>
          <w:lang w:val="sr-Latn-ME"/>
        </w:rPr>
        <w:t>1.</w:t>
      </w:r>
      <w:r w:rsidR="00F5167F" w:rsidRPr="00AB5B90">
        <w:rPr>
          <w:b/>
          <w:bCs/>
          <w:sz w:val="22"/>
          <w:szCs w:val="22"/>
          <w:lang w:val="sr-Latn-ME"/>
        </w:rPr>
        <w:tab/>
      </w:r>
      <w:r w:rsidR="002846DB" w:rsidRPr="00AB5B90">
        <w:rPr>
          <w:b/>
          <w:bCs/>
          <w:sz w:val="22"/>
          <w:szCs w:val="22"/>
          <w:lang w:val="sr-Latn-ME"/>
        </w:rPr>
        <w:t xml:space="preserve">NAZIV </w:t>
      </w:r>
      <w:r w:rsidRPr="00AB5B90">
        <w:rPr>
          <w:b/>
          <w:bCs/>
          <w:sz w:val="22"/>
          <w:szCs w:val="22"/>
          <w:lang w:val="sr-Latn-ME"/>
        </w:rPr>
        <w:t>LIJEKA</w:t>
      </w:r>
    </w:p>
    <w:p w14:paraId="3374B4D2" w14:textId="77777777" w:rsidR="00EC2532" w:rsidRPr="00AB5B90" w:rsidRDefault="00EC2532" w:rsidP="003E5B22">
      <w:pPr>
        <w:jc w:val="both"/>
        <w:rPr>
          <w:sz w:val="22"/>
          <w:szCs w:val="22"/>
          <w:lang w:val="sr-Latn-ME"/>
        </w:rPr>
      </w:pPr>
    </w:p>
    <w:p w14:paraId="78A2AAB7" w14:textId="2AA85C19" w:rsidR="00527351" w:rsidRPr="00AB5B90" w:rsidRDefault="00527351" w:rsidP="003E5B22">
      <w:pPr>
        <w:jc w:val="both"/>
        <w:rPr>
          <w:sz w:val="22"/>
          <w:szCs w:val="22"/>
          <w:lang w:val="sr-Latn-ME"/>
        </w:rPr>
      </w:pPr>
      <w:proofErr w:type="spellStart"/>
      <w:r w:rsidRPr="00AB5B90">
        <w:rPr>
          <w:sz w:val="22"/>
          <w:szCs w:val="22"/>
          <w:lang w:val="sr-Latn-ME"/>
        </w:rPr>
        <w:t>Tot’Hema</w:t>
      </w:r>
      <w:proofErr w:type="spellEnd"/>
      <w:r w:rsidRPr="00AB5B90">
        <w:rPr>
          <w:sz w:val="22"/>
          <w:szCs w:val="22"/>
          <w:lang w:val="sr-Latn-ME"/>
        </w:rPr>
        <w:t>, 50 mg/10 m</w:t>
      </w:r>
      <w:r w:rsidR="0015101E" w:rsidRPr="00AB5B90">
        <w:rPr>
          <w:sz w:val="22"/>
          <w:szCs w:val="22"/>
          <w:lang w:val="sr-Latn-ME"/>
        </w:rPr>
        <w:t>l</w:t>
      </w:r>
      <w:r w:rsidRPr="00AB5B90">
        <w:rPr>
          <w:sz w:val="22"/>
          <w:szCs w:val="22"/>
          <w:lang w:val="sr-Latn-ME"/>
        </w:rPr>
        <w:t xml:space="preserve"> + 1,33 mg/10 m</w:t>
      </w:r>
      <w:r w:rsidR="0015101E" w:rsidRPr="00AB5B90">
        <w:rPr>
          <w:sz w:val="22"/>
          <w:szCs w:val="22"/>
          <w:lang w:val="sr-Latn-ME"/>
        </w:rPr>
        <w:t>l</w:t>
      </w:r>
      <w:r w:rsidRPr="00AB5B90">
        <w:rPr>
          <w:sz w:val="22"/>
          <w:szCs w:val="22"/>
          <w:lang w:val="sr-Latn-ME"/>
        </w:rPr>
        <w:t xml:space="preserve"> + 0,7 mg/10 m</w:t>
      </w:r>
      <w:r w:rsidR="0015101E" w:rsidRPr="00AB5B90">
        <w:rPr>
          <w:sz w:val="22"/>
          <w:szCs w:val="22"/>
          <w:lang w:val="sr-Latn-ME"/>
        </w:rPr>
        <w:t>l</w:t>
      </w:r>
      <w:r w:rsidRPr="00AB5B90">
        <w:rPr>
          <w:sz w:val="22"/>
          <w:szCs w:val="22"/>
          <w:lang w:val="sr-Latn-ME"/>
        </w:rPr>
        <w:t>, oralni rastvor</w:t>
      </w:r>
    </w:p>
    <w:p w14:paraId="68F40C22" w14:textId="77777777" w:rsidR="000D425A" w:rsidRPr="00AB5B90" w:rsidRDefault="000D425A" w:rsidP="003E5B22">
      <w:pPr>
        <w:jc w:val="both"/>
        <w:rPr>
          <w:bCs/>
          <w:sz w:val="22"/>
          <w:szCs w:val="22"/>
          <w:lang w:val="sr-Latn-ME"/>
        </w:rPr>
      </w:pPr>
    </w:p>
    <w:p w14:paraId="758268A3" w14:textId="7F12198F" w:rsidR="006D20A5" w:rsidRPr="00AB5B90" w:rsidRDefault="00C11F0A" w:rsidP="003E5B22">
      <w:pPr>
        <w:jc w:val="both"/>
        <w:rPr>
          <w:sz w:val="22"/>
          <w:szCs w:val="22"/>
          <w:lang w:val="sr-Latn-ME"/>
        </w:rPr>
      </w:pPr>
      <w:proofErr w:type="spellStart"/>
      <w:r>
        <w:rPr>
          <w:sz w:val="22"/>
          <w:szCs w:val="22"/>
          <w:lang w:val="sr-Latn-ME"/>
        </w:rPr>
        <w:t>INN</w:t>
      </w:r>
      <w:proofErr w:type="spellEnd"/>
      <w:r>
        <w:rPr>
          <w:sz w:val="22"/>
          <w:szCs w:val="22"/>
          <w:lang w:val="sr-Latn-ME"/>
        </w:rPr>
        <w:t xml:space="preserve">: </w:t>
      </w:r>
      <w:r w:rsidR="0015101E" w:rsidRPr="00AB5B90">
        <w:rPr>
          <w:sz w:val="22"/>
          <w:szCs w:val="22"/>
          <w:lang w:val="sr-Latn-ME"/>
        </w:rPr>
        <w:t>g</w:t>
      </w:r>
      <w:r w:rsidR="00527351" w:rsidRPr="00AB5B90">
        <w:rPr>
          <w:sz w:val="22"/>
          <w:szCs w:val="22"/>
          <w:lang w:val="sr-Latn-ME"/>
        </w:rPr>
        <w:t>vožđe</w:t>
      </w:r>
      <w:r w:rsidR="0015101E" w:rsidRPr="00AB5B90">
        <w:rPr>
          <w:sz w:val="22"/>
          <w:szCs w:val="22"/>
          <w:lang w:val="sr-Latn-ME"/>
        </w:rPr>
        <w:t xml:space="preserve"> (II) </w:t>
      </w:r>
      <w:proofErr w:type="spellStart"/>
      <w:r w:rsidR="0015101E" w:rsidRPr="00AB5B90">
        <w:rPr>
          <w:sz w:val="22"/>
          <w:szCs w:val="22"/>
          <w:lang w:val="sr-Latn-ME"/>
        </w:rPr>
        <w:t>glukonat</w:t>
      </w:r>
      <w:proofErr w:type="spellEnd"/>
      <w:r w:rsidR="00527351" w:rsidRPr="00AB5B90">
        <w:rPr>
          <w:sz w:val="22"/>
          <w:szCs w:val="22"/>
          <w:lang w:val="sr-Latn-ME"/>
        </w:rPr>
        <w:t>,</w:t>
      </w:r>
      <w:r w:rsidR="000B44AA" w:rsidRPr="00AB5B90">
        <w:rPr>
          <w:sz w:val="22"/>
          <w:szCs w:val="22"/>
          <w:lang w:val="sr-Latn-ME"/>
        </w:rPr>
        <w:t xml:space="preserve"> hidrat</w:t>
      </w:r>
      <w:r w:rsidR="00B2622D" w:rsidRPr="00AB5B90">
        <w:rPr>
          <w:sz w:val="22"/>
          <w:szCs w:val="22"/>
          <w:lang w:val="sr-Latn-ME"/>
        </w:rPr>
        <w:t>,</w:t>
      </w:r>
      <w:r w:rsidR="00527351" w:rsidRPr="00AB5B90">
        <w:rPr>
          <w:sz w:val="22"/>
          <w:szCs w:val="22"/>
          <w:lang w:val="sr-Latn-ME"/>
        </w:rPr>
        <w:t xml:space="preserve"> mangan</w:t>
      </w:r>
      <w:r w:rsidR="0015101E" w:rsidRPr="00AB5B90">
        <w:rPr>
          <w:sz w:val="22"/>
          <w:szCs w:val="22"/>
          <w:lang w:val="sr-Latn-ME"/>
        </w:rPr>
        <w:t xml:space="preserve"> </w:t>
      </w:r>
      <w:proofErr w:type="spellStart"/>
      <w:r w:rsidR="0015101E" w:rsidRPr="00AB5B90">
        <w:rPr>
          <w:sz w:val="22"/>
          <w:szCs w:val="22"/>
          <w:lang w:val="sr-Latn-ME"/>
        </w:rPr>
        <w:t>glukonat</w:t>
      </w:r>
      <w:proofErr w:type="spellEnd"/>
      <w:r w:rsidR="00B2622D" w:rsidRPr="00AB5B90">
        <w:rPr>
          <w:sz w:val="22"/>
          <w:szCs w:val="22"/>
          <w:lang w:val="sr-Latn-ME"/>
        </w:rPr>
        <w:t>,</w:t>
      </w:r>
      <w:r w:rsidR="00527351" w:rsidRPr="00AB5B90">
        <w:rPr>
          <w:sz w:val="22"/>
          <w:szCs w:val="22"/>
          <w:lang w:val="sr-Latn-ME"/>
        </w:rPr>
        <w:t xml:space="preserve"> bakar</w:t>
      </w:r>
      <w:r w:rsidR="0015101E" w:rsidRPr="00AB5B90">
        <w:rPr>
          <w:sz w:val="22"/>
          <w:szCs w:val="22"/>
          <w:lang w:val="sr-Latn-ME"/>
        </w:rPr>
        <w:t xml:space="preserve"> </w:t>
      </w:r>
      <w:proofErr w:type="spellStart"/>
      <w:r w:rsidR="0015101E" w:rsidRPr="00AB5B90">
        <w:rPr>
          <w:sz w:val="22"/>
          <w:szCs w:val="22"/>
          <w:lang w:val="sr-Latn-ME"/>
        </w:rPr>
        <w:t>glukonat</w:t>
      </w:r>
      <w:proofErr w:type="spellEnd"/>
    </w:p>
    <w:p w14:paraId="26F531D3" w14:textId="77777777" w:rsidR="006D20A5" w:rsidRPr="00AB5B90" w:rsidRDefault="006D20A5" w:rsidP="003E5B22">
      <w:pPr>
        <w:jc w:val="both"/>
        <w:rPr>
          <w:bCs/>
          <w:sz w:val="22"/>
          <w:szCs w:val="22"/>
          <w:lang w:val="sr-Latn-ME"/>
        </w:rPr>
      </w:pPr>
    </w:p>
    <w:p w14:paraId="278521D4" w14:textId="77777777" w:rsidR="00530BD7" w:rsidRPr="00AB5B90" w:rsidRDefault="00530BD7" w:rsidP="003E5B22">
      <w:pPr>
        <w:jc w:val="both"/>
        <w:rPr>
          <w:bCs/>
          <w:sz w:val="22"/>
          <w:szCs w:val="22"/>
          <w:lang w:val="sr-Latn-ME"/>
        </w:rPr>
      </w:pPr>
    </w:p>
    <w:p w14:paraId="396F8201" w14:textId="77777777" w:rsidR="00411B4B" w:rsidRPr="00AB5B90" w:rsidRDefault="00411B4B" w:rsidP="003E5B22">
      <w:pPr>
        <w:tabs>
          <w:tab w:val="left" w:pos="540"/>
          <w:tab w:val="left" w:pos="569"/>
        </w:tabs>
        <w:jc w:val="both"/>
        <w:rPr>
          <w:b/>
          <w:bCs/>
          <w:sz w:val="22"/>
          <w:szCs w:val="22"/>
          <w:lang w:val="sr-Latn-ME"/>
        </w:rPr>
      </w:pPr>
      <w:r w:rsidRPr="00AB5B90">
        <w:rPr>
          <w:b/>
          <w:bCs/>
          <w:sz w:val="22"/>
          <w:szCs w:val="22"/>
          <w:lang w:val="sr-Latn-ME"/>
        </w:rPr>
        <w:t xml:space="preserve">2. </w:t>
      </w:r>
      <w:r w:rsidR="00F5167F" w:rsidRPr="00AB5B90">
        <w:rPr>
          <w:b/>
          <w:bCs/>
          <w:sz w:val="22"/>
          <w:szCs w:val="22"/>
          <w:lang w:val="sr-Latn-ME"/>
        </w:rPr>
        <w:tab/>
      </w:r>
      <w:r w:rsidRPr="00AB5B90">
        <w:rPr>
          <w:b/>
          <w:bCs/>
          <w:sz w:val="22"/>
          <w:szCs w:val="22"/>
          <w:lang w:val="sr-Latn-ME"/>
        </w:rPr>
        <w:t>KVALITATIVNI I KVANTITATIVNI SASTAV</w:t>
      </w:r>
    </w:p>
    <w:p w14:paraId="05DB3EDA" w14:textId="77777777" w:rsidR="005A0B2E" w:rsidRPr="00AB5B90" w:rsidRDefault="005A0B2E" w:rsidP="003E5B22">
      <w:pPr>
        <w:jc w:val="both"/>
        <w:rPr>
          <w:sz w:val="22"/>
          <w:szCs w:val="22"/>
          <w:lang w:val="sr-Latn-ME"/>
        </w:rPr>
      </w:pPr>
    </w:p>
    <w:p w14:paraId="0EF326A6" w14:textId="4D5F4361" w:rsidR="0082596C" w:rsidRPr="00AB5B90" w:rsidRDefault="00AB5B90" w:rsidP="002C4CC9">
      <w:pPr>
        <w:ind w:left="72" w:hanging="72"/>
        <w:jc w:val="both"/>
        <w:rPr>
          <w:sz w:val="22"/>
          <w:szCs w:val="22"/>
          <w:lang w:val="sr-Latn-ME"/>
        </w:rPr>
      </w:pPr>
      <w:r>
        <w:rPr>
          <w:sz w:val="22"/>
          <w:szCs w:val="22"/>
          <w:lang w:val="sr-Latn-ME"/>
        </w:rPr>
        <w:t xml:space="preserve"> </w:t>
      </w:r>
      <w:r w:rsidR="006A30A4" w:rsidRPr="00AB5B90">
        <w:rPr>
          <w:sz w:val="22"/>
          <w:szCs w:val="22"/>
          <w:lang w:val="sr-Latn-ME"/>
        </w:rPr>
        <w:t>Jedna ampula sa 10 m</w:t>
      </w:r>
      <w:r w:rsidR="0015101E" w:rsidRPr="00AB5B90">
        <w:rPr>
          <w:sz w:val="22"/>
          <w:szCs w:val="22"/>
          <w:lang w:val="sr-Latn-ME"/>
        </w:rPr>
        <w:t>l</w:t>
      </w:r>
      <w:r w:rsidR="006A30A4" w:rsidRPr="00AB5B90">
        <w:rPr>
          <w:sz w:val="22"/>
          <w:szCs w:val="22"/>
          <w:lang w:val="sr-Latn-ME"/>
        </w:rPr>
        <w:t xml:space="preserve"> rastvora sadrži</w:t>
      </w:r>
      <w:r w:rsidR="0082596C" w:rsidRPr="00AB5B90">
        <w:rPr>
          <w:sz w:val="22"/>
          <w:szCs w:val="22"/>
          <w:lang w:val="sr-Latn-ME"/>
        </w:rPr>
        <w:t xml:space="preserve"> 50,00 mg gvožđa (u obliku gvožđe (II)</w:t>
      </w:r>
      <w:r w:rsidR="002C4CC9" w:rsidRPr="00AB5B90">
        <w:rPr>
          <w:sz w:val="22"/>
          <w:szCs w:val="22"/>
          <w:lang w:val="sr-Latn-ME"/>
        </w:rPr>
        <w:t xml:space="preserve"> </w:t>
      </w:r>
      <w:proofErr w:type="spellStart"/>
      <w:r w:rsidR="0082596C" w:rsidRPr="00AB5B90">
        <w:rPr>
          <w:sz w:val="22"/>
          <w:szCs w:val="22"/>
          <w:lang w:val="sr-Latn-ME"/>
        </w:rPr>
        <w:t>glukonat</w:t>
      </w:r>
      <w:proofErr w:type="spellEnd"/>
      <w:r w:rsidR="00BF105A" w:rsidRPr="00AB5B90">
        <w:rPr>
          <w:sz w:val="22"/>
          <w:szCs w:val="22"/>
          <w:lang w:val="sr-Latn-ME"/>
        </w:rPr>
        <w:t>, hidrata</w:t>
      </w:r>
      <w:r w:rsidR="0082596C" w:rsidRPr="00AB5B90">
        <w:rPr>
          <w:sz w:val="22"/>
          <w:szCs w:val="22"/>
          <w:lang w:val="sr-Latn-ME"/>
        </w:rPr>
        <w:t xml:space="preserve"> 399,73</w:t>
      </w:r>
      <w:r w:rsidR="002C4CC9" w:rsidRPr="00AB5B90">
        <w:rPr>
          <w:sz w:val="22"/>
          <w:szCs w:val="22"/>
          <w:lang w:val="sr-Latn-ME"/>
        </w:rPr>
        <w:t xml:space="preserve"> </w:t>
      </w:r>
      <w:r w:rsidR="0082596C" w:rsidRPr="00AB5B90">
        <w:rPr>
          <w:sz w:val="22"/>
          <w:szCs w:val="22"/>
          <w:lang w:val="sr-Latn-ME"/>
        </w:rPr>
        <w:t>mg)</w:t>
      </w:r>
      <w:r w:rsidR="002C4CC9" w:rsidRPr="00AB5B90">
        <w:rPr>
          <w:sz w:val="22"/>
          <w:szCs w:val="22"/>
          <w:lang w:val="sr-Latn-ME"/>
        </w:rPr>
        <w:t>;</w:t>
      </w:r>
      <w:r w:rsidR="0082596C" w:rsidRPr="00AB5B90">
        <w:rPr>
          <w:sz w:val="22"/>
          <w:szCs w:val="22"/>
          <w:lang w:val="sr-Latn-ME"/>
        </w:rPr>
        <w:t xml:space="preserve"> 1,33 mg mangana (u obliku mangan</w:t>
      </w:r>
      <w:r w:rsidR="002C4CC9" w:rsidRPr="00AB5B90">
        <w:rPr>
          <w:sz w:val="22"/>
          <w:szCs w:val="22"/>
          <w:lang w:val="sr-Latn-ME"/>
        </w:rPr>
        <w:t xml:space="preserve"> </w:t>
      </w:r>
      <w:proofErr w:type="spellStart"/>
      <w:r w:rsidR="0082596C" w:rsidRPr="00AB5B90">
        <w:rPr>
          <w:sz w:val="22"/>
          <w:szCs w:val="22"/>
          <w:lang w:val="sr-Latn-ME"/>
        </w:rPr>
        <w:t>glukonata</w:t>
      </w:r>
      <w:proofErr w:type="spellEnd"/>
      <w:r w:rsidR="0082596C" w:rsidRPr="00AB5B90">
        <w:rPr>
          <w:sz w:val="22"/>
          <w:szCs w:val="22"/>
          <w:lang w:val="sr-Latn-ME"/>
        </w:rPr>
        <w:t xml:space="preserve"> 10,78 mg)</w:t>
      </w:r>
      <w:r w:rsidR="002C4CC9" w:rsidRPr="00AB5B90">
        <w:rPr>
          <w:sz w:val="22"/>
          <w:szCs w:val="22"/>
          <w:lang w:val="sr-Latn-ME"/>
        </w:rPr>
        <w:t xml:space="preserve"> i</w:t>
      </w:r>
      <w:r w:rsidR="0082596C" w:rsidRPr="00AB5B90">
        <w:rPr>
          <w:sz w:val="22"/>
          <w:szCs w:val="22"/>
          <w:lang w:val="sr-Latn-ME"/>
        </w:rPr>
        <w:t xml:space="preserve"> 0,70 mg bakra (u obliku bakar </w:t>
      </w:r>
      <w:proofErr w:type="spellStart"/>
      <w:r w:rsidR="0082596C" w:rsidRPr="00AB5B90">
        <w:rPr>
          <w:sz w:val="22"/>
          <w:szCs w:val="22"/>
          <w:lang w:val="sr-Latn-ME"/>
        </w:rPr>
        <w:t>glukonata</w:t>
      </w:r>
      <w:proofErr w:type="spellEnd"/>
      <w:r w:rsidR="0082596C" w:rsidRPr="00AB5B90">
        <w:rPr>
          <w:sz w:val="22"/>
          <w:szCs w:val="22"/>
          <w:lang w:val="sr-Latn-ME"/>
        </w:rPr>
        <w:t xml:space="preserve"> 5,00 mg).</w:t>
      </w:r>
    </w:p>
    <w:p w14:paraId="3647DEB2" w14:textId="77777777" w:rsidR="006A30A4" w:rsidRPr="00AB5B90" w:rsidRDefault="006A30A4" w:rsidP="003E5B22">
      <w:pPr>
        <w:ind w:left="72" w:hanging="72"/>
        <w:jc w:val="both"/>
        <w:rPr>
          <w:sz w:val="22"/>
          <w:szCs w:val="22"/>
          <w:lang w:val="sr-Latn-ME"/>
        </w:rPr>
      </w:pPr>
    </w:p>
    <w:p w14:paraId="7E3720BA" w14:textId="081645D2" w:rsidR="006A30A4" w:rsidRPr="00AB5B90" w:rsidRDefault="00AB5B90" w:rsidP="003E5B22">
      <w:pPr>
        <w:ind w:left="72" w:hanging="72"/>
        <w:jc w:val="both"/>
        <w:rPr>
          <w:sz w:val="22"/>
          <w:szCs w:val="22"/>
          <w:lang w:val="sr-Latn-ME"/>
        </w:rPr>
      </w:pPr>
      <w:r>
        <w:rPr>
          <w:sz w:val="22"/>
          <w:szCs w:val="22"/>
          <w:lang w:val="sr-Latn-ME"/>
        </w:rPr>
        <w:t xml:space="preserve"> </w:t>
      </w:r>
      <w:r w:rsidR="006A30A4" w:rsidRPr="00AB5B90">
        <w:rPr>
          <w:sz w:val="22"/>
          <w:szCs w:val="22"/>
          <w:lang w:val="sr-Latn-ME"/>
        </w:rPr>
        <w:t>Pomoćne supstance sa potvrđenim dejstvom: glukoza</w:t>
      </w:r>
      <w:r w:rsidR="00FE573D" w:rsidRPr="00AB5B90">
        <w:rPr>
          <w:sz w:val="22"/>
          <w:szCs w:val="22"/>
          <w:lang w:val="sr-Latn-ME"/>
        </w:rPr>
        <w:t xml:space="preserve"> (</w:t>
      </w:r>
      <w:r w:rsidR="00E5133A" w:rsidRPr="00AB5B90">
        <w:rPr>
          <w:sz w:val="22"/>
          <w:szCs w:val="22"/>
          <w:lang w:val="sr-Latn-ME"/>
        </w:rPr>
        <w:t>99</w:t>
      </w:r>
      <w:r w:rsidR="00FE573D" w:rsidRPr="00AB5B90">
        <w:rPr>
          <w:sz w:val="22"/>
          <w:szCs w:val="22"/>
          <w:lang w:val="sr-Latn-ME"/>
        </w:rPr>
        <w:t xml:space="preserve"> mg/10 m</w:t>
      </w:r>
      <w:r w:rsidR="0015101E" w:rsidRPr="00AB5B90">
        <w:rPr>
          <w:sz w:val="22"/>
          <w:szCs w:val="22"/>
          <w:lang w:val="sr-Latn-ME"/>
        </w:rPr>
        <w:t>l</w:t>
      </w:r>
      <w:r w:rsidR="00FE573D" w:rsidRPr="00AB5B90">
        <w:rPr>
          <w:sz w:val="22"/>
          <w:szCs w:val="22"/>
          <w:lang w:val="sr-Latn-ME"/>
        </w:rPr>
        <w:t>)</w:t>
      </w:r>
      <w:r w:rsidR="006A30A4" w:rsidRPr="00AB5B90">
        <w:rPr>
          <w:sz w:val="22"/>
          <w:szCs w:val="22"/>
          <w:lang w:val="sr-Latn-ME"/>
        </w:rPr>
        <w:t>, saharoza</w:t>
      </w:r>
      <w:r w:rsidR="00FE573D" w:rsidRPr="00AB5B90">
        <w:rPr>
          <w:sz w:val="22"/>
          <w:szCs w:val="22"/>
          <w:lang w:val="sr-Latn-ME"/>
        </w:rPr>
        <w:t xml:space="preserve"> (3000 mg/10 m</w:t>
      </w:r>
      <w:r w:rsidR="0015101E" w:rsidRPr="00AB5B90">
        <w:rPr>
          <w:sz w:val="22"/>
          <w:szCs w:val="22"/>
          <w:lang w:val="sr-Latn-ME"/>
        </w:rPr>
        <w:t>l</w:t>
      </w:r>
      <w:r w:rsidR="00FE573D" w:rsidRPr="00AB5B90">
        <w:rPr>
          <w:sz w:val="22"/>
          <w:szCs w:val="22"/>
          <w:lang w:val="sr-Latn-ME"/>
        </w:rPr>
        <w:t>)</w:t>
      </w:r>
      <w:r w:rsidR="006A30A4" w:rsidRPr="00AB5B90">
        <w:rPr>
          <w:sz w:val="22"/>
          <w:szCs w:val="22"/>
          <w:lang w:val="sr-Latn-ME"/>
        </w:rPr>
        <w:t>, etanol</w:t>
      </w:r>
      <w:r w:rsidR="00FE573D" w:rsidRPr="00AB5B90">
        <w:rPr>
          <w:sz w:val="22"/>
          <w:szCs w:val="22"/>
          <w:lang w:val="sr-Latn-ME"/>
        </w:rPr>
        <w:t xml:space="preserve"> (108 mg/10 m</w:t>
      </w:r>
      <w:r w:rsidR="0015101E" w:rsidRPr="00AB5B90">
        <w:rPr>
          <w:sz w:val="22"/>
          <w:szCs w:val="22"/>
          <w:lang w:val="sr-Latn-ME"/>
        </w:rPr>
        <w:t>l</w:t>
      </w:r>
      <w:r w:rsidR="00FE573D" w:rsidRPr="00AB5B90">
        <w:rPr>
          <w:sz w:val="22"/>
          <w:szCs w:val="22"/>
          <w:lang w:val="sr-Latn-ME"/>
        </w:rPr>
        <w:t>)</w:t>
      </w:r>
      <w:r w:rsidR="002C4CC9" w:rsidRPr="00AB5B90">
        <w:rPr>
          <w:sz w:val="22"/>
          <w:szCs w:val="22"/>
          <w:lang w:val="sr-Latn-ME"/>
        </w:rPr>
        <w:t xml:space="preserve"> i</w:t>
      </w:r>
      <w:r w:rsidR="00E5133A" w:rsidRPr="00AB5B90">
        <w:rPr>
          <w:sz w:val="22"/>
          <w:szCs w:val="22"/>
          <w:lang w:val="sr-Latn-ME"/>
        </w:rPr>
        <w:t xml:space="preserve"> natrijum</w:t>
      </w:r>
      <w:r w:rsidR="002C4CC9" w:rsidRPr="00AB5B90">
        <w:rPr>
          <w:sz w:val="22"/>
          <w:szCs w:val="22"/>
          <w:lang w:val="sr-Latn-ME"/>
        </w:rPr>
        <w:t xml:space="preserve"> </w:t>
      </w:r>
      <w:proofErr w:type="spellStart"/>
      <w:r w:rsidR="00E5133A" w:rsidRPr="00AB5B90">
        <w:rPr>
          <w:sz w:val="22"/>
          <w:szCs w:val="22"/>
          <w:lang w:val="sr-Latn-ME"/>
        </w:rPr>
        <w:t>benzoat</w:t>
      </w:r>
      <w:proofErr w:type="spellEnd"/>
      <w:r w:rsidR="00E5133A" w:rsidRPr="00AB5B90">
        <w:rPr>
          <w:sz w:val="22"/>
          <w:szCs w:val="22"/>
          <w:lang w:val="sr-Latn-ME"/>
        </w:rPr>
        <w:t xml:space="preserve"> (20 mg/10 m</w:t>
      </w:r>
      <w:r w:rsidR="0015101E" w:rsidRPr="00AB5B90">
        <w:rPr>
          <w:sz w:val="22"/>
          <w:szCs w:val="22"/>
          <w:lang w:val="sr-Latn-ME"/>
        </w:rPr>
        <w:t>l</w:t>
      </w:r>
      <w:r w:rsidR="00E5133A" w:rsidRPr="00AB5B90">
        <w:rPr>
          <w:sz w:val="22"/>
          <w:szCs w:val="22"/>
          <w:lang w:val="sr-Latn-ME"/>
        </w:rPr>
        <w:t>).</w:t>
      </w:r>
    </w:p>
    <w:p w14:paraId="6352B902" w14:textId="77777777" w:rsidR="006A30A4" w:rsidRPr="00AB5B90" w:rsidRDefault="006A30A4" w:rsidP="003E5B22">
      <w:pPr>
        <w:jc w:val="both"/>
        <w:rPr>
          <w:sz w:val="22"/>
          <w:szCs w:val="22"/>
          <w:lang w:val="sr-Latn-ME"/>
        </w:rPr>
      </w:pPr>
    </w:p>
    <w:p w14:paraId="4706E68B" w14:textId="46137E4B" w:rsidR="0003793F" w:rsidRPr="00AB5B90" w:rsidRDefault="00AB5B90" w:rsidP="003E5B22">
      <w:pPr>
        <w:jc w:val="both"/>
        <w:rPr>
          <w:sz w:val="22"/>
          <w:szCs w:val="22"/>
          <w:lang w:val="sr-Latn-ME"/>
        </w:rPr>
      </w:pPr>
      <w:r>
        <w:rPr>
          <w:sz w:val="22"/>
          <w:szCs w:val="22"/>
          <w:lang w:val="sr-Latn-ME"/>
        </w:rPr>
        <w:t xml:space="preserve">  </w:t>
      </w:r>
      <w:r w:rsidR="0003793F" w:rsidRPr="00AB5B90">
        <w:rPr>
          <w:sz w:val="22"/>
          <w:szCs w:val="22"/>
          <w:lang w:val="sr-Latn-ME"/>
        </w:rPr>
        <w:t xml:space="preserve">Za spisak svih </w:t>
      </w:r>
      <w:proofErr w:type="spellStart"/>
      <w:r w:rsidR="0003793F" w:rsidRPr="00AB5B90">
        <w:rPr>
          <w:sz w:val="22"/>
          <w:szCs w:val="22"/>
          <w:lang w:val="sr-Latn-ME"/>
        </w:rPr>
        <w:t>ekscipijenasa</w:t>
      </w:r>
      <w:proofErr w:type="spellEnd"/>
      <w:r w:rsidR="0003793F" w:rsidRPr="00AB5B90">
        <w:rPr>
          <w:sz w:val="22"/>
          <w:szCs w:val="22"/>
          <w:lang w:val="sr-Latn-ME"/>
        </w:rPr>
        <w:t>, pogledati dio 6.1.</w:t>
      </w:r>
    </w:p>
    <w:p w14:paraId="6EC748EC" w14:textId="77777777" w:rsidR="0003793F" w:rsidRPr="00AB5B90" w:rsidRDefault="0003793F" w:rsidP="003E5B22">
      <w:pPr>
        <w:jc w:val="both"/>
        <w:rPr>
          <w:sz w:val="22"/>
          <w:szCs w:val="22"/>
          <w:lang w:val="sr-Latn-ME"/>
        </w:rPr>
      </w:pPr>
    </w:p>
    <w:p w14:paraId="6E456B2F" w14:textId="77777777" w:rsidR="00C37FD7" w:rsidRPr="00AB5B90" w:rsidRDefault="00C37FD7" w:rsidP="003E5B22">
      <w:pPr>
        <w:jc w:val="both"/>
        <w:rPr>
          <w:sz w:val="22"/>
          <w:szCs w:val="22"/>
          <w:lang w:val="sr-Latn-ME"/>
        </w:rPr>
      </w:pPr>
    </w:p>
    <w:p w14:paraId="782DE82D" w14:textId="77777777" w:rsidR="00411B4B" w:rsidRPr="00AB5B90" w:rsidRDefault="00411B4B" w:rsidP="003E5B22">
      <w:pPr>
        <w:tabs>
          <w:tab w:val="left" w:pos="540"/>
          <w:tab w:val="left" w:pos="569"/>
        </w:tabs>
        <w:jc w:val="both"/>
        <w:rPr>
          <w:b/>
          <w:bCs/>
          <w:sz w:val="22"/>
          <w:szCs w:val="22"/>
          <w:lang w:val="sr-Latn-ME"/>
        </w:rPr>
      </w:pPr>
      <w:r w:rsidRPr="00AB5B90">
        <w:rPr>
          <w:b/>
          <w:bCs/>
          <w:sz w:val="22"/>
          <w:szCs w:val="22"/>
          <w:lang w:val="sr-Latn-ME"/>
        </w:rPr>
        <w:t xml:space="preserve">3. </w:t>
      </w:r>
      <w:r w:rsidR="00F5167F" w:rsidRPr="00AB5B90">
        <w:rPr>
          <w:b/>
          <w:bCs/>
          <w:sz w:val="22"/>
          <w:szCs w:val="22"/>
          <w:lang w:val="sr-Latn-ME"/>
        </w:rPr>
        <w:tab/>
      </w:r>
      <w:r w:rsidRPr="00AB5B90">
        <w:rPr>
          <w:b/>
          <w:bCs/>
          <w:sz w:val="22"/>
          <w:szCs w:val="22"/>
          <w:lang w:val="sr-Latn-ME"/>
        </w:rPr>
        <w:t>FARMACEUTSKI OBLIK</w:t>
      </w:r>
      <w:r w:rsidR="009F2D23" w:rsidRPr="00AB5B90">
        <w:rPr>
          <w:b/>
          <w:bCs/>
          <w:sz w:val="22"/>
          <w:szCs w:val="22"/>
          <w:lang w:val="sr-Latn-ME"/>
        </w:rPr>
        <w:t xml:space="preserve"> </w:t>
      </w:r>
    </w:p>
    <w:p w14:paraId="1430FB2A" w14:textId="77777777" w:rsidR="00411B4B" w:rsidRPr="00AB5B90" w:rsidRDefault="00411B4B" w:rsidP="003E5B22">
      <w:pPr>
        <w:jc w:val="both"/>
        <w:rPr>
          <w:bCs/>
          <w:sz w:val="22"/>
          <w:szCs w:val="22"/>
          <w:lang w:val="sr-Latn-ME"/>
        </w:rPr>
      </w:pPr>
    </w:p>
    <w:p w14:paraId="3DD4A434" w14:textId="49A5240E" w:rsidR="004E4816" w:rsidRPr="00AB5B90" w:rsidRDefault="004E4816" w:rsidP="003E5B22">
      <w:pPr>
        <w:pStyle w:val="Header"/>
        <w:tabs>
          <w:tab w:val="left" w:pos="284"/>
        </w:tabs>
        <w:jc w:val="both"/>
        <w:rPr>
          <w:sz w:val="22"/>
          <w:szCs w:val="22"/>
          <w:lang w:val="sr-Latn-ME"/>
        </w:rPr>
      </w:pPr>
      <w:r w:rsidRPr="00AB5B90">
        <w:rPr>
          <w:sz w:val="22"/>
          <w:szCs w:val="22"/>
          <w:lang w:val="sr-Latn-ME"/>
        </w:rPr>
        <w:t>Oralni rastvor</w:t>
      </w:r>
      <w:r w:rsidR="00B75A91" w:rsidRPr="00AB5B90">
        <w:rPr>
          <w:sz w:val="22"/>
          <w:szCs w:val="22"/>
          <w:lang w:val="sr-Latn-ME"/>
        </w:rPr>
        <w:t>.</w:t>
      </w:r>
    </w:p>
    <w:p w14:paraId="21AC44B8" w14:textId="5F650773" w:rsidR="004E4816" w:rsidRPr="00AB5B90" w:rsidRDefault="00B75A91" w:rsidP="003E5B22">
      <w:pPr>
        <w:jc w:val="both"/>
        <w:rPr>
          <w:sz w:val="22"/>
          <w:szCs w:val="22"/>
          <w:lang w:val="sr-Latn-ME"/>
        </w:rPr>
      </w:pPr>
      <w:r w:rsidRPr="00AB5B90">
        <w:rPr>
          <w:sz w:val="22"/>
          <w:szCs w:val="22"/>
          <w:lang w:val="sr-Latn-ME"/>
        </w:rPr>
        <w:t xml:space="preserve">Bistar </w:t>
      </w:r>
      <w:r w:rsidR="004E4816" w:rsidRPr="00AB5B90">
        <w:rPr>
          <w:sz w:val="22"/>
          <w:szCs w:val="22"/>
          <w:lang w:val="sr-Latn-ME"/>
        </w:rPr>
        <w:t xml:space="preserve">rastvor </w:t>
      </w:r>
      <w:proofErr w:type="spellStart"/>
      <w:r w:rsidR="004E4816" w:rsidRPr="00AB5B90">
        <w:rPr>
          <w:sz w:val="22"/>
          <w:szCs w:val="22"/>
          <w:lang w:val="sr-Latn-ME"/>
        </w:rPr>
        <w:t>tamnobraon</w:t>
      </w:r>
      <w:proofErr w:type="spellEnd"/>
      <w:r w:rsidR="004E4816" w:rsidRPr="00AB5B90">
        <w:rPr>
          <w:sz w:val="22"/>
          <w:szCs w:val="22"/>
          <w:lang w:val="sr-Latn-ME"/>
        </w:rPr>
        <w:t xml:space="preserve"> boje.</w:t>
      </w:r>
      <w:r w:rsidR="00FE573D" w:rsidRPr="00AB5B90">
        <w:rPr>
          <w:sz w:val="22"/>
          <w:szCs w:val="22"/>
          <w:lang w:val="sr-Latn-ME"/>
        </w:rPr>
        <w:t xml:space="preserve"> Moguće je prisustvo finog </w:t>
      </w:r>
      <w:proofErr w:type="spellStart"/>
      <w:r w:rsidR="00FE573D" w:rsidRPr="00AB5B90">
        <w:rPr>
          <w:sz w:val="22"/>
          <w:szCs w:val="22"/>
          <w:lang w:val="sr-Latn-ME"/>
        </w:rPr>
        <w:t>precipitata</w:t>
      </w:r>
      <w:proofErr w:type="spellEnd"/>
      <w:r w:rsidR="00FE573D" w:rsidRPr="00AB5B90">
        <w:rPr>
          <w:sz w:val="22"/>
          <w:szCs w:val="22"/>
          <w:lang w:val="sr-Latn-ME"/>
        </w:rPr>
        <w:t>.</w:t>
      </w:r>
    </w:p>
    <w:p w14:paraId="362034A1" w14:textId="18D8D1A7" w:rsidR="00EC2532" w:rsidRPr="00AB5B90" w:rsidRDefault="00EC2532" w:rsidP="003E5B22">
      <w:pPr>
        <w:jc w:val="both"/>
        <w:rPr>
          <w:bCs/>
          <w:sz w:val="22"/>
          <w:szCs w:val="22"/>
          <w:lang w:val="sr-Latn-ME"/>
        </w:rPr>
      </w:pPr>
    </w:p>
    <w:p w14:paraId="50EFA93E" w14:textId="77777777" w:rsidR="004E4816" w:rsidRPr="00AB5B90" w:rsidRDefault="004E4816" w:rsidP="003E5B22">
      <w:pPr>
        <w:jc w:val="both"/>
        <w:rPr>
          <w:bCs/>
          <w:sz w:val="22"/>
          <w:szCs w:val="22"/>
          <w:lang w:val="sr-Latn-ME"/>
        </w:rPr>
      </w:pPr>
    </w:p>
    <w:p w14:paraId="0C8FCB13" w14:textId="77777777" w:rsidR="00411B4B" w:rsidRPr="00AB5B90" w:rsidRDefault="00411B4B" w:rsidP="003E5B22">
      <w:pPr>
        <w:tabs>
          <w:tab w:val="left" w:pos="540"/>
          <w:tab w:val="left" w:pos="569"/>
        </w:tabs>
        <w:jc w:val="both"/>
        <w:rPr>
          <w:b/>
          <w:bCs/>
          <w:sz w:val="22"/>
          <w:szCs w:val="22"/>
          <w:lang w:val="sr-Latn-ME"/>
        </w:rPr>
      </w:pPr>
      <w:r w:rsidRPr="00AB5B90">
        <w:rPr>
          <w:b/>
          <w:bCs/>
          <w:sz w:val="22"/>
          <w:szCs w:val="22"/>
          <w:lang w:val="sr-Latn-ME"/>
        </w:rPr>
        <w:t xml:space="preserve">4. </w:t>
      </w:r>
      <w:r w:rsidR="00480FB1" w:rsidRPr="00AB5B90">
        <w:rPr>
          <w:b/>
          <w:bCs/>
          <w:sz w:val="22"/>
          <w:szCs w:val="22"/>
          <w:lang w:val="sr-Latn-ME"/>
        </w:rPr>
        <w:tab/>
      </w:r>
      <w:r w:rsidRPr="00AB5B90">
        <w:rPr>
          <w:b/>
          <w:bCs/>
          <w:sz w:val="22"/>
          <w:szCs w:val="22"/>
          <w:lang w:val="sr-Latn-ME"/>
        </w:rPr>
        <w:t>KLINIČKI PODACI</w:t>
      </w:r>
    </w:p>
    <w:p w14:paraId="036E4F6E" w14:textId="77777777" w:rsidR="00CD6F02" w:rsidRPr="00AB5B90" w:rsidRDefault="00CD6F02" w:rsidP="003E5B22">
      <w:pPr>
        <w:tabs>
          <w:tab w:val="left" w:pos="540"/>
          <w:tab w:val="left" w:pos="569"/>
        </w:tabs>
        <w:jc w:val="both"/>
        <w:rPr>
          <w:bCs/>
          <w:sz w:val="22"/>
          <w:szCs w:val="22"/>
          <w:lang w:val="sr-Latn-ME"/>
        </w:rPr>
      </w:pPr>
    </w:p>
    <w:p w14:paraId="39E9D2ED" w14:textId="7BE458D6" w:rsidR="00411B4B" w:rsidRPr="00AB5B90" w:rsidRDefault="00411B4B" w:rsidP="003E5B22">
      <w:pPr>
        <w:tabs>
          <w:tab w:val="left" w:pos="540"/>
          <w:tab w:val="left" w:pos="569"/>
        </w:tabs>
        <w:jc w:val="both"/>
        <w:rPr>
          <w:b/>
          <w:bCs/>
          <w:sz w:val="22"/>
          <w:szCs w:val="22"/>
          <w:lang w:val="sr-Latn-ME"/>
        </w:rPr>
      </w:pPr>
      <w:r w:rsidRPr="00AB5B90">
        <w:rPr>
          <w:b/>
          <w:bCs/>
          <w:sz w:val="22"/>
          <w:szCs w:val="22"/>
          <w:lang w:val="sr-Latn-ME"/>
        </w:rPr>
        <w:t xml:space="preserve">4.1. </w:t>
      </w:r>
      <w:r w:rsidR="00480FB1" w:rsidRPr="00AB5B90">
        <w:rPr>
          <w:b/>
          <w:bCs/>
          <w:sz w:val="22"/>
          <w:szCs w:val="22"/>
          <w:lang w:val="sr-Latn-ME"/>
        </w:rPr>
        <w:tab/>
      </w:r>
      <w:r w:rsidRPr="00AB5B90">
        <w:rPr>
          <w:b/>
          <w:bCs/>
          <w:sz w:val="22"/>
          <w:szCs w:val="22"/>
          <w:lang w:val="sr-Latn-ME"/>
        </w:rPr>
        <w:t>Terapijske indikacije</w:t>
      </w:r>
    </w:p>
    <w:p w14:paraId="02310394" w14:textId="77777777" w:rsidR="006A2B93" w:rsidRPr="00AB5B90" w:rsidRDefault="006A2B93" w:rsidP="003E5B22">
      <w:pPr>
        <w:tabs>
          <w:tab w:val="left" w:pos="540"/>
          <w:tab w:val="left" w:pos="569"/>
        </w:tabs>
        <w:jc w:val="both"/>
        <w:rPr>
          <w:b/>
          <w:bCs/>
          <w:sz w:val="22"/>
          <w:szCs w:val="22"/>
          <w:lang w:val="sr-Latn-ME"/>
        </w:rPr>
      </w:pPr>
    </w:p>
    <w:p w14:paraId="2A78CA0C" w14:textId="5CE335AD" w:rsidR="006A2B93" w:rsidRPr="00AB5B90" w:rsidRDefault="006A2B93" w:rsidP="003E5B22">
      <w:pPr>
        <w:pStyle w:val="Header"/>
        <w:numPr>
          <w:ilvl w:val="0"/>
          <w:numId w:val="13"/>
        </w:numPr>
        <w:tabs>
          <w:tab w:val="clear" w:pos="4320"/>
          <w:tab w:val="clear" w:pos="8640"/>
          <w:tab w:val="left" w:pos="284"/>
        </w:tabs>
        <w:jc w:val="both"/>
        <w:rPr>
          <w:sz w:val="22"/>
          <w:szCs w:val="22"/>
          <w:lang w:val="sr-Latn-ME"/>
        </w:rPr>
      </w:pPr>
      <w:r w:rsidRPr="00AB5B90">
        <w:rPr>
          <w:sz w:val="22"/>
          <w:szCs w:val="22"/>
          <w:lang w:val="sr-Latn-ME"/>
        </w:rPr>
        <w:t xml:space="preserve">Liječenje anemije </w:t>
      </w:r>
      <w:proofErr w:type="spellStart"/>
      <w:r w:rsidRPr="00AB5B90">
        <w:rPr>
          <w:sz w:val="22"/>
          <w:szCs w:val="22"/>
          <w:lang w:val="sr-Latn-ME"/>
        </w:rPr>
        <w:t>usljed</w:t>
      </w:r>
      <w:proofErr w:type="spellEnd"/>
      <w:r w:rsidRPr="00AB5B90">
        <w:rPr>
          <w:sz w:val="22"/>
          <w:szCs w:val="22"/>
          <w:lang w:val="sr-Latn-ME"/>
        </w:rPr>
        <w:t xml:space="preserve"> nedostatka gvožđa kod odraslih, djece i odojčadi.</w:t>
      </w:r>
    </w:p>
    <w:p w14:paraId="76EC056C" w14:textId="3D609C2B" w:rsidR="006A2B93" w:rsidRPr="00AB5B90" w:rsidRDefault="006A2B93" w:rsidP="003E5B22">
      <w:pPr>
        <w:pStyle w:val="ListParagraph"/>
        <w:numPr>
          <w:ilvl w:val="0"/>
          <w:numId w:val="13"/>
        </w:numPr>
        <w:tabs>
          <w:tab w:val="left" w:pos="851"/>
        </w:tabs>
        <w:jc w:val="both"/>
        <w:rPr>
          <w:sz w:val="22"/>
          <w:szCs w:val="22"/>
          <w:lang w:val="sr-Latn-ME"/>
        </w:rPr>
      </w:pPr>
      <w:r w:rsidRPr="00AB5B90">
        <w:rPr>
          <w:sz w:val="22"/>
          <w:szCs w:val="22"/>
          <w:lang w:val="sr-Latn-ME"/>
        </w:rPr>
        <w:t xml:space="preserve">Prevencija i liječenje nedostatka gvožđa kod trudnica, prijevremeno rođene </w:t>
      </w:r>
      <w:proofErr w:type="spellStart"/>
      <w:r w:rsidRPr="00AB5B90">
        <w:rPr>
          <w:sz w:val="22"/>
          <w:szCs w:val="22"/>
          <w:lang w:val="sr-Latn-ME"/>
        </w:rPr>
        <w:t>novoronđenčadi</w:t>
      </w:r>
      <w:proofErr w:type="spellEnd"/>
      <w:r w:rsidRPr="00AB5B90">
        <w:rPr>
          <w:sz w:val="22"/>
          <w:szCs w:val="22"/>
          <w:lang w:val="sr-Latn-ME"/>
        </w:rPr>
        <w:t>, blizanaca ili odojčadi čije su majke imale nedostatak gvožđa, kada je unos gvožđa hranom nedovoljan.</w:t>
      </w:r>
    </w:p>
    <w:p w14:paraId="5A4DAF21" w14:textId="77777777" w:rsidR="00411B4B" w:rsidRPr="00AB5B90" w:rsidRDefault="00411B4B" w:rsidP="003E5B22">
      <w:pPr>
        <w:tabs>
          <w:tab w:val="left" w:pos="540"/>
          <w:tab w:val="left" w:pos="569"/>
        </w:tabs>
        <w:jc w:val="both"/>
        <w:rPr>
          <w:bCs/>
          <w:sz w:val="22"/>
          <w:szCs w:val="22"/>
          <w:lang w:val="sr-Latn-ME"/>
        </w:rPr>
      </w:pPr>
    </w:p>
    <w:p w14:paraId="71446771" w14:textId="77777777" w:rsidR="00411B4B" w:rsidRPr="00AB5B90" w:rsidRDefault="00411B4B" w:rsidP="003E5B22">
      <w:pPr>
        <w:tabs>
          <w:tab w:val="left" w:pos="540"/>
          <w:tab w:val="left" w:pos="569"/>
        </w:tabs>
        <w:jc w:val="both"/>
        <w:rPr>
          <w:b/>
          <w:bCs/>
          <w:sz w:val="22"/>
          <w:szCs w:val="22"/>
          <w:lang w:val="sr-Latn-ME"/>
        </w:rPr>
      </w:pPr>
      <w:r w:rsidRPr="00AB5B90">
        <w:rPr>
          <w:b/>
          <w:bCs/>
          <w:sz w:val="22"/>
          <w:szCs w:val="22"/>
          <w:lang w:val="sr-Latn-ME"/>
        </w:rPr>
        <w:t xml:space="preserve">4.2. </w:t>
      </w:r>
      <w:r w:rsidR="00480FB1" w:rsidRPr="00AB5B90">
        <w:rPr>
          <w:b/>
          <w:bCs/>
          <w:sz w:val="22"/>
          <w:szCs w:val="22"/>
          <w:lang w:val="sr-Latn-ME"/>
        </w:rPr>
        <w:tab/>
      </w:r>
      <w:r w:rsidRPr="00AB5B90">
        <w:rPr>
          <w:b/>
          <w:bCs/>
          <w:sz w:val="22"/>
          <w:szCs w:val="22"/>
          <w:lang w:val="sr-Latn-ME"/>
        </w:rPr>
        <w:t>Doziranje i način primjene</w:t>
      </w:r>
    </w:p>
    <w:p w14:paraId="68414DD0" w14:textId="77777777" w:rsidR="0072020E" w:rsidRPr="00AB5B90" w:rsidRDefault="0072020E" w:rsidP="003E5B22">
      <w:pPr>
        <w:tabs>
          <w:tab w:val="left" w:pos="540"/>
          <w:tab w:val="left" w:pos="569"/>
        </w:tabs>
        <w:jc w:val="both"/>
        <w:rPr>
          <w:bCs/>
          <w:sz w:val="22"/>
          <w:szCs w:val="22"/>
          <w:lang w:val="sr-Latn-ME"/>
        </w:rPr>
      </w:pPr>
    </w:p>
    <w:p w14:paraId="5139C8C9" w14:textId="4A97BD5A" w:rsidR="00B72912" w:rsidRPr="00AB5B90" w:rsidRDefault="00452E9D" w:rsidP="003E5B22">
      <w:pPr>
        <w:tabs>
          <w:tab w:val="left" w:pos="540"/>
          <w:tab w:val="left" w:pos="569"/>
        </w:tabs>
        <w:jc w:val="both"/>
        <w:rPr>
          <w:b/>
          <w:sz w:val="22"/>
          <w:szCs w:val="22"/>
          <w:lang w:val="sr-Latn-ME"/>
        </w:rPr>
      </w:pPr>
      <w:r w:rsidRPr="00AB5B90">
        <w:rPr>
          <w:b/>
          <w:sz w:val="22"/>
          <w:szCs w:val="22"/>
          <w:lang w:val="sr-Latn-ME"/>
        </w:rPr>
        <w:t>Doziranje</w:t>
      </w:r>
    </w:p>
    <w:p w14:paraId="65E977F3" w14:textId="77777777" w:rsidR="004C0EF3" w:rsidRPr="00AB5B90" w:rsidRDefault="004C0EF3" w:rsidP="003E5B22">
      <w:pPr>
        <w:pStyle w:val="Header"/>
        <w:tabs>
          <w:tab w:val="left" w:pos="284"/>
        </w:tabs>
        <w:jc w:val="both"/>
        <w:rPr>
          <w:sz w:val="22"/>
          <w:szCs w:val="22"/>
          <w:lang w:val="sr-Latn-ME"/>
        </w:rPr>
      </w:pPr>
    </w:p>
    <w:p w14:paraId="199252CA" w14:textId="2C19694D" w:rsidR="004C0EF3" w:rsidRPr="00AB5B90" w:rsidRDefault="004C0EF3" w:rsidP="003E5B22">
      <w:pPr>
        <w:pStyle w:val="Header"/>
        <w:tabs>
          <w:tab w:val="left" w:pos="284"/>
        </w:tabs>
        <w:jc w:val="both"/>
        <w:rPr>
          <w:sz w:val="22"/>
          <w:szCs w:val="22"/>
          <w:lang w:val="sr-Latn-ME"/>
        </w:rPr>
      </w:pPr>
      <w:r w:rsidRPr="00AB5B90">
        <w:rPr>
          <w:sz w:val="22"/>
          <w:szCs w:val="22"/>
          <w:lang w:val="sr-Latn-ME"/>
        </w:rPr>
        <w:t>Jedna ampula sadrži 50 mg elementarnog gvožđa.</w:t>
      </w:r>
    </w:p>
    <w:p w14:paraId="3A47F9C4" w14:textId="77777777" w:rsidR="004915C6" w:rsidRPr="00AB5B90" w:rsidRDefault="004915C6" w:rsidP="003E5B22">
      <w:pPr>
        <w:tabs>
          <w:tab w:val="left" w:pos="540"/>
          <w:tab w:val="left" w:pos="569"/>
        </w:tabs>
        <w:jc w:val="both"/>
        <w:rPr>
          <w:bCs/>
          <w:sz w:val="22"/>
          <w:szCs w:val="22"/>
          <w:u w:val="single"/>
          <w:lang w:val="sr-Latn-ME"/>
        </w:rPr>
      </w:pPr>
    </w:p>
    <w:p w14:paraId="114BA116" w14:textId="138F219D" w:rsidR="00725973" w:rsidRPr="00AB5B90" w:rsidRDefault="00725973" w:rsidP="003E5B22">
      <w:pPr>
        <w:pStyle w:val="Header"/>
        <w:tabs>
          <w:tab w:val="left" w:pos="284"/>
        </w:tabs>
        <w:jc w:val="both"/>
        <w:rPr>
          <w:sz w:val="22"/>
          <w:szCs w:val="22"/>
          <w:lang w:val="sr-Latn-ME"/>
        </w:rPr>
      </w:pPr>
      <w:r w:rsidRPr="00AB5B90">
        <w:rPr>
          <w:b/>
          <w:sz w:val="22"/>
          <w:szCs w:val="22"/>
          <w:lang w:val="sr-Latn-ME"/>
        </w:rPr>
        <w:t xml:space="preserve">Liječenje anemije </w:t>
      </w:r>
      <w:proofErr w:type="spellStart"/>
      <w:r w:rsidRPr="00AB5B90">
        <w:rPr>
          <w:b/>
          <w:sz w:val="22"/>
          <w:szCs w:val="22"/>
          <w:lang w:val="sr-Latn-ME"/>
        </w:rPr>
        <w:t>usljed</w:t>
      </w:r>
      <w:proofErr w:type="spellEnd"/>
      <w:r w:rsidRPr="00AB5B90">
        <w:rPr>
          <w:b/>
          <w:sz w:val="22"/>
          <w:szCs w:val="22"/>
          <w:lang w:val="sr-Latn-ME"/>
        </w:rPr>
        <w:t xml:space="preserve"> nedostatka gvožđa</w:t>
      </w:r>
      <w:r w:rsidRPr="00AB5B90">
        <w:rPr>
          <w:sz w:val="22"/>
          <w:szCs w:val="22"/>
          <w:lang w:val="sr-Latn-ME"/>
        </w:rPr>
        <w:t>:</w:t>
      </w:r>
    </w:p>
    <w:p w14:paraId="50C4057C" w14:textId="41DBA2DD" w:rsidR="00105E0A" w:rsidRPr="00AB5B90" w:rsidRDefault="00105E0A" w:rsidP="003E5B22">
      <w:pPr>
        <w:tabs>
          <w:tab w:val="left" w:pos="284"/>
          <w:tab w:val="center" w:pos="4320"/>
          <w:tab w:val="right" w:pos="8640"/>
        </w:tabs>
        <w:jc w:val="both"/>
        <w:rPr>
          <w:sz w:val="22"/>
          <w:szCs w:val="22"/>
          <w:lang w:val="sr-Latn-ME"/>
        </w:rPr>
      </w:pPr>
      <w:r w:rsidRPr="00AB5B90">
        <w:rPr>
          <w:sz w:val="22"/>
          <w:szCs w:val="22"/>
          <w:u w:val="single"/>
          <w:lang w:val="sr-Latn-ME"/>
        </w:rPr>
        <w:t>Odojčad iznad 1 mjeseca starosti i djeca:</w:t>
      </w:r>
      <w:r w:rsidRPr="00AB5B90">
        <w:rPr>
          <w:sz w:val="22"/>
          <w:szCs w:val="22"/>
          <w:lang w:val="sr-Latn-ME"/>
        </w:rPr>
        <w:t xml:space="preserve"> 3 mg elementarnog gvožđa/kg/dan, ne prelazeći 60 mg.</w:t>
      </w:r>
    </w:p>
    <w:p w14:paraId="3D431DCE" w14:textId="4D8A1219" w:rsidR="004C0EF3" w:rsidRPr="00AB5B90" w:rsidRDefault="00725973" w:rsidP="003E5B22">
      <w:pPr>
        <w:pStyle w:val="Header"/>
        <w:tabs>
          <w:tab w:val="left" w:pos="284"/>
        </w:tabs>
        <w:jc w:val="both"/>
        <w:rPr>
          <w:sz w:val="22"/>
          <w:szCs w:val="22"/>
          <w:lang w:val="sr-Latn-ME"/>
        </w:rPr>
      </w:pPr>
      <w:r w:rsidRPr="00AB5B90">
        <w:rPr>
          <w:sz w:val="22"/>
          <w:szCs w:val="22"/>
          <w:u w:val="single"/>
          <w:lang w:val="sr-Latn-ME"/>
        </w:rPr>
        <w:t>Odrasli:</w:t>
      </w:r>
      <w:r w:rsidRPr="00AB5B90">
        <w:rPr>
          <w:sz w:val="22"/>
          <w:szCs w:val="22"/>
          <w:lang w:val="sr-Latn-ME"/>
        </w:rPr>
        <w:t xml:space="preserve"> 100-</w:t>
      </w:r>
      <w:r w:rsidR="00105E0A" w:rsidRPr="00AB5B90">
        <w:rPr>
          <w:sz w:val="22"/>
          <w:szCs w:val="22"/>
          <w:lang w:val="sr-Latn-ME"/>
        </w:rPr>
        <w:t>150</w:t>
      </w:r>
      <w:r w:rsidRPr="00AB5B90">
        <w:rPr>
          <w:sz w:val="22"/>
          <w:szCs w:val="22"/>
          <w:lang w:val="sr-Latn-ME"/>
        </w:rPr>
        <w:t xml:space="preserve"> mg elementarnog gvožđa dnevno, ili 2 do </w:t>
      </w:r>
      <w:r w:rsidR="00105E0A" w:rsidRPr="00AB5B90">
        <w:rPr>
          <w:sz w:val="22"/>
          <w:szCs w:val="22"/>
          <w:lang w:val="sr-Latn-ME"/>
        </w:rPr>
        <w:t>3</w:t>
      </w:r>
      <w:r w:rsidRPr="00AB5B90">
        <w:rPr>
          <w:sz w:val="22"/>
          <w:szCs w:val="22"/>
          <w:lang w:val="sr-Latn-ME"/>
        </w:rPr>
        <w:t xml:space="preserve"> ampule dnevno</w:t>
      </w:r>
      <w:r w:rsidR="004C0EF3" w:rsidRPr="00AB5B90">
        <w:rPr>
          <w:sz w:val="22"/>
          <w:szCs w:val="22"/>
          <w:lang w:val="sr-Latn-ME"/>
        </w:rPr>
        <w:t>, u jednoj ili pod</w:t>
      </w:r>
      <w:r w:rsidR="00DD323A" w:rsidRPr="00AB5B90">
        <w:rPr>
          <w:sz w:val="22"/>
          <w:szCs w:val="22"/>
          <w:lang w:val="sr-Latn-ME"/>
        </w:rPr>
        <w:t>ij</w:t>
      </w:r>
      <w:r w:rsidR="004C0EF3" w:rsidRPr="00AB5B90">
        <w:rPr>
          <w:sz w:val="22"/>
          <w:szCs w:val="22"/>
          <w:lang w:val="sr-Latn-ME"/>
        </w:rPr>
        <w:t>eljenim dozama.</w:t>
      </w:r>
    </w:p>
    <w:p w14:paraId="64DFF80B" w14:textId="77777777" w:rsidR="004C0EF3" w:rsidRPr="00AB5B90" w:rsidRDefault="004C0EF3" w:rsidP="003E5B22">
      <w:pPr>
        <w:pStyle w:val="Header"/>
        <w:tabs>
          <w:tab w:val="left" w:pos="284"/>
        </w:tabs>
        <w:jc w:val="both"/>
        <w:rPr>
          <w:i/>
          <w:iCs/>
          <w:sz w:val="22"/>
          <w:szCs w:val="22"/>
          <w:lang w:val="sr-Latn-ME"/>
        </w:rPr>
      </w:pPr>
    </w:p>
    <w:p w14:paraId="2CC5ED9E" w14:textId="37C6E8DB" w:rsidR="004C0EF3" w:rsidRPr="00AB5B90" w:rsidRDefault="004C0EF3" w:rsidP="003E5B22">
      <w:pPr>
        <w:pStyle w:val="Header"/>
        <w:tabs>
          <w:tab w:val="left" w:pos="284"/>
        </w:tabs>
        <w:jc w:val="both"/>
        <w:rPr>
          <w:i/>
          <w:iCs/>
          <w:sz w:val="22"/>
          <w:szCs w:val="22"/>
          <w:lang w:val="sr-Latn-ME"/>
        </w:rPr>
      </w:pPr>
      <w:r w:rsidRPr="00AB5B90">
        <w:rPr>
          <w:i/>
          <w:iCs/>
          <w:sz w:val="22"/>
          <w:szCs w:val="22"/>
          <w:lang w:val="sr-Latn-ME"/>
        </w:rPr>
        <w:t>Pacijenti sa oštećenom funkcijom bubrega:</w:t>
      </w:r>
    </w:p>
    <w:p w14:paraId="40399B25" w14:textId="7412F02C" w:rsidR="004C0EF3" w:rsidRPr="00AB5B90" w:rsidRDefault="004C0EF3" w:rsidP="003E5B22">
      <w:pPr>
        <w:pStyle w:val="Header"/>
        <w:tabs>
          <w:tab w:val="left" w:pos="284"/>
        </w:tabs>
        <w:jc w:val="both"/>
        <w:rPr>
          <w:sz w:val="22"/>
          <w:szCs w:val="22"/>
          <w:lang w:val="sr-Latn-ME"/>
        </w:rPr>
      </w:pPr>
      <w:r w:rsidRPr="00AB5B90">
        <w:rPr>
          <w:sz w:val="22"/>
          <w:szCs w:val="22"/>
          <w:lang w:val="sr-Latn-ME"/>
        </w:rPr>
        <w:t>Generalno nije potrebno prilagođavanje doze kod pacijenata sa oštećenom funkcijom bubrega (vid</w:t>
      </w:r>
      <w:r w:rsidR="00DD323A" w:rsidRPr="00AB5B90">
        <w:rPr>
          <w:sz w:val="22"/>
          <w:szCs w:val="22"/>
          <w:lang w:val="sr-Latn-ME"/>
        </w:rPr>
        <w:t>j</w:t>
      </w:r>
      <w:r w:rsidRPr="00AB5B90">
        <w:rPr>
          <w:sz w:val="22"/>
          <w:szCs w:val="22"/>
          <w:lang w:val="sr-Latn-ME"/>
        </w:rPr>
        <w:t>eti d</w:t>
      </w:r>
      <w:r w:rsidR="00DD323A" w:rsidRPr="00AB5B90">
        <w:rPr>
          <w:sz w:val="22"/>
          <w:szCs w:val="22"/>
          <w:lang w:val="sr-Latn-ME"/>
        </w:rPr>
        <w:t>i</w:t>
      </w:r>
      <w:r w:rsidRPr="00AB5B90">
        <w:rPr>
          <w:sz w:val="22"/>
          <w:szCs w:val="22"/>
          <w:lang w:val="sr-Latn-ME"/>
        </w:rPr>
        <w:t>o 4.4).</w:t>
      </w:r>
    </w:p>
    <w:p w14:paraId="7D019E9F" w14:textId="6B8BF56F" w:rsidR="004304C2" w:rsidRPr="00AB5B90" w:rsidRDefault="004304C2">
      <w:pPr>
        <w:rPr>
          <w:sz w:val="22"/>
          <w:szCs w:val="22"/>
          <w:lang w:val="sr-Latn-ME"/>
        </w:rPr>
      </w:pPr>
    </w:p>
    <w:p w14:paraId="422F4534" w14:textId="77777777" w:rsidR="004C0EF3" w:rsidRPr="00AB5B90" w:rsidRDefault="004C0EF3" w:rsidP="003E5B22">
      <w:pPr>
        <w:jc w:val="both"/>
        <w:rPr>
          <w:i/>
          <w:iCs/>
          <w:sz w:val="22"/>
          <w:szCs w:val="22"/>
          <w:lang w:val="sr-Latn-ME"/>
        </w:rPr>
      </w:pPr>
      <w:r w:rsidRPr="00AB5B90">
        <w:rPr>
          <w:i/>
          <w:iCs/>
          <w:sz w:val="22"/>
          <w:szCs w:val="22"/>
          <w:lang w:val="sr-Latn-ME"/>
        </w:rPr>
        <w:t>Pacijenti sa oštećenom funkcijom jetre:</w:t>
      </w:r>
    </w:p>
    <w:p w14:paraId="2A7EB714" w14:textId="13AB71B6" w:rsidR="004C0EF3" w:rsidRPr="00AB5B90" w:rsidRDefault="004C0EF3" w:rsidP="003E5B22">
      <w:pPr>
        <w:jc w:val="both"/>
        <w:rPr>
          <w:sz w:val="22"/>
          <w:szCs w:val="22"/>
          <w:lang w:val="sr-Latn-ME"/>
        </w:rPr>
      </w:pPr>
      <w:r w:rsidRPr="00AB5B90">
        <w:rPr>
          <w:sz w:val="22"/>
          <w:szCs w:val="22"/>
          <w:lang w:val="sr-Latn-ME"/>
        </w:rPr>
        <w:t>Generalno nije potrebno prilagođavanje doze kod pacijenata sa oštećenom funkcijom jetre (vid</w:t>
      </w:r>
      <w:r w:rsidR="00DD323A" w:rsidRPr="00AB5B90">
        <w:rPr>
          <w:sz w:val="22"/>
          <w:szCs w:val="22"/>
          <w:lang w:val="sr-Latn-ME"/>
        </w:rPr>
        <w:t>j</w:t>
      </w:r>
      <w:r w:rsidRPr="00AB5B90">
        <w:rPr>
          <w:sz w:val="22"/>
          <w:szCs w:val="22"/>
          <w:lang w:val="sr-Latn-ME"/>
        </w:rPr>
        <w:t>eti d</w:t>
      </w:r>
      <w:r w:rsidR="00DD323A" w:rsidRPr="00AB5B90">
        <w:rPr>
          <w:sz w:val="22"/>
          <w:szCs w:val="22"/>
          <w:lang w:val="sr-Latn-ME"/>
        </w:rPr>
        <w:t>i</w:t>
      </w:r>
      <w:r w:rsidRPr="00AB5B90">
        <w:rPr>
          <w:sz w:val="22"/>
          <w:szCs w:val="22"/>
          <w:lang w:val="sr-Latn-ME"/>
        </w:rPr>
        <w:t>o 4.4).</w:t>
      </w:r>
    </w:p>
    <w:p w14:paraId="2CCB4817" w14:textId="1A30803E" w:rsidR="00B72912" w:rsidRPr="00AB5B90" w:rsidRDefault="00725973" w:rsidP="003E5B22">
      <w:pPr>
        <w:pStyle w:val="Header"/>
        <w:tabs>
          <w:tab w:val="left" w:pos="284"/>
        </w:tabs>
        <w:jc w:val="both"/>
        <w:rPr>
          <w:sz w:val="22"/>
          <w:szCs w:val="22"/>
          <w:lang w:val="sr-Latn-ME"/>
        </w:rPr>
      </w:pPr>
      <w:r w:rsidRPr="00AB5B90">
        <w:rPr>
          <w:b/>
          <w:sz w:val="22"/>
          <w:szCs w:val="22"/>
          <w:lang w:val="sr-Latn-ME"/>
        </w:rPr>
        <w:lastRenderedPageBreak/>
        <w:t>Prevencija</w:t>
      </w:r>
      <w:r w:rsidR="00105E0A" w:rsidRPr="00AB5B90">
        <w:rPr>
          <w:b/>
          <w:sz w:val="22"/>
          <w:szCs w:val="22"/>
          <w:lang w:val="sr-Latn-ME"/>
        </w:rPr>
        <w:t xml:space="preserve"> i l</w:t>
      </w:r>
      <w:r w:rsidR="0076622F" w:rsidRPr="00AB5B90">
        <w:rPr>
          <w:b/>
          <w:sz w:val="22"/>
          <w:szCs w:val="22"/>
          <w:lang w:val="sr-Latn-ME"/>
        </w:rPr>
        <w:t>ij</w:t>
      </w:r>
      <w:r w:rsidR="00105E0A" w:rsidRPr="00AB5B90">
        <w:rPr>
          <w:b/>
          <w:sz w:val="22"/>
          <w:szCs w:val="22"/>
          <w:lang w:val="sr-Latn-ME"/>
        </w:rPr>
        <w:t>ečenje</w:t>
      </w:r>
      <w:r w:rsidRPr="00AB5B90">
        <w:rPr>
          <w:b/>
          <w:sz w:val="22"/>
          <w:szCs w:val="22"/>
          <w:lang w:val="sr-Latn-ME"/>
        </w:rPr>
        <w:t xml:space="preserve"> nedostatka gvožđa</w:t>
      </w:r>
      <w:r w:rsidRPr="00AB5B90">
        <w:rPr>
          <w:sz w:val="22"/>
          <w:szCs w:val="22"/>
          <w:lang w:val="sr-Latn-ME"/>
        </w:rPr>
        <w:t>:</w:t>
      </w:r>
    </w:p>
    <w:p w14:paraId="1A26C07A" w14:textId="37297C77" w:rsidR="00725973" w:rsidRPr="00AB5B90" w:rsidRDefault="00725973" w:rsidP="003E5B22">
      <w:pPr>
        <w:pStyle w:val="Header"/>
        <w:tabs>
          <w:tab w:val="left" w:pos="284"/>
        </w:tabs>
        <w:jc w:val="both"/>
        <w:rPr>
          <w:sz w:val="22"/>
          <w:szCs w:val="22"/>
          <w:lang w:val="sr-Latn-ME"/>
        </w:rPr>
      </w:pPr>
      <w:r w:rsidRPr="00AB5B90">
        <w:rPr>
          <w:sz w:val="22"/>
          <w:szCs w:val="22"/>
          <w:u w:val="single"/>
          <w:lang w:val="sr-Latn-ME"/>
        </w:rPr>
        <w:t xml:space="preserve">Trudnice: </w:t>
      </w:r>
      <w:r w:rsidR="00105E0A" w:rsidRPr="00AB5B90">
        <w:rPr>
          <w:sz w:val="22"/>
          <w:szCs w:val="22"/>
          <w:lang w:val="sr-Latn-ME"/>
        </w:rPr>
        <w:t xml:space="preserve"> </w:t>
      </w:r>
      <w:r w:rsidRPr="00AB5B90">
        <w:rPr>
          <w:sz w:val="22"/>
          <w:szCs w:val="22"/>
          <w:lang w:val="sr-Latn-ME"/>
        </w:rPr>
        <w:t>50 mg elementarnog gvožđa dnevno ili 1 ampula  za vrijeme posljednja dva trimestra trudnoće (ili od četvrtog mjeseca).</w:t>
      </w:r>
    </w:p>
    <w:p w14:paraId="0A9F9CEF" w14:textId="7C660522" w:rsidR="00452E9D" w:rsidRPr="00AB5B90" w:rsidRDefault="00452E9D" w:rsidP="003E5B22">
      <w:pPr>
        <w:tabs>
          <w:tab w:val="left" w:pos="540"/>
          <w:tab w:val="left" w:pos="569"/>
        </w:tabs>
        <w:jc w:val="both"/>
        <w:rPr>
          <w:bCs/>
          <w:sz w:val="22"/>
          <w:szCs w:val="22"/>
          <w:u w:val="single"/>
          <w:lang w:val="sr-Latn-ME"/>
        </w:rPr>
      </w:pPr>
    </w:p>
    <w:p w14:paraId="090F0FFC" w14:textId="469AE51F" w:rsidR="00105E0A" w:rsidRPr="00AB5B90" w:rsidRDefault="00105E0A" w:rsidP="003E5B22">
      <w:pPr>
        <w:tabs>
          <w:tab w:val="left" w:pos="284"/>
          <w:tab w:val="center" w:pos="4320"/>
          <w:tab w:val="right" w:pos="8640"/>
        </w:tabs>
        <w:jc w:val="both"/>
        <w:rPr>
          <w:b/>
          <w:sz w:val="22"/>
          <w:szCs w:val="22"/>
          <w:lang w:val="sr-Latn-ME"/>
        </w:rPr>
      </w:pPr>
      <w:r w:rsidRPr="00AB5B90">
        <w:rPr>
          <w:b/>
          <w:sz w:val="22"/>
          <w:szCs w:val="22"/>
          <w:lang w:val="sr-Latn-ME"/>
        </w:rPr>
        <w:t>Trajanje liječenja:</w:t>
      </w:r>
    </w:p>
    <w:p w14:paraId="64A268FB" w14:textId="4125E74C" w:rsidR="00105E0A" w:rsidRPr="00AB5B90" w:rsidRDefault="00105E0A" w:rsidP="003E5B22">
      <w:pPr>
        <w:tabs>
          <w:tab w:val="left" w:pos="284"/>
          <w:tab w:val="center" w:pos="4320"/>
          <w:tab w:val="right" w:pos="8640"/>
        </w:tabs>
        <w:jc w:val="both"/>
        <w:rPr>
          <w:b/>
          <w:sz w:val="22"/>
          <w:szCs w:val="22"/>
          <w:lang w:val="sr-Latn-ME"/>
        </w:rPr>
      </w:pPr>
      <w:r w:rsidRPr="00AB5B90">
        <w:rPr>
          <w:sz w:val="22"/>
          <w:szCs w:val="22"/>
          <w:lang w:val="sr-Latn-ME"/>
        </w:rPr>
        <w:t xml:space="preserve">Liječenje treba da traje dovoljno kako bi se </w:t>
      </w:r>
      <w:r w:rsidR="004C0EF3" w:rsidRPr="00AB5B90">
        <w:rPr>
          <w:sz w:val="22"/>
          <w:szCs w:val="22"/>
          <w:lang w:val="sr-Latn-ME"/>
        </w:rPr>
        <w:t>korigovala</w:t>
      </w:r>
      <w:r w:rsidRPr="00AB5B90">
        <w:rPr>
          <w:sz w:val="22"/>
          <w:szCs w:val="22"/>
          <w:lang w:val="sr-Latn-ME"/>
        </w:rPr>
        <w:t xml:space="preserve"> anemija</w:t>
      </w:r>
      <w:r w:rsidR="004C0EF3" w:rsidRPr="00AB5B90">
        <w:rPr>
          <w:sz w:val="22"/>
          <w:szCs w:val="22"/>
          <w:lang w:val="sr-Latn-ME"/>
        </w:rPr>
        <w:t xml:space="preserve"> (</w:t>
      </w:r>
      <w:proofErr w:type="spellStart"/>
      <w:r w:rsidR="004C0EF3" w:rsidRPr="00AB5B90">
        <w:rPr>
          <w:sz w:val="22"/>
          <w:szCs w:val="22"/>
          <w:lang w:val="sr-Latn-ME"/>
        </w:rPr>
        <w:t>Hb</w:t>
      </w:r>
      <w:proofErr w:type="spellEnd"/>
      <w:r w:rsidR="004C0EF3" w:rsidRPr="00AB5B90">
        <w:rPr>
          <w:sz w:val="22"/>
          <w:szCs w:val="22"/>
          <w:lang w:val="sr-Latn-ME"/>
        </w:rPr>
        <w:t>, MCV)</w:t>
      </w:r>
      <w:r w:rsidRPr="00AB5B90">
        <w:rPr>
          <w:sz w:val="22"/>
          <w:szCs w:val="22"/>
          <w:lang w:val="sr-Latn-ME"/>
        </w:rPr>
        <w:t xml:space="preserve"> i</w:t>
      </w:r>
      <w:r w:rsidR="004C0EF3" w:rsidRPr="00AB5B90">
        <w:rPr>
          <w:sz w:val="22"/>
          <w:szCs w:val="22"/>
          <w:lang w:val="sr-Latn-ME"/>
        </w:rPr>
        <w:t>/ili</w:t>
      </w:r>
      <w:r w:rsidRPr="00AB5B90">
        <w:rPr>
          <w:sz w:val="22"/>
          <w:szCs w:val="22"/>
          <w:lang w:val="sr-Latn-ME"/>
        </w:rPr>
        <w:t xml:space="preserve"> popunili depoi gvožđa</w:t>
      </w:r>
      <w:r w:rsidR="006D41BB" w:rsidRPr="00AB5B90">
        <w:rPr>
          <w:sz w:val="22"/>
          <w:szCs w:val="22"/>
          <w:lang w:val="sr-Latn-ME"/>
        </w:rPr>
        <w:t xml:space="preserve"> (serumski </w:t>
      </w:r>
      <w:proofErr w:type="spellStart"/>
      <w:r w:rsidR="006D41BB" w:rsidRPr="00AB5B90">
        <w:rPr>
          <w:sz w:val="22"/>
          <w:szCs w:val="22"/>
          <w:lang w:val="sr-Latn-ME"/>
        </w:rPr>
        <w:t>feritin</w:t>
      </w:r>
      <w:proofErr w:type="spellEnd"/>
      <w:r w:rsidR="006D41BB" w:rsidRPr="00AB5B90">
        <w:rPr>
          <w:sz w:val="22"/>
          <w:szCs w:val="22"/>
          <w:lang w:val="sr-Latn-ME"/>
        </w:rPr>
        <w:t xml:space="preserve">, koeficijent </w:t>
      </w:r>
      <w:proofErr w:type="spellStart"/>
      <w:r w:rsidR="006D41BB" w:rsidRPr="00AB5B90">
        <w:rPr>
          <w:sz w:val="22"/>
          <w:szCs w:val="22"/>
          <w:lang w:val="sr-Latn-ME"/>
        </w:rPr>
        <w:t>saturacije</w:t>
      </w:r>
      <w:proofErr w:type="spellEnd"/>
      <w:r w:rsidR="006D41BB" w:rsidRPr="00AB5B90">
        <w:rPr>
          <w:sz w:val="22"/>
          <w:szCs w:val="22"/>
          <w:lang w:val="sr-Latn-ME"/>
        </w:rPr>
        <w:t xml:space="preserve"> </w:t>
      </w:r>
      <w:proofErr w:type="spellStart"/>
      <w:r w:rsidR="006D41BB" w:rsidRPr="00AB5B90">
        <w:rPr>
          <w:sz w:val="22"/>
          <w:szCs w:val="22"/>
          <w:lang w:val="sr-Latn-ME"/>
        </w:rPr>
        <w:t>transferina</w:t>
      </w:r>
      <w:proofErr w:type="spellEnd"/>
      <w:r w:rsidR="006D41BB" w:rsidRPr="00AB5B90">
        <w:rPr>
          <w:sz w:val="22"/>
          <w:szCs w:val="22"/>
          <w:lang w:val="sr-Latn-ME"/>
        </w:rPr>
        <w:t>)</w:t>
      </w:r>
      <w:r w:rsidRPr="00AB5B90">
        <w:rPr>
          <w:sz w:val="22"/>
          <w:szCs w:val="22"/>
          <w:lang w:val="sr-Latn-ME"/>
        </w:rPr>
        <w:t>, koji kod odraslih iznose 600 mg za žene i 1200 mg za muškarce.</w:t>
      </w:r>
    </w:p>
    <w:p w14:paraId="2A76BE7A" w14:textId="66273004" w:rsidR="004E4E62" w:rsidRPr="00AB5B90" w:rsidRDefault="00105E0A" w:rsidP="003E5B22">
      <w:pPr>
        <w:jc w:val="both"/>
        <w:rPr>
          <w:sz w:val="22"/>
          <w:szCs w:val="22"/>
          <w:lang w:val="sr-Latn-ME"/>
        </w:rPr>
      </w:pPr>
      <w:r w:rsidRPr="00AB5B90">
        <w:rPr>
          <w:sz w:val="22"/>
          <w:szCs w:val="22"/>
          <w:lang w:val="sr-Latn-ME"/>
        </w:rPr>
        <w:t>Anemija uzrokovana deficitom gvožđa:</w:t>
      </w:r>
      <w:r w:rsidR="00C55327" w:rsidRPr="00AB5B90">
        <w:rPr>
          <w:sz w:val="22"/>
          <w:szCs w:val="22"/>
          <w:lang w:val="sr-Latn-ME"/>
        </w:rPr>
        <w:t xml:space="preserve"> nivoe hemoglobina treba prov</w:t>
      </w:r>
      <w:r w:rsidR="004D325A" w:rsidRPr="00AB5B90">
        <w:rPr>
          <w:sz w:val="22"/>
          <w:szCs w:val="22"/>
          <w:lang w:val="sr-Latn-ME"/>
        </w:rPr>
        <w:t>j</w:t>
      </w:r>
      <w:r w:rsidR="00C55327" w:rsidRPr="00AB5B90">
        <w:rPr>
          <w:sz w:val="22"/>
          <w:szCs w:val="22"/>
          <w:lang w:val="sr-Latn-ME"/>
        </w:rPr>
        <w:t>eriti 4 m</w:t>
      </w:r>
      <w:r w:rsidR="004D325A" w:rsidRPr="00AB5B90">
        <w:rPr>
          <w:sz w:val="22"/>
          <w:szCs w:val="22"/>
          <w:lang w:val="sr-Latn-ME"/>
        </w:rPr>
        <w:t>j</w:t>
      </w:r>
      <w:r w:rsidR="00C55327" w:rsidRPr="00AB5B90">
        <w:rPr>
          <w:sz w:val="22"/>
          <w:szCs w:val="22"/>
          <w:lang w:val="sr-Latn-ME"/>
        </w:rPr>
        <w:t>eseca nakon početka l</w:t>
      </w:r>
      <w:r w:rsidR="004D325A" w:rsidRPr="00AB5B90">
        <w:rPr>
          <w:sz w:val="22"/>
          <w:szCs w:val="22"/>
          <w:lang w:val="sr-Latn-ME"/>
        </w:rPr>
        <w:t>ij</w:t>
      </w:r>
      <w:r w:rsidR="00C55327" w:rsidRPr="00AB5B90">
        <w:rPr>
          <w:sz w:val="22"/>
          <w:szCs w:val="22"/>
          <w:lang w:val="sr-Latn-ME"/>
        </w:rPr>
        <w:t>ečenja. Vr</w:t>
      </w:r>
      <w:r w:rsidR="004D325A" w:rsidRPr="00AB5B90">
        <w:rPr>
          <w:sz w:val="22"/>
          <w:szCs w:val="22"/>
          <w:lang w:val="sr-Latn-ME"/>
        </w:rPr>
        <w:t>ij</w:t>
      </w:r>
      <w:r w:rsidR="00C55327" w:rsidRPr="00AB5B90">
        <w:rPr>
          <w:sz w:val="22"/>
          <w:szCs w:val="22"/>
          <w:lang w:val="sr-Latn-ME"/>
        </w:rPr>
        <w:t>eme daljih prov</w:t>
      </w:r>
      <w:r w:rsidR="004D325A" w:rsidRPr="00AB5B90">
        <w:rPr>
          <w:sz w:val="22"/>
          <w:szCs w:val="22"/>
          <w:lang w:val="sr-Latn-ME"/>
        </w:rPr>
        <w:t>j</w:t>
      </w:r>
      <w:r w:rsidR="00C55327" w:rsidRPr="00AB5B90">
        <w:rPr>
          <w:sz w:val="22"/>
          <w:szCs w:val="22"/>
          <w:lang w:val="sr-Latn-ME"/>
        </w:rPr>
        <w:t>era zavisiće od stepena anemije. Trajanje l</w:t>
      </w:r>
      <w:r w:rsidR="004D325A" w:rsidRPr="00AB5B90">
        <w:rPr>
          <w:sz w:val="22"/>
          <w:szCs w:val="22"/>
          <w:lang w:val="sr-Latn-ME"/>
        </w:rPr>
        <w:t>ij</w:t>
      </w:r>
      <w:r w:rsidR="00C55327" w:rsidRPr="00AB5B90">
        <w:rPr>
          <w:sz w:val="22"/>
          <w:szCs w:val="22"/>
          <w:lang w:val="sr-Latn-ME"/>
        </w:rPr>
        <w:t>ečenja je uglavnom</w:t>
      </w:r>
      <w:r w:rsidRPr="00AB5B90">
        <w:rPr>
          <w:sz w:val="22"/>
          <w:szCs w:val="22"/>
          <w:lang w:val="sr-Latn-ME"/>
        </w:rPr>
        <w:t xml:space="preserve"> 3-6 mjeseci, u zavisnosti od </w:t>
      </w:r>
      <w:proofErr w:type="spellStart"/>
      <w:r w:rsidRPr="00AB5B90">
        <w:rPr>
          <w:sz w:val="22"/>
          <w:szCs w:val="22"/>
          <w:lang w:val="sr-Latn-ME"/>
        </w:rPr>
        <w:t>popunjenosti</w:t>
      </w:r>
      <w:proofErr w:type="spellEnd"/>
      <w:r w:rsidRPr="00AB5B90">
        <w:rPr>
          <w:sz w:val="22"/>
          <w:szCs w:val="22"/>
          <w:lang w:val="sr-Latn-ME"/>
        </w:rPr>
        <w:t xml:space="preserve"> depoa gvožđa. Terapija se može </w:t>
      </w:r>
      <w:r w:rsidR="00C55327" w:rsidRPr="00AB5B90">
        <w:rPr>
          <w:sz w:val="22"/>
          <w:szCs w:val="22"/>
          <w:lang w:val="sr-Latn-ME"/>
        </w:rPr>
        <w:t xml:space="preserve">eventualno </w:t>
      </w:r>
      <w:r w:rsidRPr="00AB5B90">
        <w:rPr>
          <w:sz w:val="22"/>
          <w:szCs w:val="22"/>
          <w:lang w:val="sr-Latn-ME"/>
        </w:rPr>
        <w:t xml:space="preserve">produžiti u slučaju da </w:t>
      </w:r>
      <w:r w:rsidR="00C55327" w:rsidRPr="00AB5B90">
        <w:rPr>
          <w:sz w:val="22"/>
          <w:szCs w:val="22"/>
          <w:lang w:val="sr-Latn-ME"/>
        </w:rPr>
        <w:t xml:space="preserve">uzrok </w:t>
      </w:r>
      <w:r w:rsidRPr="00AB5B90">
        <w:rPr>
          <w:sz w:val="22"/>
          <w:szCs w:val="22"/>
          <w:lang w:val="sr-Latn-ME"/>
        </w:rPr>
        <w:t>anemij</w:t>
      </w:r>
      <w:r w:rsidR="00C55327" w:rsidRPr="00AB5B90">
        <w:rPr>
          <w:sz w:val="22"/>
          <w:szCs w:val="22"/>
          <w:lang w:val="sr-Latn-ME"/>
        </w:rPr>
        <w:t>e</w:t>
      </w:r>
      <w:r w:rsidRPr="00AB5B90">
        <w:rPr>
          <w:sz w:val="22"/>
          <w:szCs w:val="22"/>
          <w:lang w:val="sr-Latn-ME"/>
        </w:rPr>
        <w:t xml:space="preserve"> nije pod kontrolom. </w:t>
      </w:r>
      <w:r w:rsidR="004E4E62" w:rsidRPr="00AB5B90">
        <w:rPr>
          <w:sz w:val="22"/>
          <w:szCs w:val="22"/>
          <w:lang w:val="sr-Latn-ME"/>
        </w:rPr>
        <w:t>L</w:t>
      </w:r>
      <w:r w:rsidR="004D325A" w:rsidRPr="00AB5B90">
        <w:rPr>
          <w:sz w:val="22"/>
          <w:szCs w:val="22"/>
          <w:lang w:val="sr-Latn-ME"/>
        </w:rPr>
        <w:t>ij</w:t>
      </w:r>
      <w:r w:rsidR="004E4E62" w:rsidRPr="00AB5B90">
        <w:rPr>
          <w:sz w:val="22"/>
          <w:szCs w:val="22"/>
          <w:lang w:val="sr-Latn-ME"/>
        </w:rPr>
        <w:t>ečenje se mora nastaviti dodatna 3 m</w:t>
      </w:r>
      <w:r w:rsidR="004D325A" w:rsidRPr="00AB5B90">
        <w:rPr>
          <w:sz w:val="22"/>
          <w:szCs w:val="22"/>
          <w:lang w:val="sr-Latn-ME"/>
        </w:rPr>
        <w:t>j</w:t>
      </w:r>
      <w:r w:rsidR="004E4E62" w:rsidRPr="00AB5B90">
        <w:rPr>
          <w:sz w:val="22"/>
          <w:szCs w:val="22"/>
          <w:lang w:val="sr-Latn-ME"/>
        </w:rPr>
        <w:t>eseca nakon normalizacije nivoa hemoglobina.</w:t>
      </w:r>
    </w:p>
    <w:p w14:paraId="70DFEA60" w14:textId="77777777" w:rsidR="00105E0A" w:rsidRPr="00AB5B90" w:rsidRDefault="00105E0A" w:rsidP="003E5B22">
      <w:pPr>
        <w:tabs>
          <w:tab w:val="left" w:pos="540"/>
          <w:tab w:val="left" w:pos="569"/>
        </w:tabs>
        <w:jc w:val="both"/>
        <w:rPr>
          <w:bCs/>
          <w:sz w:val="22"/>
          <w:szCs w:val="22"/>
          <w:u w:val="single"/>
          <w:lang w:val="sr-Latn-ME"/>
        </w:rPr>
      </w:pPr>
    </w:p>
    <w:p w14:paraId="28542F1A" w14:textId="77777777" w:rsidR="00452E9D" w:rsidRPr="00AB5B90" w:rsidRDefault="00452E9D" w:rsidP="003E5B22">
      <w:pPr>
        <w:tabs>
          <w:tab w:val="left" w:pos="540"/>
          <w:tab w:val="left" w:pos="569"/>
        </w:tabs>
        <w:jc w:val="both"/>
        <w:rPr>
          <w:b/>
          <w:sz w:val="22"/>
          <w:szCs w:val="22"/>
          <w:u w:val="single"/>
          <w:lang w:val="sr-Latn-ME"/>
        </w:rPr>
      </w:pPr>
      <w:r w:rsidRPr="00AB5B90">
        <w:rPr>
          <w:b/>
          <w:sz w:val="22"/>
          <w:szCs w:val="22"/>
          <w:u w:val="single"/>
          <w:lang w:val="sr-Latn-ME"/>
        </w:rPr>
        <w:t>Način primjene</w:t>
      </w:r>
    </w:p>
    <w:p w14:paraId="2FE4E489" w14:textId="77777777" w:rsidR="00725973" w:rsidRPr="00AB5B90" w:rsidRDefault="00725973" w:rsidP="003E5B22">
      <w:pPr>
        <w:tabs>
          <w:tab w:val="left" w:pos="540"/>
          <w:tab w:val="left" w:pos="569"/>
        </w:tabs>
        <w:jc w:val="both"/>
        <w:rPr>
          <w:sz w:val="22"/>
          <w:szCs w:val="22"/>
          <w:lang w:val="sr-Latn-ME"/>
        </w:rPr>
      </w:pPr>
      <w:r w:rsidRPr="00AB5B90">
        <w:rPr>
          <w:sz w:val="22"/>
          <w:szCs w:val="22"/>
          <w:lang w:val="sr-Latn-ME"/>
        </w:rPr>
        <w:t>Oralna upotreba.</w:t>
      </w:r>
    </w:p>
    <w:p w14:paraId="1CC91084" w14:textId="2B3702E2" w:rsidR="00F26D2B" w:rsidRPr="00AB5B90" w:rsidRDefault="00F26D2B" w:rsidP="003E5B22">
      <w:pPr>
        <w:tabs>
          <w:tab w:val="left" w:pos="540"/>
          <w:tab w:val="left" w:pos="569"/>
        </w:tabs>
        <w:jc w:val="both"/>
        <w:rPr>
          <w:sz w:val="22"/>
          <w:szCs w:val="22"/>
          <w:lang w:val="sr-Latn-ME"/>
        </w:rPr>
      </w:pPr>
      <w:r w:rsidRPr="00AB5B90">
        <w:rPr>
          <w:sz w:val="22"/>
          <w:szCs w:val="22"/>
          <w:lang w:val="sr-Latn-ME"/>
        </w:rPr>
        <w:t>Pr</w:t>
      </w:r>
      <w:r w:rsidR="00144F5C" w:rsidRPr="00AB5B90">
        <w:rPr>
          <w:sz w:val="22"/>
          <w:szCs w:val="22"/>
          <w:lang w:val="sr-Latn-ME"/>
        </w:rPr>
        <w:t>ij</w:t>
      </w:r>
      <w:r w:rsidRPr="00AB5B90">
        <w:rPr>
          <w:sz w:val="22"/>
          <w:szCs w:val="22"/>
          <w:lang w:val="sr-Latn-ME"/>
        </w:rPr>
        <w:t>e upotrebe promućkati ampulu.</w:t>
      </w:r>
    </w:p>
    <w:p w14:paraId="1D9B9483" w14:textId="2203DB31" w:rsidR="00725973" w:rsidRPr="00AB5B90" w:rsidRDefault="00D932CE" w:rsidP="003E5B22">
      <w:pPr>
        <w:tabs>
          <w:tab w:val="left" w:pos="540"/>
          <w:tab w:val="left" w:pos="569"/>
        </w:tabs>
        <w:jc w:val="both"/>
        <w:rPr>
          <w:sz w:val="22"/>
          <w:szCs w:val="22"/>
          <w:lang w:val="sr-Latn-ME"/>
        </w:rPr>
      </w:pPr>
      <w:r w:rsidRPr="00AB5B90">
        <w:rPr>
          <w:sz w:val="22"/>
          <w:szCs w:val="22"/>
          <w:u w:val="single"/>
          <w:lang w:val="sr-Latn-ME"/>
        </w:rPr>
        <w:t>Nakon lomljenja ampule sa ob</w:t>
      </w:r>
      <w:r w:rsidR="00F62D06" w:rsidRPr="00AB5B90">
        <w:rPr>
          <w:sz w:val="22"/>
          <w:szCs w:val="22"/>
          <w:u w:val="single"/>
          <w:lang w:val="sr-Latn-ME"/>
        </w:rPr>
        <w:t>j</w:t>
      </w:r>
      <w:r w:rsidRPr="00AB5B90">
        <w:rPr>
          <w:sz w:val="22"/>
          <w:szCs w:val="22"/>
          <w:u w:val="single"/>
          <w:lang w:val="sr-Latn-ME"/>
        </w:rPr>
        <w:t>e strane, njen</w:t>
      </w:r>
      <w:r w:rsidRPr="00AB5B90">
        <w:rPr>
          <w:sz w:val="22"/>
          <w:szCs w:val="22"/>
          <w:lang w:val="sr-Latn-ME"/>
        </w:rPr>
        <w:t xml:space="preserve"> sadržaj </w:t>
      </w:r>
      <w:r w:rsidR="00725973" w:rsidRPr="00AB5B90">
        <w:rPr>
          <w:sz w:val="22"/>
          <w:szCs w:val="22"/>
          <w:lang w:val="sr-Latn-ME"/>
        </w:rPr>
        <w:t>rastvoriti u vod</w:t>
      </w:r>
      <w:r w:rsidR="00C12B16" w:rsidRPr="00AB5B90">
        <w:rPr>
          <w:sz w:val="22"/>
          <w:szCs w:val="22"/>
          <w:lang w:val="sr-Latn-ME"/>
        </w:rPr>
        <w:t>i</w:t>
      </w:r>
      <w:r w:rsidR="00725973" w:rsidRPr="00AB5B90">
        <w:rPr>
          <w:sz w:val="22"/>
          <w:szCs w:val="22"/>
          <w:lang w:val="sr-Latn-ME"/>
        </w:rPr>
        <w:t xml:space="preserve"> (zaslađenoj ili nezaslađenoj)</w:t>
      </w:r>
      <w:r w:rsidR="00C12B16" w:rsidRPr="00AB5B90">
        <w:rPr>
          <w:sz w:val="22"/>
          <w:szCs w:val="22"/>
          <w:lang w:val="sr-Latn-ME"/>
        </w:rPr>
        <w:t>.</w:t>
      </w:r>
    </w:p>
    <w:p w14:paraId="749D176A" w14:textId="45C1DFF6" w:rsidR="00725973" w:rsidRPr="00AB5B90" w:rsidRDefault="00725973" w:rsidP="003E5B22">
      <w:pPr>
        <w:tabs>
          <w:tab w:val="left" w:pos="540"/>
          <w:tab w:val="left" w:pos="569"/>
        </w:tabs>
        <w:jc w:val="both"/>
        <w:rPr>
          <w:sz w:val="22"/>
          <w:szCs w:val="22"/>
          <w:lang w:val="sr-Latn-ME"/>
        </w:rPr>
      </w:pPr>
      <w:r w:rsidRPr="00AB5B90">
        <w:rPr>
          <w:sz w:val="22"/>
          <w:szCs w:val="22"/>
          <w:lang w:val="sr-Latn-ME"/>
        </w:rPr>
        <w:t xml:space="preserve">Lijek je </w:t>
      </w:r>
      <w:r w:rsidR="000A2509" w:rsidRPr="00AB5B90">
        <w:rPr>
          <w:sz w:val="22"/>
          <w:szCs w:val="22"/>
          <w:lang w:val="sr-Latn-ME"/>
        </w:rPr>
        <w:t>poželjno</w:t>
      </w:r>
      <w:r w:rsidRPr="00AB5B90">
        <w:rPr>
          <w:sz w:val="22"/>
          <w:szCs w:val="22"/>
          <w:lang w:val="sr-Latn-ME"/>
        </w:rPr>
        <w:t xml:space="preserve"> uzeti prije jela, ali vrijeme</w:t>
      </w:r>
      <w:r w:rsidR="000A2509" w:rsidRPr="00AB5B90">
        <w:rPr>
          <w:sz w:val="22"/>
          <w:szCs w:val="22"/>
          <w:lang w:val="sr-Latn-ME"/>
        </w:rPr>
        <w:t xml:space="preserve"> upotrebe</w:t>
      </w:r>
      <w:r w:rsidRPr="00AB5B90">
        <w:rPr>
          <w:sz w:val="22"/>
          <w:szCs w:val="22"/>
          <w:lang w:val="sr-Latn-ME"/>
        </w:rPr>
        <w:t xml:space="preserve"> i </w:t>
      </w:r>
      <w:r w:rsidR="000A2509" w:rsidRPr="00AB5B90">
        <w:rPr>
          <w:sz w:val="22"/>
          <w:szCs w:val="22"/>
          <w:lang w:val="sr-Latn-ME"/>
        </w:rPr>
        <w:t xml:space="preserve">ponekad </w:t>
      </w:r>
      <w:r w:rsidRPr="00AB5B90">
        <w:rPr>
          <w:sz w:val="22"/>
          <w:szCs w:val="22"/>
          <w:lang w:val="sr-Latn-ME"/>
        </w:rPr>
        <w:t xml:space="preserve">doza može biti podešena prema individualnoj </w:t>
      </w:r>
      <w:proofErr w:type="spellStart"/>
      <w:r w:rsidRPr="00AB5B90">
        <w:rPr>
          <w:sz w:val="22"/>
          <w:szCs w:val="22"/>
          <w:lang w:val="sr-Latn-ME"/>
        </w:rPr>
        <w:t>digestivnoj</w:t>
      </w:r>
      <w:proofErr w:type="spellEnd"/>
      <w:r w:rsidRPr="00AB5B90">
        <w:rPr>
          <w:sz w:val="22"/>
          <w:szCs w:val="22"/>
          <w:lang w:val="sr-Latn-ME"/>
        </w:rPr>
        <w:t xml:space="preserve"> toleranciji.</w:t>
      </w:r>
    </w:p>
    <w:p w14:paraId="409FCDB7" w14:textId="77777777" w:rsidR="00452E9D" w:rsidRPr="00AB5B90" w:rsidRDefault="00452E9D" w:rsidP="003E5B22">
      <w:pPr>
        <w:tabs>
          <w:tab w:val="left" w:pos="540"/>
          <w:tab w:val="left" w:pos="569"/>
        </w:tabs>
        <w:jc w:val="both"/>
        <w:rPr>
          <w:bCs/>
          <w:sz w:val="22"/>
          <w:szCs w:val="22"/>
          <w:lang w:val="sr-Latn-ME"/>
        </w:rPr>
      </w:pPr>
    </w:p>
    <w:p w14:paraId="4DA3B414" w14:textId="2567B7FC" w:rsidR="00411B4B" w:rsidRPr="00AB5B90" w:rsidRDefault="00411B4B" w:rsidP="003E5B22">
      <w:pPr>
        <w:tabs>
          <w:tab w:val="left" w:pos="540"/>
          <w:tab w:val="left" w:pos="569"/>
        </w:tabs>
        <w:jc w:val="both"/>
        <w:rPr>
          <w:b/>
          <w:bCs/>
          <w:sz w:val="22"/>
          <w:szCs w:val="22"/>
          <w:lang w:val="sr-Latn-ME"/>
        </w:rPr>
      </w:pPr>
      <w:r w:rsidRPr="00AB5B90">
        <w:rPr>
          <w:b/>
          <w:bCs/>
          <w:sz w:val="22"/>
          <w:szCs w:val="22"/>
          <w:lang w:val="sr-Latn-ME"/>
        </w:rPr>
        <w:t xml:space="preserve">4.3. </w:t>
      </w:r>
      <w:r w:rsidR="00480FB1" w:rsidRPr="00AB5B90">
        <w:rPr>
          <w:b/>
          <w:bCs/>
          <w:sz w:val="22"/>
          <w:szCs w:val="22"/>
          <w:lang w:val="sr-Latn-ME"/>
        </w:rPr>
        <w:tab/>
      </w:r>
      <w:proofErr w:type="spellStart"/>
      <w:r w:rsidRPr="00AB5B90">
        <w:rPr>
          <w:b/>
          <w:bCs/>
          <w:sz w:val="22"/>
          <w:szCs w:val="22"/>
          <w:lang w:val="sr-Latn-ME"/>
        </w:rPr>
        <w:t>Kontraindikacije</w:t>
      </w:r>
      <w:proofErr w:type="spellEnd"/>
    </w:p>
    <w:p w14:paraId="170A0C2D" w14:textId="77777777" w:rsidR="00C25E03" w:rsidRPr="00AB5B90" w:rsidRDefault="00C25E03" w:rsidP="003E5B22">
      <w:pPr>
        <w:tabs>
          <w:tab w:val="left" w:pos="540"/>
          <w:tab w:val="left" w:pos="569"/>
        </w:tabs>
        <w:jc w:val="both"/>
        <w:rPr>
          <w:b/>
          <w:bCs/>
          <w:sz w:val="22"/>
          <w:szCs w:val="22"/>
          <w:lang w:val="sr-Latn-ME"/>
        </w:rPr>
      </w:pPr>
    </w:p>
    <w:p w14:paraId="102663AD" w14:textId="012E4846" w:rsidR="00C25E03" w:rsidRPr="00AB5B90" w:rsidRDefault="00C25E03" w:rsidP="003E5B22">
      <w:pPr>
        <w:pStyle w:val="Header"/>
        <w:numPr>
          <w:ilvl w:val="0"/>
          <w:numId w:val="14"/>
        </w:numPr>
        <w:tabs>
          <w:tab w:val="left" w:pos="284"/>
        </w:tabs>
        <w:jc w:val="both"/>
        <w:rPr>
          <w:sz w:val="22"/>
          <w:szCs w:val="22"/>
          <w:lang w:val="sr-Latn-ME"/>
        </w:rPr>
      </w:pPr>
      <w:r w:rsidRPr="00AB5B90">
        <w:rPr>
          <w:sz w:val="22"/>
          <w:szCs w:val="22"/>
          <w:lang w:val="sr-Latn-ME"/>
        </w:rPr>
        <w:t xml:space="preserve">Preosjetljivost na aktivne supstance ili na bilo koju od pomoćnih supstanci navedenih u </w:t>
      </w:r>
      <w:r w:rsidR="00FC215F" w:rsidRPr="00AB5B90">
        <w:rPr>
          <w:sz w:val="22"/>
          <w:szCs w:val="22"/>
          <w:lang w:val="sr-Latn-ME"/>
        </w:rPr>
        <w:t xml:space="preserve">dijelu </w:t>
      </w:r>
      <w:r w:rsidRPr="00AB5B90">
        <w:rPr>
          <w:sz w:val="22"/>
          <w:szCs w:val="22"/>
          <w:lang w:val="sr-Latn-ME"/>
        </w:rPr>
        <w:t>6.1.</w:t>
      </w:r>
    </w:p>
    <w:p w14:paraId="0FDCF856" w14:textId="1F004A76" w:rsidR="00E11B73" w:rsidRPr="00AB5B90" w:rsidRDefault="00E11B73" w:rsidP="003E5B22">
      <w:pPr>
        <w:pStyle w:val="ListParagraph"/>
        <w:numPr>
          <w:ilvl w:val="0"/>
          <w:numId w:val="14"/>
        </w:numPr>
        <w:tabs>
          <w:tab w:val="left" w:pos="569"/>
          <w:tab w:val="left" w:pos="851"/>
        </w:tabs>
        <w:jc w:val="both"/>
        <w:rPr>
          <w:b/>
          <w:bCs/>
          <w:sz w:val="22"/>
          <w:szCs w:val="22"/>
          <w:lang w:val="sr-Latn-ME"/>
        </w:rPr>
      </w:pPr>
      <w:r w:rsidRPr="00AB5B90">
        <w:rPr>
          <w:sz w:val="22"/>
          <w:szCs w:val="22"/>
          <w:lang w:val="sr-Latn-ME"/>
        </w:rPr>
        <w:t xml:space="preserve">  </w:t>
      </w:r>
      <w:r w:rsidR="00FC215F" w:rsidRPr="00AB5B90">
        <w:rPr>
          <w:sz w:val="22"/>
          <w:szCs w:val="22"/>
          <w:lang w:val="sr-Latn-ME"/>
        </w:rPr>
        <w:t xml:space="preserve"> </w:t>
      </w:r>
      <w:r w:rsidRPr="00AB5B90">
        <w:rPr>
          <w:sz w:val="22"/>
          <w:szCs w:val="22"/>
          <w:lang w:val="sr-Latn-ME"/>
        </w:rPr>
        <w:t>P</w:t>
      </w:r>
      <w:r w:rsidR="00C25E03" w:rsidRPr="00AB5B90">
        <w:rPr>
          <w:sz w:val="22"/>
          <w:szCs w:val="22"/>
          <w:lang w:val="sr-Latn-ME"/>
        </w:rPr>
        <w:t>reopterećenje gvožđem</w:t>
      </w:r>
      <w:r w:rsidRPr="00AB5B90">
        <w:rPr>
          <w:sz w:val="22"/>
          <w:szCs w:val="22"/>
          <w:lang w:val="sr-Latn-ME"/>
        </w:rPr>
        <w:t xml:space="preserve"> zbog povećane intestinalne resorpcije ili </w:t>
      </w:r>
      <w:proofErr w:type="spellStart"/>
      <w:r w:rsidRPr="00AB5B90">
        <w:rPr>
          <w:sz w:val="22"/>
          <w:szCs w:val="22"/>
          <w:lang w:val="sr-Latn-ME"/>
        </w:rPr>
        <w:t>izm</w:t>
      </w:r>
      <w:r w:rsidR="00943290" w:rsidRPr="00AB5B90">
        <w:rPr>
          <w:sz w:val="22"/>
          <w:szCs w:val="22"/>
          <w:lang w:val="sr-Latn-ME"/>
        </w:rPr>
        <w:t>ij</w:t>
      </w:r>
      <w:r w:rsidRPr="00AB5B90">
        <w:rPr>
          <w:sz w:val="22"/>
          <w:szCs w:val="22"/>
          <w:lang w:val="sr-Latn-ME"/>
        </w:rPr>
        <w:t>enjenog</w:t>
      </w:r>
      <w:proofErr w:type="spellEnd"/>
      <w:r w:rsidRPr="00AB5B90">
        <w:rPr>
          <w:sz w:val="22"/>
          <w:szCs w:val="22"/>
          <w:lang w:val="sr-Latn-ME"/>
        </w:rPr>
        <w:t xml:space="preserve"> metabolizma gvožđa (npr. </w:t>
      </w:r>
      <w:proofErr w:type="spellStart"/>
      <w:r w:rsidRPr="00AB5B90">
        <w:rPr>
          <w:sz w:val="22"/>
          <w:szCs w:val="22"/>
          <w:lang w:val="sr-Latn-ME"/>
        </w:rPr>
        <w:t>hemohromatoza</w:t>
      </w:r>
      <w:proofErr w:type="spellEnd"/>
      <w:r w:rsidRPr="00AB5B90">
        <w:rPr>
          <w:sz w:val="22"/>
          <w:szCs w:val="22"/>
          <w:lang w:val="sr-Latn-ME"/>
        </w:rPr>
        <w:t xml:space="preserve">) </w:t>
      </w:r>
      <w:proofErr w:type="spellStart"/>
      <w:r w:rsidR="00C25E03" w:rsidRPr="00AB5B90">
        <w:rPr>
          <w:sz w:val="22"/>
          <w:szCs w:val="22"/>
          <w:lang w:val="sr-Latn-ME"/>
        </w:rPr>
        <w:t>talasemija</w:t>
      </w:r>
      <w:proofErr w:type="spellEnd"/>
      <w:r w:rsidR="00C25E03" w:rsidRPr="00AB5B90">
        <w:rPr>
          <w:sz w:val="22"/>
          <w:szCs w:val="22"/>
          <w:lang w:val="sr-Latn-ME"/>
        </w:rPr>
        <w:t xml:space="preserve">, </w:t>
      </w:r>
      <w:proofErr w:type="spellStart"/>
      <w:r w:rsidR="00C25E03" w:rsidRPr="00AB5B90">
        <w:rPr>
          <w:sz w:val="22"/>
          <w:szCs w:val="22"/>
          <w:lang w:val="sr-Latn-ME"/>
        </w:rPr>
        <w:t>refraktarna</w:t>
      </w:r>
      <w:proofErr w:type="spellEnd"/>
      <w:r w:rsidR="00C25E03" w:rsidRPr="00AB5B90">
        <w:rPr>
          <w:sz w:val="22"/>
          <w:szCs w:val="22"/>
          <w:lang w:val="sr-Latn-ME"/>
        </w:rPr>
        <w:t xml:space="preserve"> anemija, </w:t>
      </w:r>
      <w:proofErr w:type="spellStart"/>
      <w:r w:rsidRPr="00AB5B90">
        <w:rPr>
          <w:sz w:val="22"/>
          <w:szCs w:val="22"/>
          <w:lang w:val="sr-Latn-ME"/>
        </w:rPr>
        <w:t>aplastična</w:t>
      </w:r>
      <w:proofErr w:type="spellEnd"/>
      <w:r w:rsidRPr="00AB5B90">
        <w:rPr>
          <w:sz w:val="22"/>
          <w:szCs w:val="22"/>
          <w:lang w:val="sr-Latn-ME"/>
        </w:rPr>
        <w:t xml:space="preserve"> anemija, </w:t>
      </w:r>
      <w:proofErr w:type="spellStart"/>
      <w:r w:rsidRPr="00AB5B90">
        <w:rPr>
          <w:sz w:val="22"/>
          <w:szCs w:val="22"/>
          <w:lang w:val="sr-Latn-ME"/>
        </w:rPr>
        <w:t>sideroblastična</w:t>
      </w:r>
      <w:proofErr w:type="spellEnd"/>
      <w:r w:rsidRPr="00AB5B90">
        <w:rPr>
          <w:sz w:val="22"/>
          <w:szCs w:val="22"/>
          <w:lang w:val="sr-Latn-ME"/>
        </w:rPr>
        <w:t xml:space="preserve"> anemija) ili prekom</w:t>
      </w:r>
      <w:r w:rsidR="00943290" w:rsidRPr="00AB5B90">
        <w:rPr>
          <w:sz w:val="22"/>
          <w:szCs w:val="22"/>
          <w:lang w:val="sr-Latn-ME"/>
        </w:rPr>
        <w:t>j</w:t>
      </w:r>
      <w:r w:rsidRPr="00AB5B90">
        <w:rPr>
          <w:sz w:val="22"/>
          <w:szCs w:val="22"/>
          <w:lang w:val="sr-Latn-ME"/>
        </w:rPr>
        <w:t xml:space="preserve">ernog </w:t>
      </w:r>
      <w:proofErr w:type="spellStart"/>
      <w:r w:rsidRPr="00AB5B90">
        <w:rPr>
          <w:sz w:val="22"/>
          <w:szCs w:val="22"/>
          <w:lang w:val="sr-Latn-ME"/>
        </w:rPr>
        <w:t>parenteralnog</w:t>
      </w:r>
      <w:proofErr w:type="spellEnd"/>
      <w:r w:rsidRPr="00AB5B90">
        <w:rPr>
          <w:sz w:val="22"/>
          <w:szCs w:val="22"/>
          <w:lang w:val="sr-Latn-ME"/>
        </w:rPr>
        <w:t xml:space="preserve"> unosa (npr. ponovljena ili dugotrajna transfuzija). </w:t>
      </w:r>
    </w:p>
    <w:p w14:paraId="62268207" w14:textId="67975AED" w:rsidR="00E11B73" w:rsidRPr="00AB5B90" w:rsidRDefault="00E11B73" w:rsidP="003E5B22">
      <w:pPr>
        <w:pStyle w:val="Header"/>
        <w:numPr>
          <w:ilvl w:val="0"/>
          <w:numId w:val="14"/>
        </w:numPr>
        <w:tabs>
          <w:tab w:val="clear" w:pos="4320"/>
          <w:tab w:val="clear" w:pos="8640"/>
          <w:tab w:val="left" w:pos="284"/>
        </w:tabs>
        <w:jc w:val="both"/>
        <w:rPr>
          <w:sz w:val="22"/>
          <w:szCs w:val="22"/>
          <w:lang w:val="sr-Latn-ME"/>
        </w:rPr>
      </w:pPr>
      <w:r w:rsidRPr="00AB5B90">
        <w:rPr>
          <w:sz w:val="22"/>
          <w:szCs w:val="22"/>
          <w:lang w:val="sr-Latn-ME"/>
        </w:rPr>
        <w:t>Anemija koja nije posl</w:t>
      </w:r>
      <w:r w:rsidR="00943290" w:rsidRPr="00AB5B90">
        <w:rPr>
          <w:sz w:val="22"/>
          <w:szCs w:val="22"/>
          <w:lang w:val="sr-Latn-ME"/>
        </w:rPr>
        <w:t>j</w:t>
      </w:r>
      <w:r w:rsidRPr="00AB5B90">
        <w:rPr>
          <w:sz w:val="22"/>
          <w:szCs w:val="22"/>
          <w:lang w:val="sr-Latn-ME"/>
        </w:rPr>
        <w:t xml:space="preserve">edica nedostatka gvožđa (npr. </w:t>
      </w:r>
      <w:proofErr w:type="spellStart"/>
      <w:r w:rsidRPr="00AB5B90">
        <w:rPr>
          <w:sz w:val="22"/>
          <w:szCs w:val="22"/>
          <w:lang w:val="sr-Latn-ME"/>
        </w:rPr>
        <w:t>hemolitička</w:t>
      </w:r>
      <w:proofErr w:type="spellEnd"/>
      <w:r w:rsidRPr="00AB5B90">
        <w:rPr>
          <w:sz w:val="22"/>
          <w:szCs w:val="22"/>
          <w:lang w:val="sr-Latn-ME"/>
        </w:rPr>
        <w:t xml:space="preserve"> anemija, </w:t>
      </w:r>
      <w:proofErr w:type="spellStart"/>
      <w:r w:rsidRPr="00AB5B90">
        <w:rPr>
          <w:sz w:val="22"/>
          <w:szCs w:val="22"/>
          <w:lang w:val="sr-Latn-ME"/>
        </w:rPr>
        <w:t>megaloblastična</w:t>
      </w:r>
      <w:proofErr w:type="spellEnd"/>
      <w:r w:rsidRPr="00AB5B90">
        <w:rPr>
          <w:sz w:val="22"/>
          <w:szCs w:val="22"/>
          <w:lang w:val="sr-Latn-ME"/>
        </w:rPr>
        <w:t xml:space="preserve"> anemija, anemija uzrokovana zapaljenjem).</w:t>
      </w:r>
    </w:p>
    <w:p w14:paraId="0B511D05" w14:textId="02B158FA" w:rsidR="004C66CC" w:rsidRPr="00AB5B90" w:rsidRDefault="00E11B73" w:rsidP="003E5B22">
      <w:pPr>
        <w:pStyle w:val="ListParagraph"/>
        <w:numPr>
          <w:ilvl w:val="0"/>
          <w:numId w:val="14"/>
        </w:numPr>
        <w:tabs>
          <w:tab w:val="left" w:pos="540"/>
          <w:tab w:val="left" w:pos="569"/>
        </w:tabs>
        <w:jc w:val="both"/>
        <w:rPr>
          <w:sz w:val="22"/>
          <w:szCs w:val="22"/>
          <w:lang w:val="sr-Latn-ME"/>
        </w:rPr>
      </w:pPr>
      <w:r w:rsidRPr="00AB5B90">
        <w:rPr>
          <w:sz w:val="22"/>
          <w:szCs w:val="22"/>
          <w:lang w:val="sr-Latn-ME"/>
        </w:rPr>
        <w:t xml:space="preserve"> </w:t>
      </w:r>
      <w:r w:rsidR="00635B90" w:rsidRPr="00AB5B90">
        <w:rPr>
          <w:sz w:val="22"/>
          <w:szCs w:val="22"/>
          <w:lang w:val="sr-Latn-ME"/>
        </w:rPr>
        <w:t xml:space="preserve"> </w:t>
      </w:r>
      <w:r w:rsidRPr="00AB5B90">
        <w:rPr>
          <w:sz w:val="22"/>
          <w:szCs w:val="22"/>
          <w:lang w:val="sr-Latn-ME"/>
        </w:rPr>
        <w:t>Vilsonova bolest.</w:t>
      </w:r>
    </w:p>
    <w:p w14:paraId="097F27EE" w14:textId="77777777" w:rsidR="00E11B73" w:rsidRPr="00AB5B90" w:rsidRDefault="00E11B73" w:rsidP="003E5B22">
      <w:pPr>
        <w:pStyle w:val="ListParagraph"/>
        <w:tabs>
          <w:tab w:val="left" w:pos="540"/>
          <w:tab w:val="left" w:pos="569"/>
        </w:tabs>
        <w:jc w:val="both"/>
        <w:rPr>
          <w:b/>
          <w:bCs/>
          <w:sz w:val="22"/>
          <w:szCs w:val="22"/>
          <w:lang w:val="sr-Latn-ME"/>
        </w:rPr>
      </w:pPr>
    </w:p>
    <w:p w14:paraId="6A9142A8" w14:textId="5A25FAD9" w:rsidR="00411B4B" w:rsidRPr="00AB5B90" w:rsidRDefault="00411B4B" w:rsidP="003E5B22">
      <w:pPr>
        <w:tabs>
          <w:tab w:val="left" w:pos="540"/>
          <w:tab w:val="left" w:pos="569"/>
        </w:tabs>
        <w:jc w:val="both"/>
        <w:rPr>
          <w:b/>
          <w:bCs/>
          <w:sz w:val="22"/>
          <w:szCs w:val="22"/>
          <w:lang w:val="sr-Latn-ME"/>
        </w:rPr>
      </w:pPr>
      <w:r w:rsidRPr="00AB5B90">
        <w:rPr>
          <w:b/>
          <w:bCs/>
          <w:sz w:val="22"/>
          <w:szCs w:val="22"/>
          <w:lang w:val="sr-Latn-ME"/>
        </w:rPr>
        <w:t xml:space="preserve">4.4. </w:t>
      </w:r>
      <w:r w:rsidR="00480FB1" w:rsidRPr="00AB5B90">
        <w:rPr>
          <w:b/>
          <w:bCs/>
          <w:sz w:val="22"/>
          <w:szCs w:val="22"/>
          <w:lang w:val="sr-Latn-ME"/>
        </w:rPr>
        <w:tab/>
      </w:r>
      <w:r w:rsidRPr="00AB5B90">
        <w:rPr>
          <w:b/>
          <w:bCs/>
          <w:sz w:val="22"/>
          <w:szCs w:val="22"/>
          <w:lang w:val="sr-Latn-ME"/>
        </w:rPr>
        <w:t>Posebna upozorenja i mjere opreza pri upotrebi lijeka</w:t>
      </w:r>
    </w:p>
    <w:p w14:paraId="7E154D11" w14:textId="77777777" w:rsidR="004C66CC" w:rsidRPr="00AB5B90" w:rsidRDefault="004C66CC" w:rsidP="003E5B22">
      <w:pPr>
        <w:tabs>
          <w:tab w:val="left" w:pos="540"/>
          <w:tab w:val="left" w:pos="569"/>
        </w:tabs>
        <w:jc w:val="both"/>
        <w:rPr>
          <w:b/>
          <w:bCs/>
          <w:sz w:val="22"/>
          <w:szCs w:val="22"/>
          <w:lang w:val="sr-Latn-ME"/>
        </w:rPr>
      </w:pPr>
    </w:p>
    <w:p w14:paraId="59880BDB" w14:textId="7CF1FF98" w:rsidR="00D311CD" w:rsidRPr="00AB5B90" w:rsidRDefault="00D311CD" w:rsidP="004304C2">
      <w:pPr>
        <w:numPr>
          <w:ilvl w:val="0"/>
          <w:numId w:val="16"/>
        </w:numPr>
        <w:tabs>
          <w:tab w:val="left" w:pos="284"/>
        </w:tabs>
        <w:jc w:val="both"/>
        <w:rPr>
          <w:sz w:val="22"/>
          <w:szCs w:val="22"/>
          <w:lang w:val="sr-Latn-ME"/>
        </w:rPr>
      </w:pPr>
      <w:r w:rsidRPr="00AB5B90">
        <w:rPr>
          <w:sz w:val="22"/>
          <w:szCs w:val="22"/>
          <w:lang w:val="sr-Latn-ME"/>
        </w:rPr>
        <w:t>Ovaj l</w:t>
      </w:r>
      <w:r w:rsidR="00A16301" w:rsidRPr="00AB5B90">
        <w:rPr>
          <w:sz w:val="22"/>
          <w:szCs w:val="22"/>
          <w:lang w:val="sr-Latn-ME"/>
        </w:rPr>
        <w:t>ij</w:t>
      </w:r>
      <w:r w:rsidRPr="00AB5B90">
        <w:rPr>
          <w:sz w:val="22"/>
          <w:szCs w:val="22"/>
          <w:lang w:val="sr-Latn-ME"/>
        </w:rPr>
        <w:t>ek se ne preporučuje za l</w:t>
      </w:r>
      <w:r w:rsidR="00A16301" w:rsidRPr="00AB5B90">
        <w:rPr>
          <w:sz w:val="22"/>
          <w:szCs w:val="22"/>
          <w:lang w:val="sr-Latn-ME"/>
        </w:rPr>
        <w:t>ij</w:t>
      </w:r>
      <w:r w:rsidRPr="00AB5B90">
        <w:rPr>
          <w:sz w:val="22"/>
          <w:szCs w:val="22"/>
          <w:lang w:val="sr-Latn-ME"/>
        </w:rPr>
        <w:t xml:space="preserve">ečenje </w:t>
      </w:r>
      <w:proofErr w:type="spellStart"/>
      <w:r w:rsidRPr="00AB5B90">
        <w:rPr>
          <w:sz w:val="22"/>
          <w:szCs w:val="22"/>
          <w:lang w:val="sr-Latn-ME"/>
        </w:rPr>
        <w:t>hiposideremije</w:t>
      </w:r>
      <w:proofErr w:type="spellEnd"/>
      <w:r w:rsidRPr="00AB5B90">
        <w:rPr>
          <w:sz w:val="22"/>
          <w:szCs w:val="22"/>
          <w:lang w:val="sr-Latn-ME"/>
        </w:rPr>
        <w:t xml:space="preserve"> uz </w:t>
      </w:r>
      <w:proofErr w:type="spellStart"/>
      <w:r w:rsidRPr="00AB5B90">
        <w:rPr>
          <w:sz w:val="22"/>
          <w:szCs w:val="22"/>
          <w:lang w:val="sr-Latn-ME"/>
        </w:rPr>
        <w:t>inflamatorni</w:t>
      </w:r>
      <w:proofErr w:type="spellEnd"/>
      <w:r w:rsidRPr="00AB5B90">
        <w:rPr>
          <w:sz w:val="22"/>
          <w:szCs w:val="22"/>
          <w:lang w:val="sr-Latn-ME"/>
        </w:rPr>
        <w:t xml:space="preserve"> sindrom.</w:t>
      </w:r>
    </w:p>
    <w:p w14:paraId="533BBDF4" w14:textId="08A3E5D9" w:rsidR="00D311CD" w:rsidRPr="00AB5B90" w:rsidRDefault="00D311CD" w:rsidP="00E35361">
      <w:pPr>
        <w:numPr>
          <w:ilvl w:val="0"/>
          <w:numId w:val="16"/>
        </w:numPr>
        <w:tabs>
          <w:tab w:val="left" w:pos="284"/>
        </w:tabs>
        <w:jc w:val="both"/>
        <w:rPr>
          <w:sz w:val="22"/>
          <w:szCs w:val="22"/>
          <w:lang w:val="sr-Latn-ME"/>
        </w:rPr>
      </w:pPr>
      <w:r w:rsidRPr="00AB5B90">
        <w:rPr>
          <w:sz w:val="22"/>
          <w:szCs w:val="22"/>
          <w:lang w:val="sr-Latn-ME"/>
        </w:rPr>
        <w:t>Nadoknada gvožđem treba da je što je pr</w:t>
      </w:r>
      <w:r w:rsidR="00CF7043" w:rsidRPr="00AB5B90">
        <w:rPr>
          <w:sz w:val="22"/>
          <w:szCs w:val="22"/>
          <w:lang w:val="sr-Latn-ME"/>
        </w:rPr>
        <w:t>ij</w:t>
      </w:r>
      <w:r w:rsidRPr="00AB5B90">
        <w:rPr>
          <w:sz w:val="22"/>
          <w:szCs w:val="22"/>
          <w:lang w:val="sr-Latn-ME"/>
        </w:rPr>
        <w:t>e moguće udružena sa terapijom uzroka nedostatka gvožđa.</w:t>
      </w:r>
    </w:p>
    <w:p w14:paraId="35F31AF9" w14:textId="568C815B" w:rsidR="00D311CD" w:rsidRPr="00AB5B90" w:rsidRDefault="00D311CD" w:rsidP="00E35361">
      <w:pPr>
        <w:numPr>
          <w:ilvl w:val="0"/>
          <w:numId w:val="16"/>
        </w:numPr>
        <w:tabs>
          <w:tab w:val="left" w:pos="284"/>
        </w:tabs>
        <w:jc w:val="both"/>
        <w:rPr>
          <w:sz w:val="22"/>
          <w:szCs w:val="22"/>
          <w:lang w:val="sr-Latn-ME"/>
        </w:rPr>
      </w:pPr>
      <w:r w:rsidRPr="00AB5B90">
        <w:rPr>
          <w:sz w:val="22"/>
          <w:szCs w:val="22"/>
          <w:lang w:val="sr-Latn-ME"/>
        </w:rPr>
        <w:t>Nenam</w:t>
      </w:r>
      <w:r w:rsidR="00A16301" w:rsidRPr="00AB5B90">
        <w:rPr>
          <w:sz w:val="22"/>
          <w:szCs w:val="22"/>
          <w:lang w:val="sr-Latn-ME"/>
        </w:rPr>
        <w:t>j</w:t>
      </w:r>
      <w:r w:rsidRPr="00AB5B90">
        <w:rPr>
          <w:sz w:val="22"/>
          <w:szCs w:val="22"/>
          <w:lang w:val="sr-Latn-ME"/>
        </w:rPr>
        <w:t>eran visok unos može dovesti do trovanja koje može biti fatalno, posebno kod d</w:t>
      </w:r>
      <w:r w:rsidR="00A16301" w:rsidRPr="00AB5B90">
        <w:rPr>
          <w:sz w:val="22"/>
          <w:szCs w:val="22"/>
          <w:lang w:val="sr-Latn-ME"/>
        </w:rPr>
        <w:t>j</w:t>
      </w:r>
      <w:r w:rsidRPr="00AB5B90">
        <w:rPr>
          <w:sz w:val="22"/>
          <w:szCs w:val="22"/>
          <w:lang w:val="sr-Latn-ME"/>
        </w:rPr>
        <w:t>ece (vid</w:t>
      </w:r>
      <w:r w:rsidR="00A16301" w:rsidRPr="00AB5B90">
        <w:rPr>
          <w:sz w:val="22"/>
          <w:szCs w:val="22"/>
          <w:lang w:val="sr-Latn-ME"/>
        </w:rPr>
        <w:t>j</w:t>
      </w:r>
      <w:r w:rsidRPr="00AB5B90">
        <w:rPr>
          <w:sz w:val="22"/>
          <w:szCs w:val="22"/>
          <w:lang w:val="sr-Latn-ME"/>
        </w:rPr>
        <w:t>eti d</w:t>
      </w:r>
      <w:r w:rsidR="00A16301" w:rsidRPr="00AB5B90">
        <w:rPr>
          <w:sz w:val="22"/>
          <w:szCs w:val="22"/>
          <w:lang w:val="sr-Latn-ME"/>
        </w:rPr>
        <w:t>i</w:t>
      </w:r>
      <w:r w:rsidRPr="00AB5B90">
        <w:rPr>
          <w:sz w:val="22"/>
          <w:szCs w:val="22"/>
          <w:lang w:val="sr-Latn-ME"/>
        </w:rPr>
        <w:t>o 4.9).</w:t>
      </w:r>
    </w:p>
    <w:p w14:paraId="4A5E9A6C" w14:textId="5A5B60EA" w:rsidR="00D311CD" w:rsidRPr="00AB5B90" w:rsidRDefault="00407C19" w:rsidP="00E35361">
      <w:pPr>
        <w:numPr>
          <w:ilvl w:val="0"/>
          <w:numId w:val="16"/>
        </w:numPr>
        <w:tabs>
          <w:tab w:val="left" w:pos="284"/>
        </w:tabs>
        <w:jc w:val="both"/>
        <w:rPr>
          <w:sz w:val="22"/>
          <w:szCs w:val="22"/>
          <w:lang w:val="sr-Latn-ME"/>
        </w:rPr>
      </w:pPr>
      <w:r w:rsidRPr="00AB5B90">
        <w:rPr>
          <w:sz w:val="22"/>
          <w:szCs w:val="22"/>
          <w:lang w:val="sr-Latn-ME"/>
        </w:rPr>
        <w:t xml:space="preserve">Lijek </w:t>
      </w:r>
      <w:proofErr w:type="spellStart"/>
      <w:r w:rsidR="00D311CD" w:rsidRPr="00AB5B90">
        <w:rPr>
          <w:sz w:val="22"/>
          <w:szCs w:val="22"/>
          <w:lang w:val="sr-Latn-ME"/>
        </w:rPr>
        <w:t>Tot’Hema</w:t>
      </w:r>
      <w:proofErr w:type="spellEnd"/>
      <w:r w:rsidR="00D311CD" w:rsidRPr="00AB5B90">
        <w:rPr>
          <w:sz w:val="22"/>
          <w:szCs w:val="22"/>
          <w:lang w:val="sr-Latn-ME"/>
        </w:rPr>
        <w:t xml:space="preserve"> se ne sm</w:t>
      </w:r>
      <w:r w:rsidR="00A16301" w:rsidRPr="00AB5B90">
        <w:rPr>
          <w:sz w:val="22"/>
          <w:szCs w:val="22"/>
          <w:lang w:val="sr-Latn-ME"/>
        </w:rPr>
        <w:t>ij</w:t>
      </w:r>
      <w:r w:rsidR="00D311CD" w:rsidRPr="00AB5B90">
        <w:rPr>
          <w:sz w:val="22"/>
          <w:szCs w:val="22"/>
          <w:lang w:val="sr-Latn-ME"/>
        </w:rPr>
        <w:t>e prim</w:t>
      </w:r>
      <w:r w:rsidR="00A16301" w:rsidRPr="00AB5B90">
        <w:rPr>
          <w:sz w:val="22"/>
          <w:szCs w:val="22"/>
          <w:lang w:val="sr-Latn-ME"/>
        </w:rPr>
        <w:t>j</w:t>
      </w:r>
      <w:r w:rsidR="00D311CD" w:rsidRPr="00AB5B90">
        <w:rPr>
          <w:sz w:val="22"/>
          <w:szCs w:val="22"/>
          <w:lang w:val="sr-Latn-ME"/>
        </w:rPr>
        <w:t>enjivati intravenozno.</w:t>
      </w:r>
    </w:p>
    <w:p w14:paraId="2A570484" w14:textId="0A5FD5FB" w:rsidR="00D311CD" w:rsidRPr="00AB5B90" w:rsidRDefault="00D311CD">
      <w:pPr>
        <w:numPr>
          <w:ilvl w:val="0"/>
          <w:numId w:val="16"/>
        </w:numPr>
        <w:tabs>
          <w:tab w:val="left" w:pos="284"/>
        </w:tabs>
        <w:jc w:val="both"/>
        <w:rPr>
          <w:sz w:val="22"/>
          <w:szCs w:val="22"/>
          <w:lang w:val="sr-Latn-ME"/>
        </w:rPr>
      </w:pPr>
      <w:r w:rsidRPr="00AB5B90">
        <w:rPr>
          <w:sz w:val="22"/>
          <w:szCs w:val="22"/>
          <w:lang w:val="sr-Latn-ME"/>
        </w:rPr>
        <w:t>Slučajna aspiracija tokom prim</w:t>
      </w:r>
      <w:r w:rsidR="00A16301" w:rsidRPr="00AB5B90">
        <w:rPr>
          <w:sz w:val="22"/>
          <w:szCs w:val="22"/>
          <w:lang w:val="sr-Latn-ME"/>
        </w:rPr>
        <w:t>j</w:t>
      </w:r>
      <w:r w:rsidRPr="00AB5B90">
        <w:rPr>
          <w:sz w:val="22"/>
          <w:szCs w:val="22"/>
          <w:lang w:val="sr-Latn-ME"/>
        </w:rPr>
        <w:t xml:space="preserve">ene oralnog rastvora gvožđa može uzrokovati </w:t>
      </w:r>
      <w:proofErr w:type="spellStart"/>
      <w:r w:rsidRPr="00AB5B90">
        <w:rPr>
          <w:sz w:val="22"/>
          <w:szCs w:val="22"/>
          <w:lang w:val="sr-Latn-ME"/>
        </w:rPr>
        <w:t>granulome</w:t>
      </w:r>
      <w:proofErr w:type="spellEnd"/>
      <w:r w:rsidRPr="00AB5B90">
        <w:rPr>
          <w:sz w:val="22"/>
          <w:szCs w:val="22"/>
          <w:lang w:val="sr-Latn-ME"/>
        </w:rPr>
        <w:t xml:space="preserve">, </w:t>
      </w:r>
      <w:proofErr w:type="spellStart"/>
      <w:r w:rsidRPr="00AB5B90">
        <w:rPr>
          <w:sz w:val="22"/>
          <w:szCs w:val="22"/>
          <w:lang w:val="sr-Latn-ME"/>
        </w:rPr>
        <w:t>lezije</w:t>
      </w:r>
      <w:proofErr w:type="spellEnd"/>
      <w:r w:rsidRPr="00AB5B90">
        <w:rPr>
          <w:sz w:val="22"/>
          <w:szCs w:val="22"/>
          <w:lang w:val="sr-Latn-ME"/>
        </w:rPr>
        <w:t xml:space="preserve"> ili </w:t>
      </w:r>
      <w:proofErr w:type="spellStart"/>
      <w:r w:rsidRPr="00AB5B90">
        <w:rPr>
          <w:sz w:val="22"/>
          <w:szCs w:val="22"/>
          <w:lang w:val="sr-Latn-ME"/>
        </w:rPr>
        <w:t>nekrozu</w:t>
      </w:r>
      <w:proofErr w:type="spellEnd"/>
      <w:r w:rsidRPr="00AB5B90">
        <w:rPr>
          <w:sz w:val="22"/>
          <w:szCs w:val="22"/>
          <w:lang w:val="sr-Latn-ME"/>
        </w:rPr>
        <w:t xml:space="preserve"> bronhijalne </w:t>
      </w:r>
      <w:proofErr w:type="spellStart"/>
      <w:r w:rsidRPr="00AB5B90">
        <w:rPr>
          <w:sz w:val="22"/>
          <w:szCs w:val="22"/>
          <w:lang w:val="sr-Latn-ME"/>
        </w:rPr>
        <w:t>mukoze</w:t>
      </w:r>
      <w:proofErr w:type="spellEnd"/>
      <w:r w:rsidRPr="00AB5B90">
        <w:rPr>
          <w:sz w:val="22"/>
          <w:szCs w:val="22"/>
          <w:lang w:val="sr-Latn-ME"/>
        </w:rPr>
        <w:t xml:space="preserve"> koji može rezultirati kašljem, </w:t>
      </w:r>
      <w:proofErr w:type="spellStart"/>
      <w:r w:rsidRPr="00AB5B90">
        <w:rPr>
          <w:sz w:val="22"/>
          <w:szCs w:val="22"/>
          <w:lang w:val="sr-Latn-ME"/>
        </w:rPr>
        <w:t>hemoptizom</w:t>
      </w:r>
      <w:proofErr w:type="spellEnd"/>
      <w:r w:rsidRPr="00AB5B90">
        <w:rPr>
          <w:sz w:val="22"/>
          <w:szCs w:val="22"/>
          <w:lang w:val="sr-Latn-ME"/>
        </w:rPr>
        <w:t xml:space="preserve"> i/ili </w:t>
      </w:r>
      <w:proofErr w:type="spellStart"/>
      <w:r w:rsidRPr="00AB5B90">
        <w:rPr>
          <w:sz w:val="22"/>
          <w:szCs w:val="22"/>
          <w:lang w:val="sr-Latn-ME"/>
        </w:rPr>
        <w:t>bronhostenozom</w:t>
      </w:r>
      <w:proofErr w:type="spellEnd"/>
      <w:r w:rsidRPr="00AB5B90">
        <w:rPr>
          <w:sz w:val="22"/>
          <w:szCs w:val="22"/>
          <w:lang w:val="sr-Latn-ME"/>
        </w:rPr>
        <w:t xml:space="preserve"> (čak i kada se aspiracija dogodila danima do m</w:t>
      </w:r>
      <w:r w:rsidR="00A16301" w:rsidRPr="00AB5B90">
        <w:rPr>
          <w:sz w:val="22"/>
          <w:szCs w:val="22"/>
          <w:lang w:val="sr-Latn-ME"/>
        </w:rPr>
        <w:t>j</w:t>
      </w:r>
      <w:r w:rsidRPr="00AB5B90">
        <w:rPr>
          <w:sz w:val="22"/>
          <w:szCs w:val="22"/>
          <w:lang w:val="sr-Latn-ME"/>
        </w:rPr>
        <w:t>esecima pr</w:t>
      </w:r>
      <w:r w:rsidR="00A16301" w:rsidRPr="00AB5B90">
        <w:rPr>
          <w:sz w:val="22"/>
          <w:szCs w:val="22"/>
          <w:lang w:val="sr-Latn-ME"/>
        </w:rPr>
        <w:t>ij</w:t>
      </w:r>
      <w:r w:rsidRPr="00AB5B90">
        <w:rPr>
          <w:sz w:val="22"/>
          <w:szCs w:val="22"/>
          <w:lang w:val="sr-Latn-ME"/>
        </w:rPr>
        <w:t>e pojave ovih simptoma). Stariji pacijenti i pacijenti sa poteškoćama tokom gutanja su posebno u riziku od aspiracije. U slučaju sumnje na aspiraciju pacijenti treba da potraže medicinsku pomoć.</w:t>
      </w:r>
    </w:p>
    <w:p w14:paraId="5B8B2619" w14:textId="348835F6" w:rsidR="00F95DB3" w:rsidRPr="00AB5B90" w:rsidDel="00D311CD" w:rsidRDefault="00D311CD">
      <w:pPr>
        <w:numPr>
          <w:ilvl w:val="0"/>
          <w:numId w:val="16"/>
        </w:numPr>
        <w:tabs>
          <w:tab w:val="left" w:pos="284"/>
        </w:tabs>
        <w:jc w:val="both"/>
        <w:rPr>
          <w:sz w:val="22"/>
          <w:szCs w:val="22"/>
          <w:lang w:val="sr-Latn-ME"/>
        </w:rPr>
      </w:pPr>
      <w:r w:rsidRPr="00AB5B90">
        <w:rPr>
          <w:sz w:val="22"/>
          <w:szCs w:val="22"/>
          <w:lang w:val="sr-Latn-ME"/>
        </w:rPr>
        <w:t>Pacijenti sa r</w:t>
      </w:r>
      <w:r w:rsidR="00A16301" w:rsidRPr="00AB5B90">
        <w:rPr>
          <w:sz w:val="22"/>
          <w:szCs w:val="22"/>
          <w:lang w:val="sr-Latn-ME"/>
        </w:rPr>
        <w:t>ij</w:t>
      </w:r>
      <w:r w:rsidRPr="00AB5B90">
        <w:rPr>
          <w:sz w:val="22"/>
          <w:szCs w:val="22"/>
          <w:lang w:val="sr-Latn-ME"/>
        </w:rPr>
        <w:t xml:space="preserve">etkim </w:t>
      </w:r>
      <w:proofErr w:type="spellStart"/>
      <w:r w:rsidRPr="00AB5B90">
        <w:rPr>
          <w:sz w:val="22"/>
          <w:szCs w:val="22"/>
          <w:lang w:val="sr-Latn-ME"/>
        </w:rPr>
        <w:t>nasl</w:t>
      </w:r>
      <w:r w:rsidR="00A16301" w:rsidRPr="00AB5B90">
        <w:rPr>
          <w:sz w:val="22"/>
          <w:szCs w:val="22"/>
          <w:lang w:val="sr-Latn-ME"/>
        </w:rPr>
        <w:t>j</w:t>
      </w:r>
      <w:r w:rsidRPr="00AB5B90">
        <w:rPr>
          <w:sz w:val="22"/>
          <w:szCs w:val="22"/>
          <w:lang w:val="sr-Latn-ME"/>
        </w:rPr>
        <w:t>ednim</w:t>
      </w:r>
      <w:proofErr w:type="spellEnd"/>
      <w:r w:rsidRPr="00AB5B90">
        <w:rPr>
          <w:sz w:val="22"/>
          <w:szCs w:val="22"/>
          <w:lang w:val="sr-Latn-ME"/>
        </w:rPr>
        <w:t xml:space="preserve"> poremećajem </w:t>
      </w:r>
      <w:proofErr w:type="spellStart"/>
      <w:r w:rsidRPr="00AB5B90">
        <w:rPr>
          <w:sz w:val="22"/>
          <w:szCs w:val="22"/>
          <w:lang w:val="sr-Latn-ME"/>
        </w:rPr>
        <w:t>nepodnošenja</w:t>
      </w:r>
      <w:proofErr w:type="spellEnd"/>
      <w:r w:rsidRPr="00AB5B90">
        <w:rPr>
          <w:sz w:val="22"/>
          <w:szCs w:val="22"/>
          <w:lang w:val="sr-Latn-ME"/>
        </w:rPr>
        <w:t xml:space="preserve"> </w:t>
      </w:r>
      <w:proofErr w:type="spellStart"/>
      <w:r w:rsidRPr="00AB5B90">
        <w:rPr>
          <w:sz w:val="22"/>
          <w:szCs w:val="22"/>
          <w:lang w:val="sr-Latn-ME"/>
        </w:rPr>
        <w:t>fruktoze</w:t>
      </w:r>
      <w:proofErr w:type="spellEnd"/>
      <w:r w:rsidRPr="00AB5B90">
        <w:rPr>
          <w:sz w:val="22"/>
          <w:szCs w:val="22"/>
          <w:lang w:val="sr-Latn-ME"/>
        </w:rPr>
        <w:t xml:space="preserve">, </w:t>
      </w:r>
      <w:proofErr w:type="spellStart"/>
      <w:r w:rsidRPr="00AB5B90">
        <w:rPr>
          <w:sz w:val="22"/>
          <w:szCs w:val="22"/>
          <w:lang w:val="sr-Latn-ME"/>
        </w:rPr>
        <w:t>malapsorpcijom</w:t>
      </w:r>
      <w:proofErr w:type="spellEnd"/>
      <w:r w:rsidRPr="00AB5B90">
        <w:rPr>
          <w:sz w:val="22"/>
          <w:szCs w:val="22"/>
          <w:lang w:val="sr-Latn-ME"/>
        </w:rPr>
        <w:t xml:space="preserve"> glukoze ili </w:t>
      </w:r>
      <w:proofErr w:type="spellStart"/>
      <w:r w:rsidRPr="00AB5B90">
        <w:rPr>
          <w:sz w:val="22"/>
          <w:szCs w:val="22"/>
          <w:lang w:val="sr-Latn-ME"/>
        </w:rPr>
        <w:t>insuficijencijom</w:t>
      </w:r>
      <w:proofErr w:type="spellEnd"/>
      <w:r w:rsidRPr="00AB5B90">
        <w:rPr>
          <w:sz w:val="22"/>
          <w:szCs w:val="22"/>
          <w:lang w:val="sr-Latn-ME"/>
        </w:rPr>
        <w:t xml:space="preserve"> saharoza-</w:t>
      </w:r>
      <w:proofErr w:type="spellStart"/>
      <w:r w:rsidRPr="00AB5B90">
        <w:rPr>
          <w:sz w:val="22"/>
          <w:szCs w:val="22"/>
          <w:lang w:val="sr-Latn-ME"/>
        </w:rPr>
        <w:t>izomaltaze</w:t>
      </w:r>
      <w:proofErr w:type="spellEnd"/>
      <w:r w:rsidRPr="00AB5B90">
        <w:rPr>
          <w:sz w:val="22"/>
          <w:szCs w:val="22"/>
          <w:lang w:val="sr-Latn-ME"/>
        </w:rPr>
        <w:t>, ne bi sm</w:t>
      </w:r>
      <w:r w:rsidR="002C7E38" w:rsidRPr="00AB5B90">
        <w:rPr>
          <w:sz w:val="22"/>
          <w:szCs w:val="22"/>
          <w:lang w:val="sr-Latn-ME"/>
        </w:rPr>
        <w:t>j</w:t>
      </w:r>
      <w:r w:rsidRPr="00AB5B90">
        <w:rPr>
          <w:sz w:val="22"/>
          <w:szCs w:val="22"/>
          <w:lang w:val="sr-Latn-ME"/>
        </w:rPr>
        <w:t>eli uzimati ovaj l</w:t>
      </w:r>
      <w:r w:rsidR="002C7E38" w:rsidRPr="00AB5B90">
        <w:rPr>
          <w:sz w:val="22"/>
          <w:szCs w:val="22"/>
          <w:lang w:val="sr-Latn-ME"/>
        </w:rPr>
        <w:t>ij</w:t>
      </w:r>
      <w:r w:rsidRPr="00AB5B90">
        <w:rPr>
          <w:sz w:val="22"/>
          <w:szCs w:val="22"/>
          <w:lang w:val="sr-Latn-ME"/>
        </w:rPr>
        <w:t>ek.</w:t>
      </w:r>
      <w:r w:rsidR="00B22952" w:rsidRPr="00AB5B90">
        <w:rPr>
          <w:sz w:val="22"/>
          <w:szCs w:val="22"/>
          <w:lang w:val="sr-Latn-ME"/>
        </w:rPr>
        <w:t xml:space="preserve"> </w:t>
      </w:r>
      <w:r w:rsidR="00F95DB3" w:rsidRPr="00AB5B90" w:rsidDel="00D311CD">
        <w:rPr>
          <w:sz w:val="22"/>
          <w:szCs w:val="22"/>
          <w:u w:val="single"/>
          <w:lang w:val="sr-Latn-ME"/>
        </w:rPr>
        <w:t>Prevencija nedostatka gvožđa kod odojčadi je bazirana na ranom uvođenju raznolike hrane.</w:t>
      </w:r>
    </w:p>
    <w:p w14:paraId="1A890495" w14:textId="621E34C4" w:rsidR="004C66CC" w:rsidRPr="00AB5B90" w:rsidRDefault="004C66CC" w:rsidP="003E5B22">
      <w:pPr>
        <w:pStyle w:val="ListParagraph"/>
        <w:numPr>
          <w:ilvl w:val="0"/>
          <w:numId w:val="21"/>
        </w:numPr>
        <w:tabs>
          <w:tab w:val="left" w:pos="709"/>
          <w:tab w:val="left" w:pos="851"/>
        </w:tabs>
        <w:jc w:val="both"/>
        <w:rPr>
          <w:sz w:val="22"/>
          <w:szCs w:val="22"/>
          <w:lang w:val="sr-Latn-ME"/>
        </w:rPr>
      </w:pPr>
      <w:r w:rsidRPr="00AB5B90">
        <w:rPr>
          <w:sz w:val="22"/>
          <w:szCs w:val="22"/>
          <w:lang w:val="sr-Latn-ME"/>
        </w:rPr>
        <w:t xml:space="preserve">Prisustvo glukoze i </w:t>
      </w:r>
      <w:proofErr w:type="spellStart"/>
      <w:r w:rsidRPr="00AB5B90">
        <w:rPr>
          <w:sz w:val="22"/>
          <w:szCs w:val="22"/>
          <w:lang w:val="sr-Latn-ME"/>
        </w:rPr>
        <w:t>fruktoze</w:t>
      </w:r>
      <w:proofErr w:type="spellEnd"/>
      <w:r w:rsidRPr="00AB5B90">
        <w:rPr>
          <w:sz w:val="22"/>
          <w:szCs w:val="22"/>
          <w:lang w:val="sr-Latn-ME"/>
        </w:rPr>
        <w:t xml:space="preserve"> može štet</w:t>
      </w:r>
      <w:r w:rsidR="00BA1792" w:rsidRPr="00AB5B90">
        <w:rPr>
          <w:sz w:val="22"/>
          <w:szCs w:val="22"/>
          <w:lang w:val="sr-Latn-ME"/>
        </w:rPr>
        <w:t>iti</w:t>
      </w:r>
      <w:r w:rsidRPr="00AB5B90">
        <w:rPr>
          <w:sz w:val="22"/>
          <w:szCs w:val="22"/>
          <w:lang w:val="sr-Latn-ME"/>
        </w:rPr>
        <w:t xml:space="preserve"> zub</w:t>
      </w:r>
      <w:r w:rsidR="00BA1792" w:rsidRPr="00AB5B90">
        <w:rPr>
          <w:sz w:val="22"/>
          <w:szCs w:val="22"/>
          <w:lang w:val="sr-Latn-ME"/>
        </w:rPr>
        <w:t>ima</w:t>
      </w:r>
      <w:r w:rsidRPr="00AB5B90">
        <w:rPr>
          <w:sz w:val="22"/>
          <w:szCs w:val="22"/>
          <w:lang w:val="sr-Latn-ME"/>
        </w:rPr>
        <w:t>, u slučaju produžene upotrebe (</w:t>
      </w:r>
      <w:r w:rsidR="00D311CD" w:rsidRPr="00AB5B90">
        <w:rPr>
          <w:sz w:val="22"/>
          <w:szCs w:val="22"/>
          <w:lang w:val="sr-Latn-ME"/>
        </w:rPr>
        <w:t>najmanje 2 nedjelje</w:t>
      </w:r>
      <w:r w:rsidRPr="00AB5B90">
        <w:rPr>
          <w:sz w:val="22"/>
          <w:szCs w:val="22"/>
          <w:lang w:val="sr-Latn-ME"/>
        </w:rPr>
        <w:t>).</w:t>
      </w:r>
    </w:p>
    <w:p w14:paraId="270A7178" w14:textId="4E9442B4" w:rsidR="004C66CC" w:rsidRPr="00AB5B90" w:rsidRDefault="00626071" w:rsidP="003E5B22">
      <w:pPr>
        <w:pStyle w:val="ListParagraph"/>
        <w:numPr>
          <w:ilvl w:val="0"/>
          <w:numId w:val="17"/>
        </w:numPr>
        <w:tabs>
          <w:tab w:val="left" w:pos="540"/>
          <w:tab w:val="left" w:pos="569"/>
        </w:tabs>
        <w:jc w:val="both"/>
        <w:rPr>
          <w:sz w:val="22"/>
          <w:szCs w:val="22"/>
          <w:lang w:val="sr-Latn-ME"/>
        </w:rPr>
      </w:pPr>
      <w:r w:rsidRPr="00AB5B90">
        <w:rPr>
          <w:sz w:val="22"/>
          <w:szCs w:val="22"/>
          <w:lang w:val="sr-Latn-ME"/>
        </w:rPr>
        <w:t xml:space="preserve">   </w:t>
      </w:r>
      <w:r w:rsidR="004C66CC" w:rsidRPr="00AB5B90">
        <w:rPr>
          <w:sz w:val="22"/>
          <w:szCs w:val="22"/>
          <w:lang w:val="sr-Latn-ME"/>
        </w:rPr>
        <w:t xml:space="preserve">Ovaj lijek sadrži </w:t>
      </w:r>
      <w:r w:rsidR="00BA1792" w:rsidRPr="00AB5B90">
        <w:rPr>
          <w:sz w:val="22"/>
          <w:szCs w:val="22"/>
          <w:lang w:val="sr-Latn-ME"/>
        </w:rPr>
        <w:t>108 mg</w:t>
      </w:r>
      <w:r w:rsidR="004C66CC" w:rsidRPr="00AB5B90">
        <w:rPr>
          <w:sz w:val="22"/>
          <w:szCs w:val="22"/>
          <w:lang w:val="sr-Latn-ME"/>
        </w:rPr>
        <w:t xml:space="preserve"> etanola (alkohola), </w:t>
      </w:r>
      <w:r w:rsidR="00BA1792" w:rsidRPr="00AB5B90">
        <w:rPr>
          <w:sz w:val="22"/>
          <w:szCs w:val="22"/>
          <w:lang w:val="sr-Latn-ME"/>
        </w:rPr>
        <w:t>u svakoj</w:t>
      </w:r>
      <w:r w:rsidR="004C66CC" w:rsidRPr="00AB5B90">
        <w:rPr>
          <w:sz w:val="22"/>
          <w:szCs w:val="22"/>
          <w:lang w:val="sr-Latn-ME"/>
        </w:rPr>
        <w:t xml:space="preserve"> ampuli.</w:t>
      </w:r>
      <w:r w:rsidR="00BA1792" w:rsidRPr="00AB5B90">
        <w:rPr>
          <w:sz w:val="22"/>
          <w:szCs w:val="22"/>
          <w:lang w:val="sr-Latn-ME"/>
        </w:rPr>
        <w:t xml:space="preserve"> Količina alkohola u 10 m</w:t>
      </w:r>
      <w:r w:rsidR="00E35361" w:rsidRPr="00AB5B90">
        <w:rPr>
          <w:sz w:val="22"/>
          <w:szCs w:val="22"/>
          <w:lang w:val="sr-Latn-ME"/>
        </w:rPr>
        <w:t>l</w:t>
      </w:r>
      <w:r w:rsidR="00BA1792" w:rsidRPr="00AB5B90">
        <w:rPr>
          <w:sz w:val="22"/>
          <w:szCs w:val="22"/>
          <w:lang w:val="sr-Latn-ME"/>
        </w:rPr>
        <w:t xml:space="preserve"> ovog lijeka je jednaka </w:t>
      </w:r>
      <w:r w:rsidR="00F95DB3" w:rsidRPr="00AB5B90">
        <w:rPr>
          <w:sz w:val="22"/>
          <w:szCs w:val="22"/>
          <w:lang w:val="sr-Latn-ME"/>
        </w:rPr>
        <w:t xml:space="preserve">količini </w:t>
      </w:r>
      <w:r w:rsidR="00BA1792" w:rsidRPr="00AB5B90">
        <w:rPr>
          <w:sz w:val="22"/>
          <w:szCs w:val="22"/>
          <w:lang w:val="sr-Latn-ME"/>
        </w:rPr>
        <w:t>manj</w:t>
      </w:r>
      <w:r w:rsidR="00F95DB3" w:rsidRPr="00AB5B90">
        <w:rPr>
          <w:sz w:val="22"/>
          <w:szCs w:val="22"/>
          <w:lang w:val="sr-Latn-ME"/>
        </w:rPr>
        <w:t>oj</w:t>
      </w:r>
      <w:r w:rsidR="00BA1792" w:rsidRPr="00AB5B90">
        <w:rPr>
          <w:sz w:val="22"/>
          <w:szCs w:val="22"/>
          <w:lang w:val="sr-Latn-ME"/>
        </w:rPr>
        <w:t xml:space="preserve"> od 3 m</w:t>
      </w:r>
      <w:r w:rsidR="00E35361" w:rsidRPr="00AB5B90">
        <w:rPr>
          <w:sz w:val="22"/>
          <w:szCs w:val="22"/>
          <w:lang w:val="sr-Latn-ME"/>
        </w:rPr>
        <w:t>l</w:t>
      </w:r>
      <w:r w:rsidR="00BA1792" w:rsidRPr="00AB5B90">
        <w:rPr>
          <w:sz w:val="22"/>
          <w:szCs w:val="22"/>
          <w:lang w:val="sr-Latn-ME"/>
        </w:rPr>
        <w:t xml:space="preserve"> piva ili 2 m</w:t>
      </w:r>
      <w:r w:rsidR="00E35361" w:rsidRPr="00AB5B90">
        <w:rPr>
          <w:sz w:val="22"/>
          <w:szCs w:val="22"/>
          <w:lang w:val="sr-Latn-ME"/>
        </w:rPr>
        <w:t>l</w:t>
      </w:r>
      <w:r w:rsidR="00BA1792" w:rsidRPr="00AB5B90">
        <w:rPr>
          <w:sz w:val="22"/>
          <w:szCs w:val="22"/>
          <w:lang w:val="sr-Latn-ME"/>
        </w:rPr>
        <w:t xml:space="preserve"> vina. Mala količina alkohola u ovom lijeku neće imati primjetne efekte.</w:t>
      </w:r>
    </w:p>
    <w:p w14:paraId="6B763C98" w14:textId="28CFCF41" w:rsidR="00BA1792" w:rsidRPr="00AB5B90" w:rsidRDefault="00626071" w:rsidP="003E5B22">
      <w:pPr>
        <w:pStyle w:val="ListParagraph"/>
        <w:numPr>
          <w:ilvl w:val="0"/>
          <w:numId w:val="17"/>
        </w:numPr>
        <w:tabs>
          <w:tab w:val="left" w:pos="540"/>
          <w:tab w:val="left" w:pos="569"/>
        </w:tabs>
        <w:jc w:val="both"/>
        <w:rPr>
          <w:sz w:val="22"/>
          <w:szCs w:val="22"/>
          <w:lang w:val="sr-Latn-ME"/>
        </w:rPr>
      </w:pPr>
      <w:r w:rsidRPr="00AB5B90">
        <w:rPr>
          <w:sz w:val="22"/>
          <w:szCs w:val="22"/>
          <w:lang w:val="sr-Latn-ME"/>
        </w:rPr>
        <w:t xml:space="preserve">   </w:t>
      </w:r>
      <w:r w:rsidR="00BA1792" w:rsidRPr="00AB5B90">
        <w:rPr>
          <w:sz w:val="22"/>
          <w:szCs w:val="22"/>
          <w:lang w:val="sr-Latn-ME"/>
        </w:rPr>
        <w:t xml:space="preserve">Ovaj lijek sadrži manje od 1 </w:t>
      </w:r>
      <w:proofErr w:type="spellStart"/>
      <w:r w:rsidR="00BA1792" w:rsidRPr="00AB5B90">
        <w:rPr>
          <w:sz w:val="22"/>
          <w:szCs w:val="22"/>
          <w:lang w:val="sr-Latn-ME"/>
        </w:rPr>
        <w:t>mmol</w:t>
      </w:r>
      <w:proofErr w:type="spellEnd"/>
      <w:r w:rsidR="00BA1792" w:rsidRPr="00AB5B90">
        <w:rPr>
          <w:sz w:val="22"/>
          <w:szCs w:val="22"/>
          <w:lang w:val="sr-Latn-ME"/>
        </w:rPr>
        <w:t xml:space="preserve"> natrijuma (23 mg) u ampuli od 10 m</w:t>
      </w:r>
      <w:r w:rsidR="00E35361" w:rsidRPr="00AB5B90">
        <w:rPr>
          <w:sz w:val="22"/>
          <w:szCs w:val="22"/>
          <w:lang w:val="sr-Latn-ME"/>
        </w:rPr>
        <w:t>l</w:t>
      </w:r>
      <w:r w:rsidR="00BA1792" w:rsidRPr="00AB5B90">
        <w:rPr>
          <w:sz w:val="22"/>
          <w:szCs w:val="22"/>
          <w:lang w:val="sr-Latn-ME"/>
        </w:rPr>
        <w:t>, u suštini je “bez natrijuma“.</w:t>
      </w:r>
    </w:p>
    <w:p w14:paraId="59010667" w14:textId="474EBE9D" w:rsidR="00F95DB3" w:rsidRPr="00AB5B90" w:rsidRDefault="00F95DB3" w:rsidP="003E5B22">
      <w:pPr>
        <w:numPr>
          <w:ilvl w:val="0"/>
          <w:numId w:val="18"/>
        </w:numPr>
        <w:tabs>
          <w:tab w:val="left" w:pos="284"/>
        </w:tabs>
        <w:jc w:val="both"/>
        <w:rPr>
          <w:sz w:val="22"/>
          <w:szCs w:val="22"/>
          <w:lang w:val="sr-Latn-ME"/>
        </w:rPr>
      </w:pPr>
      <w:r w:rsidRPr="00AB5B90">
        <w:rPr>
          <w:sz w:val="22"/>
          <w:szCs w:val="22"/>
          <w:lang w:val="sr-Latn-ME"/>
        </w:rPr>
        <w:lastRenderedPageBreak/>
        <w:t>Ovaj l</w:t>
      </w:r>
      <w:r w:rsidR="002C7E38" w:rsidRPr="00AB5B90">
        <w:rPr>
          <w:sz w:val="22"/>
          <w:szCs w:val="22"/>
          <w:lang w:val="sr-Latn-ME"/>
        </w:rPr>
        <w:t>ij</w:t>
      </w:r>
      <w:r w:rsidRPr="00AB5B90">
        <w:rPr>
          <w:sz w:val="22"/>
          <w:szCs w:val="22"/>
          <w:lang w:val="sr-Latn-ME"/>
        </w:rPr>
        <w:t xml:space="preserve">ek sadrži 20 mg natrijum </w:t>
      </w:r>
      <w:proofErr w:type="spellStart"/>
      <w:r w:rsidRPr="00AB5B90">
        <w:rPr>
          <w:sz w:val="22"/>
          <w:szCs w:val="22"/>
          <w:lang w:val="sr-Latn-ME"/>
        </w:rPr>
        <w:t>benzoata</w:t>
      </w:r>
      <w:proofErr w:type="spellEnd"/>
      <w:r w:rsidRPr="00AB5B90">
        <w:rPr>
          <w:sz w:val="22"/>
          <w:szCs w:val="22"/>
          <w:lang w:val="sr-Latn-ME"/>
        </w:rPr>
        <w:t xml:space="preserve"> u ampuli od 10 m</w:t>
      </w:r>
      <w:r w:rsidR="00E35361" w:rsidRPr="00AB5B90">
        <w:rPr>
          <w:sz w:val="22"/>
          <w:szCs w:val="22"/>
          <w:lang w:val="sr-Latn-ME"/>
        </w:rPr>
        <w:t>l</w:t>
      </w:r>
      <w:r w:rsidRPr="00AB5B90">
        <w:rPr>
          <w:sz w:val="22"/>
          <w:szCs w:val="22"/>
          <w:lang w:val="sr-Latn-ME"/>
        </w:rPr>
        <w:t xml:space="preserve">. Natrijum </w:t>
      </w:r>
      <w:proofErr w:type="spellStart"/>
      <w:r w:rsidRPr="00AB5B90">
        <w:rPr>
          <w:sz w:val="22"/>
          <w:szCs w:val="22"/>
          <w:lang w:val="sr-Latn-ME"/>
        </w:rPr>
        <w:t>benzoat</w:t>
      </w:r>
      <w:proofErr w:type="spellEnd"/>
      <w:r w:rsidRPr="00AB5B90">
        <w:rPr>
          <w:sz w:val="22"/>
          <w:szCs w:val="22"/>
          <w:lang w:val="sr-Latn-ME"/>
        </w:rPr>
        <w:t xml:space="preserve"> može povećati žuticu (žutilo kože i očiju) kod </w:t>
      </w:r>
      <w:proofErr w:type="spellStart"/>
      <w:r w:rsidRPr="00AB5B90">
        <w:rPr>
          <w:sz w:val="22"/>
          <w:szCs w:val="22"/>
          <w:lang w:val="sr-Latn-ME"/>
        </w:rPr>
        <w:t>novoređenčadi</w:t>
      </w:r>
      <w:proofErr w:type="spellEnd"/>
      <w:r w:rsidRPr="00AB5B90">
        <w:rPr>
          <w:sz w:val="22"/>
          <w:szCs w:val="22"/>
          <w:lang w:val="sr-Latn-ME"/>
        </w:rPr>
        <w:t xml:space="preserve"> (starosti do 4 ned</w:t>
      </w:r>
      <w:r w:rsidR="002C7E38" w:rsidRPr="00AB5B90">
        <w:rPr>
          <w:sz w:val="22"/>
          <w:szCs w:val="22"/>
          <w:lang w:val="sr-Latn-ME"/>
        </w:rPr>
        <w:t>j</w:t>
      </w:r>
      <w:r w:rsidRPr="00AB5B90">
        <w:rPr>
          <w:sz w:val="22"/>
          <w:szCs w:val="22"/>
          <w:lang w:val="sr-Latn-ME"/>
        </w:rPr>
        <w:t>elje).</w:t>
      </w:r>
    </w:p>
    <w:p w14:paraId="175F9468" w14:textId="328B198C" w:rsidR="00F95DB3" w:rsidRPr="00AB5B90" w:rsidRDefault="00F95DB3" w:rsidP="003E5B22">
      <w:pPr>
        <w:numPr>
          <w:ilvl w:val="0"/>
          <w:numId w:val="18"/>
        </w:numPr>
        <w:tabs>
          <w:tab w:val="left" w:pos="284"/>
        </w:tabs>
        <w:jc w:val="both"/>
        <w:rPr>
          <w:sz w:val="22"/>
          <w:szCs w:val="22"/>
          <w:lang w:val="sr-Latn-ME"/>
        </w:rPr>
      </w:pPr>
      <w:r w:rsidRPr="00AB5B90">
        <w:rPr>
          <w:sz w:val="22"/>
          <w:szCs w:val="22"/>
          <w:lang w:val="sr-Latn-ME"/>
        </w:rPr>
        <w:t xml:space="preserve">Pacijente sa </w:t>
      </w:r>
      <w:proofErr w:type="spellStart"/>
      <w:r w:rsidRPr="00AB5B90">
        <w:rPr>
          <w:sz w:val="22"/>
          <w:szCs w:val="22"/>
          <w:lang w:val="sr-Latn-ME"/>
        </w:rPr>
        <w:t>disfunkcijom</w:t>
      </w:r>
      <w:proofErr w:type="spellEnd"/>
      <w:r w:rsidRPr="00AB5B90">
        <w:rPr>
          <w:sz w:val="22"/>
          <w:szCs w:val="22"/>
          <w:lang w:val="sr-Latn-ME"/>
        </w:rPr>
        <w:t xml:space="preserve"> jetre uključujući alkoholnu bolest jetre, </w:t>
      </w:r>
      <w:proofErr w:type="spellStart"/>
      <w:r w:rsidRPr="00AB5B90">
        <w:rPr>
          <w:sz w:val="22"/>
          <w:szCs w:val="22"/>
          <w:lang w:val="sr-Latn-ME"/>
        </w:rPr>
        <w:t>ne</w:t>
      </w:r>
      <w:r w:rsidR="002C7E38" w:rsidRPr="00AB5B90">
        <w:rPr>
          <w:sz w:val="22"/>
          <w:szCs w:val="22"/>
          <w:lang w:val="sr-Latn-ME"/>
        </w:rPr>
        <w:t>a</w:t>
      </w:r>
      <w:r w:rsidRPr="00AB5B90">
        <w:rPr>
          <w:sz w:val="22"/>
          <w:szCs w:val="22"/>
          <w:lang w:val="sr-Latn-ME"/>
        </w:rPr>
        <w:t>lkoholnu</w:t>
      </w:r>
      <w:proofErr w:type="spellEnd"/>
      <w:r w:rsidRPr="00AB5B90">
        <w:rPr>
          <w:sz w:val="22"/>
          <w:szCs w:val="22"/>
          <w:lang w:val="sr-Latn-ME"/>
        </w:rPr>
        <w:t xml:space="preserve"> bolest masne jetre i virusnim hepatitisom trebalo bi oprezno l</w:t>
      </w:r>
      <w:r w:rsidR="002C7E38" w:rsidRPr="00AB5B90">
        <w:rPr>
          <w:sz w:val="22"/>
          <w:szCs w:val="22"/>
          <w:lang w:val="sr-Latn-ME"/>
        </w:rPr>
        <w:t>ij</w:t>
      </w:r>
      <w:r w:rsidRPr="00AB5B90">
        <w:rPr>
          <w:sz w:val="22"/>
          <w:szCs w:val="22"/>
          <w:lang w:val="sr-Latn-ME"/>
        </w:rPr>
        <w:t>ečiti ovim l</w:t>
      </w:r>
      <w:r w:rsidR="002C7E38" w:rsidRPr="00AB5B90">
        <w:rPr>
          <w:sz w:val="22"/>
          <w:szCs w:val="22"/>
          <w:lang w:val="sr-Latn-ME"/>
        </w:rPr>
        <w:t>ij</w:t>
      </w:r>
      <w:r w:rsidRPr="00AB5B90">
        <w:rPr>
          <w:sz w:val="22"/>
          <w:szCs w:val="22"/>
          <w:lang w:val="sr-Latn-ME"/>
        </w:rPr>
        <w:t xml:space="preserve">ekom, kao i pacijente sa gastrointestinalnim bolestima kao što su hronična </w:t>
      </w:r>
      <w:proofErr w:type="spellStart"/>
      <w:r w:rsidRPr="00AB5B90">
        <w:rPr>
          <w:sz w:val="22"/>
          <w:szCs w:val="22"/>
          <w:lang w:val="sr-Latn-ME"/>
        </w:rPr>
        <w:t>inflamatorna</w:t>
      </w:r>
      <w:proofErr w:type="spellEnd"/>
      <w:r w:rsidRPr="00AB5B90">
        <w:rPr>
          <w:sz w:val="22"/>
          <w:szCs w:val="22"/>
          <w:lang w:val="sr-Latn-ME"/>
        </w:rPr>
        <w:t xml:space="preserve"> bolest cr</w:t>
      </w:r>
      <w:r w:rsidR="002C7E38" w:rsidRPr="00AB5B90">
        <w:rPr>
          <w:sz w:val="22"/>
          <w:szCs w:val="22"/>
          <w:lang w:val="sr-Latn-ME"/>
        </w:rPr>
        <w:t>ij</w:t>
      </w:r>
      <w:r w:rsidRPr="00AB5B90">
        <w:rPr>
          <w:sz w:val="22"/>
          <w:szCs w:val="22"/>
          <w:lang w:val="sr-Latn-ME"/>
        </w:rPr>
        <w:t xml:space="preserve">eva, </w:t>
      </w:r>
      <w:proofErr w:type="spellStart"/>
      <w:r w:rsidRPr="00AB5B90">
        <w:rPr>
          <w:sz w:val="22"/>
          <w:szCs w:val="22"/>
          <w:lang w:val="sr-Latn-ME"/>
        </w:rPr>
        <w:t>stenoza</w:t>
      </w:r>
      <w:proofErr w:type="spellEnd"/>
      <w:r w:rsidRPr="00AB5B90">
        <w:rPr>
          <w:sz w:val="22"/>
          <w:szCs w:val="22"/>
          <w:lang w:val="sr-Latn-ME"/>
        </w:rPr>
        <w:t xml:space="preserve"> cr</w:t>
      </w:r>
      <w:r w:rsidR="002C7E38" w:rsidRPr="00AB5B90">
        <w:rPr>
          <w:sz w:val="22"/>
          <w:szCs w:val="22"/>
          <w:lang w:val="sr-Latn-ME"/>
        </w:rPr>
        <w:t>ij</w:t>
      </w:r>
      <w:r w:rsidRPr="00AB5B90">
        <w:rPr>
          <w:sz w:val="22"/>
          <w:szCs w:val="22"/>
          <w:lang w:val="sr-Latn-ME"/>
        </w:rPr>
        <w:t xml:space="preserve">eva, </w:t>
      </w:r>
      <w:proofErr w:type="spellStart"/>
      <w:r w:rsidRPr="00AB5B90">
        <w:rPr>
          <w:sz w:val="22"/>
          <w:szCs w:val="22"/>
          <w:lang w:val="sr-Latn-ME"/>
        </w:rPr>
        <w:t>divertikula</w:t>
      </w:r>
      <w:proofErr w:type="spellEnd"/>
      <w:r w:rsidRPr="00AB5B90">
        <w:rPr>
          <w:sz w:val="22"/>
          <w:szCs w:val="22"/>
          <w:lang w:val="sr-Latn-ME"/>
        </w:rPr>
        <w:t xml:space="preserve">, gastritis i čir želuca. </w:t>
      </w:r>
    </w:p>
    <w:p w14:paraId="48CD1E57" w14:textId="476003E2" w:rsidR="00F95DB3" w:rsidRPr="00AB5B90" w:rsidRDefault="00F95DB3" w:rsidP="003E5B22">
      <w:pPr>
        <w:numPr>
          <w:ilvl w:val="0"/>
          <w:numId w:val="18"/>
        </w:numPr>
        <w:tabs>
          <w:tab w:val="left" w:pos="284"/>
        </w:tabs>
        <w:jc w:val="both"/>
        <w:rPr>
          <w:sz w:val="22"/>
          <w:szCs w:val="22"/>
          <w:lang w:val="sr-Latn-ME"/>
        </w:rPr>
      </w:pPr>
      <w:r w:rsidRPr="00AB5B90">
        <w:rPr>
          <w:sz w:val="22"/>
          <w:szCs w:val="22"/>
          <w:lang w:val="sr-Latn-ME"/>
        </w:rPr>
        <w:t>Pacijenti sa oštećenom funkcijom bubrega mogu imati povećanu potrebu za gvožđem i zaht</w:t>
      </w:r>
      <w:r w:rsidR="00407C19" w:rsidRPr="00AB5B90">
        <w:rPr>
          <w:sz w:val="22"/>
          <w:szCs w:val="22"/>
          <w:lang w:val="sr-Latn-ME"/>
        </w:rPr>
        <w:t>i</w:t>
      </w:r>
      <w:r w:rsidR="00A4582D" w:rsidRPr="00AB5B90">
        <w:rPr>
          <w:sz w:val="22"/>
          <w:szCs w:val="22"/>
          <w:lang w:val="sr-Latn-ME"/>
        </w:rPr>
        <w:t>j</w:t>
      </w:r>
      <w:r w:rsidRPr="00AB5B90">
        <w:rPr>
          <w:sz w:val="22"/>
          <w:szCs w:val="22"/>
          <w:lang w:val="sr-Latn-ME"/>
        </w:rPr>
        <w:t>evati dodatnu suplementaciju za l</w:t>
      </w:r>
      <w:r w:rsidR="00A4582D" w:rsidRPr="00AB5B90">
        <w:rPr>
          <w:sz w:val="22"/>
          <w:szCs w:val="22"/>
          <w:lang w:val="sr-Latn-ME"/>
        </w:rPr>
        <w:t>ij</w:t>
      </w:r>
      <w:r w:rsidRPr="00AB5B90">
        <w:rPr>
          <w:sz w:val="22"/>
          <w:szCs w:val="22"/>
          <w:lang w:val="sr-Latn-ME"/>
        </w:rPr>
        <w:t xml:space="preserve">ečenje nedostatka gvožđa ili anemije. Kod pacijenata sa oštećenom funkcijom bubrega koji nisu na dijalizi, posebno kod stadijuma 2-3, moguća je oralna </w:t>
      </w:r>
      <w:proofErr w:type="spellStart"/>
      <w:r w:rsidRPr="00AB5B90">
        <w:rPr>
          <w:sz w:val="22"/>
          <w:szCs w:val="22"/>
          <w:lang w:val="sr-Latn-ME"/>
        </w:rPr>
        <w:t>suplemenatacija</w:t>
      </w:r>
      <w:proofErr w:type="spellEnd"/>
      <w:r w:rsidRPr="00AB5B90">
        <w:rPr>
          <w:sz w:val="22"/>
          <w:szCs w:val="22"/>
          <w:lang w:val="sr-Latn-ME"/>
        </w:rPr>
        <w:t xml:space="preserve"> gvožđem ako se dobro podnose (vid</w:t>
      </w:r>
      <w:r w:rsidR="00E35361" w:rsidRPr="00AB5B90">
        <w:rPr>
          <w:sz w:val="22"/>
          <w:szCs w:val="22"/>
          <w:lang w:val="sr-Latn-ME"/>
        </w:rPr>
        <w:t>j</w:t>
      </w:r>
      <w:r w:rsidRPr="00AB5B90">
        <w:rPr>
          <w:sz w:val="22"/>
          <w:szCs w:val="22"/>
          <w:lang w:val="sr-Latn-ME"/>
        </w:rPr>
        <w:t xml:space="preserve">eti dio 4.2). Kod pacijenata sa hroničnim oštećenjem funkcije bubrega na dijalizi (stadijum </w:t>
      </w:r>
      <w:proofErr w:type="spellStart"/>
      <w:r w:rsidRPr="00AB5B90">
        <w:rPr>
          <w:sz w:val="22"/>
          <w:szCs w:val="22"/>
          <w:lang w:val="sr-Latn-ME"/>
        </w:rPr>
        <w:t>5D</w:t>
      </w:r>
      <w:proofErr w:type="spellEnd"/>
      <w:r w:rsidRPr="00AB5B90">
        <w:rPr>
          <w:sz w:val="22"/>
          <w:szCs w:val="22"/>
          <w:lang w:val="sr-Latn-ME"/>
        </w:rPr>
        <w:t>) i potencijalno kod pacijenata u stadijumima 3-5, suplementaciju gvožđem treba prim</w:t>
      </w:r>
      <w:r w:rsidR="00E35361" w:rsidRPr="00AB5B90">
        <w:rPr>
          <w:sz w:val="22"/>
          <w:szCs w:val="22"/>
          <w:lang w:val="sr-Latn-ME"/>
        </w:rPr>
        <w:t>i</w:t>
      </w:r>
      <w:r w:rsidR="00A4582D" w:rsidRPr="00AB5B90">
        <w:rPr>
          <w:sz w:val="22"/>
          <w:szCs w:val="22"/>
          <w:lang w:val="sr-Latn-ME"/>
        </w:rPr>
        <w:t>j</w:t>
      </w:r>
      <w:r w:rsidRPr="00AB5B90">
        <w:rPr>
          <w:sz w:val="22"/>
          <w:szCs w:val="22"/>
          <w:lang w:val="sr-Latn-ME"/>
        </w:rPr>
        <w:t xml:space="preserve">eniti intravenozno. </w:t>
      </w:r>
      <w:proofErr w:type="spellStart"/>
      <w:r w:rsidRPr="00AB5B90">
        <w:rPr>
          <w:sz w:val="22"/>
          <w:szCs w:val="22"/>
          <w:lang w:val="sr-Latn-ME"/>
        </w:rPr>
        <w:t>TOT’HEMA</w:t>
      </w:r>
      <w:proofErr w:type="spellEnd"/>
      <w:r w:rsidRPr="00AB5B90">
        <w:rPr>
          <w:sz w:val="22"/>
          <w:szCs w:val="22"/>
          <w:lang w:val="sr-Latn-ME"/>
        </w:rPr>
        <w:t xml:space="preserve"> se ne sm</w:t>
      </w:r>
      <w:r w:rsidR="00A4582D" w:rsidRPr="00AB5B90">
        <w:rPr>
          <w:sz w:val="22"/>
          <w:szCs w:val="22"/>
          <w:lang w:val="sr-Latn-ME"/>
        </w:rPr>
        <w:t>ij</w:t>
      </w:r>
      <w:r w:rsidRPr="00AB5B90">
        <w:rPr>
          <w:sz w:val="22"/>
          <w:szCs w:val="22"/>
          <w:lang w:val="sr-Latn-ME"/>
        </w:rPr>
        <w:t>e prim</w:t>
      </w:r>
      <w:r w:rsidR="00A4582D" w:rsidRPr="00AB5B90">
        <w:rPr>
          <w:sz w:val="22"/>
          <w:szCs w:val="22"/>
          <w:lang w:val="sr-Latn-ME"/>
        </w:rPr>
        <w:t>j</w:t>
      </w:r>
      <w:r w:rsidRPr="00AB5B90">
        <w:rPr>
          <w:sz w:val="22"/>
          <w:szCs w:val="22"/>
          <w:lang w:val="sr-Latn-ME"/>
        </w:rPr>
        <w:t>enjivati intravenozno.</w:t>
      </w:r>
    </w:p>
    <w:p w14:paraId="0011D12B" w14:textId="32F36A3F" w:rsidR="00F95DB3" w:rsidRPr="00AB5B90" w:rsidRDefault="00F95DB3" w:rsidP="003E5B22">
      <w:pPr>
        <w:numPr>
          <w:ilvl w:val="0"/>
          <w:numId w:val="18"/>
        </w:numPr>
        <w:tabs>
          <w:tab w:val="left" w:pos="284"/>
        </w:tabs>
        <w:jc w:val="both"/>
        <w:rPr>
          <w:sz w:val="22"/>
          <w:szCs w:val="22"/>
          <w:lang w:val="sr-Latn-ME"/>
        </w:rPr>
      </w:pPr>
      <w:r w:rsidRPr="00AB5B90">
        <w:rPr>
          <w:sz w:val="22"/>
          <w:szCs w:val="22"/>
          <w:lang w:val="sr-Latn-ME"/>
        </w:rPr>
        <w:t>Istovremena prim</w:t>
      </w:r>
      <w:r w:rsidR="00A4582D" w:rsidRPr="00AB5B90">
        <w:rPr>
          <w:sz w:val="22"/>
          <w:szCs w:val="22"/>
          <w:lang w:val="sr-Latn-ME"/>
        </w:rPr>
        <w:t>j</w:t>
      </w:r>
      <w:r w:rsidRPr="00AB5B90">
        <w:rPr>
          <w:sz w:val="22"/>
          <w:szCs w:val="22"/>
          <w:lang w:val="sr-Latn-ME"/>
        </w:rPr>
        <w:t>ena velikih količina čaja ili kafe inhibira apsorpciju gvožđa (vid</w:t>
      </w:r>
      <w:r w:rsidR="00E35361" w:rsidRPr="00AB5B90">
        <w:rPr>
          <w:sz w:val="22"/>
          <w:szCs w:val="22"/>
          <w:lang w:val="sr-Latn-ME"/>
        </w:rPr>
        <w:t>j</w:t>
      </w:r>
      <w:r w:rsidRPr="00AB5B90">
        <w:rPr>
          <w:sz w:val="22"/>
          <w:szCs w:val="22"/>
          <w:lang w:val="sr-Latn-ME"/>
        </w:rPr>
        <w:t>eti d</w:t>
      </w:r>
      <w:r w:rsidR="00E35361" w:rsidRPr="00AB5B90">
        <w:rPr>
          <w:sz w:val="22"/>
          <w:szCs w:val="22"/>
          <w:lang w:val="sr-Latn-ME"/>
        </w:rPr>
        <w:t>i</w:t>
      </w:r>
      <w:r w:rsidRPr="00AB5B90">
        <w:rPr>
          <w:sz w:val="22"/>
          <w:szCs w:val="22"/>
          <w:lang w:val="sr-Latn-ME"/>
        </w:rPr>
        <w:t>o 4.5).</w:t>
      </w:r>
    </w:p>
    <w:p w14:paraId="4691FEC4" w14:textId="77777777" w:rsidR="00F95DB3" w:rsidRPr="00AB5B90" w:rsidRDefault="00F95DB3" w:rsidP="003E5B22">
      <w:pPr>
        <w:jc w:val="both"/>
        <w:rPr>
          <w:sz w:val="22"/>
          <w:szCs w:val="22"/>
          <w:u w:val="single"/>
          <w:lang w:val="sr-Latn-ME"/>
        </w:rPr>
      </w:pPr>
    </w:p>
    <w:p w14:paraId="69E77C1E" w14:textId="7E4913E2" w:rsidR="00F95DB3" w:rsidRPr="00AB5B90" w:rsidRDefault="00F95DB3" w:rsidP="003E5B22">
      <w:pPr>
        <w:jc w:val="both"/>
        <w:rPr>
          <w:b/>
          <w:bCs/>
          <w:sz w:val="22"/>
          <w:szCs w:val="22"/>
          <w:lang w:val="sr-Latn-ME"/>
        </w:rPr>
      </w:pPr>
      <w:r w:rsidRPr="00AB5B90">
        <w:rPr>
          <w:b/>
          <w:bCs/>
          <w:sz w:val="22"/>
          <w:szCs w:val="22"/>
          <w:lang w:val="sr-Latn-ME"/>
        </w:rPr>
        <w:t>M</w:t>
      </w:r>
      <w:r w:rsidR="00626071" w:rsidRPr="00AB5B90">
        <w:rPr>
          <w:b/>
          <w:bCs/>
          <w:sz w:val="22"/>
          <w:szCs w:val="22"/>
          <w:lang w:val="sr-Latn-ME"/>
        </w:rPr>
        <w:t>j</w:t>
      </w:r>
      <w:r w:rsidRPr="00AB5B90">
        <w:rPr>
          <w:b/>
          <w:bCs/>
          <w:sz w:val="22"/>
          <w:szCs w:val="22"/>
          <w:lang w:val="sr-Latn-ME"/>
        </w:rPr>
        <w:t>ere opreza</w:t>
      </w:r>
    </w:p>
    <w:p w14:paraId="70918D59" w14:textId="77777777" w:rsidR="00F95DB3" w:rsidRPr="00AB5B90" w:rsidRDefault="00F95DB3" w:rsidP="003E5B22">
      <w:pPr>
        <w:numPr>
          <w:ilvl w:val="0"/>
          <w:numId w:val="19"/>
        </w:numPr>
        <w:tabs>
          <w:tab w:val="left" w:pos="284"/>
        </w:tabs>
        <w:jc w:val="both"/>
        <w:rPr>
          <w:sz w:val="22"/>
          <w:szCs w:val="22"/>
          <w:u w:val="single"/>
          <w:lang w:val="sr-Latn-ME"/>
        </w:rPr>
      </w:pPr>
      <w:r w:rsidRPr="00AB5B90">
        <w:rPr>
          <w:sz w:val="22"/>
          <w:szCs w:val="22"/>
          <w:lang w:val="sr-Latn-ME"/>
        </w:rPr>
        <w:t>Prevencija nedostatka gvožđa kod odojčadi je bazirana na ranom uvođenju raznolike hrane.</w:t>
      </w:r>
    </w:p>
    <w:p w14:paraId="43EDDCC6" w14:textId="3F3FCB3A" w:rsidR="00F95DB3" w:rsidRPr="00AB5B90" w:rsidRDefault="00F95DB3" w:rsidP="004304C2">
      <w:pPr>
        <w:numPr>
          <w:ilvl w:val="0"/>
          <w:numId w:val="19"/>
        </w:numPr>
        <w:tabs>
          <w:tab w:val="left" w:pos="284"/>
        </w:tabs>
        <w:jc w:val="both"/>
        <w:rPr>
          <w:sz w:val="22"/>
          <w:szCs w:val="22"/>
          <w:lang w:val="sr-Latn-ME"/>
        </w:rPr>
      </w:pPr>
      <w:r w:rsidRPr="00AB5B90">
        <w:rPr>
          <w:sz w:val="22"/>
          <w:szCs w:val="22"/>
          <w:lang w:val="sr-Latn-ME"/>
        </w:rPr>
        <w:t xml:space="preserve">Prema podacima objavljenim u literaturi, </w:t>
      </w:r>
      <w:proofErr w:type="spellStart"/>
      <w:r w:rsidRPr="00AB5B90">
        <w:rPr>
          <w:sz w:val="22"/>
          <w:szCs w:val="22"/>
          <w:lang w:val="sr-Latn-ME"/>
        </w:rPr>
        <w:t>sluznica</w:t>
      </w:r>
      <w:proofErr w:type="spellEnd"/>
      <w:r w:rsidRPr="00AB5B90">
        <w:rPr>
          <w:sz w:val="22"/>
          <w:szCs w:val="22"/>
          <w:lang w:val="sr-Latn-ME"/>
        </w:rPr>
        <w:t xml:space="preserve"> želuca i gastrointestinalnog trakta pacijenata koji su na terapiji na bazi gvožđa, može biti pigmentirana, što može ometati gastrointestinalnu operaciju (vid</w:t>
      </w:r>
      <w:r w:rsidR="00292571" w:rsidRPr="00AB5B90">
        <w:rPr>
          <w:sz w:val="22"/>
          <w:szCs w:val="22"/>
          <w:lang w:val="sr-Latn-ME"/>
        </w:rPr>
        <w:t>j</w:t>
      </w:r>
      <w:r w:rsidRPr="00AB5B90">
        <w:rPr>
          <w:sz w:val="22"/>
          <w:szCs w:val="22"/>
          <w:lang w:val="sr-Latn-ME"/>
        </w:rPr>
        <w:t>eti d</w:t>
      </w:r>
      <w:r w:rsidR="00292571" w:rsidRPr="00AB5B90">
        <w:rPr>
          <w:sz w:val="22"/>
          <w:szCs w:val="22"/>
          <w:lang w:val="sr-Latn-ME"/>
        </w:rPr>
        <w:t>i</w:t>
      </w:r>
      <w:r w:rsidRPr="00AB5B90">
        <w:rPr>
          <w:sz w:val="22"/>
          <w:szCs w:val="22"/>
          <w:lang w:val="sr-Latn-ME"/>
        </w:rPr>
        <w:t>o 4.8).</w:t>
      </w:r>
    </w:p>
    <w:p w14:paraId="6E4517F3" w14:textId="77777777" w:rsidR="00057E35" w:rsidRPr="00AB5B90" w:rsidRDefault="00057E35" w:rsidP="003E5B22">
      <w:pPr>
        <w:tabs>
          <w:tab w:val="left" w:pos="540"/>
          <w:tab w:val="left" w:pos="569"/>
        </w:tabs>
        <w:jc w:val="both"/>
        <w:rPr>
          <w:bCs/>
          <w:sz w:val="22"/>
          <w:szCs w:val="22"/>
          <w:lang w:val="sr-Latn-ME"/>
        </w:rPr>
      </w:pPr>
    </w:p>
    <w:p w14:paraId="6BB4C015" w14:textId="7E07CC4C" w:rsidR="00411B4B" w:rsidRPr="00AB5B90" w:rsidRDefault="00411B4B" w:rsidP="003E5B22">
      <w:pPr>
        <w:tabs>
          <w:tab w:val="left" w:pos="540"/>
          <w:tab w:val="left" w:pos="569"/>
        </w:tabs>
        <w:jc w:val="both"/>
        <w:rPr>
          <w:b/>
          <w:bCs/>
          <w:sz w:val="22"/>
          <w:szCs w:val="22"/>
          <w:lang w:val="sr-Latn-ME"/>
        </w:rPr>
      </w:pPr>
      <w:r w:rsidRPr="00AB5B90">
        <w:rPr>
          <w:b/>
          <w:bCs/>
          <w:sz w:val="22"/>
          <w:szCs w:val="22"/>
          <w:lang w:val="sr-Latn-ME"/>
        </w:rPr>
        <w:t>4.5.</w:t>
      </w:r>
      <w:r w:rsidR="000D60CC" w:rsidRPr="00AB5B90">
        <w:rPr>
          <w:b/>
          <w:bCs/>
          <w:sz w:val="22"/>
          <w:szCs w:val="22"/>
          <w:lang w:val="sr-Latn-ME"/>
        </w:rPr>
        <w:tab/>
      </w:r>
      <w:r w:rsidRPr="00AB5B90">
        <w:rPr>
          <w:b/>
          <w:bCs/>
          <w:sz w:val="22"/>
          <w:szCs w:val="22"/>
          <w:lang w:val="sr-Latn-ME"/>
        </w:rPr>
        <w:t>Interakcije sa drugim ljekovima i druge vrste interakcija</w:t>
      </w:r>
    </w:p>
    <w:p w14:paraId="0C35746D" w14:textId="77777777" w:rsidR="00BC0969" w:rsidRPr="00AB5B90" w:rsidRDefault="00BC0969" w:rsidP="003E5B22">
      <w:pPr>
        <w:tabs>
          <w:tab w:val="left" w:pos="540"/>
          <w:tab w:val="left" w:pos="569"/>
        </w:tabs>
        <w:jc w:val="both"/>
        <w:rPr>
          <w:b/>
          <w:bCs/>
          <w:sz w:val="22"/>
          <w:szCs w:val="22"/>
          <w:lang w:val="sr-Latn-ME"/>
        </w:rPr>
      </w:pPr>
    </w:p>
    <w:p w14:paraId="7B32FE2C" w14:textId="77777777" w:rsidR="00BC0969" w:rsidRPr="00AB5B90" w:rsidRDefault="00BC0969" w:rsidP="003E5B22">
      <w:pPr>
        <w:tabs>
          <w:tab w:val="left" w:pos="540"/>
          <w:tab w:val="left" w:pos="569"/>
        </w:tabs>
        <w:jc w:val="both"/>
        <w:rPr>
          <w:b/>
          <w:sz w:val="22"/>
          <w:szCs w:val="22"/>
          <w:u w:val="single"/>
          <w:lang w:val="sr-Latn-ME"/>
        </w:rPr>
      </w:pPr>
      <w:r w:rsidRPr="00AB5B90">
        <w:rPr>
          <w:b/>
          <w:sz w:val="22"/>
          <w:szCs w:val="22"/>
          <w:u w:val="single"/>
          <w:lang w:val="sr-Latn-ME"/>
        </w:rPr>
        <w:t>Kombinacije koje se ne preporučuju:</w:t>
      </w:r>
    </w:p>
    <w:p w14:paraId="6E4DDE56" w14:textId="4EA3992C" w:rsidR="00BC0969" w:rsidRPr="00AB5B90" w:rsidRDefault="00ED0514" w:rsidP="003E5B22">
      <w:pPr>
        <w:tabs>
          <w:tab w:val="left" w:pos="540"/>
          <w:tab w:val="left" w:pos="569"/>
        </w:tabs>
        <w:jc w:val="both"/>
        <w:rPr>
          <w:sz w:val="22"/>
          <w:szCs w:val="22"/>
          <w:lang w:val="sr-Latn-ME"/>
        </w:rPr>
      </w:pPr>
      <w:r w:rsidRPr="00AB5B90">
        <w:rPr>
          <w:b/>
          <w:sz w:val="22"/>
          <w:szCs w:val="22"/>
          <w:lang w:val="sr-Latn-ME"/>
        </w:rPr>
        <w:t xml:space="preserve">+ Gvožđe (soli) </w:t>
      </w:r>
      <w:r w:rsidRPr="00AB5B90">
        <w:rPr>
          <w:bCs/>
          <w:sz w:val="22"/>
          <w:szCs w:val="22"/>
          <w:lang w:val="sr-Latn-ME"/>
        </w:rPr>
        <w:t>(</w:t>
      </w:r>
      <w:proofErr w:type="spellStart"/>
      <w:r w:rsidR="00BC0969" w:rsidRPr="00AB5B90">
        <w:rPr>
          <w:bCs/>
          <w:sz w:val="22"/>
          <w:szCs w:val="22"/>
          <w:lang w:val="sr-Latn-ME"/>
        </w:rPr>
        <w:t>parenteraln</w:t>
      </w:r>
      <w:r w:rsidRPr="00AB5B90">
        <w:rPr>
          <w:bCs/>
          <w:sz w:val="22"/>
          <w:szCs w:val="22"/>
          <w:lang w:val="sr-Latn-ME"/>
        </w:rPr>
        <w:t>a</w:t>
      </w:r>
      <w:proofErr w:type="spellEnd"/>
      <w:r w:rsidR="00BC0969" w:rsidRPr="00AB5B90">
        <w:rPr>
          <w:bCs/>
          <w:sz w:val="22"/>
          <w:szCs w:val="22"/>
          <w:lang w:val="sr-Latn-ME"/>
        </w:rPr>
        <w:t xml:space="preserve"> primje</w:t>
      </w:r>
      <w:r w:rsidR="007C14F1" w:rsidRPr="00AB5B90">
        <w:rPr>
          <w:bCs/>
          <w:sz w:val="22"/>
          <w:szCs w:val="22"/>
          <w:lang w:val="sr-Latn-ME"/>
        </w:rPr>
        <w:t>n</w:t>
      </w:r>
      <w:r w:rsidRPr="00AB5B90">
        <w:rPr>
          <w:bCs/>
          <w:sz w:val="22"/>
          <w:szCs w:val="22"/>
          <w:lang w:val="sr-Latn-ME"/>
        </w:rPr>
        <w:t>a)</w:t>
      </w:r>
      <w:r w:rsidR="00BC0969" w:rsidRPr="00AB5B90">
        <w:rPr>
          <w:b/>
          <w:sz w:val="22"/>
          <w:szCs w:val="22"/>
          <w:lang w:val="sr-Latn-ME"/>
        </w:rPr>
        <w:t>:</w:t>
      </w:r>
    </w:p>
    <w:p w14:paraId="3C577FDB" w14:textId="0D644FD5" w:rsidR="00BC0969" w:rsidRPr="00AB5B90" w:rsidRDefault="00BC0969" w:rsidP="003E5B22">
      <w:pPr>
        <w:tabs>
          <w:tab w:val="left" w:pos="540"/>
          <w:tab w:val="left" w:pos="569"/>
        </w:tabs>
        <w:jc w:val="both"/>
        <w:rPr>
          <w:sz w:val="22"/>
          <w:szCs w:val="22"/>
          <w:lang w:val="sr-Latn-ME"/>
        </w:rPr>
      </w:pPr>
      <w:proofErr w:type="spellStart"/>
      <w:r w:rsidRPr="00AB5B90">
        <w:rPr>
          <w:sz w:val="22"/>
          <w:szCs w:val="22"/>
          <w:lang w:val="sr-Latn-ME"/>
        </w:rPr>
        <w:t>Lipotimija</w:t>
      </w:r>
      <w:proofErr w:type="spellEnd"/>
      <w:r w:rsidRPr="00AB5B90">
        <w:rPr>
          <w:sz w:val="22"/>
          <w:szCs w:val="22"/>
          <w:lang w:val="sr-Latn-ME"/>
        </w:rPr>
        <w:t xml:space="preserve"> ili šok </w:t>
      </w:r>
      <w:proofErr w:type="spellStart"/>
      <w:r w:rsidRPr="00AB5B90">
        <w:rPr>
          <w:sz w:val="22"/>
          <w:szCs w:val="22"/>
          <w:lang w:val="sr-Latn-ME"/>
        </w:rPr>
        <w:t>usljed</w:t>
      </w:r>
      <w:proofErr w:type="spellEnd"/>
      <w:r w:rsidRPr="00AB5B90">
        <w:rPr>
          <w:sz w:val="22"/>
          <w:szCs w:val="22"/>
          <w:lang w:val="sr-Latn-ME"/>
        </w:rPr>
        <w:t xml:space="preserve"> brzog oslobađanja gvožđa iz njegovog kompleksa i </w:t>
      </w:r>
      <w:proofErr w:type="spellStart"/>
      <w:r w:rsidRPr="00AB5B90">
        <w:rPr>
          <w:sz w:val="22"/>
          <w:szCs w:val="22"/>
          <w:lang w:val="sr-Latn-ME"/>
        </w:rPr>
        <w:t>saturacije</w:t>
      </w:r>
      <w:proofErr w:type="spellEnd"/>
      <w:r w:rsidRPr="00AB5B90">
        <w:rPr>
          <w:sz w:val="22"/>
          <w:szCs w:val="22"/>
          <w:lang w:val="sr-Latn-ME"/>
        </w:rPr>
        <w:t xml:space="preserve"> </w:t>
      </w:r>
      <w:proofErr w:type="spellStart"/>
      <w:r w:rsidRPr="00AB5B90">
        <w:rPr>
          <w:sz w:val="22"/>
          <w:szCs w:val="22"/>
          <w:lang w:val="sr-Latn-ME"/>
        </w:rPr>
        <w:t>transferina</w:t>
      </w:r>
      <w:proofErr w:type="spellEnd"/>
      <w:r w:rsidRPr="00AB5B90">
        <w:rPr>
          <w:sz w:val="22"/>
          <w:szCs w:val="22"/>
          <w:lang w:val="sr-Latn-ME"/>
        </w:rPr>
        <w:t>.</w:t>
      </w:r>
    </w:p>
    <w:p w14:paraId="03D0BCB8" w14:textId="77777777" w:rsidR="00BC0969" w:rsidRPr="00AB5B90" w:rsidRDefault="00BC0969" w:rsidP="003E5B22">
      <w:pPr>
        <w:tabs>
          <w:tab w:val="left" w:pos="540"/>
          <w:tab w:val="left" w:pos="569"/>
        </w:tabs>
        <w:jc w:val="both"/>
        <w:rPr>
          <w:sz w:val="22"/>
          <w:szCs w:val="22"/>
          <w:lang w:val="sr-Latn-ME"/>
        </w:rPr>
      </w:pPr>
    </w:p>
    <w:p w14:paraId="79E48F3F" w14:textId="77777777" w:rsidR="00BC0969" w:rsidRPr="00AB5B90" w:rsidRDefault="00BC0969" w:rsidP="003E5B22">
      <w:pPr>
        <w:tabs>
          <w:tab w:val="left" w:pos="540"/>
          <w:tab w:val="left" w:pos="569"/>
        </w:tabs>
        <w:jc w:val="both"/>
        <w:rPr>
          <w:b/>
          <w:sz w:val="22"/>
          <w:szCs w:val="22"/>
          <w:u w:val="single"/>
          <w:lang w:val="sr-Latn-ME"/>
        </w:rPr>
      </w:pPr>
      <w:r w:rsidRPr="00AB5B90">
        <w:rPr>
          <w:b/>
          <w:sz w:val="22"/>
          <w:szCs w:val="22"/>
          <w:u w:val="single"/>
          <w:lang w:val="sr-Latn-ME"/>
        </w:rPr>
        <w:t xml:space="preserve">Mjere opreza kod </w:t>
      </w:r>
      <w:proofErr w:type="spellStart"/>
      <w:r w:rsidRPr="00AB5B90">
        <w:rPr>
          <w:b/>
          <w:sz w:val="22"/>
          <w:szCs w:val="22"/>
          <w:u w:val="single"/>
          <w:lang w:val="sr-Latn-ME"/>
        </w:rPr>
        <w:t>slijedećih</w:t>
      </w:r>
      <w:proofErr w:type="spellEnd"/>
      <w:r w:rsidRPr="00AB5B90">
        <w:rPr>
          <w:b/>
          <w:sz w:val="22"/>
          <w:szCs w:val="22"/>
          <w:u w:val="single"/>
          <w:lang w:val="sr-Latn-ME"/>
        </w:rPr>
        <w:t xml:space="preserve"> kombinacija:</w:t>
      </w:r>
    </w:p>
    <w:p w14:paraId="50584AC3" w14:textId="3F435AFF" w:rsidR="00BC0969" w:rsidRPr="00AB5B90" w:rsidRDefault="001A392A" w:rsidP="003E5B22">
      <w:pPr>
        <w:tabs>
          <w:tab w:val="left" w:pos="540"/>
          <w:tab w:val="left" w:pos="569"/>
        </w:tabs>
        <w:jc w:val="both"/>
        <w:rPr>
          <w:b/>
          <w:sz w:val="22"/>
          <w:szCs w:val="22"/>
          <w:u w:val="single"/>
          <w:lang w:val="sr-Latn-ME"/>
        </w:rPr>
      </w:pPr>
      <w:r w:rsidRPr="00AB5B90">
        <w:rPr>
          <w:b/>
          <w:sz w:val="22"/>
          <w:szCs w:val="22"/>
          <w:lang w:val="sr-Latn-ME"/>
        </w:rPr>
        <w:t xml:space="preserve">+ </w:t>
      </w:r>
      <w:proofErr w:type="spellStart"/>
      <w:r w:rsidRPr="00AB5B90">
        <w:rPr>
          <w:b/>
          <w:sz w:val="22"/>
          <w:szCs w:val="22"/>
          <w:lang w:val="sr-Latn-ME"/>
        </w:rPr>
        <w:t>T</w:t>
      </w:r>
      <w:r w:rsidR="00BC0969" w:rsidRPr="00AB5B90">
        <w:rPr>
          <w:b/>
          <w:sz w:val="22"/>
          <w:szCs w:val="22"/>
          <w:lang w:val="sr-Latn-ME"/>
        </w:rPr>
        <w:t>etraciklini</w:t>
      </w:r>
      <w:proofErr w:type="spellEnd"/>
      <w:r w:rsidR="00BC0969" w:rsidRPr="00AB5B90">
        <w:rPr>
          <w:b/>
          <w:sz w:val="22"/>
          <w:szCs w:val="22"/>
          <w:lang w:val="sr-Latn-ME"/>
        </w:rPr>
        <w:t xml:space="preserve"> </w:t>
      </w:r>
      <w:r w:rsidR="00BC0969" w:rsidRPr="00AB5B90">
        <w:rPr>
          <w:sz w:val="22"/>
          <w:szCs w:val="22"/>
          <w:lang w:val="sr-Latn-ME"/>
        </w:rPr>
        <w:t>(oralna upotreba)</w:t>
      </w:r>
      <w:r w:rsidR="00BC0969" w:rsidRPr="00AB5B90">
        <w:rPr>
          <w:b/>
          <w:sz w:val="22"/>
          <w:szCs w:val="22"/>
          <w:lang w:val="sr-Latn-ME"/>
        </w:rPr>
        <w:t>:</w:t>
      </w:r>
    </w:p>
    <w:p w14:paraId="3F03218F" w14:textId="1202A34E" w:rsidR="000A2EE9" w:rsidRPr="00AB5B90" w:rsidRDefault="00BC0969" w:rsidP="003E5B22">
      <w:pPr>
        <w:tabs>
          <w:tab w:val="left" w:pos="540"/>
          <w:tab w:val="left" w:pos="569"/>
        </w:tabs>
        <w:jc w:val="both"/>
        <w:rPr>
          <w:sz w:val="22"/>
          <w:szCs w:val="22"/>
          <w:lang w:val="sr-Latn-ME"/>
        </w:rPr>
      </w:pPr>
      <w:r w:rsidRPr="00AB5B90">
        <w:rPr>
          <w:sz w:val="22"/>
          <w:szCs w:val="22"/>
          <w:lang w:val="sr-Latn-ME"/>
        </w:rPr>
        <w:t xml:space="preserve">Smanjena </w:t>
      </w:r>
      <w:r w:rsidR="000A2EE9" w:rsidRPr="00AB5B90">
        <w:rPr>
          <w:sz w:val="22"/>
          <w:szCs w:val="22"/>
          <w:lang w:val="sr-Latn-ME"/>
        </w:rPr>
        <w:t>gastrointestinalna</w:t>
      </w:r>
      <w:r w:rsidRPr="00AB5B90">
        <w:rPr>
          <w:sz w:val="22"/>
          <w:szCs w:val="22"/>
          <w:lang w:val="sr-Latn-ME"/>
        </w:rPr>
        <w:t xml:space="preserve"> resorpcija </w:t>
      </w:r>
      <w:proofErr w:type="spellStart"/>
      <w:r w:rsidRPr="00AB5B90">
        <w:rPr>
          <w:sz w:val="22"/>
          <w:szCs w:val="22"/>
          <w:lang w:val="sr-Latn-ME"/>
        </w:rPr>
        <w:t>tetraciklina</w:t>
      </w:r>
      <w:proofErr w:type="spellEnd"/>
      <w:r w:rsidRPr="00AB5B90">
        <w:rPr>
          <w:sz w:val="22"/>
          <w:szCs w:val="22"/>
          <w:lang w:val="sr-Latn-ME"/>
        </w:rPr>
        <w:t xml:space="preserve"> </w:t>
      </w:r>
      <w:r w:rsidR="000A2EE9" w:rsidRPr="00AB5B90">
        <w:rPr>
          <w:sz w:val="22"/>
          <w:szCs w:val="22"/>
          <w:lang w:val="sr-Latn-ME"/>
        </w:rPr>
        <w:t>i gvožđa.</w:t>
      </w:r>
    </w:p>
    <w:p w14:paraId="05207395" w14:textId="517D80A5" w:rsidR="00D31E7F" w:rsidRPr="00AB5B90" w:rsidRDefault="00D31E7F" w:rsidP="003E5B22">
      <w:pPr>
        <w:jc w:val="both"/>
        <w:rPr>
          <w:sz w:val="22"/>
          <w:szCs w:val="22"/>
          <w:lang w:val="sr-Latn-ME"/>
        </w:rPr>
      </w:pPr>
      <w:r w:rsidRPr="00AB5B90">
        <w:rPr>
          <w:sz w:val="22"/>
          <w:szCs w:val="22"/>
          <w:lang w:val="sr-Latn-ME"/>
        </w:rPr>
        <w:t xml:space="preserve">Primjenu soli gvožđa sa </w:t>
      </w:r>
      <w:proofErr w:type="spellStart"/>
      <w:r w:rsidRPr="00AB5B90">
        <w:rPr>
          <w:sz w:val="22"/>
          <w:szCs w:val="22"/>
          <w:lang w:val="sr-Latn-ME"/>
        </w:rPr>
        <w:t>tetraciklinima</w:t>
      </w:r>
      <w:proofErr w:type="spellEnd"/>
      <w:r w:rsidRPr="00AB5B90">
        <w:rPr>
          <w:sz w:val="22"/>
          <w:szCs w:val="22"/>
          <w:lang w:val="sr-Latn-ME"/>
        </w:rPr>
        <w:t xml:space="preserve"> treba razdvojiti (za više od 2 sata ako je moguće).</w:t>
      </w:r>
    </w:p>
    <w:p w14:paraId="34542EC3" w14:textId="09CCF258" w:rsidR="00BC0969" w:rsidRPr="00AB5B90" w:rsidRDefault="00D31E7F" w:rsidP="003E5B22">
      <w:pPr>
        <w:tabs>
          <w:tab w:val="left" w:pos="540"/>
          <w:tab w:val="left" w:pos="569"/>
        </w:tabs>
        <w:jc w:val="both"/>
        <w:rPr>
          <w:b/>
          <w:sz w:val="22"/>
          <w:szCs w:val="22"/>
          <w:lang w:val="sr-Latn-ME"/>
        </w:rPr>
      </w:pPr>
      <w:r w:rsidRPr="00AB5B90">
        <w:rPr>
          <w:b/>
          <w:sz w:val="22"/>
          <w:szCs w:val="22"/>
          <w:lang w:val="sr-Latn-ME"/>
        </w:rPr>
        <w:t xml:space="preserve">+ </w:t>
      </w:r>
      <w:proofErr w:type="spellStart"/>
      <w:r w:rsidRPr="00AB5B90">
        <w:rPr>
          <w:b/>
          <w:sz w:val="22"/>
          <w:szCs w:val="22"/>
          <w:lang w:val="sr-Latn-ME"/>
        </w:rPr>
        <w:t>F</w:t>
      </w:r>
      <w:r w:rsidR="00BC0969" w:rsidRPr="00AB5B90">
        <w:rPr>
          <w:b/>
          <w:sz w:val="22"/>
          <w:szCs w:val="22"/>
          <w:lang w:val="sr-Latn-ME"/>
        </w:rPr>
        <w:t>luorohinoloni</w:t>
      </w:r>
      <w:proofErr w:type="spellEnd"/>
      <w:r w:rsidR="00BC0969" w:rsidRPr="00AB5B90">
        <w:rPr>
          <w:b/>
          <w:sz w:val="22"/>
          <w:szCs w:val="22"/>
          <w:lang w:val="sr-Latn-ME"/>
        </w:rPr>
        <w:t>:</w:t>
      </w:r>
    </w:p>
    <w:p w14:paraId="727E63FA" w14:textId="5BAB6A7D" w:rsidR="00EA70CE" w:rsidRPr="00AB5B90" w:rsidRDefault="00BC0969" w:rsidP="003E5B22">
      <w:pPr>
        <w:jc w:val="both"/>
        <w:rPr>
          <w:sz w:val="22"/>
          <w:szCs w:val="22"/>
          <w:lang w:val="sr-Latn-ME"/>
        </w:rPr>
      </w:pPr>
      <w:r w:rsidRPr="00AB5B90">
        <w:rPr>
          <w:sz w:val="22"/>
          <w:szCs w:val="22"/>
          <w:lang w:val="sr-Latn-ME"/>
        </w:rPr>
        <w:t>Smanjena</w:t>
      </w:r>
      <w:r w:rsidR="00EA70CE" w:rsidRPr="00AB5B90">
        <w:rPr>
          <w:sz w:val="22"/>
          <w:szCs w:val="22"/>
          <w:lang w:val="sr-Latn-ME"/>
        </w:rPr>
        <w:t xml:space="preserve"> gastrointestinalna</w:t>
      </w:r>
      <w:r w:rsidRPr="00AB5B90">
        <w:rPr>
          <w:sz w:val="22"/>
          <w:szCs w:val="22"/>
          <w:lang w:val="sr-Latn-ME"/>
        </w:rPr>
        <w:t xml:space="preserve"> resorpcija </w:t>
      </w:r>
      <w:proofErr w:type="spellStart"/>
      <w:r w:rsidRPr="00AB5B90">
        <w:rPr>
          <w:sz w:val="22"/>
          <w:szCs w:val="22"/>
          <w:lang w:val="sr-Latn-ME"/>
        </w:rPr>
        <w:t>fluorohinolona</w:t>
      </w:r>
      <w:proofErr w:type="spellEnd"/>
      <w:r w:rsidRPr="00AB5B90">
        <w:rPr>
          <w:sz w:val="22"/>
          <w:szCs w:val="22"/>
          <w:lang w:val="sr-Latn-ME"/>
        </w:rPr>
        <w:t xml:space="preserve">. </w:t>
      </w:r>
      <w:r w:rsidR="00EA70CE" w:rsidRPr="00AB5B90">
        <w:rPr>
          <w:sz w:val="22"/>
          <w:szCs w:val="22"/>
          <w:lang w:val="sr-Latn-ME"/>
        </w:rPr>
        <w:t xml:space="preserve">Primjenu soli gvožđa sa </w:t>
      </w:r>
      <w:proofErr w:type="spellStart"/>
      <w:r w:rsidR="00EA70CE" w:rsidRPr="00AB5B90">
        <w:rPr>
          <w:sz w:val="22"/>
          <w:szCs w:val="22"/>
          <w:lang w:val="sr-Latn-ME"/>
        </w:rPr>
        <w:t>fluorohinolonima</w:t>
      </w:r>
      <w:proofErr w:type="spellEnd"/>
      <w:r w:rsidR="00EA70CE" w:rsidRPr="00AB5B90">
        <w:rPr>
          <w:sz w:val="22"/>
          <w:szCs w:val="22"/>
          <w:lang w:val="sr-Latn-ME"/>
        </w:rPr>
        <w:t xml:space="preserve"> treba razdvojiti (za više od 2 sata ako je moguće).</w:t>
      </w:r>
    </w:p>
    <w:p w14:paraId="7CEFE36B" w14:textId="77777777" w:rsidR="00606C4A" w:rsidRPr="00AB5B90" w:rsidRDefault="00606C4A" w:rsidP="003E5B22">
      <w:pPr>
        <w:jc w:val="both"/>
        <w:rPr>
          <w:b/>
          <w:bCs/>
          <w:sz w:val="22"/>
          <w:szCs w:val="22"/>
          <w:lang w:val="sr-Latn-ME"/>
        </w:rPr>
      </w:pPr>
      <w:r w:rsidRPr="00AB5B90">
        <w:rPr>
          <w:b/>
          <w:sz w:val="22"/>
          <w:szCs w:val="22"/>
          <w:lang w:val="sr-Latn-ME"/>
        </w:rPr>
        <w:t xml:space="preserve">+ </w:t>
      </w:r>
      <w:r w:rsidRPr="00AB5B90">
        <w:rPr>
          <w:b/>
          <w:bCs/>
          <w:sz w:val="22"/>
          <w:szCs w:val="22"/>
          <w:lang w:val="sr-Latn-ME"/>
        </w:rPr>
        <w:t xml:space="preserve">Antacidi i </w:t>
      </w:r>
      <w:proofErr w:type="spellStart"/>
      <w:r w:rsidRPr="00AB5B90">
        <w:rPr>
          <w:b/>
          <w:bCs/>
          <w:sz w:val="22"/>
          <w:szCs w:val="22"/>
          <w:lang w:val="sr-Latn-ME"/>
        </w:rPr>
        <w:t>adsorbensi</w:t>
      </w:r>
      <w:proofErr w:type="spellEnd"/>
      <w:r w:rsidRPr="00AB5B90">
        <w:rPr>
          <w:b/>
          <w:bCs/>
          <w:sz w:val="22"/>
          <w:szCs w:val="22"/>
          <w:lang w:val="sr-Latn-ME"/>
        </w:rPr>
        <w:t>:</w:t>
      </w:r>
    </w:p>
    <w:p w14:paraId="19F48446" w14:textId="78546551" w:rsidR="00606C4A" w:rsidRPr="00AB5B90" w:rsidRDefault="00606C4A" w:rsidP="003E5B22">
      <w:pPr>
        <w:tabs>
          <w:tab w:val="left" w:pos="284"/>
        </w:tabs>
        <w:jc w:val="both"/>
        <w:rPr>
          <w:sz w:val="22"/>
          <w:szCs w:val="22"/>
          <w:lang w:val="sr-Latn-ME"/>
        </w:rPr>
      </w:pPr>
      <w:r w:rsidRPr="00AB5B90">
        <w:rPr>
          <w:sz w:val="22"/>
          <w:szCs w:val="22"/>
          <w:lang w:val="sr-Latn-ME"/>
        </w:rPr>
        <w:t xml:space="preserve">Smanjena gastrointestinalna resorpcija gvožđa. Iz predostrožnosti ove </w:t>
      </w:r>
      <w:proofErr w:type="spellStart"/>
      <w:r w:rsidRPr="00AB5B90">
        <w:rPr>
          <w:sz w:val="22"/>
          <w:szCs w:val="22"/>
          <w:lang w:val="sr-Latn-ME"/>
        </w:rPr>
        <w:t>l</w:t>
      </w:r>
      <w:r w:rsidR="00B52993" w:rsidRPr="00AB5B90">
        <w:rPr>
          <w:sz w:val="22"/>
          <w:szCs w:val="22"/>
          <w:lang w:val="sr-Latn-ME"/>
        </w:rPr>
        <w:t>j</w:t>
      </w:r>
      <w:r w:rsidRPr="00AB5B90">
        <w:rPr>
          <w:sz w:val="22"/>
          <w:szCs w:val="22"/>
          <w:lang w:val="sr-Latn-ME"/>
        </w:rPr>
        <w:t>jekove</w:t>
      </w:r>
      <w:proofErr w:type="spellEnd"/>
      <w:r w:rsidRPr="00AB5B90">
        <w:rPr>
          <w:sz w:val="22"/>
          <w:szCs w:val="22"/>
          <w:lang w:val="sr-Latn-ME"/>
        </w:rPr>
        <w:t xml:space="preserve"> treba uzimati odvojeno od bilo kog drugog lijeka (više od 2 sata ako je moguće).</w:t>
      </w:r>
    </w:p>
    <w:p w14:paraId="70BB0D30" w14:textId="295BB8BC" w:rsidR="00BC0969" w:rsidRPr="00AB5B90" w:rsidRDefault="00102617" w:rsidP="003E5B22">
      <w:pPr>
        <w:tabs>
          <w:tab w:val="left" w:pos="540"/>
          <w:tab w:val="left" w:pos="569"/>
        </w:tabs>
        <w:jc w:val="both"/>
        <w:rPr>
          <w:sz w:val="22"/>
          <w:szCs w:val="22"/>
          <w:lang w:val="sr-Latn-ME"/>
        </w:rPr>
      </w:pPr>
      <w:r w:rsidRPr="00AB5B90">
        <w:rPr>
          <w:b/>
          <w:sz w:val="22"/>
          <w:szCs w:val="22"/>
          <w:lang w:val="sr-Latn-ME"/>
        </w:rPr>
        <w:t xml:space="preserve">+ </w:t>
      </w:r>
      <w:proofErr w:type="spellStart"/>
      <w:r w:rsidRPr="00AB5B90">
        <w:rPr>
          <w:b/>
          <w:sz w:val="22"/>
          <w:szCs w:val="22"/>
          <w:lang w:val="sr-Latn-ME"/>
        </w:rPr>
        <w:t>B</w:t>
      </w:r>
      <w:r w:rsidR="00BC0969" w:rsidRPr="00AB5B90">
        <w:rPr>
          <w:b/>
          <w:sz w:val="22"/>
          <w:szCs w:val="22"/>
          <w:lang w:val="sr-Latn-ME"/>
        </w:rPr>
        <w:t>ifosfonatima</w:t>
      </w:r>
      <w:proofErr w:type="spellEnd"/>
      <w:r w:rsidR="00BC0969" w:rsidRPr="00AB5B90">
        <w:rPr>
          <w:sz w:val="22"/>
          <w:szCs w:val="22"/>
          <w:lang w:val="sr-Latn-ME"/>
        </w:rPr>
        <w:t xml:space="preserve"> (oralna upotreba):</w:t>
      </w:r>
    </w:p>
    <w:p w14:paraId="7EC29C61" w14:textId="0474540F" w:rsidR="00102617" w:rsidRPr="00AB5B90" w:rsidRDefault="00E6623A" w:rsidP="003E5B22">
      <w:pPr>
        <w:jc w:val="both"/>
        <w:rPr>
          <w:sz w:val="22"/>
          <w:szCs w:val="22"/>
          <w:lang w:val="sr-Latn-ME"/>
        </w:rPr>
      </w:pPr>
      <w:r w:rsidRPr="00AB5B90">
        <w:rPr>
          <w:sz w:val="22"/>
          <w:szCs w:val="22"/>
          <w:lang w:val="sr-Latn-ME"/>
        </w:rPr>
        <w:t xml:space="preserve">Smanjena </w:t>
      </w:r>
      <w:r w:rsidR="00102617" w:rsidRPr="00AB5B90">
        <w:rPr>
          <w:sz w:val="22"/>
          <w:szCs w:val="22"/>
          <w:lang w:val="sr-Latn-ME"/>
        </w:rPr>
        <w:t xml:space="preserve">gastrointestinalna </w:t>
      </w:r>
      <w:r w:rsidRPr="00AB5B90">
        <w:rPr>
          <w:sz w:val="22"/>
          <w:szCs w:val="22"/>
          <w:lang w:val="sr-Latn-ME"/>
        </w:rPr>
        <w:t xml:space="preserve">resorpcija </w:t>
      </w:r>
      <w:proofErr w:type="spellStart"/>
      <w:r w:rsidRPr="00AB5B90">
        <w:rPr>
          <w:sz w:val="22"/>
          <w:szCs w:val="22"/>
          <w:lang w:val="sr-Latn-ME"/>
        </w:rPr>
        <w:t>bifosfonata</w:t>
      </w:r>
      <w:proofErr w:type="spellEnd"/>
      <w:r w:rsidRPr="00AB5B90">
        <w:rPr>
          <w:sz w:val="22"/>
          <w:szCs w:val="22"/>
          <w:lang w:val="sr-Latn-ME"/>
        </w:rPr>
        <w:t xml:space="preserve">. </w:t>
      </w:r>
      <w:r w:rsidR="00102617" w:rsidRPr="00AB5B90">
        <w:rPr>
          <w:sz w:val="22"/>
          <w:szCs w:val="22"/>
          <w:lang w:val="sr-Latn-ME"/>
        </w:rPr>
        <w:t xml:space="preserve">Primjenu soli gvožđa treba odvojiti od primjene </w:t>
      </w:r>
      <w:proofErr w:type="spellStart"/>
      <w:r w:rsidR="00102617" w:rsidRPr="00AB5B90">
        <w:rPr>
          <w:sz w:val="22"/>
          <w:szCs w:val="22"/>
          <w:lang w:val="sr-Latn-ME"/>
        </w:rPr>
        <w:t>bifosfonata</w:t>
      </w:r>
      <w:proofErr w:type="spellEnd"/>
      <w:r w:rsidR="00102617" w:rsidRPr="00AB5B90">
        <w:rPr>
          <w:sz w:val="22"/>
          <w:szCs w:val="22"/>
          <w:lang w:val="sr-Latn-ME"/>
        </w:rPr>
        <w:t xml:space="preserve"> (za najmanje 30 minuta do više od 2 sata ako je moguće).</w:t>
      </w:r>
    </w:p>
    <w:p w14:paraId="4CBE53FD" w14:textId="77777777" w:rsidR="00102617" w:rsidRPr="00AB5B90" w:rsidRDefault="00102617" w:rsidP="003E5B22">
      <w:pPr>
        <w:tabs>
          <w:tab w:val="left" w:pos="284"/>
        </w:tabs>
        <w:jc w:val="both"/>
        <w:rPr>
          <w:b/>
          <w:bCs/>
          <w:sz w:val="22"/>
          <w:szCs w:val="22"/>
          <w:lang w:val="sr-Latn-ME"/>
        </w:rPr>
      </w:pPr>
      <w:r w:rsidRPr="00AB5B90">
        <w:rPr>
          <w:b/>
          <w:bCs/>
          <w:sz w:val="22"/>
          <w:szCs w:val="22"/>
          <w:lang w:val="sr-Latn-ME"/>
        </w:rPr>
        <w:t>+ Kalcijum:</w:t>
      </w:r>
    </w:p>
    <w:p w14:paraId="3CA8F949" w14:textId="77777777" w:rsidR="00102617" w:rsidRPr="00AB5B90" w:rsidRDefault="00102617" w:rsidP="003E5B22">
      <w:pPr>
        <w:tabs>
          <w:tab w:val="left" w:pos="284"/>
        </w:tabs>
        <w:jc w:val="both"/>
        <w:rPr>
          <w:sz w:val="22"/>
          <w:szCs w:val="22"/>
          <w:lang w:val="sr-Latn-ME"/>
        </w:rPr>
      </w:pPr>
      <w:r w:rsidRPr="00AB5B90">
        <w:rPr>
          <w:sz w:val="22"/>
          <w:szCs w:val="22"/>
          <w:lang w:val="sr-Latn-ME"/>
        </w:rPr>
        <w:t>Smanjena gastrointestinalna resorpcija soli gvožđa.</w:t>
      </w:r>
    </w:p>
    <w:p w14:paraId="39704055" w14:textId="77777777" w:rsidR="00102617" w:rsidRPr="00AB5B90" w:rsidRDefault="00102617" w:rsidP="003E5B22">
      <w:pPr>
        <w:tabs>
          <w:tab w:val="left" w:pos="284"/>
        </w:tabs>
        <w:jc w:val="both"/>
        <w:rPr>
          <w:sz w:val="22"/>
          <w:szCs w:val="22"/>
          <w:lang w:val="sr-Latn-ME"/>
        </w:rPr>
      </w:pPr>
      <w:r w:rsidRPr="00AB5B90">
        <w:rPr>
          <w:sz w:val="22"/>
          <w:szCs w:val="22"/>
          <w:lang w:val="sr-Latn-ME"/>
        </w:rPr>
        <w:t>Soli gvožđa treba uzimati između obroka, a ne sa kalcijumom.</w:t>
      </w:r>
    </w:p>
    <w:p w14:paraId="2260DC6A" w14:textId="77777777" w:rsidR="00102617" w:rsidRPr="00AB5B90" w:rsidRDefault="00102617" w:rsidP="003E5B22">
      <w:pPr>
        <w:tabs>
          <w:tab w:val="left" w:pos="284"/>
        </w:tabs>
        <w:jc w:val="both"/>
        <w:rPr>
          <w:b/>
          <w:bCs/>
          <w:sz w:val="22"/>
          <w:szCs w:val="22"/>
          <w:lang w:val="sr-Latn-ME"/>
        </w:rPr>
      </w:pPr>
      <w:r w:rsidRPr="00AB5B90">
        <w:rPr>
          <w:b/>
          <w:bCs/>
          <w:sz w:val="22"/>
          <w:szCs w:val="22"/>
          <w:lang w:val="sr-Latn-ME"/>
        </w:rPr>
        <w:t xml:space="preserve">+ </w:t>
      </w:r>
      <w:proofErr w:type="spellStart"/>
      <w:r w:rsidRPr="00AB5B90">
        <w:rPr>
          <w:b/>
          <w:bCs/>
          <w:sz w:val="22"/>
          <w:szCs w:val="22"/>
          <w:lang w:val="sr-Latn-ME"/>
        </w:rPr>
        <w:t>Holestiramin</w:t>
      </w:r>
      <w:proofErr w:type="spellEnd"/>
      <w:r w:rsidRPr="00AB5B90">
        <w:rPr>
          <w:b/>
          <w:bCs/>
          <w:sz w:val="22"/>
          <w:szCs w:val="22"/>
          <w:lang w:val="sr-Latn-ME"/>
        </w:rPr>
        <w:t>:</w:t>
      </w:r>
    </w:p>
    <w:p w14:paraId="78F498AF" w14:textId="77777777" w:rsidR="00102617" w:rsidRPr="00AB5B90" w:rsidRDefault="00102617" w:rsidP="003E5B22">
      <w:pPr>
        <w:tabs>
          <w:tab w:val="left" w:pos="284"/>
        </w:tabs>
        <w:jc w:val="both"/>
        <w:rPr>
          <w:sz w:val="22"/>
          <w:szCs w:val="22"/>
          <w:lang w:val="sr-Latn-ME"/>
        </w:rPr>
      </w:pPr>
      <w:r w:rsidRPr="00AB5B90">
        <w:rPr>
          <w:sz w:val="22"/>
          <w:szCs w:val="22"/>
          <w:lang w:val="sr-Latn-ME"/>
        </w:rPr>
        <w:t>Smanjena gastrointestinalna resorpcija soli gvožđa.</w:t>
      </w:r>
    </w:p>
    <w:p w14:paraId="5A926B08" w14:textId="0A05C80E" w:rsidR="00102617" w:rsidRPr="00AB5B90" w:rsidRDefault="00102617" w:rsidP="003E5B22">
      <w:pPr>
        <w:tabs>
          <w:tab w:val="left" w:pos="284"/>
        </w:tabs>
        <w:jc w:val="both"/>
        <w:rPr>
          <w:sz w:val="22"/>
          <w:szCs w:val="22"/>
          <w:lang w:val="sr-Latn-ME"/>
        </w:rPr>
      </w:pPr>
      <w:r w:rsidRPr="00AB5B90">
        <w:rPr>
          <w:sz w:val="22"/>
          <w:szCs w:val="22"/>
          <w:lang w:val="sr-Latn-ME"/>
        </w:rPr>
        <w:t>Soli gvožđa treba uzimati 1 do 2 sata pr</w:t>
      </w:r>
      <w:r w:rsidR="001A619F" w:rsidRPr="00AB5B90">
        <w:rPr>
          <w:sz w:val="22"/>
          <w:szCs w:val="22"/>
          <w:lang w:val="sr-Latn-ME"/>
        </w:rPr>
        <w:t>ij</w:t>
      </w:r>
      <w:r w:rsidRPr="00AB5B90">
        <w:rPr>
          <w:sz w:val="22"/>
          <w:szCs w:val="22"/>
          <w:lang w:val="sr-Latn-ME"/>
        </w:rPr>
        <w:t>e, ili 4 sata posl</w:t>
      </w:r>
      <w:r w:rsidR="005B6F88" w:rsidRPr="00AB5B90">
        <w:rPr>
          <w:sz w:val="22"/>
          <w:szCs w:val="22"/>
          <w:lang w:val="sr-Latn-ME"/>
        </w:rPr>
        <w:t>ij</w:t>
      </w:r>
      <w:r w:rsidRPr="00AB5B90">
        <w:rPr>
          <w:sz w:val="22"/>
          <w:szCs w:val="22"/>
          <w:lang w:val="sr-Latn-ME"/>
        </w:rPr>
        <w:t xml:space="preserve">e uzimanja </w:t>
      </w:r>
      <w:proofErr w:type="spellStart"/>
      <w:r w:rsidRPr="00AB5B90">
        <w:rPr>
          <w:sz w:val="22"/>
          <w:szCs w:val="22"/>
          <w:lang w:val="sr-Latn-ME"/>
        </w:rPr>
        <w:t>holestiramina</w:t>
      </w:r>
      <w:proofErr w:type="spellEnd"/>
      <w:r w:rsidRPr="00AB5B90">
        <w:rPr>
          <w:sz w:val="22"/>
          <w:szCs w:val="22"/>
          <w:lang w:val="sr-Latn-ME"/>
        </w:rPr>
        <w:t>.</w:t>
      </w:r>
    </w:p>
    <w:p w14:paraId="3E20FCAE" w14:textId="77777777" w:rsidR="00102617" w:rsidRPr="00AB5B90" w:rsidRDefault="00102617" w:rsidP="003E5B22">
      <w:pPr>
        <w:tabs>
          <w:tab w:val="left" w:pos="284"/>
        </w:tabs>
        <w:jc w:val="both"/>
        <w:rPr>
          <w:b/>
          <w:bCs/>
          <w:sz w:val="22"/>
          <w:szCs w:val="22"/>
          <w:lang w:val="sr-Latn-ME"/>
        </w:rPr>
      </w:pPr>
      <w:r w:rsidRPr="00AB5B90">
        <w:rPr>
          <w:b/>
          <w:bCs/>
          <w:sz w:val="22"/>
          <w:szCs w:val="22"/>
          <w:lang w:val="sr-Latn-ME"/>
        </w:rPr>
        <w:t xml:space="preserve">+ </w:t>
      </w:r>
      <w:proofErr w:type="spellStart"/>
      <w:r w:rsidRPr="00AB5B90">
        <w:rPr>
          <w:b/>
          <w:bCs/>
          <w:sz w:val="22"/>
          <w:szCs w:val="22"/>
          <w:lang w:val="sr-Latn-ME"/>
        </w:rPr>
        <w:t>Entakapon</w:t>
      </w:r>
      <w:proofErr w:type="spellEnd"/>
      <w:r w:rsidRPr="00AB5B90">
        <w:rPr>
          <w:b/>
          <w:bCs/>
          <w:sz w:val="22"/>
          <w:szCs w:val="22"/>
          <w:lang w:val="sr-Latn-ME"/>
        </w:rPr>
        <w:t>:</w:t>
      </w:r>
    </w:p>
    <w:p w14:paraId="128A72D6" w14:textId="77777777" w:rsidR="00102617" w:rsidRPr="00AB5B90" w:rsidRDefault="00102617" w:rsidP="003E5B22">
      <w:pPr>
        <w:tabs>
          <w:tab w:val="left" w:pos="284"/>
        </w:tabs>
        <w:jc w:val="both"/>
        <w:rPr>
          <w:sz w:val="22"/>
          <w:szCs w:val="22"/>
          <w:lang w:val="sr-Latn-ME"/>
        </w:rPr>
      </w:pPr>
      <w:r w:rsidRPr="00AB5B90">
        <w:rPr>
          <w:sz w:val="22"/>
          <w:szCs w:val="22"/>
          <w:lang w:val="sr-Latn-ME"/>
        </w:rPr>
        <w:t xml:space="preserve">Smanjena gastrointestinalna resorpcija </w:t>
      </w:r>
      <w:proofErr w:type="spellStart"/>
      <w:r w:rsidRPr="00AB5B90">
        <w:rPr>
          <w:sz w:val="22"/>
          <w:szCs w:val="22"/>
          <w:lang w:val="sr-Latn-ME"/>
        </w:rPr>
        <w:t>entakapona</w:t>
      </w:r>
      <w:proofErr w:type="spellEnd"/>
      <w:r w:rsidRPr="00AB5B90">
        <w:rPr>
          <w:sz w:val="22"/>
          <w:szCs w:val="22"/>
          <w:lang w:val="sr-Latn-ME"/>
        </w:rPr>
        <w:t xml:space="preserve"> i gvožđa zbog stvaranja </w:t>
      </w:r>
      <w:proofErr w:type="spellStart"/>
      <w:r w:rsidRPr="00AB5B90">
        <w:rPr>
          <w:sz w:val="22"/>
          <w:szCs w:val="22"/>
          <w:lang w:val="sr-Latn-ME"/>
        </w:rPr>
        <w:t>helatnog</w:t>
      </w:r>
      <w:proofErr w:type="spellEnd"/>
      <w:r w:rsidRPr="00AB5B90">
        <w:rPr>
          <w:sz w:val="22"/>
          <w:szCs w:val="22"/>
          <w:lang w:val="sr-Latn-ME"/>
        </w:rPr>
        <w:t xml:space="preserve"> kompleksa.</w:t>
      </w:r>
    </w:p>
    <w:p w14:paraId="64642420" w14:textId="7B5B4D57" w:rsidR="00102617" w:rsidRPr="00AB5B90" w:rsidRDefault="00102617" w:rsidP="003E5B22">
      <w:pPr>
        <w:tabs>
          <w:tab w:val="left" w:pos="284"/>
        </w:tabs>
        <w:jc w:val="both"/>
        <w:rPr>
          <w:bCs/>
          <w:sz w:val="22"/>
          <w:szCs w:val="22"/>
          <w:lang w:val="sr-Latn-ME"/>
        </w:rPr>
      </w:pPr>
      <w:r w:rsidRPr="00AB5B90">
        <w:rPr>
          <w:sz w:val="22"/>
          <w:szCs w:val="22"/>
          <w:lang w:val="sr-Latn-ME"/>
        </w:rPr>
        <w:t>Prim</w:t>
      </w:r>
      <w:r w:rsidR="001A619F" w:rsidRPr="00AB5B90">
        <w:rPr>
          <w:sz w:val="22"/>
          <w:szCs w:val="22"/>
          <w:lang w:val="sr-Latn-ME"/>
        </w:rPr>
        <w:t>j</w:t>
      </w:r>
      <w:r w:rsidRPr="00AB5B90">
        <w:rPr>
          <w:sz w:val="22"/>
          <w:szCs w:val="22"/>
          <w:lang w:val="sr-Latn-ME"/>
        </w:rPr>
        <w:t xml:space="preserve">enu soli gvožđa sa </w:t>
      </w:r>
      <w:proofErr w:type="spellStart"/>
      <w:r w:rsidRPr="00AB5B90">
        <w:rPr>
          <w:sz w:val="22"/>
          <w:szCs w:val="22"/>
          <w:lang w:val="sr-Latn-ME"/>
        </w:rPr>
        <w:t>entakaponom</w:t>
      </w:r>
      <w:proofErr w:type="spellEnd"/>
      <w:r w:rsidRPr="00AB5B90">
        <w:rPr>
          <w:sz w:val="22"/>
          <w:szCs w:val="22"/>
          <w:lang w:val="sr-Latn-ME"/>
        </w:rPr>
        <w:t xml:space="preserve"> treba razdvojiti (za više od 2 sata, ako je moguće).</w:t>
      </w:r>
    </w:p>
    <w:p w14:paraId="70CADC27" w14:textId="77777777" w:rsidR="00102617" w:rsidRPr="00AB5B90" w:rsidRDefault="00102617" w:rsidP="003E5B22">
      <w:pPr>
        <w:tabs>
          <w:tab w:val="left" w:pos="284"/>
        </w:tabs>
        <w:jc w:val="both"/>
        <w:rPr>
          <w:b/>
          <w:bCs/>
          <w:sz w:val="22"/>
          <w:szCs w:val="22"/>
          <w:lang w:val="sr-Latn-ME"/>
        </w:rPr>
      </w:pPr>
      <w:r w:rsidRPr="00AB5B90">
        <w:rPr>
          <w:b/>
          <w:bCs/>
          <w:sz w:val="22"/>
          <w:szCs w:val="22"/>
          <w:lang w:val="sr-Latn-ME"/>
        </w:rPr>
        <w:t xml:space="preserve">+ </w:t>
      </w:r>
      <w:proofErr w:type="spellStart"/>
      <w:r w:rsidRPr="00AB5B90">
        <w:rPr>
          <w:b/>
          <w:bCs/>
          <w:sz w:val="22"/>
          <w:szCs w:val="22"/>
          <w:lang w:val="sr-Latn-ME"/>
        </w:rPr>
        <w:t>Inhibitori</w:t>
      </w:r>
      <w:proofErr w:type="spellEnd"/>
      <w:r w:rsidRPr="00AB5B90">
        <w:rPr>
          <w:b/>
          <w:bCs/>
          <w:sz w:val="22"/>
          <w:szCs w:val="22"/>
          <w:lang w:val="sr-Latn-ME"/>
        </w:rPr>
        <w:t xml:space="preserve"> </w:t>
      </w:r>
      <w:proofErr w:type="spellStart"/>
      <w:r w:rsidRPr="00AB5B90">
        <w:rPr>
          <w:b/>
          <w:bCs/>
          <w:sz w:val="22"/>
          <w:szCs w:val="22"/>
          <w:lang w:val="sr-Latn-ME"/>
        </w:rPr>
        <w:t>integraze</w:t>
      </w:r>
      <w:proofErr w:type="spellEnd"/>
      <w:r w:rsidRPr="00AB5B90">
        <w:rPr>
          <w:b/>
          <w:bCs/>
          <w:sz w:val="22"/>
          <w:szCs w:val="22"/>
          <w:lang w:val="sr-Latn-ME"/>
        </w:rPr>
        <w:t xml:space="preserve"> (HIV):</w:t>
      </w:r>
    </w:p>
    <w:p w14:paraId="316CC007" w14:textId="77777777" w:rsidR="00102617" w:rsidRPr="00AB5B90" w:rsidRDefault="00102617" w:rsidP="003E5B22">
      <w:pPr>
        <w:tabs>
          <w:tab w:val="left" w:pos="284"/>
        </w:tabs>
        <w:jc w:val="both"/>
        <w:rPr>
          <w:sz w:val="22"/>
          <w:szCs w:val="22"/>
          <w:lang w:val="sr-Latn-ME"/>
        </w:rPr>
      </w:pPr>
      <w:r w:rsidRPr="00AB5B90">
        <w:rPr>
          <w:sz w:val="22"/>
          <w:szCs w:val="22"/>
          <w:lang w:val="sr-Latn-ME"/>
        </w:rPr>
        <w:t xml:space="preserve">Smanjena gastrointestinalna resorpcija </w:t>
      </w:r>
      <w:proofErr w:type="spellStart"/>
      <w:r w:rsidRPr="00AB5B90">
        <w:rPr>
          <w:sz w:val="22"/>
          <w:szCs w:val="22"/>
          <w:lang w:val="sr-Latn-ME"/>
        </w:rPr>
        <w:t>inhibitora</w:t>
      </w:r>
      <w:proofErr w:type="spellEnd"/>
      <w:r w:rsidRPr="00AB5B90">
        <w:rPr>
          <w:sz w:val="22"/>
          <w:szCs w:val="22"/>
          <w:lang w:val="sr-Latn-ME"/>
        </w:rPr>
        <w:t xml:space="preserve"> </w:t>
      </w:r>
      <w:proofErr w:type="spellStart"/>
      <w:r w:rsidRPr="00AB5B90">
        <w:rPr>
          <w:sz w:val="22"/>
          <w:szCs w:val="22"/>
          <w:lang w:val="sr-Latn-ME"/>
        </w:rPr>
        <w:t>integraze</w:t>
      </w:r>
      <w:proofErr w:type="spellEnd"/>
      <w:r w:rsidRPr="00AB5B90">
        <w:rPr>
          <w:sz w:val="22"/>
          <w:szCs w:val="22"/>
          <w:lang w:val="sr-Latn-ME"/>
        </w:rPr>
        <w:t>.</w:t>
      </w:r>
    </w:p>
    <w:p w14:paraId="340F89C3" w14:textId="49A1CFE7" w:rsidR="00102617" w:rsidRPr="00AB5B90" w:rsidRDefault="00102617" w:rsidP="003E5B22">
      <w:pPr>
        <w:tabs>
          <w:tab w:val="left" w:pos="284"/>
        </w:tabs>
        <w:jc w:val="both"/>
        <w:rPr>
          <w:bCs/>
          <w:sz w:val="22"/>
          <w:szCs w:val="22"/>
          <w:lang w:val="sr-Latn-ME"/>
        </w:rPr>
      </w:pPr>
      <w:r w:rsidRPr="00AB5B90">
        <w:rPr>
          <w:sz w:val="22"/>
          <w:szCs w:val="22"/>
          <w:lang w:val="sr-Latn-ME"/>
        </w:rPr>
        <w:t>Prim</w:t>
      </w:r>
      <w:r w:rsidR="001A619F" w:rsidRPr="00AB5B90">
        <w:rPr>
          <w:sz w:val="22"/>
          <w:szCs w:val="22"/>
          <w:lang w:val="sr-Latn-ME"/>
        </w:rPr>
        <w:t>j</w:t>
      </w:r>
      <w:r w:rsidRPr="00AB5B90">
        <w:rPr>
          <w:sz w:val="22"/>
          <w:szCs w:val="22"/>
          <w:lang w:val="sr-Latn-ME"/>
        </w:rPr>
        <w:t xml:space="preserve">enu soli gvožđa sa </w:t>
      </w:r>
      <w:proofErr w:type="spellStart"/>
      <w:r w:rsidRPr="00AB5B90">
        <w:rPr>
          <w:sz w:val="22"/>
          <w:szCs w:val="22"/>
          <w:lang w:val="sr-Latn-ME"/>
        </w:rPr>
        <w:t>antiretroviroticima</w:t>
      </w:r>
      <w:proofErr w:type="spellEnd"/>
      <w:r w:rsidRPr="00AB5B90">
        <w:rPr>
          <w:sz w:val="22"/>
          <w:szCs w:val="22"/>
          <w:lang w:val="sr-Latn-ME"/>
        </w:rPr>
        <w:t xml:space="preserve"> treba razdvojiti (za više od 2 sata, ako je moguće).</w:t>
      </w:r>
    </w:p>
    <w:p w14:paraId="5324C0AD" w14:textId="77777777" w:rsidR="00102617" w:rsidRPr="00AB5B90" w:rsidRDefault="00102617" w:rsidP="003E5B22">
      <w:pPr>
        <w:tabs>
          <w:tab w:val="left" w:pos="284"/>
        </w:tabs>
        <w:jc w:val="both"/>
        <w:rPr>
          <w:b/>
          <w:bCs/>
          <w:sz w:val="22"/>
          <w:szCs w:val="22"/>
          <w:lang w:val="sr-Latn-ME"/>
        </w:rPr>
      </w:pPr>
      <w:r w:rsidRPr="00AB5B90">
        <w:rPr>
          <w:b/>
          <w:bCs/>
          <w:sz w:val="22"/>
          <w:szCs w:val="22"/>
          <w:lang w:val="sr-Latn-ME"/>
        </w:rPr>
        <w:t xml:space="preserve">+ </w:t>
      </w:r>
      <w:proofErr w:type="spellStart"/>
      <w:r w:rsidRPr="00AB5B90">
        <w:rPr>
          <w:b/>
          <w:bCs/>
          <w:sz w:val="22"/>
          <w:szCs w:val="22"/>
          <w:lang w:val="sr-Latn-ME"/>
        </w:rPr>
        <w:t>Biktegravir</w:t>
      </w:r>
      <w:proofErr w:type="spellEnd"/>
      <w:r w:rsidRPr="00AB5B90">
        <w:rPr>
          <w:b/>
          <w:bCs/>
          <w:sz w:val="22"/>
          <w:szCs w:val="22"/>
          <w:lang w:val="sr-Latn-ME"/>
        </w:rPr>
        <w:t>:</w:t>
      </w:r>
    </w:p>
    <w:p w14:paraId="44008796" w14:textId="3A9DEA9C" w:rsidR="00102617" w:rsidRPr="00AB5B90" w:rsidRDefault="00102617" w:rsidP="003E5B22">
      <w:pPr>
        <w:tabs>
          <w:tab w:val="left" w:pos="284"/>
        </w:tabs>
        <w:jc w:val="both"/>
        <w:rPr>
          <w:sz w:val="22"/>
          <w:szCs w:val="22"/>
          <w:lang w:val="sr-Latn-ME"/>
        </w:rPr>
      </w:pPr>
      <w:r w:rsidRPr="00AB5B90">
        <w:rPr>
          <w:sz w:val="22"/>
          <w:szCs w:val="22"/>
          <w:lang w:val="sr-Latn-ME"/>
        </w:rPr>
        <w:t xml:space="preserve">Smanjena gastrointestinalna resorpcija </w:t>
      </w:r>
      <w:proofErr w:type="spellStart"/>
      <w:r w:rsidRPr="00AB5B90">
        <w:rPr>
          <w:sz w:val="22"/>
          <w:szCs w:val="22"/>
          <w:lang w:val="sr-Latn-ME"/>
        </w:rPr>
        <w:t>biktegravira</w:t>
      </w:r>
      <w:proofErr w:type="spellEnd"/>
      <w:r w:rsidRPr="00AB5B90">
        <w:rPr>
          <w:sz w:val="22"/>
          <w:szCs w:val="22"/>
          <w:lang w:val="sr-Latn-ME"/>
        </w:rPr>
        <w:t xml:space="preserve"> za skoro dv</w:t>
      </w:r>
      <w:r w:rsidR="001A619F" w:rsidRPr="00AB5B90">
        <w:rPr>
          <w:sz w:val="22"/>
          <w:szCs w:val="22"/>
          <w:lang w:val="sr-Latn-ME"/>
        </w:rPr>
        <w:t>ij</w:t>
      </w:r>
      <w:r w:rsidRPr="00AB5B90">
        <w:rPr>
          <w:sz w:val="22"/>
          <w:szCs w:val="22"/>
          <w:lang w:val="sr-Latn-ME"/>
        </w:rPr>
        <w:t xml:space="preserve">e trećine u slučaju istovremene </w:t>
      </w:r>
      <w:proofErr w:type="spellStart"/>
      <w:r w:rsidRPr="00AB5B90">
        <w:rPr>
          <w:sz w:val="22"/>
          <w:szCs w:val="22"/>
          <w:lang w:val="sr-Latn-ME"/>
        </w:rPr>
        <w:t>ingestije</w:t>
      </w:r>
      <w:proofErr w:type="spellEnd"/>
      <w:r w:rsidRPr="00AB5B90">
        <w:rPr>
          <w:sz w:val="22"/>
          <w:szCs w:val="22"/>
          <w:lang w:val="sr-Latn-ME"/>
        </w:rPr>
        <w:t xml:space="preserve"> ili na prazan želudac.</w:t>
      </w:r>
    </w:p>
    <w:p w14:paraId="635E5E0E" w14:textId="5C575719" w:rsidR="00102617" w:rsidRPr="00AB5B90" w:rsidRDefault="00102617" w:rsidP="003E5B22">
      <w:pPr>
        <w:tabs>
          <w:tab w:val="left" w:pos="284"/>
        </w:tabs>
        <w:jc w:val="both"/>
        <w:rPr>
          <w:sz w:val="22"/>
          <w:szCs w:val="22"/>
          <w:lang w:val="sr-Latn-ME"/>
        </w:rPr>
      </w:pPr>
      <w:r w:rsidRPr="00AB5B90">
        <w:rPr>
          <w:sz w:val="22"/>
          <w:szCs w:val="22"/>
          <w:lang w:val="sr-Latn-ME"/>
        </w:rPr>
        <w:t xml:space="preserve">Uzimati </w:t>
      </w:r>
      <w:proofErr w:type="spellStart"/>
      <w:r w:rsidRPr="00AB5B90">
        <w:rPr>
          <w:sz w:val="22"/>
          <w:szCs w:val="22"/>
          <w:lang w:val="sr-Latn-ME"/>
        </w:rPr>
        <w:t>biktegravir</w:t>
      </w:r>
      <w:proofErr w:type="spellEnd"/>
      <w:r w:rsidRPr="00AB5B90">
        <w:rPr>
          <w:sz w:val="22"/>
          <w:szCs w:val="22"/>
          <w:lang w:val="sr-Latn-ME"/>
        </w:rPr>
        <w:t xml:space="preserve"> najmanje 2 sata pr</w:t>
      </w:r>
      <w:r w:rsidR="001A619F" w:rsidRPr="00AB5B90">
        <w:rPr>
          <w:sz w:val="22"/>
          <w:szCs w:val="22"/>
          <w:lang w:val="sr-Latn-ME"/>
        </w:rPr>
        <w:t>ij</w:t>
      </w:r>
      <w:r w:rsidRPr="00AB5B90">
        <w:rPr>
          <w:sz w:val="22"/>
          <w:szCs w:val="22"/>
          <w:lang w:val="sr-Latn-ME"/>
        </w:rPr>
        <w:t>e soli gvožđa ili istovremeno tokom obroka.</w:t>
      </w:r>
    </w:p>
    <w:p w14:paraId="364B33C0" w14:textId="77777777" w:rsidR="00102617" w:rsidRPr="00AB5B90" w:rsidRDefault="00102617" w:rsidP="003E5B22">
      <w:pPr>
        <w:tabs>
          <w:tab w:val="left" w:pos="284"/>
        </w:tabs>
        <w:jc w:val="both"/>
        <w:rPr>
          <w:b/>
          <w:bCs/>
          <w:sz w:val="22"/>
          <w:szCs w:val="22"/>
          <w:lang w:val="sr-Latn-ME"/>
        </w:rPr>
      </w:pPr>
      <w:r w:rsidRPr="00AB5B90">
        <w:rPr>
          <w:b/>
          <w:bCs/>
          <w:sz w:val="22"/>
          <w:szCs w:val="22"/>
          <w:lang w:val="sr-Latn-ME"/>
        </w:rPr>
        <w:lastRenderedPageBreak/>
        <w:t xml:space="preserve">+ </w:t>
      </w:r>
      <w:proofErr w:type="spellStart"/>
      <w:r w:rsidRPr="00AB5B90">
        <w:rPr>
          <w:b/>
          <w:bCs/>
          <w:sz w:val="22"/>
          <w:szCs w:val="22"/>
          <w:lang w:val="sr-Latn-ME"/>
        </w:rPr>
        <w:t>Trientin</w:t>
      </w:r>
      <w:proofErr w:type="spellEnd"/>
      <w:r w:rsidRPr="00AB5B90">
        <w:rPr>
          <w:b/>
          <w:bCs/>
          <w:sz w:val="22"/>
          <w:szCs w:val="22"/>
          <w:lang w:val="sr-Latn-ME"/>
        </w:rPr>
        <w:t>:</w:t>
      </w:r>
    </w:p>
    <w:p w14:paraId="7E0D1F78" w14:textId="77777777" w:rsidR="00102617" w:rsidRPr="00AB5B90" w:rsidRDefault="00102617" w:rsidP="003E5B22">
      <w:pPr>
        <w:tabs>
          <w:tab w:val="left" w:pos="284"/>
        </w:tabs>
        <w:jc w:val="both"/>
        <w:rPr>
          <w:sz w:val="22"/>
          <w:szCs w:val="22"/>
          <w:lang w:val="sr-Latn-ME"/>
        </w:rPr>
      </w:pPr>
      <w:r w:rsidRPr="00AB5B90">
        <w:rPr>
          <w:sz w:val="22"/>
          <w:szCs w:val="22"/>
          <w:lang w:val="sr-Latn-ME"/>
        </w:rPr>
        <w:t>Smanjena koncentracija serumskog gvožđa.</w:t>
      </w:r>
    </w:p>
    <w:p w14:paraId="587D2CD0" w14:textId="65FFF792" w:rsidR="00102617" w:rsidRPr="00AB5B90" w:rsidRDefault="00102617" w:rsidP="003E5B22">
      <w:pPr>
        <w:tabs>
          <w:tab w:val="left" w:pos="284"/>
        </w:tabs>
        <w:jc w:val="both"/>
        <w:rPr>
          <w:sz w:val="22"/>
          <w:szCs w:val="22"/>
          <w:lang w:val="sr-Latn-ME"/>
        </w:rPr>
      </w:pPr>
      <w:r w:rsidRPr="00AB5B90">
        <w:rPr>
          <w:sz w:val="22"/>
          <w:szCs w:val="22"/>
          <w:lang w:val="sr-Latn-ME"/>
        </w:rPr>
        <w:t>Prim</w:t>
      </w:r>
      <w:r w:rsidR="001A619F" w:rsidRPr="00AB5B90">
        <w:rPr>
          <w:sz w:val="22"/>
          <w:szCs w:val="22"/>
          <w:lang w:val="sr-Latn-ME"/>
        </w:rPr>
        <w:t>j</w:t>
      </w:r>
      <w:r w:rsidRPr="00AB5B90">
        <w:rPr>
          <w:sz w:val="22"/>
          <w:szCs w:val="22"/>
          <w:lang w:val="sr-Latn-ME"/>
        </w:rPr>
        <w:t xml:space="preserve">enu soli gvožđa sa </w:t>
      </w:r>
      <w:proofErr w:type="spellStart"/>
      <w:r w:rsidRPr="00AB5B90">
        <w:rPr>
          <w:sz w:val="22"/>
          <w:szCs w:val="22"/>
          <w:lang w:val="sr-Latn-ME"/>
        </w:rPr>
        <w:t>trientinom</w:t>
      </w:r>
      <w:proofErr w:type="spellEnd"/>
      <w:r w:rsidRPr="00AB5B90">
        <w:rPr>
          <w:sz w:val="22"/>
          <w:szCs w:val="22"/>
          <w:lang w:val="sr-Latn-ME"/>
        </w:rPr>
        <w:t xml:space="preserve"> treba razdvojiti.</w:t>
      </w:r>
    </w:p>
    <w:p w14:paraId="552D08E5" w14:textId="77777777" w:rsidR="00102617" w:rsidRPr="00AB5B90" w:rsidRDefault="00102617" w:rsidP="003E5B22">
      <w:pPr>
        <w:tabs>
          <w:tab w:val="left" w:pos="284"/>
        </w:tabs>
        <w:jc w:val="both"/>
        <w:rPr>
          <w:b/>
          <w:bCs/>
          <w:sz w:val="22"/>
          <w:szCs w:val="22"/>
          <w:lang w:val="sr-Latn-ME"/>
        </w:rPr>
      </w:pPr>
      <w:r w:rsidRPr="00AB5B90">
        <w:rPr>
          <w:b/>
          <w:bCs/>
          <w:sz w:val="22"/>
          <w:szCs w:val="22"/>
          <w:lang w:val="sr-Latn-ME"/>
        </w:rPr>
        <w:t xml:space="preserve">+ </w:t>
      </w:r>
      <w:proofErr w:type="spellStart"/>
      <w:r w:rsidRPr="00AB5B90">
        <w:rPr>
          <w:b/>
          <w:bCs/>
          <w:sz w:val="22"/>
          <w:szCs w:val="22"/>
          <w:lang w:val="sr-Latn-ME"/>
        </w:rPr>
        <w:t>Karbidopa</w:t>
      </w:r>
      <w:proofErr w:type="spellEnd"/>
      <w:r w:rsidRPr="00AB5B90">
        <w:rPr>
          <w:b/>
          <w:bCs/>
          <w:sz w:val="22"/>
          <w:szCs w:val="22"/>
          <w:lang w:val="sr-Latn-ME"/>
        </w:rPr>
        <w:t xml:space="preserve">, </w:t>
      </w:r>
      <w:proofErr w:type="spellStart"/>
      <w:r w:rsidRPr="00AB5B90">
        <w:rPr>
          <w:b/>
          <w:bCs/>
          <w:sz w:val="22"/>
          <w:szCs w:val="22"/>
          <w:lang w:val="sr-Latn-ME"/>
        </w:rPr>
        <w:t>levodopa</w:t>
      </w:r>
      <w:proofErr w:type="spellEnd"/>
      <w:r w:rsidRPr="00AB5B90">
        <w:rPr>
          <w:b/>
          <w:bCs/>
          <w:sz w:val="22"/>
          <w:szCs w:val="22"/>
          <w:lang w:val="sr-Latn-ME"/>
        </w:rPr>
        <w:t>:</w:t>
      </w:r>
    </w:p>
    <w:p w14:paraId="3BBB1128" w14:textId="77777777" w:rsidR="00102617" w:rsidRPr="00AB5B90" w:rsidRDefault="00102617" w:rsidP="003E5B22">
      <w:pPr>
        <w:tabs>
          <w:tab w:val="left" w:pos="284"/>
        </w:tabs>
        <w:jc w:val="both"/>
        <w:rPr>
          <w:sz w:val="22"/>
          <w:szCs w:val="22"/>
          <w:lang w:val="sr-Latn-ME"/>
        </w:rPr>
      </w:pPr>
      <w:r w:rsidRPr="00AB5B90">
        <w:rPr>
          <w:sz w:val="22"/>
          <w:szCs w:val="22"/>
          <w:lang w:val="sr-Latn-ME"/>
        </w:rPr>
        <w:t xml:space="preserve">Smanjena gastrointestinalna resorpcija </w:t>
      </w:r>
      <w:proofErr w:type="spellStart"/>
      <w:r w:rsidRPr="00AB5B90">
        <w:rPr>
          <w:sz w:val="22"/>
          <w:szCs w:val="22"/>
          <w:lang w:val="sr-Latn-ME"/>
        </w:rPr>
        <w:t>karbidope</w:t>
      </w:r>
      <w:proofErr w:type="spellEnd"/>
      <w:r w:rsidRPr="00AB5B90">
        <w:rPr>
          <w:sz w:val="22"/>
          <w:szCs w:val="22"/>
          <w:lang w:val="sr-Latn-ME"/>
        </w:rPr>
        <w:t xml:space="preserve"> i </w:t>
      </w:r>
      <w:proofErr w:type="spellStart"/>
      <w:r w:rsidRPr="00AB5B90">
        <w:rPr>
          <w:sz w:val="22"/>
          <w:szCs w:val="22"/>
          <w:lang w:val="sr-Latn-ME"/>
        </w:rPr>
        <w:t>levodope</w:t>
      </w:r>
      <w:proofErr w:type="spellEnd"/>
      <w:r w:rsidRPr="00AB5B90">
        <w:rPr>
          <w:sz w:val="22"/>
          <w:szCs w:val="22"/>
          <w:lang w:val="sr-Latn-ME"/>
        </w:rPr>
        <w:t>.</w:t>
      </w:r>
    </w:p>
    <w:p w14:paraId="128E0ED0" w14:textId="309AF63B" w:rsidR="00102617" w:rsidRPr="00AB5B90" w:rsidRDefault="00102617" w:rsidP="003E5B22">
      <w:pPr>
        <w:tabs>
          <w:tab w:val="left" w:pos="284"/>
        </w:tabs>
        <w:jc w:val="both"/>
        <w:rPr>
          <w:bCs/>
          <w:sz w:val="22"/>
          <w:szCs w:val="22"/>
          <w:lang w:val="sr-Latn-ME"/>
        </w:rPr>
      </w:pPr>
      <w:r w:rsidRPr="00AB5B90">
        <w:rPr>
          <w:sz w:val="22"/>
          <w:szCs w:val="22"/>
          <w:lang w:val="sr-Latn-ME"/>
        </w:rPr>
        <w:t>Prim</w:t>
      </w:r>
      <w:r w:rsidR="001A619F" w:rsidRPr="00AB5B90">
        <w:rPr>
          <w:sz w:val="22"/>
          <w:szCs w:val="22"/>
          <w:lang w:val="sr-Latn-ME"/>
        </w:rPr>
        <w:t>j</w:t>
      </w:r>
      <w:r w:rsidRPr="00AB5B90">
        <w:rPr>
          <w:sz w:val="22"/>
          <w:szCs w:val="22"/>
          <w:lang w:val="sr-Latn-ME"/>
        </w:rPr>
        <w:t xml:space="preserve">enu soli gvožđa sa </w:t>
      </w:r>
      <w:proofErr w:type="spellStart"/>
      <w:r w:rsidRPr="00AB5B90">
        <w:rPr>
          <w:sz w:val="22"/>
          <w:szCs w:val="22"/>
          <w:lang w:val="sr-Latn-ME"/>
        </w:rPr>
        <w:t>karbidopom</w:t>
      </w:r>
      <w:proofErr w:type="spellEnd"/>
      <w:r w:rsidRPr="00AB5B90">
        <w:rPr>
          <w:sz w:val="22"/>
          <w:szCs w:val="22"/>
          <w:lang w:val="sr-Latn-ME"/>
        </w:rPr>
        <w:t xml:space="preserve"> i </w:t>
      </w:r>
      <w:proofErr w:type="spellStart"/>
      <w:r w:rsidRPr="00AB5B90">
        <w:rPr>
          <w:sz w:val="22"/>
          <w:szCs w:val="22"/>
          <w:lang w:val="sr-Latn-ME"/>
        </w:rPr>
        <w:t>levodopom</w:t>
      </w:r>
      <w:proofErr w:type="spellEnd"/>
      <w:r w:rsidRPr="00AB5B90">
        <w:rPr>
          <w:sz w:val="22"/>
          <w:szCs w:val="22"/>
          <w:lang w:val="sr-Latn-ME"/>
        </w:rPr>
        <w:t xml:space="preserve"> treba razdvojiti (za više od 2 sata, ako je moguće).</w:t>
      </w:r>
    </w:p>
    <w:p w14:paraId="6EDB0EE3" w14:textId="77777777" w:rsidR="00102617" w:rsidRPr="00AB5B90" w:rsidRDefault="00102617" w:rsidP="003E5B22">
      <w:pPr>
        <w:tabs>
          <w:tab w:val="left" w:pos="284"/>
        </w:tabs>
        <w:jc w:val="both"/>
        <w:rPr>
          <w:b/>
          <w:bCs/>
          <w:sz w:val="22"/>
          <w:szCs w:val="22"/>
          <w:lang w:val="sr-Latn-ME"/>
        </w:rPr>
      </w:pPr>
      <w:r w:rsidRPr="00AB5B90">
        <w:rPr>
          <w:b/>
          <w:bCs/>
          <w:sz w:val="22"/>
          <w:szCs w:val="22"/>
          <w:lang w:val="sr-Latn-ME"/>
        </w:rPr>
        <w:t xml:space="preserve">+ </w:t>
      </w:r>
      <w:proofErr w:type="spellStart"/>
      <w:r w:rsidRPr="00AB5B90">
        <w:rPr>
          <w:b/>
          <w:bCs/>
          <w:sz w:val="22"/>
          <w:szCs w:val="22"/>
          <w:lang w:val="sr-Latn-ME"/>
        </w:rPr>
        <w:t>Metildopa</w:t>
      </w:r>
      <w:proofErr w:type="spellEnd"/>
      <w:r w:rsidRPr="00AB5B90">
        <w:rPr>
          <w:b/>
          <w:bCs/>
          <w:sz w:val="22"/>
          <w:szCs w:val="22"/>
          <w:lang w:val="sr-Latn-ME"/>
        </w:rPr>
        <w:t>:</w:t>
      </w:r>
    </w:p>
    <w:p w14:paraId="64D705AF" w14:textId="77777777" w:rsidR="00102617" w:rsidRPr="00AB5B90" w:rsidRDefault="00102617" w:rsidP="003E5B22">
      <w:pPr>
        <w:tabs>
          <w:tab w:val="left" w:pos="284"/>
        </w:tabs>
        <w:jc w:val="both"/>
        <w:rPr>
          <w:sz w:val="22"/>
          <w:szCs w:val="22"/>
          <w:lang w:val="sr-Latn-ME"/>
        </w:rPr>
      </w:pPr>
      <w:r w:rsidRPr="00AB5B90">
        <w:rPr>
          <w:sz w:val="22"/>
          <w:szCs w:val="22"/>
          <w:lang w:val="sr-Latn-ME"/>
        </w:rPr>
        <w:t xml:space="preserve">Smanjena gastrointestinalna resorpcija </w:t>
      </w:r>
      <w:proofErr w:type="spellStart"/>
      <w:r w:rsidRPr="00AB5B90">
        <w:rPr>
          <w:sz w:val="22"/>
          <w:szCs w:val="22"/>
          <w:lang w:val="sr-Latn-ME"/>
        </w:rPr>
        <w:t>metildope</w:t>
      </w:r>
      <w:proofErr w:type="spellEnd"/>
      <w:r w:rsidRPr="00AB5B90">
        <w:rPr>
          <w:sz w:val="22"/>
          <w:szCs w:val="22"/>
          <w:lang w:val="sr-Latn-ME"/>
        </w:rPr>
        <w:t xml:space="preserve"> (formiranje kompleksa).</w:t>
      </w:r>
    </w:p>
    <w:p w14:paraId="28020815" w14:textId="05415C0A" w:rsidR="00102617" w:rsidRPr="00AB5B90" w:rsidRDefault="00102617" w:rsidP="003E5B22">
      <w:pPr>
        <w:tabs>
          <w:tab w:val="left" w:pos="284"/>
        </w:tabs>
        <w:jc w:val="both"/>
        <w:rPr>
          <w:bCs/>
          <w:sz w:val="22"/>
          <w:szCs w:val="22"/>
          <w:lang w:val="sr-Latn-ME"/>
        </w:rPr>
      </w:pPr>
      <w:r w:rsidRPr="00AB5B90">
        <w:rPr>
          <w:sz w:val="22"/>
          <w:szCs w:val="22"/>
          <w:lang w:val="sr-Latn-ME"/>
        </w:rPr>
        <w:t>Prim</w:t>
      </w:r>
      <w:r w:rsidR="001A619F" w:rsidRPr="00AB5B90">
        <w:rPr>
          <w:sz w:val="22"/>
          <w:szCs w:val="22"/>
          <w:lang w:val="sr-Latn-ME"/>
        </w:rPr>
        <w:t>j</w:t>
      </w:r>
      <w:r w:rsidRPr="00AB5B90">
        <w:rPr>
          <w:sz w:val="22"/>
          <w:szCs w:val="22"/>
          <w:lang w:val="sr-Latn-ME"/>
        </w:rPr>
        <w:t xml:space="preserve">enu soli gvožđa sa </w:t>
      </w:r>
      <w:proofErr w:type="spellStart"/>
      <w:r w:rsidRPr="00AB5B90">
        <w:rPr>
          <w:sz w:val="22"/>
          <w:szCs w:val="22"/>
          <w:lang w:val="sr-Latn-ME"/>
        </w:rPr>
        <w:t>metildopom</w:t>
      </w:r>
      <w:proofErr w:type="spellEnd"/>
      <w:r w:rsidRPr="00AB5B90">
        <w:rPr>
          <w:sz w:val="22"/>
          <w:szCs w:val="22"/>
          <w:lang w:val="sr-Latn-ME"/>
        </w:rPr>
        <w:t xml:space="preserve"> treba razdvojiti (za više od 2 sata, ako je moguće).</w:t>
      </w:r>
    </w:p>
    <w:p w14:paraId="3175E6AC" w14:textId="28F870BD" w:rsidR="00E6623A" w:rsidRPr="00AB5B90" w:rsidRDefault="007F0F33" w:rsidP="003E5B22">
      <w:pPr>
        <w:tabs>
          <w:tab w:val="left" w:pos="540"/>
          <w:tab w:val="left" w:pos="569"/>
        </w:tabs>
        <w:jc w:val="both"/>
        <w:rPr>
          <w:b/>
          <w:sz w:val="22"/>
          <w:szCs w:val="22"/>
          <w:lang w:val="sr-Latn-ME"/>
        </w:rPr>
      </w:pPr>
      <w:r w:rsidRPr="00AB5B90">
        <w:rPr>
          <w:sz w:val="22"/>
          <w:szCs w:val="22"/>
          <w:lang w:val="sr-Latn-ME"/>
        </w:rPr>
        <w:t xml:space="preserve">+ </w:t>
      </w:r>
      <w:proofErr w:type="spellStart"/>
      <w:r w:rsidR="00E6623A" w:rsidRPr="00AB5B90">
        <w:rPr>
          <w:b/>
          <w:sz w:val="22"/>
          <w:szCs w:val="22"/>
          <w:lang w:val="sr-Latn-ME"/>
        </w:rPr>
        <w:t>penicilamini</w:t>
      </w:r>
      <w:proofErr w:type="spellEnd"/>
      <w:r w:rsidR="00E6623A" w:rsidRPr="00AB5B90">
        <w:rPr>
          <w:b/>
          <w:sz w:val="22"/>
          <w:szCs w:val="22"/>
          <w:lang w:val="sr-Latn-ME"/>
        </w:rPr>
        <w:t>:</w:t>
      </w:r>
    </w:p>
    <w:p w14:paraId="471E7E5D" w14:textId="3BDB3EC3" w:rsidR="00C831C8" w:rsidRPr="00AB5B90" w:rsidRDefault="00E6623A" w:rsidP="003E5B22">
      <w:pPr>
        <w:jc w:val="both"/>
        <w:rPr>
          <w:sz w:val="22"/>
          <w:szCs w:val="22"/>
          <w:lang w:val="sr-Latn-ME"/>
        </w:rPr>
      </w:pPr>
      <w:r w:rsidRPr="00AB5B90">
        <w:rPr>
          <w:sz w:val="22"/>
          <w:szCs w:val="22"/>
          <w:lang w:val="sr-Latn-ME"/>
        </w:rPr>
        <w:t xml:space="preserve">Smanjena </w:t>
      </w:r>
      <w:r w:rsidR="007F0F33" w:rsidRPr="00AB5B90">
        <w:rPr>
          <w:sz w:val="22"/>
          <w:szCs w:val="22"/>
          <w:lang w:val="sr-Latn-ME"/>
        </w:rPr>
        <w:t>gastrointestinalna</w:t>
      </w:r>
      <w:r w:rsidRPr="00AB5B90">
        <w:rPr>
          <w:sz w:val="22"/>
          <w:szCs w:val="22"/>
          <w:lang w:val="sr-Latn-ME"/>
        </w:rPr>
        <w:t xml:space="preserve"> resorpcija </w:t>
      </w:r>
      <w:proofErr w:type="spellStart"/>
      <w:r w:rsidRPr="00AB5B90">
        <w:rPr>
          <w:sz w:val="22"/>
          <w:szCs w:val="22"/>
          <w:lang w:val="sr-Latn-ME"/>
        </w:rPr>
        <w:t>penicilamina</w:t>
      </w:r>
      <w:proofErr w:type="spellEnd"/>
      <w:r w:rsidRPr="00AB5B90">
        <w:rPr>
          <w:sz w:val="22"/>
          <w:szCs w:val="22"/>
          <w:lang w:val="sr-Latn-ME"/>
        </w:rPr>
        <w:t xml:space="preserve">. </w:t>
      </w:r>
      <w:r w:rsidR="00C831C8" w:rsidRPr="00AB5B90">
        <w:rPr>
          <w:sz w:val="22"/>
          <w:szCs w:val="22"/>
          <w:lang w:val="sr-Latn-ME"/>
        </w:rPr>
        <w:t xml:space="preserve">Primjenu soli gvožđa sa </w:t>
      </w:r>
      <w:proofErr w:type="spellStart"/>
      <w:r w:rsidR="00C831C8" w:rsidRPr="00AB5B90">
        <w:rPr>
          <w:sz w:val="22"/>
          <w:szCs w:val="22"/>
          <w:lang w:val="sr-Latn-ME"/>
        </w:rPr>
        <w:t>penicilaminima</w:t>
      </w:r>
      <w:proofErr w:type="spellEnd"/>
      <w:r w:rsidR="00C831C8" w:rsidRPr="00AB5B90">
        <w:rPr>
          <w:sz w:val="22"/>
          <w:szCs w:val="22"/>
          <w:lang w:val="sr-Latn-ME"/>
        </w:rPr>
        <w:t xml:space="preserve"> treba razdvojiti (za više od 2 sata, ako je moguće).</w:t>
      </w:r>
    </w:p>
    <w:p w14:paraId="2E9733F2" w14:textId="15A3EFDE" w:rsidR="00E6623A" w:rsidRPr="00AB5B90" w:rsidRDefault="001B42C8" w:rsidP="003E5B22">
      <w:pPr>
        <w:tabs>
          <w:tab w:val="left" w:pos="540"/>
          <w:tab w:val="left" w:pos="569"/>
        </w:tabs>
        <w:jc w:val="both"/>
        <w:rPr>
          <w:b/>
          <w:sz w:val="22"/>
          <w:szCs w:val="22"/>
          <w:lang w:val="sr-Latn-ME"/>
        </w:rPr>
      </w:pPr>
      <w:r w:rsidRPr="00AB5B90">
        <w:rPr>
          <w:sz w:val="22"/>
          <w:szCs w:val="22"/>
          <w:lang w:val="sr-Latn-ME"/>
        </w:rPr>
        <w:t xml:space="preserve">+ </w:t>
      </w:r>
      <w:proofErr w:type="spellStart"/>
      <w:r w:rsidRPr="00AB5B90">
        <w:rPr>
          <w:b/>
          <w:sz w:val="22"/>
          <w:szCs w:val="22"/>
          <w:lang w:val="sr-Latn-ME"/>
        </w:rPr>
        <w:t>Tiroidni</w:t>
      </w:r>
      <w:proofErr w:type="spellEnd"/>
      <w:r w:rsidRPr="00AB5B90">
        <w:rPr>
          <w:b/>
          <w:sz w:val="22"/>
          <w:szCs w:val="22"/>
          <w:lang w:val="sr-Latn-ME"/>
        </w:rPr>
        <w:t xml:space="preserve"> hormoni</w:t>
      </w:r>
      <w:r w:rsidR="00E6623A" w:rsidRPr="00AB5B90">
        <w:rPr>
          <w:b/>
          <w:sz w:val="22"/>
          <w:szCs w:val="22"/>
          <w:lang w:val="sr-Latn-ME"/>
        </w:rPr>
        <w:t>:</w:t>
      </w:r>
    </w:p>
    <w:p w14:paraId="65834AA5" w14:textId="4D35D16B" w:rsidR="00D1664C" w:rsidRPr="00AB5B90" w:rsidRDefault="00E6623A" w:rsidP="003E5B22">
      <w:pPr>
        <w:jc w:val="both"/>
        <w:rPr>
          <w:sz w:val="22"/>
          <w:szCs w:val="22"/>
          <w:lang w:val="sr-Latn-ME"/>
        </w:rPr>
      </w:pPr>
      <w:r w:rsidRPr="00AB5B90">
        <w:rPr>
          <w:sz w:val="22"/>
          <w:szCs w:val="22"/>
          <w:lang w:val="sr-Latn-ME"/>
        </w:rPr>
        <w:t xml:space="preserve">Smanjena </w:t>
      </w:r>
      <w:r w:rsidR="001B42C8" w:rsidRPr="00AB5B90">
        <w:rPr>
          <w:sz w:val="22"/>
          <w:szCs w:val="22"/>
          <w:lang w:val="sr-Latn-ME"/>
        </w:rPr>
        <w:t>gastrointestinalna</w:t>
      </w:r>
      <w:r w:rsidRPr="00AB5B90">
        <w:rPr>
          <w:sz w:val="22"/>
          <w:szCs w:val="22"/>
          <w:lang w:val="sr-Latn-ME"/>
        </w:rPr>
        <w:t xml:space="preserve"> resorpcija </w:t>
      </w:r>
      <w:proofErr w:type="spellStart"/>
      <w:r w:rsidRPr="00AB5B90">
        <w:rPr>
          <w:sz w:val="22"/>
          <w:szCs w:val="22"/>
          <w:lang w:val="sr-Latn-ME"/>
        </w:rPr>
        <w:t>tiroksina</w:t>
      </w:r>
      <w:proofErr w:type="spellEnd"/>
      <w:r w:rsidRPr="00AB5B90">
        <w:rPr>
          <w:sz w:val="22"/>
          <w:szCs w:val="22"/>
          <w:lang w:val="sr-Latn-ME"/>
        </w:rPr>
        <w:t xml:space="preserve">. </w:t>
      </w:r>
      <w:r w:rsidR="00D1664C" w:rsidRPr="00AB5B90">
        <w:rPr>
          <w:sz w:val="22"/>
          <w:szCs w:val="22"/>
          <w:lang w:val="sr-Latn-ME"/>
        </w:rPr>
        <w:t xml:space="preserve">Primjenu soli gvožđa sa </w:t>
      </w:r>
      <w:proofErr w:type="spellStart"/>
      <w:r w:rsidR="00D1664C" w:rsidRPr="00AB5B90">
        <w:rPr>
          <w:sz w:val="22"/>
          <w:szCs w:val="22"/>
          <w:lang w:val="sr-Latn-ME"/>
        </w:rPr>
        <w:t>tiroidnim</w:t>
      </w:r>
      <w:proofErr w:type="spellEnd"/>
      <w:r w:rsidR="00D1664C" w:rsidRPr="00AB5B90">
        <w:rPr>
          <w:sz w:val="22"/>
          <w:szCs w:val="22"/>
          <w:lang w:val="sr-Latn-ME"/>
        </w:rPr>
        <w:t xml:space="preserve"> hormonima treba razdvojiti (za više od 2 sata, ako je moguće).</w:t>
      </w:r>
    </w:p>
    <w:p w14:paraId="4A16507C" w14:textId="77777777" w:rsidR="00D1664C" w:rsidRPr="00AB5B90" w:rsidRDefault="00D1664C" w:rsidP="003E5B22">
      <w:pPr>
        <w:tabs>
          <w:tab w:val="left" w:pos="284"/>
        </w:tabs>
        <w:jc w:val="both"/>
        <w:rPr>
          <w:b/>
          <w:bCs/>
          <w:sz w:val="22"/>
          <w:szCs w:val="22"/>
          <w:lang w:val="sr-Latn-ME"/>
        </w:rPr>
      </w:pPr>
      <w:r w:rsidRPr="00AB5B90">
        <w:rPr>
          <w:b/>
          <w:bCs/>
          <w:sz w:val="22"/>
          <w:szCs w:val="22"/>
          <w:lang w:val="sr-Latn-ME"/>
        </w:rPr>
        <w:t>+ Stroncijum:</w:t>
      </w:r>
    </w:p>
    <w:p w14:paraId="551A8C72" w14:textId="77777777" w:rsidR="00D1664C" w:rsidRPr="00AB5B90" w:rsidRDefault="00D1664C" w:rsidP="003E5B22">
      <w:pPr>
        <w:tabs>
          <w:tab w:val="left" w:pos="284"/>
        </w:tabs>
        <w:jc w:val="both"/>
        <w:rPr>
          <w:sz w:val="22"/>
          <w:szCs w:val="22"/>
          <w:lang w:val="sr-Latn-ME"/>
        </w:rPr>
      </w:pPr>
      <w:r w:rsidRPr="00AB5B90">
        <w:rPr>
          <w:sz w:val="22"/>
          <w:szCs w:val="22"/>
          <w:lang w:val="sr-Latn-ME"/>
        </w:rPr>
        <w:t>Smanjena gastrointestinalna resorpcija stroncijuma.</w:t>
      </w:r>
    </w:p>
    <w:p w14:paraId="768AE4BA" w14:textId="653294E8" w:rsidR="00D1664C" w:rsidRPr="00AB5B90" w:rsidRDefault="00D1664C" w:rsidP="003E5B22">
      <w:pPr>
        <w:tabs>
          <w:tab w:val="left" w:pos="284"/>
        </w:tabs>
        <w:jc w:val="both"/>
        <w:rPr>
          <w:sz w:val="22"/>
          <w:szCs w:val="22"/>
          <w:lang w:val="sr-Latn-ME"/>
        </w:rPr>
      </w:pPr>
      <w:r w:rsidRPr="00AB5B90">
        <w:rPr>
          <w:sz w:val="22"/>
          <w:szCs w:val="22"/>
          <w:lang w:val="sr-Latn-ME"/>
        </w:rPr>
        <w:t>Prim</w:t>
      </w:r>
      <w:r w:rsidR="00DF0A25" w:rsidRPr="00AB5B90">
        <w:rPr>
          <w:sz w:val="22"/>
          <w:szCs w:val="22"/>
          <w:lang w:val="sr-Latn-ME"/>
        </w:rPr>
        <w:t>j</w:t>
      </w:r>
      <w:r w:rsidRPr="00AB5B90">
        <w:rPr>
          <w:sz w:val="22"/>
          <w:szCs w:val="22"/>
          <w:lang w:val="sr-Latn-ME"/>
        </w:rPr>
        <w:t>enu soli gvožđa sa stroncijumom treba razdvojiti (za više od 2 sata, ako je moguće).</w:t>
      </w:r>
    </w:p>
    <w:p w14:paraId="4975A250" w14:textId="77777777" w:rsidR="00D1664C" w:rsidRPr="00AB5B90" w:rsidRDefault="00D1664C" w:rsidP="003E5B22">
      <w:pPr>
        <w:tabs>
          <w:tab w:val="left" w:pos="284"/>
        </w:tabs>
        <w:jc w:val="both"/>
        <w:rPr>
          <w:b/>
          <w:bCs/>
          <w:sz w:val="22"/>
          <w:szCs w:val="22"/>
          <w:lang w:val="sr-Latn-ME"/>
        </w:rPr>
      </w:pPr>
      <w:r w:rsidRPr="00AB5B90">
        <w:rPr>
          <w:b/>
          <w:bCs/>
          <w:sz w:val="22"/>
          <w:szCs w:val="22"/>
          <w:lang w:val="sr-Latn-ME"/>
        </w:rPr>
        <w:t>+ Cink:</w:t>
      </w:r>
    </w:p>
    <w:p w14:paraId="40E0C2E2" w14:textId="77777777" w:rsidR="00D1664C" w:rsidRPr="00AB5B90" w:rsidRDefault="00D1664C" w:rsidP="003E5B22">
      <w:pPr>
        <w:tabs>
          <w:tab w:val="left" w:pos="284"/>
        </w:tabs>
        <w:jc w:val="both"/>
        <w:rPr>
          <w:sz w:val="22"/>
          <w:szCs w:val="22"/>
          <w:lang w:val="sr-Latn-ME"/>
        </w:rPr>
      </w:pPr>
      <w:r w:rsidRPr="00AB5B90">
        <w:rPr>
          <w:sz w:val="22"/>
          <w:szCs w:val="22"/>
          <w:lang w:val="sr-Latn-ME"/>
        </w:rPr>
        <w:t>Smanjena gastrointestinalna resorpcija cinka.</w:t>
      </w:r>
    </w:p>
    <w:p w14:paraId="16ABABED" w14:textId="463BFE73" w:rsidR="00D1664C" w:rsidRPr="00AB5B90" w:rsidRDefault="00D1664C" w:rsidP="003E5B22">
      <w:pPr>
        <w:tabs>
          <w:tab w:val="left" w:pos="284"/>
        </w:tabs>
        <w:jc w:val="both"/>
        <w:rPr>
          <w:sz w:val="22"/>
          <w:szCs w:val="22"/>
          <w:lang w:val="sr-Latn-ME"/>
        </w:rPr>
      </w:pPr>
      <w:r w:rsidRPr="00AB5B90">
        <w:rPr>
          <w:sz w:val="22"/>
          <w:szCs w:val="22"/>
          <w:lang w:val="sr-Latn-ME"/>
        </w:rPr>
        <w:t>Prim</w:t>
      </w:r>
      <w:r w:rsidR="00DF0A25" w:rsidRPr="00AB5B90">
        <w:rPr>
          <w:sz w:val="22"/>
          <w:szCs w:val="22"/>
          <w:lang w:val="sr-Latn-ME"/>
        </w:rPr>
        <w:t>j</w:t>
      </w:r>
      <w:r w:rsidRPr="00AB5B90">
        <w:rPr>
          <w:sz w:val="22"/>
          <w:szCs w:val="22"/>
          <w:lang w:val="sr-Latn-ME"/>
        </w:rPr>
        <w:t>enu soli gvožđa sa cinkom treba razdvojiti (za više od 2 sata, ako je moguće).</w:t>
      </w:r>
    </w:p>
    <w:p w14:paraId="0754614F" w14:textId="6EBFAED1" w:rsidR="00E6623A" w:rsidRPr="00AB5B90" w:rsidRDefault="00D1664C" w:rsidP="003E5B22">
      <w:pPr>
        <w:tabs>
          <w:tab w:val="left" w:pos="540"/>
          <w:tab w:val="left" w:pos="569"/>
        </w:tabs>
        <w:jc w:val="both"/>
        <w:rPr>
          <w:b/>
          <w:sz w:val="22"/>
          <w:szCs w:val="22"/>
          <w:lang w:val="sr-Latn-ME"/>
        </w:rPr>
      </w:pPr>
      <w:r w:rsidRPr="00AB5B90">
        <w:rPr>
          <w:b/>
          <w:sz w:val="22"/>
          <w:szCs w:val="22"/>
          <w:lang w:val="sr-Latn-ME"/>
        </w:rPr>
        <w:t>+ H</w:t>
      </w:r>
      <w:r w:rsidR="00E6623A" w:rsidRPr="00AB5B90">
        <w:rPr>
          <w:b/>
          <w:sz w:val="22"/>
          <w:szCs w:val="22"/>
          <w:lang w:val="sr-Latn-ME"/>
        </w:rPr>
        <w:t>ran</w:t>
      </w:r>
      <w:r w:rsidRPr="00AB5B90">
        <w:rPr>
          <w:b/>
          <w:sz w:val="22"/>
          <w:szCs w:val="22"/>
          <w:lang w:val="sr-Latn-ME"/>
        </w:rPr>
        <w:t>a</w:t>
      </w:r>
      <w:r w:rsidR="00E6623A" w:rsidRPr="00AB5B90">
        <w:rPr>
          <w:b/>
          <w:sz w:val="22"/>
          <w:szCs w:val="22"/>
          <w:lang w:val="sr-Latn-ME"/>
        </w:rPr>
        <w:t>:</w:t>
      </w:r>
    </w:p>
    <w:p w14:paraId="3328C67A" w14:textId="7001FF65" w:rsidR="002E4C59" w:rsidRPr="00AB5B90" w:rsidRDefault="002E4C59" w:rsidP="003E5B22">
      <w:pPr>
        <w:tabs>
          <w:tab w:val="left" w:pos="284"/>
        </w:tabs>
        <w:jc w:val="both"/>
        <w:rPr>
          <w:bCs/>
          <w:sz w:val="22"/>
          <w:szCs w:val="22"/>
          <w:lang w:val="sr-Latn-ME"/>
        </w:rPr>
      </w:pPr>
      <w:proofErr w:type="spellStart"/>
      <w:r w:rsidRPr="00AB5B90">
        <w:rPr>
          <w:bCs/>
          <w:sz w:val="22"/>
          <w:szCs w:val="22"/>
          <w:lang w:val="sr-Latn-ME"/>
        </w:rPr>
        <w:t>Fitinske</w:t>
      </w:r>
      <w:proofErr w:type="spellEnd"/>
      <w:r w:rsidRPr="00AB5B90">
        <w:rPr>
          <w:bCs/>
          <w:sz w:val="22"/>
          <w:szCs w:val="22"/>
          <w:lang w:val="sr-Latn-ME"/>
        </w:rPr>
        <w:t xml:space="preserve"> kiseline (c</w:t>
      </w:r>
      <w:r w:rsidR="005B6F88" w:rsidRPr="00AB5B90">
        <w:rPr>
          <w:bCs/>
          <w:sz w:val="22"/>
          <w:szCs w:val="22"/>
          <w:lang w:val="sr-Latn-ME"/>
        </w:rPr>
        <w:t>ij</w:t>
      </w:r>
      <w:r w:rsidRPr="00AB5B90">
        <w:rPr>
          <w:bCs/>
          <w:sz w:val="22"/>
          <w:szCs w:val="22"/>
          <w:lang w:val="sr-Latn-ME"/>
        </w:rPr>
        <w:t xml:space="preserve">ela zrna), povrće, </w:t>
      </w:r>
      <w:proofErr w:type="spellStart"/>
      <w:r w:rsidRPr="00AB5B90">
        <w:rPr>
          <w:bCs/>
          <w:sz w:val="22"/>
          <w:szCs w:val="22"/>
          <w:lang w:val="sr-Latn-ME"/>
        </w:rPr>
        <w:t>polifenoli</w:t>
      </w:r>
      <w:proofErr w:type="spellEnd"/>
      <w:r w:rsidRPr="00AB5B90">
        <w:rPr>
          <w:bCs/>
          <w:sz w:val="22"/>
          <w:szCs w:val="22"/>
          <w:lang w:val="sr-Latn-ME"/>
        </w:rPr>
        <w:t xml:space="preserve"> (čaj, kafa, crveno vino), kalcijum (ml</w:t>
      </w:r>
      <w:r w:rsidR="005B6F88" w:rsidRPr="00AB5B90">
        <w:rPr>
          <w:bCs/>
          <w:sz w:val="22"/>
          <w:szCs w:val="22"/>
          <w:lang w:val="sr-Latn-ME"/>
        </w:rPr>
        <w:t>ij</w:t>
      </w:r>
      <w:r w:rsidRPr="00AB5B90">
        <w:rPr>
          <w:bCs/>
          <w:sz w:val="22"/>
          <w:szCs w:val="22"/>
          <w:lang w:val="sr-Latn-ME"/>
        </w:rPr>
        <w:t>eko, ml</w:t>
      </w:r>
      <w:r w:rsidR="005B6F88" w:rsidRPr="00AB5B90">
        <w:rPr>
          <w:bCs/>
          <w:sz w:val="22"/>
          <w:szCs w:val="22"/>
          <w:lang w:val="sr-Latn-ME"/>
        </w:rPr>
        <w:t>ij</w:t>
      </w:r>
      <w:r w:rsidRPr="00AB5B90">
        <w:rPr>
          <w:bCs/>
          <w:sz w:val="22"/>
          <w:szCs w:val="22"/>
          <w:lang w:val="sr-Latn-ME"/>
        </w:rPr>
        <w:t>ečni proizvodi) i neki proteini (jaja) značajno ometaju resorpciju gvožđa.</w:t>
      </w:r>
    </w:p>
    <w:p w14:paraId="3E52F57C" w14:textId="3F3BCDD1" w:rsidR="002E4C59" w:rsidRPr="00AB5B90" w:rsidRDefault="002E4C59" w:rsidP="003E5B22">
      <w:pPr>
        <w:tabs>
          <w:tab w:val="left" w:pos="284"/>
        </w:tabs>
        <w:jc w:val="both"/>
        <w:rPr>
          <w:bCs/>
          <w:sz w:val="22"/>
          <w:szCs w:val="22"/>
          <w:lang w:val="sr-Latn-ME"/>
        </w:rPr>
      </w:pPr>
      <w:r w:rsidRPr="00AB5B90">
        <w:rPr>
          <w:bCs/>
          <w:sz w:val="22"/>
          <w:szCs w:val="22"/>
          <w:lang w:val="sr-Latn-ME"/>
        </w:rPr>
        <w:t>Prim</w:t>
      </w:r>
      <w:r w:rsidR="00DF0A25" w:rsidRPr="00AB5B90">
        <w:rPr>
          <w:bCs/>
          <w:sz w:val="22"/>
          <w:szCs w:val="22"/>
          <w:lang w:val="sr-Latn-ME"/>
        </w:rPr>
        <w:t>j</w:t>
      </w:r>
      <w:r w:rsidRPr="00AB5B90">
        <w:rPr>
          <w:bCs/>
          <w:sz w:val="22"/>
          <w:szCs w:val="22"/>
          <w:lang w:val="sr-Latn-ME"/>
        </w:rPr>
        <w:t>ena soli gvožđa treba da bude odvojena od ovih namirnica za više od 2 sata, ako je moguće.</w:t>
      </w:r>
    </w:p>
    <w:p w14:paraId="0FA0749C" w14:textId="77777777" w:rsidR="002E4C59" w:rsidRPr="00AB5B90" w:rsidRDefault="002E4C59" w:rsidP="003E5B22">
      <w:pPr>
        <w:tabs>
          <w:tab w:val="left" w:pos="284"/>
        </w:tabs>
        <w:jc w:val="both"/>
        <w:rPr>
          <w:b/>
          <w:bCs/>
          <w:sz w:val="22"/>
          <w:szCs w:val="22"/>
          <w:u w:val="single"/>
          <w:lang w:val="sr-Latn-ME"/>
        </w:rPr>
      </w:pPr>
    </w:p>
    <w:p w14:paraId="19A640FE" w14:textId="77777777" w:rsidR="002E4C59" w:rsidRPr="00AB5B90" w:rsidRDefault="002E4C59" w:rsidP="003E5B22">
      <w:pPr>
        <w:tabs>
          <w:tab w:val="left" w:pos="284"/>
        </w:tabs>
        <w:jc w:val="both"/>
        <w:rPr>
          <w:b/>
          <w:bCs/>
          <w:sz w:val="22"/>
          <w:szCs w:val="22"/>
          <w:u w:val="single"/>
          <w:lang w:val="sr-Latn-ME"/>
        </w:rPr>
      </w:pPr>
      <w:r w:rsidRPr="00AB5B90">
        <w:rPr>
          <w:b/>
          <w:bCs/>
          <w:sz w:val="22"/>
          <w:szCs w:val="22"/>
          <w:u w:val="single"/>
          <w:lang w:val="sr-Latn-ME"/>
        </w:rPr>
        <w:t>Kombinacije koje treba uzeti u obzir:</w:t>
      </w:r>
    </w:p>
    <w:p w14:paraId="1A180C38" w14:textId="77777777" w:rsidR="002E4C59" w:rsidRPr="00AB5B90" w:rsidRDefault="002E4C59" w:rsidP="003E5B22">
      <w:pPr>
        <w:tabs>
          <w:tab w:val="left" w:pos="284"/>
        </w:tabs>
        <w:jc w:val="both"/>
        <w:rPr>
          <w:b/>
          <w:bCs/>
          <w:sz w:val="22"/>
          <w:szCs w:val="22"/>
          <w:lang w:val="sr-Latn-ME"/>
        </w:rPr>
      </w:pPr>
      <w:r w:rsidRPr="00AB5B90">
        <w:rPr>
          <w:b/>
          <w:bCs/>
          <w:sz w:val="22"/>
          <w:szCs w:val="22"/>
          <w:lang w:val="sr-Latn-ME"/>
        </w:rPr>
        <w:t xml:space="preserve">+ </w:t>
      </w:r>
      <w:proofErr w:type="spellStart"/>
      <w:r w:rsidRPr="00AB5B90">
        <w:rPr>
          <w:b/>
          <w:bCs/>
          <w:sz w:val="22"/>
          <w:szCs w:val="22"/>
          <w:lang w:val="sr-Latn-ME"/>
        </w:rPr>
        <w:t>Acetohidroksaminska</w:t>
      </w:r>
      <w:proofErr w:type="spellEnd"/>
      <w:r w:rsidRPr="00AB5B90">
        <w:rPr>
          <w:b/>
          <w:bCs/>
          <w:sz w:val="22"/>
          <w:szCs w:val="22"/>
          <w:lang w:val="sr-Latn-ME"/>
        </w:rPr>
        <w:t xml:space="preserve"> kiselina</w:t>
      </w:r>
    </w:p>
    <w:p w14:paraId="27997FCF" w14:textId="4CED3C78" w:rsidR="002E4C59" w:rsidRPr="00AB5B90" w:rsidRDefault="002E4C59" w:rsidP="003E5B22">
      <w:pPr>
        <w:tabs>
          <w:tab w:val="left" w:pos="284"/>
        </w:tabs>
        <w:jc w:val="both"/>
        <w:rPr>
          <w:sz w:val="22"/>
          <w:szCs w:val="22"/>
          <w:lang w:val="sr-Latn-ME"/>
        </w:rPr>
      </w:pPr>
      <w:r w:rsidRPr="00AB5B90">
        <w:rPr>
          <w:sz w:val="22"/>
          <w:szCs w:val="22"/>
          <w:lang w:val="sr-Latn-ME"/>
        </w:rPr>
        <w:t>Smanjena gastrointestinalna resorpcija dva l</w:t>
      </w:r>
      <w:r w:rsidR="00DF0A25" w:rsidRPr="00AB5B90">
        <w:rPr>
          <w:sz w:val="22"/>
          <w:szCs w:val="22"/>
          <w:lang w:val="sr-Latn-ME"/>
        </w:rPr>
        <w:t>ij</w:t>
      </w:r>
      <w:r w:rsidRPr="00AB5B90">
        <w:rPr>
          <w:sz w:val="22"/>
          <w:szCs w:val="22"/>
          <w:lang w:val="sr-Latn-ME"/>
        </w:rPr>
        <w:t xml:space="preserve">eka formiranjem </w:t>
      </w:r>
      <w:proofErr w:type="spellStart"/>
      <w:r w:rsidRPr="00AB5B90">
        <w:rPr>
          <w:sz w:val="22"/>
          <w:szCs w:val="22"/>
          <w:lang w:val="sr-Latn-ME"/>
        </w:rPr>
        <w:t>helata</w:t>
      </w:r>
      <w:proofErr w:type="spellEnd"/>
      <w:r w:rsidRPr="00AB5B90">
        <w:rPr>
          <w:sz w:val="22"/>
          <w:szCs w:val="22"/>
          <w:lang w:val="sr-Latn-ME"/>
        </w:rPr>
        <w:t>.</w:t>
      </w:r>
    </w:p>
    <w:p w14:paraId="1039DABF" w14:textId="77777777" w:rsidR="0072020E" w:rsidRPr="00AB5B90" w:rsidRDefault="0072020E" w:rsidP="003E5B22">
      <w:pPr>
        <w:tabs>
          <w:tab w:val="left" w:pos="540"/>
          <w:tab w:val="left" w:pos="569"/>
        </w:tabs>
        <w:jc w:val="both"/>
        <w:rPr>
          <w:bCs/>
          <w:sz w:val="22"/>
          <w:szCs w:val="22"/>
          <w:lang w:val="sr-Latn-ME"/>
        </w:rPr>
      </w:pPr>
    </w:p>
    <w:p w14:paraId="53942CA4" w14:textId="52CBD969" w:rsidR="002031B3" w:rsidRPr="00AB5B90" w:rsidRDefault="0072020E" w:rsidP="003E5B22">
      <w:pPr>
        <w:tabs>
          <w:tab w:val="left" w:pos="540"/>
          <w:tab w:val="left" w:pos="569"/>
        </w:tabs>
        <w:jc w:val="both"/>
        <w:rPr>
          <w:b/>
          <w:sz w:val="22"/>
          <w:szCs w:val="22"/>
          <w:lang w:val="sr-Latn-ME"/>
        </w:rPr>
      </w:pPr>
      <w:r w:rsidRPr="00AB5B90">
        <w:rPr>
          <w:b/>
          <w:bCs/>
          <w:sz w:val="22"/>
          <w:szCs w:val="22"/>
          <w:lang w:val="sr-Latn-ME"/>
        </w:rPr>
        <w:t xml:space="preserve">4.6. </w:t>
      </w:r>
      <w:r w:rsidR="00480FB1" w:rsidRPr="00AB5B90">
        <w:rPr>
          <w:b/>
          <w:bCs/>
          <w:sz w:val="22"/>
          <w:szCs w:val="22"/>
          <w:lang w:val="sr-Latn-ME"/>
        </w:rPr>
        <w:tab/>
      </w:r>
      <w:r w:rsidR="006D20A5" w:rsidRPr="00AB5B90">
        <w:rPr>
          <w:b/>
          <w:sz w:val="22"/>
          <w:szCs w:val="22"/>
          <w:lang w:val="sr-Latn-ME"/>
        </w:rPr>
        <w:t>Plodnost, trudnoća i dojenje</w:t>
      </w:r>
    </w:p>
    <w:p w14:paraId="7681722E" w14:textId="77777777" w:rsidR="002031B3" w:rsidRPr="00AB5B90" w:rsidRDefault="002031B3" w:rsidP="003E5B22">
      <w:pPr>
        <w:tabs>
          <w:tab w:val="left" w:pos="540"/>
          <w:tab w:val="left" w:pos="569"/>
        </w:tabs>
        <w:jc w:val="both"/>
        <w:rPr>
          <w:sz w:val="22"/>
          <w:szCs w:val="22"/>
          <w:u w:val="single"/>
          <w:lang w:val="sr-Latn-ME"/>
        </w:rPr>
      </w:pPr>
    </w:p>
    <w:p w14:paraId="3A155306" w14:textId="39A80AB1" w:rsidR="00E6623A" w:rsidRPr="00AB5B90" w:rsidRDefault="007A3ECB" w:rsidP="003E5B22">
      <w:pPr>
        <w:tabs>
          <w:tab w:val="left" w:pos="540"/>
          <w:tab w:val="left" w:pos="569"/>
        </w:tabs>
        <w:jc w:val="both"/>
        <w:rPr>
          <w:sz w:val="22"/>
          <w:szCs w:val="22"/>
          <w:u w:val="single"/>
          <w:lang w:val="sr-Latn-ME"/>
        </w:rPr>
      </w:pPr>
      <w:r w:rsidRPr="00AB5B90">
        <w:rPr>
          <w:sz w:val="22"/>
          <w:szCs w:val="22"/>
          <w:u w:val="single"/>
          <w:lang w:val="sr-Latn-ME"/>
        </w:rPr>
        <w:t>Trudnoća</w:t>
      </w:r>
    </w:p>
    <w:p w14:paraId="71BAF842" w14:textId="15BEAA9F" w:rsidR="00CC66DD" w:rsidRPr="00AB5B90" w:rsidRDefault="00CC66DD" w:rsidP="003E5B22">
      <w:pPr>
        <w:tabs>
          <w:tab w:val="left" w:pos="284"/>
        </w:tabs>
        <w:jc w:val="both"/>
        <w:rPr>
          <w:sz w:val="22"/>
          <w:szCs w:val="22"/>
          <w:lang w:val="sr-Latn-ME"/>
        </w:rPr>
      </w:pPr>
      <w:r w:rsidRPr="00AB5B90">
        <w:rPr>
          <w:sz w:val="22"/>
          <w:szCs w:val="22"/>
          <w:lang w:val="sr-Latn-ME"/>
        </w:rPr>
        <w:t xml:space="preserve">Postoje ograničeni podaci o primjeni gvožđa u prvom trimestru trudnoće za procjenu rizika od </w:t>
      </w:r>
      <w:proofErr w:type="spellStart"/>
      <w:r w:rsidRPr="00AB5B90">
        <w:rPr>
          <w:sz w:val="22"/>
          <w:szCs w:val="22"/>
          <w:lang w:val="sr-Latn-ME"/>
        </w:rPr>
        <w:t>malformacija</w:t>
      </w:r>
      <w:proofErr w:type="spellEnd"/>
      <w:r w:rsidRPr="00AB5B90">
        <w:rPr>
          <w:sz w:val="22"/>
          <w:szCs w:val="22"/>
          <w:lang w:val="sr-Latn-ME"/>
        </w:rPr>
        <w:t xml:space="preserve">. </w:t>
      </w:r>
    </w:p>
    <w:p w14:paraId="2CD2FBE1" w14:textId="3F3573FD" w:rsidR="00CC66DD" w:rsidRPr="00AB5B90" w:rsidRDefault="00CC66DD" w:rsidP="003E5B22">
      <w:pPr>
        <w:spacing w:line="259" w:lineRule="auto"/>
        <w:jc w:val="both"/>
        <w:rPr>
          <w:rFonts w:eastAsia="Calibri"/>
          <w:sz w:val="22"/>
          <w:szCs w:val="22"/>
          <w:lang w:val="sr-Latn-ME"/>
        </w:rPr>
      </w:pPr>
      <w:r w:rsidRPr="00AB5B90">
        <w:rPr>
          <w:rFonts w:eastAsia="Calibri"/>
          <w:sz w:val="22"/>
          <w:szCs w:val="22"/>
          <w:lang w:val="sr-Latn-ME"/>
        </w:rPr>
        <w:t xml:space="preserve">Podaci iz kliničkih ispitivanja ne pokazuju nikakav uticaj suplementacije gvožđem tokom </w:t>
      </w:r>
      <w:proofErr w:type="spellStart"/>
      <w:r w:rsidRPr="00AB5B90">
        <w:rPr>
          <w:rFonts w:eastAsia="Calibri"/>
          <w:sz w:val="22"/>
          <w:szCs w:val="22"/>
          <w:lang w:val="sr-Latn-ME"/>
        </w:rPr>
        <w:t>trudnoće</w:t>
      </w:r>
      <w:proofErr w:type="spellEnd"/>
      <w:r w:rsidRPr="00AB5B90">
        <w:rPr>
          <w:rFonts w:eastAsia="Calibri"/>
          <w:sz w:val="22"/>
          <w:szCs w:val="22"/>
          <w:lang w:val="sr-Latn-ME"/>
        </w:rPr>
        <w:t xml:space="preserve"> na porođajnu težinu, pr</w:t>
      </w:r>
      <w:r w:rsidR="0022795C" w:rsidRPr="00AB5B90">
        <w:rPr>
          <w:rFonts w:eastAsia="Calibri"/>
          <w:sz w:val="22"/>
          <w:szCs w:val="22"/>
          <w:lang w:val="sr-Latn-ME"/>
        </w:rPr>
        <w:t>ij</w:t>
      </w:r>
      <w:r w:rsidRPr="00AB5B90">
        <w:rPr>
          <w:rFonts w:eastAsia="Calibri"/>
          <w:sz w:val="22"/>
          <w:szCs w:val="22"/>
          <w:lang w:val="sr-Latn-ME"/>
        </w:rPr>
        <w:t xml:space="preserve">evremeno rođenje i </w:t>
      </w:r>
      <w:proofErr w:type="spellStart"/>
      <w:r w:rsidRPr="00AB5B90">
        <w:rPr>
          <w:rFonts w:eastAsia="Calibri"/>
          <w:sz w:val="22"/>
          <w:szCs w:val="22"/>
          <w:lang w:val="sr-Latn-ME"/>
        </w:rPr>
        <w:t>neonatalnu</w:t>
      </w:r>
      <w:proofErr w:type="spellEnd"/>
      <w:r w:rsidRPr="00AB5B90">
        <w:rPr>
          <w:rFonts w:eastAsia="Calibri"/>
          <w:sz w:val="22"/>
          <w:szCs w:val="22"/>
          <w:lang w:val="sr-Latn-ME"/>
        </w:rPr>
        <w:t xml:space="preserve"> smrt.</w:t>
      </w:r>
    </w:p>
    <w:p w14:paraId="3515C2FA" w14:textId="0B854E3F" w:rsidR="00CC66DD" w:rsidRPr="00AB5B90" w:rsidRDefault="00CC66DD" w:rsidP="003E5B22">
      <w:pPr>
        <w:spacing w:line="259" w:lineRule="auto"/>
        <w:jc w:val="both"/>
        <w:rPr>
          <w:rFonts w:eastAsia="Calibri"/>
          <w:sz w:val="22"/>
          <w:szCs w:val="22"/>
          <w:lang w:val="sr-Latn-ME"/>
        </w:rPr>
      </w:pPr>
      <w:r w:rsidRPr="00AB5B90">
        <w:rPr>
          <w:rFonts w:eastAsia="Calibri"/>
          <w:sz w:val="22"/>
          <w:szCs w:val="22"/>
          <w:lang w:val="sr-Latn-ME"/>
        </w:rPr>
        <w:t>Studije na životinjama ne pokazuju nikakvu reproduktivnu toksičnost (vidjeti dio 5.3).</w:t>
      </w:r>
    </w:p>
    <w:p w14:paraId="1EE5BB4D" w14:textId="65038678" w:rsidR="00CC66DD" w:rsidRPr="00AB5B90" w:rsidRDefault="00CC66DD" w:rsidP="003E5B22">
      <w:pPr>
        <w:tabs>
          <w:tab w:val="left" w:pos="284"/>
        </w:tabs>
        <w:jc w:val="both"/>
        <w:rPr>
          <w:sz w:val="22"/>
          <w:szCs w:val="22"/>
          <w:u w:val="single"/>
          <w:lang w:val="sr-Latn-ME"/>
        </w:rPr>
      </w:pPr>
      <w:r w:rsidRPr="00AB5B90">
        <w:rPr>
          <w:sz w:val="22"/>
          <w:szCs w:val="22"/>
          <w:lang w:val="sr-Latn-ME"/>
        </w:rPr>
        <w:t xml:space="preserve">Posljedično, lijek </w:t>
      </w:r>
      <w:proofErr w:type="spellStart"/>
      <w:r w:rsidRPr="00AB5B90">
        <w:rPr>
          <w:sz w:val="22"/>
          <w:szCs w:val="22"/>
          <w:lang w:val="sr-Latn-ME"/>
        </w:rPr>
        <w:t>Tot’Hema</w:t>
      </w:r>
      <w:proofErr w:type="spellEnd"/>
      <w:r w:rsidRPr="00AB5B90">
        <w:rPr>
          <w:sz w:val="22"/>
          <w:szCs w:val="22"/>
          <w:lang w:val="sr-Latn-ME"/>
        </w:rPr>
        <w:t xml:space="preserve"> se može koristiti tokom </w:t>
      </w:r>
      <w:proofErr w:type="spellStart"/>
      <w:r w:rsidRPr="00AB5B90">
        <w:rPr>
          <w:sz w:val="22"/>
          <w:szCs w:val="22"/>
          <w:lang w:val="sr-Latn-ME"/>
        </w:rPr>
        <w:t>trudnoće</w:t>
      </w:r>
      <w:proofErr w:type="spellEnd"/>
      <w:r w:rsidRPr="00AB5B90">
        <w:rPr>
          <w:sz w:val="22"/>
          <w:szCs w:val="22"/>
          <w:lang w:val="sr-Latn-ME"/>
        </w:rPr>
        <w:t>, ako je potrebno.</w:t>
      </w:r>
    </w:p>
    <w:p w14:paraId="3F945C5C" w14:textId="77777777" w:rsidR="00E6623A" w:rsidRPr="00AB5B90" w:rsidRDefault="00E6623A" w:rsidP="003E5B22">
      <w:pPr>
        <w:tabs>
          <w:tab w:val="left" w:pos="540"/>
          <w:tab w:val="left" w:pos="569"/>
        </w:tabs>
        <w:jc w:val="both"/>
        <w:rPr>
          <w:sz w:val="22"/>
          <w:szCs w:val="22"/>
          <w:u w:val="single"/>
          <w:lang w:val="sr-Latn-ME"/>
        </w:rPr>
      </w:pPr>
    </w:p>
    <w:p w14:paraId="2A246A49" w14:textId="77777777" w:rsidR="0072020E" w:rsidRPr="00AB5B90" w:rsidRDefault="007A3ECB" w:rsidP="003E5B22">
      <w:pPr>
        <w:tabs>
          <w:tab w:val="left" w:pos="540"/>
          <w:tab w:val="left" w:pos="569"/>
        </w:tabs>
        <w:jc w:val="both"/>
        <w:rPr>
          <w:b/>
          <w:bCs/>
          <w:sz w:val="22"/>
          <w:szCs w:val="22"/>
          <w:lang w:val="sr-Latn-ME"/>
        </w:rPr>
      </w:pPr>
      <w:r w:rsidRPr="00AB5B90">
        <w:rPr>
          <w:sz w:val="22"/>
          <w:szCs w:val="22"/>
          <w:u w:val="single"/>
          <w:lang w:val="sr-Latn-ME"/>
        </w:rPr>
        <w:t xml:space="preserve">Dojenje </w:t>
      </w:r>
    </w:p>
    <w:p w14:paraId="1794F39C" w14:textId="2B201D3E" w:rsidR="00687A35" w:rsidRPr="00AB5B90" w:rsidRDefault="00687A35" w:rsidP="003E5B22">
      <w:pPr>
        <w:tabs>
          <w:tab w:val="left" w:pos="284"/>
        </w:tabs>
        <w:jc w:val="both"/>
        <w:rPr>
          <w:sz w:val="22"/>
          <w:szCs w:val="22"/>
          <w:lang w:val="sr-Latn-ME"/>
        </w:rPr>
      </w:pPr>
      <w:r w:rsidRPr="00AB5B90">
        <w:rPr>
          <w:sz w:val="22"/>
          <w:szCs w:val="22"/>
          <w:lang w:val="sr-Latn-ME"/>
        </w:rPr>
        <w:t>Gvožđe je prisutno u malim količinama u majčinom mlijeku. Njegova koncentracija je nezavisna od majčinog statusa gvožđa. Zbog toga se ne očekuju efekti na novorođenčad/odojčad koja se doje.</w:t>
      </w:r>
    </w:p>
    <w:p w14:paraId="485272FA" w14:textId="77777777" w:rsidR="00687A35" w:rsidRPr="00AB5B90" w:rsidRDefault="00687A35" w:rsidP="003E5B22">
      <w:pPr>
        <w:tabs>
          <w:tab w:val="left" w:pos="284"/>
        </w:tabs>
        <w:jc w:val="both"/>
        <w:rPr>
          <w:sz w:val="22"/>
          <w:szCs w:val="22"/>
          <w:u w:val="single"/>
          <w:lang w:val="sr-Latn-ME"/>
        </w:rPr>
      </w:pPr>
    </w:p>
    <w:p w14:paraId="1E11A95A" w14:textId="77777777" w:rsidR="00687A35" w:rsidRPr="00AB5B90" w:rsidRDefault="00687A35" w:rsidP="003E5B22">
      <w:pPr>
        <w:tabs>
          <w:tab w:val="left" w:pos="284"/>
        </w:tabs>
        <w:jc w:val="both"/>
        <w:rPr>
          <w:bCs/>
          <w:sz w:val="22"/>
          <w:szCs w:val="22"/>
          <w:u w:val="single"/>
          <w:lang w:val="sr-Latn-ME"/>
        </w:rPr>
      </w:pPr>
      <w:r w:rsidRPr="00AB5B90">
        <w:rPr>
          <w:bCs/>
          <w:sz w:val="22"/>
          <w:szCs w:val="22"/>
          <w:u w:val="single"/>
          <w:lang w:val="sr-Latn-ME"/>
        </w:rPr>
        <w:t>Plodnost</w:t>
      </w:r>
    </w:p>
    <w:p w14:paraId="269AB4F1" w14:textId="5059AD38" w:rsidR="00687A35" w:rsidRPr="00AB5B90" w:rsidRDefault="00687A35" w:rsidP="003E5B22">
      <w:pPr>
        <w:tabs>
          <w:tab w:val="left" w:pos="284"/>
        </w:tabs>
        <w:jc w:val="both"/>
        <w:rPr>
          <w:sz w:val="22"/>
          <w:szCs w:val="22"/>
          <w:lang w:val="sr-Latn-ME"/>
        </w:rPr>
      </w:pPr>
      <w:r w:rsidRPr="00AB5B90">
        <w:rPr>
          <w:sz w:val="22"/>
          <w:szCs w:val="22"/>
          <w:lang w:val="sr-Latn-ME"/>
        </w:rPr>
        <w:t>U studijama na životinjama nijesu prim</w:t>
      </w:r>
      <w:r w:rsidR="00407C19" w:rsidRPr="00AB5B90">
        <w:rPr>
          <w:sz w:val="22"/>
          <w:szCs w:val="22"/>
          <w:lang w:val="sr-Latn-ME"/>
        </w:rPr>
        <w:t>i</w:t>
      </w:r>
      <w:r w:rsidRPr="00AB5B90">
        <w:rPr>
          <w:sz w:val="22"/>
          <w:szCs w:val="22"/>
          <w:lang w:val="sr-Latn-ME"/>
        </w:rPr>
        <w:t>jećeni efekti na plodnost mužjaka ili ženke (vidjeti dio 5.3).</w:t>
      </w:r>
    </w:p>
    <w:p w14:paraId="520E441E" w14:textId="77777777" w:rsidR="00227BDB" w:rsidRPr="00AB5B90" w:rsidRDefault="00227BDB" w:rsidP="003E5B22">
      <w:pPr>
        <w:tabs>
          <w:tab w:val="left" w:pos="540"/>
          <w:tab w:val="left" w:pos="569"/>
        </w:tabs>
        <w:jc w:val="both"/>
        <w:rPr>
          <w:b/>
          <w:bCs/>
          <w:sz w:val="22"/>
          <w:szCs w:val="22"/>
          <w:lang w:val="sr-Latn-ME"/>
        </w:rPr>
      </w:pPr>
    </w:p>
    <w:p w14:paraId="08580553" w14:textId="77777777" w:rsidR="0072020E" w:rsidRPr="00AB5B90" w:rsidRDefault="0072020E" w:rsidP="003E5B22">
      <w:pPr>
        <w:tabs>
          <w:tab w:val="left" w:pos="540"/>
          <w:tab w:val="left" w:pos="569"/>
        </w:tabs>
        <w:ind w:left="540" w:hanging="540"/>
        <w:jc w:val="both"/>
        <w:rPr>
          <w:b/>
          <w:bCs/>
          <w:sz w:val="22"/>
          <w:szCs w:val="22"/>
          <w:lang w:val="sr-Latn-ME"/>
        </w:rPr>
      </w:pPr>
      <w:r w:rsidRPr="00AB5B90">
        <w:rPr>
          <w:b/>
          <w:bCs/>
          <w:sz w:val="22"/>
          <w:szCs w:val="22"/>
          <w:lang w:val="sr-Latn-ME"/>
        </w:rPr>
        <w:t xml:space="preserve">4.7. </w:t>
      </w:r>
      <w:r w:rsidR="00480FB1" w:rsidRPr="00AB5B90">
        <w:rPr>
          <w:b/>
          <w:bCs/>
          <w:sz w:val="22"/>
          <w:szCs w:val="22"/>
          <w:lang w:val="sr-Latn-ME"/>
        </w:rPr>
        <w:tab/>
      </w:r>
      <w:r w:rsidRPr="00AB5B90">
        <w:rPr>
          <w:b/>
          <w:bCs/>
          <w:sz w:val="22"/>
          <w:szCs w:val="22"/>
          <w:lang w:val="sr-Latn-ME"/>
        </w:rPr>
        <w:t xml:space="preserve">Uticaj na </w:t>
      </w:r>
      <w:r w:rsidR="002031B3" w:rsidRPr="00AB5B90">
        <w:rPr>
          <w:b/>
          <w:bCs/>
          <w:sz w:val="22"/>
          <w:szCs w:val="22"/>
          <w:lang w:val="sr-Latn-ME"/>
        </w:rPr>
        <w:t xml:space="preserve">sposobnost </w:t>
      </w:r>
      <w:r w:rsidR="00F34554" w:rsidRPr="00AB5B90">
        <w:rPr>
          <w:b/>
          <w:bCs/>
          <w:sz w:val="22"/>
          <w:szCs w:val="22"/>
          <w:lang w:val="sr-Latn-ME"/>
        </w:rPr>
        <w:t>upravljanja vozili</w:t>
      </w:r>
      <w:r w:rsidRPr="00AB5B90">
        <w:rPr>
          <w:b/>
          <w:bCs/>
          <w:sz w:val="22"/>
          <w:szCs w:val="22"/>
          <w:lang w:val="sr-Latn-ME"/>
        </w:rPr>
        <w:t>m</w:t>
      </w:r>
      <w:r w:rsidR="00F34554" w:rsidRPr="00AB5B90">
        <w:rPr>
          <w:b/>
          <w:bCs/>
          <w:sz w:val="22"/>
          <w:szCs w:val="22"/>
          <w:lang w:val="sr-Latn-ME"/>
        </w:rPr>
        <w:t>a</w:t>
      </w:r>
      <w:r w:rsidRPr="00AB5B90">
        <w:rPr>
          <w:b/>
          <w:bCs/>
          <w:sz w:val="22"/>
          <w:szCs w:val="22"/>
          <w:lang w:val="sr-Latn-ME"/>
        </w:rPr>
        <w:t xml:space="preserve"> i </w:t>
      </w:r>
      <w:r w:rsidR="000D3449" w:rsidRPr="00AB5B90">
        <w:rPr>
          <w:b/>
          <w:bCs/>
          <w:sz w:val="22"/>
          <w:szCs w:val="22"/>
          <w:lang w:val="sr-Latn-ME"/>
        </w:rPr>
        <w:t xml:space="preserve">rukovanje </w:t>
      </w:r>
      <w:r w:rsidRPr="00AB5B90">
        <w:rPr>
          <w:b/>
          <w:bCs/>
          <w:sz w:val="22"/>
          <w:szCs w:val="22"/>
          <w:lang w:val="sr-Latn-ME"/>
        </w:rPr>
        <w:t>mašinama</w:t>
      </w:r>
    </w:p>
    <w:p w14:paraId="71672F46" w14:textId="77777777" w:rsidR="00064E07" w:rsidRPr="00AB5B90" w:rsidRDefault="00064E07" w:rsidP="003E5B22">
      <w:pPr>
        <w:pStyle w:val="Header"/>
        <w:tabs>
          <w:tab w:val="left" w:pos="284"/>
        </w:tabs>
        <w:jc w:val="both"/>
        <w:rPr>
          <w:sz w:val="22"/>
          <w:szCs w:val="22"/>
          <w:lang w:val="sr-Latn-ME"/>
        </w:rPr>
      </w:pPr>
    </w:p>
    <w:p w14:paraId="019B2403" w14:textId="534A9C4F" w:rsidR="003F6381" w:rsidRPr="00AB5B90" w:rsidRDefault="003F6381" w:rsidP="003E5B22">
      <w:pPr>
        <w:pStyle w:val="Header"/>
        <w:tabs>
          <w:tab w:val="left" w:pos="284"/>
        </w:tabs>
        <w:jc w:val="both"/>
        <w:rPr>
          <w:sz w:val="22"/>
          <w:szCs w:val="22"/>
          <w:lang w:val="sr-Latn-ME"/>
        </w:rPr>
      </w:pPr>
      <w:r w:rsidRPr="00AB5B90">
        <w:rPr>
          <w:sz w:val="22"/>
          <w:szCs w:val="22"/>
          <w:lang w:val="sr-Latn-ME"/>
        </w:rPr>
        <w:t xml:space="preserve">Lijek </w:t>
      </w:r>
      <w:proofErr w:type="spellStart"/>
      <w:r w:rsidR="007E7985" w:rsidRPr="00AB5B90">
        <w:rPr>
          <w:sz w:val="22"/>
          <w:szCs w:val="22"/>
          <w:lang w:val="sr-Latn-ME"/>
        </w:rPr>
        <w:t>Tot’Hema</w:t>
      </w:r>
      <w:proofErr w:type="spellEnd"/>
      <w:r w:rsidRPr="00AB5B90">
        <w:rPr>
          <w:sz w:val="22"/>
          <w:szCs w:val="22"/>
          <w:lang w:val="sr-Latn-ME"/>
        </w:rPr>
        <w:t xml:space="preserve"> nema uticaj na sposobnost upravljanja vozilima i rada na mašinama.</w:t>
      </w:r>
    </w:p>
    <w:p w14:paraId="33D0ED23" w14:textId="16BB7B30" w:rsidR="005B6F88" w:rsidRPr="00AB5B90" w:rsidRDefault="005B6F88">
      <w:pPr>
        <w:rPr>
          <w:b/>
          <w:bCs/>
          <w:sz w:val="22"/>
          <w:szCs w:val="22"/>
          <w:lang w:val="sr-Latn-ME"/>
        </w:rPr>
      </w:pPr>
    </w:p>
    <w:p w14:paraId="71262317" w14:textId="326DA3D0" w:rsidR="0072020E" w:rsidRPr="00AB5B90" w:rsidRDefault="0072020E" w:rsidP="003E5B22">
      <w:pPr>
        <w:tabs>
          <w:tab w:val="left" w:pos="540"/>
          <w:tab w:val="left" w:pos="569"/>
        </w:tabs>
        <w:jc w:val="both"/>
        <w:rPr>
          <w:b/>
          <w:bCs/>
          <w:sz w:val="22"/>
          <w:szCs w:val="22"/>
          <w:lang w:val="sr-Latn-ME"/>
        </w:rPr>
      </w:pPr>
      <w:r w:rsidRPr="00AB5B90">
        <w:rPr>
          <w:b/>
          <w:bCs/>
          <w:sz w:val="22"/>
          <w:szCs w:val="22"/>
          <w:lang w:val="sr-Latn-ME"/>
        </w:rPr>
        <w:t xml:space="preserve">4.8. </w:t>
      </w:r>
      <w:r w:rsidR="00480FB1" w:rsidRPr="00AB5B90">
        <w:rPr>
          <w:b/>
          <w:bCs/>
          <w:sz w:val="22"/>
          <w:szCs w:val="22"/>
          <w:lang w:val="sr-Latn-ME"/>
        </w:rPr>
        <w:tab/>
      </w:r>
      <w:r w:rsidRPr="00AB5B90">
        <w:rPr>
          <w:b/>
          <w:bCs/>
          <w:sz w:val="22"/>
          <w:szCs w:val="22"/>
          <w:lang w:val="sr-Latn-ME"/>
        </w:rPr>
        <w:t>Neželjena dejstva</w:t>
      </w:r>
    </w:p>
    <w:p w14:paraId="7E1E2CBF" w14:textId="77777777" w:rsidR="00193F46" w:rsidRPr="00AB5B90" w:rsidRDefault="00193F46" w:rsidP="003E5B22">
      <w:pPr>
        <w:jc w:val="both"/>
        <w:rPr>
          <w:rFonts w:eastAsia="Calibri"/>
          <w:sz w:val="22"/>
          <w:szCs w:val="22"/>
          <w:lang w:val="sr-Latn-ME"/>
        </w:rPr>
      </w:pPr>
    </w:p>
    <w:p w14:paraId="614B36D4" w14:textId="103B3ACF" w:rsidR="00193F46" w:rsidRPr="00AB5B90" w:rsidRDefault="00193F46" w:rsidP="003E5B22">
      <w:pPr>
        <w:jc w:val="both"/>
        <w:rPr>
          <w:rFonts w:eastAsia="Calibri"/>
          <w:sz w:val="22"/>
          <w:szCs w:val="22"/>
          <w:lang w:val="sr-Latn-ME"/>
        </w:rPr>
      </w:pPr>
      <w:r w:rsidRPr="00AB5B90">
        <w:rPr>
          <w:rFonts w:eastAsia="Calibri"/>
          <w:sz w:val="22"/>
          <w:szCs w:val="22"/>
          <w:lang w:val="sr-Latn-ME"/>
        </w:rPr>
        <w:t>Neželjen</w:t>
      </w:r>
      <w:r w:rsidR="00547A5D" w:rsidRPr="00AB5B90">
        <w:rPr>
          <w:rFonts w:eastAsia="Calibri"/>
          <w:sz w:val="22"/>
          <w:szCs w:val="22"/>
          <w:lang w:val="sr-Latn-ME"/>
        </w:rPr>
        <w:t>e</w:t>
      </w:r>
      <w:r w:rsidRPr="00AB5B90">
        <w:rPr>
          <w:rFonts w:eastAsia="Calibri"/>
          <w:sz w:val="22"/>
          <w:szCs w:val="22"/>
          <w:lang w:val="sr-Latn-ME"/>
        </w:rPr>
        <w:t xml:space="preserve"> </w:t>
      </w:r>
      <w:r w:rsidR="00547A5D" w:rsidRPr="00AB5B90">
        <w:rPr>
          <w:rFonts w:eastAsia="Calibri"/>
          <w:sz w:val="22"/>
          <w:szCs w:val="22"/>
          <w:lang w:val="sr-Latn-ME"/>
        </w:rPr>
        <w:t>reakcije</w:t>
      </w:r>
      <w:r w:rsidRPr="00AB5B90">
        <w:rPr>
          <w:rFonts w:eastAsia="Calibri"/>
          <w:sz w:val="22"/>
          <w:szCs w:val="22"/>
          <w:lang w:val="sr-Latn-ME"/>
        </w:rPr>
        <w:t xml:space="preserve"> uočen</w:t>
      </w:r>
      <w:r w:rsidR="00547A5D" w:rsidRPr="00AB5B90">
        <w:rPr>
          <w:rFonts w:eastAsia="Calibri"/>
          <w:sz w:val="22"/>
          <w:szCs w:val="22"/>
          <w:lang w:val="sr-Latn-ME"/>
        </w:rPr>
        <w:t>e</w:t>
      </w:r>
      <w:r w:rsidRPr="00AB5B90">
        <w:rPr>
          <w:rFonts w:eastAsia="Calibri"/>
          <w:sz w:val="22"/>
          <w:szCs w:val="22"/>
          <w:lang w:val="sr-Latn-ME"/>
        </w:rPr>
        <w:t xml:space="preserve"> tok</w:t>
      </w:r>
      <w:r w:rsidR="00547A5D" w:rsidRPr="00AB5B90">
        <w:rPr>
          <w:rFonts w:eastAsia="Calibri"/>
          <w:sz w:val="22"/>
          <w:szCs w:val="22"/>
          <w:lang w:val="sr-Latn-ME"/>
        </w:rPr>
        <w:t>om</w:t>
      </w:r>
      <w:r w:rsidRPr="00AB5B90">
        <w:rPr>
          <w:rFonts w:eastAsia="Calibri"/>
          <w:sz w:val="22"/>
          <w:szCs w:val="22"/>
          <w:lang w:val="sr-Latn-ME"/>
        </w:rPr>
        <w:t xml:space="preserve"> kliničkih ispitivanja sprovedeni</w:t>
      </w:r>
      <w:r w:rsidR="00547A5D" w:rsidRPr="00AB5B90">
        <w:rPr>
          <w:rFonts w:eastAsia="Calibri"/>
          <w:sz w:val="22"/>
          <w:szCs w:val="22"/>
          <w:lang w:val="sr-Latn-ME"/>
        </w:rPr>
        <w:t>h</w:t>
      </w:r>
      <w:r w:rsidRPr="00AB5B90">
        <w:rPr>
          <w:rFonts w:eastAsia="Calibri"/>
          <w:sz w:val="22"/>
          <w:szCs w:val="22"/>
          <w:lang w:val="sr-Latn-ME"/>
        </w:rPr>
        <w:t xml:space="preserve"> sa lijekom </w:t>
      </w:r>
      <w:proofErr w:type="spellStart"/>
      <w:r w:rsidRPr="00AB5B90">
        <w:rPr>
          <w:rFonts w:eastAsia="Calibri"/>
          <w:sz w:val="22"/>
          <w:szCs w:val="22"/>
          <w:lang w:val="sr-Latn-ME"/>
        </w:rPr>
        <w:t>Tot’Hema</w:t>
      </w:r>
      <w:proofErr w:type="spellEnd"/>
      <w:r w:rsidR="00CC314C" w:rsidRPr="00AB5B90">
        <w:rPr>
          <w:rFonts w:eastAsia="Calibri"/>
          <w:sz w:val="22"/>
          <w:szCs w:val="22"/>
          <w:lang w:val="sr-Latn-ME"/>
        </w:rPr>
        <w:t xml:space="preserve"> i neželjene reakcije prijavljene tokom </w:t>
      </w:r>
      <w:proofErr w:type="spellStart"/>
      <w:r w:rsidR="00CC314C" w:rsidRPr="00AB5B90">
        <w:rPr>
          <w:rFonts w:eastAsia="Calibri"/>
          <w:sz w:val="22"/>
          <w:szCs w:val="22"/>
          <w:lang w:val="sr-Latn-ME"/>
        </w:rPr>
        <w:t>postmarkentinškog</w:t>
      </w:r>
      <w:proofErr w:type="spellEnd"/>
      <w:r w:rsidR="00CC314C" w:rsidRPr="00AB5B90">
        <w:rPr>
          <w:rFonts w:eastAsia="Calibri"/>
          <w:sz w:val="22"/>
          <w:szCs w:val="22"/>
          <w:lang w:val="sr-Latn-ME"/>
        </w:rPr>
        <w:t xml:space="preserve"> praćenja</w:t>
      </w:r>
      <w:r w:rsidRPr="00AB5B90">
        <w:rPr>
          <w:rFonts w:eastAsia="Calibri"/>
          <w:sz w:val="22"/>
          <w:szCs w:val="22"/>
          <w:lang w:val="sr-Latn-ME"/>
        </w:rPr>
        <w:t>,</w:t>
      </w:r>
      <w:r w:rsidR="00547A5D" w:rsidRPr="00AB5B90">
        <w:rPr>
          <w:rFonts w:eastAsia="Calibri"/>
          <w:sz w:val="22"/>
          <w:szCs w:val="22"/>
          <w:lang w:val="sr-Latn-ME"/>
        </w:rPr>
        <w:t xml:space="preserve"> navedene su u skladu sa </w:t>
      </w:r>
      <w:proofErr w:type="spellStart"/>
      <w:r w:rsidR="00547A5D" w:rsidRPr="00AB5B90">
        <w:rPr>
          <w:rFonts w:eastAsia="Calibri"/>
          <w:sz w:val="22"/>
          <w:szCs w:val="22"/>
          <w:lang w:val="sr-Latn-ME"/>
        </w:rPr>
        <w:t>MEDRA</w:t>
      </w:r>
      <w:proofErr w:type="spellEnd"/>
      <w:r w:rsidRPr="00AB5B90">
        <w:rPr>
          <w:rFonts w:eastAsia="Calibri"/>
          <w:sz w:val="22"/>
          <w:szCs w:val="22"/>
          <w:lang w:val="sr-Latn-ME"/>
        </w:rPr>
        <w:t xml:space="preserve"> klas</w:t>
      </w:r>
      <w:r w:rsidR="00547A5D" w:rsidRPr="00AB5B90">
        <w:rPr>
          <w:rFonts w:eastAsia="Calibri"/>
          <w:sz w:val="22"/>
          <w:szCs w:val="22"/>
          <w:lang w:val="sr-Latn-ME"/>
        </w:rPr>
        <w:t>om</w:t>
      </w:r>
      <w:r w:rsidRPr="00AB5B90">
        <w:rPr>
          <w:rFonts w:eastAsia="Calibri"/>
          <w:sz w:val="22"/>
          <w:szCs w:val="22"/>
          <w:lang w:val="sr-Latn-ME"/>
        </w:rPr>
        <w:t xml:space="preserve"> sistema organa i učestalosti ispoljavanja upotrebom </w:t>
      </w:r>
      <w:proofErr w:type="spellStart"/>
      <w:r w:rsidRPr="00AB5B90">
        <w:rPr>
          <w:rFonts w:eastAsia="Calibri"/>
          <w:sz w:val="22"/>
          <w:szCs w:val="22"/>
          <w:lang w:val="sr-Latn-ME"/>
        </w:rPr>
        <w:t>slijedećih</w:t>
      </w:r>
      <w:proofErr w:type="spellEnd"/>
      <w:r w:rsidRPr="00AB5B90">
        <w:rPr>
          <w:rFonts w:eastAsia="Calibri"/>
          <w:sz w:val="22"/>
          <w:szCs w:val="22"/>
          <w:lang w:val="sr-Latn-ME"/>
        </w:rPr>
        <w:t xml:space="preserve"> kategorija: veoma često (≥1/10), često </w:t>
      </w:r>
      <w:r w:rsidRPr="00AB5B90">
        <w:rPr>
          <w:rFonts w:eastAsia="Calibri"/>
          <w:sz w:val="22"/>
          <w:szCs w:val="22"/>
          <w:lang w:val="sr-Latn-ME"/>
        </w:rPr>
        <w:lastRenderedPageBreak/>
        <w:t>(≥1/100 do &lt;1/10), povremeno (≥1/1000 do &lt;1/100), rijetko (≥1/10000 do &lt;1/1000), veoma rijetko (&lt;1/10000 ), nepoznato (ne može se proc</w:t>
      </w:r>
      <w:r w:rsidR="005B6F88" w:rsidRPr="00AB5B90">
        <w:rPr>
          <w:rFonts w:eastAsia="Calibri"/>
          <w:sz w:val="22"/>
          <w:szCs w:val="22"/>
          <w:lang w:val="sr-Latn-ME"/>
        </w:rPr>
        <w:t>i</w:t>
      </w:r>
      <w:r w:rsidRPr="00AB5B90">
        <w:rPr>
          <w:rFonts w:eastAsia="Calibri"/>
          <w:sz w:val="22"/>
          <w:szCs w:val="22"/>
          <w:lang w:val="sr-Latn-ME"/>
        </w:rPr>
        <w:t>jeniti</w:t>
      </w:r>
      <w:r w:rsidRPr="00AB5B90">
        <w:rPr>
          <w:sz w:val="22"/>
          <w:szCs w:val="22"/>
          <w:lang w:val="sr-Latn-ME"/>
        </w:rPr>
        <w:t xml:space="preserve"> na osnovu dostupnih podataka).</w:t>
      </w:r>
    </w:p>
    <w:p w14:paraId="1D83404E" w14:textId="77777777" w:rsidR="00193F46" w:rsidRPr="00AB5B90" w:rsidRDefault="00193F46" w:rsidP="003E5B22">
      <w:pPr>
        <w:tabs>
          <w:tab w:val="left" w:pos="540"/>
          <w:tab w:val="left" w:pos="569"/>
        </w:tabs>
        <w:jc w:val="both"/>
        <w:rPr>
          <w:b/>
          <w:bCs/>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2998"/>
        <w:gridCol w:w="3042"/>
      </w:tblGrid>
      <w:tr w:rsidR="00CC314C" w:rsidRPr="00AB5B90" w14:paraId="0416A17F" w14:textId="77777777" w:rsidTr="00C33FFA">
        <w:tc>
          <w:tcPr>
            <w:tcW w:w="3035" w:type="dxa"/>
            <w:shd w:val="clear" w:color="auto" w:fill="auto"/>
          </w:tcPr>
          <w:p w14:paraId="24C4F957" w14:textId="77777777" w:rsidR="00CC314C" w:rsidRPr="00AB5B90" w:rsidRDefault="00CC314C" w:rsidP="004304C2">
            <w:pPr>
              <w:tabs>
                <w:tab w:val="left" w:pos="284"/>
              </w:tabs>
              <w:jc w:val="both"/>
              <w:rPr>
                <w:sz w:val="22"/>
                <w:szCs w:val="22"/>
                <w:lang w:val="sr-Latn-ME"/>
              </w:rPr>
            </w:pPr>
            <w:proofErr w:type="spellStart"/>
            <w:r w:rsidRPr="00AB5B90">
              <w:rPr>
                <w:sz w:val="22"/>
                <w:szCs w:val="22"/>
                <w:lang w:val="sr-Latn-ME"/>
              </w:rPr>
              <w:t>MedRA</w:t>
            </w:r>
            <w:proofErr w:type="spellEnd"/>
            <w:r w:rsidRPr="00AB5B90">
              <w:rPr>
                <w:sz w:val="22"/>
                <w:szCs w:val="22"/>
                <w:lang w:val="sr-Latn-ME"/>
              </w:rPr>
              <w:t xml:space="preserve"> klasa sistem organa</w:t>
            </w:r>
          </w:p>
        </w:tc>
        <w:tc>
          <w:tcPr>
            <w:tcW w:w="2998" w:type="dxa"/>
            <w:shd w:val="clear" w:color="auto" w:fill="auto"/>
          </w:tcPr>
          <w:p w14:paraId="339E3C46" w14:textId="77777777" w:rsidR="00CC314C" w:rsidRPr="00AB5B90" w:rsidRDefault="00CC314C" w:rsidP="005B6F88">
            <w:pPr>
              <w:tabs>
                <w:tab w:val="left" w:pos="284"/>
              </w:tabs>
              <w:jc w:val="both"/>
              <w:rPr>
                <w:sz w:val="22"/>
                <w:szCs w:val="22"/>
                <w:lang w:val="sr-Latn-ME"/>
              </w:rPr>
            </w:pPr>
            <w:r w:rsidRPr="00AB5B90">
              <w:rPr>
                <w:sz w:val="22"/>
                <w:szCs w:val="22"/>
                <w:lang w:val="sr-Latn-ME"/>
              </w:rPr>
              <w:t>Često</w:t>
            </w:r>
          </w:p>
        </w:tc>
        <w:tc>
          <w:tcPr>
            <w:tcW w:w="3042" w:type="dxa"/>
            <w:shd w:val="clear" w:color="auto" w:fill="auto"/>
          </w:tcPr>
          <w:p w14:paraId="587B0FB6" w14:textId="75F97D59" w:rsidR="00CC314C" w:rsidRPr="00AB5B90" w:rsidRDefault="00CC314C" w:rsidP="003E5B22">
            <w:pPr>
              <w:tabs>
                <w:tab w:val="left" w:pos="284"/>
              </w:tabs>
              <w:jc w:val="both"/>
              <w:rPr>
                <w:sz w:val="22"/>
                <w:szCs w:val="22"/>
                <w:lang w:val="sr-Latn-ME"/>
              </w:rPr>
            </w:pPr>
            <w:r w:rsidRPr="00AB5B90">
              <w:rPr>
                <w:sz w:val="22"/>
                <w:szCs w:val="22"/>
                <w:lang w:val="sr-Latn-ME"/>
              </w:rPr>
              <w:t>Nepoznata učestalost (ne može se proc</w:t>
            </w:r>
            <w:r w:rsidR="005B6F88" w:rsidRPr="00AB5B90">
              <w:rPr>
                <w:sz w:val="22"/>
                <w:szCs w:val="22"/>
                <w:lang w:val="sr-Latn-ME"/>
              </w:rPr>
              <w:t>i</w:t>
            </w:r>
            <w:r w:rsidRPr="00AB5B90">
              <w:rPr>
                <w:sz w:val="22"/>
                <w:szCs w:val="22"/>
                <w:lang w:val="sr-Latn-ME"/>
              </w:rPr>
              <w:t>jeniti na osnovu dostupnih podataka)</w:t>
            </w:r>
          </w:p>
        </w:tc>
      </w:tr>
      <w:tr w:rsidR="00CC314C" w:rsidRPr="00AB5B90" w14:paraId="1D790B90" w14:textId="77777777" w:rsidTr="00C33FFA">
        <w:tc>
          <w:tcPr>
            <w:tcW w:w="3035" w:type="dxa"/>
            <w:shd w:val="clear" w:color="auto" w:fill="auto"/>
          </w:tcPr>
          <w:p w14:paraId="733E3995" w14:textId="77777777" w:rsidR="00CC314C" w:rsidRPr="00AB5B90" w:rsidRDefault="00CC314C" w:rsidP="004304C2">
            <w:pPr>
              <w:tabs>
                <w:tab w:val="left" w:pos="284"/>
              </w:tabs>
              <w:jc w:val="both"/>
              <w:rPr>
                <w:bCs/>
                <w:sz w:val="22"/>
                <w:szCs w:val="22"/>
                <w:lang w:val="sr-Latn-ME"/>
              </w:rPr>
            </w:pPr>
            <w:r w:rsidRPr="00AB5B90">
              <w:rPr>
                <w:bCs/>
                <w:sz w:val="22"/>
                <w:szCs w:val="22"/>
                <w:lang w:val="sr-Latn-ME"/>
              </w:rPr>
              <w:t xml:space="preserve">Poremećaji </w:t>
            </w:r>
            <w:proofErr w:type="spellStart"/>
            <w:r w:rsidRPr="00AB5B90">
              <w:rPr>
                <w:bCs/>
                <w:sz w:val="22"/>
                <w:szCs w:val="22"/>
                <w:lang w:val="sr-Latn-ME"/>
              </w:rPr>
              <w:t>imunskog</w:t>
            </w:r>
            <w:proofErr w:type="spellEnd"/>
            <w:r w:rsidRPr="00AB5B90">
              <w:rPr>
                <w:bCs/>
                <w:sz w:val="22"/>
                <w:szCs w:val="22"/>
                <w:lang w:val="sr-Latn-ME"/>
              </w:rPr>
              <w:t xml:space="preserve"> sistema</w:t>
            </w:r>
          </w:p>
          <w:p w14:paraId="35340F07" w14:textId="77777777" w:rsidR="00CC314C" w:rsidRPr="00AB5B90" w:rsidRDefault="00CC314C">
            <w:pPr>
              <w:tabs>
                <w:tab w:val="left" w:pos="284"/>
              </w:tabs>
              <w:jc w:val="both"/>
              <w:rPr>
                <w:sz w:val="22"/>
                <w:szCs w:val="22"/>
                <w:u w:val="single"/>
                <w:lang w:val="sr-Latn-ME"/>
              </w:rPr>
            </w:pPr>
          </w:p>
        </w:tc>
        <w:tc>
          <w:tcPr>
            <w:tcW w:w="2998" w:type="dxa"/>
            <w:shd w:val="clear" w:color="auto" w:fill="auto"/>
          </w:tcPr>
          <w:p w14:paraId="293149CC" w14:textId="77777777" w:rsidR="00CC314C" w:rsidRPr="00AB5B90" w:rsidRDefault="00CC314C">
            <w:pPr>
              <w:tabs>
                <w:tab w:val="left" w:pos="284"/>
              </w:tabs>
              <w:jc w:val="both"/>
              <w:rPr>
                <w:sz w:val="22"/>
                <w:szCs w:val="22"/>
                <w:u w:val="single"/>
                <w:lang w:val="sr-Latn-ME"/>
              </w:rPr>
            </w:pPr>
          </w:p>
        </w:tc>
        <w:tc>
          <w:tcPr>
            <w:tcW w:w="3042" w:type="dxa"/>
            <w:shd w:val="clear" w:color="auto" w:fill="auto"/>
          </w:tcPr>
          <w:p w14:paraId="62E8F12C" w14:textId="182BC5FE" w:rsidR="00CC314C" w:rsidRPr="00AB5B90" w:rsidRDefault="00CC314C" w:rsidP="003E5B22">
            <w:pPr>
              <w:tabs>
                <w:tab w:val="left" w:pos="284"/>
              </w:tabs>
              <w:jc w:val="both"/>
              <w:rPr>
                <w:sz w:val="22"/>
                <w:szCs w:val="22"/>
                <w:lang w:val="sr-Latn-ME"/>
              </w:rPr>
            </w:pPr>
            <w:r w:rsidRPr="00AB5B90">
              <w:rPr>
                <w:sz w:val="22"/>
                <w:szCs w:val="22"/>
                <w:lang w:val="sr-Latn-ME"/>
              </w:rPr>
              <w:t xml:space="preserve">Preosjetljivost, </w:t>
            </w:r>
            <w:proofErr w:type="spellStart"/>
            <w:r w:rsidRPr="00AB5B90">
              <w:rPr>
                <w:sz w:val="22"/>
                <w:szCs w:val="22"/>
                <w:lang w:val="sr-Latn-ME"/>
              </w:rPr>
              <w:t>anafilaktička</w:t>
            </w:r>
            <w:proofErr w:type="spellEnd"/>
            <w:r w:rsidRPr="00AB5B90">
              <w:rPr>
                <w:sz w:val="22"/>
                <w:szCs w:val="22"/>
                <w:lang w:val="sr-Latn-ME"/>
              </w:rPr>
              <w:t xml:space="preserve"> reakcija</w:t>
            </w:r>
          </w:p>
        </w:tc>
      </w:tr>
      <w:tr w:rsidR="00CC314C" w:rsidRPr="00AB5B90" w14:paraId="5BD54070" w14:textId="77777777" w:rsidTr="00C33FFA">
        <w:tc>
          <w:tcPr>
            <w:tcW w:w="3035" w:type="dxa"/>
            <w:shd w:val="clear" w:color="auto" w:fill="auto"/>
          </w:tcPr>
          <w:p w14:paraId="47BD6057" w14:textId="77777777" w:rsidR="00CC314C" w:rsidRPr="00AB5B90" w:rsidRDefault="00CC314C" w:rsidP="004304C2">
            <w:pPr>
              <w:tabs>
                <w:tab w:val="left" w:pos="284"/>
              </w:tabs>
              <w:jc w:val="both"/>
              <w:rPr>
                <w:bCs/>
                <w:sz w:val="22"/>
                <w:szCs w:val="22"/>
                <w:lang w:val="sr-Latn-ME"/>
              </w:rPr>
            </w:pPr>
            <w:r w:rsidRPr="00AB5B90">
              <w:rPr>
                <w:bCs/>
                <w:sz w:val="22"/>
                <w:szCs w:val="22"/>
                <w:lang w:val="sr-Latn-ME"/>
              </w:rPr>
              <w:t>Gastrointestinalni poremećaji</w:t>
            </w:r>
          </w:p>
          <w:p w14:paraId="4725B8F4" w14:textId="77777777" w:rsidR="00CC314C" w:rsidRPr="00AB5B90" w:rsidRDefault="00CC314C" w:rsidP="00CE0662">
            <w:pPr>
              <w:tabs>
                <w:tab w:val="left" w:pos="284"/>
              </w:tabs>
              <w:jc w:val="both"/>
              <w:rPr>
                <w:sz w:val="22"/>
                <w:szCs w:val="22"/>
                <w:u w:val="single"/>
                <w:lang w:val="sr-Latn-ME"/>
              </w:rPr>
            </w:pPr>
          </w:p>
        </w:tc>
        <w:tc>
          <w:tcPr>
            <w:tcW w:w="2998" w:type="dxa"/>
            <w:shd w:val="clear" w:color="auto" w:fill="auto"/>
          </w:tcPr>
          <w:p w14:paraId="0D355032" w14:textId="7A145A22" w:rsidR="00CC314C" w:rsidRPr="00AB5B90" w:rsidRDefault="00CC314C" w:rsidP="003E5B22">
            <w:pPr>
              <w:tabs>
                <w:tab w:val="left" w:pos="284"/>
              </w:tabs>
              <w:jc w:val="both"/>
              <w:rPr>
                <w:sz w:val="22"/>
                <w:szCs w:val="22"/>
                <w:lang w:val="sr-Latn-ME"/>
              </w:rPr>
            </w:pPr>
            <w:r w:rsidRPr="00AB5B90">
              <w:rPr>
                <w:sz w:val="22"/>
                <w:szCs w:val="22"/>
                <w:lang w:val="sr-Latn-ME"/>
              </w:rPr>
              <w:t>Konstipacija, d</w:t>
            </w:r>
            <w:r w:rsidR="005B6F88" w:rsidRPr="00AB5B90">
              <w:rPr>
                <w:sz w:val="22"/>
                <w:szCs w:val="22"/>
                <w:lang w:val="sr-Latn-ME"/>
              </w:rPr>
              <w:t>i</w:t>
            </w:r>
            <w:r w:rsidRPr="00AB5B90">
              <w:rPr>
                <w:sz w:val="22"/>
                <w:szCs w:val="22"/>
                <w:lang w:val="sr-Latn-ME"/>
              </w:rPr>
              <w:t xml:space="preserve">jareja, gorušica, mučnina, povraćanje, crna stolica, </w:t>
            </w:r>
            <w:proofErr w:type="spellStart"/>
            <w:r w:rsidRPr="00AB5B90">
              <w:rPr>
                <w:sz w:val="22"/>
                <w:szCs w:val="22"/>
                <w:lang w:val="sr-Latn-ME"/>
              </w:rPr>
              <w:t>distenzija</w:t>
            </w:r>
            <w:proofErr w:type="spellEnd"/>
            <w:r w:rsidRPr="00AB5B90">
              <w:rPr>
                <w:sz w:val="22"/>
                <w:szCs w:val="22"/>
                <w:lang w:val="sr-Latn-ME"/>
              </w:rPr>
              <w:t xml:space="preserve"> abdomena, abdominalni bol</w:t>
            </w:r>
          </w:p>
        </w:tc>
        <w:tc>
          <w:tcPr>
            <w:tcW w:w="3042" w:type="dxa"/>
            <w:shd w:val="clear" w:color="auto" w:fill="auto"/>
          </w:tcPr>
          <w:p w14:paraId="515242B0" w14:textId="77777777" w:rsidR="00CC314C" w:rsidRPr="00AB5B90" w:rsidRDefault="00CC314C" w:rsidP="003E5B22">
            <w:pPr>
              <w:tabs>
                <w:tab w:val="left" w:pos="284"/>
              </w:tabs>
              <w:jc w:val="both"/>
              <w:rPr>
                <w:sz w:val="22"/>
                <w:szCs w:val="22"/>
                <w:lang w:val="sr-Latn-ME"/>
              </w:rPr>
            </w:pPr>
            <w:r w:rsidRPr="00AB5B90">
              <w:rPr>
                <w:sz w:val="22"/>
                <w:szCs w:val="22"/>
                <w:lang w:val="sr-Latn-ME"/>
              </w:rPr>
              <w:t xml:space="preserve">Gastrointestinalna iritacija, gastritis, gastrointestinalna </w:t>
            </w:r>
            <w:proofErr w:type="spellStart"/>
            <w:r w:rsidRPr="00AB5B90">
              <w:rPr>
                <w:sz w:val="22"/>
                <w:szCs w:val="22"/>
                <w:lang w:val="sr-Latn-ME"/>
              </w:rPr>
              <w:t>pseudomelanoza</w:t>
            </w:r>
            <w:proofErr w:type="spellEnd"/>
            <w:r w:rsidRPr="00AB5B90">
              <w:rPr>
                <w:sz w:val="22"/>
                <w:szCs w:val="22"/>
                <w:lang w:val="sr-Latn-ME"/>
              </w:rPr>
              <w:t xml:space="preserve">*, </w:t>
            </w:r>
            <w:proofErr w:type="spellStart"/>
            <w:r w:rsidRPr="00AB5B90">
              <w:rPr>
                <w:sz w:val="22"/>
                <w:szCs w:val="22"/>
                <w:lang w:val="sr-Latn-ME"/>
              </w:rPr>
              <w:t>prebojenost</w:t>
            </w:r>
            <w:proofErr w:type="spellEnd"/>
            <w:r w:rsidRPr="00AB5B90">
              <w:rPr>
                <w:sz w:val="22"/>
                <w:szCs w:val="22"/>
                <w:lang w:val="sr-Latn-ME"/>
              </w:rPr>
              <w:t xml:space="preserve"> zuba**</w:t>
            </w:r>
          </w:p>
        </w:tc>
      </w:tr>
      <w:tr w:rsidR="00CC314C" w:rsidRPr="00AB5B90" w14:paraId="45C6D286" w14:textId="77777777" w:rsidTr="00C33FFA">
        <w:tc>
          <w:tcPr>
            <w:tcW w:w="3035" w:type="dxa"/>
            <w:shd w:val="clear" w:color="auto" w:fill="auto"/>
          </w:tcPr>
          <w:p w14:paraId="1F15F51C" w14:textId="77777777" w:rsidR="00CC314C" w:rsidRPr="00AB5B90" w:rsidRDefault="00CC314C" w:rsidP="003E5B22">
            <w:pPr>
              <w:tabs>
                <w:tab w:val="left" w:pos="284"/>
              </w:tabs>
              <w:jc w:val="both"/>
              <w:rPr>
                <w:sz w:val="22"/>
                <w:szCs w:val="22"/>
                <w:lang w:val="sr-Latn-ME"/>
              </w:rPr>
            </w:pPr>
            <w:r w:rsidRPr="00AB5B90">
              <w:rPr>
                <w:sz w:val="22"/>
                <w:szCs w:val="22"/>
                <w:lang w:val="sr-Latn-ME"/>
              </w:rPr>
              <w:t>Poremećaji kože i potkožnog tkiva</w:t>
            </w:r>
          </w:p>
        </w:tc>
        <w:tc>
          <w:tcPr>
            <w:tcW w:w="2998" w:type="dxa"/>
            <w:shd w:val="clear" w:color="auto" w:fill="auto"/>
          </w:tcPr>
          <w:p w14:paraId="286906A5" w14:textId="77777777" w:rsidR="00CC314C" w:rsidRPr="00AB5B90" w:rsidRDefault="00CC314C" w:rsidP="004304C2">
            <w:pPr>
              <w:tabs>
                <w:tab w:val="left" w:pos="284"/>
              </w:tabs>
              <w:jc w:val="both"/>
              <w:rPr>
                <w:sz w:val="22"/>
                <w:szCs w:val="22"/>
                <w:u w:val="single"/>
                <w:lang w:val="sr-Latn-ME"/>
              </w:rPr>
            </w:pPr>
          </w:p>
        </w:tc>
        <w:tc>
          <w:tcPr>
            <w:tcW w:w="3042" w:type="dxa"/>
            <w:shd w:val="clear" w:color="auto" w:fill="auto"/>
          </w:tcPr>
          <w:p w14:paraId="6030A8C1" w14:textId="77777777" w:rsidR="00CC314C" w:rsidRPr="00AB5B90" w:rsidRDefault="00CC314C" w:rsidP="003E5B22">
            <w:pPr>
              <w:tabs>
                <w:tab w:val="left" w:pos="284"/>
              </w:tabs>
              <w:jc w:val="both"/>
              <w:rPr>
                <w:sz w:val="22"/>
                <w:szCs w:val="22"/>
                <w:lang w:val="sr-Latn-ME"/>
              </w:rPr>
            </w:pPr>
            <w:r w:rsidRPr="00AB5B90">
              <w:rPr>
                <w:sz w:val="22"/>
                <w:szCs w:val="22"/>
                <w:lang w:val="sr-Latn-ME"/>
              </w:rPr>
              <w:t xml:space="preserve">Osip, </w:t>
            </w:r>
            <w:proofErr w:type="spellStart"/>
            <w:r w:rsidRPr="00AB5B90">
              <w:rPr>
                <w:sz w:val="22"/>
                <w:szCs w:val="22"/>
                <w:lang w:val="sr-Latn-ME"/>
              </w:rPr>
              <w:t>pruritis</w:t>
            </w:r>
            <w:proofErr w:type="spellEnd"/>
            <w:r w:rsidRPr="00AB5B90">
              <w:rPr>
                <w:sz w:val="22"/>
                <w:szCs w:val="22"/>
                <w:lang w:val="sr-Latn-ME"/>
              </w:rPr>
              <w:t xml:space="preserve">, urtikarija, </w:t>
            </w:r>
            <w:proofErr w:type="spellStart"/>
            <w:r w:rsidRPr="00AB5B90">
              <w:rPr>
                <w:sz w:val="22"/>
                <w:szCs w:val="22"/>
                <w:lang w:val="sr-Latn-ME"/>
              </w:rPr>
              <w:t>angioedem</w:t>
            </w:r>
            <w:proofErr w:type="spellEnd"/>
            <w:r w:rsidRPr="00AB5B90">
              <w:rPr>
                <w:sz w:val="22"/>
                <w:szCs w:val="22"/>
                <w:lang w:val="sr-Latn-ME"/>
              </w:rPr>
              <w:t>, alergijski dermatitis</w:t>
            </w:r>
          </w:p>
        </w:tc>
      </w:tr>
    </w:tbl>
    <w:p w14:paraId="13AC343F" w14:textId="77777777" w:rsidR="00C33FFA" w:rsidRPr="00AB5B90" w:rsidRDefault="00C33FFA" w:rsidP="004304C2">
      <w:pPr>
        <w:tabs>
          <w:tab w:val="left" w:pos="284"/>
        </w:tabs>
        <w:jc w:val="both"/>
        <w:rPr>
          <w:sz w:val="22"/>
          <w:szCs w:val="22"/>
          <w:lang w:val="sr-Latn-ME"/>
        </w:rPr>
      </w:pPr>
      <w:r w:rsidRPr="00AB5B90">
        <w:rPr>
          <w:sz w:val="22"/>
          <w:szCs w:val="22"/>
          <w:lang w:val="sr-Latn-ME"/>
        </w:rPr>
        <w:t xml:space="preserve">*Prema podacima objavljenim u literaturi, </w:t>
      </w:r>
      <w:proofErr w:type="spellStart"/>
      <w:r w:rsidRPr="00AB5B90">
        <w:rPr>
          <w:sz w:val="22"/>
          <w:szCs w:val="22"/>
          <w:lang w:val="sr-Latn-ME"/>
        </w:rPr>
        <w:t>sluznica</w:t>
      </w:r>
      <w:proofErr w:type="spellEnd"/>
      <w:r w:rsidRPr="00AB5B90">
        <w:rPr>
          <w:sz w:val="22"/>
          <w:szCs w:val="22"/>
          <w:lang w:val="sr-Latn-ME"/>
        </w:rPr>
        <w:t xml:space="preserve"> želuca i gastrointestinalnog trakta pacijenata koji primaju terapiju na bazi gvožđa može biti pigmentirana, što može ometati hiruršku operaciju.</w:t>
      </w:r>
    </w:p>
    <w:p w14:paraId="505D0178" w14:textId="77777777" w:rsidR="00C33FFA" w:rsidRPr="00AB5B90" w:rsidRDefault="00C33FFA" w:rsidP="005B6F88">
      <w:pPr>
        <w:tabs>
          <w:tab w:val="left" w:pos="284"/>
        </w:tabs>
        <w:jc w:val="both"/>
        <w:rPr>
          <w:sz w:val="22"/>
          <w:szCs w:val="22"/>
          <w:lang w:val="sr-Latn-ME"/>
        </w:rPr>
      </w:pPr>
      <w:r w:rsidRPr="00AB5B90">
        <w:rPr>
          <w:sz w:val="22"/>
          <w:szCs w:val="22"/>
          <w:lang w:val="sr-Latn-ME"/>
        </w:rPr>
        <w:t xml:space="preserve">**Smeđe ili crne mrlje na zubima su </w:t>
      </w:r>
      <w:proofErr w:type="spellStart"/>
      <w:r w:rsidRPr="00AB5B90">
        <w:rPr>
          <w:sz w:val="22"/>
          <w:szCs w:val="22"/>
          <w:lang w:val="sr-Latn-ME"/>
        </w:rPr>
        <w:t>reverzibilne</w:t>
      </w:r>
      <w:proofErr w:type="spellEnd"/>
      <w:r w:rsidRPr="00AB5B90">
        <w:rPr>
          <w:sz w:val="22"/>
          <w:szCs w:val="22"/>
          <w:lang w:val="sr-Latn-ME"/>
        </w:rPr>
        <w:t xml:space="preserve"> nakon prekida terapije.</w:t>
      </w:r>
    </w:p>
    <w:p w14:paraId="3332288C" w14:textId="77777777" w:rsidR="00193F46" w:rsidRPr="00AB5B90" w:rsidRDefault="00193F46" w:rsidP="003E5B22">
      <w:pPr>
        <w:tabs>
          <w:tab w:val="left" w:pos="540"/>
          <w:tab w:val="left" w:pos="569"/>
        </w:tabs>
        <w:jc w:val="both"/>
        <w:rPr>
          <w:b/>
          <w:bCs/>
          <w:sz w:val="22"/>
          <w:szCs w:val="22"/>
          <w:lang w:val="sr-Latn-ME"/>
        </w:rPr>
      </w:pPr>
    </w:p>
    <w:p w14:paraId="5F1D1F37" w14:textId="77777777" w:rsidR="005A23D2" w:rsidRPr="00AB5B90" w:rsidRDefault="005A23D2" w:rsidP="003E5B22">
      <w:pPr>
        <w:spacing w:after="200" w:line="276" w:lineRule="auto"/>
        <w:jc w:val="both"/>
        <w:rPr>
          <w:rFonts w:eastAsia="Calibri"/>
          <w:sz w:val="22"/>
          <w:szCs w:val="22"/>
          <w:u w:val="single"/>
          <w:lang w:val="sr-Latn-ME"/>
        </w:rPr>
      </w:pPr>
      <w:r w:rsidRPr="00AB5B90">
        <w:rPr>
          <w:rFonts w:eastAsia="Calibri"/>
          <w:sz w:val="22"/>
          <w:szCs w:val="22"/>
          <w:u w:val="single"/>
          <w:lang w:val="sr-Latn-ME"/>
        </w:rPr>
        <w:t>Prijavljivanje sumnji na neželjena dejstva</w:t>
      </w:r>
    </w:p>
    <w:p w14:paraId="7B43768A" w14:textId="0D02C97F" w:rsidR="005A23D2" w:rsidRPr="00AB5B90" w:rsidRDefault="005A23D2" w:rsidP="004304C2">
      <w:pPr>
        <w:spacing w:after="200"/>
        <w:jc w:val="both"/>
        <w:rPr>
          <w:rFonts w:eastAsia="Calibri"/>
          <w:sz w:val="22"/>
          <w:szCs w:val="22"/>
          <w:lang w:val="sr-Latn-ME"/>
        </w:rPr>
      </w:pPr>
      <w:r w:rsidRPr="00AB5B90">
        <w:rPr>
          <w:rFonts w:eastAsia="Calibri"/>
          <w:sz w:val="22"/>
          <w:szCs w:val="22"/>
          <w:lang w:val="sr-Latn-ME"/>
        </w:rPr>
        <w:t>Prijavljivanje neželjenih dejstava nakon dobijanja dozvole je od velikog značaja jer obezbjeđuje kont</w:t>
      </w:r>
      <w:r w:rsidR="00EA5765" w:rsidRPr="00AB5B90">
        <w:rPr>
          <w:rFonts w:eastAsia="Calibri"/>
          <w:sz w:val="22"/>
          <w:szCs w:val="22"/>
          <w:lang w:val="sr-Latn-ME"/>
        </w:rPr>
        <w:t>inuirano praćenje odnosa korist</w:t>
      </w:r>
      <w:r w:rsidRPr="00AB5B90">
        <w:rPr>
          <w:rFonts w:eastAsia="Calibri"/>
          <w:sz w:val="22"/>
          <w:szCs w:val="22"/>
          <w:lang w:val="sr-Latn-ME"/>
        </w:rPr>
        <w:t>/rizik primjene lijeka. Zdravstveni radnici treba da prijave svaku sumnju na neželjeno</w:t>
      </w:r>
      <w:r w:rsidR="009B062A" w:rsidRPr="00AB5B90">
        <w:rPr>
          <w:rFonts w:eastAsia="Calibri"/>
          <w:sz w:val="22"/>
          <w:szCs w:val="22"/>
          <w:lang w:val="sr-Latn-ME"/>
        </w:rPr>
        <w:t xml:space="preserve"> </w:t>
      </w:r>
      <w:r w:rsidRPr="00AB5B90">
        <w:rPr>
          <w:rFonts w:eastAsia="Calibri"/>
          <w:sz w:val="22"/>
          <w:szCs w:val="22"/>
          <w:lang w:val="sr-Latn-ME"/>
        </w:rPr>
        <w:t xml:space="preserve">dejstvo ovog lijeka </w:t>
      </w:r>
      <w:r w:rsidR="000F7976" w:rsidRPr="00AB5B90">
        <w:rPr>
          <w:rFonts w:eastAsia="Calibri"/>
          <w:sz w:val="22"/>
          <w:szCs w:val="22"/>
          <w:lang w:val="sr-Latn-ME"/>
        </w:rPr>
        <w:t>Institutu za ljekove i medicinska sredstva (CInMED):</w:t>
      </w:r>
    </w:p>
    <w:p w14:paraId="66278C1C" w14:textId="3EF8B23A" w:rsidR="005A23D2" w:rsidRPr="00AB5B90" w:rsidRDefault="000F7976">
      <w:pPr>
        <w:pStyle w:val="NoSpacing"/>
        <w:jc w:val="both"/>
        <w:rPr>
          <w:rFonts w:eastAsia="Calibri"/>
          <w:sz w:val="22"/>
          <w:szCs w:val="22"/>
          <w:lang w:val="sr-Latn-ME"/>
        </w:rPr>
      </w:pPr>
      <w:r w:rsidRPr="00AB5B90">
        <w:rPr>
          <w:rFonts w:eastAsia="Calibri"/>
          <w:sz w:val="22"/>
          <w:szCs w:val="22"/>
          <w:lang w:val="sr-Latn-ME"/>
        </w:rPr>
        <w:t xml:space="preserve">Institut za ljekove i medicinska sredstva </w:t>
      </w:r>
    </w:p>
    <w:p w14:paraId="1636F14E" w14:textId="77777777" w:rsidR="005A23D2" w:rsidRPr="00AB5B90" w:rsidRDefault="005A23D2">
      <w:pPr>
        <w:pStyle w:val="NoSpacing"/>
        <w:jc w:val="both"/>
        <w:rPr>
          <w:rFonts w:eastAsia="Calibri"/>
          <w:sz w:val="22"/>
          <w:szCs w:val="22"/>
          <w:lang w:val="sr-Latn-ME"/>
        </w:rPr>
      </w:pPr>
      <w:r w:rsidRPr="00AB5B90">
        <w:rPr>
          <w:rFonts w:eastAsia="Calibri"/>
          <w:sz w:val="22"/>
          <w:szCs w:val="22"/>
          <w:lang w:val="sr-Latn-ME"/>
        </w:rPr>
        <w:t xml:space="preserve">Odjeljenje za </w:t>
      </w:r>
      <w:proofErr w:type="spellStart"/>
      <w:r w:rsidRPr="00AB5B90">
        <w:rPr>
          <w:rFonts w:eastAsia="Calibri"/>
          <w:sz w:val="22"/>
          <w:szCs w:val="22"/>
          <w:lang w:val="sr-Latn-ME"/>
        </w:rPr>
        <w:t>farmakovigilancu</w:t>
      </w:r>
      <w:proofErr w:type="spellEnd"/>
    </w:p>
    <w:p w14:paraId="54D3FCB9" w14:textId="77777777" w:rsidR="00EA5765" w:rsidRPr="00AB5B90" w:rsidRDefault="005A23D2">
      <w:pPr>
        <w:pStyle w:val="NoSpacing"/>
        <w:jc w:val="both"/>
        <w:rPr>
          <w:rFonts w:eastAsia="Calibri"/>
          <w:sz w:val="22"/>
          <w:szCs w:val="22"/>
          <w:lang w:val="sr-Latn-ME"/>
        </w:rPr>
      </w:pPr>
      <w:r w:rsidRPr="00AB5B90">
        <w:rPr>
          <w:rFonts w:eastAsia="Calibri"/>
          <w:sz w:val="22"/>
          <w:szCs w:val="22"/>
          <w:lang w:val="sr-Latn-ME"/>
        </w:rPr>
        <w:t xml:space="preserve">Bulevar Ivana Crnojevića </w:t>
      </w:r>
      <w:proofErr w:type="spellStart"/>
      <w:r w:rsidRPr="00AB5B90">
        <w:rPr>
          <w:rFonts w:eastAsia="Calibri"/>
          <w:sz w:val="22"/>
          <w:szCs w:val="22"/>
          <w:lang w:val="sr-Latn-ME"/>
        </w:rPr>
        <w:t>64a</w:t>
      </w:r>
      <w:proofErr w:type="spellEnd"/>
      <w:r w:rsidRPr="00AB5B90">
        <w:rPr>
          <w:rFonts w:eastAsia="Calibri"/>
          <w:sz w:val="22"/>
          <w:szCs w:val="22"/>
          <w:lang w:val="sr-Latn-ME"/>
        </w:rPr>
        <w:t>, 81000 Podgorica</w:t>
      </w:r>
    </w:p>
    <w:p w14:paraId="639338AB" w14:textId="77777777" w:rsidR="00EA5765" w:rsidRPr="00AB5B90" w:rsidRDefault="00EA5765" w:rsidP="003E5B22">
      <w:pPr>
        <w:pStyle w:val="NoSpacing"/>
        <w:jc w:val="both"/>
        <w:rPr>
          <w:rFonts w:eastAsia="Calibri"/>
          <w:sz w:val="22"/>
          <w:szCs w:val="22"/>
          <w:lang w:val="sr-Latn-ME"/>
        </w:rPr>
      </w:pPr>
    </w:p>
    <w:p w14:paraId="21F1F4CE" w14:textId="77777777" w:rsidR="005A23D2" w:rsidRPr="00AB5B90" w:rsidRDefault="005A23D2" w:rsidP="004304C2">
      <w:pPr>
        <w:pStyle w:val="NoSpacing"/>
        <w:jc w:val="both"/>
        <w:rPr>
          <w:rFonts w:eastAsia="Calibri"/>
          <w:sz w:val="22"/>
          <w:szCs w:val="22"/>
          <w:lang w:val="sr-Latn-ME"/>
        </w:rPr>
      </w:pPr>
      <w:r w:rsidRPr="00AB5B90">
        <w:rPr>
          <w:rFonts w:eastAsia="Calibri"/>
          <w:sz w:val="22"/>
          <w:szCs w:val="22"/>
          <w:lang w:val="sr-Latn-ME"/>
        </w:rPr>
        <w:t>tel: +382 (0) 20 310 280</w:t>
      </w:r>
    </w:p>
    <w:p w14:paraId="5A493FE7" w14:textId="77777777" w:rsidR="00EA5765" w:rsidRPr="00AB5B90" w:rsidRDefault="005A23D2">
      <w:pPr>
        <w:pStyle w:val="NoSpacing"/>
        <w:jc w:val="both"/>
        <w:rPr>
          <w:rFonts w:eastAsia="Calibri"/>
          <w:sz w:val="22"/>
          <w:szCs w:val="22"/>
          <w:lang w:val="sr-Latn-ME"/>
        </w:rPr>
      </w:pPr>
      <w:proofErr w:type="spellStart"/>
      <w:r w:rsidRPr="00AB5B90">
        <w:rPr>
          <w:rFonts w:eastAsia="Calibri"/>
          <w:sz w:val="22"/>
          <w:szCs w:val="22"/>
          <w:lang w:val="sr-Latn-ME"/>
        </w:rPr>
        <w:t>fax</w:t>
      </w:r>
      <w:proofErr w:type="spellEnd"/>
      <w:r w:rsidRPr="00AB5B90">
        <w:rPr>
          <w:rFonts w:eastAsia="Calibri"/>
          <w:sz w:val="22"/>
          <w:szCs w:val="22"/>
          <w:lang w:val="sr-Latn-ME"/>
        </w:rPr>
        <w:t>:</w:t>
      </w:r>
      <w:r w:rsidR="00EA5765" w:rsidRPr="00AB5B90">
        <w:rPr>
          <w:rFonts w:eastAsia="Calibri"/>
          <w:sz w:val="22"/>
          <w:szCs w:val="22"/>
          <w:lang w:val="sr-Latn-ME"/>
        </w:rPr>
        <w:t xml:space="preserve"> </w:t>
      </w:r>
      <w:r w:rsidRPr="00AB5B90">
        <w:rPr>
          <w:rFonts w:eastAsia="Calibri"/>
          <w:sz w:val="22"/>
          <w:szCs w:val="22"/>
          <w:lang w:val="sr-Latn-ME"/>
        </w:rPr>
        <w:t>+382 (0) 20 310 581</w:t>
      </w:r>
    </w:p>
    <w:p w14:paraId="7328DB56" w14:textId="77777777" w:rsidR="000F7976" w:rsidRPr="00AB5B90" w:rsidRDefault="001B45EA">
      <w:pPr>
        <w:pStyle w:val="NoSpacing"/>
        <w:jc w:val="both"/>
        <w:rPr>
          <w:rFonts w:eastAsia="Calibri"/>
          <w:sz w:val="22"/>
          <w:szCs w:val="22"/>
          <w:lang w:val="sr-Latn-ME"/>
        </w:rPr>
      </w:pPr>
      <w:hyperlink r:id="rId8" w:history="1">
        <w:proofErr w:type="spellStart"/>
        <w:r w:rsidR="000F7976" w:rsidRPr="00AB5B90">
          <w:rPr>
            <w:rStyle w:val="Hyperlink"/>
            <w:rFonts w:eastAsia="Calibri"/>
            <w:sz w:val="22"/>
            <w:szCs w:val="22"/>
            <w:lang w:val="sr-Latn-ME"/>
          </w:rPr>
          <w:t>www.cinmed.me</w:t>
        </w:r>
        <w:proofErr w:type="spellEnd"/>
      </w:hyperlink>
    </w:p>
    <w:p w14:paraId="4082C0BD" w14:textId="7EAB4622" w:rsidR="000F7976" w:rsidRPr="00AB5B90" w:rsidRDefault="001B45EA">
      <w:pPr>
        <w:pStyle w:val="NoSpacing"/>
        <w:jc w:val="both"/>
        <w:rPr>
          <w:rFonts w:eastAsia="Calibri"/>
          <w:sz w:val="22"/>
          <w:szCs w:val="22"/>
          <w:lang w:val="sr-Latn-ME"/>
        </w:rPr>
      </w:pPr>
      <w:hyperlink r:id="rId9" w:history="1">
        <w:proofErr w:type="spellStart"/>
        <w:r w:rsidR="000F7976" w:rsidRPr="00AB5B90">
          <w:rPr>
            <w:rStyle w:val="Hyperlink"/>
            <w:rFonts w:eastAsia="Calibri"/>
            <w:sz w:val="22"/>
            <w:szCs w:val="22"/>
            <w:lang w:val="sr-Latn-ME"/>
          </w:rPr>
          <w:t>nezeljenadejstva@cinmed.me</w:t>
        </w:r>
        <w:proofErr w:type="spellEnd"/>
      </w:hyperlink>
    </w:p>
    <w:p w14:paraId="7621E51D" w14:textId="6CBF6796" w:rsidR="005A23D2" w:rsidRPr="00AB5B90" w:rsidRDefault="005A23D2">
      <w:pPr>
        <w:pStyle w:val="NoSpacing"/>
        <w:jc w:val="both"/>
        <w:rPr>
          <w:rFonts w:eastAsia="Calibri"/>
          <w:sz w:val="22"/>
          <w:szCs w:val="22"/>
          <w:lang w:val="sr-Latn-ME"/>
        </w:rPr>
      </w:pPr>
      <w:r w:rsidRPr="00AB5B90">
        <w:rPr>
          <w:rFonts w:eastAsia="Calibri"/>
          <w:sz w:val="22"/>
          <w:szCs w:val="22"/>
          <w:lang w:val="sr-Latn-ME"/>
        </w:rPr>
        <w:t>putem IS zdravstvene zaštite</w:t>
      </w:r>
    </w:p>
    <w:p w14:paraId="05F5D943" w14:textId="281CA90E" w:rsidR="000D58A2" w:rsidRPr="00AB5B90" w:rsidRDefault="000D58A2">
      <w:pPr>
        <w:pStyle w:val="NoSpacing"/>
        <w:jc w:val="both"/>
        <w:rPr>
          <w:rFonts w:eastAsia="Calibri"/>
          <w:sz w:val="22"/>
          <w:szCs w:val="22"/>
          <w:lang w:val="sr-Latn-ME"/>
        </w:rPr>
      </w:pPr>
      <w:proofErr w:type="spellStart"/>
      <w:r w:rsidRPr="00AB5B90">
        <w:rPr>
          <w:rFonts w:eastAsia="Calibri"/>
          <w:sz w:val="22"/>
          <w:szCs w:val="22"/>
          <w:lang w:val="sr-Latn-ME"/>
        </w:rPr>
        <w:t>QR</w:t>
      </w:r>
      <w:proofErr w:type="spellEnd"/>
      <w:r w:rsidRPr="00AB5B90">
        <w:rPr>
          <w:rFonts w:eastAsia="Calibri"/>
          <w:sz w:val="22"/>
          <w:szCs w:val="22"/>
          <w:lang w:val="sr-Latn-ME"/>
        </w:rPr>
        <w:t xml:space="preserve"> kod za </w:t>
      </w:r>
      <w:proofErr w:type="spellStart"/>
      <w:r w:rsidRPr="00AB5B90">
        <w:rPr>
          <w:rFonts w:eastAsia="Calibri"/>
          <w:sz w:val="22"/>
          <w:szCs w:val="22"/>
          <w:lang w:val="sr-Latn-ME"/>
        </w:rPr>
        <w:t>online</w:t>
      </w:r>
      <w:proofErr w:type="spellEnd"/>
      <w:r w:rsidRPr="00AB5B90">
        <w:rPr>
          <w:rFonts w:eastAsia="Calibri"/>
          <w:sz w:val="22"/>
          <w:szCs w:val="22"/>
          <w:lang w:val="sr-Latn-ME"/>
        </w:rPr>
        <w:t xml:space="preserve"> prijavu sumnje na neželjeno dejstvo lijeka:</w:t>
      </w:r>
    </w:p>
    <w:p w14:paraId="6E8E4C89" w14:textId="77777777" w:rsidR="00BE4043" w:rsidRPr="00AB5B90" w:rsidRDefault="00BE4043">
      <w:pPr>
        <w:pStyle w:val="NoSpacing"/>
        <w:jc w:val="both"/>
        <w:rPr>
          <w:rFonts w:eastAsia="Calibri"/>
          <w:sz w:val="22"/>
          <w:szCs w:val="22"/>
          <w:lang w:val="sr-Latn-ME"/>
        </w:rPr>
      </w:pPr>
    </w:p>
    <w:p w14:paraId="0D5F853F" w14:textId="6B0AFD29" w:rsidR="00836B35" w:rsidRPr="00AB5B90" w:rsidRDefault="000D58A2" w:rsidP="003E5B22">
      <w:pPr>
        <w:tabs>
          <w:tab w:val="left" w:pos="540"/>
          <w:tab w:val="left" w:pos="569"/>
        </w:tabs>
        <w:jc w:val="both"/>
        <w:rPr>
          <w:b/>
          <w:bCs/>
          <w:sz w:val="22"/>
          <w:szCs w:val="22"/>
          <w:lang w:val="sr-Latn-ME"/>
        </w:rPr>
      </w:pPr>
      <w:r w:rsidRPr="00AB5B90">
        <w:rPr>
          <w:noProof/>
          <w:sz w:val="22"/>
          <w:szCs w:val="22"/>
          <w:lang w:val="sr-Latn-ME" w:eastAsia="sr-Latn-ME"/>
        </w:rPr>
        <w:drawing>
          <wp:inline distT="0" distB="0" distL="0" distR="0" wp14:anchorId="69214B35" wp14:editId="3D4F31E1">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F9F113F" w14:textId="77777777" w:rsidR="005B6F88" w:rsidRPr="00AB5B90" w:rsidRDefault="005B6F88" w:rsidP="003E5B22">
      <w:pPr>
        <w:tabs>
          <w:tab w:val="left" w:pos="540"/>
          <w:tab w:val="left" w:pos="569"/>
        </w:tabs>
        <w:jc w:val="both"/>
        <w:rPr>
          <w:b/>
          <w:bCs/>
          <w:sz w:val="22"/>
          <w:szCs w:val="22"/>
          <w:lang w:val="sr-Latn-ME"/>
        </w:rPr>
      </w:pPr>
    </w:p>
    <w:p w14:paraId="2487712B" w14:textId="77777777" w:rsidR="00CD6F02" w:rsidRPr="00AB5B90" w:rsidRDefault="0072020E" w:rsidP="003E5B22">
      <w:pPr>
        <w:tabs>
          <w:tab w:val="left" w:pos="540"/>
          <w:tab w:val="left" w:pos="569"/>
        </w:tabs>
        <w:jc w:val="both"/>
        <w:rPr>
          <w:b/>
          <w:bCs/>
          <w:sz w:val="22"/>
          <w:szCs w:val="22"/>
          <w:lang w:val="sr-Latn-ME"/>
        </w:rPr>
      </w:pPr>
      <w:r w:rsidRPr="00AB5B90">
        <w:rPr>
          <w:b/>
          <w:bCs/>
          <w:sz w:val="22"/>
          <w:szCs w:val="22"/>
          <w:lang w:val="sr-Latn-ME"/>
        </w:rPr>
        <w:t xml:space="preserve">4.9. </w:t>
      </w:r>
      <w:r w:rsidR="00480FB1" w:rsidRPr="00AB5B90">
        <w:rPr>
          <w:b/>
          <w:bCs/>
          <w:sz w:val="22"/>
          <w:szCs w:val="22"/>
          <w:lang w:val="sr-Latn-ME"/>
        </w:rPr>
        <w:tab/>
      </w:r>
      <w:proofErr w:type="spellStart"/>
      <w:r w:rsidRPr="00AB5B90">
        <w:rPr>
          <w:b/>
          <w:bCs/>
          <w:sz w:val="22"/>
          <w:szCs w:val="22"/>
          <w:lang w:val="sr-Latn-ME"/>
        </w:rPr>
        <w:t>Predoziranje</w:t>
      </w:r>
      <w:proofErr w:type="spellEnd"/>
      <w:r w:rsidR="002846DB" w:rsidRPr="00AB5B90">
        <w:rPr>
          <w:b/>
          <w:bCs/>
          <w:sz w:val="22"/>
          <w:szCs w:val="22"/>
          <w:lang w:val="sr-Latn-ME"/>
        </w:rPr>
        <w:t xml:space="preserve"> </w:t>
      </w:r>
    </w:p>
    <w:p w14:paraId="7B0D49B2" w14:textId="77777777" w:rsidR="00CD6F02" w:rsidRPr="00AB5B90" w:rsidRDefault="00CD6F02" w:rsidP="003E5B22">
      <w:pPr>
        <w:tabs>
          <w:tab w:val="left" w:pos="540"/>
          <w:tab w:val="left" w:pos="569"/>
        </w:tabs>
        <w:jc w:val="both"/>
        <w:rPr>
          <w:b/>
          <w:bCs/>
          <w:sz w:val="22"/>
          <w:szCs w:val="22"/>
          <w:lang w:val="sr-Latn-ME"/>
        </w:rPr>
      </w:pPr>
    </w:p>
    <w:p w14:paraId="38F53C7C" w14:textId="546C2BE1" w:rsidR="004D35DE" w:rsidRPr="00AB5B90" w:rsidRDefault="004D35DE" w:rsidP="003E5B22">
      <w:pPr>
        <w:tabs>
          <w:tab w:val="left" w:pos="284"/>
        </w:tabs>
        <w:jc w:val="both"/>
        <w:rPr>
          <w:sz w:val="22"/>
          <w:szCs w:val="22"/>
          <w:lang w:val="sr-Latn-ME"/>
        </w:rPr>
      </w:pPr>
      <w:r w:rsidRPr="00AB5B90">
        <w:rPr>
          <w:sz w:val="22"/>
          <w:szCs w:val="22"/>
          <w:lang w:val="sr-Latn-ME"/>
        </w:rPr>
        <w:t xml:space="preserve">Prijavljeni su slučajevi </w:t>
      </w:r>
      <w:proofErr w:type="spellStart"/>
      <w:r w:rsidRPr="00AB5B90">
        <w:rPr>
          <w:sz w:val="22"/>
          <w:szCs w:val="22"/>
          <w:lang w:val="sr-Latn-ME"/>
        </w:rPr>
        <w:t>predoziranja</w:t>
      </w:r>
      <w:proofErr w:type="spellEnd"/>
      <w:r w:rsidRPr="00AB5B90">
        <w:rPr>
          <w:sz w:val="22"/>
          <w:szCs w:val="22"/>
          <w:lang w:val="sr-Latn-ME"/>
        </w:rPr>
        <w:t xml:space="preserve"> solima gvožđa, posebno kod male djece, </w:t>
      </w:r>
      <w:proofErr w:type="spellStart"/>
      <w:r w:rsidRPr="00AB5B90">
        <w:rPr>
          <w:sz w:val="22"/>
          <w:szCs w:val="22"/>
          <w:lang w:val="sr-Latn-ME"/>
        </w:rPr>
        <w:t>usl</w:t>
      </w:r>
      <w:r w:rsidR="009B3A34" w:rsidRPr="00AB5B90">
        <w:rPr>
          <w:sz w:val="22"/>
          <w:szCs w:val="22"/>
          <w:lang w:val="sr-Latn-ME"/>
        </w:rPr>
        <w:t>j</w:t>
      </w:r>
      <w:r w:rsidRPr="00AB5B90">
        <w:rPr>
          <w:sz w:val="22"/>
          <w:szCs w:val="22"/>
          <w:lang w:val="sr-Latn-ME"/>
        </w:rPr>
        <w:t>ed</w:t>
      </w:r>
      <w:proofErr w:type="spellEnd"/>
      <w:r w:rsidRPr="00AB5B90">
        <w:rPr>
          <w:sz w:val="22"/>
          <w:szCs w:val="22"/>
          <w:lang w:val="sr-Latn-ME"/>
        </w:rPr>
        <w:t xml:space="preserve"> slučajnog unosa. Unos oralne doze od 20 mg elementarnog gvožđa ili više na kilogram t</w:t>
      </w:r>
      <w:r w:rsidR="00CE0662" w:rsidRPr="00AB5B90">
        <w:rPr>
          <w:sz w:val="22"/>
          <w:szCs w:val="22"/>
          <w:lang w:val="sr-Latn-ME"/>
        </w:rPr>
        <w:t>j</w:t>
      </w:r>
      <w:r w:rsidRPr="00AB5B90">
        <w:rPr>
          <w:sz w:val="22"/>
          <w:szCs w:val="22"/>
          <w:lang w:val="sr-Latn-ME"/>
        </w:rPr>
        <w:t xml:space="preserve">elesne težine može dovesti do simptoma </w:t>
      </w:r>
      <w:proofErr w:type="spellStart"/>
      <w:r w:rsidRPr="00AB5B90">
        <w:rPr>
          <w:sz w:val="22"/>
          <w:szCs w:val="22"/>
          <w:lang w:val="sr-Latn-ME"/>
        </w:rPr>
        <w:t>intoksikacije</w:t>
      </w:r>
      <w:proofErr w:type="spellEnd"/>
      <w:r w:rsidRPr="00AB5B90">
        <w:rPr>
          <w:sz w:val="22"/>
          <w:szCs w:val="22"/>
          <w:lang w:val="sr-Latn-ME"/>
        </w:rPr>
        <w:t>. Unos više od 60 mg/kg može dovesti do ozbiljne toksičnosti. Ekvivalent od 200 do 250 mg elementarnog gvožđa se smatra potencijalno fatalnim. Akutno trovanje gvožđem može se javiti u četiri stadijuma:</w:t>
      </w:r>
    </w:p>
    <w:p w14:paraId="331E26CE" w14:textId="3B5E6FD0" w:rsidR="004D35DE" w:rsidRPr="00AB5B90" w:rsidRDefault="004D35DE" w:rsidP="00CE0662">
      <w:pPr>
        <w:numPr>
          <w:ilvl w:val="0"/>
          <w:numId w:val="20"/>
        </w:numPr>
        <w:tabs>
          <w:tab w:val="left" w:pos="426"/>
        </w:tabs>
        <w:ind w:left="360"/>
        <w:jc w:val="both"/>
        <w:rPr>
          <w:sz w:val="22"/>
          <w:szCs w:val="22"/>
          <w:lang w:val="sr-Latn-ME"/>
        </w:rPr>
      </w:pPr>
      <w:r w:rsidRPr="00AB5B90">
        <w:rPr>
          <w:sz w:val="22"/>
          <w:szCs w:val="22"/>
          <w:lang w:val="sr-Latn-ME"/>
        </w:rPr>
        <w:t xml:space="preserve">U prvoj fazi, koja se javlja do 6 sati nakon oralnog unosa, </w:t>
      </w:r>
      <w:proofErr w:type="spellStart"/>
      <w:r w:rsidRPr="00AB5B90">
        <w:rPr>
          <w:sz w:val="22"/>
          <w:szCs w:val="22"/>
          <w:lang w:val="sr-Latn-ME"/>
        </w:rPr>
        <w:t>preovladava</w:t>
      </w:r>
      <w:proofErr w:type="spellEnd"/>
      <w:r w:rsidRPr="00AB5B90">
        <w:rPr>
          <w:sz w:val="22"/>
          <w:szCs w:val="22"/>
          <w:lang w:val="sr-Latn-ME"/>
        </w:rPr>
        <w:t xml:space="preserve"> gastrointestinalna toksičnost, posebno povraćanje i dijareja. Drugi efekti mogu uključivati </w:t>
      </w:r>
      <w:proofErr w:type="spellStart"/>
      <w:r w:rsidRPr="00AB5B90">
        <w:rPr>
          <w:sz w:val="22"/>
          <w:szCs w:val="22"/>
          <w:lang w:val="sr-Latn-ME"/>
        </w:rPr>
        <w:t>kardiovaskularne</w:t>
      </w:r>
      <w:proofErr w:type="spellEnd"/>
      <w:r w:rsidRPr="00AB5B90">
        <w:rPr>
          <w:sz w:val="22"/>
          <w:szCs w:val="22"/>
          <w:lang w:val="sr-Latn-ME"/>
        </w:rPr>
        <w:t xml:space="preserve"> poremećaje kao što je </w:t>
      </w:r>
      <w:proofErr w:type="spellStart"/>
      <w:r w:rsidRPr="00AB5B90">
        <w:rPr>
          <w:sz w:val="22"/>
          <w:szCs w:val="22"/>
          <w:lang w:val="sr-Latn-ME"/>
        </w:rPr>
        <w:t>hipotenzija</w:t>
      </w:r>
      <w:proofErr w:type="spellEnd"/>
      <w:r w:rsidRPr="00AB5B90">
        <w:rPr>
          <w:sz w:val="22"/>
          <w:szCs w:val="22"/>
          <w:lang w:val="sr-Latn-ME"/>
        </w:rPr>
        <w:t xml:space="preserve">, </w:t>
      </w:r>
      <w:proofErr w:type="spellStart"/>
      <w:r w:rsidRPr="00AB5B90">
        <w:rPr>
          <w:sz w:val="22"/>
          <w:szCs w:val="22"/>
          <w:lang w:val="sr-Latn-ME"/>
        </w:rPr>
        <w:t>metaboličke</w:t>
      </w:r>
      <w:proofErr w:type="spellEnd"/>
      <w:r w:rsidRPr="00AB5B90">
        <w:rPr>
          <w:sz w:val="22"/>
          <w:szCs w:val="22"/>
          <w:lang w:val="sr-Latn-ME"/>
        </w:rPr>
        <w:t xml:space="preserve"> prom</w:t>
      </w:r>
      <w:r w:rsidR="006B06DC" w:rsidRPr="00AB5B90">
        <w:rPr>
          <w:sz w:val="22"/>
          <w:szCs w:val="22"/>
          <w:lang w:val="sr-Latn-ME"/>
        </w:rPr>
        <w:t>j</w:t>
      </w:r>
      <w:r w:rsidRPr="00AB5B90">
        <w:rPr>
          <w:sz w:val="22"/>
          <w:szCs w:val="22"/>
          <w:lang w:val="sr-Latn-ME"/>
        </w:rPr>
        <w:t xml:space="preserve">ene, </w:t>
      </w:r>
      <w:proofErr w:type="spellStart"/>
      <w:r w:rsidRPr="00AB5B90">
        <w:rPr>
          <w:sz w:val="22"/>
          <w:szCs w:val="22"/>
          <w:lang w:val="sr-Latn-ME"/>
        </w:rPr>
        <w:t>uklučujući</w:t>
      </w:r>
      <w:proofErr w:type="spellEnd"/>
      <w:r w:rsidRPr="00AB5B90">
        <w:rPr>
          <w:sz w:val="22"/>
          <w:szCs w:val="22"/>
          <w:lang w:val="sr-Latn-ME"/>
        </w:rPr>
        <w:t xml:space="preserve"> </w:t>
      </w:r>
      <w:proofErr w:type="spellStart"/>
      <w:r w:rsidRPr="00AB5B90">
        <w:rPr>
          <w:sz w:val="22"/>
          <w:szCs w:val="22"/>
          <w:lang w:val="sr-Latn-ME"/>
        </w:rPr>
        <w:t>acidozu</w:t>
      </w:r>
      <w:proofErr w:type="spellEnd"/>
      <w:r w:rsidRPr="00AB5B90">
        <w:rPr>
          <w:sz w:val="22"/>
          <w:szCs w:val="22"/>
          <w:lang w:val="sr-Latn-ME"/>
        </w:rPr>
        <w:t xml:space="preserve"> i </w:t>
      </w:r>
      <w:proofErr w:type="spellStart"/>
      <w:r w:rsidRPr="00AB5B90">
        <w:rPr>
          <w:sz w:val="22"/>
          <w:szCs w:val="22"/>
          <w:lang w:val="sr-Latn-ME"/>
        </w:rPr>
        <w:t>hiperglikemiju</w:t>
      </w:r>
      <w:proofErr w:type="spellEnd"/>
      <w:r w:rsidRPr="00AB5B90">
        <w:rPr>
          <w:sz w:val="22"/>
          <w:szCs w:val="22"/>
          <w:lang w:val="sr-Latn-ME"/>
        </w:rPr>
        <w:t xml:space="preserve"> i depresiju </w:t>
      </w:r>
      <w:proofErr w:type="spellStart"/>
      <w:r w:rsidRPr="00AB5B90">
        <w:rPr>
          <w:sz w:val="22"/>
          <w:szCs w:val="22"/>
          <w:lang w:val="sr-Latn-ME"/>
        </w:rPr>
        <w:t>CNS</w:t>
      </w:r>
      <w:proofErr w:type="spellEnd"/>
      <w:r w:rsidRPr="00AB5B90">
        <w:rPr>
          <w:sz w:val="22"/>
          <w:szCs w:val="22"/>
          <w:lang w:val="sr-Latn-ME"/>
        </w:rPr>
        <w:t>-a u rasponu od letargije do kome. Pacijenti sa samo blagim do um</w:t>
      </w:r>
      <w:r w:rsidR="00CE0662" w:rsidRPr="00AB5B90">
        <w:rPr>
          <w:sz w:val="22"/>
          <w:szCs w:val="22"/>
          <w:lang w:val="sr-Latn-ME"/>
        </w:rPr>
        <w:t>j</w:t>
      </w:r>
      <w:r w:rsidRPr="00AB5B90">
        <w:rPr>
          <w:sz w:val="22"/>
          <w:szCs w:val="22"/>
          <w:lang w:val="sr-Latn-ME"/>
        </w:rPr>
        <w:t>ereno blagim trovanjem, generalno ne napreduju nakon ove faze.</w:t>
      </w:r>
    </w:p>
    <w:p w14:paraId="26C38ACC" w14:textId="7C494274" w:rsidR="004D35DE" w:rsidRPr="00AB5B90" w:rsidRDefault="004D35DE" w:rsidP="00CE0662">
      <w:pPr>
        <w:numPr>
          <w:ilvl w:val="0"/>
          <w:numId w:val="20"/>
        </w:numPr>
        <w:tabs>
          <w:tab w:val="left" w:pos="426"/>
        </w:tabs>
        <w:ind w:left="360"/>
        <w:jc w:val="both"/>
        <w:rPr>
          <w:sz w:val="22"/>
          <w:szCs w:val="22"/>
          <w:lang w:val="sr-Latn-ME"/>
        </w:rPr>
      </w:pPr>
      <w:r w:rsidRPr="00AB5B90">
        <w:rPr>
          <w:sz w:val="22"/>
          <w:szCs w:val="22"/>
          <w:lang w:val="sr-Latn-ME"/>
        </w:rPr>
        <w:t xml:space="preserve">Druga faza, koja se ne javlja uvijek, može se javiti 6 do 24 sata nakon </w:t>
      </w:r>
      <w:proofErr w:type="spellStart"/>
      <w:r w:rsidRPr="00AB5B90">
        <w:rPr>
          <w:sz w:val="22"/>
          <w:szCs w:val="22"/>
          <w:lang w:val="sr-Latn-ME"/>
        </w:rPr>
        <w:t>ingestije</w:t>
      </w:r>
      <w:proofErr w:type="spellEnd"/>
      <w:r w:rsidRPr="00AB5B90">
        <w:rPr>
          <w:sz w:val="22"/>
          <w:szCs w:val="22"/>
          <w:lang w:val="sr-Latn-ME"/>
        </w:rPr>
        <w:t xml:space="preserve"> i karakteriše je privremena remisija ili klinička stabilizacija.</w:t>
      </w:r>
    </w:p>
    <w:p w14:paraId="36B08568" w14:textId="178D0024" w:rsidR="004D35DE" w:rsidRPr="00AB5B90" w:rsidRDefault="004D35DE" w:rsidP="00CE0662">
      <w:pPr>
        <w:numPr>
          <w:ilvl w:val="0"/>
          <w:numId w:val="20"/>
        </w:numPr>
        <w:tabs>
          <w:tab w:val="left" w:pos="426"/>
        </w:tabs>
        <w:spacing w:line="259" w:lineRule="auto"/>
        <w:ind w:left="360"/>
        <w:jc w:val="both"/>
        <w:rPr>
          <w:rFonts w:eastAsia="Calibri"/>
          <w:sz w:val="22"/>
          <w:szCs w:val="22"/>
          <w:lang w:val="sr-Latn-ME"/>
        </w:rPr>
      </w:pPr>
      <w:r w:rsidRPr="00AB5B90">
        <w:rPr>
          <w:rFonts w:eastAsia="Calibri"/>
          <w:sz w:val="22"/>
          <w:szCs w:val="22"/>
          <w:lang w:val="sr-Latn-ME"/>
        </w:rPr>
        <w:lastRenderedPageBreak/>
        <w:t xml:space="preserve">U </w:t>
      </w:r>
      <w:proofErr w:type="spellStart"/>
      <w:r w:rsidRPr="00AB5B90">
        <w:rPr>
          <w:rFonts w:eastAsia="Calibri"/>
          <w:sz w:val="22"/>
          <w:szCs w:val="22"/>
          <w:lang w:val="sr-Latn-ME"/>
        </w:rPr>
        <w:t>trećoj</w:t>
      </w:r>
      <w:proofErr w:type="spellEnd"/>
      <w:r w:rsidRPr="00AB5B90">
        <w:rPr>
          <w:rFonts w:eastAsia="Calibri"/>
          <w:sz w:val="22"/>
          <w:szCs w:val="22"/>
          <w:lang w:val="sr-Latn-ME"/>
        </w:rPr>
        <w:t xml:space="preserve"> fazi, 12 do 48 sati nakon unosa, gastrointestinalna toksičnost se ponavlja zajedno i može biti povezana sa </w:t>
      </w:r>
      <w:proofErr w:type="spellStart"/>
      <w:r w:rsidRPr="00AB5B90">
        <w:rPr>
          <w:rFonts w:eastAsia="Calibri"/>
          <w:sz w:val="22"/>
          <w:szCs w:val="22"/>
          <w:lang w:val="sr-Latn-ME"/>
        </w:rPr>
        <w:t>sl</w:t>
      </w:r>
      <w:r w:rsidR="00CE0662" w:rsidRPr="00AB5B90">
        <w:rPr>
          <w:rFonts w:eastAsia="Calibri"/>
          <w:sz w:val="22"/>
          <w:szCs w:val="22"/>
          <w:lang w:val="sr-Latn-ME"/>
        </w:rPr>
        <w:t>j</w:t>
      </w:r>
      <w:r w:rsidRPr="00AB5B90">
        <w:rPr>
          <w:rFonts w:eastAsia="Calibri"/>
          <w:sz w:val="22"/>
          <w:szCs w:val="22"/>
          <w:lang w:val="sr-Latn-ME"/>
        </w:rPr>
        <w:t>edećim</w:t>
      </w:r>
      <w:proofErr w:type="spellEnd"/>
      <w:r w:rsidRPr="00AB5B90">
        <w:rPr>
          <w:rFonts w:eastAsia="Calibri"/>
          <w:sz w:val="22"/>
          <w:szCs w:val="22"/>
          <w:lang w:val="sr-Latn-ME"/>
        </w:rPr>
        <w:t xml:space="preserve"> efektima: šok, </w:t>
      </w:r>
      <w:proofErr w:type="spellStart"/>
      <w:r w:rsidRPr="00AB5B90">
        <w:rPr>
          <w:rFonts w:eastAsia="Calibri"/>
          <w:sz w:val="22"/>
          <w:szCs w:val="22"/>
          <w:lang w:val="sr-Latn-ME"/>
        </w:rPr>
        <w:t>metabolička</w:t>
      </w:r>
      <w:proofErr w:type="spellEnd"/>
      <w:r w:rsidRPr="00AB5B90">
        <w:rPr>
          <w:rFonts w:eastAsia="Calibri"/>
          <w:sz w:val="22"/>
          <w:szCs w:val="22"/>
          <w:lang w:val="sr-Latn-ME"/>
        </w:rPr>
        <w:t xml:space="preserve"> </w:t>
      </w:r>
      <w:proofErr w:type="spellStart"/>
      <w:r w:rsidRPr="00AB5B90">
        <w:rPr>
          <w:rFonts w:eastAsia="Calibri"/>
          <w:sz w:val="22"/>
          <w:szCs w:val="22"/>
          <w:lang w:val="sr-Latn-ME"/>
        </w:rPr>
        <w:t>acidoza</w:t>
      </w:r>
      <w:proofErr w:type="spellEnd"/>
      <w:r w:rsidRPr="00AB5B90">
        <w:rPr>
          <w:rFonts w:eastAsia="Calibri"/>
          <w:sz w:val="22"/>
          <w:szCs w:val="22"/>
          <w:lang w:val="sr-Latn-ME"/>
        </w:rPr>
        <w:t xml:space="preserve">, teška letargija ili koma, </w:t>
      </w:r>
      <w:proofErr w:type="spellStart"/>
      <w:r w:rsidRPr="00AB5B90">
        <w:rPr>
          <w:rFonts w:eastAsia="Calibri"/>
          <w:sz w:val="22"/>
          <w:szCs w:val="22"/>
          <w:lang w:val="sr-Latn-ME"/>
        </w:rPr>
        <w:t>hepatična</w:t>
      </w:r>
      <w:proofErr w:type="spellEnd"/>
      <w:r w:rsidRPr="00AB5B90">
        <w:rPr>
          <w:rFonts w:eastAsia="Calibri"/>
          <w:sz w:val="22"/>
          <w:szCs w:val="22"/>
          <w:lang w:val="sr-Latn-ME"/>
        </w:rPr>
        <w:t xml:space="preserve"> </w:t>
      </w:r>
      <w:proofErr w:type="spellStart"/>
      <w:r w:rsidRPr="00AB5B90">
        <w:rPr>
          <w:rFonts w:eastAsia="Calibri"/>
          <w:sz w:val="22"/>
          <w:szCs w:val="22"/>
          <w:lang w:val="sr-Latn-ME"/>
        </w:rPr>
        <w:t>nekroza</w:t>
      </w:r>
      <w:proofErr w:type="spellEnd"/>
      <w:r w:rsidRPr="00AB5B90">
        <w:rPr>
          <w:rFonts w:eastAsia="Calibri"/>
          <w:sz w:val="22"/>
          <w:szCs w:val="22"/>
          <w:lang w:val="sr-Latn-ME"/>
        </w:rPr>
        <w:t xml:space="preserve"> i žutica, </w:t>
      </w:r>
      <w:proofErr w:type="spellStart"/>
      <w:r w:rsidRPr="00AB5B90">
        <w:rPr>
          <w:rFonts w:eastAsia="Calibri"/>
          <w:sz w:val="22"/>
          <w:szCs w:val="22"/>
          <w:lang w:val="sr-Latn-ME"/>
        </w:rPr>
        <w:t>hipoglikemija</w:t>
      </w:r>
      <w:proofErr w:type="spellEnd"/>
      <w:r w:rsidRPr="00AB5B90">
        <w:rPr>
          <w:rFonts w:eastAsia="Calibri"/>
          <w:sz w:val="22"/>
          <w:szCs w:val="22"/>
          <w:lang w:val="sr-Latn-ME"/>
        </w:rPr>
        <w:t>,</w:t>
      </w:r>
    </w:p>
    <w:p w14:paraId="2CFAC3B2" w14:textId="36ACEFFC" w:rsidR="004D35DE" w:rsidRPr="00AB5B90" w:rsidRDefault="004D35DE" w:rsidP="00CE0662">
      <w:pPr>
        <w:numPr>
          <w:ilvl w:val="0"/>
          <w:numId w:val="20"/>
        </w:numPr>
        <w:tabs>
          <w:tab w:val="left" w:pos="426"/>
        </w:tabs>
        <w:ind w:left="360"/>
        <w:jc w:val="both"/>
        <w:rPr>
          <w:sz w:val="22"/>
          <w:szCs w:val="22"/>
          <w:lang w:val="sr-Latn-ME"/>
        </w:rPr>
      </w:pPr>
      <w:r w:rsidRPr="00AB5B90">
        <w:rPr>
          <w:sz w:val="22"/>
          <w:szCs w:val="22"/>
          <w:lang w:val="sr-Latn-ME"/>
        </w:rPr>
        <w:t>Četvrta faza se može javiti nekoliko ned</w:t>
      </w:r>
      <w:r w:rsidR="005E3D2D" w:rsidRPr="00AB5B90">
        <w:rPr>
          <w:sz w:val="22"/>
          <w:szCs w:val="22"/>
          <w:lang w:val="sr-Latn-ME"/>
        </w:rPr>
        <w:t>j</w:t>
      </w:r>
      <w:r w:rsidRPr="00AB5B90">
        <w:rPr>
          <w:sz w:val="22"/>
          <w:szCs w:val="22"/>
          <w:lang w:val="sr-Latn-ME"/>
        </w:rPr>
        <w:t xml:space="preserve">elja nakon </w:t>
      </w:r>
      <w:proofErr w:type="spellStart"/>
      <w:r w:rsidRPr="00AB5B90">
        <w:rPr>
          <w:sz w:val="22"/>
          <w:szCs w:val="22"/>
          <w:lang w:val="sr-Latn-ME"/>
        </w:rPr>
        <w:t>ingestije</w:t>
      </w:r>
      <w:proofErr w:type="spellEnd"/>
      <w:r w:rsidRPr="00AB5B90">
        <w:rPr>
          <w:sz w:val="22"/>
          <w:szCs w:val="22"/>
          <w:lang w:val="sr-Latn-ME"/>
        </w:rPr>
        <w:t xml:space="preserve"> i karakteriše je gastrointestinalna opstrukcija i </w:t>
      </w:r>
      <w:proofErr w:type="spellStart"/>
      <w:r w:rsidRPr="00AB5B90">
        <w:rPr>
          <w:sz w:val="22"/>
          <w:szCs w:val="22"/>
          <w:lang w:val="sr-Latn-ME"/>
        </w:rPr>
        <w:t>moguće</w:t>
      </w:r>
      <w:proofErr w:type="spellEnd"/>
      <w:r w:rsidRPr="00AB5B90">
        <w:rPr>
          <w:sz w:val="22"/>
          <w:szCs w:val="22"/>
          <w:lang w:val="sr-Latn-ME"/>
        </w:rPr>
        <w:t xml:space="preserve"> kasno </w:t>
      </w:r>
      <w:proofErr w:type="spellStart"/>
      <w:r w:rsidRPr="00AB5B90">
        <w:rPr>
          <w:sz w:val="22"/>
          <w:szCs w:val="22"/>
          <w:lang w:val="sr-Latn-ME"/>
        </w:rPr>
        <w:t>oštećenje</w:t>
      </w:r>
      <w:proofErr w:type="spellEnd"/>
      <w:r w:rsidRPr="00AB5B90">
        <w:rPr>
          <w:sz w:val="22"/>
          <w:szCs w:val="22"/>
          <w:lang w:val="sr-Latn-ME"/>
        </w:rPr>
        <w:t xml:space="preserve"> jetre.</w:t>
      </w:r>
    </w:p>
    <w:p w14:paraId="2B324022" w14:textId="77777777" w:rsidR="004D35DE" w:rsidRPr="00AB5B90" w:rsidRDefault="004D35DE" w:rsidP="00CE0662">
      <w:pPr>
        <w:tabs>
          <w:tab w:val="left" w:pos="284"/>
        </w:tabs>
        <w:jc w:val="both"/>
        <w:rPr>
          <w:sz w:val="22"/>
          <w:szCs w:val="22"/>
          <w:lang w:val="sr-Latn-ME"/>
        </w:rPr>
      </w:pPr>
    </w:p>
    <w:p w14:paraId="41D3223B" w14:textId="069F7D98" w:rsidR="004D35DE" w:rsidRPr="00AB5B90" w:rsidRDefault="004D35DE" w:rsidP="003E5B22">
      <w:pPr>
        <w:spacing w:after="160" w:line="259" w:lineRule="auto"/>
        <w:jc w:val="both"/>
        <w:rPr>
          <w:rFonts w:eastAsia="Calibri"/>
          <w:sz w:val="22"/>
          <w:szCs w:val="22"/>
          <w:lang w:val="sr-Latn-ME"/>
        </w:rPr>
      </w:pPr>
      <w:r w:rsidRPr="00AB5B90">
        <w:rPr>
          <w:rFonts w:eastAsia="Calibri"/>
          <w:sz w:val="22"/>
          <w:szCs w:val="22"/>
          <w:lang w:val="sr-Latn-ME"/>
        </w:rPr>
        <w:t xml:space="preserve">Liječenje treba započeti što je prije </w:t>
      </w:r>
      <w:proofErr w:type="spellStart"/>
      <w:r w:rsidRPr="00AB5B90">
        <w:rPr>
          <w:rFonts w:eastAsia="Calibri"/>
          <w:sz w:val="22"/>
          <w:szCs w:val="22"/>
          <w:lang w:val="sr-Latn-ME"/>
        </w:rPr>
        <w:t>moguće</w:t>
      </w:r>
      <w:proofErr w:type="spellEnd"/>
      <w:r w:rsidRPr="00AB5B90">
        <w:rPr>
          <w:rFonts w:eastAsia="Calibri"/>
          <w:sz w:val="22"/>
          <w:szCs w:val="22"/>
          <w:lang w:val="sr-Latn-ME"/>
        </w:rPr>
        <w:t xml:space="preserve">. U zavisnosti od koncentracije gvožđa u serumu, preporučuje se upotreba </w:t>
      </w:r>
      <w:proofErr w:type="spellStart"/>
      <w:r w:rsidRPr="00AB5B90">
        <w:rPr>
          <w:rFonts w:eastAsia="Calibri"/>
          <w:sz w:val="22"/>
          <w:szCs w:val="22"/>
          <w:lang w:val="sr-Latn-ME"/>
        </w:rPr>
        <w:t>helatnog</w:t>
      </w:r>
      <w:proofErr w:type="spellEnd"/>
      <w:r w:rsidRPr="00AB5B90">
        <w:rPr>
          <w:rFonts w:eastAsia="Calibri"/>
          <w:sz w:val="22"/>
          <w:szCs w:val="22"/>
          <w:lang w:val="sr-Latn-ME"/>
        </w:rPr>
        <w:t xml:space="preserve"> sredstva (tj. </w:t>
      </w:r>
      <w:proofErr w:type="spellStart"/>
      <w:r w:rsidRPr="00AB5B90">
        <w:rPr>
          <w:rFonts w:eastAsia="Calibri"/>
          <w:sz w:val="22"/>
          <w:szCs w:val="22"/>
          <w:lang w:val="sr-Latn-ME"/>
        </w:rPr>
        <w:t>deferoksamina</w:t>
      </w:r>
      <w:proofErr w:type="spellEnd"/>
      <w:r w:rsidRPr="00AB5B90">
        <w:rPr>
          <w:rFonts w:eastAsia="Calibri"/>
          <w:sz w:val="22"/>
          <w:szCs w:val="22"/>
          <w:lang w:val="sr-Latn-ME"/>
        </w:rPr>
        <w:t>).</w:t>
      </w:r>
    </w:p>
    <w:p w14:paraId="63790203" w14:textId="77777777" w:rsidR="005B6F88" w:rsidRPr="00AB5B90" w:rsidRDefault="005B6F88" w:rsidP="003E5B22">
      <w:pPr>
        <w:tabs>
          <w:tab w:val="left" w:pos="540"/>
          <w:tab w:val="left" w:pos="569"/>
        </w:tabs>
        <w:jc w:val="both"/>
        <w:rPr>
          <w:b/>
          <w:bCs/>
          <w:sz w:val="22"/>
          <w:szCs w:val="22"/>
          <w:lang w:val="sr-Latn-ME"/>
        </w:rPr>
      </w:pPr>
    </w:p>
    <w:p w14:paraId="3F78A323" w14:textId="77777777" w:rsidR="0072020E" w:rsidRPr="00AB5B90" w:rsidRDefault="0072020E" w:rsidP="003E5B22">
      <w:pPr>
        <w:tabs>
          <w:tab w:val="left" w:pos="540"/>
          <w:tab w:val="left" w:pos="569"/>
        </w:tabs>
        <w:jc w:val="both"/>
        <w:rPr>
          <w:b/>
          <w:bCs/>
          <w:sz w:val="22"/>
          <w:szCs w:val="22"/>
          <w:lang w:val="sr-Latn-ME"/>
        </w:rPr>
      </w:pPr>
      <w:r w:rsidRPr="00AB5B90">
        <w:rPr>
          <w:b/>
          <w:bCs/>
          <w:sz w:val="22"/>
          <w:szCs w:val="22"/>
          <w:lang w:val="sr-Latn-ME"/>
        </w:rPr>
        <w:t xml:space="preserve">5. </w:t>
      </w:r>
      <w:r w:rsidR="00480FB1" w:rsidRPr="00AB5B90">
        <w:rPr>
          <w:b/>
          <w:bCs/>
          <w:sz w:val="22"/>
          <w:szCs w:val="22"/>
          <w:lang w:val="sr-Latn-ME"/>
        </w:rPr>
        <w:tab/>
      </w:r>
      <w:r w:rsidRPr="00AB5B90">
        <w:rPr>
          <w:b/>
          <w:bCs/>
          <w:sz w:val="22"/>
          <w:szCs w:val="22"/>
          <w:lang w:val="sr-Latn-ME"/>
        </w:rPr>
        <w:t>FARMAKOLOŠK</w:t>
      </w:r>
      <w:r w:rsidR="000D425A" w:rsidRPr="00AB5B90">
        <w:rPr>
          <w:b/>
          <w:bCs/>
          <w:sz w:val="22"/>
          <w:szCs w:val="22"/>
          <w:lang w:val="sr-Latn-ME"/>
        </w:rPr>
        <w:t>I</w:t>
      </w:r>
      <w:r w:rsidRPr="00AB5B90">
        <w:rPr>
          <w:b/>
          <w:bCs/>
          <w:sz w:val="22"/>
          <w:szCs w:val="22"/>
          <w:lang w:val="sr-Latn-ME"/>
        </w:rPr>
        <w:t xml:space="preserve"> PODACI</w:t>
      </w:r>
    </w:p>
    <w:p w14:paraId="12174DD5" w14:textId="77777777" w:rsidR="0072020E" w:rsidRPr="00AB5B90" w:rsidRDefault="0072020E" w:rsidP="003E5B22">
      <w:pPr>
        <w:tabs>
          <w:tab w:val="left" w:pos="540"/>
          <w:tab w:val="left" w:pos="569"/>
        </w:tabs>
        <w:jc w:val="both"/>
        <w:rPr>
          <w:b/>
          <w:bCs/>
          <w:sz w:val="22"/>
          <w:szCs w:val="22"/>
          <w:lang w:val="sr-Latn-ME"/>
        </w:rPr>
      </w:pPr>
    </w:p>
    <w:p w14:paraId="2311AF3C" w14:textId="77777777" w:rsidR="0072020E" w:rsidRPr="00AB5B90" w:rsidRDefault="0072020E" w:rsidP="003E5B22">
      <w:pPr>
        <w:tabs>
          <w:tab w:val="left" w:pos="540"/>
          <w:tab w:val="left" w:pos="569"/>
        </w:tabs>
        <w:jc w:val="both"/>
        <w:rPr>
          <w:b/>
          <w:bCs/>
          <w:sz w:val="22"/>
          <w:szCs w:val="22"/>
          <w:lang w:val="sr-Latn-ME"/>
        </w:rPr>
      </w:pPr>
      <w:r w:rsidRPr="00AB5B90">
        <w:rPr>
          <w:b/>
          <w:bCs/>
          <w:sz w:val="22"/>
          <w:szCs w:val="22"/>
          <w:lang w:val="sr-Latn-ME"/>
        </w:rPr>
        <w:t xml:space="preserve">5.1. </w:t>
      </w:r>
      <w:r w:rsidR="00480FB1" w:rsidRPr="00AB5B90">
        <w:rPr>
          <w:b/>
          <w:bCs/>
          <w:sz w:val="22"/>
          <w:szCs w:val="22"/>
          <w:lang w:val="sr-Latn-ME"/>
        </w:rPr>
        <w:tab/>
      </w:r>
      <w:proofErr w:type="spellStart"/>
      <w:r w:rsidRPr="00AB5B90">
        <w:rPr>
          <w:b/>
          <w:bCs/>
          <w:sz w:val="22"/>
          <w:szCs w:val="22"/>
          <w:lang w:val="sr-Latn-ME"/>
        </w:rPr>
        <w:t>Farmakodinamski</w:t>
      </w:r>
      <w:proofErr w:type="spellEnd"/>
      <w:r w:rsidRPr="00AB5B90">
        <w:rPr>
          <w:b/>
          <w:bCs/>
          <w:sz w:val="22"/>
          <w:szCs w:val="22"/>
          <w:lang w:val="sr-Latn-ME"/>
        </w:rPr>
        <w:t xml:space="preserve"> podaci</w:t>
      </w:r>
      <w:r w:rsidR="003A7059" w:rsidRPr="00AB5B90">
        <w:rPr>
          <w:b/>
          <w:bCs/>
          <w:sz w:val="22"/>
          <w:szCs w:val="22"/>
          <w:lang w:val="sr-Latn-ME"/>
        </w:rPr>
        <w:t xml:space="preserve"> </w:t>
      </w:r>
    </w:p>
    <w:p w14:paraId="787C55E1" w14:textId="77777777" w:rsidR="00F45F77" w:rsidRPr="00AB5B90" w:rsidRDefault="00F45F77" w:rsidP="003E5B22">
      <w:pPr>
        <w:tabs>
          <w:tab w:val="left" w:pos="540"/>
          <w:tab w:val="left" w:pos="569"/>
        </w:tabs>
        <w:jc w:val="both"/>
        <w:rPr>
          <w:b/>
          <w:bCs/>
          <w:sz w:val="22"/>
          <w:szCs w:val="22"/>
          <w:lang w:val="sr-Latn-ME"/>
        </w:rPr>
      </w:pPr>
    </w:p>
    <w:p w14:paraId="54F784B6" w14:textId="54DC2D34" w:rsidR="0072020E" w:rsidRPr="00AB5B90" w:rsidRDefault="0072020E" w:rsidP="003E5B22">
      <w:pPr>
        <w:tabs>
          <w:tab w:val="left" w:pos="540"/>
          <w:tab w:val="left" w:pos="569"/>
        </w:tabs>
        <w:jc w:val="both"/>
        <w:rPr>
          <w:bCs/>
          <w:sz w:val="22"/>
          <w:szCs w:val="22"/>
          <w:lang w:val="sr-Latn-ME"/>
        </w:rPr>
      </w:pPr>
      <w:proofErr w:type="spellStart"/>
      <w:r w:rsidRPr="00AB5B90">
        <w:rPr>
          <w:bCs/>
          <w:sz w:val="22"/>
          <w:szCs w:val="22"/>
          <w:lang w:val="sr-Latn-ME"/>
        </w:rPr>
        <w:t>Farmakoterapijska</w:t>
      </w:r>
      <w:proofErr w:type="spellEnd"/>
      <w:r w:rsidRPr="00AB5B90">
        <w:rPr>
          <w:bCs/>
          <w:sz w:val="22"/>
          <w:szCs w:val="22"/>
          <w:lang w:val="sr-Latn-ME"/>
        </w:rPr>
        <w:t xml:space="preserve"> grupa:</w:t>
      </w:r>
      <w:r w:rsidR="00FA5906" w:rsidRPr="00AB5B90">
        <w:rPr>
          <w:bCs/>
          <w:sz w:val="22"/>
          <w:szCs w:val="22"/>
          <w:lang w:val="sr-Latn-ME"/>
        </w:rPr>
        <w:t xml:space="preserve"> </w:t>
      </w:r>
      <w:proofErr w:type="spellStart"/>
      <w:r w:rsidR="00CE0662" w:rsidRPr="00AB5B90">
        <w:rPr>
          <w:sz w:val="22"/>
          <w:szCs w:val="22"/>
          <w:lang w:val="sr-Latn-ME"/>
        </w:rPr>
        <w:t>Antianemika</w:t>
      </w:r>
      <w:proofErr w:type="spellEnd"/>
      <w:r w:rsidR="00FA5906" w:rsidRPr="00AB5B90">
        <w:rPr>
          <w:sz w:val="22"/>
          <w:szCs w:val="22"/>
          <w:lang w:val="sr-Latn-ME"/>
        </w:rPr>
        <w:t>, gvožđe u drugim kombinacijama</w:t>
      </w:r>
    </w:p>
    <w:p w14:paraId="36AB0A37" w14:textId="77777777" w:rsidR="0072020E" w:rsidRPr="00AB5B90" w:rsidRDefault="0072020E" w:rsidP="003E5B22">
      <w:pPr>
        <w:tabs>
          <w:tab w:val="left" w:pos="540"/>
          <w:tab w:val="left" w:pos="569"/>
        </w:tabs>
        <w:jc w:val="both"/>
        <w:rPr>
          <w:bCs/>
          <w:sz w:val="22"/>
          <w:szCs w:val="22"/>
          <w:lang w:val="sr-Latn-ME"/>
        </w:rPr>
      </w:pPr>
    </w:p>
    <w:p w14:paraId="7C730F99" w14:textId="242663E9" w:rsidR="00FA5906" w:rsidRPr="00AB5B90" w:rsidRDefault="0072020E" w:rsidP="003E5B22">
      <w:pPr>
        <w:tabs>
          <w:tab w:val="left" w:pos="540"/>
          <w:tab w:val="left" w:pos="569"/>
        </w:tabs>
        <w:jc w:val="both"/>
        <w:rPr>
          <w:sz w:val="22"/>
          <w:szCs w:val="22"/>
          <w:lang w:val="sr-Latn-ME"/>
        </w:rPr>
      </w:pPr>
      <w:r w:rsidRPr="00AB5B90">
        <w:rPr>
          <w:bCs/>
          <w:sz w:val="22"/>
          <w:szCs w:val="22"/>
          <w:lang w:val="sr-Latn-ME"/>
        </w:rPr>
        <w:t>ATC kod:</w:t>
      </w:r>
      <w:r w:rsidR="00FA5906" w:rsidRPr="00AB5B90">
        <w:rPr>
          <w:sz w:val="22"/>
          <w:szCs w:val="22"/>
          <w:lang w:val="sr-Latn-ME"/>
        </w:rPr>
        <w:t xml:space="preserve"> </w:t>
      </w:r>
      <w:proofErr w:type="spellStart"/>
      <w:r w:rsidR="00FA5906" w:rsidRPr="00AB5B90">
        <w:rPr>
          <w:sz w:val="22"/>
          <w:szCs w:val="22"/>
          <w:lang w:val="sr-Latn-ME"/>
        </w:rPr>
        <w:t>B03AE10</w:t>
      </w:r>
      <w:proofErr w:type="spellEnd"/>
    </w:p>
    <w:p w14:paraId="627B2C53" w14:textId="77777777" w:rsidR="00FA5906" w:rsidRPr="00AB5B90" w:rsidRDefault="00FA5906" w:rsidP="003E5B22">
      <w:pPr>
        <w:tabs>
          <w:tab w:val="left" w:pos="540"/>
          <w:tab w:val="left" w:pos="569"/>
        </w:tabs>
        <w:jc w:val="both"/>
        <w:rPr>
          <w:bCs/>
          <w:sz w:val="22"/>
          <w:szCs w:val="22"/>
          <w:lang w:val="sr-Latn-ME"/>
        </w:rPr>
      </w:pPr>
    </w:p>
    <w:p w14:paraId="13B53C2E" w14:textId="77777777" w:rsidR="008E5454" w:rsidRPr="00AB5B90" w:rsidRDefault="008E5454" w:rsidP="003E5B22">
      <w:pPr>
        <w:spacing w:line="259" w:lineRule="auto"/>
        <w:jc w:val="both"/>
        <w:rPr>
          <w:rFonts w:eastAsia="Calibri"/>
          <w:b/>
          <w:bCs/>
          <w:sz w:val="22"/>
          <w:szCs w:val="22"/>
          <w:lang w:val="sr-Latn-ME"/>
        </w:rPr>
      </w:pPr>
      <w:r w:rsidRPr="00AB5B90">
        <w:rPr>
          <w:rFonts w:eastAsia="Calibri"/>
          <w:b/>
          <w:bCs/>
          <w:sz w:val="22"/>
          <w:szCs w:val="22"/>
          <w:lang w:val="sr-Latn-ME"/>
        </w:rPr>
        <w:t>Mehanizam dejstva</w:t>
      </w:r>
    </w:p>
    <w:p w14:paraId="2AD26B15" w14:textId="77777777" w:rsidR="008E5454" w:rsidRPr="00AB5B90" w:rsidRDefault="008E5454" w:rsidP="003E5B22">
      <w:pPr>
        <w:spacing w:line="259" w:lineRule="auto"/>
        <w:jc w:val="both"/>
        <w:rPr>
          <w:rFonts w:eastAsia="Calibri"/>
          <w:sz w:val="22"/>
          <w:szCs w:val="22"/>
          <w:lang w:val="sr-Latn-ME"/>
        </w:rPr>
      </w:pPr>
      <w:r w:rsidRPr="00AB5B90">
        <w:rPr>
          <w:rFonts w:eastAsia="Calibri"/>
          <w:sz w:val="22"/>
          <w:szCs w:val="22"/>
          <w:lang w:val="sr-Latn-ME"/>
        </w:rPr>
        <w:t xml:space="preserve">Gvožđe je esencijalni mineralni </w:t>
      </w:r>
      <w:proofErr w:type="spellStart"/>
      <w:r w:rsidRPr="00AB5B90">
        <w:rPr>
          <w:rFonts w:eastAsia="Calibri"/>
          <w:sz w:val="22"/>
          <w:szCs w:val="22"/>
          <w:lang w:val="sr-Latn-ME"/>
        </w:rPr>
        <w:t>nutrijent</w:t>
      </w:r>
      <w:proofErr w:type="spellEnd"/>
      <w:r w:rsidRPr="00AB5B90">
        <w:rPr>
          <w:rFonts w:eastAsia="Calibri"/>
          <w:sz w:val="22"/>
          <w:szCs w:val="22"/>
          <w:lang w:val="sr-Latn-ME"/>
        </w:rPr>
        <w:t xml:space="preserve"> koji igra ključnu ulogu u mnogim fiziološkim funkcijama kao što su transport kiseonika, proizvodnja </w:t>
      </w:r>
      <w:proofErr w:type="spellStart"/>
      <w:r w:rsidRPr="00AB5B90">
        <w:rPr>
          <w:rFonts w:eastAsia="Calibri"/>
          <w:sz w:val="22"/>
          <w:szCs w:val="22"/>
          <w:lang w:val="sr-Latn-ME"/>
        </w:rPr>
        <w:t>ATP</w:t>
      </w:r>
      <w:proofErr w:type="spellEnd"/>
      <w:r w:rsidRPr="00AB5B90">
        <w:rPr>
          <w:rFonts w:eastAsia="Calibri"/>
          <w:sz w:val="22"/>
          <w:szCs w:val="22"/>
          <w:lang w:val="sr-Latn-ME"/>
        </w:rPr>
        <w:t xml:space="preserve">-a, sinteza </w:t>
      </w:r>
      <w:proofErr w:type="spellStart"/>
      <w:r w:rsidRPr="00AB5B90">
        <w:rPr>
          <w:rFonts w:eastAsia="Calibri"/>
          <w:sz w:val="22"/>
          <w:szCs w:val="22"/>
          <w:lang w:val="sr-Latn-ME"/>
        </w:rPr>
        <w:t>DNK</w:t>
      </w:r>
      <w:proofErr w:type="spellEnd"/>
      <w:r w:rsidRPr="00AB5B90">
        <w:rPr>
          <w:rFonts w:eastAsia="Calibri"/>
          <w:sz w:val="22"/>
          <w:szCs w:val="22"/>
          <w:lang w:val="sr-Latn-ME"/>
        </w:rPr>
        <w:t xml:space="preserve"> i transport elektrona.</w:t>
      </w:r>
    </w:p>
    <w:p w14:paraId="6562CB36" w14:textId="77777777" w:rsidR="008E5454" w:rsidRPr="00AB5B90" w:rsidRDefault="008E5454" w:rsidP="003E5B22">
      <w:pPr>
        <w:spacing w:line="259" w:lineRule="auto"/>
        <w:jc w:val="both"/>
        <w:rPr>
          <w:rFonts w:eastAsia="Calibri"/>
          <w:sz w:val="22"/>
          <w:szCs w:val="22"/>
          <w:lang w:val="sr-Latn-ME"/>
        </w:rPr>
      </w:pPr>
      <w:r w:rsidRPr="00AB5B90">
        <w:rPr>
          <w:rFonts w:eastAsia="Calibri"/>
          <w:sz w:val="22"/>
          <w:szCs w:val="22"/>
          <w:lang w:val="sr-Latn-ME"/>
        </w:rPr>
        <w:t xml:space="preserve">Gvožđe je centralni atom </w:t>
      </w:r>
      <w:proofErr w:type="spellStart"/>
      <w:r w:rsidRPr="00AB5B90">
        <w:rPr>
          <w:rFonts w:eastAsia="Calibri"/>
          <w:sz w:val="22"/>
          <w:szCs w:val="22"/>
          <w:lang w:val="sr-Latn-ME"/>
        </w:rPr>
        <w:t>hem</w:t>
      </w:r>
      <w:proofErr w:type="spellEnd"/>
      <w:r w:rsidRPr="00AB5B90">
        <w:rPr>
          <w:rFonts w:eastAsia="Calibri"/>
          <w:sz w:val="22"/>
          <w:szCs w:val="22"/>
          <w:lang w:val="sr-Latn-ME"/>
        </w:rPr>
        <w:t xml:space="preserve"> grupa ugrađenih u hemoglobin i stoga je neophodno za </w:t>
      </w:r>
      <w:proofErr w:type="spellStart"/>
      <w:r w:rsidRPr="00AB5B90">
        <w:rPr>
          <w:rFonts w:eastAsia="Calibri"/>
          <w:sz w:val="22"/>
          <w:szCs w:val="22"/>
          <w:lang w:val="sr-Latn-ME"/>
        </w:rPr>
        <w:t>eritropoezu</w:t>
      </w:r>
      <w:proofErr w:type="spellEnd"/>
      <w:r w:rsidRPr="00AB5B90">
        <w:rPr>
          <w:rFonts w:eastAsia="Calibri"/>
          <w:sz w:val="22"/>
          <w:szCs w:val="22"/>
          <w:lang w:val="sr-Latn-ME"/>
        </w:rPr>
        <w:t>.</w:t>
      </w:r>
    </w:p>
    <w:p w14:paraId="1A1AB481" w14:textId="1DBF1542" w:rsidR="008E5454" w:rsidRPr="00AB5B90" w:rsidRDefault="008E5454" w:rsidP="003E5B22">
      <w:pPr>
        <w:spacing w:line="259" w:lineRule="auto"/>
        <w:jc w:val="both"/>
        <w:rPr>
          <w:rFonts w:eastAsia="Calibri"/>
          <w:sz w:val="22"/>
          <w:szCs w:val="22"/>
          <w:lang w:val="sr-Latn-ME"/>
        </w:rPr>
      </w:pPr>
      <w:r w:rsidRPr="00AB5B90">
        <w:rPr>
          <w:rFonts w:eastAsia="Calibri"/>
          <w:sz w:val="22"/>
          <w:szCs w:val="22"/>
          <w:lang w:val="sr-Latn-ME"/>
        </w:rPr>
        <w:t xml:space="preserve">Preparati gvožđa </w:t>
      </w:r>
      <w:proofErr w:type="spellStart"/>
      <w:r w:rsidRPr="00AB5B90">
        <w:rPr>
          <w:rFonts w:eastAsia="Calibri"/>
          <w:sz w:val="22"/>
          <w:szCs w:val="22"/>
          <w:lang w:val="sr-Latn-ME"/>
        </w:rPr>
        <w:t>omogućavaju</w:t>
      </w:r>
      <w:proofErr w:type="spellEnd"/>
      <w:r w:rsidRPr="00AB5B90">
        <w:rPr>
          <w:rFonts w:eastAsia="Calibri"/>
          <w:sz w:val="22"/>
          <w:szCs w:val="22"/>
          <w:lang w:val="sr-Latn-ME"/>
        </w:rPr>
        <w:t xml:space="preserve"> da se eliminiše nedostatak gvožđa u organizmu i spriječi njegovo pojavljivanje ukoliko postoji </w:t>
      </w:r>
      <w:proofErr w:type="spellStart"/>
      <w:r w:rsidRPr="00AB5B90">
        <w:rPr>
          <w:rFonts w:eastAsia="Calibri"/>
          <w:sz w:val="22"/>
          <w:szCs w:val="22"/>
          <w:lang w:val="sr-Latn-ME"/>
        </w:rPr>
        <w:t>povećana</w:t>
      </w:r>
      <w:proofErr w:type="spellEnd"/>
      <w:r w:rsidRPr="00AB5B90">
        <w:rPr>
          <w:rFonts w:eastAsia="Calibri"/>
          <w:sz w:val="22"/>
          <w:szCs w:val="22"/>
          <w:lang w:val="sr-Latn-ME"/>
        </w:rPr>
        <w:t xml:space="preserve"> potreba za gvožđem ili nedovoljne zalihe gvožđa.</w:t>
      </w:r>
    </w:p>
    <w:p w14:paraId="3CEC5374" w14:textId="77777777" w:rsidR="002E37A5" w:rsidRPr="00AB5B90" w:rsidRDefault="002E37A5" w:rsidP="003E5B22">
      <w:pPr>
        <w:tabs>
          <w:tab w:val="left" w:pos="540"/>
          <w:tab w:val="left" w:pos="569"/>
        </w:tabs>
        <w:jc w:val="both"/>
        <w:rPr>
          <w:b/>
          <w:bCs/>
          <w:sz w:val="22"/>
          <w:szCs w:val="22"/>
          <w:lang w:val="sr-Latn-ME"/>
        </w:rPr>
      </w:pPr>
    </w:p>
    <w:p w14:paraId="514A4D06" w14:textId="19945155" w:rsidR="0072020E" w:rsidRPr="00AB5B90" w:rsidRDefault="0072020E" w:rsidP="003E5B22">
      <w:pPr>
        <w:tabs>
          <w:tab w:val="left" w:pos="540"/>
          <w:tab w:val="left" w:pos="569"/>
        </w:tabs>
        <w:jc w:val="both"/>
        <w:rPr>
          <w:b/>
          <w:bCs/>
          <w:sz w:val="22"/>
          <w:szCs w:val="22"/>
          <w:lang w:val="sr-Latn-ME"/>
        </w:rPr>
      </w:pPr>
      <w:r w:rsidRPr="00AB5B90">
        <w:rPr>
          <w:b/>
          <w:bCs/>
          <w:sz w:val="22"/>
          <w:szCs w:val="22"/>
          <w:lang w:val="sr-Latn-ME"/>
        </w:rPr>
        <w:t xml:space="preserve">5.2. </w:t>
      </w:r>
      <w:r w:rsidR="00480FB1" w:rsidRPr="00AB5B90">
        <w:rPr>
          <w:b/>
          <w:bCs/>
          <w:sz w:val="22"/>
          <w:szCs w:val="22"/>
          <w:lang w:val="sr-Latn-ME"/>
        </w:rPr>
        <w:tab/>
      </w:r>
      <w:proofErr w:type="spellStart"/>
      <w:r w:rsidRPr="00AB5B90">
        <w:rPr>
          <w:b/>
          <w:bCs/>
          <w:sz w:val="22"/>
          <w:szCs w:val="22"/>
          <w:lang w:val="sr-Latn-ME"/>
        </w:rPr>
        <w:t>Farmakokinetički</w:t>
      </w:r>
      <w:proofErr w:type="spellEnd"/>
      <w:r w:rsidRPr="00AB5B90">
        <w:rPr>
          <w:b/>
          <w:bCs/>
          <w:sz w:val="22"/>
          <w:szCs w:val="22"/>
          <w:lang w:val="sr-Latn-ME"/>
        </w:rPr>
        <w:t xml:space="preserve"> podaci</w:t>
      </w:r>
      <w:r w:rsidR="003A7059" w:rsidRPr="00AB5B90">
        <w:rPr>
          <w:b/>
          <w:bCs/>
          <w:sz w:val="22"/>
          <w:szCs w:val="22"/>
          <w:lang w:val="sr-Latn-ME"/>
        </w:rPr>
        <w:t xml:space="preserve"> </w:t>
      </w:r>
    </w:p>
    <w:p w14:paraId="6A00E359" w14:textId="77777777" w:rsidR="00F1199E" w:rsidRPr="00AB5B90" w:rsidRDefault="00F1199E" w:rsidP="003E5B22">
      <w:pPr>
        <w:tabs>
          <w:tab w:val="left" w:pos="540"/>
          <w:tab w:val="left" w:pos="569"/>
        </w:tabs>
        <w:jc w:val="both"/>
        <w:rPr>
          <w:b/>
          <w:bCs/>
          <w:sz w:val="22"/>
          <w:szCs w:val="22"/>
          <w:lang w:val="sr-Latn-ME"/>
        </w:rPr>
      </w:pPr>
    </w:p>
    <w:p w14:paraId="61881258" w14:textId="77777777" w:rsidR="00FC4F3D" w:rsidRPr="00AB5B90" w:rsidRDefault="00FC4F3D" w:rsidP="004304C2">
      <w:pPr>
        <w:tabs>
          <w:tab w:val="left" w:pos="284"/>
        </w:tabs>
        <w:jc w:val="both"/>
        <w:rPr>
          <w:sz w:val="22"/>
          <w:szCs w:val="22"/>
          <w:u w:val="single"/>
          <w:lang w:val="sr-Latn-ME"/>
        </w:rPr>
      </w:pPr>
      <w:r w:rsidRPr="00AB5B90">
        <w:rPr>
          <w:sz w:val="22"/>
          <w:szCs w:val="22"/>
          <w:u w:val="single"/>
          <w:lang w:val="sr-Latn-ME"/>
        </w:rPr>
        <w:t>Resorpcija</w:t>
      </w:r>
    </w:p>
    <w:p w14:paraId="3C34A7F7" w14:textId="2990E8E3" w:rsidR="00FC4F3D" w:rsidRPr="00AB5B90" w:rsidRDefault="00FC4F3D" w:rsidP="003E5B22">
      <w:pPr>
        <w:tabs>
          <w:tab w:val="left" w:pos="284"/>
        </w:tabs>
        <w:jc w:val="both"/>
        <w:rPr>
          <w:sz w:val="22"/>
          <w:szCs w:val="22"/>
          <w:lang w:val="sr-Latn-ME"/>
        </w:rPr>
      </w:pPr>
      <w:r w:rsidRPr="00AB5B90">
        <w:rPr>
          <w:sz w:val="22"/>
          <w:szCs w:val="22"/>
          <w:lang w:val="sr-Latn-ME"/>
        </w:rPr>
        <w:t xml:space="preserve">Resorpcija gvožđa je aktivan proces koji se uglavnom odvija u </w:t>
      </w:r>
      <w:proofErr w:type="spellStart"/>
      <w:r w:rsidRPr="00AB5B90">
        <w:rPr>
          <w:sz w:val="22"/>
          <w:szCs w:val="22"/>
          <w:lang w:val="sr-Latn-ME"/>
        </w:rPr>
        <w:t>duodenumu</w:t>
      </w:r>
      <w:proofErr w:type="spellEnd"/>
      <w:r w:rsidRPr="00AB5B90">
        <w:rPr>
          <w:sz w:val="22"/>
          <w:szCs w:val="22"/>
          <w:lang w:val="sr-Latn-ME"/>
        </w:rPr>
        <w:t xml:space="preserve"> i </w:t>
      </w:r>
      <w:proofErr w:type="spellStart"/>
      <w:r w:rsidRPr="00AB5B90">
        <w:rPr>
          <w:sz w:val="22"/>
          <w:szCs w:val="22"/>
          <w:lang w:val="sr-Latn-ME"/>
        </w:rPr>
        <w:t>proksimalnom</w:t>
      </w:r>
      <w:proofErr w:type="spellEnd"/>
      <w:r w:rsidRPr="00AB5B90">
        <w:rPr>
          <w:sz w:val="22"/>
          <w:szCs w:val="22"/>
          <w:lang w:val="sr-Latn-ME"/>
        </w:rPr>
        <w:t xml:space="preserve"> d</w:t>
      </w:r>
      <w:r w:rsidR="006340CD" w:rsidRPr="00AB5B90">
        <w:rPr>
          <w:sz w:val="22"/>
          <w:szCs w:val="22"/>
          <w:lang w:val="sr-Latn-ME"/>
        </w:rPr>
        <w:t>ij</w:t>
      </w:r>
      <w:r w:rsidRPr="00AB5B90">
        <w:rPr>
          <w:sz w:val="22"/>
          <w:szCs w:val="22"/>
          <w:lang w:val="sr-Latn-ME"/>
        </w:rPr>
        <w:t xml:space="preserve">elu </w:t>
      </w:r>
      <w:proofErr w:type="spellStart"/>
      <w:r w:rsidRPr="00AB5B90">
        <w:rPr>
          <w:sz w:val="22"/>
          <w:szCs w:val="22"/>
          <w:lang w:val="sr-Latn-ME"/>
        </w:rPr>
        <w:t>jejunuma</w:t>
      </w:r>
      <w:proofErr w:type="spellEnd"/>
      <w:r w:rsidRPr="00AB5B90">
        <w:rPr>
          <w:sz w:val="22"/>
          <w:szCs w:val="22"/>
          <w:lang w:val="sr-Latn-ME"/>
        </w:rPr>
        <w:t>. Resorpcija se povećava kada se smanje zalihe gvožđa.</w:t>
      </w:r>
    </w:p>
    <w:p w14:paraId="37431F43" w14:textId="7E4AADB4" w:rsidR="009572AE" w:rsidRPr="00AB5B90" w:rsidRDefault="009572AE" w:rsidP="003E5B22">
      <w:pPr>
        <w:tabs>
          <w:tab w:val="left" w:pos="284"/>
        </w:tabs>
        <w:jc w:val="both"/>
        <w:rPr>
          <w:sz w:val="22"/>
          <w:szCs w:val="22"/>
          <w:lang w:val="sr-Latn-ME"/>
        </w:rPr>
      </w:pPr>
      <w:r w:rsidRPr="00AB5B90">
        <w:rPr>
          <w:sz w:val="22"/>
          <w:szCs w:val="22"/>
          <w:lang w:val="sr-Latn-ME"/>
        </w:rPr>
        <w:t xml:space="preserve">Bakar može pozitivno uticati na transport gvožđa u </w:t>
      </w:r>
      <w:proofErr w:type="spellStart"/>
      <w:r w:rsidRPr="00AB5B90">
        <w:rPr>
          <w:sz w:val="22"/>
          <w:szCs w:val="22"/>
          <w:lang w:val="sr-Latn-ME"/>
        </w:rPr>
        <w:t>enterocitima</w:t>
      </w:r>
      <w:proofErr w:type="spellEnd"/>
      <w:r w:rsidRPr="00AB5B90">
        <w:rPr>
          <w:sz w:val="22"/>
          <w:szCs w:val="22"/>
          <w:lang w:val="sr-Latn-ME"/>
        </w:rPr>
        <w:t>.</w:t>
      </w:r>
    </w:p>
    <w:p w14:paraId="569DF4F2" w14:textId="6BB55516" w:rsidR="009572AE" w:rsidRPr="00AB5B90" w:rsidRDefault="009572AE" w:rsidP="009572AE">
      <w:pPr>
        <w:rPr>
          <w:sz w:val="22"/>
          <w:szCs w:val="22"/>
          <w:lang w:val="sr-Latn-ME"/>
        </w:rPr>
      </w:pPr>
      <w:r w:rsidRPr="00AB5B90">
        <w:rPr>
          <w:sz w:val="22"/>
          <w:szCs w:val="22"/>
          <w:lang w:val="sr-Latn-ME"/>
        </w:rPr>
        <w:t>Na resorpciju gvožđa može uticati istovremena upotreba određene hrane, pića ili istovremena primjena određenih ljekova (vidjeti djelove 4.4 i 4.5).</w:t>
      </w:r>
    </w:p>
    <w:p w14:paraId="4B1C7B15" w14:textId="77777777" w:rsidR="00FC4F3D" w:rsidRPr="00AB5B90" w:rsidRDefault="00FC4F3D" w:rsidP="003E5B22">
      <w:pPr>
        <w:tabs>
          <w:tab w:val="left" w:pos="284"/>
        </w:tabs>
        <w:jc w:val="both"/>
        <w:rPr>
          <w:b/>
          <w:bCs/>
          <w:sz w:val="22"/>
          <w:szCs w:val="22"/>
          <w:u w:val="single"/>
          <w:lang w:val="sr-Latn-ME"/>
        </w:rPr>
      </w:pPr>
    </w:p>
    <w:p w14:paraId="1EAAB1FE" w14:textId="77777777" w:rsidR="00FC4F3D" w:rsidRPr="00AB5B90" w:rsidRDefault="00FC4F3D" w:rsidP="003E5B22">
      <w:pPr>
        <w:tabs>
          <w:tab w:val="left" w:pos="284"/>
        </w:tabs>
        <w:spacing w:before="80"/>
        <w:jc w:val="both"/>
        <w:rPr>
          <w:sz w:val="22"/>
          <w:szCs w:val="22"/>
          <w:u w:val="single"/>
          <w:lang w:val="sr-Latn-ME"/>
        </w:rPr>
      </w:pPr>
      <w:r w:rsidRPr="00AB5B90">
        <w:rPr>
          <w:sz w:val="22"/>
          <w:szCs w:val="22"/>
          <w:u w:val="single"/>
          <w:lang w:val="sr-Latn-ME"/>
        </w:rPr>
        <w:t>Distribucija</w:t>
      </w:r>
    </w:p>
    <w:p w14:paraId="157B1D31" w14:textId="227D50E3" w:rsidR="00FC4F3D" w:rsidRPr="00AB5B90" w:rsidRDefault="00FC4F3D" w:rsidP="003E5B22">
      <w:pPr>
        <w:spacing w:line="259" w:lineRule="auto"/>
        <w:jc w:val="both"/>
        <w:rPr>
          <w:rFonts w:eastAsia="Calibri"/>
          <w:sz w:val="22"/>
          <w:szCs w:val="22"/>
          <w:lang w:val="sr-Latn-ME"/>
        </w:rPr>
      </w:pPr>
      <w:r w:rsidRPr="00AB5B90">
        <w:rPr>
          <w:rFonts w:eastAsia="Calibri"/>
          <w:sz w:val="22"/>
          <w:szCs w:val="22"/>
          <w:lang w:val="sr-Latn-ME"/>
        </w:rPr>
        <w:t xml:space="preserve">U tijelu, gvožđe se uglavnom </w:t>
      </w:r>
      <w:proofErr w:type="spellStart"/>
      <w:r w:rsidRPr="00AB5B90">
        <w:rPr>
          <w:rFonts w:eastAsia="Calibri"/>
          <w:sz w:val="22"/>
          <w:szCs w:val="22"/>
          <w:lang w:val="sr-Latn-ME"/>
        </w:rPr>
        <w:t>skladišti</w:t>
      </w:r>
      <w:proofErr w:type="spellEnd"/>
      <w:r w:rsidRPr="00AB5B90">
        <w:rPr>
          <w:rFonts w:eastAsia="Calibri"/>
          <w:sz w:val="22"/>
          <w:szCs w:val="22"/>
          <w:lang w:val="sr-Latn-ME"/>
        </w:rPr>
        <w:t xml:space="preserve"> u koštanoj srži (</w:t>
      </w:r>
      <w:proofErr w:type="spellStart"/>
      <w:r w:rsidRPr="00AB5B90">
        <w:rPr>
          <w:rFonts w:eastAsia="Calibri"/>
          <w:sz w:val="22"/>
          <w:szCs w:val="22"/>
          <w:lang w:val="sr-Latn-ME"/>
        </w:rPr>
        <w:t>eritroblasti</w:t>
      </w:r>
      <w:proofErr w:type="spellEnd"/>
      <w:r w:rsidRPr="00AB5B90">
        <w:rPr>
          <w:rFonts w:eastAsia="Calibri"/>
          <w:sz w:val="22"/>
          <w:szCs w:val="22"/>
          <w:lang w:val="sr-Latn-ME"/>
        </w:rPr>
        <w:t xml:space="preserve">) i </w:t>
      </w:r>
      <w:proofErr w:type="spellStart"/>
      <w:r w:rsidRPr="00AB5B90">
        <w:rPr>
          <w:rFonts w:eastAsia="Calibri"/>
          <w:sz w:val="22"/>
          <w:szCs w:val="22"/>
          <w:lang w:val="sr-Latn-ME"/>
        </w:rPr>
        <w:t>eritrocitima</w:t>
      </w:r>
      <w:proofErr w:type="spellEnd"/>
      <w:r w:rsidRPr="00AB5B90">
        <w:rPr>
          <w:rFonts w:eastAsia="Calibri"/>
          <w:sz w:val="22"/>
          <w:szCs w:val="22"/>
          <w:lang w:val="sr-Latn-ME"/>
        </w:rPr>
        <w:t xml:space="preserve">. Gvožđe se </w:t>
      </w:r>
      <w:proofErr w:type="spellStart"/>
      <w:r w:rsidRPr="00AB5B90">
        <w:rPr>
          <w:rFonts w:eastAsia="Calibri"/>
          <w:sz w:val="22"/>
          <w:szCs w:val="22"/>
          <w:lang w:val="sr-Latn-ME"/>
        </w:rPr>
        <w:t>skladišti</w:t>
      </w:r>
      <w:proofErr w:type="spellEnd"/>
      <w:r w:rsidRPr="00AB5B90">
        <w:rPr>
          <w:rFonts w:eastAsia="Calibri"/>
          <w:sz w:val="22"/>
          <w:szCs w:val="22"/>
          <w:lang w:val="sr-Latn-ME"/>
        </w:rPr>
        <w:t xml:space="preserve"> u kompleksu kao </w:t>
      </w:r>
      <w:proofErr w:type="spellStart"/>
      <w:r w:rsidRPr="00AB5B90">
        <w:rPr>
          <w:rFonts w:eastAsia="Calibri"/>
          <w:sz w:val="22"/>
          <w:szCs w:val="22"/>
          <w:lang w:val="sr-Latn-ME"/>
        </w:rPr>
        <w:t>feritin</w:t>
      </w:r>
      <w:proofErr w:type="spellEnd"/>
      <w:r w:rsidRPr="00AB5B90">
        <w:rPr>
          <w:rFonts w:eastAsia="Calibri"/>
          <w:sz w:val="22"/>
          <w:szCs w:val="22"/>
          <w:lang w:val="sr-Latn-ME"/>
        </w:rPr>
        <w:t xml:space="preserve"> u jetri, slezini i koštanoj srži. U krvotoku, gvožđe se prenosi </w:t>
      </w:r>
      <w:proofErr w:type="spellStart"/>
      <w:r w:rsidRPr="00AB5B90">
        <w:rPr>
          <w:rFonts w:eastAsia="Calibri"/>
          <w:sz w:val="22"/>
          <w:szCs w:val="22"/>
          <w:lang w:val="sr-Latn-ME"/>
        </w:rPr>
        <w:t>transferinom</w:t>
      </w:r>
      <w:proofErr w:type="spellEnd"/>
      <w:r w:rsidRPr="00AB5B90">
        <w:rPr>
          <w:rFonts w:eastAsia="Calibri"/>
          <w:sz w:val="22"/>
          <w:szCs w:val="22"/>
          <w:lang w:val="sr-Latn-ME"/>
        </w:rPr>
        <w:t>, uglavnom u koštanu srž gd</w:t>
      </w:r>
      <w:r w:rsidR="006340CD" w:rsidRPr="00AB5B90">
        <w:rPr>
          <w:rFonts w:eastAsia="Calibri"/>
          <w:sz w:val="22"/>
          <w:szCs w:val="22"/>
          <w:lang w:val="sr-Latn-ME"/>
        </w:rPr>
        <w:t>j</w:t>
      </w:r>
      <w:r w:rsidRPr="00AB5B90">
        <w:rPr>
          <w:rFonts w:eastAsia="Calibri"/>
          <w:sz w:val="22"/>
          <w:szCs w:val="22"/>
          <w:lang w:val="sr-Latn-ME"/>
        </w:rPr>
        <w:t>e se ugrađuje u hemoglobin.</w:t>
      </w:r>
    </w:p>
    <w:p w14:paraId="2F1B91F5" w14:textId="77777777" w:rsidR="00FC4F3D" w:rsidRPr="00AB5B90" w:rsidRDefault="00FC4F3D" w:rsidP="003E5B22">
      <w:pPr>
        <w:tabs>
          <w:tab w:val="left" w:pos="284"/>
        </w:tabs>
        <w:spacing w:before="80"/>
        <w:jc w:val="both"/>
        <w:rPr>
          <w:sz w:val="22"/>
          <w:szCs w:val="22"/>
          <w:u w:val="single"/>
          <w:lang w:val="sr-Latn-ME"/>
        </w:rPr>
      </w:pPr>
    </w:p>
    <w:p w14:paraId="4FBB1D79" w14:textId="77777777" w:rsidR="00FC4F3D" w:rsidRPr="00AB5B90" w:rsidRDefault="00FC4F3D" w:rsidP="003E5B22">
      <w:pPr>
        <w:tabs>
          <w:tab w:val="left" w:pos="284"/>
        </w:tabs>
        <w:jc w:val="both"/>
        <w:rPr>
          <w:sz w:val="22"/>
          <w:szCs w:val="22"/>
          <w:u w:val="single"/>
          <w:lang w:val="sr-Latn-ME"/>
        </w:rPr>
      </w:pPr>
      <w:proofErr w:type="spellStart"/>
      <w:r w:rsidRPr="00AB5B90">
        <w:rPr>
          <w:sz w:val="22"/>
          <w:szCs w:val="22"/>
          <w:u w:val="single"/>
          <w:lang w:val="sr-Latn-ME"/>
        </w:rPr>
        <w:t>Biotransformacija</w:t>
      </w:r>
      <w:proofErr w:type="spellEnd"/>
    </w:p>
    <w:p w14:paraId="58669102" w14:textId="77777777" w:rsidR="00FC4F3D" w:rsidRPr="00AB5B90" w:rsidRDefault="00FC4F3D" w:rsidP="003E5B22">
      <w:pPr>
        <w:tabs>
          <w:tab w:val="left" w:pos="284"/>
        </w:tabs>
        <w:jc w:val="both"/>
        <w:rPr>
          <w:sz w:val="22"/>
          <w:szCs w:val="22"/>
          <w:lang w:val="sr-Latn-ME"/>
        </w:rPr>
      </w:pPr>
      <w:r w:rsidRPr="00AB5B90">
        <w:rPr>
          <w:sz w:val="22"/>
          <w:szCs w:val="22"/>
          <w:lang w:val="sr-Latn-ME"/>
        </w:rPr>
        <w:t xml:space="preserve">Gvožđe, bakar i mangan su joni metala, koji se ne </w:t>
      </w:r>
      <w:proofErr w:type="spellStart"/>
      <w:r w:rsidRPr="00AB5B90">
        <w:rPr>
          <w:sz w:val="22"/>
          <w:szCs w:val="22"/>
          <w:lang w:val="sr-Latn-ME"/>
        </w:rPr>
        <w:t>metabolišu</w:t>
      </w:r>
      <w:proofErr w:type="spellEnd"/>
      <w:r w:rsidRPr="00AB5B90">
        <w:rPr>
          <w:sz w:val="22"/>
          <w:szCs w:val="22"/>
          <w:lang w:val="sr-Latn-ME"/>
        </w:rPr>
        <w:t xml:space="preserve"> u jetri.</w:t>
      </w:r>
    </w:p>
    <w:p w14:paraId="71D5E2B3" w14:textId="77777777" w:rsidR="00FC4F3D" w:rsidRPr="00AB5B90" w:rsidRDefault="00FC4F3D" w:rsidP="003E5B22">
      <w:pPr>
        <w:tabs>
          <w:tab w:val="left" w:pos="284"/>
        </w:tabs>
        <w:jc w:val="both"/>
        <w:rPr>
          <w:sz w:val="22"/>
          <w:szCs w:val="22"/>
          <w:u w:val="single"/>
          <w:lang w:val="sr-Latn-ME"/>
        </w:rPr>
      </w:pPr>
    </w:p>
    <w:p w14:paraId="3566D93A" w14:textId="77777777" w:rsidR="00FC4F3D" w:rsidRPr="00AB5B90" w:rsidRDefault="00FC4F3D" w:rsidP="003E5B22">
      <w:pPr>
        <w:tabs>
          <w:tab w:val="left" w:pos="284"/>
        </w:tabs>
        <w:spacing w:before="80"/>
        <w:jc w:val="both"/>
        <w:rPr>
          <w:sz w:val="22"/>
          <w:szCs w:val="22"/>
          <w:u w:val="single"/>
          <w:lang w:val="sr-Latn-ME"/>
        </w:rPr>
      </w:pPr>
      <w:r w:rsidRPr="00AB5B90">
        <w:rPr>
          <w:sz w:val="22"/>
          <w:szCs w:val="22"/>
          <w:u w:val="single"/>
          <w:lang w:val="sr-Latn-ME"/>
        </w:rPr>
        <w:t>Eliminacija</w:t>
      </w:r>
    </w:p>
    <w:p w14:paraId="45A844A3" w14:textId="178B6237" w:rsidR="00FC4F3D" w:rsidRPr="00AB5B90" w:rsidRDefault="00FC4F3D" w:rsidP="003E5B22">
      <w:pPr>
        <w:spacing w:line="259" w:lineRule="auto"/>
        <w:jc w:val="both"/>
        <w:rPr>
          <w:rFonts w:eastAsia="Calibri"/>
          <w:sz w:val="22"/>
          <w:szCs w:val="22"/>
          <w:lang w:val="sr-Latn-ME"/>
        </w:rPr>
      </w:pPr>
      <w:r w:rsidRPr="00AB5B90">
        <w:rPr>
          <w:rFonts w:eastAsia="Calibri"/>
          <w:sz w:val="22"/>
          <w:szCs w:val="22"/>
          <w:lang w:val="sr-Latn-ME"/>
        </w:rPr>
        <w:t>Prosječno izlučivanje gvožđa kod zdravih osoba je procijenjeno na oko 1 mg/dan.</w:t>
      </w:r>
    </w:p>
    <w:p w14:paraId="635DEE64" w14:textId="12E39E5B" w:rsidR="00FC4F3D" w:rsidRPr="00AB5B90" w:rsidRDefault="00FC4F3D" w:rsidP="003E5B22">
      <w:pPr>
        <w:spacing w:line="259" w:lineRule="auto"/>
        <w:jc w:val="both"/>
        <w:rPr>
          <w:rFonts w:eastAsia="Calibri"/>
          <w:sz w:val="22"/>
          <w:szCs w:val="22"/>
          <w:lang w:val="sr-Latn-ME"/>
        </w:rPr>
      </w:pPr>
      <w:r w:rsidRPr="00AB5B90">
        <w:rPr>
          <w:rFonts w:eastAsia="Calibri"/>
          <w:sz w:val="22"/>
          <w:szCs w:val="22"/>
          <w:lang w:val="sr-Latn-ME"/>
        </w:rPr>
        <w:t>Glavni putevi eliminacije su gastrointestinalni trakt (</w:t>
      </w:r>
      <w:proofErr w:type="spellStart"/>
      <w:r w:rsidRPr="00AB5B90">
        <w:rPr>
          <w:rFonts w:eastAsia="Calibri"/>
          <w:sz w:val="22"/>
          <w:szCs w:val="22"/>
          <w:lang w:val="sr-Latn-ME"/>
        </w:rPr>
        <w:t>deskvamacija</w:t>
      </w:r>
      <w:proofErr w:type="spellEnd"/>
      <w:r w:rsidRPr="00AB5B90">
        <w:rPr>
          <w:rFonts w:eastAsia="Calibri"/>
          <w:sz w:val="22"/>
          <w:szCs w:val="22"/>
          <w:lang w:val="sr-Latn-ME"/>
        </w:rPr>
        <w:t xml:space="preserve"> </w:t>
      </w:r>
      <w:proofErr w:type="spellStart"/>
      <w:r w:rsidRPr="00AB5B90">
        <w:rPr>
          <w:rFonts w:eastAsia="Calibri"/>
          <w:sz w:val="22"/>
          <w:szCs w:val="22"/>
          <w:lang w:val="sr-Latn-ME"/>
        </w:rPr>
        <w:t>enterocita</w:t>
      </w:r>
      <w:proofErr w:type="spellEnd"/>
      <w:r w:rsidRPr="00AB5B90">
        <w:rPr>
          <w:rFonts w:eastAsia="Calibri"/>
          <w:sz w:val="22"/>
          <w:szCs w:val="22"/>
          <w:lang w:val="sr-Latn-ME"/>
        </w:rPr>
        <w:t xml:space="preserve">, degradacija </w:t>
      </w:r>
      <w:proofErr w:type="spellStart"/>
      <w:r w:rsidRPr="00AB5B90">
        <w:rPr>
          <w:rFonts w:eastAsia="Calibri"/>
          <w:sz w:val="22"/>
          <w:szCs w:val="22"/>
          <w:lang w:val="sr-Latn-ME"/>
        </w:rPr>
        <w:t>hema</w:t>
      </w:r>
      <w:proofErr w:type="spellEnd"/>
      <w:r w:rsidRPr="00AB5B90">
        <w:rPr>
          <w:rFonts w:eastAsia="Calibri"/>
          <w:sz w:val="22"/>
          <w:szCs w:val="22"/>
          <w:lang w:val="sr-Latn-ME"/>
        </w:rPr>
        <w:t xml:space="preserve"> </w:t>
      </w:r>
      <w:proofErr w:type="spellStart"/>
      <w:r w:rsidRPr="00AB5B90">
        <w:rPr>
          <w:rFonts w:eastAsia="Calibri"/>
          <w:sz w:val="22"/>
          <w:szCs w:val="22"/>
          <w:lang w:val="sr-Latn-ME"/>
        </w:rPr>
        <w:t>usl</w:t>
      </w:r>
      <w:r w:rsidR="009572AE" w:rsidRPr="00AB5B90">
        <w:rPr>
          <w:rFonts w:eastAsia="Calibri"/>
          <w:sz w:val="22"/>
          <w:szCs w:val="22"/>
          <w:lang w:val="sr-Latn-ME"/>
        </w:rPr>
        <w:t>j</w:t>
      </w:r>
      <w:r w:rsidRPr="00AB5B90">
        <w:rPr>
          <w:rFonts w:eastAsia="Calibri"/>
          <w:sz w:val="22"/>
          <w:szCs w:val="22"/>
          <w:lang w:val="sr-Latn-ME"/>
        </w:rPr>
        <w:t>ed</w:t>
      </w:r>
      <w:proofErr w:type="spellEnd"/>
      <w:r w:rsidRPr="00AB5B90">
        <w:rPr>
          <w:rFonts w:eastAsia="Calibri"/>
          <w:sz w:val="22"/>
          <w:szCs w:val="22"/>
          <w:lang w:val="sr-Latn-ME"/>
        </w:rPr>
        <w:t xml:space="preserve"> </w:t>
      </w:r>
      <w:proofErr w:type="spellStart"/>
      <w:r w:rsidRPr="00AB5B90">
        <w:rPr>
          <w:rFonts w:eastAsia="Calibri"/>
          <w:sz w:val="22"/>
          <w:szCs w:val="22"/>
          <w:lang w:val="sr-Latn-ME"/>
        </w:rPr>
        <w:t>ekstravazacije</w:t>
      </w:r>
      <w:proofErr w:type="spellEnd"/>
      <w:r w:rsidRPr="00AB5B90">
        <w:rPr>
          <w:rFonts w:eastAsia="Calibri"/>
          <w:sz w:val="22"/>
          <w:szCs w:val="22"/>
          <w:lang w:val="sr-Latn-ME"/>
        </w:rPr>
        <w:t xml:space="preserve"> </w:t>
      </w:r>
      <w:proofErr w:type="spellStart"/>
      <w:r w:rsidRPr="00AB5B90">
        <w:rPr>
          <w:rFonts w:eastAsia="Calibri"/>
          <w:sz w:val="22"/>
          <w:szCs w:val="22"/>
          <w:lang w:val="sr-Latn-ME"/>
        </w:rPr>
        <w:t>eritrocita</w:t>
      </w:r>
      <w:proofErr w:type="spellEnd"/>
      <w:r w:rsidRPr="00AB5B90">
        <w:rPr>
          <w:rFonts w:eastAsia="Calibri"/>
          <w:sz w:val="22"/>
          <w:szCs w:val="22"/>
          <w:lang w:val="sr-Latn-ME"/>
        </w:rPr>
        <w:t xml:space="preserve">), </w:t>
      </w:r>
      <w:proofErr w:type="spellStart"/>
      <w:r w:rsidRPr="00AB5B90">
        <w:rPr>
          <w:rFonts w:eastAsia="Calibri"/>
          <w:sz w:val="22"/>
          <w:szCs w:val="22"/>
          <w:lang w:val="sr-Latn-ME"/>
        </w:rPr>
        <w:t>urogenitalni</w:t>
      </w:r>
      <w:proofErr w:type="spellEnd"/>
      <w:r w:rsidRPr="00AB5B90">
        <w:rPr>
          <w:rFonts w:eastAsia="Calibri"/>
          <w:sz w:val="22"/>
          <w:szCs w:val="22"/>
          <w:lang w:val="sr-Latn-ME"/>
        </w:rPr>
        <w:t xml:space="preserve"> trakt i koža.</w:t>
      </w:r>
    </w:p>
    <w:p w14:paraId="440C3E46" w14:textId="2390763B" w:rsidR="00FC4F3D" w:rsidRPr="00AB5B90" w:rsidRDefault="00FC4F3D" w:rsidP="003E5B22">
      <w:pPr>
        <w:tabs>
          <w:tab w:val="left" w:pos="540"/>
          <w:tab w:val="left" w:pos="569"/>
        </w:tabs>
        <w:jc w:val="both"/>
        <w:rPr>
          <w:sz w:val="22"/>
          <w:szCs w:val="22"/>
          <w:lang w:val="sr-Latn-ME"/>
        </w:rPr>
      </w:pPr>
      <w:r w:rsidRPr="00AB5B90">
        <w:rPr>
          <w:rFonts w:eastAsia="Calibri"/>
          <w:sz w:val="22"/>
          <w:szCs w:val="22"/>
          <w:lang w:val="sr-Latn-ME"/>
        </w:rPr>
        <w:t>Glavni put izlučivanja mangana i bakra je putem žuči</w:t>
      </w:r>
      <w:r w:rsidR="009572AE" w:rsidRPr="00AB5B90">
        <w:rPr>
          <w:rFonts w:eastAsia="Calibri"/>
          <w:sz w:val="22"/>
          <w:szCs w:val="22"/>
          <w:lang w:val="sr-Latn-ME"/>
        </w:rPr>
        <w:t>.</w:t>
      </w:r>
    </w:p>
    <w:p w14:paraId="2A79CEC0" w14:textId="326BC0EF" w:rsidR="009572AE" w:rsidRPr="00AB5B90" w:rsidRDefault="009572AE">
      <w:pPr>
        <w:rPr>
          <w:bCs/>
          <w:sz w:val="22"/>
          <w:szCs w:val="22"/>
          <w:lang w:val="sr-Latn-ME"/>
        </w:rPr>
      </w:pPr>
    </w:p>
    <w:p w14:paraId="1DFD60FC" w14:textId="77777777" w:rsidR="0072020E" w:rsidRPr="00AB5B90" w:rsidRDefault="0072020E" w:rsidP="003E5B22">
      <w:pPr>
        <w:tabs>
          <w:tab w:val="left" w:pos="540"/>
          <w:tab w:val="left" w:pos="569"/>
        </w:tabs>
        <w:jc w:val="both"/>
        <w:rPr>
          <w:b/>
          <w:bCs/>
          <w:sz w:val="22"/>
          <w:szCs w:val="22"/>
          <w:lang w:val="sr-Latn-ME"/>
        </w:rPr>
      </w:pPr>
      <w:r w:rsidRPr="00AB5B90">
        <w:rPr>
          <w:b/>
          <w:bCs/>
          <w:sz w:val="22"/>
          <w:szCs w:val="22"/>
          <w:lang w:val="sr-Latn-ME"/>
        </w:rPr>
        <w:t xml:space="preserve">5.3. </w:t>
      </w:r>
      <w:r w:rsidR="00480FB1" w:rsidRPr="00AB5B90">
        <w:rPr>
          <w:b/>
          <w:bCs/>
          <w:sz w:val="22"/>
          <w:szCs w:val="22"/>
          <w:lang w:val="sr-Latn-ME"/>
        </w:rPr>
        <w:tab/>
      </w:r>
      <w:proofErr w:type="spellStart"/>
      <w:r w:rsidRPr="00AB5B90">
        <w:rPr>
          <w:b/>
          <w:bCs/>
          <w:sz w:val="22"/>
          <w:szCs w:val="22"/>
          <w:lang w:val="sr-Latn-ME"/>
        </w:rPr>
        <w:t>Pretklinički</w:t>
      </w:r>
      <w:proofErr w:type="spellEnd"/>
      <w:r w:rsidRPr="00AB5B90">
        <w:rPr>
          <w:b/>
          <w:bCs/>
          <w:sz w:val="22"/>
          <w:szCs w:val="22"/>
          <w:lang w:val="sr-Latn-ME"/>
        </w:rPr>
        <w:t xml:space="preserve"> podaci o bezbjednosti </w:t>
      </w:r>
    </w:p>
    <w:p w14:paraId="1C7E7718" w14:textId="77777777" w:rsidR="00836B35" w:rsidRPr="00AB5B90" w:rsidRDefault="00836B35" w:rsidP="003E5B22">
      <w:pPr>
        <w:tabs>
          <w:tab w:val="left" w:pos="540"/>
          <w:tab w:val="left" w:pos="569"/>
        </w:tabs>
        <w:jc w:val="both"/>
        <w:rPr>
          <w:bCs/>
          <w:sz w:val="22"/>
          <w:szCs w:val="22"/>
          <w:lang w:val="sr-Latn-ME"/>
        </w:rPr>
      </w:pPr>
    </w:p>
    <w:p w14:paraId="3266E24B" w14:textId="11DDA7ED" w:rsidR="00D85368" w:rsidRPr="00AB5B90" w:rsidRDefault="00D85368" w:rsidP="003E5B22">
      <w:pPr>
        <w:jc w:val="both"/>
        <w:rPr>
          <w:sz w:val="22"/>
          <w:szCs w:val="22"/>
          <w:lang w:val="sr-Latn-ME"/>
        </w:rPr>
      </w:pPr>
      <w:proofErr w:type="spellStart"/>
      <w:r w:rsidRPr="00AB5B90">
        <w:rPr>
          <w:sz w:val="22"/>
          <w:szCs w:val="22"/>
          <w:lang w:val="sr-Latn-ME"/>
        </w:rPr>
        <w:t>Pretklinički</w:t>
      </w:r>
      <w:proofErr w:type="spellEnd"/>
      <w:r w:rsidRPr="00AB5B90">
        <w:rPr>
          <w:sz w:val="22"/>
          <w:szCs w:val="22"/>
          <w:lang w:val="sr-Latn-ME"/>
        </w:rPr>
        <w:t xml:space="preserve"> podaci za svaku aktivnu supstancu nisu otkrili posebnu štetnost na </w:t>
      </w:r>
      <w:proofErr w:type="spellStart"/>
      <w:r w:rsidRPr="00AB5B90">
        <w:rPr>
          <w:sz w:val="22"/>
          <w:szCs w:val="22"/>
          <w:lang w:val="sr-Latn-ME"/>
        </w:rPr>
        <w:t>ljude</w:t>
      </w:r>
      <w:proofErr w:type="spellEnd"/>
      <w:r w:rsidRPr="00AB5B90">
        <w:rPr>
          <w:sz w:val="22"/>
          <w:szCs w:val="22"/>
          <w:lang w:val="sr-Latn-ME"/>
        </w:rPr>
        <w:t xml:space="preserve"> pri predloženim dozama na osnovu konvencionalnih ispitivanja </w:t>
      </w:r>
      <w:proofErr w:type="spellStart"/>
      <w:r w:rsidR="009572AE" w:rsidRPr="00AB5B90">
        <w:rPr>
          <w:sz w:val="22"/>
          <w:szCs w:val="22"/>
          <w:lang w:val="sr-Latn-ME"/>
        </w:rPr>
        <w:t>bezbjednosne</w:t>
      </w:r>
      <w:proofErr w:type="spellEnd"/>
      <w:r w:rsidR="009572AE" w:rsidRPr="00AB5B90">
        <w:rPr>
          <w:sz w:val="22"/>
          <w:szCs w:val="22"/>
          <w:lang w:val="sr-Latn-ME"/>
        </w:rPr>
        <w:t xml:space="preserve"> </w:t>
      </w:r>
      <w:r w:rsidRPr="00AB5B90">
        <w:rPr>
          <w:sz w:val="22"/>
          <w:szCs w:val="22"/>
          <w:lang w:val="sr-Latn-ME"/>
        </w:rPr>
        <w:t xml:space="preserve">farmakologije, ponavljanih doza toksičnosti, </w:t>
      </w:r>
      <w:proofErr w:type="spellStart"/>
      <w:r w:rsidRPr="00AB5B90">
        <w:rPr>
          <w:sz w:val="22"/>
          <w:szCs w:val="22"/>
          <w:lang w:val="sr-Latn-ME"/>
        </w:rPr>
        <w:t>genotoksičnosti</w:t>
      </w:r>
      <w:proofErr w:type="spellEnd"/>
      <w:r w:rsidRPr="00AB5B90">
        <w:rPr>
          <w:sz w:val="22"/>
          <w:szCs w:val="22"/>
          <w:lang w:val="sr-Latn-ME"/>
        </w:rPr>
        <w:t xml:space="preserve">, </w:t>
      </w:r>
      <w:proofErr w:type="spellStart"/>
      <w:r w:rsidRPr="00AB5B90">
        <w:rPr>
          <w:sz w:val="22"/>
          <w:szCs w:val="22"/>
          <w:lang w:val="sr-Latn-ME"/>
        </w:rPr>
        <w:t>karcinogenog</w:t>
      </w:r>
      <w:proofErr w:type="spellEnd"/>
      <w:r w:rsidRPr="00AB5B90">
        <w:rPr>
          <w:sz w:val="22"/>
          <w:szCs w:val="22"/>
          <w:lang w:val="sr-Latn-ME"/>
        </w:rPr>
        <w:t xml:space="preserve"> potencijala i reproduktivne toksičnosti.</w:t>
      </w:r>
    </w:p>
    <w:p w14:paraId="012CF2AF" w14:textId="4DEED916" w:rsidR="009572AE" w:rsidRPr="00AB5B90" w:rsidRDefault="009572AE" w:rsidP="003E5B22">
      <w:pPr>
        <w:jc w:val="both"/>
        <w:rPr>
          <w:sz w:val="22"/>
          <w:szCs w:val="22"/>
          <w:lang w:val="sr-Latn-ME"/>
        </w:rPr>
      </w:pPr>
    </w:p>
    <w:p w14:paraId="647957C9" w14:textId="77777777" w:rsidR="0072020E" w:rsidRPr="00AB5B90" w:rsidRDefault="0072020E" w:rsidP="003E5B22">
      <w:pPr>
        <w:tabs>
          <w:tab w:val="left" w:pos="540"/>
          <w:tab w:val="left" w:pos="569"/>
        </w:tabs>
        <w:jc w:val="both"/>
        <w:rPr>
          <w:b/>
          <w:bCs/>
          <w:sz w:val="22"/>
          <w:szCs w:val="22"/>
          <w:lang w:val="sr-Latn-ME"/>
        </w:rPr>
      </w:pPr>
      <w:r w:rsidRPr="00AB5B90">
        <w:rPr>
          <w:b/>
          <w:bCs/>
          <w:sz w:val="22"/>
          <w:szCs w:val="22"/>
          <w:lang w:val="sr-Latn-ME"/>
        </w:rPr>
        <w:lastRenderedPageBreak/>
        <w:t xml:space="preserve">6. </w:t>
      </w:r>
      <w:r w:rsidR="00480FB1" w:rsidRPr="00AB5B90">
        <w:rPr>
          <w:b/>
          <w:bCs/>
          <w:sz w:val="22"/>
          <w:szCs w:val="22"/>
          <w:lang w:val="sr-Latn-ME"/>
        </w:rPr>
        <w:tab/>
      </w:r>
      <w:r w:rsidRPr="00AB5B90">
        <w:rPr>
          <w:b/>
          <w:bCs/>
          <w:sz w:val="22"/>
          <w:szCs w:val="22"/>
          <w:lang w:val="sr-Latn-ME"/>
        </w:rPr>
        <w:t>FARMACEUTSKI PODACI</w:t>
      </w:r>
    </w:p>
    <w:p w14:paraId="6B6641B3" w14:textId="46AFF8D3" w:rsidR="002F4B04" w:rsidRPr="00AB5B90" w:rsidRDefault="002F4B04" w:rsidP="003E5B22">
      <w:pPr>
        <w:tabs>
          <w:tab w:val="left" w:pos="540"/>
          <w:tab w:val="left" w:pos="569"/>
        </w:tabs>
        <w:jc w:val="both"/>
        <w:rPr>
          <w:bCs/>
          <w:sz w:val="22"/>
          <w:szCs w:val="22"/>
          <w:lang w:val="sr-Latn-ME"/>
        </w:rPr>
      </w:pPr>
    </w:p>
    <w:p w14:paraId="4124D687" w14:textId="588C2933" w:rsidR="0072020E" w:rsidRPr="00AB5B90" w:rsidRDefault="0072020E" w:rsidP="003E5B22">
      <w:pPr>
        <w:tabs>
          <w:tab w:val="left" w:pos="540"/>
          <w:tab w:val="left" w:pos="569"/>
        </w:tabs>
        <w:jc w:val="both"/>
        <w:rPr>
          <w:b/>
          <w:bCs/>
          <w:sz w:val="22"/>
          <w:szCs w:val="22"/>
          <w:lang w:val="sr-Latn-ME"/>
        </w:rPr>
      </w:pPr>
      <w:r w:rsidRPr="00AB5B90">
        <w:rPr>
          <w:b/>
          <w:bCs/>
          <w:sz w:val="22"/>
          <w:szCs w:val="22"/>
          <w:lang w:val="sr-Latn-ME"/>
        </w:rPr>
        <w:t xml:space="preserve">6.1. </w:t>
      </w:r>
      <w:r w:rsidR="00480FB1" w:rsidRPr="00AB5B90">
        <w:rPr>
          <w:b/>
          <w:bCs/>
          <w:sz w:val="22"/>
          <w:szCs w:val="22"/>
          <w:lang w:val="sr-Latn-ME"/>
        </w:rPr>
        <w:tab/>
      </w:r>
      <w:r w:rsidRPr="00AB5B90">
        <w:rPr>
          <w:b/>
          <w:bCs/>
          <w:sz w:val="22"/>
          <w:szCs w:val="22"/>
          <w:lang w:val="sr-Latn-ME"/>
        </w:rPr>
        <w:t>Lista pomoćnih supstanci</w:t>
      </w:r>
      <w:r w:rsidR="002E0135" w:rsidRPr="00AB5B90">
        <w:rPr>
          <w:b/>
          <w:bCs/>
          <w:sz w:val="22"/>
          <w:szCs w:val="22"/>
          <w:lang w:val="sr-Latn-ME"/>
        </w:rPr>
        <w:t xml:space="preserve"> (</w:t>
      </w:r>
      <w:proofErr w:type="spellStart"/>
      <w:r w:rsidR="002E0135" w:rsidRPr="00AB5B90">
        <w:rPr>
          <w:b/>
          <w:bCs/>
          <w:sz w:val="22"/>
          <w:szCs w:val="22"/>
          <w:lang w:val="sr-Latn-ME"/>
        </w:rPr>
        <w:t>ekscipijenasa</w:t>
      </w:r>
      <w:proofErr w:type="spellEnd"/>
      <w:r w:rsidR="002E0135" w:rsidRPr="00AB5B90">
        <w:rPr>
          <w:b/>
          <w:bCs/>
          <w:sz w:val="22"/>
          <w:szCs w:val="22"/>
          <w:lang w:val="sr-Latn-ME"/>
        </w:rPr>
        <w:t>)</w:t>
      </w:r>
    </w:p>
    <w:p w14:paraId="14157889" w14:textId="77777777" w:rsidR="002F4B04" w:rsidRPr="00AB5B90" w:rsidRDefault="002F4B04" w:rsidP="003E5B22">
      <w:pPr>
        <w:tabs>
          <w:tab w:val="left" w:pos="540"/>
          <w:tab w:val="left" w:pos="569"/>
        </w:tabs>
        <w:jc w:val="both"/>
        <w:rPr>
          <w:b/>
          <w:bCs/>
          <w:sz w:val="22"/>
          <w:szCs w:val="22"/>
          <w:lang w:val="sr-Latn-ME"/>
        </w:rPr>
      </w:pPr>
    </w:p>
    <w:p w14:paraId="27DDA03E" w14:textId="77777777" w:rsidR="00F1199E" w:rsidRPr="00AB5B90" w:rsidRDefault="00F1199E" w:rsidP="003E5B22">
      <w:pPr>
        <w:jc w:val="both"/>
        <w:rPr>
          <w:bCs/>
          <w:sz w:val="22"/>
          <w:szCs w:val="22"/>
          <w:lang w:val="sr-Latn-ME"/>
        </w:rPr>
      </w:pPr>
      <w:proofErr w:type="spellStart"/>
      <w:r w:rsidRPr="00AB5B90">
        <w:rPr>
          <w:bCs/>
          <w:sz w:val="22"/>
          <w:szCs w:val="22"/>
          <w:lang w:val="sr-Latn-ME"/>
        </w:rPr>
        <w:t>Glicerol</w:t>
      </w:r>
      <w:proofErr w:type="spellEnd"/>
      <w:r w:rsidRPr="00AB5B90">
        <w:rPr>
          <w:bCs/>
          <w:sz w:val="22"/>
          <w:szCs w:val="22"/>
          <w:lang w:val="sr-Latn-ME"/>
        </w:rPr>
        <w:t>;</w:t>
      </w:r>
    </w:p>
    <w:p w14:paraId="7C59227E" w14:textId="7F02E892" w:rsidR="00F1199E" w:rsidRPr="00AB5B90" w:rsidRDefault="00F1199E" w:rsidP="003E5B22">
      <w:pPr>
        <w:jc w:val="both"/>
        <w:rPr>
          <w:bCs/>
          <w:sz w:val="22"/>
          <w:szCs w:val="22"/>
          <w:lang w:val="sr-Latn-ME"/>
        </w:rPr>
      </w:pPr>
      <w:r w:rsidRPr="00AB5B90">
        <w:rPr>
          <w:bCs/>
          <w:sz w:val="22"/>
          <w:szCs w:val="22"/>
          <w:lang w:val="sr-Latn-ME"/>
        </w:rPr>
        <w:t>Glukoza, tečna;</w:t>
      </w:r>
    </w:p>
    <w:p w14:paraId="028D2FEB" w14:textId="2DA134EE" w:rsidR="00F1199E" w:rsidRPr="00AB5B90" w:rsidRDefault="00F1199E" w:rsidP="003E5B22">
      <w:pPr>
        <w:jc w:val="both"/>
        <w:rPr>
          <w:bCs/>
          <w:sz w:val="22"/>
          <w:szCs w:val="22"/>
          <w:lang w:val="sr-Latn-ME"/>
        </w:rPr>
      </w:pPr>
      <w:r w:rsidRPr="00AB5B90">
        <w:rPr>
          <w:bCs/>
          <w:sz w:val="22"/>
          <w:szCs w:val="22"/>
          <w:lang w:val="sr-Latn-ME"/>
        </w:rPr>
        <w:t>Saharoza;</w:t>
      </w:r>
    </w:p>
    <w:p w14:paraId="7D73EC76" w14:textId="705B600F" w:rsidR="00F1199E" w:rsidRPr="00AB5B90" w:rsidRDefault="00F1199E" w:rsidP="003E5B22">
      <w:pPr>
        <w:jc w:val="both"/>
        <w:rPr>
          <w:bCs/>
          <w:sz w:val="22"/>
          <w:szCs w:val="22"/>
          <w:lang w:val="sr-Latn-ME"/>
        </w:rPr>
      </w:pPr>
      <w:r w:rsidRPr="00AB5B90">
        <w:rPr>
          <w:bCs/>
          <w:sz w:val="22"/>
          <w:szCs w:val="22"/>
          <w:lang w:val="sr-Latn-ME"/>
        </w:rPr>
        <w:t>Limunska kiselina;</w:t>
      </w:r>
    </w:p>
    <w:p w14:paraId="63435D82" w14:textId="7CC58828" w:rsidR="00F1199E" w:rsidRPr="00AB5B90" w:rsidRDefault="00F1199E" w:rsidP="003E5B22">
      <w:pPr>
        <w:jc w:val="both"/>
        <w:rPr>
          <w:bCs/>
          <w:sz w:val="22"/>
          <w:szCs w:val="22"/>
          <w:lang w:val="sr-Latn-ME"/>
        </w:rPr>
      </w:pPr>
      <w:r w:rsidRPr="00AB5B90">
        <w:rPr>
          <w:bCs/>
          <w:sz w:val="22"/>
          <w:szCs w:val="22"/>
          <w:lang w:val="sr-Latn-ME"/>
        </w:rPr>
        <w:t>Natrijum</w:t>
      </w:r>
      <w:r w:rsidR="002F4B04" w:rsidRPr="00AB5B90">
        <w:rPr>
          <w:bCs/>
          <w:sz w:val="22"/>
          <w:szCs w:val="22"/>
          <w:lang w:val="sr-Latn-ME"/>
        </w:rPr>
        <w:t xml:space="preserve"> </w:t>
      </w:r>
      <w:proofErr w:type="spellStart"/>
      <w:r w:rsidRPr="00AB5B90">
        <w:rPr>
          <w:bCs/>
          <w:sz w:val="22"/>
          <w:szCs w:val="22"/>
          <w:lang w:val="sr-Latn-ME"/>
        </w:rPr>
        <w:t>citra</w:t>
      </w:r>
      <w:r w:rsidR="00B11C07" w:rsidRPr="00AB5B90">
        <w:rPr>
          <w:bCs/>
          <w:sz w:val="22"/>
          <w:szCs w:val="22"/>
          <w:lang w:val="sr-Latn-ME"/>
        </w:rPr>
        <w:t>t</w:t>
      </w:r>
      <w:proofErr w:type="spellEnd"/>
      <w:r w:rsidRPr="00AB5B90">
        <w:rPr>
          <w:bCs/>
          <w:sz w:val="22"/>
          <w:szCs w:val="22"/>
          <w:lang w:val="sr-Latn-ME"/>
        </w:rPr>
        <w:t>;</w:t>
      </w:r>
    </w:p>
    <w:p w14:paraId="2A6731B3" w14:textId="410573C5" w:rsidR="00F1199E" w:rsidRPr="00AB5B90" w:rsidRDefault="00F1199E" w:rsidP="003E5B22">
      <w:pPr>
        <w:jc w:val="both"/>
        <w:rPr>
          <w:bCs/>
          <w:sz w:val="22"/>
          <w:szCs w:val="22"/>
          <w:lang w:val="sr-Latn-ME"/>
        </w:rPr>
      </w:pPr>
      <w:r w:rsidRPr="00AB5B90">
        <w:rPr>
          <w:bCs/>
          <w:sz w:val="22"/>
          <w:szCs w:val="22"/>
          <w:lang w:val="sr-Latn-ME"/>
        </w:rPr>
        <w:t>Natrijum</w:t>
      </w:r>
      <w:r w:rsidR="002F4B04" w:rsidRPr="00AB5B90">
        <w:rPr>
          <w:bCs/>
          <w:sz w:val="22"/>
          <w:szCs w:val="22"/>
          <w:lang w:val="sr-Latn-ME"/>
        </w:rPr>
        <w:t xml:space="preserve"> </w:t>
      </w:r>
      <w:proofErr w:type="spellStart"/>
      <w:r w:rsidRPr="00AB5B90">
        <w:rPr>
          <w:bCs/>
          <w:sz w:val="22"/>
          <w:szCs w:val="22"/>
          <w:lang w:val="sr-Latn-ME"/>
        </w:rPr>
        <w:t>benzoat</w:t>
      </w:r>
      <w:proofErr w:type="spellEnd"/>
      <w:r w:rsidRPr="00AB5B90">
        <w:rPr>
          <w:bCs/>
          <w:sz w:val="22"/>
          <w:szCs w:val="22"/>
          <w:lang w:val="sr-Latn-ME"/>
        </w:rPr>
        <w:t>;</w:t>
      </w:r>
    </w:p>
    <w:p w14:paraId="53EA61F7" w14:textId="77777777" w:rsidR="00F1199E" w:rsidRPr="00AB5B90" w:rsidRDefault="00F1199E" w:rsidP="003E5B22">
      <w:pPr>
        <w:jc w:val="both"/>
        <w:rPr>
          <w:bCs/>
          <w:sz w:val="22"/>
          <w:szCs w:val="22"/>
          <w:lang w:val="sr-Latn-ME"/>
        </w:rPr>
      </w:pPr>
      <w:proofErr w:type="spellStart"/>
      <w:r w:rsidRPr="00AB5B90">
        <w:rPr>
          <w:bCs/>
          <w:sz w:val="22"/>
          <w:szCs w:val="22"/>
          <w:lang w:val="sr-Latn-ME"/>
        </w:rPr>
        <w:t>Polisorbat</w:t>
      </w:r>
      <w:proofErr w:type="spellEnd"/>
      <w:r w:rsidRPr="00AB5B90">
        <w:rPr>
          <w:bCs/>
          <w:sz w:val="22"/>
          <w:szCs w:val="22"/>
          <w:lang w:val="sr-Latn-ME"/>
        </w:rPr>
        <w:t xml:space="preserve"> 80;</w:t>
      </w:r>
    </w:p>
    <w:p w14:paraId="61BD1493" w14:textId="77777777" w:rsidR="00F1199E" w:rsidRPr="00AB5B90" w:rsidRDefault="00F1199E" w:rsidP="003E5B22">
      <w:pPr>
        <w:jc w:val="both"/>
        <w:rPr>
          <w:bCs/>
          <w:sz w:val="22"/>
          <w:szCs w:val="22"/>
          <w:lang w:val="sr-Latn-ME"/>
        </w:rPr>
      </w:pPr>
      <w:r w:rsidRPr="00AB5B90">
        <w:rPr>
          <w:bCs/>
          <w:sz w:val="22"/>
          <w:szCs w:val="22"/>
          <w:lang w:val="sr-Latn-ME"/>
        </w:rPr>
        <w:t>Boja “</w:t>
      </w:r>
      <w:proofErr w:type="spellStart"/>
      <w:r w:rsidRPr="00AB5B90">
        <w:rPr>
          <w:bCs/>
          <w:sz w:val="22"/>
          <w:szCs w:val="22"/>
          <w:lang w:val="sr-Latn-ME"/>
        </w:rPr>
        <w:t>Caramel</w:t>
      </w:r>
      <w:proofErr w:type="spellEnd"/>
      <w:r w:rsidRPr="00AB5B90">
        <w:rPr>
          <w:bCs/>
          <w:sz w:val="22"/>
          <w:szCs w:val="22"/>
          <w:lang w:val="sr-Latn-ME"/>
        </w:rPr>
        <w:t>” (E 150 c)*;</w:t>
      </w:r>
    </w:p>
    <w:p w14:paraId="2DCB2F0F" w14:textId="77777777" w:rsidR="00F1199E" w:rsidRPr="00AB5B90" w:rsidRDefault="00F1199E" w:rsidP="003E5B22">
      <w:pPr>
        <w:jc w:val="both"/>
        <w:rPr>
          <w:bCs/>
          <w:sz w:val="22"/>
          <w:szCs w:val="22"/>
          <w:lang w:val="sr-Latn-ME"/>
        </w:rPr>
      </w:pPr>
      <w:r w:rsidRPr="00AB5B90">
        <w:rPr>
          <w:bCs/>
          <w:sz w:val="22"/>
          <w:szCs w:val="22"/>
          <w:lang w:val="sr-Latn-ME"/>
        </w:rPr>
        <w:t xml:space="preserve">Aroma </w:t>
      </w:r>
      <w:proofErr w:type="spellStart"/>
      <w:r w:rsidRPr="00AB5B90">
        <w:rPr>
          <w:bCs/>
          <w:sz w:val="22"/>
          <w:szCs w:val="22"/>
          <w:lang w:val="sr-Latn-ME"/>
        </w:rPr>
        <w:t>tuti</w:t>
      </w:r>
      <w:proofErr w:type="spellEnd"/>
      <w:r w:rsidRPr="00AB5B90">
        <w:rPr>
          <w:bCs/>
          <w:sz w:val="22"/>
          <w:szCs w:val="22"/>
          <w:lang w:val="sr-Latn-ME"/>
        </w:rPr>
        <w:t xml:space="preserve"> </w:t>
      </w:r>
      <w:proofErr w:type="spellStart"/>
      <w:r w:rsidRPr="00AB5B90">
        <w:rPr>
          <w:bCs/>
          <w:sz w:val="22"/>
          <w:szCs w:val="22"/>
          <w:lang w:val="sr-Latn-ME"/>
        </w:rPr>
        <w:t>fruti</w:t>
      </w:r>
      <w:proofErr w:type="spellEnd"/>
      <w:r w:rsidRPr="00AB5B90">
        <w:rPr>
          <w:bCs/>
          <w:sz w:val="22"/>
          <w:szCs w:val="22"/>
          <w:lang w:val="sr-Latn-ME"/>
        </w:rPr>
        <w:t>**;</w:t>
      </w:r>
    </w:p>
    <w:p w14:paraId="66D91C40" w14:textId="242321C1" w:rsidR="00F1199E" w:rsidRPr="00AB5B90" w:rsidRDefault="00F1199E" w:rsidP="003E5B22">
      <w:pPr>
        <w:pStyle w:val="Header"/>
        <w:tabs>
          <w:tab w:val="left" w:pos="284"/>
        </w:tabs>
        <w:jc w:val="both"/>
        <w:rPr>
          <w:bCs/>
          <w:sz w:val="22"/>
          <w:szCs w:val="22"/>
          <w:lang w:val="sr-Latn-ME"/>
        </w:rPr>
      </w:pPr>
      <w:r w:rsidRPr="00AB5B90">
        <w:rPr>
          <w:bCs/>
          <w:sz w:val="22"/>
          <w:szCs w:val="22"/>
          <w:lang w:val="sr-Latn-ME"/>
        </w:rPr>
        <w:t>Voda, prečišćena</w:t>
      </w:r>
      <w:r w:rsidR="00AB5B90">
        <w:rPr>
          <w:bCs/>
          <w:sz w:val="22"/>
          <w:szCs w:val="22"/>
          <w:lang w:val="sr-Latn-ME"/>
        </w:rPr>
        <w:t>.</w:t>
      </w:r>
    </w:p>
    <w:p w14:paraId="321DC03B" w14:textId="77777777" w:rsidR="00F1199E" w:rsidRPr="00AB5B90" w:rsidRDefault="00F1199E" w:rsidP="003E5B22">
      <w:pPr>
        <w:pStyle w:val="Header"/>
        <w:tabs>
          <w:tab w:val="left" w:pos="284"/>
        </w:tabs>
        <w:jc w:val="both"/>
        <w:rPr>
          <w:sz w:val="22"/>
          <w:szCs w:val="22"/>
          <w:lang w:val="sr-Latn-ME"/>
        </w:rPr>
      </w:pPr>
    </w:p>
    <w:p w14:paraId="3A647060" w14:textId="0937358B" w:rsidR="00F1199E" w:rsidRPr="00AB5B90" w:rsidRDefault="00F1199E" w:rsidP="003E5B22">
      <w:pPr>
        <w:pStyle w:val="Header"/>
        <w:tabs>
          <w:tab w:val="left" w:pos="284"/>
        </w:tabs>
        <w:jc w:val="both"/>
        <w:rPr>
          <w:sz w:val="22"/>
          <w:szCs w:val="22"/>
          <w:lang w:val="sr-Latn-ME"/>
        </w:rPr>
      </w:pPr>
      <w:r w:rsidRPr="00AB5B90">
        <w:rPr>
          <w:sz w:val="22"/>
          <w:szCs w:val="22"/>
          <w:lang w:val="sr-Latn-ME"/>
        </w:rPr>
        <w:t>*Boja “</w:t>
      </w:r>
      <w:proofErr w:type="spellStart"/>
      <w:r w:rsidRPr="00AB5B90">
        <w:rPr>
          <w:sz w:val="22"/>
          <w:szCs w:val="22"/>
          <w:lang w:val="sr-Latn-ME"/>
        </w:rPr>
        <w:t>Caramel</w:t>
      </w:r>
      <w:proofErr w:type="spellEnd"/>
      <w:r w:rsidRPr="00AB5B90">
        <w:rPr>
          <w:sz w:val="22"/>
          <w:szCs w:val="22"/>
          <w:lang w:val="sr-Latn-ME"/>
        </w:rPr>
        <w:t>”: glukoza</w:t>
      </w:r>
      <w:r w:rsidR="004D492E" w:rsidRPr="00AB5B90">
        <w:rPr>
          <w:sz w:val="22"/>
          <w:szCs w:val="22"/>
          <w:lang w:val="sr-Latn-ME"/>
        </w:rPr>
        <w:t xml:space="preserve"> i</w:t>
      </w:r>
      <w:r w:rsidRPr="00AB5B90">
        <w:rPr>
          <w:sz w:val="22"/>
          <w:szCs w:val="22"/>
          <w:lang w:val="sr-Latn-ME"/>
        </w:rPr>
        <w:t xml:space="preserve"> amonijum hidroksid.  </w:t>
      </w:r>
    </w:p>
    <w:p w14:paraId="3A37DDA7" w14:textId="52B8724A" w:rsidR="00F1199E" w:rsidRPr="00AB5B90" w:rsidRDefault="00F1199E" w:rsidP="003E5B22">
      <w:pPr>
        <w:pStyle w:val="Header"/>
        <w:tabs>
          <w:tab w:val="left" w:pos="284"/>
        </w:tabs>
        <w:jc w:val="both"/>
        <w:rPr>
          <w:sz w:val="22"/>
          <w:szCs w:val="22"/>
          <w:lang w:val="sr-Latn-ME"/>
        </w:rPr>
      </w:pPr>
      <w:r w:rsidRPr="00AB5B90">
        <w:rPr>
          <w:sz w:val="22"/>
          <w:szCs w:val="22"/>
          <w:lang w:val="sr-Latn-ME"/>
        </w:rPr>
        <w:t xml:space="preserve">**Tuti </w:t>
      </w:r>
      <w:proofErr w:type="spellStart"/>
      <w:r w:rsidRPr="00AB5B90">
        <w:rPr>
          <w:sz w:val="22"/>
          <w:szCs w:val="22"/>
          <w:lang w:val="sr-Latn-ME"/>
        </w:rPr>
        <w:t>fruti</w:t>
      </w:r>
      <w:proofErr w:type="spellEnd"/>
      <w:r w:rsidRPr="00AB5B90">
        <w:rPr>
          <w:sz w:val="22"/>
          <w:szCs w:val="22"/>
          <w:lang w:val="sr-Latn-ME"/>
        </w:rPr>
        <w:t xml:space="preserve"> aroma: </w:t>
      </w:r>
      <w:proofErr w:type="spellStart"/>
      <w:r w:rsidRPr="00AB5B90">
        <w:rPr>
          <w:sz w:val="22"/>
          <w:szCs w:val="22"/>
          <w:lang w:val="sr-Latn-ME"/>
        </w:rPr>
        <w:t>izoamil</w:t>
      </w:r>
      <w:proofErr w:type="spellEnd"/>
      <w:r w:rsidR="004D492E" w:rsidRPr="00AB5B90">
        <w:rPr>
          <w:sz w:val="22"/>
          <w:szCs w:val="22"/>
          <w:lang w:val="sr-Latn-ME"/>
        </w:rPr>
        <w:t xml:space="preserve"> </w:t>
      </w:r>
      <w:r w:rsidRPr="00AB5B90">
        <w:rPr>
          <w:sz w:val="22"/>
          <w:szCs w:val="22"/>
          <w:lang w:val="sr-Latn-ME"/>
        </w:rPr>
        <w:t xml:space="preserve">acetat, </w:t>
      </w:r>
      <w:proofErr w:type="spellStart"/>
      <w:r w:rsidRPr="00AB5B90">
        <w:rPr>
          <w:sz w:val="22"/>
          <w:szCs w:val="22"/>
          <w:lang w:val="sr-Latn-ME"/>
        </w:rPr>
        <w:t>izoamil</w:t>
      </w:r>
      <w:proofErr w:type="spellEnd"/>
      <w:r w:rsidR="004D492E" w:rsidRPr="00AB5B90">
        <w:rPr>
          <w:sz w:val="22"/>
          <w:szCs w:val="22"/>
          <w:lang w:val="sr-Latn-ME"/>
        </w:rPr>
        <w:t xml:space="preserve"> </w:t>
      </w:r>
      <w:proofErr w:type="spellStart"/>
      <w:r w:rsidRPr="00AB5B90">
        <w:rPr>
          <w:sz w:val="22"/>
          <w:szCs w:val="22"/>
          <w:lang w:val="sr-Latn-ME"/>
        </w:rPr>
        <w:t>butirat</w:t>
      </w:r>
      <w:proofErr w:type="spellEnd"/>
      <w:r w:rsidRPr="00AB5B90">
        <w:rPr>
          <w:sz w:val="22"/>
          <w:szCs w:val="22"/>
          <w:lang w:val="sr-Latn-ME"/>
        </w:rPr>
        <w:t xml:space="preserve">, </w:t>
      </w:r>
      <w:proofErr w:type="spellStart"/>
      <w:r w:rsidRPr="00AB5B90">
        <w:rPr>
          <w:sz w:val="22"/>
          <w:szCs w:val="22"/>
          <w:lang w:val="sr-Latn-ME"/>
        </w:rPr>
        <w:t>benzaldehid</w:t>
      </w:r>
      <w:proofErr w:type="spellEnd"/>
      <w:r w:rsidRPr="00AB5B90">
        <w:rPr>
          <w:sz w:val="22"/>
          <w:szCs w:val="22"/>
          <w:lang w:val="sr-Latn-ME"/>
        </w:rPr>
        <w:t>, etil</w:t>
      </w:r>
      <w:r w:rsidR="004D492E" w:rsidRPr="00AB5B90">
        <w:rPr>
          <w:sz w:val="22"/>
          <w:szCs w:val="22"/>
          <w:lang w:val="sr-Latn-ME"/>
        </w:rPr>
        <w:t xml:space="preserve"> </w:t>
      </w:r>
      <w:proofErr w:type="spellStart"/>
      <w:r w:rsidRPr="00AB5B90">
        <w:rPr>
          <w:sz w:val="22"/>
          <w:szCs w:val="22"/>
          <w:lang w:val="sr-Latn-ME"/>
        </w:rPr>
        <w:t>metilfenilglicildat</w:t>
      </w:r>
      <w:proofErr w:type="spellEnd"/>
      <w:r w:rsidRPr="00AB5B90">
        <w:rPr>
          <w:sz w:val="22"/>
          <w:szCs w:val="22"/>
          <w:lang w:val="sr-Latn-ME"/>
        </w:rPr>
        <w:t xml:space="preserve">, gama- </w:t>
      </w:r>
      <w:proofErr w:type="spellStart"/>
      <w:r w:rsidRPr="00AB5B90">
        <w:rPr>
          <w:sz w:val="22"/>
          <w:szCs w:val="22"/>
          <w:lang w:val="sr-Latn-ME"/>
        </w:rPr>
        <w:t>undekalakton</w:t>
      </w:r>
      <w:proofErr w:type="spellEnd"/>
      <w:r w:rsidRPr="00AB5B90">
        <w:rPr>
          <w:sz w:val="22"/>
          <w:szCs w:val="22"/>
          <w:lang w:val="sr-Latn-ME"/>
        </w:rPr>
        <w:t xml:space="preserve">, </w:t>
      </w:r>
      <w:proofErr w:type="spellStart"/>
      <w:r w:rsidRPr="00AB5B90">
        <w:rPr>
          <w:sz w:val="22"/>
          <w:szCs w:val="22"/>
          <w:lang w:val="sr-Latn-ME"/>
        </w:rPr>
        <w:t>etilvanilin</w:t>
      </w:r>
      <w:proofErr w:type="spellEnd"/>
      <w:r w:rsidRPr="00AB5B90">
        <w:rPr>
          <w:sz w:val="22"/>
          <w:szCs w:val="22"/>
          <w:lang w:val="sr-Latn-ME"/>
        </w:rPr>
        <w:t>, alkohol</w:t>
      </w:r>
      <w:r w:rsidR="004D492E" w:rsidRPr="00AB5B90">
        <w:rPr>
          <w:sz w:val="22"/>
          <w:szCs w:val="22"/>
          <w:lang w:val="sr-Latn-ME"/>
        </w:rPr>
        <w:t xml:space="preserve"> i</w:t>
      </w:r>
      <w:r w:rsidRPr="00AB5B90">
        <w:rPr>
          <w:sz w:val="22"/>
          <w:szCs w:val="22"/>
          <w:lang w:val="sr-Latn-ME"/>
        </w:rPr>
        <w:t xml:space="preserve"> voda.</w:t>
      </w:r>
    </w:p>
    <w:p w14:paraId="3D46C984" w14:textId="77777777" w:rsidR="0072020E" w:rsidRPr="00AB5B90" w:rsidRDefault="0072020E" w:rsidP="003E5B22">
      <w:pPr>
        <w:tabs>
          <w:tab w:val="left" w:pos="540"/>
          <w:tab w:val="left" w:pos="569"/>
        </w:tabs>
        <w:jc w:val="both"/>
        <w:rPr>
          <w:bCs/>
          <w:sz w:val="22"/>
          <w:szCs w:val="22"/>
          <w:lang w:val="sr-Latn-ME"/>
        </w:rPr>
      </w:pPr>
    </w:p>
    <w:p w14:paraId="5FADA9F0" w14:textId="77777777" w:rsidR="0072020E" w:rsidRPr="00AB5B90" w:rsidRDefault="0072020E" w:rsidP="003E5B22">
      <w:pPr>
        <w:tabs>
          <w:tab w:val="left" w:pos="540"/>
          <w:tab w:val="left" w:pos="569"/>
        </w:tabs>
        <w:jc w:val="both"/>
        <w:rPr>
          <w:b/>
          <w:bCs/>
          <w:sz w:val="22"/>
          <w:szCs w:val="22"/>
          <w:lang w:val="sr-Latn-ME"/>
        </w:rPr>
      </w:pPr>
      <w:r w:rsidRPr="00AB5B90">
        <w:rPr>
          <w:b/>
          <w:bCs/>
          <w:sz w:val="22"/>
          <w:szCs w:val="22"/>
          <w:lang w:val="sr-Latn-ME"/>
        </w:rPr>
        <w:t xml:space="preserve">6.2. </w:t>
      </w:r>
      <w:r w:rsidR="00480FB1" w:rsidRPr="00AB5B90">
        <w:rPr>
          <w:b/>
          <w:bCs/>
          <w:sz w:val="22"/>
          <w:szCs w:val="22"/>
          <w:lang w:val="sr-Latn-ME"/>
        </w:rPr>
        <w:tab/>
      </w:r>
      <w:r w:rsidRPr="00AB5B90">
        <w:rPr>
          <w:b/>
          <w:bCs/>
          <w:sz w:val="22"/>
          <w:szCs w:val="22"/>
          <w:lang w:val="sr-Latn-ME"/>
        </w:rPr>
        <w:t>Inkompatibilnost</w:t>
      </w:r>
      <w:r w:rsidR="002846DB" w:rsidRPr="00AB5B90">
        <w:rPr>
          <w:b/>
          <w:bCs/>
          <w:sz w:val="22"/>
          <w:szCs w:val="22"/>
          <w:lang w:val="sr-Latn-ME"/>
        </w:rPr>
        <w:t>i</w:t>
      </w:r>
    </w:p>
    <w:p w14:paraId="7D332511" w14:textId="77777777" w:rsidR="007E7985" w:rsidRPr="00AB5B90" w:rsidRDefault="007E7985" w:rsidP="00AA070D">
      <w:pPr>
        <w:pStyle w:val="Header"/>
        <w:tabs>
          <w:tab w:val="left" w:pos="284"/>
        </w:tabs>
        <w:jc w:val="both"/>
        <w:rPr>
          <w:bCs/>
          <w:sz w:val="22"/>
          <w:szCs w:val="22"/>
          <w:lang w:val="sr-Latn-ME"/>
        </w:rPr>
      </w:pPr>
    </w:p>
    <w:p w14:paraId="4610361C" w14:textId="30851995" w:rsidR="0044345F" w:rsidRPr="00AB5B90" w:rsidRDefault="0044345F" w:rsidP="00AA070D">
      <w:pPr>
        <w:pStyle w:val="Header"/>
        <w:tabs>
          <w:tab w:val="left" w:pos="284"/>
        </w:tabs>
        <w:jc w:val="both"/>
        <w:rPr>
          <w:bCs/>
          <w:sz w:val="22"/>
          <w:szCs w:val="22"/>
          <w:lang w:val="sr-Latn-ME"/>
        </w:rPr>
      </w:pPr>
      <w:r w:rsidRPr="00AB5B90">
        <w:rPr>
          <w:bCs/>
          <w:sz w:val="22"/>
          <w:szCs w:val="22"/>
          <w:lang w:val="sr-Latn-ME"/>
        </w:rPr>
        <w:t>Nije primjenljivo.</w:t>
      </w:r>
    </w:p>
    <w:p w14:paraId="245D45FD" w14:textId="77777777" w:rsidR="0072020E" w:rsidRPr="00AB5B90" w:rsidRDefault="0072020E" w:rsidP="003E5B22">
      <w:pPr>
        <w:tabs>
          <w:tab w:val="left" w:pos="540"/>
          <w:tab w:val="left" w:pos="569"/>
        </w:tabs>
        <w:jc w:val="both"/>
        <w:rPr>
          <w:bCs/>
          <w:sz w:val="22"/>
          <w:szCs w:val="22"/>
          <w:lang w:val="sr-Latn-ME"/>
        </w:rPr>
      </w:pPr>
    </w:p>
    <w:p w14:paraId="2952C0AC" w14:textId="77777777" w:rsidR="0072020E" w:rsidRPr="00AB5B90" w:rsidRDefault="0072020E" w:rsidP="003E5B22">
      <w:pPr>
        <w:tabs>
          <w:tab w:val="left" w:pos="540"/>
          <w:tab w:val="left" w:pos="569"/>
        </w:tabs>
        <w:jc w:val="both"/>
        <w:rPr>
          <w:b/>
          <w:bCs/>
          <w:sz w:val="22"/>
          <w:szCs w:val="22"/>
          <w:lang w:val="sr-Latn-ME"/>
        </w:rPr>
      </w:pPr>
      <w:r w:rsidRPr="00AB5B90">
        <w:rPr>
          <w:b/>
          <w:bCs/>
          <w:sz w:val="22"/>
          <w:szCs w:val="22"/>
          <w:lang w:val="sr-Latn-ME"/>
        </w:rPr>
        <w:t>6.3.</w:t>
      </w:r>
      <w:r w:rsidR="00C05DF8" w:rsidRPr="00AB5B90">
        <w:rPr>
          <w:b/>
          <w:bCs/>
          <w:sz w:val="22"/>
          <w:szCs w:val="22"/>
          <w:lang w:val="sr-Latn-ME"/>
        </w:rPr>
        <w:t xml:space="preserve"> </w:t>
      </w:r>
      <w:r w:rsidR="00480FB1" w:rsidRPr="00AB5B90">
        <w:rPr>
          <w:b/>
          <w:bCs/>
          <w:sz w:val="22"/>
          <w:szCs w:val="22"/>
          <w:lang w:val="sr-Latn-ME"/>
        </w:rPr>
        <w:tab/>
      </w:r>
      <w:r w:rsidRPr="00AB5B90">
        <w:rPr>
          <w:b/>
          <w:bCs/>
          <w:sz w:val="22"/>
          <w:szCs w:val="22"/>
          <w:lang w:val="sr-Latn-ME"/>
        </w:rPr>
        <w:t>Rok upotrebe</w:t>
      </w:r>
    </w:p>
    <w:p w14:paraId="1ABD268D" w14:textId="77777777" w:rsidR="0044345F" w:rsidRPr="00AB5B90" w:rsidRDefault="0044345F" w:rsidP="003E5B22">
      <w:pPr>
        <w:tabs>
          <w:tab w:val="left" w:pos="540"/>
          <w:tab w:val="left" w:pos="569"/>
        </w:tabs>
        <w:jc w:val="both"/>
        <w:rPr>
          <w:sz w:val="22"/>
          <w:szCs w:val="22"/>
          <w:lang w:val="sr-Latn-ME"/>
        </w:rPr>
      </w:pPr>
    </w:p>
    <w:p w14:paraId="039C0F9C" w14:textId="2301E50F" w:rsidR="0044345F" w:rsidRPr="00AB5B90" w:rsidRDefault="0044345F" w:rsidP="003E5B22">
      <w:pPr>
        <w:tabs>
          <w:tab w:val="left" w:pos="540"/>
          <w:tab w:val="left" w:pos="569"/>
        </w:tabs>
        <w:jc w:val="both"/>
        <w:rPr>
          <w:sz w:val="22"/>
          <w:szCs w:val="22"/>
          <w:lang w:val="sr-Latn-ME"/>
        </w:rPr>
      </w:pPr>
      <w:r w:rsidRPr="00AB5B90">
        <w:rPr>
          <w:sz w:val="22"/>
          <w:szCs w:val="22"/>
          <w:lang w:val="sr-Latn-ME"/>
        </w:rPr>
        <w:t>2 godine.</w:t>
      </w:r>
    </w:p>
    <w:p w14:paraId="66B63E14" w14:textId="77777777" w:rsidR="0072020E" w:rsidRPr="00AB5B90" w:rsidRDefault="0072020E" w:rsidP="003E5B22">
      <w:pPr>
        <w:tabs>
          <w:tab w:val="left" w:pos="540"/>
          <w:tab w:val="left" w:pos="569"/>
        </w:tabs>
        <w:jc w:val="both"/>
        <w:rPr>
          <w:bCs/>
          <w:sz w:val="22"/>
          <w:szCs w:val="22"/>
          <w:lang w:val="sr-Latn-ME"/>
        </w:rPr>
      </w:pPr>
    </w:p>
    <w:p w14:paraId="78787CEC" w14:textId="77777777" w:rsidR="0072020E" w:rsidRPr="00AB5B90" w:rsidRDefault="0072020E" w:rsidP="003E5B22">
      <w:pPr>
        <w:tabs>
          <w:tab w:val="left" w:pos="540"/>
          <w:tab w:val="left" w:pos="569"/>
        </w:tabs>
        <w:jc w:val="both"/>
        <w:rPr>
          <w:b/>
          <w:bCs/>
          <w:sz w:val="22"/>
          <w:szCs w:val="22"/>
          <w:lang w:val="sr-Latn-ME"/>
        </w:rPr>
      </w:pPr>
      <w:r w:rsidRPr="00AB5B90">
        <w:rPr>
          <w:b/>
          <w:bCs/>
          <w:sz w:val="22"/>
          <w:szCs w:val="22"/>
          <w:lang w:val="sr-Latn-ME"/>
        </w:rPr>
        <w:t xml:space="preserve">6.4. </w:t>
      </w:r>
      <w:r w:rsidR="00480FB1" w:rsidRPr="00AB5B90">
        <w:rPr>
          <w:b/>
          <w:bCs/>
          <w:sz w:val="22"/>
          <w:szCs w:val="22"/>
          <w:lang w:val="sr-Latn-ME"/>
        </w:rPr>
        <w:tab/>
      </w:r>
      <w:r w:rsidRPr="00AB5B90">
        <w:rPr>
          <w:b/>
          <w:bCs/>
          <w:sz w:val="22"/>
          <w:szCs w:val="22"/>
          <w:lang w:val="sr-Latn-ME"/>
        </w:rPr>
        <w:t>Posebne mjere upozorenja pri čuvanju</w:t>
      </w:r>
      <w:r w:rsidR="00F8570A" w:rsidRPr="00AB5B90">
        <w:rPr>
          <w:b/>
          <w:bCs/>
          <w:sz w:val="22"/>
          <w:szCs w:val="22"/>
          <w:lang w:val="sr-Latn-ME"/>
        </w:rPr>
        <w:t xml:space="preserve"> lijeka</w:t>
      </w:r>
    </w:p>
    <w:p w14:paraId="6743F68D" w14:textId="77777777" w:rsidR="0044345F" w:rsidRPr="00AB5B90" w:rsidRDefault="0044345F" w:rsidP="003E5B22">
      <w:pPr>
        <w:tabs>
          <w:tab w:val="left" w:pos="540"/>
          <w:tab w:val="left" w:pos="569"/>
        </w:tabs>
        <w:jc w:val="both"/>
        <w:rPr>
          <w:sz w:val="22"/>
          <w:szCs w:val="22"/>
          <w:lang w:val="sr-Latn-ME"/>
        </w:rPr>
      </w:pPr>
    </w:p>
    <w:p w14:paraId="3DB9C9B0" w14:textId="7B305C0E" w:rsidR="0044345F" w:rsidRPr="00AB5B90" w:rsidRDefault="0044345F" w:rsidP="003E5B22">
      <w:pPr>
        <w:tabs>
          <w:tab w:val="left" w:pos="540"/>
          <w:tab w:val="left" w:pos="569"/>
        </w:tabs>
        <w:jc w:val="both"/>
        <w:rPr>
          <w:sz w:val="22"/>
          <w:szCs w:val="22"/>
          <w:lang w:val="sr-Latn-ME"/>
        </w:rPr>
      </w:pPr>
      <w:r w:rsidRPr="00AB5B90">
        <w:rPr>
          <w:sz w:val="22"/>
          <w:szCs w:val="22"/>
          <w:lang w:val="sr-Latn-ME"/>
        </w:rPr>
        <w:t xml:space="preserve">Čuvati na temperaturi do </w:t>
      </w:r>
      <w:proofErr w:type="spellStart"/>
      <w:r w:rsidR="008B4C83" w:rsidRPr="00AB5B90">
        <w:rPr>
          <w:sz w:val="22"/>
          <w:szCs w:val="22"/>
          <w:lang w:val="sr-Latn-ME"/>
        </w:rPr>
        <w:t>30</w:t>
      </w:r>
      <w:r w:rsidRPr="00AB5B90">
        <w:rPr>
          <w:sz w:val="22"/>
          <w:szCs w:val="22"/>
          <w:lang w:val="sr-Latn-ME"/>
        </w:rPr>
        <w:t>°C</w:t>
      </w:r>
      <w:proofErr w:type="spellEnd"/>
      <w:r w:rsidRPr="00AB5B90">
        <w:rPr>
          <w:sz w:val="22"/>
          <w:szCs w:val="22"/>
          <w:lang w:val="sr-Latn-ME"/>
        </w:rPr>
        <w:t>.</w:t>
      </w:r>
    </w:p>
    <w:p w14:paraId="415D6D02" w14:textId="77777777" w:rsidR="00EC2532" w:rsidRPr="00AB5B90" w:rsidRDefault="00EC2532" w:rsidP="003E5B22">
      <w:pPr>
        <w:tabs>
          <w:tab w:val="left" w:pos="540"/>
          <w:tab w:val="left" w:pos="569"/>
        </w:tabs>
        <w:jc w:val="both"/>
        <w:rPr>
          <w:bCs/>
          <w:sz w:val="22"/>
          <w:szCs w:val="22"/>
          <w:lang w:val="sr-Latn-ME"/>
        </w:rPr>
      </w:pPr>
    </w:p>
    <w:p w14:paraId="382BC88F" w14:textId="77777777" w:rsidR="0072020E" w:rsidRPr="00AB5B90" w:rsidRDefault="0072020E" w:rsidP="003E5B22">
      <w:pPr>
        <w:tabs>
          <w:tab w:val="left" w:pos="540"/>
          <w:tab w:val="left" w:pos="569"/>
        </w:tabs>
        <w:jc w:val="both"/>
        <w:rPr>
          <w:b/>
          <w:bCs/>
          <w:sz w:val="22"/>
          <w:szCs w:val="22"/>
          <w:lang w:val="sr-Latn-ME"/>
        </w:rPr>
      </w:pPr>
      <w:r w:rsidRPr="00AB5B90">
        <w:rPr>
          <w:b/>
          <w:bCs/>
          <w:sz w:val="22"/>
          <w:szCs w:val="22"/>
          <w:lang w:val="sr-Latn-ME"/>
        </w:rPr>
        <w:t xml:space="preserve">6.5. </w:t>
      </w:r>
      <w:r w:rsidR="00480FB1" w:rsidRPr="00AB5B90">
        <w:rPr>
          <w:b/>
          <w:bCs/>
          <w:sz w:val="22"/>
          <w:szCs w:val="22"/>
          <w:lang w:val="sr-Latn-ME"/>
        </w:rPr>
        <w:tab/>
      </w:r>
      <w:r w:rsidR="002846DB" w:rsidRPr="00AB5B90">
        <w:rPr>
          <w:b/>
          <w:bCs/>
          <w:sz w:val="22"/>
          <w:szCs w:val="22"/>
          <w:lang w:val="sr-Latn-ME"/>
        </w:rPr>
        <w:t xml:space="preserve">Vrsta i sadržaj </w:t>
      </w:r>
      <w:r w:rsidR="00F8570A" w:rsidRPr="00AB5B90">
        <w:rPr>
          <w:b/>
          <w:bCs/>
          <w:sz w:val="22"/>
          <w:szCs w:val="22"/>
          <w:lang w:val="sr-Latn-ME"/>
        </w:rPr>
        <w:t>pakovanja</w:t>
      </w:r>
      <w:r w:rsidR="00C06864" w:rsidRPr="00AB5B90">
        <w:rPr>
          <w:b/>
          <w:bCs/>
          <w:sz w:val="22"/>
          <w:szCs w:val="22"/>
          <w:lang w:val="sr-Latn-ME"/>
        </w:rPr>
        <w:t xml:space="preserve"> </w:t>
      </w:r>
    </w:p>
    <w:p w14:paraId="238E1D10" w14:textId="77777777" w:rsidR="00902AB3" w:rsidRPr="00AB5B90" w:rsidRDefault="00902AB3" w:rsidP="003E5B22">
      <w:pPr>
        <w:tabs>
          <w:tab w:val="left" w:pos="540"/>
          <w:tab w:val="left" w:pos="569"/>
        </w:tabs>
        <w:jc w:val="both"/>
        <w:rPr>
          <w:sz w:val="22"/>
          <w:szCs w:val="22"/>
          <w:lang w:val="sr-Latn-ME"/>
        </w:rPr>
      </w:pPr>
    </w:p>
    <w:p w14:paraId="58A9827A" w14:textId="09487C73" w:rsidR="00902AB3" w:rsidRPr="00AB5B90" w:rsidRDefault="00902AB3" w:rsidP="003E5B22">
      <w:pPr>
        <w:tabs>
          <w:tab w:val="left" w:pos="540"/>
          <w:tab w:val="left" w:pos="569"/>
        </w:tabs>
        <w:jc w:val="both"/>
        <w:rPr>
          <w:sz w:val="22"/>
          <w:szCs w:val="22"/>
          <w:lang w:val="sr-Latn-ME"/>
        </w:rPr>
      </w:pPr>
      <w:r w:rsidRPr="00AB5B90">
        <w:rPr>
          <w:sz w:val="22"/>
          <w:szCs w:val="22"/>
          <w:lang w:val="sr-Latn-ME"/>
        </w:rPr>
        <w:t>Unutrašnje pakovanje je ampula od tamnog stakla koja sadrži 10 m</w:t>
      </w:r>
      <w:r w:rsidR="0015101E" w:rsidRPr="00AB5B90">
        <w:rPr>
          <w:sz w:val="22"/>
          <w:szCs w:val="22"/>
          <w:lang w:val="sr-Latn-ME"/>
        </w:rPr>
        <w:t>l</w:t>
      </w:r>
      <w:r w:rsidRPr="00AB5B90">
        <w:rPr>
          <w:sz w:val="22"/>
          <w:szCs w:val="22"/>
          <w:lang w:val="sr-Latn-ME"/>
        </w:rPr>
        <w:t xml:space="preserve"> rastvora.</w:t>
      </w:r>
    </w:p>
    <w:p w14:paraId="79FF6B71" w14:textId="15DB11D2" w:rsidR="00902AB3" w:rsidRPr="00AB5B90" w:rsidRDefault="00902AB3" w:rsidP="003E5B22">
      <w:pPr>
        <w:tabs>
          <w:tab w:val="left" w:pos="540"/>
          <w:tab w:val="left" w:pos="569"/>
        </w:tabs>
        <w:jc w:val="both"/>
        <w:rPr>
          <w:sz w:val="22"/>
          <w:szCs w:val="22"/>
          <w:lang w:val="sr-Latn-ME"/>
        </w:rPr>
      </w:pPr>
      <w:r w:rsidRPr="00AB5B90">
        <w:rPr>
          <w:sz w:val="22"/>
          <w:szCs w:val="22"/>
          <w:lang w:val="sr-Latn-ME"/>
        </w:rPr>
        <w:t xml:space="preserve">Spoljnje pakovanje je </w:t>
      </w:r>
      <w:proofErr w:type="spellStart"/>
      <w:r w:rsidRPr="00AB5B90">
        <w:rPr>
          <w:sz w:val="22"/>
          <w:szCs w:val="22"/>
          <w:lang w:val="sr-Latn-ME"/>
        </w:rPr>
        <w:t>složiva</w:t>
      </w:r>
      <w:proofErr w:type="spellEnd"/>
      <w:r w:rsidRPr="00AB5B90">
        <w:rPr>
          <w:sz w:val="22"/>
          <w:szCs w:val="22"/>
          <w:lang w:val="sr-Latn-ME"/>
        </w:rPr>
        <w:t xml:space="preserve"> kartonska kutija u kojoj se nalaze 2 kartonska uloška sa po 10 ampula (ukupno 20 ampula) i Uputstvo za lijek.</w:t>
      </w:r>
    </w:p>
    <w:p w14:paraId="02B9DFD5" w14:textId="77777777" w:rsidR="0072020E" w:rsidRPr="00AB5B90" w:rsidRDefault="0072020E" w:rsidP="003E5B22">
      <w:pPr>
        <w:tabs>
          <w:tab w:val="left" w:pos="540"/>
          <w:tab w:val="left" w:pos="569"/>
        </w:tabs>
        <w:jc w:val="both"/>
        <w:rPr>
          <w:bCs/>
          <w:sz w:val="22"/>
          <w:szCs w:val="22"/>
          <w:lang w:val="sr-Latn-ME"/>
        </w:rPr>
      </w:pPr>
    </w:p>
    <w:p w14:paraId="2FCCA59A" w14:textId="77777777" w:rsidR="002846DB" w:rsidRPr="00AB5B90" w:rsidRDefault="0072020E" w:rsidP="003E5B22">
      <w:pPr>
        <w:tabs>
          <w:tab w:val="left" w:pos="540"/>
          <w:tab w:val="left" w:pos="569"/>
        </w:tabs>
        <w:jc w:val="both"/>
        <w:rPr>
          <w:b/>
          <w:bCs/>
          <w:sz w:val="22"/>
          <w:szCs w:val="22"/>
          <w:lang w:val="sr-Latn-ME"/>
        </w:rPr>
      </w:pPr>
      <w:r w:rsidRPr="00AB5B90">
        <w:rPr>
          <w:b/>
          <w:bCs/>
          <w:sz w:val="22"/>
          <w:szCs w:val="22"/>
          <w:lang w:val="sr-Latn-ME"/>
        </w:rPr>
        <w:t xml:space="preserve">6.6. </w:t>
      </w:r>
      <w:r w:rsidR="00480FB1" w:rsidRPr="00AB5B90">
        <w:rPr>
          <w:b/>
          <w:bCs/>
          <w:sz w:val="22"/>
          <w:szCs w:val="22"/>
          <w:lang w:val="sr-Latn-ME"/>
        </w:rPr>
        <w:tab/>
      </w:r>
      <w:r w:rsidRPr="00AB5B90">
        <w:rPr>
          <w:b/>
          <w:bCs/>
          <w:color w:val="000000"/>
          <w:sz w:val="22"/>
          <w:szCs w:val="22"/>
          <w:lang w:val="sr-Latn-ME"/>
        </w:rPr>
        <w:t>Posebne mjere opreza pri odlaganju materijala koji treba odbaciti nakon primjene lijeka</w:t>
      </w:r>
      <w:r w:rsidRPr="00AB5B90">
        <w:rPr>
          <w:b/>
          <w:bCs/>
          <w:sz w:val="22"/>
          <w:szCs w:val="22"/>
          <w:lang w:val="sr-Latn-ME"/>
        </w:rPr>
        <w:t xml:space="preserve"> </w:t>
      </w:r>
      <w:r w:rsidR="00310F03" w:rsidRPr="00AB5B90">
        <w:rPr>
          <w:b/>
          <w:bCs/>
          <w:sz w:val="22"/>
          <w:szCs w:val="22"/>
          <w:lang w:val="sr-Latn-ME"/>
        </w:rPr>
        <w:t>(i druga uputs</w:t>
      </w:r>
      <w:r w:rsidR="004109FA" w:rsidRPr="00AB5B90">
        <w:rPr>
          <w:b/>
          <w:bCs/>
          <w:sz w:val="22"/>
          <w:szCs w:val="22"/>
          <w:lang w:val="sr-Latn-ME"/>
        </w:rPr>
        <w:t>t</w:t>
      </w:r>
      <w:r w:rsidR="00310F03" w:rsidRPr="00AB5B90">
        <w:rPr>
          <w:b/>
          <w:bCs/>
          <w:sz w:val="22"/>
          <w:szCs w:val="22"/>
          <w:lang w:val="sr-Latn-ME"/>
        </w:rPr>
        <w:t xml:space="preserve">va za rukovanje lijekom) </w:t>
      </w:r>
    </w:p>
    <w:p w14:paraId="58F9D9C4" w14:textId="77777777" w:rsidR="00B66A70" w:rsidRPr="00AB5B90" w:rsidRDefault="00B66A70" w:rsidP="003E5B22">
      <w:pPr>
        <w:tabs>
          <w:tab w:val="left" w:pos="540"/>
          <w:tab w:val="left" w:pos="569"/>
        </w:tabs>
        <w:jc w:val="both"/>
        <w:rPr>
          <w:b/>
          <w:bCs/>
          <w:sz w:val="22"/>
          <w:szCs w:val="22"/>
          <w:lang w:val="sr-Latn-ME"/>
        </w:rPr>
      </w:pPr>
    </w:p>
    <w:p w14:paraId="0E99C4B8" w14:textId="77777777" w:rsidR="00902AB3" w:rsidRPr="00AB5B90" w:rsidRDefault="00902AB3" w:rsidP="003E5B22">
      <w:pPr>
        <w:pStyle w:val="Header"/>
        <w:tabs>
          <w:tab w:val="left" w:pos="284"/>
        </w:tabs>
        <w:jc w:val="both"/>
        <w:rPr>
          <w:sz w:val="22"/>
          <w:szCs w:val="22"/>
          <w:lang w:val="sr-Latn-ME"/>
        </w:rPr>
      </w:pPr>
      <w:r w:rsidRPr="00AB5B90">
        <w:rPr>
          <w:sz w:val="22"/>
          <w:szCs w:val="22"/>
          <w:lang w:val="sr-Latn-ME"/>
        </w:rPr>
        <w:t>Svu neiskorišćenu količinu lijeka ili otpadnog materijala nakon njegove upotrebe treba ukloniti, u skladu sa važećim propisima.</w:t>
      </w:r>
    </w:p>
    <w:p w14:paraId="3C1C8303" w14:textId="77777777" w:rsidR="00902AB3" w:rsidRPr="00AB5B90" w:rsidRDefault="00902AB3" w:rsidP="003E5B22">
      <w:pPr>
        <w:tabs>
          <w:tab w:val="left" w:pos="540"/>
          <w:tab w:val="left" w:pos="569"/>
        </w:tabs>
        <w:jc w:val="both"/>
        <w:rPr>
          <w:bCs/>
          <w:sz w:val="22"/>
          <w:szCs w:val="22"/>
          <w:lang w:val="sr-Latn-ME"/>
        </w:rPr>
      </w:pPr>
    </w:p>
    <w:p w14:paraId="0424165D" w14:textId="77777777" w:rsidR="0072020E" w:rsidRPr="00AB5B90" w:rsidRDefault="0072020E" w:rsidP="003E5B22">
      <w:pPr>
        <w:tabs>
          <w:tab w:val="left" w:pos="540"/>
          <w:tab w:val="left" w:pos="569"/>
        </w:tabs>
        <w:jc w:val="both"/>
        <w:rPr>
          <w:bCs/>
          <w:sz w:val="22"/>
          <w:szCs w:val="22"/>
          <w:lang w:val="sr-Latn-ME"/>
        </w:rPr>
      </w:pPr>
    </w:p>
    <w:p w14:paraId="777A9F4F" w14:textId="77777777" w:rsidR="00F8570A" w:rsidRPr="00AB5B90" w:rsidRDefault="0072020E" w:rsidP="003E5B22">
      <w:pPr>
        <w:tabs>
          <w:tab w:val="left" w:pos="540"/>
          <w:tab w:val="left" w:pos="569"/>
        </w:tabs>
        <w:jc w:val="both"/>
        <w:rPr>
          <w:b/>
          <w:bCs/>
          <w:sz w:val="22"/>
          <w:szCs w:val="22"/>
          <w:lang w:val="sr-Latn-ME"/>
        </w:rPr>
      </w:pPr>
      <w:r w:rsidRPr="00AB5B90">
        <w:rPr>
          <w:b/>
          <w:bCs/>
          <w:sz w:val="22"/>
          <w:szCs w:val="22"/>
          <w:lang w:val="sr-Latn-ME"/>
        </w:rPr>
        <w:t xml:space="preserve">7. </w:t>
      </w:r>
      <w:r w:rsidR="00480FB1" w:rsidRPr="00AB5B90">
        <w:rPr>
          <w:b/>
          <w:bCs/>
          <w:sz w:val="22"/>
          <w:szCs w:val="22"/>
          <w:lang w:val="sr-Latn-ME"/>
        </w:rPr>
        <w:tab/>
      </w:r>
      <w:r w:rsidRPr="00AB5B90">
        <w:rPr>
          <w:b/>
          <w:bCs/>
          <w:sz w:val="22"/>
          <w:szCs w:val="22"/>
          <w:lang w:val="sr-Latn-ME"/>
        </w:rPr>
        <w:t>NOSILAC DOZVOLE</w:t>
      </w:r>
      <w:r w:rsidR="00483928" w:rsidRPr="00AB5B90">
        <w:rPr>
          <w:b/>
          <w:bCs/>
          <w:sz w:val="22"/>
          <w:szCs w:val="22"/>
          <w:lang w:val="sr-Latn-ME"/>
        </w:rPr>
        <w:t xml:space="preserve"> </w:t>
      </w:r>
    </w:p>
    <w:p w14:paraId="363E9C60" w14:textId="77777777" w:rsidR="00C61BE0" w:rsidRPr="00AB5B90" w:rsidRDefault="00C61BE0" w:rsidP="003E5B22">
      <w:pPr>
        <w:tabs>
          <w:tab w:val="left" w:pos="540"/>
          <w:tab w:val="left" w:pos="569"/>
        </w:tabs>
        <w:jc w:val="both"/>
        <w:rPr>
          <w:bCs/>
          <w:sz w:val="22"/>
          <w:szCs w:val="22"/>
          <w:lang w:val="sr-Latn-ME"/>
        </w:rPr>
      </w:pPr>
    </w:p>
    <w:p w14:paraId="47D3C829" w14:textId="77777777" w:rsidR="00902AB3" w:rsidRPr="00AB5B90" w:rsidRDefault="00902AB3" w:rsidP="003E5B22">
      <w:pPr>
        <w:pStyle w:val="Header"/>
        <w:tabs>
          <w:tab w:val="left" w:pos="284"/>
        </w:tabs>
        <w:jc w:val="both"/>
        <w:rPr>
          <w:sz w:val="22"/>
          <w:szCs w:val="22"/>
          <w:lang w:val="sr-Latn-ME"/>
        </w:rPr>
      </w:pPr>
      <w:r w:rsidRPr="00AB5B90">
        <w:rPr>
          <w:sz w:val="22"/>
          <w:szCs w:val="22"/>
          <w:lang w:val="sr-Latn-ME"/>
        </w:rPr>
        <w:t xml:space="preserve">Evropa </w:t>
      </w:r>
      <w:proofErr w:type="spellStart"/>
      <w:r w:rsidRPr="00AB5B90">
        <w:rPr>
          <w:sz w:val="22"/>
          <w:szCs w:val="22"/>
          <w:lang w:val="sr-Latn-ME"/>
        </w:rPr>
        <w:t>Lek</w:t>
      </w:r>
      <w:proofErr w:type="spellEnd"/>
      <w:r w:rsidRPr="00AB5B90">
        <w:rPr>
          <w:sz w:val="22"/>
          <w:szCs w:val="22"/>
          <w:lang w:val="sr-Latn-ME"/>
        </w:rPr>
        <w:t xml:space="preserve"> Pharma d.o.o. Podgorica</w:t>
      </w:r>
    </w:p>
    <w:p w14:paraId="22B2A995" w14:textId="77777777" w:rsidR="00902AB3" w:rsidRPr="00AB5B90" w:rsidRDefault="00902AB3" w:rsidP="003E5B22">
      <w:pPr>
        <w:pStyle w:val="Header"/>
        <w:tabs>
          <w:tab w:val="left" w:pos="284"/>
        </w:tabs>
        <w:jc w:val="both"/>
        <w:rPr>
          <w:sz w:val="22"/>
          <w:szCs w:val="22"/>
          <w:lang w:val="sr-Latn-ME"/>
        </w:rPr>
      </w:pPr>
      <w:r w:rsidRPr="00AB5B90">
        <w:rPr>
          <w:sz w:val="22"/>
          <w:szCs w:val="22"/>
          <w:lang w:val="sr-Latn-ME"/>
        </w:rPr>
        <w:t>Kritskog odreda 4/1, 81000 Podgorica, Crna Gora</w:t>
      </w:r>
    </w:p>
    <w:p w14:paraId="1B01E053" w14:textId="499489FD" w:rsidR="00C37FD7" w:rsidRDefault="00C37FD7" w:rsidP="003E5B22">
      <w:pPr>
        <w:tabs>
          <w:tab w:val="left" w:pos="540"/>
          <w:tab w:val="left" w:pos="569"/>
        </w:tabs>
        <w:jc w:val="both"/>
        <w:rPr>
          <w:bCs/>
          <w:sz w:val="22"/>
          <w:szCs w:val="22"/>
          <w:lang w:val="sr-Latn-ME"/>
        </w:rPr>
      </w:pPr>
    </w:p>
    <w:p w14:paraId="627E93E9" w14:textId="77777777" w:rsidR="00C11F0A" w:rsidRPr="00AB5B90" w:rsidRDefault="00C11F0A" w:rsidP="003E5B22">
      <w:pPr>
        <w:tabs>
          <w:tab w:val="left" w:pos="540"/>
          <w:tab w:val="left" w:pos="569"/>
        </w:tabs>
        <w:jc w:val="both"/>
        <w:rPr>
          <w:bCs/>
          <w:sz w:val="22"/>
          <w:szCs w:val="22"/>
          <w:lang w:val="sr-Latn-ME"/>
        </w:rPr>
      </w:pPr>
    </w:p>
    <w:p w14:paraId="320794A3" w14:textId="77777777" w:rsidR="0072020E" w:rsidRPr="00AB5B90" w:rsidRDefault="0072020E" w:rsidP="003E5B22">
      <w:pPr>
        <w:tabs>
          <w:tab w:val="left" w:pos="540"/>
          <w:tab w:val="left" w:pos="569"/>
        </w:tabs>
        <w:jc w:val="both"/>
        <w:rPr>
          <w:b/>
          <w:bCs/>
          <w:sz w:val="22"/>
          <w:szCs w:val="22"/>
          <w:lang w:val="sr-Latn-ME"/>
        </w:rPr>
      </w:pPr>
      <w:r w:rsidRPr="00AB5B90">
        <w:rPr>
          <w:b/>
          <w:bCs/>
          <w:sz w:val="22"/>
          <w:szCs w:val="22"/>
          <w:lang w:val="sr-Latn-ME"/>
        </w:rPr>
        <w:t xml:space="preserve">8. </w:t>
      </w:r>
      <w:r w:rsidR="00480FB1" w:rsidRPr="00AB5B90">
        <w:rPr>
          <w:b/>
          <w:bCs/>
          <w:sz w:val="22"/>
          <w:szCs w:val="22"/>
          <w:lang w:val="sr-Latn-ME"/>
        </w:rPr>
        <w:tab/>
      </w:r>
      <w:r w:rsidRPr="00AB5B90">
        <w:rPr>
          <w:b/>
          <w:bCs/>
          <w:sz w:val="22"/>
          <w:szCs w:val="22"/>
          <w:lang w:val="sr-Latn-ME"/>
        </w:rPr>
        <w:t>BROJ DOZVOLE</w:t>
      </w:r>
      <w:r w:rsidR="008A6D43" w:rsidRPr="00AB5B90">
        <w:rPr>
          <w:b/>
          <w:bCs/>
          <w:sz w:val="22"/>
          <w:szCs w:val="22"/>
          <w:lang w:val="sr-Latn-ME"/>
        </w:rPr>
        <w:t xml:space="preserve"> ZA STAVLJANJE LIJEKA U PROMET</w:t>
      </w:r>
    </w:p>
    <w:p w14:paraId="67DE0BCD" w14:textId="78CB2627" w:rsidR="0072020E" w:rsidRDefault="0072020E" w:rsidP="003E5B22">
      <w:pPr>
        <w:tabs>
          <w:tab w:val="left" w:pos="540"/>
          <w:tab w:val="left" w:pos="569"/>
        </w:tabs>
        <w:jc w:val="both"/>
        <w:rPr>
          <w:bCs/>
          <w:sz w:val="22"/>
          <w:szCs w:val="22"/>
          <w:lang w:val="sr-Latn-ME"/>
        </w:rPr>
      </w:pPr>
    </w:p>
    <w:p w14:paraId="24839909" w14:textId="59D7A02C" w:rsidR="00AB5B90" w:rsidRPr="00AB5B90" w:rsidRDefault="00AB5B90" w:rsidP="003E5B22">
      <w:pPr>
        <w:tabs>
          <w:tab w:val="left" w:pos="540"/>
          <w:tab w:val="left" w:pos="569"/>
        </w:tabs>
        <w:jc w:val="both"/>
        <w:rPr>
          <w:bCs/>
          <w:sz w:val="22"/>
          <w:szCs w:val="22"/>
          <w:lang w:val="sr-Latn-ME"/>
        </w:rPr>
      </w:pPr>
      <w:r w:rsidRPr="00CA0731">
        <w:rPr>
          <w:sz w:val="22"/>
          <w:szCs w:val="22"/>
          <w:lang w:val="sr-Latn-ME"/>
        </w:rPr>
        <w:t>2030/24/2852 - 2156</w:t>
      </w:r>
    </w:p>
    <w:p w14:paraId="4C77A877" w14:textId="50C9D036" w:rsidR="00F45F77" w:rsidRDefault="00F45F77" w:rsidP="003E5B22">
      <w:pPr>
        <w:tabs>
          <w:tab w:val="left" w:pos="540"/>
          <w:tab w:val="left" w:pos="569"/>
        </w:tabs>
        <w:jc w:val="both"/>
        <w:rPr>
          <w:bCs/>
          <w:sz w:val="22"/>
          <w:szCs w:val="22"/>
          <w:lang w:val="sr-Latn-ME"/>
        </w:rPr>
      </w:pPr>
    </w:p>
    <w:p w14:paraId="694586D9" w14:textId="77777777" w:rsidR="00AB5B90" w:rsidRPr="00AB5B90" w:rsidRDefault="00AB5B90" w:rsidP="003E5B22">
      <w:pPr>
        <w:tabs>
          <w:tab w:val="left" w:pos="540"/>
          <w:tab w:val="left" w:pos="569"/>
        </w:tabs>
        <w:jc w:val="both"/>
        <w:rPr>
          <w:bCs/>
          <w:sz w:val="22"/>
          <w:szCs w:val="22"/>
          <w:lang w:val="sr-Latn-ME"/>
        </w:rPr>
      </w:pPr>
    </w:p>
    <w:p w14:paraId="2586B3C6" w14:textId="77777777" w:rsidR="0072020E" w:rsidRPr="00AB5B90" w:rsidRDefault="0072020E" w:rsidP="003E5B22">
      <w:pPr>
        <w:tabs>
          <w:tab w:val="left" w:pos="540"/>
          <w:tab w:val="left" w:pos="569"/>
        </w:tabs>
        <w:jc w:val="both"/>
        <w:rPr>
          <w:b/>
          <w:bCs/>
          <w:sz w:val="22"/>
          <w:szCs w:val="22"/>
          <w:lang w:val="sr-Latn-ME"/>
        </w:rPr>
      </w:pPr>
      <w:r w:rsidRPr="00AB5B90">
        <w:rPr>
          <w:b/>
          <w:bCs/>
          <w:sz w:val="22"/>
          <w:szCs w:val="22"/>
          <w:lang w:val="sr-Latn-ME"/>
        </w:rPr>
        <w:lastRenderedPageBreak/>
        <w:t xml:space="preserve">9. </w:t>
      </w:r>
      <w:r w:rsidR="00480FB1" w:rsidRPr="00AB5B90">
        <w:rPr>
          <w:b/>
          <w:bCs/>
          <w:sz w:val="22"/>
          <w:szCs w:val="22"/>
          <w:lang w:val="sr-Latn-ME"/>
        </w:rPr>
        <w:tab/>
      </w:r>
      <w:r w:rsidRPr="00AB5B90">
        <w:rPr>
          <w:b/>
          <w:bCs/>
          <w:sz w:val="22"/>
          <w:szCs w:val="22"/>
          <w:lang w:val="sr-Latn-ME"/>
        </w:rPr>
        <w:t xml:space="preserve">DATUM </w:t>
      </w:r>
      <w:r w:rsidR="00C05DF8" w:rsidRPr="00AB5B90">
        <w:rPr>
          <w:b/>
          <w:bCs/>
          <w:sz w:val="22"/>
          <w:szCs w:val="22"/>
          <w:lang w:val="sr-Latn-ME"/>
        </w:rPr>
        <w:t xml:space="preserve">PRVE </w:t>
      </w:r>
      <w:r w:rsidR="008A6D43" w:rsidRPr="00AB5B90">
        <w:rPr>
          <w:b/>
          <w:bCs/>
          <w:sz w:val="22"/>
          <w:szCs w:val="22"/>
          <w:lang w:val="sr-Latn-ME"/>
        </w:rPr>
        <w:t>DOZVOLE</w:t>
      </w:r>
      <w:r w:rsidR="00C05DF8" w:rsidRPr="00AB5B90">
        <w:rPr>
          <w:b/>
          <w:bCs/>
          <w:sz w:val="22"/>
          <w:szCs w:val="22"/>
          <w:lang w:val="sr-Latn-ME"/>
        </w:rPr>
        <w:t>/OBNOVE DOZVOLE</w:t>
      </w:r>
      <w:r w:rsidR="008A6D43" w:rsidRPr="00AB5B90">
        <w:rPr>
          <w:b/>
          <w:bCs/>
          <w:sz w:val="22"/>
          <w:szCs w:val="22"/>
          <w:lang w:val="sr-Latn-ME"/>
        </w:rPr>
        <w:t xml:space="preserve"> ZA STAVLJANJE LIJEKA U PROMET</w:t>
      </w:r>
    </w:p>
    <w:p w14:paraId="3BAB84E7" w14:textId="77777777" w:rsidR="0072020E" w:rsidRPr="00AB5B90" w:rsidRDefault="0072020E" w:rsidP="003E5B22">
      <w:pPr>
        <w:tabs>
          <w:tab w:val="left" w:pos="540"/>
          <w:tab w:val="left" w:pos="569"/>
        </w:tabs>
        <w:jc w:val="both"/>
        <w:rPr>
          <w:bCs/>
          <w:sz w:val="22"/>
          <w:szCs w:val="22"/>
          <w:lang w:val="sr-Latn-ME"/>
        </w:rPr>
      </w:pPr>
    </w:p>
    <w:p w14:paraId="51D550FC" w14:textId="77777777" w:rsidR="00902AB3" w:rsidRPr="00AB5B90" w:rsidRDefault="00902AB3" w:rsidP="003E5B22">
      <w:pPr>
        <w:pStyle w:val="Header"/>
        <w:tabs>
          <w:tab w:val="left" w:pos="284"/>
        </w:tabs>
        <w:jc w:val="both"/>
        <w:rPr>
          <w:sz w:val="22"/>
          <w:szCs w:val="22"/>
          <w:lang w:val="sr-Latn-ME"/>
        </w:rPr>
      </w:pPr>
      <w:r w:rsidRPr="00AB5B90">
        <w:rPr>
          <w:sz w:val="22"/>
          <w:szCs w:val="22"/>
          <w:lang w:val="sr-Latn-ME"/>
        </w:rPr>
        <w:t xml:space="preserve">Datum prve dozvole: 09.12.2013. </w:t>
      </w:r>
    </w:p>
    <w:p w14:paraId="7F90AD9B" w14:textId="2023D94E" w:rsidR="00902AB3" w:rsidRPr="00AB5B90" w:rsidRDefault="00902AB3" w:rsidP="003E5B22">
      <w:pPr>
        <w:pStyle w:val="Header"/>
        <w:tabs>
          <w:tab w:val="left" w:pos="284"/>
        </w:tabs>
        <w:jc w:val="both"/>
        <w:rPr>
          <w:sz w:val="22"/>
          <w:szCs w:val="22"/>
          <w:lang w:val="sr-Latn-ME"/>
        </w:rPr>
      </w:pPr>
      <w:r w:rsidRPr="00AB5B90">
        <w:rPr>
          <w:sz w:val="22"/>
          <w:szCs w:val="22"/>
          <w:lang w:val="sr-Latn-ME"/>
        </w:rPr>
        <w:t xml:space="preserve">Datum </w:t>
      </w:r>
      <w:proofErr w:type="spellStart"/>
      <w:r w:rsidRPr="00AB5B90">
        <w:rPr>
          <w:sz w:val="22"/>
          <w:szCs w:val="22"/>
          <w:lang w:val="sr-Latn-ME"/>
        </w:rPr>
        <w:t>poslednje</w:t>
      </w:r>
      <w:proofErr w:type="spellEnd"/>
      <w:r w:rsidRPr="00AB5B90">
        <w:rPr>
          <w:sz w:val="22"/>
          <w:szCs w:val="22"/>
          <w:lang w:val="sr-Latn-ME"/>
        </w:rPr>
        <w:t xml:space="preserve"> obnove dozvole:</w:t>
      </w:r>
      <w:r w:rsidR="00AB5B90">
        <w:rPr>
          <w:sz w:val="22"/>
          <w:szCs w:val="22"/>
          <w:lang w:val="sr-Latn-ME"/>
        </w:rPr>
        <w:t xml:space="preserve"> </w:t>
      </w:r>
      <w:r w:rsidR="00AB5B90" w:rsidRPr="00CA0731">
        <w:rPr>
          <w:sz w:val="22"/>
          <w:szCs w:val="22"/>
          <w:lang w:val="sr-Latn-ME"/>
        </w:rPr>
        <w:t>30.05.2024. godine</w:t>
      </w:r>
    </w:p>
    <w:p w14:paraId="3E1660D1" w14:textId="01D5B2CC" w:rsidR="00836B35" w:rsidRDefault="00836B35" w:rsidP="003E5B22">
      <w:pPr>
        <w:tabs>
          <w:tab w:val="left" w:pos="540"/>
          <w:tab w:val="left" w:pos="569"/>
        </w:tabs>
        <w:jc w:val="both"/>
        <w:rPr>
          <w:bCs/>
          <w:sz w:val="22"/>
          <w:szCs w:val="22"/>
          <w:lang w:val="sr-Latn-ME"/>
        </w:rPr>
      </w:pPr>
    </w:p>
    <w:p w14:paraId="7E38F4D4" w14:textId="77777777" w:rsidR="00AB5B90" w:rsidRPr="00AB5B90" w:rsidRDefault="00AB5B90" w:rsidP="003E5B22">
      <w:pPr>
        <w:tabs>
          <w:tab w:val="left" w:pos="540"/>
          <w:tab w:val="left" w:pos="569"/>
        </w:tabs>
        <w:jc w:val="both"/>
        <w:rPr>
          <w:bCs/>
          <w:sz w:val="22"/>
          <w:szCs w:val="22"/>
          <w:lang w:val="sr-Latn-ME"/>
        </w:rPr>
      </w:pPr>
    </w:p>
    <w:p w14:paraId="33769DCB" w14:textId="18D8954C" w:rsidR="003F6A59" w:rsidRPr="00AB5B90" w:rsidRDefault="0072020E" w:rsidP="003E5B22">
      <w:pPr>
        <w:jc w:val="both"/>
        <w:rPr>
          <w:b/>
          <w:bCs/>
          <w:sz w:val="22"/>
          <w:szCs w:val="22"/>
          <w:lang w:val="sr-Latn-ME"/>
        </w:rPr>
      </w:pPr>
      <w:r w:rsidRPr="00AB5B90">
        <w:rPr>
          <w:b/>
          <w:bCs/>
          <w:sz w:val="22"/>
          <w:szCs w:val="22"/>
          <w:lang w:val="sr-Latn-ME"/>
        </w:rPr>
        <w:t xml:space="preserve">10. </w:t>
      </w:r>
      <w:r w:rsidR="00480FB1" w:rsidRPr="00AB5B90">
        <w:rPr>
          <w:b/>
          <w:bCs/>
          <w:sz w:val="22"/>
          <w:szCs w:val="22"/>
          <w:lang w:val="sr-Latn-ME"/>
        </w:rPr>
        <w:tab/>
      </w:r>
      <w:r w:rsidR="002846DB" w:rsidRPr="00AB5B90">
        <w:rPr>
          <w:b/>
          <w:bCs/>
          <w:sz w:val="22"/>
          <w:szCs w:val="22"/>
          <w:lang w:val="sr-Latn-ME"/>
        </w:rPr>
        <w:t>D</w:t>
      </w:r>
      <w:r w:rsidR="00EC2532" w:rsidRPr="00AB5B90">
        <w:rPr>
          <w:b/>
          <w:bCs/>
          <w:sz w:val="22"/>
          <w:szCs w:val="22"/>
          <w:lang w:val="sr-Latn-ME"/>
        </w:rPr>
        <w:t xml:space="preserve">ATUM REVIZIJE TEKSTA </w:t>
      </w:r>
    </w:p>
    <w:p w14:paraId="47E4341D" w14:textId="655048EF" w:rsidR="00592A80" w:rsidRDefault="00592A80" w:rsidP="003E5B22">
      <w:pPr>
        <w:jc w:val="both"/>
        <w:rPr>
          <w:sz w:val="22"/>
          <w:szCs w:val="22"/>
          <w:lang w:val="sr-Latn-ME"/>
        </w:rPr>
      </w:pPr>
    </w:p>
    <w:p w14:paraId="540ADDAD" w14:textId="4D9B53D1" w:rsidR="00AB5B90" w:rsidRPr="00AB5B90" w:rsidRDefault="00AB5B90" w:rsidP="003E5B22">
      <w:pPr>
        <w:jc w:val="both"/>
        <w:rPr>
          <w:sz w:val="22"/>
          <w:szCs w:val="22"/>
          <w:lang w:val="sr-Latn-ME"/>
        </w:rPr>
      </w:pPr>
      <w:r>
        <w:rPr>
          <w:sz w:val="22"/>
          <w:szCs w:val="22"/>
          <w:lang w:val="sr-Latn-ME"/>
        </w:rPr>
        <w:t>Maj, 2024. godine</w:t>
      </w:r>
      <w:bookmarkStart w:id="0" w:name="_GoBack"/>
      <w:bookmarkEnd w:id="0"/>
    </w:p>
    <w:sectPr w:rsidR="00AB5B90" w:rsidRPr="00AB5B90" w:rsidSect="00EF3B86">
      <w:headerReference w:type="default" r:id="rId12"/>
      <w:footerReference w:type="default" r:id="rId13"/>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8D587" w14:textId="77777777" w:rsidR="001B45EA" w:rsidRDefault="001B45EA">
      <w:r>
        <w:separator/>
      </w:r>
    </w:p>
  </w:endnote>
  <w:endnote w:type="continuationSeparator" w:id="0">
    <w:p w14:paraId="18632CD3" w14:textId="77777777" w:rsidR="001B45EA" w:rsidRDefault="001B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83D47" w14:textId="45206164"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C11F0A">
      <w:rPr>
        <w:noProof/>
        <w:sz w:val="22"/>
        <w:szCs w:val="22"/>
      </w:rPr>
      <w:t>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C11F0A">
      <w:rPr>
        <w:noProof/>
        <w:sz w:val="22"/>
        <w:szCs w:val="22"/>
      </w:rPr>
      <w:t>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AFDD3" w14:textId="77777777" w:rsidR="001B45EA" w:rsidRDefault="001B45EA">
      <w:r>
        <w:separator/>
      </w:r>
    </w:p>
  </w:footnote>
  <w:footnote w:type="continuationSeparator" w:id="0">
    <w:p w14:paraId="5A999A75" w14:textId="77777777" w:rsidR="001B45EA" w:rsidRDefault="001B4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20F3C" w14:textId="696FE103" w:rsidR="00AC50F6" w:rsidRDefault="00AC50F6">
    <w:pPr>
      <w:pStyle w:val="Header"/>
    </w:pPr>
  </w:p>
  <w:p w14:paraId="7C729CDB" w14:textId="77777777" w:rsidR="00AC50F6" w:rsidRDefault="00AC5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6pt;height:13.45pt;visibility:visible" o:bullet="t">
        <v:imagedata r:id="rId1" o:title="BT_1000x858px"/>
      </v:shape>
    </w:pict>
  </w:numPicBullet>
  <w:abstractNum w:abstractNumId="0" w15:restartNumberingAfterBreak="0">
    <w:nsid w:val="02AE6EE9"/>
    <w:multiLevelType w:val="hybridMultilevel"/>
    <w:tmpl w:val="B4F80F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6D180C"/>
    <w:multiLevelType w:val="hybridMultilevel"/>
    <w:tmpl w:val="466AAB6C"/>
    <w:lvl w:ilvl="0" w:tplc="93A83308">
      <w:start w:val="4"/>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71493"/>
    <w:multiLevelType w:val="hybridMultilevel"/>
    <w:tmpl w:val="0860CD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3220A25"/>
    <w:multiLevelType w:val="hybridMultilevel"/>
    <w:tmpl w:val="34947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37062490"/>
    <w:multiLevelType w:val="hybridMultilevel"/>
    <w:tmpl w:val="62D4E4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AF7D91"/>
    <w:multiLevelType w:val="hybridMultilevel"/>
    <w:tmpl w:val="EC3A02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C206E8D"/>
    <w:multiLevelType w:val="hybridMultilevel"/>
    <w:tmpl w:val="EA706C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E109CF"/>
    <w:multiLevelType w:val="hybridMultilevel"/>
    <w:tmpl w:val="FB14F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EB03D9"/>
    <w:multiLevelType w:val="hybridMultilevel"/>
    <w:tmpl w:val="6712B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1145C8"/>
    <w:multiLevelType w:val="hybridMultilevel"/>
    <w:tmpl w:val="0EA4EA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3"/>
  </w:num>
  <w:num w:numId="4">
    <w:abstractNumId w:val="14"/>
  </w:num>
  <w:num w:numId="5">
    <w:abstractNumId w:val="8"/>
  </w:num>
  <w:num w:numId="6">
    <w:abstractNumId w:val="4"/>
  </w:num>
  <w:num w:numId="7">
    <w:abstractNumId w:val="13"/>
  </w:num>
  <w:num w:numId="8">
    <w:abstractNumId w:val="7"/>
  </w:num>
  <w:num w:numId="9">
    <w:abstractNumId w:val="10"/>
  </w:num>
  <w:num w:numId="10">
    <w:abstractNumId w:val="20"/>
  </w:num>
  <w:num w:numId="11">
    <w:abstractNumId w:val="9"/>
  </w:num>
  <w:num w:numId="12">
    <w:abstractNumId w:val="1"/>
  </w:num>
  <w:num w:numId="13">
    <w:abstractNumId w:val="19"/>
  </w:num>
  <w:num w:numId="14">
    <w:abstractNumId w:val="0"/>
  </w:num>
  <w:num w:numId="15">
    <w:abstractNumId w:val="11"/>
  </w:num>
  <w:num w:numId="16">
    <w:abstractNumId w:val="16"/>
  </w:num>
  <w:num w:numId="17">
    <w:abstractNumId w:val="2"/>
  </w:num>
  <w:num w:numId="18">
    <w:abstractNumId w:val="5"/>
  </w:num>
  <w:num w:numId="19">
    <w:abstractNumId w:val="15"/>
  </w:num>
  <w:num w:numId="20">
    <w:abstractNumId w:val="1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53E1A"/>
    <w:rsid w:val="00055284"/>
    <w:rsid w:val="00057E35"/>
    <w:rsid w:val="00064E07"/>
    <w:rsid w:val="00076726"/>
    <w:rsid w:val="00080303"/>
    <w:rsid w:val="000A2509"/>
    <w:rsid w:val="000A2EE9"/>
    <w:rsid w:val="000A3F58"/>
    <w:rsid w:val="000B155A"/>
    <w:rsid w:val="000B44AA"/>
    <w:rsid w:val="000D2343"/>
    <w:rsid w:val="000D3449"/>
    <w:rsid w:val="000D36BF"/>
    <w:rsid w:val="000D425A"/>
    <w:rsid w:val="000D58A2"/>
    <w:rsid w:val="000D60CC"/>
    <w:rsid w:val="000E2084"/>
    <w:rsid w:val="000E6F55"/>
    <w:rsid w:val="000F77FA"/>
    <w:rsid w:val="000F7976"/>
    <w:rsid w:val="00102617"/>
    <w:rsid w:val="00105E0A"/>
    <w:rsid w:val="00107BF7"/>
    <w:rsid w:val="00126F53"/>
    <w:rsid w:val="0013090A"/>
    <w:rsid w:val="00144F5C"/>
    <w:rsid w:val="0014766D"/>
    <w:rsid w:val="0015101E"/>
    <w:rsid w:val="001536CC"/>
    <w:rsid w:val="001603B1"/>
    <w:rsid w:val="00171CB9"/>
    <w:rsid w:val="00193F46"/>
    <w:rsid w:val="001A392A"/>
    <w:rsid w:val="001A3FBA"/>
    <w:rsid w:val="001A5518"/>
    <w:rsid w:val="001A619F"/>
    <w:rsid w:val="001B1C6A"/>
    <w:rsid w:val="001B42C8"/>
    <w:rsid w:val="001B45EA"/>
    <w:rsid w:val="001C1263"/>
    <w:rsid w:val="001C1417"/>
    <w:rsid w:val="001E390B"/>
    <w:rsid w:val="001F42FB"/>
    <w:rsid w:val="001F719A"/>
    <w:rsid w:val="002031B3"/>
    <w:rsid w:val="00215931"/>
    <w:rsid w:val="0022795C"/>
    <w:rsid w:val="00227BDB"/>
    <w:rsid w:val="00234CB1"/>
    <w:rsid w:val="002352F8"/>
    <w:rsid w:val="002510A5"/>
    <w:rsid w:val="00254A0A"/>
    <w:rsid w:val="00266046"/>
    <w:rsid w:val="002846DB"/>
    <w:rsid w:val="00284CCD"/>
    <w:rsid w:val="00292571"/>
    <w:rsid w:val="002C4CC9"/>
    <w:rsid w:val="002C6637"/>
    <w:rsid w:val="002C7E38"/>
    <w:rsid w:val="002E0135"/>
    <w:rsid w:val="002E092A"/>
    <w:rsid w:val="002E2E43"/>
    <w:rsid w:val="002E37A5"/>
    <w:rsid w:val="002E4C59"/>
    <w:rsid w:val="002F1434"/>
    <w:rsid w:val="002F4B04"/>
    <w:rsid w:val="00310F03"/>
    <w:rsid w:val="00311F23"/>
    <w:rsid w:val="003121E7"/>
    <w:rsid w:val="003247D2"/>
    <w:rsid w:val="003445C1"/>
    <w:rsid w:val="00355B61"/>
    <w:rsid w:val="00362686"/>
    <w:rsid w:val="00371510"/>
    <w:rsid w:val="00396DFD"/>
    <w:rsid w:val="003A7059"/>
    <w:rsid w:val="003B7A36"/>
    <w:rsid w:val="003C17AB"/>
    <w:rsid w:val="003C7823"/>
    <w:rsid w:val="003E1DCC"/>
    <w:rsid w:val="003E5B22"/>
    <w:rsid w:val="003F4E2F"/>
    <w:rsid w:val="003F6381"/>
    <w:rsid w:val="003F6A59"/>
    <w:rsid w:val="004056DC"/>
    <w:rsid w:val="004065C8"/>
    <w:rsid w:val="00407C19"/>
    <w:rsid w:val="004109FA"/>
    <w:rsid w:val="00411B4B"/>
    <w:rsid w:val="00415BEE"/>
    <w:rsid w:val="00427F85"/>
    <w:rsid w:val="004304C2"/>
    <w:rsid w:val="00436F42"/>
    <w:rsid w:val="004378B4"/>
    <w:rsid w:val="0044345F"/>
    <w:rsid w:val="00451314"/>
    <w:rsid w:val="00452E9D"/>
    <w:rsid w:val="004534C7"/>
    <w:rsid w:val="00463161"/>
    <w:rsid w:val="004671AA"/>
    <w:rsid w:val="00480FB1"/>
    <w:rsid w:val="00483928"/>
    <w:rsid w:val="004915C6"/>
    <w:rsid w:val="004C0EF3"/>
    <w:rsid w:val="004C66CC"/>
    <w:rsid w:val="004D325A"/>
    <w:rsid w:val="004D35DE"/>
    <w:rsid w:val="004D492E"/>
    <w:rsid w:val="004D6103"/>
    <w:rsid w:val="004E3BCE"/>
    <w:rsid w:val="004E4816"/>
    <w:rsid w:val="004E4E62"/>
    <w:rsid w:val="004F0E97"/>
    <w:rsid w:val="00501D38"/>
    <w:rsid w:val="00501DD1"/>
    <w:rsid w:val="00515C21"/>
    <w:rsid w:val="00527351"/>
    <w:rsid w:val="00530BD7"/>
    <w:rsid w:val="00544245"/>
    <w:rsid w:val="00544792"/>
    <w:rsid w:val="00545CD2"/>
    <w:rsid w:val="005476F3"/>
    <w:rsid w:val="00547A5D"/>
    <w:rsid w:val="00572527"/>
    <w:rsid w:val="00573E40"/>
    <w:rsid w:val="005757BD"/>
    <w:rsid w:val="005759AE"/>
    <w:rsid w:val="00576348"/>
    <w:rsid w:val="00592A80"/>
    <w:rsid w:val="005A0B2E"/>
    <w:rsid w:val="005A23D2"/>
    <w:rsid w:val="005A36CB"/>
    <w:rsid w:val="005B49B8"/>
    <w:rsid w:val="005B6F88"/>
    <w:rsid w:val="005C0741"/>
    <w:rsid w:val="005C5EF4"/>
    <w:rsid w:val="005D1916"/>
    <w:rsid w:val="005E2E0B"/>
    <w:rsid w:val="005E3D2D"/>
    <w:rsid w:val="005E7A7D"/>
    <w:rsid w:val="00602457"/>
    <w:rsid w:val="00606C4A"/>
    <w:rsid w:val="00626071"/>
    <w:rsid w:val="006340CD"/>
    <w:rsid w:val="00635B90"/>
    <w:rsid w:val="00646BD1"/>
    <w:rsid w:val="006561C2"/>
    <w:rsid w:val="00671CB3"/>
    <w:rsid w:val="00674BAF"/>
    <w:rsid w:val="00677F00"/>
    <w:rsid w:val="00682200"/>
    <w:rsid w:val="00687A35"/>
    <w:rsid w:val="00691744"/>
    <w:rsid w:val="00692BF6"/>
    <w:rsid w:val="006A0255"/>
    <w:rsid w:val="006A1497"/>
    <w:rsid w:val="006A2B93"/>
    <w:rsid w:val="006A30A4"/>
    <w:rsid w:val="006B06DC"/>
    <w:rsid w:val="006B0BD1"/>
    <w:rsid w:val="006D20A5"/>
    <w:rsid w:val="006D37BF"/>
    <w:rsid w:val="006D41BB"/>
    <w:rsid w:val="006E3970"/>
    <w:rsid w:val="00702E22"/>
    <w:rsid w:val="0072020E"/>
    <w:rsid w:val="00725973"/>
    <w:rsid w:val="0076622F"/>
    <w:rsid w:val="00786071"/>
    <w:rsid w:val="00793DFF"/>
    <w:rsid w:val="007A3ECB"/>
    <w:rsid w:val="007C14F1"/>
    <w:rsid w:val="007E7985"/>
    <w:rsid w:val="007F0F33"/>
    <w:rsid w:val="00820D75"/>
    <w:rsid w:val="00824AB9"/>
    <w:rsid w:val="0082596C"/>
    <w:rsid w:val="00836B35"/>
    <w:rsid w:val="00843BDE"/>
    <w:rsid w:val="0089705C"/>
    <w:rsid w:val="008A28F1"/>
    <w:rsid w:val="008A6D43"/>
    <w:rsid w:val="008B491E"/>
    <w:rsid w:val="008B4C83"/>
    <w:rsid w:val="008C1A28"/>
    <w:rsid w:val="008C2E98"/>
    <w:rsid w:val="008E49BD"/>
    <w:rsid w:val="008E53E9"/>
    <w:rsid w:val="008E5454"/>
    <w:rsid w:val="008E5771"/>
    <w:rsid w:val="008E7DC4"/>
    <w:rsid w:val="008F2C9C"/>
    <w:rsid w:val="008F4ACF"/>
    <w:rsid w:val="00902AB3"/>
    <w:rsid w:val="00940B9B"/>
    <w:rsid w:val="00940FAE"/>
    <w:rsid w:val="00943290"/>
    <w:rsid w:val="00951B79"/>
    <w:rsid w:val="0095676E"/>
    <w:rsid w:val="00956983"/>
    <w:rsid w:val="009572AE"/>
    <w:rsid w:val="00963CF0"/>
    <w:rsid w:val="00964BB1"/>
    <w:rsid w:val="00966AF5"/>
    <w:rsid w:val="009775D9"/>
    <w:rsid w:val="00983AC6"/>
    <w:rsid w:val="00997175"/>
    <w:rsid w:val="009A1847"/>
    <w:rsid w:val="009B062A"/>
    <w:rsid w:val="009B3A34"/>
    <w:rsid w:val="009E7C6F"/>
    <w:rsid w:val="009F1793"/>
    <w:rsid w:val="009F2D23"/>
    <w:rsid w:val="00A01D69"/>
    <w:rsid w:val="00A022C9"/>
    <w:rsid w:val="00A02335"/>
    <w:rsid w:val="00A068A3"/>
    <w:rsid w:val="00A16301"/>
    <w:rsid w:val="00A168DD"/>
    <w:rsid w:val="00A4582D"/>
    <w:rsid w:val="00A46C9A"/>
    <w:rsid w:val="00A47B50"/>
    <w:rsid w:val="00A619F3"/>
    <w:rsid w:val="00A62A73"/>
    <w:rsid w:val="00A64465"/>
    <w:rsid w:val="00A87FF6"/>
    <w:rsid w:val="00AA070D"/>
    <w:rsid w:val="00AA0A3B"/>
    <w:rsid w:val="00AA2763"/>
    <w:rsid w:val="00AA33B6"/>
    <w:rsid w:val="00AB215D"/>
    <w:rsid w:val="00AB50CA"/>
    <w:rsid w:val="00AB5B90"/>
    <w:rsid w:val="00AB6D64"/>
    <w:rsid w:val="00AC50F6"/>
    <w:rsid w:val="00AC53CE"/>
    <w:rsid w:val="00AD2193"/>
    <w:rsid w:val="00AF17F0"/>
    <w:rsid w:val="00AF2AC7"/>
    <w:rsid w:val="00AF74CE"/>
    <w:rsid w:val="00B05E10"/>
    <w:rsid w:val="00B11C07"/>
    <w:rsid w:val="00B17814"/>
    <w:rsid w:val="00B208DB"/>
    <w:rsid w:val="00B22952"/>
    <w:rsid w:val="00B23F69"/>
    <w:rsid w:val="00B2622D"/>
    <w:rsid w:val="00B52993"/>
    <w:rsid w:val="00B60619"/>
    <w:rsid w:val="00B66A70"/>
    <w:rsid w:val="00B67366"/>
    <w:rsid w:val="00B72912"/>
    <w:rsid w:val="00B75A91"/>
    <w:rsid w:val="00B80EE1"/>
    <w:rsid w:val="00B84135"/>
    <w:rsid w:val="00B94F93"/>
    <w:rsid w:val="00BA1792"/>
    <w:rsid w:val="00BC0969"/>
    <w:rsid w:val="00BE4043"/>
    <w:rsid w:val="00BF105A"/>
    <w:rsid w:val="00C04D34"/>
    <w:rsid w:val="00C05DF8"/>
    <w:rsid w:val="00C06864"/>
    <w:rsid w:val="00C10F54"/>
    <w:rsid w:val="00C11F0A"/>
    <w:rsid w:val="00C12B16"/>
    <w:rsid w:val="00C23D8D"/>
    <w:rsid w:val="00C25E03"/>
    <w:rsid w:val="00C33FFA"/>
    <w:rsid w:val="00C37AA3"/>
    <w:rsid w:val="00C37FD7"/>
    <w:rsid w:val="00C43419"/>
    <w:rsid w:val="00C44CF3"/>
    <w:rsid w:val="00C55327"/>
    <w:rsid w:val="00C61BE0"/>
    <w:rsid w:val="00C70B0E"/>
    <w:rsid w:val="00C773CA"/>
    <w:rsid w:val="00C831C8"/>
    <w:rsid w:val="00C83785"/>
    <w:rsid w:val="00C94C0D"/>
    <w:rsid w:val="00CA1716"/>
    <w:rsid w:val="00CA1FEB"/>
    <w:rsid w:val="00CB70CE"/>
    <w:rsid w:val="00CC314C"/>
    <w:rsid w:val="00CC5D5C"/>
    <w:rsid w:val="00CC66DD"/>
    <w:rsid w:val="00CD1608"/>
    <w:rsid w:val="00CD4F85"/>
    <w:rsid w:val="00CD6F02"/>
    <w:rsid w:val="00CE0662"/>
    <w:rsid w:val="00CE246D"/>
    <w:rsid w:val="00CF07A0"/>
    <w:rsid w:val="00CF3E03"/>
    <w:rsid w:val="00CF7043"/>
    <w:rsid w:val="00D0082A"/>
    <w:rsid w:val="00D07EB2"/>
    <w:rsid w:val="00D1664C"/>
    <w:rsid w:val="00D21455"/>
    <w:rsid w:val="00D27D8C"/>
    <w:rsid w:val="00D311CD"/>
    <w:rsid w:val="00D31E7F"/>
    <w:rsid w:val="00D47634"/>
    <w:rsid w:val="00D709B3"/>
    <w:rsid w:val="00D85368"/>
    <w:rsid w:val="00D932CE"/>
    <w:rsid w:val="00DA2ED6"/>
    <w:rsid w:val="00DB76B8"/>
    <w:rsid w:val="00DB7AEF"/>
    <w:rsid w:val="00DC2EA1"/>
    <w:rsid w:val="00DD13D7"/>
    <w:rsid w:val="00DD323A"/>
    <w:rsid w:val="00DD6AAF"/>
    <w:rsid w:val="00DE3F5C"/>
    <w:rsid w:val="00DF0A25"/>
    <w:rsid w:val="00DF1D20"/>
    <w:rsid w:val="00E11B73"/>
    <w:rsid w:val="00E21324"/>
    <w:rsid w:val="00E246B9"/>
    <w:rsid w:val="00E31FEA"/>
    <w:rsid w:val="00E35361"/>
    <w:rsid w:val="00E45169"/>
    <w:rsid w:val="00E47787"/>
    <w:rsid w:val="00E50CE3"/>
    <w:rsid w:val="00E5133A"/>
    <w:rsid w:val="00E51C30"/>
    <w:rsid w:val="00E64180"/>
    <w:rsid w:val="00E6623A"/>
    <w:rsid w:val="00E6679D"/>
    <w:rsid w:val="00E74AEE"/>
    <w:rsid w:val="00E868E5"/>
    <w:rsid w:val="00E9237A"/>
    <w:rsid w:val="00E939FA"/>
    <w:rsid w:val="00EA5765"/>
    <w:rsid w:val="00EA70CE"/>
    <w:rsid w:val="00EC2532"/>
    <w:rsid w:val="00EC4FCE"/>
    <w:rsid w:val="00ED0514"/>
    <w:rsid w:val="00ED7812"/>
    <w:rsid w:val="00EF3B86"/>
    <w:rsid w:val="00EF57E9"/>
    <w:rsid w:val="00F00A5F"/>
    <w:rsid w:val="00F1199E"/>
    <w:rsid w:val="00F15DAA"/>
    <w:rsid w:val="00F26D2B"/>
    <w:rsid w:val="00F317E9"/>
    <w:rsid w:val="00F33429"/>
    <w:rsid w:val="00F34554"/>
    <w:rsid w:val="00F45F77"/>
    <w:rsid w:val="00F5167F"/>
    <w:rsid w:val="00F52258"/>
    <w:rsid w:val="00F54C01"/>
    <w:rsid w:val="00F5556E"/>
    <w:rsid w:val="00F62D06"/>
    <w:rsid w:val="00F8570A"/>
    <w:rsid w:val="00F91C7B"/>
    <w:rsid w:val="00F95DB3"/>
    <w:rsid w:val="00FA5906"/>
    <w:rsid w:val="00FA602F"/>
    <w:rsid w:val="00FC215F"/>
    <w:rsid w:val="00FC4F3D"/>
    <w:rsid w:val="00FE1B8E"/>
    <w:rsid w:val="00FE573D"/>
    <w:rsid w:val="00FF5F82"/>
    <w:rsid w:val="00FF717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BD4E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4E4816"/>
    <w:rPr>
      <w:sz w:val="24"/>
      <w:szCs w:val="24"/>
      <w:lang w:val="en-US" w:eastAsia="en-US"/>
    </w:rPr>
  </w:style>
  <w:style w:type="character" w:styleId="Hyperlink">
    <w:name w:val="Hyperlink"/>
    <w:basedOn w:val="DefaultParagraphFont"/>
    <w:rsid w:val="000F7976"/>
    <w:rPr>
      <w:color w:val="0563C1" w:themeColor="hyperlink"/>
      <w:u w:val="single"/>
    </w:rPr>
  </w:style>
  <w:style w:type="paragraph" w:styleId="Revision">
    <w:name w:val="Revision"/>
    <w:hidden/>
    <w:uiPriority w:val="99"/>
    <w:semiHidden/>
    <w:rsid w:val="00AF17F0"/>
    <w:rPr>
      <w:sz w:val="24"/>
      <w:szCs w:val="24"/>
      <w:lang w:val="en-US" w:eastAsia="en-US"/>
    </w:rPr>
  </w:style>
  <w:style w:type="paragraph" w:styleId="ListParagraph">
    <w:name w:val="List Paragraph"/>
    <w:basedOn w:val="Normal"/>
    <w:uiPriority w:val="34"/>
    <w:qFormat/>
    <w:rsid w:val="003F4E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714672">
      <w:bodyDiv w:val="1"/>
      <w:marLeft w:val="0"/>
      <w:marRight w:val="0"/>
      <w:marTop w:val="0"/>
      <w:marBottom w:val="0"/>
      <w:divBdr>
        <w:top w:val="none" w:sz="0" w:space="0" w:color="auto"/>
        <w:left w:val="none" w:sz="0" w:space="0" w:color="auto"/>
        <w:bottom w:val="none" w:sz="0" w:space="0" w:color="auto"/>
        <w:right w:val="none" w:sz="0" w:space="0" w:color="auto"/>
      </w:divBdr>
    </w:div>
    <w:div w:id="1846163469">
      <w:bodyDiv w:val="1"/>
      <w:marLeft w:val="0"/>
      <w:marRight w:val="0"/>
      <w:marTop w:val="0"/>
      <w:marBottom w:val="0"/>
      <w:divBdr>
        <w:top w:val="none" w:sz="0" w:space="0" w:color="auto"/>
        <w:left w:val="none" w:sz="0" w:space="0" w:color="auto"/>
        <w:bottom w:val="none" w:sz="0" w:space="0" w:color="auto"/>
        <w:right w:val="none" w:sz="0" w:space="0" w:color="auto"/>
      </w:divBdr>
    </w:div>
    <w:div w:id="185795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31820-029C-45CC-8851-BF519F508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17823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Gordana Boljević</cp:lastModifiedBy>
  <cp:revision>4</cp:revision>
  <dcterms:created xsi:type="dcterms:W3CDTF">2024-05-30T07:02:00Z</dcterms:created>
  <dcterms:modified xsi:type="dcterms:W3CDTF">2024-05-30T11:47:00Z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