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0091F" w14:textId="6DCD0324" w:rsidR="002510A5" w:rsidRPr="004071DE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4071DE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420ABFD4" w14:textId="77777777" w:rsidR="002510A5" w:rsidRPr="004071DE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316E127D" w14:textId="77777777" w:rsidR="003C17AB" w:rsidRPr="004071DE" w:rsidRDefault="003C17AB" w:rsidP="00CA1FEB">
      <w:pPr>
        <w:rPr>
          <w:sz w:val="22"/>
          <w:szCs w:val="22"/>
          <w:lang w:val="sr-Latn-ME"/>
        </w:rPr>
      </w:pPr>
    </w:p>
    <w:p w14:paraId="2E3DB369" w14:textId="77777777" w:rsidR="00411B4B" w:rsidRPr="004071DE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>1.</w:t>
      </w:r>
      <w:r w:rsidR="00F5167F" w:rsidRPr="004071DE">
        <w:rPr>
          <w:b/>
          <w:bCs/>
          <w:sz w:val="22"/>
          <w:szCs w:val="22"/>
          <w:lang w:val="sr-Latn-ME"/>
        </w:rPr>
        <w:tab/>
      </w:r>
      <w:r w:rsidR="002846DB" w:rsidRPr="004071DE">
        <w:rPr>
          <w:b/>
          <w:bCs/>
          <w:sz w:val="22"/>
          <w:szCs w:val="22"/>
          <w:lang w:val="sr-Latn-ME"/>
        </w:rPr>
        <w:t xml:space="preserve">NAZIV </w:t>
      </w:r>
      <w:r w:rsidRPr="004071DE">
        <w:rPr>
          <w:b/>
          <w:bCs/>
          <w:sz w:val="22"/>
          <w:szCs w:val="22"/>
          <w:lang w:val="sr-Latn-ME"/>
        </w:rPr>
        <w:t>LIJEKA</w:t>
      </w:r>
    </w:p>
    <w:p w14:paraId="101885FC" w14:textId="77777777" w:rsidR="00EC2532" w:rsidRPr="004071DE" w:rsidRDefault="00EC2532">
      <w:pPr>
        <w:rPr>
          <w:sz w:val="22"/>
          <w:szCs w:val="22"/>
          <w:lang w:val="sr-Latn-ME"/>
        </w:rPr>
      </w:pPr>
    </w:p>
    <w:p w14:paraId="0932513F" w14:textId="0610DCC7" w:rsidR="007A7B42" w:rsidRPr="004071DE" w:rsidRDefault="007A7B42" w:rsidP="007A7B42">
      <w:pPr>
        <w:tabs>
          <w:tab w:val="left" w:pos="284"/>
        </w:tabs>
        <w:rPr>
          <w:sz w:val="22"/>
          <w:szCs w:val="22"/>
          <w:lang w:val="sr-Latn-ME"/>
        </w:rPr>
      </w:pPr>
      <w:r w:rsidRPr="004071DE">
        <w:rPr>
          <w:sz w:val="22"/>
          <w:szCs w:val="22"/>
          <w:lang w:val="sr-Latn-ME"/>
        </w:rPr>
        <w:t>Diupot, 25 mg, film tablet</w:t>
      </w:r>
      <w:r w:rsidR="006C77A1" w:rsidRPr="004071DE">
        <w:rPr>
          <w:sz w:val="22"/>
          <w:szCs w:val="22"/>
          <w:lang w:val="sr-Latn-ME"/>
        </w:rPr>
        <w:t>a</w:t>
      </w:r>
    </w:p>
    <w:p w14:paraId="6A639901" w14:textId="18C52502" w:rsidR="007A7B42" w:rsidRPr="004071DE" w:rsidRDefault="007A7B42" w:rsidP="007A7B42">
      <w:pPr>
        <w:tabs>
          <w:tab w:val="left" w:pos="284"/>
        </w:tabs>
        <w:rPr>
          <w:sz w:val="22"/>
          <w:szCs w:val="22"/>
          <w:lang w:val="sr-Latn-ME"/>
        </w:rPr>
      </w:pPr>
      <w:r w:rsidRPr="004071DE">
        <w:rPr>
          <w:sz w:val="22"/>
          <w:szCs w:val="22"/>
          <w:lang w:val="sr-Latn-ME"/>
        </w:rPr>
        <w:t>Diupot, 50 mg, film tablet</w:t>
      </w:r>
      <w:r w:rsidR="006C77A1" w:rsidRPr="004071DE">
        <w:rPr>
          <w:sz w:val="22"/>
          <w:szCs w:val="22"/>
          <w:lang w:val="sr-Latn-ME"/>
        </w:rPr>
        <w:t>a</w:t>
      </w:r>
    </w:p>
    <w:p w14:paraId="09F1A145" w14:textId="77777777" w:rsidR="007A7B42" w:rsidRPr="004071DE" w:rsidRDefault="007A7B42" w:rsidP="007A7B42">
      <w:pPr>
        <w:tabs>
          <w:tab w:val="left" w:pos="284"/>
        </w:tabs>
        <w:rPr>
          <w:sz w:val="22"/>
          <w:szCs w:val="22"/>
          <w:lang w:val="sr-Latn-ME"/>
        </w:rPr>
      </w:pPr>
    </w:p>
    <w:p w14:paraId="2FBEAF1A" w14:textId="77777777" w:rsidR="007A7B42" w:rsidRPr="004071DE" w:rsidRDefault="007A7B42" w:rsidP="007A7B4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71DE">
        <w:rPr>
          <w:sz w:val="22"/>
          <w:szCs w:val="22"/>
          <w:lang w:val="sr-Latn-ME"/>
        </w:rPr>
        <w:t>INN: eplerenon</w:t>
      </w:r>
    </w:p>
    <w:p w14:paraId="3416FDE5" w14:textId="398B4214" w:rsidR="00530BD7" w:rsidRPr="004071DE" w:rsidRDefault="00530BD7">
      <w:pPr>
        <w:rPr>
          <w:bCs/>
          <w:sz w:val="22"/>
          <w:szCs w:val="22"/>
          <w:lang w:val="sr-Latn-ME"/>
        </w:rPr>
      </w:pPr>
    </w:p>
    <w:p w14:paraId="2E72D25B" w14:textId="77777777" w:rsidR="007E64AE" w:rsidRPr="004071DE" w:rsidRDefault="007E64AE">
      <w:pPr>
        <w:rPr>
          <w:bCs/>
          <w:sz w:val="22"/>
          <w:szCs w:val="22"/>
          <w:lang w:val="sr-Latn-ME"/>
        </w:rPr>
      </w:pPr>
    </w:p>
    <w:p w14:paraId="71171753" w14:textId="77777777" w:rsidR="00411B4B" w:rsidRPr="004071DE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 xml:space="preserve">2. </w:t>
      </w:r>
      <w:r w:rsidR="00F5167F" w:rsidRPr="004071DE">
        <w:rPr>
          <w:b/>
          <w:bCs/>
          <w:sz w:val="22"/>
          <w:szCs w:val="22"/>
          <w:lang w:val="sr-Latn-ME"/>
        </w:rPr>
        <w:tab/>
      </w:r>
      <w:r w:rsidRPr="004071DE">
        <w:rPr>
          <w:b/>
          <w:bCs/>
          <w:sz w:val="22"/>
          <w:szCs w:val="22"/>
          <w:lang w:val="sr-Latn-ME"/>
        </w:rPr>
        <w:t>KVALITATIVNI I KVANTITATIVNI SASTAV</w:t>
      </w:r>
    </w:p>
    <w:p w14:paraId="1DE6C2E4" w14:textId="77777777" w:rsidR="005A0B2E" w:rsidRPr="004071DE" w:rsidRDefault="005A0B2E">
      <w:pPr>
        <w:rPr>
          <w:sz w:val="22"/>
          <w:szCs w:val="22"/>
          <w:lang w:val="sr-Latn-ME"/>
        </w:rPr>
      </w:pPr>
    </w:p>
    <w:p w14:paraId="5AE36DAC" w14:textId="7FD215BE" w:rsidR="007E64AE" w:rsidRPr="004071DE" w:rsidRDefault="007A7B42" w:rsidP="007A7B42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4071DE">
        <w:rPr>
          <w:sz w:val="22"/>
          <w:szCs w:val="22"/>
          <w:u w:val="single"/>
          <w:lang w:val="sr-Latn-ME"/>
        </w:rPr>
        <w:t xml:space="preserve">Diupot, 25 mg, film </w:t>
      </w:r>
      <w:r w:rsidR="007E64AE" w:rsidRPr="004071DE">
        <w:rPr>
          <w:sz w:val="22"/>
          <w:szCs w:val="22"/>
          <w:u w:val="single"/>
          <w:lang w:val="sr-Latn-ME"/>
        </w:rPr>
        <w:t>tablet</w:t>
      </w:r>
      <w:r w:rsidR="007B4F8C" w:rsidRPr="004071DE">
        <w:rPr>
          <w:sz w:val="22"/>
          <w:szCs w:val="22"/>
          <w:u w:val="single"/>
          <w:lang w:val="sr-Latn-ME"/>
        </w:rPr>
        <w:t>a</w:t>
      </w:r>
    </w:p>
    <w:p w14:paraId="2CD0A7BD" w14:textId="308C7F49" w:rsidR="007A7B42" w:rsidRPr="004071DE" w:rsidRDefault="007A7B42" w:rsidP="007A7B4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71DE">
        <w:rPr>
          <w:sz w:val="22"/>
          <w:szCs w:val="22"/>
          <w:lang w:val="sr-Latn-ME"/>
        </w:rPr>
        <w:t>Jedna film tableta sadrži 25 mg eplerenona.</w:t>
      </w:r>
    </w:p>
    <w:p w14:paraId="5E0095E5" w14:textId="77777777" w:rsidR="007E64AE" w:rsidRPr="004071DE" w:rsidRDefault="007E64AE" w:rsidP="007A7B4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FBAD740" w14:textId="47907318" w:rsidR="007E64AE" w:rsidRPr="004071DE" w:rsidRDefault="007A7B42" w:rsidP="007A7B4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71DE">
        <w:rPr>
          <w:sz w:val="22"/>
          <w:szCs w:val="22"/>
          <w:u w:val="single"/>
          <w:lang w:val="sr-Latn-ME"/>
        </w:rPr>
        <w:t xml:space="preserve">Diupot, 50 mg, film </w:t>
      </w:r>
      <w:r w:rsidR="007E64AE" w:rsidRPr="004071DE">
        <w:rPr>
          <w:sz w:val="22"/>
          <w:szCs w:val="22"/>
          <w:u w:val="single"/>
          <w:lang w:val="sr-Latn-ME"/>
        </w:rPr>
        <w:t>tablet</w:t>
      </w:r>
      <w:r w:rsidR="007B4F8C" w:rsidRPr="004071DE">
        <w:rPr>
          <w:sz w:val="22"/>
          <w:szCs w:val="22"/>
          <w:u w:val="single"/>
          <w:lang w:val="sr-Latn-ME"/>
        </w:rPr>
        <w:t>a</w:t>
      </w:r>
    </w:p>
    <w:p w14:paraId="5BBFCFA1" w14:textId="7E8700BA" w:rsidR="007A7B42" w:rsidRPr="004071DE" w:rsidRDefault="007A7B42" w:rsidP="007A7B4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71DE">
        <w:rPr>
          <w:sz w:val="22"/>
          <w:szCs w:val="22"/>
          <w:lang w:val="sr-Latn-ME"/>
        </w:rPr>
        <w:t>Jedna film tableta sadrži 50 mg eplerenona.</w:t>
      </w:r>
    </w:p>
    <w:p w14:paraId="688D48C0" w14:textId="77777777" w:rsidR="007A7B42" w:rsidRPr="004071DE" w:rsidRDefault="007A7B42" w:rsidP="007A7B4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F2CD1DC" w14:textId="77777777" w:rsidR="007A7B42" w:rsidRPr="004071DE" w:rsidRDefault="007A7B42" w:rsidP="007A7B4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71DE">
        <w:rPr>
          <w:sz w:val="22"/>
          <w:szCs w:val="22"/>
          <w:lang w:val="sr-Latn-ME"/>
        </w:rPr>
        <w:t>Pomoćne supstance sa potvrđenim dejstvom:</w:t>
      </w:r>
    </w:p>
    <w:p w14:paraId="35BEFB07" w14:textId="77777777" w:rsidR="007E64AE" w:rsidRPr="004071DE" w:rsidRDefault="007E64AE" w:rsidP="007A7B4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8336D26" w14:textId="7D9E3FCB" w:rsidR="007E64AE" w:rsidRPr="004071DE" w:rsidRDefault="007A7B42" w:rsidP="007A7B42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4071DE">
        <w:rPr>
          <w:sz w:val="22"/>
          <w:szCs w:val="22"/>
          <w:u w:val="single"/>
          <w:lang w:val="sr-Latn-ME"/>
        </w:rPr>
        <w:t>Diupot, 25 mg, film tablet</w:t>
      </w:r>
      <w:r w:rsidR="009A0676" w:rsidRPr="004071DE">
        <w:rPr>
          <w:sz w:val="22"/>
          <w:szCs w:val="22"/>
          <w:u w:val="single"/>
          <w:lang w:val="sr-Latn-ME"/>
        </w:rPr>
        <w:t>a</w:t>
      </w:r>
      <w:r w:rsidRPr="004071DE">
        <w:rPr>
          <w:sz w:val="22"/>
          <w:szCs w:val="22"/>
          <w:u w:val="single"/>
          <w:lang w:val="sr-Latn-ME"/>
        </w:rPr>
        <w:t xml:space="preserve"> </w:t>
      </w:r>
    </w:p>
    <w:p w14:paraId="457B8BCF" w14:textId="07DDE7D5" w:rsidR="007A7B42" w:rsidRPr="004071DE" w:rsidRDefault="007A7B42" w:rsidP="007A7B4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71DE">
        <w:rPr>
          <w:sz w:val="22"/>
          <w:szCs w:val="22"/>
          <w:lang w:val="sr-Latn-ME"/>
        </w:rPr>
        <w:t>Jedna film tableta sadrži 35,7 mg laktoze monohidrat</w:t>
      </w:r>
      <w:r w:rsidR="007E64AE" w:rsidRPr="004071DE">
        <w:rPr>
          <w:sz w:val="22"/>
          <w:szCs w:val="22"/>
          <w:lang w:val="sr-Latn-ME"/>
        </w:rPr>
        <w:t>a</w:t>
      </w:r>
      <w:r w:rsidRPr="004071DE">
        <w:rPr>
          <w:sz w:val="22"/>
          <w:szCs w:val="22"/>
          <w:lang w:val="sr-Latn-ME"/>
        </w:rPr>
        <w:t xml:space="preserve"> i 0,018 mmol (0,41 mg) natrijuma (vid</w:t>
      </w:r>
      <w:r w:rsidR="00D17DB7" w:rsidRPr="004071DE">
        <w:rPr>
          <w:sz w:val="22"/>
          <w:szCs w:val="22"/>
          <w:lang w:val="sr-Latn-ME"/>
        </w:rPr>
        <w:t>j</w:t>
      </w:r>
      <w:r w:rsidRPr="004071DE">
        <w:rPr>
          <w:sz w:val="22"/>
          <w:szCs w:val="22"/>
          <w:lang w:val="sr-Latn-ME"/>
        </w:rPr>
        <w:t xml:space="preserve">eti </w:t>
      </w:r>
      <w:r w:rsidR="00280578" w:rsidRPr="004071DE">
        <w:rPr>
          <w:sz w:val="22"/>
          <w:szCs w:val="22"/>
          <w:lang w:val="sr-Latn-ME"/>
        </w:rPr>
        <w:t>dio</w:t>
      </w:r>
      <w:r w:rsidRPr="004071DE">
        <w:rPr>
          <w:sz w:val="22"/>
          <w:szCs w:val="22"/>
          <w:lang w:val="sr-Latn-ME"/>
        </w:rPr>
        <w:t xml:space="preserve"> 4.4).</w:t>
      </w:r>
    </w:p>
    <w:p w14:paraId="76C13AF8" w14:textId="77777777" w:rsidR="007E64AE" w:rsidRPr="004071DE" w:rsidRDefault="007E64AE" w:rsidP="007A7B4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4862F83" w14:textId="31DBFB6D" w:rsidR="007E64AE" w:rsidRPr="004071DE" w:rsidRDefault="007A7B42" w:rsidP="007A7B42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4071DE">
        <w:rPr>
          <w:sz w:val="22"/>
          <w:szCs w:val="22"/>
          <w:u w:val="single"/>
          <w:lang w:val="sr-Latn-ME"/>
        </w:rPr>
        <w:t>Diupot, 50 mg, film tablet</w:t>
      </w:r>
      <w:r w:rsidR="009A0676" w:rsidRPr="004071DE">
        <w:rPr>
          <w:sz w:val="22"/>
          <w:szCs w:val="22"/>
          <w:u w:val="single"/>
          <w:lang w:val="sr-Latn-ME"/>
        </w:rPr>
        <w:t>a</w:t>
      </w:r>
    </w:p>
    <w:p w14:paraId="2FAF6874" w14:textId="2F9DEAFB" w:rsidR="007A7B42" w:rsidRPr="004071DE" w:rsidRDefault="007A7B42" w:rsidP="007A7B4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71DE">
        <w:rPr>
          <w:sz w:val="22"/>
          <w:szCs w:val="22"/>
          <w:lang w:val="sr-Latn-ME"/>
        </w:rPr>
        <w:t>Jedna film tableta sadrži 71,4 mg laktoze monohidrat</w:t>
      </w:r>
      <w:r w:rsidR="007E64AE" w:rsidRPr="004071DE">
        <w:rPr>
          <w:sz w:val="22"/>
          <w:szCs w:val="22"/>
          <w:lang w:val="sr-Latn-ME"/>
        </w:rPr>
        <w:t>a</w:t>
      </w:r>
      <w:r w:rsidRPr="004071DE">
        <w:rPr>
          <w:sz w:val="22"/>
          <w:szCs w:val="22"/>
          <w:lang w:val="sr-Latn-ME"/>
        </w:rPr>
        <w:t xml:space="preserve"> i 0,035 mmol (0,81 mg) natrijuma (vid</w:t>
      </w:r>
      <w:r w:rsidR="00D17DB7" w:rsidRPr="004071DE">
        <w:rPr>
          <w:sz w:val="22"/>
          <w:szCs w:val="22"/>
          <w:lang w:val="sr-Latn-ME"/>
        </w:rPr>
        <w:t>j</w:t>
      </w:r>
      <w:r w:rsidRPr="004071DE">
        <w:rPr>
          <w:sz w:val="22"/>
          <w:szCs w:val="22"/>
          <w:lang w:val="sr-Latn-ME"/>
        </w:rPr>
        <w:t xml:space="preserve">eti </w:t>
      </w:r>
      <w:r w:rsidR="00280578" w:rsidRPr="004071DE">
        <w:rPr>
          <w:sz w:val="22"/>
          <w:szCs w:val="22"/>
          <w:lang w:val="sr-Latn-ME"/>
        </w:rPr>
        <w:t>dio</w:t>
      </w:r>
      <w:r w:rsidRPr="004071DE">
        <w:rPr>
          <w:sz w:val="22"/>
          <w:szCs w:val="22"/>
          <w:lang w:val="sr-Latn-ME"/>
        </w:rPr>
        <w:t xml:space="preserve"> 4.4).</w:t>
      </w:r>
    </w:p>
    <w:p w14:paraId="1EF15EDB" w14:textId="77777777" w:rsidR="007A7B42" w:rsidRPr="004071DE" w:rsidRDefault="007A7B42">
      <w:pPr>
        <w:rPr>
          <w:sz w:val="22"/>
          <w:szCs w:val="22"/>
          <w:lang w:val="sr-Latn-ME"/>
        </w:rPr>
      </w:pPr>
    </w:p>
    <w:p w14:paraId="38CF627F" w14:textId="4ED00F8C" w:rsidR="0003793F" w:rsidRPr="004071DE" w:rsidRDefault="0003793F">
      <w:pPr>
        <w:rPr>
          <w:sz w:val="22"/>
          <w:szCs w:val="22"/>
          <w:lang w:val="sr-Latn-ME"/>
        </w:rPr>
      </w:pPr>
      <w:r w:rsidRPr="004071DE">
        <w:rPr>
          <w:sz w:val="22"/>
          <w:szCs w:val="22"/>
          <w:lang w:val="sr-Latn-ME"/>
        </w:rPr>
        <w:t>Za spisak svih ekscipijenasa, pogledati dio 6.1.</w:t>
      </w:r>
    </w:p>
    <w:p w14:paraId="0702686C" w14:textId="77777777" w:rsidR="0003793F" w:rsidRPr="004071DE" w:rsidRDefault="0003793F">
      <w:pPr>
        <w:rPr>
          <w:sz w:val="22"/>
          <w:szCs w:val="22"/>
          <w:lang w:val="sr-Latn-ME"/>
        </w:rPr>
      </w:pPr>
    </w:p>
    <w:p w14:paraId="026CB940" w14:textId="77777777" w:rsidR="00C37FD7" w:rsidRPr="004071DE" w:rsidRDefault="00C37FD7">
      <w:pPr>
        <w:rPr>
          <w:sz w:val="22"/>
          <w:szCs w:val="22"/>
          <w:lang w:val="sr-Latn-ME"/>
        </w:rPr>
      </w:pPr>
    </w:p>
    <w:p w14:paraId="200B80B4" w14:textId="77777777" w:rsidR="00411B4B" w:rsidRPr="004071DE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 xml:space="preserve">3. </w:t>
      </w:r>
      <w:r w:rsidR="00F5167F" w:rsidRPr="004071DE">
        <w:rPr>
          <w:b/>
          <w:bCs/>
          <w:sz w:val="22"/>
          <w:szCs w:val="22"/>
          <w:lang w:val="sr-Latn-ME"/>
        </w:rPr>
        <w:tab/>
      </w:r>
      <w:r w:rsidRPr="004071DE">
        <w:rPr>
          <w:b/>
          <w:bCs/>
          <w:sz w:val="22"/>
          <w:szCs w:val="22"/>
          <w:lang w:val="sr-Latn-ME"/>
        </w:rPr>
        <w:t>FARMACEUTSKI OBLIK</w:t>
      </w:r>
      <w:r w:rsidR="009F2D23" w:rsidRPr="004071DE">
        <w:rPr>
          <w:b/>
          <w:bCs/>
          <w:sz w:val="22"/>
          <w:szCs w:val="22"/>
          <w:lang w:val="sr-Latn-ME"/>
        </w:rPr>
        <w:t xml:space="preserve"> </w:t>
      </w:r>
    </w:p>
    <w:p w14:paraId="7455328F" w14:textId="2B177326" w:rsidR="00411B4B" w:rsidRPr="004071DE" w:rsidRDefault="00411B4B">
      <w:pPr>
        <w:rPr>
          <w:bCs/>
          <w:sz w:val="22"/>
          <w:szCs w:val="22"/>
          <w:lang w:val="sr-Latn-ME"/>
        </w:rPr>
      </w:pPr>
    </w:p>
    <w:p w14:paraId="277B82A9" w14:textId="15750663" w:rsidR="007A7B42" w:rsidRPr="004071DE" w:rsidRDefault="007A7B42" w:rsidP="007A7B4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71DE">
        <w:rPr>
          <w:sz w:val="22"/>
          <w:szCs w:val="22"/>
          <w:lang w:val="sr-Latn-ME"/>
        </w:rPr>
        <w:t>Film tablet</w:t>
      </w:r>
      <w:r w:rsidR="003A4C3E" w:rsidRPr="004071DE">
        <w:rPr>
          <w:sz w:val="22"/>
          <w:szCs w:val="22"/>
          <w:lang w:val="sr-Latn-ME"/>
        </w:rPr>
        <w:t>a</w:t>
      </w:r>
      <w:r w:rsidRPr="004071DE">
        <w:rPr>
          <w:sz w:val="22"/>
          <w:szCs w:val="22"/>
          <w:lang w:val="sr-Latn-ME"/>
        </w:rPr>
        <w:t>.</w:t>
      </w:r>
    </w:p>
    <w:p w14:paraId="4582D0EB" w14:textId="77777777" w:rsidR="007E64AE" w:rsidRPr="004071DE" w:rsidRDefault="007E64AE" w:rsidP="007A7B4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8505314" w14:textId="3F28403B" w:rsidR="007A7B42" w:rsidRPr="004071DE" w:rsidRDefault="007A7B42" w:rsidP="007A7B4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71DE">
        <w:rPr>
          <w:sz w:val="22"/>
          <w:szCs w:val="22"/>
          <w:lang w:val="sr-Latn-ME"/>
        </w:rPr>
        <w:t>Diupot, 25 mg, film tablet</w:t>
      </w:r>
      <w:r w:rsidR="007E64AE" w:rsidRPr="004071DE">
        <w:rPr>
          <w:sz w:val="22"/>
          <w:szCs w:val="22"/>
          <w:lang w:val="sr-Latn-ME"/>
        </w:rPr>
        <w:t>a je</w:t>
      </w:r>
      <w:r w:rsidRPr="004071DE">
        <w:rPr>
          <w:sz w:val="22"/>
          <w:szCs w:val="22"/>
          <w:lang w:val="sr-Latn-ME"/>
        </w:rPr>
        <w:t xml:space="preserve"> okrugl</w:t>
      </w:r>
      <w:r w:rsidR="007E64AE" w:rsidRPr="004071DE">
        <w:rPr>
          <w:sz w:val="22"/>
          <w:szCs w:val="22"/>
          <w:lang w:val="sr-Latn-ME"/>
        </w:rPr>
        <w:t>a</w:t>
      </w:r>
      <w:r w:rsidRPr="004071DE">
        <w:rPr>
          <w:sz w:val="22"/>
          <w:szCs w:val="22"/>
          <w:lang w:val="sr-Latn-ME"/>
        </w:rPr>
        <w:t>, bikonveksn</w:t>
      </w:r>
      <w:r w:rsidR="007E64AE" w:rsidRPr="004071DE">
        <w:rPr>
          <w:sz w:val="22"/>
          <w:szCs w:val="22"/>
          <w:lang w:val="sr-Latn-ME"/>
        </w:rPr>
        <w:t>a</w:t>
      </w:r>
      <w:r w:rsidRPr="004071DE">
        <w:rPr>
          <w:sz w:val="22"/>
          <w:szCs w:val="22"/>
          <w:lang w:val="sr-Latn-ME"/>
        </w:rPr>
        <w:t xml:space="preserve"> film tablet</w:t>
      </w:r>
      <w:r w:rsidR="007E64AE" w:rsidRPr="004071DE">
        <w:rPr>
          <w:sz w:val="22"/>
          <w:szCs w:val="22"/>
          <w:lang w:val="sr-Latn-ME"/>
        </w:rPr>
        <w:t>a</w:t>
      </w:r>
      <w:r w:rsidRPr="004071DE">
        <w:rPr>
          <w:sz w:val="22"/>
          <w:szCs w:val="22"/>
          <w:lang w:val="sr-Latn-ME"/>
        </w:rPr>
        <w:t xml:space="preserve"> žute boje, sa utisnutom oznakom „E25“ </w:t>
      </w:r>
      <w:r w:rsidR="007E64AE" w:rsidRPr="004071DE">
        <w:rPr>
          <w:sz w:val="22"/>
          <w:szCs w:val="22"/>
          <w:lang w:val="sr-Latn-ME"/>
        </w:rPr>
        <w:t xml:space="preserve">na </w:t>
      </w:r>
      <w:r w:rsidRPr="004071DE">
        <w:rPr>
          <w:sz w:val="22"/>
          <w:szCs w:val="22"/>
          <w:lang w:val="sr-Latn-ME"/>
        </w:rPr>
        <w:t>jedn</w:t>
      </w:r>
      <w:r w:rsidR="007E64AE" w:rsidRPr="004071DE">
        <w:rPr>
          <w:sz w:val="22"/>
          <w:szCs w:val="22"/>
          <w:lang w:val="sr-Latn-ME"/>
        </w:rPr>
        <w:t>oj</w:t>
      </w:r>
      <w:r w:rsidRPr="004071DE">
        <w:rPr>
          <w:sz w:val="22"/>
          <w:szCs w:val="22"/>
          <w:lang w:val="sr-Latn-ME"/>
        </w:rPr>
        <w:t xml:space="preserve"> stran</w:t>
      </w:r>
      <w:r w:rsidR="007E64AE" w:rsidRPr="004071DE">
        <w:rPr>
          <w:sz w:val="22"/>
          <w:szCs w:val="22"/>
          <w:lang w:val="sr-Latn-ME"/>
        </w:rPr>
        <w:t>i</w:t>
      </w:r>
      <w:r w:rsidRPr="004071DE">
        <w:rPr>
          <w:sz w:val="22"/>
          <w:szCs w:val="22"/>
          <w:lang w:val="sr-Latn-ME"/>
        </w:rPr>
        <w:t>.</w:t>
      </w:r>
    </w:p>
    <w:p w14:paraId="1C4F462B" w14:textId="77777777" w:rsidR="007E64AE" w:rsidRPr="004071DE" w:rsidRDefault="007E64AE" w:rsidP="007A7B4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DA93CC4" w14:textId="7B781D95" w:rsidR="007A7B42" w:rsidRPr="004071DE" w:rsidRDefault="007A7B42" w:rsidP="007A7B4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71DE">
        <w:rPr>
          <w:sz w:val="22"/>
          <w:szCs w:val="22"/>
          <w:lang w:val="sr-Latn-ME"/>
        </w:rPr>
        <w:t>Diupot, 50 mg, film tablet</w:t>
      </w:r>
      <w:r w:rsidR="007E64AE" w:rsidRPr="004071DE">
        <w:rPr>
          <w:sz w:val="22"/>
          <w:szCs w:val="22"/>
          <w:lang w:val="sr-Latn-ME"/>
        </w:rPr>
        <w:t>a je</w:t>
      </w:r>
      <w:r w:rsidRPr="004071DE">
        <w:rPr>
          <w:sz w:val="22"/>
          <w:szCs w:val="22"/>
          <w:lang w:val="sr-Latn-ME"/>
        </w:rPr>
        <w:t xml:space="preserve"> okrugl</w:t>
      </w:r>
      <w:r w:rsidR="007E64AE" w:rsidRPr="004071DE">
        <w:rPr>
          <w:sz w:val="22"/>
          <w:szCs w:val="22"/>
          <w:lang w:val="sr-Latn-ME"/>
        </w:rPr>
        <w:t>a</w:t>
      </w:r>
      <w:r w:rsidRPr="004071DE">
        <w:rPr>
          <w:sz w:val="22"/>
          <w:szCs w:val="22"/>
          <w:lang w:val="sr-Latn-ME"/>
        </w:rPr>
        <w:t>, bikonveksn</w:t>
      </w:r>
      <w:r w:rsidR="007E64AE" w:rsidRPr="004071DE">
        <w:rPr>
          <w:sz w:val="22"/>
          <w:szCs w:val="22"/>
          <w:lang w:val="sr-Latn-ME"/>
        </w:rPr>
        <w:t>a</w:t>
      </w:r>
      <w:r w:rsidRPr="004071DE">
        <w:rPr>
          <w:sz w:val="22"/>
          <w:szCs w:val="22"/>
          <w:lang w:val="sr-Latn-ME"/>
        </w:rPr>
        <w:t xml:space="preserve"> film tablet</w:t>
      </w:r>
      <w:r w:rsidR="007E64AE" w:rsidRPr="004071DE">
        <w:rPr>
          <w:sz w:val="22"/>
          <w:szCs w:val="22"/>
          <w:lang w:val="sr-Latn-ME"/>
        </w:rPr>
        <w:t>a</w:t>
      </w:r>
      <w:r w:rsidRPr="004071DE">
        <w:rPr>
          <w:sz w:val="22"/>
          <w:szCs w:val="22"/>
          <w:lang w:val="sr-Latn-ME"/>
        </w:rPr>
        <w:t xml:space="preserve"> žute boje, sa utisnutom oznakom „E50“ </w:t>
      </w:r>
      <w:r w:rsidR="007E64AE" w:rsidRPr="004071DE">
        <w:rPr>
          <w:sz w:val="22"/>
          <w:szCs w:val="22"/>
          <w:lang w:val="sr-Latn-ME"/>
        </w:rPr>
        <w:t xml:space="preserve">na </w:t>
      </w:r>
      <w:r w:rsidRPr="004071DE">
        <w:rPr>
          <w:sz w:val="22"/>
          <w:szCs w:val="22"/>
          <w:lang w:val="sr-Latn-ME"/>
        </w:rPr>
        <w:t>jedn</w:t>
      </w:r>
      <w:r w:rsidR="007E64AE" w:rsidRPr="004071DE">
        <w:rPr>
          <w:sz w:val="22"/>
          <w:szCs w:val="22"/>
          <w:lang w:val="sr-Latn-ME"/>
        </w:rPr>
        <w:t>oj</w:t>
      </w:r>
      <w:r w:rsidRPr="004071DE">
        <w:rPr>
          <w:sz w:val="22"/>
          <w:szCs w:val="22"/>
          <w:lang w:val="sr-Latn-ME"/>
        </w:rPr>
        <w:t xml:space="preserve"> stran</w:t>
      </w:r>
      <w:r w:rsidR="007E64AE" w:rsidRPr="004071DE">
        <w:rPr>
          <w:sz w:val="22"/>
          <w:szCs w:val="22"/>
          <w:lang w:val="sr-Latn-ME"/>
        </w:rPr>
        <w:t>i</w:t>
      </w:r>
      <w:r w:rsidRPr="004071DE">
        <w:rPr>
          <w:sz w:val="22"/>
          <w:szCs w:val="22"/>
          <w:lang w:val="sr-Latn-ME"/>
        </w:rPr>
        <w:t>.</w:t>
      </w:r>
    </w:p>
    <w:p w14:paraId="03819F80" w14:textId="051A3263" w:rsidR="00EC2532" w:rsidRPr="004071DE" w:rsidRDefault="00EC2532">
      <w:pPr>
        <w:rPr>
          <w:bCs/>
          <w:sz w:val="22"/>
          <w:szCs w:val="22"/>
          <w:lang w:val="sr-Latn-ME"/>
        </w:rPr>
      </w:pPr>
    </w:p>
    <w:p w14:paraId="590BC127" w14:textId="77777777" w:rsidR="007E64AE" w:rsidRPr="004071DE" w:rsidRDefault="007E64AE">
      <w:pPr>
        <w:rPr>
          <w:bCs/>
          <w:sz w:val="22"/>
          <w:szCs w:val="22"/>
          <w:lang w:val="sr-Latn-ME"/>
        </w:rPr>
      </w:pPr>
    </w:p>
    <w:p w14:paraId="1ED0953E" w14:textId="77777777" w:rsidR="00411B4B" w:rsidRPr="004071DE" w:rsidRDefault="00411B4B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 xml:space="preserve">4. </w:t>
      </w:r>
      <w:r w:rsidR="00480FB1" w:rsidRPr="004071DE">
        <w:rPr>
          <w:b/>
          <w:bCs/>
          <w:sz w:val="22"/>
          <w:szCs w:val="22"/>
          <w:lang w:val="sr-Latn-ME"/>
        </w:rPr>
        <w:tab/>
      </w:r>
      <w:r w:rsidRPr="004071DE">
        <w:rPr>
          <w:b/>
          <w:bCs/>
          <w:sz w:val="22"/>
          <w:szCs w:val="22"/>
          <w:lang w:val="sr-Latn-ME"/>
        </w:rPr>
        <w:t>KLINIČKI PODACI</w:t>
      </w:r>
    </w:p>
    <w:p w14:paraId="42FA37A7" w14:textId="77777777" w:rsidR="00CD6F02" w:rsidRPr="004071DE" w:rsidRDefault="00CD6F02" w:rsidP="00270C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435CA20" w14:textId="78D29A99" w:rsidR="00411B4B" w:rsidRPr="004071DE" w:rsidRDefault="00411B4B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 xml:space="preserve">4.1. </w:t>
      </w:r>
      <w:r w:rsidR="00480FB1" w:rsidRPr="004071DE">
        <w:rPr>
          <w:b/>
          <w:bCs/>
          <w:sz w:val="22"/>
          <w:szCs w:val="22"/>
          <w:lang w:val="sr-Latn-ME"/>
        </w:rPr>
        <w:tab/>
      </w:r>
      <w:r w:rsidRPr="004071DE">
        <w:rPr>
          <w:b/>
          <w:bCs/>
          <w:sz w:val="22"/>
          <w:szCs w:val="22"/>
          <w:lang w:val="sr-Latn-ME"/>
        </w:rPr>
        <w:t>Terapijske indikacije</w:t>
      </w:r>
    </w:p>
    <w:p w14:paraId="4281D9F1" w14:textId="77777777" w:rsidR="007A7B42" w:rsidRPr="004071DE" w:rsidRDefault="007A7B42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10D862B" w14:textId="77777777" w:rsidR="007A7B42" w:rsidRPr="004071DE" w:rsidRDefault="007A7B42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Eplerenon je indikovan:</w:t>
      </w:r>
    </w:p>
    <w:p w14:paraId="7EE0E23B" w14:textId="516670BF" w:rsidR="007A7B42" w:rsidRPr="004071DE" w:rsidRDefault="007A7B4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kao dodatak standardnoj terapiji koja uključuje beta-blokatore, za smanjenje rizika od kardiovaskularnog mortaliteta i morbiditeta kod stabilnih pacijenata sa disfunkcijom l</w:t>
      </w:r>
      <w:r w:rsidR="00D17DB7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eve komore (ejekciona frakcija l</w:t>
      </w:r>
      <w:r w:rsidR="00D17DB7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eve komore - LVEF ≤ 40 %) i klinički manifestnom srčanom insuficijencijom nakon skorašnjeg infarkta miokarda;</w:t>
      </w:r>
    </w:p>
    <w:p w14:paraId="706A59F4" w14:textId="58636402" w:rsidR="007A7B42" w:rsidRPr="004071DE" w:rsidRDefault="007A7B4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kao dodatak standardnoj optimalnoj terapiji, za smanjenje rizika od kardiovaskularnog mortaliteta i morbiditeta kod odraslih pacijenata sa hroničnom srčanom insuficijencijom NYHA (</w:t>
      </w:r>
      <w:r w:rsidRPr="004071DE">
        <w:rPr>
          <w:rFonts w:eastAsia="TimesNewRoman"/>
          <w:i/>
          <w:iCs/>
          <w:sz w:val="22"/>
          <w:szCs w:val="22"/>
          <w:lang w:val="sr-Latn-ME"/>
        </w:rPr>
        <w:t>New York Heart Association</w:t>
      </w:r>
      <w:r w:rsidRPr="004071DE">
        <w:rPr>
          <w:rFonts w:eastAsia="TimesNewRoman"/>
          <w:sz w:val="22"/>
          <w:szCs w:val="22"/>
          <w:lang w:val="sr-Latn-ME"/>
        </w:rPr>
        <w:t>) klase II i sistolnom disfunkcijom l</w:t>
      </w:r>
      <w:r w:rsidR="00D17DB7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eve komore (LVEF ≤ 30%) (vid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>dio</w:t>
      </w:r>
      <w:r w:rsidRPr="004071DE">
        <w:rPr>
          <w:rFonts w:eastAsia="TimesNewRoman"/>
          <w:sz w:val="22"/>
          <w:szCs w:val="22"/>
          <w:lang w:val="sr-Latn-ME"/>
        </w:rPr>
        <w:t xml:space="preserve"> 5.1).</w:t>
      </w:r>
    </w:p>
    <w:p w14:paraId="6E97F9E6" w14:textId="77777777" w:rsidR="00411B4B" w:rsidRPr="004071DE" w:rsidRDefault="00411B4B" w:rsidP="00270C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75AE94F" w14:textId="77777777" w:rsidR="00411B4B" w:rsidRPr="004071DE" w:rsidRDefault="00411B4B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lastRenderedPageBreak/>
        <w:t xml:space="preserve">4.2. </w:t>
      </w:r>
      <w:r w:rsidR="00480FB1" w:rsidRPr="004071DE">
        <w:rPr>
          <w:b/>
          <w:bCs/>
          <w:sz w:val="22"/>
          <w:szCs w:val="22"/>
          <w:lang w:val="sr-Latn-ME"/>
        </w:rPr>
        <w:tab/>
      </w:r>
      <w:r w:rsidRPr="004071DE">
        <w:rPr>
          <w:b/>
          <w:bCs/>
          <w:sz w:val="22"/>
          <w:szCs w:val="22"/>
          <w:lang w:val="sr-Latn-ME"/>
        </w:rPr>
        <w:t>Doziranje i način primjene</w:t>
      </w:r>
    </w:p>
    <w:p w14:paraId="55B5662C" w14:textId="77777777" w:rsidR="0072020E" w:rsidRPr="004071DE" w:rsidRDefault="0072020E" w:rsidP="00270C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B1D8419" w14:textId="77777777" w:rsidR="00452E9D" w:rsidRPr="004071DE" w:rsidRDefault="00452E9D" w:rsidP="00270C6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4071DE">
        <w:rPr>
          <w:bCs/>
          <w:sz w:val="22"/>
          <w:szCs w:val="22"/>
          <w:u w:val="single"/>
          <w:lang w:val="sr-Latn-ME"/>
        </w:rPr>
        <w:t>Doziranje</w:t>
      </w:r>
    </w:p>
    <w:p w14:paraId="1F5CDA44" w14:textId="0AEDEB91" w:rsidR="007A7B42" w:rsidRPr="004071DE" w:rsidRDefault="007A7B42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Za individualno prilagođavanje doze raspoložive su jačine od 25 mg i 50 mg. Maksimalna doza je 50 mg dnevno.</w:t>
      </w:r>
    </w:p>
    <w:p w14:paraId="482E1E7F" w14:textId="77777777" w:rsidR="007A7B42" w:rsidRPr="004071DE" w:rsidRDefault="007A7B42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2C54C607" w14:textId="77777777" w:rsidR="007A7B42" w:rsidRPr="004071DE" w:rsidRDefault="007A7B42" w:rsidP="00270C6F">
      <w:pPr>
        <w:autoSpaceDE w:val="0"/>
        <w:autoSpaceDN w:val="0"/>
        <w:adjustRightInd w:val="0"/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4071DE">
        <w:rPr>
          <w:rFonts w:eastAsia="TimesNewRoman"/>
          <w:i/>
          <w:iCs/>
          <w:sz w:val="22"/>
          <w:szCs w:val="22"/>
          <w:lang w:val="sr-Latn-ME"/>
        </w:rPr>
        <w:t>Pacijenti sa srčanom insuficijencijom nakon infarkta miokarda:</w:t>
      </w:r>
    </w:p>
    <w:p w14:paraId="4B3DD6DB" w14:textId="04A4DCE1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Preporučena doza održavanja za eplerenon je 50 mg jednom dnevno. Terapiju bi trebalo započeti dozom od 25 mg jednom dnevno i pažljivo je povećavati do željene doze od 50 mg jednom dnevno, poželjno u toku 4 ned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elje, uzimajući u obzir nivo kalijuma u serumu (vid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eti Tabelu 1). Terapiju eplerenonom bi trebalo započeti od 3 do 14 dana nakon akutnog infarkta miokarda.</w:t>
      </w:r>
    </w:p>
    <w:p w14:paraId="1E686102" w14:textId="77777777" w:rsidR="007A7B42" w:rsidRPr="004071DE" w:rsidRDefault="007A7B42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255E4E37" w14:textId="77777777" w:rsidR="007A7B42" w:rsidRPr="004071DE" w:rsidRDefault="007A7B42" w:rsidP="00270C6F">
      <w:pPr>
        <w:autoSpaceDE w:val="0"/>
        <w:autoSpaceDN w:val="0"/>
        <w:adjustRightInd w:val="0"/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4071DE">
        <w:rPr>
          <w:rFonts w:eastAsia="TimesNewRoman"/>
          <w:i/>
          <w:iCs/>
          <w:sz w:val="22"/>
          <w:szCs w:val="22"/>
          <w:lang w:val="sr-Latn-ME"/>
        </w:rPr>
        <w:t>Pacijenti sa (hroničnom) srčanom insuficijencijom NYHA klase II:</w:t>
      </w:r>
    </w:p>
    <w:p w14:paraId="2DEB4835" w14:textId="77E0B77D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Kod pacijenata sa hroničnom srčanom insuficijencijom NYHA klase II terapiju treba započeti dozom od 25</w:t>
      </w:r>
      <w:r w:rsidR="00F337C7" w:rsidRPr="004071DE">
        <w:rPr>
          <w:rFonts w:eastAsia="TimesNewRoman"/>
          <w:sz w:val="22"/>
          <w:szCs w:val="22"/>
          <w:lang w:val="sr-Latn-ME"/>
        </w:rPr>
        <w:t xml:space="preserve"> </w:t>
      </w:r>
      <w:r w:rsidRPr="004071DE">
        <w:rPr>
          <w:rFonts w:eastAsia="TimesNewRoman"/>
          <w:sz w:val="22"/>
          <w:szCs w:val="22"/>
          <w:lang w:val="sr-Latn-ME"/>
        </w:rPr>
        <w:t>mg jednom na dan i pažljivo je povećavati do željene doze od 50 mg jednom dnevno, poželjno u toku 4 ned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elje, uzimajući u obzir nivo kalijuma u serumu (vid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Tabelu 1 i </w:t>
      </w:r>
      <w:r w:rsidR="00280578" w:rsidRPr="004071DE">
        <w:rPr>
          <w:rFonts w:eastAsia="TimesNewRoman"/>
          <w:sz w:val="22"/>
          <w:szCs w:val="22"/>
          <w:lang w:val="sr-Latn-ME"/>
        </w:rPr>
        <w:t>dio</w:t>
      </w:r>
      <w:r w:rsidRPr="004071DE">
        <w:rPr>
          <w:rFonts w:eastAsia="TimesNewRoman"/>
          <w:sz w:val="22"/>
          <w:szCs w:val="22"/>
          <w:lang w:val="sr-Latn-ME"/>
        </w:rPr>
        <w:t xml:space="preserve"> 4.4).</w:t>
      </w:r>
    </w:p>
    <w:p w14:paraId="363DE3E2" w14:textId="77777777" w:rsidR="007A7B42" w:rsidRPr="004071DE" w:rsidRDefault="007A7B42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0E032AEB" w14:textId="47F5CB9E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Kod pacijenata sa nivoom kalijuma u serumu &gt; 5 mmol/</w:t>
      </w:r>
      <w:r w:rsidR="00251587" w:rsidRPr="004071DE">
        <w:rPr>
          <w:rFonts w:eastAsia="TimesNewRoman"/>
          <w:sz w:val="22"/>
          <w:szCs w:val="22"/>
          <w:lang w:val="sr-Latn-ME"/>
        </w:rPr>
        <w:t>l</w:t>
      </w:r>
      <w:r w:rsidRPr="004071DE">
        <w:rPr>
          <w:rFonts w:eastAsia="TimesNewRoman"/>
          <w:sz w:val="22"/>
          <w:szCs w:val="22"/>
          <w:lang w:val="sr-Latn-ME"/>
        </w:rPr>
        <w:t xml:space="preserve"> ne treba započinjati terapiju eplerenonom (vid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>dio</w:t>
      </w:r>
      <w:r w:rsidRPr="004071DE">
        <w:rPr>
          <w:rFonts w:eastAsia="TimesNewRoman"/>
          <w:sz w:val="22"/>
          <w:szCs w:val="22"/>
          <w:lang w:val="sr-Latn-ME"/>
        </w:rPr>
        <w:t xml:space="preserve"> 4.3).</w:t>
      </w:r>
    </w:p>
    <w:p w14:paraId="5FB9C527" w14:textId="77777777" w:rsidR="005D1DC3" w:rsidRPr="004071DE" w:rsidRDefault="005D1DC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590167FF" w14:textId="60338150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Koncentraciju kalijuma u serumu treba odrediti pr</w:t>
      </w:r>
      <w:r w:rsidR="00D17DB7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 početka terapije eplerenonom, zatim u toku prve ned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elje i m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esec dana nakon započinjanja terapije ili podešavanja doze. Serumski kalijum se mora određivati po potrebi periodično i nakon toga.</w:t>
      </w:r>
    </w:p>
    <w:p w14:paraId="25FF86A4" w14:textId="77777777" w:rsidR="007A7B42" w:rsidRPr="004071DE" w:rsidRDefault="007A7B42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7A97335E" w14:textId="72CE5DC2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Nakon započinjanja terapije dozu l</w:t>
      </w:r>
      <w:r w:rsidR="00D17DB7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eka bi trebalo prilagođavati na osnovu koncentracije kalijuma u serumu, kako je prikazano u Tabeli 1.</w:t>
      </w:r>
    </w:p>
    <w:p w14:paraId="159AA333" w14:textId="77777777" w:rsidR="007A7B42" w:rsidRPr="004071DE" w:rsidRDefault="007A7B42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68738D5A" w14:textId="77777777" w:rsidR="007A7B42" w:rsidRPr="004071DE" w:rsidRDefault="007A7B42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Tabela 1. Prilagođavanje doze eplerenona nakon početka terapije</w:t>
      </w:r>
    </w:p>
    <w:tbl>
      <w:tblPr>
        <w:tblW w:w="9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10"/>
        <w:gridCol w:w="3628"/>
        <w:gridCol w:w="2974"/>
      </w:tblGrid>
      <w:tr w:rsidR="007A7B42" w:rsidRPr="004071DE" w14:paraId="284054FE" w14:textId="77777777" w:rsidTr="007A7B4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2ADE2" w14:textId="77777777" w:rsidR="007A7B42" w:rsidRPr="004071DE" w:rsidRDefault="007A7B42" w:rsidP="00270C6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4071DE">
              <w:rPr>
                <w:b/>
                <w:bCs/>
                <w:sz w:val="22"/>
                <w:szCs w:val="22"/>
                <w:lang w:val="sr-Latn-ME"/>
              </w:rPr>
              <w:t>Koncentracija kalijuma u</w:t>
            </w:r>
          </w:p>
          <w:p w14:paraId="65D57810" w14:textId="7A3CB1D8" w:rsidR="007A7B42" w:rsidRPr="004071DE" w:rsidRDefault="007A7B42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b/>
                <w:bCs/>
                <w:sz w:val="22"/>
                <w:szCs w:val="22"/>
                <w:lang w:val="sr-Latn-ME"/>
              </w:rPr>
              <w:t>serumu (mmol/</w:t>
            </w:r>
            <w:r w:rsidR="00FA4A5F" w:rsidRPr="004071DE">
              <w:rPr>
                <w:b/>
                <w:bCs/>
                <w:sz w:val="22"/>
                <w:szCs w:val="22"/>
                <w:lang w:val="sr-Latn-ME"/>
              </w:rPr>
              <w:t>l</w:t>
            </w:r>
            <w:r w:rsidRPr="004071DE">
              <w:rPr>
                <w:b/>
                <w:bCs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BEA29" w14:textId="77777777" w:rsidR="007A7B42" w:rsidRPr="004071DE" w:rsidRDefault="007A7B42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b/>
                <w:bCs/>
                <w:sz w:val="22"/>
                <w:szCs w:val="22"/>
                <w:lang w:val="sr-Latn-ME"/>
              </w:rPr>
              <w:t>Postupak</w:t>
            </w:r>
          </w:p>
        </w:tc>
        <w:tc>
          <w:tcPr>
            <w:tcW w:w="1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2F365" w14:textId="77777777" w:rsidR="007A7B42" w:rsidRPr="004071DE" w:rsidRDefault="007A7B42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b/>
                <w:bCs/>
                <w:sz w:val="22"/>
                <w:szCs w:val="22"/>
                <w:lang w:val="sr-Latn-ME"/>
              </w:rPr>
              <w:t>Prilagođavanje doze</w:t>
            </w:r>
          </w:p>
        </w:tc>
      </w:tr>
      <w:tr w:rsidR="007A7B42" w:rsidRPr="004071DE" w14:paraId="595112A5" w14:textId="77777777" w:rsidTr="007A7B4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94BF2" w14:textId="77777777" w:rsidR="007A7B42" w:rsidRPr="004071DE" w:rsidRDefault="007A7B42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&lt; 5.0 </w:t>
            </w:r>
          </w:p>
        </w:tc>
        <w:tc>
          <w:tcPr>
            <w:tcW w:w="1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35B2E" w14:textId="77777777" w:rsidR="007A7B42" w:rsidRPr="004071DE" w:rsidRDefault="007A7B42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rFonts w:eastAsia="TimesNewRoman"/>
                <w:sz w:val="22"/>
                <w:szCs w:val="22"/>
                <w:lang w:val="sr-Latn-ME"/>
              </w:rPr>
              <w:t>Povećanje</w:t>
            </w:r>
          </w:p>
        </w:tc>
        <w:tc>
          <w:tcPr>
            <w:tcW w:w="1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DCC80" w14:textId="77777777" w:rsidR="007A7B42" w:rsidRPr="004071DE" w:rsidRDefault="007A7B42" w:rsidP="00270C6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4071DE">
              <w:rPr>
                <w:rFonts w:eastAsia="TimesNewRoman"/>
                <w:sz w:val="22"/>
                <w:szCs w:val="22"/>
                <w:lang w:val="sr-Latn-ME"/>
              </w:rPr>
              <w:t>Sa 25 mg svaki drugi dan na 25</w:t>
            </w:r>
          </w:p>
          <w:p w14:paraId="555B2DB4" w14:textId="77777777" w:rsidR="007A7B42" w:rsidRPr="004071DE" w:rsidRDefault="007A7B42" w:rsidP="00270C6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4071DE">
              <w:rPr>
                <w:rFonts w:eastAsia="TimesNewRoman"/>
                <w:sz w:val="22"/>
                <w:szCs w:val="22"/>
                <w:lang w:val="sr-Latn-ME"/>
              </w:rPr>
              <w:t>mg jednom dnevno</w:t>
            </w:r>
          </w:p>
          <w:p w14:paraId="25F53F1D" w14:textId="77777777" w:rsidR="007A7B42" w:rsidRPr="004071DE" w:rsidRDefault="007A7B42" w:rsidP="00270C6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4071DE">
              <w:rPr>
                <w:rFonts w:eastAsia="TimesNewRoman"/>
                <w:sz w:val="22"/>
                <w:szCs w:val="22"/>
                <w:lang w:val="sr-Latn-ME"/>
              </w:rPr>
              <w:t>Sa 25 mg jednom dnevno na 50</w:t>
            </w:r>
          </w:p>
          <w:p w14:paraId="4C830484" w14:textId="77777777" w:rsidR="007A7B42" w:rsidRPr="004071DE" w:rsidRDefault="007A7B42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rFonts w:eastAsia="TimesNewRoman"/>
                <w:sz w:val="22"/>
                <w:szCs w:val="22"/>
                <w:lang w:val="sr-Latn-ME"/>
              </w:rPr>
              <w:t>mg jednom dnevno</w:t>
            </w:r>
          </w:p>
        </w:tc>
      </w:tr>
      <w:tr w:rsidR="007A7B42" w:rsidRPr="004071DE" w14:paraId="3BC87115" w14:textId="77777777" w:rsidTr="007A7B4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523DA" w14:textId="77777777" w:rsidR="007A7B42" w:rsidRPr="004071DE" w:rsidRDefault="007A7B42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5.0 – 5.4 </w:t>
            </w:r>
          </w:p>
        </w:tc>
        <w:tc>
          <w:tcPr>
            <w:tcW w:w="1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D28DA" w14:textId="77777777" w:rsidR="007A7B42" w:rsidRPr="004071DE" w:rsidRDefault="007A7B42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rFonts w:eastAsia="TimesNewRoman"/>
                <w:sz w:val="22"/>
                <w:szCs w:val="22"/>
                <w:lang w:val="sr-Latn-ME"/>
              </w:rPr>
              <w:t>Održavanje</w:t>
            </w:r>
          </w:p>
        </w:tc>
        <w:tc>
          <w:tcPr>
            <w:tcW w:w="1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5180C" w14:textId="77777777" w:rsidR="007A7B42" w:rsidRPr="004071DE" w:rsidRDefault="007A7B42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rFonts w:eastAsia="TimesNewRoman"/>
                <w:sz w:val="22"/>
                <w:szCs w:val="22"/>
                <w:lang w:val="sr-Latn-ME"/>
              </w:rPr>
              <w:t>Bez prilagođavanja doze</w:t>
            </w:r>
          </w:p>
        </w:tc>
      </w:tr>
      <w:tr w:rsidR="007A7B42" w:rsidRPr="004071DE" w14:paraId="30B0E362" w14:textId="77777777" w:rsidTr="007A7B4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6FB9D" w14:textId="77777777" w:rsidR="007A7B42" w:rsidRPr="004071DE" w:rsidRDefault="007A7B42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5.5 – 5.9 </w:t>
            </w:r>
          </w:p>
        </w:tc>
        <w:tc>
          <w:tcPr>
            <w:tcW w:w="1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F665E" w14:textId="77777777" w:rsidR="007A7B42" w:rsidRPr="004071DE" w:rsidRDefault="007A7B42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rFonts w:eastAsia="TimesNewRoman"/>
                <w:sz w:val="22"/>
                <w:szCs w:val="22"/>
                <w:lang w:val="sr-Latn-ME"/>
              </w:rPr>
              <w:t>Smanjenje</w:t>
            </w:r>
          </w:p>
        </w:tc>
        <w:tc>
          <w:tcPr>
            <w:tcW w:w="1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6DDB1" w14:textId="77777777" w:rsidR="007A7B42" w:rsidRPr="004071DE" w:rsidRDefault="007A7B42" w:rsidP="00270C6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4071DE">
              <w:rPr>
                <w:rFonts w:eastAsia="TimesNewRoman"/>
                <w:sz w:val="22"/>
                <w:szCs w:val="22"/>
                <w:lang w:val="sr-Latn-ME"/>
              </w:rPr>
              <w:t>Sa 50 mg jednom dnevno na 25</w:t>
            </w:r>
          </w:p>
          <w:p w14:paraId="3B03BC52" w14:textId="77777777" w:rsidR="007A7B42" w:rsidRPr="004071DE" w:rsidRDefault="007A7B42" w:rsidP="00270C6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4071DE">
              <w:rPr>
                <w:rFonts w:eastAsia="TimesNewRoman"/>
                <w:sz w:val="22"/>
                <w:szCs w:val="22"/>
                <w:lang w:val="sr-Latn-ME"/>
              </w:rPr>
              <w:t>mg jednom dnevno</w:t>
            </w:r>
          </w:p>
          <w:p w14:paraId="195C7AA5" w14:textId="77777777" w:rsidR="007A7B42" w:rsidRPr="004071DE" w:rsidRDefault="007A7B42" w:rsidP="00270C6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4071DE">
              <w:rPr>
                <w:rFonts w:eastAsia="TimesNewRoman"/>
                <w:sz w:val="22"/>
                <w:szCs w:val="22"/>
                <w:lang w:val="sr-Latn-ME"/>
              </w:rPr>
              <w:t>Sa 25 mg jednom dnevno na 25</w:t>
            </w:r>
          </w:p>
          <w:p w14:paraId="0BD9D227" w14:textId="77777777" w:rsidR="007A7B42" w:rsidRPr="004071DE" w:rsidRDefault="007A7B42" w:rsidP="00270C6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4071DE">
              <w:rPr>
                <w:rFonts w:eastAsia="TimesNewRoman"/>
                <w:sz w:val="22"/>
                <w:szCs w:val="22"/>
                <w:lang w:val="sr-Latn-ME"/>
              </w:rPr>
              <w:t>mg svaki drugi dan</w:t>
            </w:r>
          </w:p>
          <w:p w14:paraId="3E5FDD36" w14:textId="77777777" w:rsidR="007A7B42" w:rsidRPr="004071DE" w:rsidRDefault="007A7B42" w:rsidP="00270C6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4071DE">
              <w:rPr>
                <w:rFonts w:eastAsia="TimesNewRoman"/>
                <w:sz w:val="22"/>
                <w:szCs w:val="22"/>
                <w:lang w:val="sr-Latn-ME"/>
              </w:rPr>
              <w:t>Sa 25 mg svaki drugi dan na</w:t>
            </w:r>
          </w:p>
          <w:p w14:paraId="7EB63F8C" w14:textId="71EFC340" w:rsidR="007A7B42" w:rsidRPr="004071DE" w:rsidRDefault="007A7B42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rFonts w:eastAsia="TimesNewRoman"/>
                <w:sz w:val="22"/>
                <w:szCs w:val="22"/>
                <w:lang w:val="sr-Latn-ME"/>
              </w:rPr>
              <w:t>prestanak prim</w:t>
            </w:r>
            <w:r w:rsidR="00D17DB7" w:rsidRPr="004071DE">
              <w:rPr>
                <w:rFonts w:eastAsia="TimesNewRoman"/>
                <w:sz w:val="22"/>
                <w:szCs w:val="22"/>
                <w:lang w:val="sr-Latn-ME"/>
              </w:rPr>
              <w:t>j</w:t>
            </w:r>
            <w:r w:rsidRPr="004071DE">
              <w:rPr>
                <w:rFonts w:eastAsia="TimesNewRoman"/>
                <w:sz w:val="22"/>
                <w:szCs w:val="22"/>
                <w:lang w:val="sr-Latn-ME"/>
              </w:rPr>
              <w:t>ene</w:t>
            </w:r>
          </w:p>
        </w:tc>
      </w:tr>
      <w:tr w:rsidR="007A7B42" w:rsidRPr="004071DE" w14:paraId="3146655E" w14:textId="77777777" w:rsidTr="007A7B4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FF475" w14:textId="77777777" w:rsidR="007A7B42" w:rsidRPr="004071DE" w:rsidRDefault="007A7B42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≥ 6.0 </w:t>
            </w:r>
          </w:p>
        </w:tc>
        <w:tc>
          <w:tcPr>
            <w:tcW w:w="1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1D56A" w14:textId="16225E1F" w:rsidR="007A7B42" w:rsidRPr="004071DE" w:rsidRDefault="007A7B42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rFonts w:eastAsia="TimesNewRoman"/>
                <w:sz w:val="22"/>
                <w:szCs w:val="22"/>
                <w:lang w:val="sr-Latn-ME"/>
              </w:rPr>
              <w:t>Prestanak prim</w:t>
            </w:r>
            <w:r w:rsidR="00D17DB7" w:rsidRPr="004071DE">
              <w:rPr>
                <w:rFonts w:eastAsia="TimesNewRoman"/>
                <w:sz w:val="22"/>
                <w:szCs w:val="22"/>
                <w:lang w:val="sr-Latn-ME"/>
              </w:rPr>
              <w:t>j</w:t>
            </w:r>
            <w:r w:rsidRPr="004071DE">
              <w:rPr>
                <w:rFonts w:eastAsia="TimesNewRoman"/>
                <w:sz w:val="22"/>
                <w:szCs w:val="22"/>
                <w:lang w:val="sr-Latn-ME"/>
              </w:rPr>
              <w:t>ene</w:t>
            </w:r>
          </w:p>
        </w:tc>
        <w:tc>
          <w:tcPr>
            <w:tcW w:w="1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52418" w14:textId="77777777" w:rsidR="007A7B42" w:rsidRPr="004071DE" w:rsidRDefault="007A7B42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N/A </w:t>
            </w:r>
          </w:p>
        </w:tc>
      </w:tr>
    </w:tbl>
    <w:p w14:paraId="74AB86E9" w14:textId="77777777" w:rsidR="007A7B42" w:rsidRPr="004071DE" w:rsidRDefault="007A7B42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</w:p>
    <w:p w14:paraId="441CC1CC" w14:textId="0CE61F2F" w:rsidR="007A7B42" w:rsidRPr="004071DE" w:rsidRDefault="007A7B42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Nakon prestanka prim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ene eplerenona usl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ed koncentracije kalijuma u serumu ≥ 6,0 mmol/</w:t>
      </w:r>
      <w:r w:rsidR="00251587" w:rsidRPr="004071DE">
        <w:rPr>
          <w:rFonts w:eastAsia="TimesNewRoman"/>
          <w:sz w:val="22"/>
          <w:szCs w:val="22"/>
          <w:lang w:val="sr-Latn-ME"/>
        </w:rPr>
        <w:t>l</w:t>
      </w:r>
      <w:r w:rsidRPr="004071DE">
        <w:rPr>
          <w:rFonts w:eastAsia="TimesNewRoman"/>
          <w:sz w:val="22"/>
          <w:szCs w:val="22"/>
          <w:lang w:val="sr-Latn-ME"/>
        </w:rPr>
        <w:t xml:space="preserve"> davanje eplerenona se može ponovo započeti u dozi od 25 mg svaki drugi dan, kada koncentracija kalijuma padne ispod 5,0 mmol/</w:t>
      </w:r>
      <w:r w:rsidR="00251587" w:rsidRPr="004071DE">
        <w:rPr>
          <w:rFonts w:eastAsia="TimesNewRoman"/>
          <w:sz w:val="22"/>
          <w:szCs w:val="22"/>
          <w:lang w:val="sr-Latn-ME"/>
        </w:rPr>
        <w:t>l</w:t>
      </w:r>
      <w:r w:rsidRPr="004071DE">
        <w:rPr>
          <w:rFonts w:eastAsia="TimesNewRoman"/>
          <w:sz w:val="22"/>
          <w:szCs w:val="22"/>
          <w:lang w:val="sr-Latn-ME"/>
        </w:rPr>
        <w:t>.</w:t>
      </w:r>
    </w:p>
    <w:p w14:paraId="1E43777E" w14:textId="77777777" w:rsidR="007A7B42" w:rsidRPr="004071DE" w:rsidRDefault="007A7B42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1D4BE216" w14:textId="77777777" w:rsidR="007A7B42" w:rsidRPr="004071DE" w:rsidRDefault="007A7B42" w:rsidP="00270C6F">
      <w:pPr>
        <w:autoSpaceDE w:val="0"/>
        <w:autoSpaceDN w:val="0"/>
        <w:adjustRightInd w:val="0"/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4071DE">
        <w:rPr>
          <w:rFonts w:eastAsia="TimesNewRoman"/>
          <w:i/>
          <w:iCs/>
          <w:sz w:val="22"/>
          <w:szCs w:val="22"/>
          <w:lang w:val="sr-Latn-ME"/>
        </w:rPr>
        <w:t>Pedijatrijska populacija</w:t>
      </w:r>
    </w:p>
    <w:p w14:paraId="7450C119" w14:textId="15877A9B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Bezb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ednost i efikasnost eplerenona kod d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ece i adolescenata nije utvrđena. Trenutno raspoloživi podaci su opisani u </w:t>
      </w:r>
      <w:r w:rsidR="00280578" w:rsidRPr="004071DE">
        <w:rPr>
          <w:rFonts w:eastAsia="TimesNewRoman"/>
          <w:sz w:val="22"/>
          <w:szCs w:val="22"/>
          <w:lang w:val="sr-Latn-ME"/>
        </w:rPr>
        <w:t>dijelovima</w:t>
      </w:r>
      <w:r w:rsidRPr="004071DE">
        <w:rPr>
          <w:rFonts w:eastAsia="TimesNewRoman"/>
          <w:sz w:val="22"/>
          <w:szCs w:val="22"/>
          <w:lang w:val="sr-Latn-ME"/>
        </w:rPr>
        <w:t xml:space="preserve"> 5.1 i 5.2.</w:t>
      </w:r>
    </w:p>
    <w:p w14:paraId="590CDD1C" w14:textId="77777777" w:rsidR="007A7B42" w:rsidRPr="004071DE" w:rsidRDefault="007A7B4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D8B63D8" w14:textId="77777777" w:rsidR="007A7B42" w:rsidRPr="004071DE" w:rsidRDefault="007A7B42" w:rsidP="00270C6F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/>
        </w:rPr>
      </w:pPr>
      <w:r w:rsidRPr="004071DE">
        <w:rPr>
          <w:i/>
          <w:iCs/>
          <w:sz w:val="22"/>
          <w:szCs w:val="22"/>
          <w:lang w:val="sr-Latn-ME"/>
        </w:rPr>
        <w:t>Stariji pacijenti</w:t>
      </w:r>
    </w:p>
    <w:p w14:paraId="53EF5BFF" w14:textId="1916BB4D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Nije potrebno početno prilagođavanje doze eplerenona kod starijih osoba. Usl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ed smanjenja funkcije bubrega vezane za proces starenja, rizik od hiperkalijemije se povećava kod starijih osoba. Ovaj rizik se dodatno uvećava kada istovremeno postoji bolest povezana sa povećanom izloženošću l</w:t>
      </w:r>
      <w:r w:rsidR="00D17DB7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 xml:space="preserve">eku, kao što je </w:t>
      </w:r>
      <w:r w:rsidRPr="004071DE">
        <w:rPr>
          <w:rFonts w:eastAsia="TimesNewRoman"/>
          <w:sz w:val="22"/>
          <w:szCs w:val="22"/>
          <w:lang w:val="sr-Latn-ME"/>
        </w:rPr>
        <w:lastRenderedPageBreak/>
        <w:t>blago do um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ereno oštećenje jetre. Preporučuje se periodično praćenje koncentracije kalijuma u serumu (vid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>di</w:t>
      </w:r>
      <w:r w:rsidR="003A4C3E" w:rsidRPr="004071DE">
        <w:rPr>
          <w:rFonts w:eastAsia="TimesNewRoman"/>
          <w:sz w:val="22"/>
          <w:szCs w:val="22"/>
          <w:lang w:val="sr-Latn-ME"/>
        </w:rPr>
        <w:t xml:space="preserve">o </w:t>
      </w:r>
      <w:r w:rsidRPr="004071DE">
        <w:rPr>
          <w:rFonts w:eastAsia="TimesNewRoman"/>
          <w:sz w:val="22"/>
          <w:szCs w:val="22"/>
          <w:lang w:val="sr-Latn-ME"/>
        </w:rPr>
        <w:t>4.4).</w:t>
      </w:r>
    </w:p>
    <w:p w14:paraId="20A937E8" w14:textId="77777777" w:rsidR="007A7B42" w:rsidRPr="004071DE" w:rsidRDefault="007A7B42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16D272D6" w14:textId="77777777" w:rsidR="007A7B42" w:rsidRPr="004071DE" w:rsidRDefault="007A7B42" w:rsidP="00270C6F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/>
        </w:rPr>
      </w:pPr>
      <w:r w:rsidRPr="004071DE">
        <w:rPr>
          <w:i/>
          <w:iCs/>
          <w:sz w:val="22"/>
          <w:szCs w:val="22"/>
          <w:lang w:val="sr-Latn-ME"/>
        </w:rPr>
        <w:t>Oštećenje funkcije bubrega</w:t>
      </w:r>
    </w:p>
    <w:p w14:paraId="63235997" w14:textId="0BCA6FC1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Nije potrebno početno prilagođavanje doze l</w:t>
      </w:r>
      <w:r w:rsidR="00D17DB7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eka kod pacijenata sa blagim poremećajima funkcije bubrega.</w:t>
      </w:r>
      <w:r w:rsidR="00D305D1" w:rsidRPr="004071DE">
        <w:rPr>
          <w:rFonts w:eastAsia="TimesNewRoman"/>
          <w:sz w:val="22"/>
          <w:szCs w:val="22"/>
          <w:lang w:val="sr-Latn-ME"/>
        </w:rPr>
        <w:t xml:space="preserve"> </w:t>
      </w:r>
      <w:r w:rsidRPr="004071DE">
        <w:rPr>
          <w:rFonts w:eastAsia="TimesNewRoman"/>
          <w:sz w:val="22"/>
          <w:szCs w:val="22"/>
          <w:lang w:val="sr-Latn-ME"/>
        </w:rPr>
        <w:t>Preporučuje se periodično praćenje koncentracije kalijuma u serumu (vid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>dio</w:t>
      </w:r>
      <w:r w:rsidRPr="004071DE">
        <w:rPr>
          <w:rFonts w:eastAsia="TimesNewRoman"/>
          <w:sz w:val="22"/>
          <w:szCs w:val="22"/>
          <w:lang w:val="sr-Latn-ME"/>
        </w:rPr>
        <w:t xml:space="preserve"> 4.4) </w:t>
      </w:r>
      <w:r w:rsidR="00FA4A5F" w:rsidRPr="004071DE">
        <w:rPr>
          <w:rFonts w:eastAsia="TimesNewRoman"/>
          <w:sz w:val="22"/>
          <w:szCs w:val="22"/>
          <w:lang w:val="sr-Latn-ME"/>
        </w:rPr>
        <w:t>i</w:t>
      </w:r>
      <w:r w:rsidRPr="004071DE">
        <w:rPr>
          <w:rFonts w:eastAsia="TimesNewRoman"/>
          <w:sz w:val="22"/>
          <w:szCs w:val="22"/>
          <w:lang w:val="sr-Latn-ME"/>
        </w:rPr>
        <w:t xml:space="preserve"> prilagođavanje doze u skladu sa preporukama u Tabeli 1.</w:t>
      </w:r>
    </w:p>
    <w:p w14:paraId="5E30E486" w14:textId="77777777" w:rsidR="007A7B42" w:rsidRPr="004071DE" w:rsidRDefault="007A7B42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14BBCD63" w14:textId="753AE869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Kod pacijenata sa um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erenim poremećajem funkcije bubrega (ClCr 30-60 m</w:t>
      </w:r>
      <w:r w:rsidR="00251587" w:rsidRPr="004071DE">
        <w:rPr>
          <w:rFonts w:eastAsia="TimesNewRoman"/>
          <w:sz w:val="22"/>
          <w:szCs w:val="22"/>
          <w:lang w:val="sr-Latn-ME"/>
        </w:rPr>
        <w:t>l</w:t>
      </w:r>
      <w:r w:rsidRPr="004071DE">
        <w:rPr>
          <w:rFonts w:eastAsia="TimesNewRoman"/>
          <w:sz w:val="22"/>
          <w:szCs w:val="22"/>
          <w:lang w:val="sr-Latn-ME"/>
        </w:rPr>
        <w:t>/min) l</w:t>
      </w:r>
      <w:r w:rsidR="00D17DB7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ečenje se započinje dozom od 25 mg svaki drugi dan, i doza se podešava u skladu sa koncentracijom kalijuma u serumu (vid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eti Tabelu 1).</w:t>
      </w:r>
    </w:p>
    <w:p w14:paraId="03C3073D" w14:textId="78E18F0D" w:rsidR="007A7B42" w:rsidRPr="004071DE" w:rsidRDefault="007A7B42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Preporučuje se periodično praćenje kalijuma u serumu (vid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>dio</w:t>
      </w:r>
      <w:r w:rsidRPr="004071DE">
        <w:rPr>
          <w:rFonts w:eastAsia="TimesNewRoman"/>
          <w:sz w:val="22"/>
          <w:szCs w:val="22"/>
          <w:lang w:val="sr-Latn-ME"/>
        </w:rPr>
        <w:t xml:space="preserve"> 4.4).</w:t>
      </w:r>
    </w:p>
    <w:p w14:paraId="6BF97272" w14:textId="77777777" w:rsidR="007A7B42" w:rsidRPr="004071DE" w:rsidRDefault="007A7B42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564EBD00" w14:textId="77777777" w:rsidR="00A7709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Ne postoji iskustvo u prim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eni eplerenona kod pacijenata sa ClCr &lt; 50 m</w:t>
      </w:r>
      <w:r w:rsidR="00251587" w:rsidRPr="004071DE">
        <w:rPr>
          <w:rFonts w:eastAsia="TimesNewRoman"/>
          <w:sz w:val="22"/>
          <w:szCs w:val="22"/>
          <w:lang w:val="sr-Latn-ME"/>
        </w:rPr>
        <w:t>l</w:t>
      </w:r>
      <w:r w:rsidRPr="004071DE">
        <w:rPr>
          <w:rFonts w:eastAsia="TimesNewRoman"/>
          <w:sz w:val="22"/>
          <w:szCs w:val="22"/>
          <w:lang w:val="sr-Latn-ME"/>
        </w:rPr>
        <w:t>/min i srčanom insuficijencijom nakon infarkta miokarda. Eplerenon treba prim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enjivati oprezno kod ovih pacijenata. </w:t>
      </w:r>
    </w:p>
    <w:p w14:paraId="5DE8096F" w14:textId="77777777" w:rsidR="00A77092" w:rsidRPr="004071DE" w:rsidRDefault="00A7709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651B9CDB" w14:textId="6E7A08E0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Doze veće od 25 mg/dan ni</w:t>
      </w:r>
      <w:r w:rsidR="00F337C7" w:rsidRPr="004071DE">
        <w:rPr>
          <w:rFonts w:eastAsia="TimesNewRoman"/>
          <w:sz w:val="22"/>
          <w:szCs w:val="22"/>
          <w:lang w:val="sr-Latn-ME"/>
        </w:rPr>
        <w:t>je</w:t>
      </w:r>
      <w:r w:rsidRPr="004071DE">
        <w:rPr>
          <w:rFonts w:eastAsia="TimesNewRoman"/>
          <w:sz w:val="22"/>
          <w:szCs w:val="22"/>
          <w:lang w:val="sr-Latn-ME"/>
        </w:rPr>
        <w:t>su ispitivane kod pacijenata sa ClCr &lt; 50 m</w:t>
      </w:r>
      <w:r w:rsidR="00251587" w:rsidRPr="004071DE">
        <w:rPr>
          <w:rFonts w:eastAsia="TimesNewRoman"/>
          <w:sz w:val="22"/>
          <w:szCs w:val="22"/>
          <w:lang w:val="sr-Latn-ME"/>
        </w:rPr>
        <w:t>l</w:t>
      </w:r>
      <w:r w:rsidRPr="004071DE">
        <w:rPr>
          <w:rFonts w:eastAsia="TimesNewRoman"/>
          <w:sz w:val="22"/>
          <w:szCs w:val="22"/>
          <w:lang w:val="sr-Latn-ME"/>
        </w:rPr>
        <w:t>/min.</w:t>
      </w:r>
    </w:p>
    <w:p w14:paraId="150B6F72" w14:textId="426DFEEA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Prim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ena kod pacijenata sa teškim oštećenjem funkcije bubrega (ClCr &lt; 30 m</w:t>
      </w:r>
      <w:r w:rsidR="00251587" w:rsidRPr="004071DE">
        <w:rPr>
          <w:rFonts w:eastAsia="TimesNewRoman"/>
          <w:sz w:val="22"/>
          <w:szCs w:val="22"/>
          <w:lang w:val="sr-Latn-ME"/>
        </w:rPr>
        <w:t>l</w:t>
      </w:r>
      <w:r w:rsidRPr="004071DE">
        <w:rPr>
          <w:rFonts w:eastAsia="TimesNewRoman"/>
          <w:sz w:val="22"/>
          <w:szCs w:val="22"/>
          <w:lang w:val="sr-Latn-ME"/>
        </w:rPr>
        <w:t>/min) je kontraindikovana (vid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 xml:space="preserve">dio </w:t>
      </w:r>
      <w:r w:rsidRPr="004071DE">
        <w:rPr>
          <w:rFonts w:eastAsia="TimesNewRoman"/>
          <w:sz w:val="22"/>
          <w:szCs w:val="22"/>
          <w:lang w:val="sr-Latn-ME"/>
        </w:rPr>
        <w:t>4.3.)</w:t>
      </w:r>
    </w:p>
    <w:p w14:paraId="72BF3211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Eplerenon se ne uklanja dijalizom.</w:t>
      </w:r>
    </w:p>
    <w:p w14:paraId="2BF0A539" w14:textId="77777777" w:rsidR="007A7B42" w:rsidRPr="004071DE" w:rsidRDefault="007A7B42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49FF36AD" w14:textId="77777777" w:rsidR="007A7B42" w:rsidRPr="004071DE" w:rsidRDefault="007A7B42" w:rsidP="00270C6F">
      <w:pPr>
        <w:autoSpaceDE w:val="0"/>
        <w:autoSpaceDN w:val="0"/>
        <w:adjustRightInd w:val="0"/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4071DE">
        <w:rPr>
          <w:rFonts w:eastAsia="TimesNewRoman"/>
          <w:i/>
          <w:iCs/>
          <w:sz w:val="22"/>
          <w:szCs w:val="22"/>
          <w:lang w:val="sr-Latn-ME"/>
        </w:rPr>
        <w:t>Oštećenje funkcije jetre</w:t>
      </w:r>
    </w:p>
    <w:p w14:paraId="31D9DDF8" w14:textId="4D1BFB9B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Nije potrebno početno prilagođavanje doza l</w:t>
      </w:r>
      <w:r w:rsidR="00D17DB7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eka kod pacijenata sa blagim ili um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erenim poremećajima funkcije jetre. Usl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ed povećane sistemske izloženosti eplerenonu kod pacijenata sa blagim do um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erenim poremećajima funkcije jetre preporučuje se češće i redovno praćenje serumskog kalijuma, posebno kod starijih pacijenata (vid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 xml:space="preserve">dio </w:t>
      </w:r>
      <w:r w:rsidRPr="004071DE">
        <w:rPr>
          <w:rFonts w:eastAsia="TimesNewRoman"/>
          <w:sz w:val="22"/>
          <w:szCs w:val="22"/>
          <w:lang w:val="sr-Latn-ME"/>
        </w:rPr>
        <w:t>4.4).</w:t>
      </w:r>
    </w:p>
    <w:p w14:paraId="0E254A2A" w14:textId="77777777" w:rsidR="007A7B42" w:rsidRPr="004071DE" w:rsidRDefault="007A7B42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479AE348" w14:textId="1CD8A429" w:rsidR="007A7B42" w:rsidRPr="004071DE" w:rsidRDefault="007A7B42" w:rsidP="00270C6F">
      <w:pPr>
        <w:autoSpaceDE w:val="0"/>
        <w:autoSpaceDN w:val="0"/>
        <w:adjustRightInd w:val="0"/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4071DE">
        <w:rPr>
          <w:rFonts w:eastAsia="TimesNewRoman"/>
          <w:i/>
          <w:iCs/>
          <w:sz w:val="22"/>
          <w:szCs w:val="22"/>
          <w:lang w:val="sr-Latn-ME"/>
        </w:rPr>
        <w:t>Istovremena prim</w:t>
      </w:r>
      <w:r w:rsidR="00D17DB7" w:rsidRPr="004071DE">
        <w:rPr>
          <w:rFonts w:eastAsia="TimesNewRoman"/>
          <w:i/>
          <w:iCs/>
          <w:sz w:val="22"/>
          <w:szCs w:val="22"/>
          <w:lang w:val="sr-Latn-ME"/>
        </w:rPr>
        <w:t>j</w:t>
      </w:r>
      <w:r w:rsidRPr="004071DE">
        <w:rPr>
          <w:rFonts w:eastAsia="TimesNewRoman"/>
          <w:i/>
          <w:iCs/>
          <w:sz w:val="22"/>
          <w:szCs w:val="22"/>
          <w:lang w:val="sr-Latn-ME"/>
        </w:rPr>
        <w:t>ena sa drugim l</w:t>
      </w:r>
      <w:r w:rsidR="00D17DB7" w:rsidRPr="004071DE">
        <w:rPr>
          <w:rFonts w:eastAsia="TimesNewRoman"/>
          <w:i/>
          <w:iCs/>
          <w:sz w:val="22"/>
          <w:szCs w:val="22"/>
          <w:lang w:val="sr-Latn-ME"/>
        </w:rPr>
        <w:t>j</w:t>
      </w:r>
      <w:r w:rsidRPr="004071DE">
        <w:rPr>
          <w:rFonts w:eastAsia="TimesNewRoman"/>
          <w:i/>
          <w:iCs/>
          <w:sz w:val="22"/>
          <w:szCs w:val="22"/>
          <w:lang w:val="sr-Latn-ME"/>
        </w:rPr>
        <w:t>ekovima</w:t>
      </w:r>
    </w:p>
    <w:p w14:paraId="1C0E1993" w14:textId="7B574950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U slučaju istovremene prim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ene sa blagim do um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erenim inhibitorima CYP3A4, kao što su am</w:t>
      </w:r>
      <w:r w:rsidR="00F337C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odaron,</w:t>
      </w:r>
    </w:p>
    <w:p w14:paraId="36DD262B" w14:textId="5ECB32E1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diltiazem i verapamil, doza je 25 mg jednom dnevno i ona ne treba da se povećava (vid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>dio</w:t>
      </w:r>
      <w:r w:rsidRPr="004071DE">
        <w:rPr>
          <w:rFonts w:eastAsia="TimesNewRoman"/>
          <w:sz w:val="22"/>
          <w:szCs w:val="22"/>
          <w:lang w:val="sr-Latn-ME"/>
        </w:rPr>
        <w:t xml:space="preserve"> 4.5).</w:t>
      </w:r>
    </w:p>
    <w:p w14:paraId="5032DDC7" w14:textId="77777777" w:rsidR="00A77092" w:rsidRPr="004071DE" w:rsidRDefault="00A7709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5D0E06BA" w14:textId="091B43FD" w:rsidR="007A7B42" w:rsidRPr="004071DE" w:rsidRDefault="007A7B42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Eplerenon se može uzimati uz obrok, ili nezavisno od obroka (vid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>dio</w:t>
      </w:r>
      <w:r w:rsidRPr="004071DE">
        <w:rPr>
          <w:rFonts w:eastAsia="TimesNewRoman"/>
          <w:sz w:val="22"/>
          <w:szCs w:val="22"/>
          <w:lang w:val="sr-Latn-ME"/>
        </w:rPr>
        <w:t xml:space="preserve"> 5.2).</w:t>
      </w:r>
    </w:p>
    <w:p w14:paraId="34846E48" w14:textId="77777777" w:rsidR="00452E9D" w:rsidRPr="004071DE" w:rsidRDefault="00452E9D" w:rsidP="00270C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78782FE" w14:textId="319F2994" w:rsidR="00411B4B" w:rsidRPr="004071DE" w:rsidRDefault="00411B4B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 xml:space="preserve">4.3. </w:t>
      </w:r>
      <w:r w:rsidR="00480FB1" w:rsidRPr="004071DE">
        <w:rPr>
          <w:b/>
          <w:bCs/>
          <w:sz w:val="22"/>
          <w:szCs w:val="22"/>
          <w:lang w:val="sr-Latn-ME"/>
        </w:rPr>
        <w:tab/>
      </w:r>
      <w:r w:rsidRPr="004071DE">
        <w:rPr>
          <w:b/>
          <w:bCs/>
          <w:sz w:val="22"/>
          <w:szCs w:val="22"/>
          <w:lang w:val="sr-Latn-ME"/>
        </w:rPr>
        <w:t>Kontraindikacije</w:t>
      </w:r>
    </w:p>
    <w:p w14:paraId="420AD108" w14:textId="77777777" w:rsidR="007A7B42" w:rsidRPr="004071DE" w:rsidRDefault="007A7B42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4FE4DD0" w14:textId="6F077036" w:rsidR="007A7B42" w:rsidRPr="004071DE" w:rsidRDefault="007A7B4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Preos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etljivost na eplerenon ili na bilo koju od pomoćnih supstanci navedenih u </w:t>
      </w:r>
      <w:r w:rsidR="00280578" w:rsidRPr="004071DE">
        <w:rPr>
          <w:rFonts w:eastAsia="TimesNewRoman"/>
          <w:sz w:val="22"/>
          <w:szCs w:val="22"/>
          <w:lang w:val="sr-Latn-ME"/>
        </w:rPr>
        <w:t>dijelu</w:t>
      </w:r>
      <w:r w:rsidRPr="004071DE">
        <w:rPr>
          <w:rFonts w:eastAsia="TimesNewRoman"/>
          <w:sz w:val="22"/>
          <w:szCs w:val="22"/>
          <w:lang w:val="sr-Latn-ME"/>
        </w:rPr>
        <w:t xml:space="preserve"> 6.1;</w:t>
      </w:r>
    </w:p>
    <w:p w14:paraId="4AFBF868" w14:textId="762B5266" w:rsidR="007A7B42" w:rsidRPr="004071DE" w:rsidRDefault="007A7B4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Pacijenti sa koncentracijom kalijuma u serumu &gt; 5,0 mmol/</w:t>
      </w:r>
      <w:r w:rsidR="00251587" w:rsidRPr="004071DE">
        <w:rPr>
          <w:rFonts w:eastAsia="TimesNewRoman"/>
          <w:sz w:val="22"/>
          <w:szCs w:val="22"/>
          <w:lang w:val="sr-Latn-ME"/>
        </w:rPr>
        <w:t>l</w:t>
      </w:r>
      <w:r w:rsidRPr="004071DE">
        <w:rPr>
          <w:rFonts w:eastAsia="TimesNewRoman"/>
          <w:sz w:val="22"/>
          <w:szCs w:val="22"/>
          <w:lang w:val="sr-Latn-ME"/>
        </w:rPr>
        <w:t>, u trenutku započinjanja terapije;</w:t>
      </w:r>
    </w:p>
    <w:p w14:paraId="3F759170" w14:textId="77777777" w:rsidR="007A7B42" w:rsidRPr="004071DE" w:rsidRDefault="007A7B4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Pacijenti sa teškom insuficijencijom bubrega (eGFR &lt; 30 ml/min/1,73 m</w:t>
      </w:r>
      <w:r w:rsidRPr="004071DE">
        <w:rPr>
          <w:rFonts w:eastAsia="TimesNewRoman"/>
          <w:sz w:val="22"/>
          <w:szCs w:val="22"/>
          <w:vertAlign w:val="superscript"/>
          <w:lang w:val="sr-Latn-ME"/>
        </w:rPr>
        <w:t>2</w:t>
      </w:r>
      <w:r w:rsidRPr="004071DE">
        <w:rPr>
          <w:rFonts w:eastAsia="TimesNewRoman"/>
          <w:sz w:val="22"/>
          <w:szCs w:val="22"/>
          <w:lang w:val="sr-Latn-ME"/>
        </w:rPr>
        <w:t>);</w:t>
      </w:r>
    </w:p>
    <w:p w14:paraId="1C593F7F" w14:textId="77777777" w:rsidR="007A7B42" w:rsidRPr="004071DE" w:rsidRDefault="007A7B4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Pacijenti sa teškom insuficijencijom jetre (</w:t>
      </w:r>
      <w:r w:rsidRPr="004071DE">
        <w:rPr>
          <w:rFonts w:eastAsia="TimesNewRoman"/>
          <w:i/>
          <w:iCs/>
          <w:sz w:val="22"/>
          <w:szCs w:val="22"/>
          <w:lang w:val="sr-Latn-ME"/>
        </w:rPr>
        <w:t xml:space="preserve">Child-Pugh </w:t>
      </w:r>
      <w:r w:rsidRPr="004071DE">
        <w:rPr>
          <w:rFonts w:eastAsia="TimesNewRoman"/>
          <w:sz w:val="22"/>
          <w:szCs w:val="22"/>
          <w:lang w:val="sr-Latn-ME"/>
        </w:rPr>
        <w:t>klasa C);</w:t>
      </w:r>
    </w:p>
    <w:p w14:paraId="26E59B64" w14:textId="0C9D0684" w:rsidR="007A7B42" w:rsidRPr="004071DE" w:rsidRDefault="007A7B4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Pacijenti koji primaju diuretike koji štede kalijum, suplemente kalijuma, kao i snažne inhibitore CYP3A4 izoenzima (kao što su itrakonazol, ketokonazol, ritonavir, nelfinavir, klaritromicin, telitromicin i nefazodon) (vid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 xml:space="preserve">dio </w:t>
      </w:r>
      <w:r w:rsidRPr="004071DE">
        <w:rPr>
          <w:rFonts w:eastAsia="TimesNewRoman"/>
          <w:sz w:val="22"/>
          <w:szCs w:val="22"/>
          <w:lang w:val="sr-Latn-ME"/>
        </w:rPr>
        <w:t>4.5);</w:t>
      </w:r>
    </w:p>
    <w:p w14:paraId="488735D8" w14:textId="1E4A69DF" w:rsidR="007A7B42" w:rsidRPr="004071DE" w:rsidRDefault="007A7B4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Istovremena prim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ena inhibitora angiotenzin konvertujućeg enzima (ACE) i antagonista receptora angiotenzina II (ARB) sa eplerenonom.</w:t>
      </w:r>
    </w:p>
    <w:p w14:paraId="062983F4" w14:textId="77777777" w:rsidR="007A7B42" w:rsidRPr="004071DE" w:rsidRDefault="007A7B42">
      <w:pPr>
        <w:tabs>
          <w:tab w:val="left" w:pos="284"/>
        </w:tabs>
        <w:ind w:left="720"/>
        <w:contextualSpacing/>
        <w:jc w:val="both"/>
        <w:rPr>
          <w:rFonts w:eastAsia="TimesNewRoman"/>
          <w:sz w:val="22"/>
          <w:szCs w:val="22"/>
          <w:lang w:val="sr-Latn-ME"/>
        </w:rPr>
      </w:pPr>
    </w:p>
    <w:p w14:paraId="514034F4" w14:textId="77777777" w:rsidR="00411B4B" w:rsidRPr="004071DE" w:rsidRDefault="00411B4B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 xml:space="preserve">4.4. </w:t>
      </w:r>
      <w:r w:rsidR="00480FB1" w:rsidRPr="004071DE">
        <w:rPr>
          <w:b/>
          <w:bCs/>
          <w:sz w:val="22"/>
          <w:szCs w:val="22"/>
          <w:lang w:val="sr-Latn-ME"/>
        </w:rPr>
        <w:tab/>
      </w:r>
      <w:r w:rsidRPr="004071DE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273C43C4" w14:textId="77777777" w:rsidR="0072020E" w:rsidRPr="004071DE" w:rsidRDefault="0072020E" w:rsidP="00270C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E3C816C" w14:textId="77777777" w:rsidR="007A7B42" w:rsidRPr="004071DE" w:rsidRDefault="007A7B42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/>
        </w:rPr>
      </w:pPr>
      <w:r w:rsidRPr="004071DE">
        <w:rPr>
          <w:i/>
          <w:iCs/>
          <w:sz w:val="22"/>
          <w:szCs w:val="22"/>
          <w:lang w:val="sr-Latn-ME"/>
        </w:rPr>
        <w:t>Hiperkalijemija</w:t>
      </w:r>
    </w:p>
    <w:p w14:paraId="68E758A5" w14:textId="0D3C9D8C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S obzirom na mehanizam d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elovanja l</w:t>
      </w:r>
      <w:r w:rsidR="00D17DB7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eka, nakon prim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ene eplerenona može doći do hiperkalijemije. Koncentraciju kalijuma u serumu treba pratiti kod svih pacijenata prilikom započinjanja terapije, kao i prilikom prom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ene doze l</w:t>
      </w:r>
      <w:r w:rsidR="00D17DB7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eka. Posl</w:t>
      </w:r>
      <w:r w:rsidR="00D17DB7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 toga, periodično praćenje se preporučuje, posebno kod pacijenata kod kojih postoji rizik od razvoja hiperkalijemije, kao što su stariji pacijenti, pacijenti sa renalnom insuficijencijom (vid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 xml:space="preserve">dio </w:t>
      </w:r>
      <w:r w:rsidRPr="004071DE">
        <w:rPr>
          <w:rFonts w:eastAsia="TimesNewRoman"/>
          <w:sz w:val="22"/>
          <w:szCs w:val="22"/>
          <w:lang w:val="sr-Latn-ME"/>
        </w:rPr>
        <w:t>4.2) i pacijenti sa dijabetesom. Prim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ena suplemenata kalijuma nakon</w:t>
      </w:r>
      <w:r w:rsidR="007B4F8C" w:rsidRPr="004071DE">
        <w:rPr>
          <w:rFonts w:eastAsia="TimesNewRoman"/>
          <w:sz w:val="22"/>
          <w:szCs w:val="22"/>
          <w:lang w:val="sr-Latn-ME"/>
        </w:rPr>
        <w:t xml:space="preserve"> </w:t>
      </w:r>
      <w:r w:rsidRPr="004071DE">
        <w:rPr>
          <w:rFonts w:eastAsia="TimesNewRoman"/>
          <w:sz w:val="22"/>
          <w:szCs w:val="22"/>
          <w:lang w:val="sr-Latn-ME"/>
        </w:rPr>
        <w:t>započinjanja terapije eplerenonom se ne preporučuje zbog povećanog rizika od hiperkalijemije.</w:t>
      </w:r>
    </w:p>
    <w:p w14:paraId="0E40A3E9" w14:textId="32FA9EFA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Pokazano je da smanjenje doze l</w:t>
      </w:r>
      <w:r w:rsidR="00D17DB7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 xml:space="preserve">eka smanjuje i koncentraciju serumskog kalijuma. U jednoj studiji, </w:t>
      </w:r>
    </w:p>
    <w:p w14:paraId="60DCDFAF" w14:textId="625D72B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hidrohlortiazid, koji je dodat terapiji eplerenonom, spr</w:t>
      </w:r>
      <w:r w:rsidR="00D17DB7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ečio je povećanje serumskog kalijuma.</w:t>
      </w:r>
    </w:p>
    <w:p w14:paraId="147E25B4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50546509" w14:textId="4394CBCE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lastRenderedPageBreak/>
        <w:t>Rizik od hiperkalijemije može da se poveća kada se eplerenon koristi u kombinaciji sa ACE inhibitorom i/ili</w:t>
      </w:r>
      <w:r w:rsidR="00C67F28" w:rsidRPr="004071DE">
        <w:rPr>
          <w:rFonts w:eastAsia="TimesNewRoman"/>
          <w:sz w:val="22"/>
          <w:szCs w:val="22"/>
          <w:lang w:val="sr-Latn-ME"/>
        </w:rPr>
        <w:t xml:space="preserve"> </w:t>
      </w:r>
      <w:r w:rsidRPr="004071DE">
        <w:rPr>
          <w:rFonts w:eastAsia="TimesNewRoman"/>
          <w:sz w:val="22"/>
          <w:szCs w:val="22"/>
          <w:lang w:val="sr-Latn-ME"/>
        </w:rPr>
        <w:t>antagonistom receptora angiotenzina II (ARB). Ne sm</w:t>
      </w:r>
      <w:r w:rsidR="00D17DB7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 se koristiti kombinacija ACE inhibitora i ARB sa</w:t>
      </w:r>
      <w:r w:rsidR="00C67F28" w:rsidRPr="004071DE">
        <w:rPr>
          <w:rFonts w:eastAsia="TimesNewRoman"/>
          <w:sz w:val="22"/>
          <w:szCs w:val="22"/>
          <w:lang w:val="sr-Latn-ME"/>
        </w:rPr>
        <w:t xml:space="preserve"> </w:t>
      </w:r>
      <w:r w:rsidRPr="004071DE">
        <w:rPr>
          <w:rFonts w:eastAsia="TimesNewRoman"/>
          <w:sz w:val="22"/>
          <w:szCs w:val="22"/>
          <w:lang w:val="sr-Latn-ME"/>
        </w:rPr>
        <w:t>eplerenonom (vid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>dijelove</w:t>
      </w:r>
      <w:r w:rsidRPr="004071DE">
        <w:rPr>
          <w:rFonts w:eastAsia="TimesNewRoman"/>
          <w:sz w:val="22"/>
          <w:szCs w:val="22"/>
          <w:lang w:val="sr-Latn-ME"/>
        </w:rPr>
        <w:t xml:space="preserve"> 4.3 i 4.5).</w:t>
      </w:r>
    </w:p>
    <w:p w14:paraId="50B4E083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4615DE0D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i/>
          <w:iCs/>
          <w:sz w:val="22"/>
          <w:szCs w:val="22"/>
          <w:lang w:val="sr-Latn-ME"/>
        </w:rPr>
        <w:t>Oštećenje funkcije bubrega</w:t>
      </w:r>
      <w:r w:rsidRPr="004071DE">
        <w:rPr>
          <w:rFonts w:eastAsia="TimesNewRoman"/>
          <w:sz w:val="22"/>
          <w:szCs w:val="22"/>
          <w:lang w:val="sr-Latn-ME"/>
        </w:rPr>
        <w:t xml:space="preserve"> </w:t>
      </w:r>
    </w:p>
    <w:p w14:paraId="4FF4781B" w14:textId="347B547C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 xml:space="preserve">Koncentraciju kalijuma treba stalno pratiti kod pacijenata sa oštećenom funkcijom bubrega, uključujući dijabetičku mikroalbuminuriju. Rizik od hiperkalijemije se povećava sa smanjenjem funkcije bubrega. Iako su podaci dobijeni iz </w:t>
      </w:r>
      <w:r w:rsidRPr="004071DE">
        <w:rPr>
          <w:i/>
          <w:iCs/>
          <w:sz w:val="22"/>
          <w:szCs w:val="22"/>
          <w:lang w:val="sr-Latn-ME"/>
        </w:rPr>
        <w:t xml:space="preserve">EPHESUS (Eplerenone Post-acute Myocardial Infarction Heart failure Efficacy and Survival Study) </w:t>
      </w:r>
      <w:r w:rsidRPr="004071DE">
        <w:rPr>
          <w:rFonts w:eastAsia="TimesNewRoman"/>
          <w:sz w:val="22"/>
          <w:szCs w:val="22"/>
          <w:lang w:val="sr-Latn-ME"/>
        </w:rPr>
        <w:t xml:space="preserve">studije koji se odnose na pacijente sa dijabetesom tipa 2 i mikroalbuminurijom ograničeni, u ovoj maloj grupi pacijenata je uočeno češće pojavljivanje hiperkalijemije. Zbog toga, potreban </w:t>
      </w:r>
      <w:r w:rsidR="003A4C3E" w:rsidRPr="004071DE">
        <w:rPr>
          <w:rFonts w:eastAsia="TimesNewRoman"/>
          <w:sz w:val="22"/>
          <w:szCs w:val="22"/>
          <w:lang w:val="sr-Latn-ME"/>
        </w:rPr>
        <w:t xml:space="preserve">je </w:t>
      </w:r>
      <w:r w:rsidRPr="004071DE">
        <w:rPr>
          <w:rFonts w:eastAsia="TimesNewRoman"/>
          <w:sz w:val="22"/>
          <w:szCs w:val="22"/>
          <w:lang w:val="sr-Latn-ME"/>
        </w:rPr>
        <w:t>oprez prilikom l</w:t>
      </w:r>
      <w:r w:rsidR="00D17DB7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ečenja ovih pacijenata. Eplerenon se ne uklanja prim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enom hemodijalize.</w:t>
      </w:r>
      <w:r w:rsidR="003A4C3E" w:rsidRPr="004071DE">
        <w:rPr>
          <w:rFonts w:eastAsia="TimesNewRoman"/>
          <w:sz w:val="22"/>
          <w:szCs w:val="22"/>
          <w:lang w:val="sr-Latn-ME"/>
        </w:rPr>
        <w:t xml:space="preserve"> </w:t>
      </w:r>
    </w:p>
    <w:p w14:paraId="70B08669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3F216BD9" w14:textId="77777777" w:rsidR="007A7B42" w:rsidRPr="004071DE" w:rsidRDefault="007A7B42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/>
        </w:rPr>
      </w:pPr>
      <w:r w:rsidRPr="004071DE">
        <w:rPr>
          <w:i/>
          <w:iCs/>
          <w:sz w:val="22"/>
          <w:szCs w:val="22"/>
          <w:lang w:val="sr-Latn-ME"/>
        </w:rPr>
        <w:t>Oštećenje funkcije jetre</w:t>
      </w:r>
    </w:p>
    <w:p w14:paraId="0033277F" w14:textId="1802E543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iCs/>
          <w:sz w:val="22"/>
          <w:szCs w:val="22"/>
          <w:lang w:val="sr-Latn-ME"/>
        </w:rPr>
        <w:t>N</w:t>
      </w:r>
      <w:r w:rsidRPr="004071DE">
        <w:rPr>
          <w:rFonts w:eastAsia="TimesNewRoman"/>
          <w:sz w:val="22"/>
          <w:szCs w:val="22"/>
          <w:lang w:val="sr-Latn-ME"/>
        </w:rPr>
        <w:t>ije zapaženo povećanje koncentracije kalijuma u serumu iznad 5,5 mmol/</w:t>
      </w:r>
      <w:r w:rsidR="00251587" w:rsidRPr="004071DE">
        <w:rPr>
          <w:rFonts w:eastAsia="TimesNewRoman"/>
          <w:sz w:val="22"/>
          <w:szCs w:val="22"/>
          <w:lang w:val="sr-Latn-ME"/>
        </w:rPr>
        <w:t>l</w:t>
      </w:r>
      <w:r w:rsidRPr="004071DE">
        <w:rPr>
          <w:rFonts w:eastAsia="TimesNewRoman"/>
          <w:sz w:val="22"/>
          <w:szCs w:val="22"/>
          <w:lang w:val="sr-Latn-ME"/>
        </w:rPr>
        <w:t xml:space="preserve"> kod pacijenata sa blagom do um</w:t>
      </w:r>
      <w:r w:rsidR="00D17DB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erenom insuficijencijom jetre (</w:t>
      </w:r>
      <w:r w:rsidRPr="004071DE">
        <w:rPr>
          <w:i/>
          <w:iCs/>
          <w:sz w:val="22"/>
          <w:szCs w:val="22"/>
          <w:lang w:val="sr-Latn-ME"/>
        </w:rPr>
        <w:t xml:space="preserve">Child-Pugh </w:t>
      </w:r>
      <w:r w:rsidRPr="004071DE">
        <w:rPr>
          <w:rFonts w:eastAsia="TimesNewRoman"/>
          <w:sz w:val="22"/>
          <w:szCs w:val="22"/>
          <w:lang w:val="sr-Latn-ME"/>
        </w:rPr>
        <w:t>klasa A i B)</w:t>
      </w:r>
      <w:r w:rsidRPr="004071DE">
        <w:rPr>
          <w:i/>
          <w:iCs/>
          <w:sz w:val="22"/>
          <w:szCs w:val="22"/>
          <w:lang w:val="sr-Latn-ME"/>
        </w:rPr>
        <w:t xml:space="preserve">. </w:t>
      </w:r>
      <w:r w:rsidRPr="004071DE">
        <w:rPr>
          <w:rFonts w:eastAsia="TimesNewRoman"/>
          <w:sz w:val="22"/>
          <w:szCs w:val="22"/>
          <w:lang w:val="sr-Latn-ME"/>
        </w:rPr>
        <w:t>Ipak, treba pratiti koncentraciju elektrolita kod pacijenata sa blagom do um</w:t>
      </w:r>
      <w:r w:rsidR="00981F53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erenom insuficijencijom jetre. Prim</w:t>
      </w:r>
      <w:r w:rsidR="00981F53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ena eplerenona kod pacijenata sa teškim oštećenjem funkcije jetre nije do sada proc</w:t>
      </w:r>
      <w:r w:rsidR="00981F53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enjivana, pa se stoga smatra kontraindikovanom (vid</w:t>
      </w:r>
      <w:r w:rsidR="00981F53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>dijelove</w:t>
      </w:r>
      <w:r w:rsidRPr="004071DE">
        <w:rPr>
          <w:rFonts w:eastAsia="TimesNewRoman"/>
          <w:sz w:val="22"/>
          <w:szCs w:val="22"/>
          <w:lang w:val="sr-Latn-ME"/>
        </w:rPr>
        <w:t xml:space="preserve"> 4.2. i 4.3).</w:t>
      </w:r>
    </w:p>
    <w:p w14:paraId="457EE770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3081854A" w14:textId="0FAC41A5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i/>
          <w:iCs/>
          <w:sz w:val="22"/>
          <w:szCs w:val="22"/>
          <w:lang w:val="sr-Latn-ME"/>
        </w:rPr>
        <w:t>Istovremena prim</w:t>
      </w:r>
      <w:r w:rsidR="00981F53" w:rsidRPr="004071DE">
        <w:rPr>
          <w:i/>
          <w:iCs/>
          <w:sz w:val="22"/>
          <w:szCs w:val="22"/>
          <w:lang w:val="sr-Latn-ME"/>
        </w:rPr>
        <w:t>j</w:t>
      </w:r>
      <w:r w:rsidRPr="004071DE">
        <w:rPr>
          <w:i/>
          <w:iCs/>
          <w:sz w:val="22"/>
          <w:szCs w:val="22"/>
          <w:lang w:val="sr-Latn-ME"/>
        </w:rPr>
        <w:t>ena sa induktorima izoenzima CYP3A4</w:t>
      </w:r>
      <w:r w:rsidRPr="004071DE">
        <w:rPr>
          <w:rFonts w:eastAsia="TimesNewRoman"/>
          <w:sz w:val="22"/>
          <w:szCs w:val="22"/>
          <w:lang w:val="sr-Latn-ME"/>
        </w:rPr>
        <w:t xml:space="preserve"> </w:t>
      </w:r>
    </w:p>
    <w:p w14:paraId="73E32253" w14:textId="46B09A4D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Ne preporučuje se istovremena prim</w:t>
      </w:r>
      <w:r w:rsidR="00981F53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ena eplerenona sa snažnim induktorima CYP3A4 (vid</w:t>
      </w:r>
      <w:r w:rsidR="00981F53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 xml:space="preserve">dio </w:t>
      </w:r>
      <w:r w:rsidRPr="004071DE">
        <w:rPr>
          <w:rFonts w:eastAsia="TimesNewRoman"/>
          <w:sz w:val="22"/>
          <w:szCs w:val="22"/>
          <w:lang w:val="sr-Latn-ME"/>
        </w:rPr>
        <w:t>4.5).</w:t>
      </w:r>
    </w:p>
    <w:p w14:paraId="6BA8BE10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43906C04" w14:textId="0E6CC003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i/>
          <w:iCs/>
          <w:sz w:val="22"/>
          <w:szCs w:val="22"/>
          <w:lang w:val="sr-Latn-ME"/>
        </w:rPr>
        <w:t xml:space="preserve">Litijum, ciklosporin i takrolimus </w:t>
      </w:r>
      <w:r w:rsidRPr="004071DE">
        <w:rPr>
          <w:rFonts w:eastAsia="TimesNewRoman"/>
          <w:sz w:val="22"/>
          <w:szCs w:val="22"/>
          <w:lang w:val="sr-Latn-ME"/>
        </w:rPr>
        <w:t>treba izb</w:t>
      </w:r>
      <w:r w:rsidR="00981F53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egavati za vr</w:t>
      </w:r>
      <w:r w:rsidR="00981F53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eme terapije eplerenonom (vid</w:t>
      </w:r>
      <w:r w:rsidR="00981F53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>dio</w:t>
      </w:r>
      <w:r w:rsidRPr="004071DE">
        <w:rPr>
          <w:rFonts w:eastAsia="TimesNewRoman"/>
          <w:sz w:val="22"/>
          <w:szCs w:val="22"/>
          <w:lang w:val="sr-Latn-ME"/>
        </w:rPr>
        <w:t xml:space="preserve"> 4.5).</w:t>
      </w:r>
    </w:p>
    <w:p w14:paraId="168CA734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2CF72FE3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i/>
          <w:iCs/>
          <w:sz w:val="22"/>
          <w:szCs w:val="22"/>
          <w:lang w:val="sr-Latn-ME"/>
        </w:rPr>
        <w:t>Pomoćne supstance sa potvrđenim dejstvom</w:t>
      </w:r>
      <w:r w:rsidRPr="004071DE">
        <w:rPr>
          <w:rFonts w:eastAsia="TimesNewRoman"/>
          <w:sz w:val="22"/>
          <w:szCs w:val="22"/>
          <w:lang w:val="sr-Latn-ME"/>
        </w:rPr>
        <w:t xml:space="preserve"> </w:t>
      </w:r>
    </w:p>
    <w:p w14:paraId="21F4E192" w14:textId="3284F6F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L</w:t>
      </w:r>
      <w:r w:rsidR="00981F53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ek Diupot sadrži laktozu, monohidrat. Pacijenti sa r</w:t>
      </w:r>
      <w:r w:rsidR="00981F53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etkim nasl</w:t>
      </w:r>
      <w:r w:rsidR="00981F53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ednim oboljenjem intolerancije na galaktozu, nedostatkom Lapp laktaze ili glukozno-galaktoznom malapsorpcijom, ne sm</w:t>
      </w:r>
      <w:r w:rsidR="00981F53" w:rsidRPr="004071DE">
        <w:rPr>
          <w:rFonts w:eastAsia="TimesNewRoman"/>
          <w:sz w:val="22"/>
          <w:szCs w:val="22"/>
          <w:lang w:val="sr-Latn-ME"/>
        </w:rPr>
        <w:t>i</w:t>
      </w:r>
      <w:r w:rsidRPr="004071DE">
        <w:rPr>
          <w:rFonts w:eastAsia="TimesNewRoman"/>
          <w:sz w:val="22"/>
          <w:szCs w:val="22"/>
          <w:lang w:val="sr-Latn-ME"/>
        </w:rPr>
        <w:t>ju koristiti ovaj l</w:t>
      </w:r>
      <w:r w:rsidR="00981F53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ek.</w:t>
      </w:r>
    </w:p>
    <w:p w14:paraId="4A7E6A2A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6EBBBC13" w14:textId="3F64D4FB" w:rsidR="007A7B42" w:rsidRPr="004071DE" w:rsidRDefault="007A7B4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L</w:t>
      </w:r>
      <w:r w:rsidR="00981F53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ek Diupot sadrži manje od 1 mmol natrijuma (23 mg) po tableti, odnosno suštinski ne sadrži natrijum.</w:t>
      </w:r>
    </w:p>
    <w:p w14:paraId="058ED416" w14:textId="77777777" w:rsidR="00057E35" w:rsidRPr="004071DE" w:rsidRDefault="00057E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6B0F02" w14:textId="0F3BF68B" w:rsidR="00411B4B" w:rsidRPr="004071DE" w:rsidRDefault="00411B4B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>4.5.</w:t>
      </w:r>
      <w:r w:rsidR="000D60CC" w:rsidRPr="004071DE">
        <w:rPr>
          <w:b/>
          <w:bCs/>
          <w:sz w:val="22"/>
          <w:szCs w:val="22"/>
          <w:lang w:val="sr-Latn-ME"/>
        </w:rPr>
        <w:tab/>
      </w:r>
      <w:r w:rsidRPr="004071DE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0A6DDC29" w14:textId="77777777" w:rsidR="007A7B42" w:rsidRPr="004071DE" w:rsidRDefault="007A7B42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629B883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bCs/>
          <w:sz w:val="22"/>
          <w:szCs w:val="22"/>
          <w:u w:val="single"/>
          <w:lang w:val="sr-Latn-ME"/>
        </w:rPr>
      </w:pPr>
      <w:r w:rsidRPr="004071DE">
        <w:rPr>
          <w:rFonts w:eastAsia="TimesNewRoman"/>
          <w:bCs/>
          <w:sz w:val="22"/>
          <w:szCs w:val="22"/>
          <w:u w:val="single"/>
          <w:lang w:val="sr-Latn-ME"/>
        </w:rPr>
        <w:t>Farmakodinamske interakcije</w:t>
      </w:r>
    </w:p>
    <w:p w14:paraId="6AD0DF2A" w14:textId="77777777" w:rsidR="005D1DC3" w:rsidRPr="004071DE" w:rsidRDefault="005D1DC3">
      <w:pPr>
        <w:autoSpaceDE w:val="0"/>
        <w:autoSpaceDN w:val="0"/>
        <w:adjustRightInd w:val="0"/>
        <w:jc w:val="both"/>
        <w:rPr>
          <w:rFonts w:eastAsia="TimesNewRoman"/>
          <w:bCs/>
          <w:sz w:val="22"/>
          <w:szCs w:val="22"/>
          <w:u w:val="single"/>
          <w:lang w:val="sr-Latn-ME"/>
        </w:rPr>
      </w:pPr>
    </w:p>
    <w:p w14:paraId="099827E6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i/>
          <w:iCs/>
          <w:sz w:val="22"/>
          <w:szCs w:val="22"/>
          <w:lang w:val="sr-Latn-ME"/>
        </w:rPr>
        <w:t>Diuretici koji štede kalijum i suplementi kalijuma</w:t>
      </w:r>
      <w:r w:rsidRPr="004071DE">
        <w:rPr>
          <w:rFonts w:eastAsia="TimesNewRoman"/>
          <w:sz w:val="22"/>
          <w:szCs w:val="22"/>
          <w:lang w:val="sr-Latn-ME"/>
        </w:rPr>
        <w:t xml:space="preserve"> </w:t>
      </w:r>
    </w:p>
    <w:p w14:paraId="2D3F5FC6" w14:textId="5D62401A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Usl</w:t>
      </w:r>
      <w:r w:rsidR="00981F53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ed povećanog rizika od hiperkalijemije eplerenon se ne sm</w:t>
      </w:r>
      <w:r w:rsidR="00981F53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 propisivati pacijentima koji primaju diuretike koji štede kalijum i suplemente kalijuma (vid</w:t>
      </w:r>
      <w:r w:rsidR="00981F53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 xml:space="preserve">dio </w:t>
      </w:r>
      <w:r w:rsidRPr="004071DE">
        <w:rPr>
          <w:rFonts w:eastAsia="TimesNewRoman"/>
          <w:sz w:val="22"/>
          <w:szCs w:val="22"/>
          <w:lang w:val="sr-Latn-ME"/>
        </w:rPr>
        <w:t>4.3). Diuretici koji štede kalijum mogu takođe pojačavati efekte antihipertenziva i drugih diuretika.</w:t>
      </w:r>
    </w:p>
    <w:p w14:paraId="7349F1C3" w14:textId="77777777" w:rsidR="007A7B42" w:rsidRPr="004071DE" w:rsidRDefault="007A7B42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</w:p>
    <w:p w14:paraId="76CCC6F0" w14:textId="77777777" w:rsidR="007A7B42" w:rsidRPr="004071DE" w:rsidRDefault="007A7B42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/>
        </w:rPr>
      </w:pPr>
      <w:r w:rsidRPr="004071DE">
        <w:rPr>
          <w:i/>
          <w:iCs/>
          <w:sz w:val="22"/>
          <w:szCs w:val="22"/>
          <w:lang w:val="sr-Latn-ME"/>
        </w:rPr>
        <w:t>ACE inhibitori, antagonisti receptora angiotenzina II (ARB)</w:t>
      </w:r>
    </w:p>
    <w:p w14:paraId="28F8E431" w14:textId="15A1ABA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Rizik od hiperkalijemije može biti povišen kada se eplerenon koristi u kombinaciji sa ACE inhibitorima i/ili ARB. Preporučuje se redovno praćenje kalijuma u serumu i funkcije bubrega, posebno kod pacijenata sa rizikom od oštećenja funkcije bubrega, kao što su stariji pacijenti. Trojna kombinacija ACE inhibitora, ARB i eplerenona se ne sm</w:t>
      </w:r>
      <w:r w:rsidR="00981F53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 prim</w:t>
      </w:r>
      <w:r w:rsidR="00981F53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enjivati (vid</w:t>
      </w:r>
      <w:r w:rsidR="00981F53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>dijelove</w:t>
      </w:r>
      <w:r w:rsidRPr="004071DE">
        <w:rPr>
          <w:rFonts w:eastAsia="TimesNewRoman"/>
          <w:sz w:val="22"/>
          <w:szCs w:val="22"/>
          <w:lang w:val="sr-Latn-ME"/>
        </w:rPr>
        <w:t xml:space="preserve"> 4.3. i 4.4).</w:t>
      </w:r>
    </w:p>
    <w:p w14:paraId="6F570124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77D3BE02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i/>
          <w:iCs/>
          <w:sz w:val="22"/>
          <w:szCs w:val="22"/>
          <w:lang w:val="sr-Latn-ME"/>
        </w:rPr>
        <w:t>Litijum</w:t>
      </w:r>
    </w:p>
    <w:p w14:paraId="4F6FF9BE" w14:textId="7DB30D39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Studije interakcija eplerenona sa litijumom ni</w:t>
      </w:r>
      <w:r w:rsidR="00FE647A" w:rsidRPr="004071DE">
        <w:rPr>
          <w:rFonts w:eastAsia="TimesNewRoman"/>
          <w:sz w:val="22"/>
          <w:szCs w:val="22"/>
          <w:lang w:val="sr-Latn-ME"/>
        </w:rPr>
        <w:t>je</w:t>
      </w:r>
      <w:r w:rsidRPr="004071DE">
        <w:rPr>
          <w:rFonts w:eastAsia="TimesNewRoman"/>
          <w:sz w:val="22"/>
          <w:szCs w:val="22"/>
          <w:lang w:val="sr-Latn-ME"/>
        </w:rPr>
        <w:t>su sprovedene. Međutim, toksičnost litijuma je pokazana kod pacijenata koji primaju istovremeno litijum sa diureticima i ACE inhibitorima (vid</w:t>
      </w:r>
      <w:r w:rsidR="00981F53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>dio</w:t>
      </w:r>
      <w:r w:rsidRPr="004071DE">
        <w:rPr>
          <w:rFonts w:eastAsia="TimesNewRoman"/>
          <w:sz w:val="22"/>
          <w:szCs w:val="22"/>
          <w:lang w:val="sr-Latn-ME"/>
        </w:rPr>
        <w:t xml:space="preserve"> 4.4). Zbog toga, istovremenu prim</w:t>
      </w:r>
      <w:r w:rsidR="00981F53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enu eplerenona i litijuma treba izb</w:t>
      </w:r>
      <w:r w:rsidR="00981F53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egavati. Ako je neophodno dati ovu kombinaciju, treba pratiti koncentraciju litijuma u plazmi (vid</w:t>
      </w:r>
      <w:r w:rsidR="00981F53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>dio</w:t>
      </w:r>
      <w:r w:rsidRPr="004071DE">
        <w:rPr>
          <w:rFonts w:eastAsia="TimesNewRoman"/>
          <w:sz w:val="22"/>
          <w:szCs w:val="22"/>
          <w:lang w:val="sr-Latn-ME"/>
        </w:rPr>
        <w:t xml:space="preserve"> 4.4).</w:t>
      </w:r>
    </w:p>
    <w:p w14:paraId="15CCCAF0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6C9215A7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i/>
          <w:iCs/>
          <w:sz w:val="22"/>
          <w:szCs w:val="22"/>
          <w:lang w:val="sr-Latn-ME"/>
        </w:rPr>
        <w:t>Ciklosporin, takrolimus</w:t>
      </w:r>
      <w:r w:rsidRPr="004071DE">
        <w:rPr>
          <w:rFonts w:eastAsia="TimesNewRoman"/>
          <w:sz w:val="22"/>
          <w:szCs w:val="22"/>
          <w:lang w:val="sr-Latn-ME"/>
        </w:rPr>
        <w:t xml:space="preserve"> </w:t>
      </w:r>
    </w:p>
    <w:p w14:paraId="3B5597E9" w14:textId="0E435AE6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Ciklosporin i takrolimus mogu dovesti do poremećaja funkcije bubrega i povećanja rizika od hiperkalijemije. Treba izb</w:t>
      </w:r>
      <w:r w:rsidR="00981F53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egavati istovremenu prim</w:t>
      </w:r>
      <w:r w:rsidR="00981F53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enu eplerenona i ciklosporina ili takrolimusa. Ako </w:t>
      </w:r>
      <w:r w:rsidRPr="004071DE">
        <w:rPr>
          <w:rFonts w:eastAsia="TimesNewRoman"/>
          <w:sz w:val="22"/>
          <w:szCs w:val="22"/>
          <w:lang w:val="sr-Latn-ME"/>
        </w:rPr>
        <w:lastRenderedPageBreak/>
        <w:t>je neophodno da se za vr</w:t>
      </w:r>
      <w:r w:rsidR="00981F53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eme terapije eplerenonom prim</w:t>
      </w:r>
      <w:r w:rsidR="00981F53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enjuju ciklosporin i takrolimus, potrebno je redovno praćenje kalijuma u serumu i bubrežne funkcije (vid</w:t>
      </w:r>
      <w:r w:rsidR="00981F53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>dio</w:t>
      </w:r>
      <w:r w:rsidRPr="004071DE">
        <w:rPr>
          <w:rFonts w:eastAsia="TimesNewRoman"/>
          <w:sz w:val="22"/>
          <w:szCs w:val="22"/>
          <w:lang w:val="sr-Latn-ME"/>
        </w:rPr>
        <w:t xml:space="preserve"> 4.4).</w:t>
      </w:r>
    </w:p>
    <w:p w14:paraId="5DB1A361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02D5A2FF" w14:textId="4E05345F" w:rsidR="007A7B42" w:rsidRPr="004071DE" w:rsidRDefault="007A7B42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/>
        </w:rPr>
      </w:pPr>
      <w:r w:rsidRPr="004071DE">
        <w:rPr>
          <w:i/>
          <w:iCs/>
          <w:sz w:val="22"/>
          <w:szCs w:val="22"/>
          <w:lang w:val="sr-Latn-ME"/>
        </w:rPr>
        <w:t>Nesteroidni antiinflamatorni l</w:t>
      </w:r>
      <w:r w:rsidR="00981F53" w:rsidRPr="004071DE">
        <w:rPr>
          <w:i/>
          <w:iCs/>
          <w:sz w:val="22"/>
          <w:szCs w:val="22"/>
          <w:lang w:val="sr-Latn-ME"/>
        </w:rPr>
        <w:t>j</w:t>
      </w:r>
      <w:r w:rsidRPr="004071DE">
        <w:rPr>
          <w:i/>
          <w:iCs/>
          <w:sz w:val="22"/>
          <w:szCs w:val="22"/>
          <w:lang w:val="sr-Latn-ME"/>
        </w:rPr>
        <w:t>ekovi (NSAIL)</w:t>
      </w:r>
    </w:p>
    <w:p w14:paraId="5DF28391" w14:textId="125B1FD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Terapija sa NSAIL može da dovede do akutne bubrežne insuficijencije d</w:t>
      </w:r>
      <w:r w:rsidR="00981F53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elujući direktno na glomerularnu filtraciju, posebno kod pacijenata sa rizikom (stariji pacijenti i/ili dehidrirani pacijenti). Pacijenti koji primaju eplerenon i NSAIL treba da budu adekvatno hidrirani, a bubrežna funkcija mora biti ispitana pr</w:t>
      </w:r>
      <w:r w:rsidR="00981F53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 započinjanja l</w:t>
      </w:r>
      <w:r w:rsidR="00981F53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ečenja.</w:t>
      </w:r>
    </w:p>
    <w:p w14:paraId="0B05312D" w14:textId="77777777" w:rsidR="007B4F8C" w:rsidRPr="004071DE" w:rsidRDefault="007B4F8C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3BAE3D20" w14:textId="77777777" w:rsidR="007A7B42" w:rsidRPr="004071DE" w:rsidRDefault="007A7B42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i/>
          <w:iCs/>
          <w:sz w:val="22"/>
          <w:szCs w:val="22"/>
          <w:lang w:val="sr-Latn-ME"/>
        </w:rPr>
        <w:t>Trimetoprim</w:t>
      </w:r>
      <w:r w:rsidRPr="004071DE">
        <w:rPr>
          <w:rFonts w:eastAsia="TimesNewRoman"/>
          <w:sz w:val="22"/>
          <w:szCs w:val="22"/>
          <w:lang w:val="sr-Latn-ME"/>
        </w:rPr>
        <w:t xml:space="preserve"> </w:t>
      </w:r>
    </w:p>
    <w:p w14:paraId="0DD45FD3" w14:textId="0D37AE23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Istovremena prim</w:t>
      </w:r>
      <w:r w:rsidR="00981F53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ena trimetoprima sa eplerenonom povećava rizik od hiperkalijemije. Treba pratiti koncentraciju kalijuma u serumu i funkciju bubrega posebno kod onih pacijenata koji već imaju</w:t>
      </w:r>
      <w:r w:rsidR="009A0676" w:rsidRPr="004071DE">
        <w:rPr>
          <w:rFonts w:eastAsia="TimesNewRoman"/>
          <w:sz w:val="22"/>
          <w:szCs w:val="22"/>
          <w:lang w:val="sr-Latn-ME"/>
        </w:rPr>
        <w:t xml:space="preserve"> </w:t>
      </w:r>
      <w:r w:rsidRPr="004071DE">
        <w:rPr>
          <w:rFonts w:eastAsia="TimesNewRoman"/>
          <w:sz w:val="22"/>
          <w:szCs w:val="22"/>
          <w:lang w:val="sr-Latn-ME"/>
        </w:rPr>
        <w:t>oboljenje bubrega i kod starijih.</w:t>
      </w:r>
    </w:p>
    <w:p w14:paraId="276CD4D5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152DA52E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i/>
          <w:iCs/>
          <w:sz w:val="22"/>
          <w:szCs w:val="22"/>
          <w:lang w:val="sr-Latn-ME"/>
        </w:rPr>
        <w:t>Antagonisti alfa-1 adrenergičkih receptora (npr. prazosin, alfuzosin)</w:t>
      </w:r>
      <w:r w:rsidRPr="004071DE">
        <w:rPr>
          <w:rFonts w:eastAsia="TimesNewRoman"/>
          <w:sz w:val="22"/>
          <w:szCs w:val="22"/>
          <w:lang w:val="sr-Latn-ME"/>
        </w:rPr>
        <w:t xml:space="preserve"> </w:t>
      </w:r>
    </w:p>
    <w:p w14:paraId="13269939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 xml:space="preserve">Kada se blokatori alfa-1 adrenergičkih receptora kombinuju sa eplerenonom postoji mogućnost pojačanja hipotenzivnog efekta i/ili pojave posturalne hipotenzije. </w:t>
      </w:r>
      <w:r w:rsidRPr="004071DE">
        <w:rPr>
          <w:sz w:val="22"/>
          <w:szCs w:val="22"/>
          <w:lang w:val="sr-Latn-ME"/>
        </w:rPr>
        <w:t>Iz tog razloga se preporučuje kliničko praćenje posturalne hipotenzije kada se eplerenon daje sa blokatorima alfa</w:t>
      </w:r>
      <w:r w:rsidRPr="004071DE">
        <w:rPr>
          <w:sz w:val="22"/>
          <w:szCs w:val="22"/>
          <w:vertAlign w:val="subscript"/>
          <w:lang w:val="sr-Latn-ME"/>
        </w:rPr>
        <w:t>1</w:t>
      </w:r>
      <w:r w:rsidRPr="004071DE">
        <w:rPr>
          <w:sz w:val="22"/>
          <w:szCs w:val="22"/>
          <w:lang w:val="sr-Latn-ME"/>
        </w:rPr>
        <w:t xml:space="preserve"> adrenergičkih receptora.</w:t>
      </w:r>
    </w:p>
    <w:p w14:paraId="4AD0EC6F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4C0B382A" w14:textId="77777777" w:rsidR="007A7B42" w:rsidRPr="004071DE" w:rsidRDefault="007A7B42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/>
        </w:rPr>
      </w:pPr>
      <w:r w:rsidRPr="004071DE">
        <w:rPr>
          <w:i/>
          <w:iCs/>
          <w:sz w:val="22"/>
          <w:szCs w:val="22"/>
          <w:lang w:val="sr-Latn-ME"/>
        </w:rPr>
        <w:t>Triciklični antidepresivi, neuroleptici, amifostin, baklofen</w:t>
      </w:r>
    </w:p>
    <w:p w14:paraId="657674ED" w14:textId="4CEB01B5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Istovremena prim</w:t>
      </w:r>
      <w:r w:rsidR="00981F53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ena ovih l</w:t>
      </w:r>
      <w:r w:rsidR="00981F53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ekova sa eplerenonom može potencijalno da poveća antihipertenzivne efekte i rizik od posturalne hipotenzije.</w:t>
      </w:r>
    </w:p>
    <w:p w14:paraId="0C70A7DB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58E4246B" w14:textId="77777777" w:rsidR="007A7B42" w:rsidRPr="004071DE" w:rsidRDefault="007A7B42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/>
        </w:rPr>
      </w:pPr>
      <w:r w:rsidRPr="004071DE">
        <w:rPr>
          <w:i/>
          <w:iCs/>
          <w:sz w:val="22"/>
          <w:szCs w:val="22"/>
          <w:lang w:val="sr-Latn-ME"/>
        </w:rPr>
        <w:t>Glukokortikoidi, tetrakozaktid</w:t>
      </w:r>
    </w:p>
    <w:p w14:paraId="43560EFD" w14:textId="33185AB9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Istovremena prim</w:t>
      </w:r>
      <w:r w:rsidR="00BC384C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ena ovih l</w:t>
      </w:r>
      <w:r w:rsidR="00BC384C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ekova sa eplerenonom može potencijalno da smanji antihipertenzivne efekte (retencija natrijuma i vode).</w:t>
      </w:r>
    </w:p>
    <w:p w14:paraId="5789CBE3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  <w:lang w:val="sr-Latn-ME"/>
        </w:rPr>
      </w:pPr>
    </w:p>
    <w:p w14:paraId="5C5FA459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bCs/>
          <w:sz w:val="22"/>
          <w:szCs w:val="22"/>
          <w:u w:val="single"/>
          <w:lang w:val="sr-Latn-ME"/>
        </w:rPr>
      </w:pPr>
      <w:r w:rsidRPr="004071DE">
        <w:rPr>
          <w:rFonts w:eastAsia="TimesNewRoman"/>
          <w:bCs/>
          <w:sz w:val="22"/>
          <w:szCs w:val="22"/>
          <w:u w:val="single"/>
          <w:lang w:val="sr-Latn-ME"/>
        </w:rPr>
        <w:t>Farmakokinetičke interakcije</w:t>
      </w:r>
    </w:p>
    <w:p w14:paraId="403AA925" w14:textId="77777777" w:rsidR="005D1DC3" w:rsidRPr="004071DE" w:rsidRDefault="005D1DC3">
      <w:pPr>
        <w:autoSpaceDE w:val="0"/>
        <w:autoSpaceDN w:val="0"/>
        <w:adjustRightInd w:val="0"/>
        <w:jc w:val="both"/>
        <w:rPr>
          <w:rFonts w:eastAsia="TimesNewRoman"/>
          <w:bCs/>
          <w:sz w:val="22"/>
          <w:szCs w:val="22"/>
          <w:u w:val="single"/>
          <w:lang w:val="sr-Latn-ME"/>
        </w:rPr>
      </w:pPr>
    </w:p>
    <w:p w14:paraId="551686D6" w14:textId="6C8695CC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i/>
          <w:iCs/>
          <w:sz w:val="22"/>
          <w:szCs w:val="22"/>
          <w:lang w:val="sr-Latn-ME"/>
        </w:rPr>
        <w:t xml:space="preserve">In vitro </w:t>
      </w:r>
      <w:r w:rsidRPr="004071DE">
        <w:rPr>
          <w:rFonts w:eastAsia="TimesNewRoman"/>
          <w:sz w:val="22"/>
          <w:szCs w:val="22"/>
          <w:lang w:val="sr-Latn-ME"/>
        </w:rPr>
        <w:t>studije pokazuju da eplerenon nije inhibitor izoenzima CYP1A2, CYP2C19, CYP2C9, CYP2D6 ili CYP3A4. Eplerenon nije supstrat ili inhibitor P-glikoproteina.</w:t>
      </w:r>
    </w:p>
    <w:p w14:paraId="5C3FB12F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127D3211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i/>
          <w:iCs/>
          <w:sz w:val="22"/>
          <w:szCs w:val="22"/>
          <w:lang w:val="sr-Latn-ME"/>
        </w:rPr>
        <w:t>Digoksin</w:t>
      </w:r>
      <w:r w:rsidRPr="004071DE">
        <w:rPr>
          <w:rFonts w:eastAsia="TimesNewRoman"/>
          <w:sz w:val="22"/>
          <w:szCs w:val="22"/>
          <w:lang w:val="sr-Latn-ME"/>
        </w:rPr>
        <w:t xml:space="preserve"> </w:t>
      </w:r>
    </w:p>
    <w:p w14:paraId="67F66F6B" w14:textId="38FB9F66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Sistemska izloženost (PIK) digoksinu se povećava za 16% pri istovremenoj prim</w:t>
      </w:r>
      <w:r w:rsidR="00BC384C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eni sa eplerenonom (90% CI: 4%-30%). Posebna pažnja je potrebna kada se digoksin prim</w:t>
      </w:r>
      <w:r w:rsidR="00BC384C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enjuje u dozama koje su blizu gornje granice terapijskog opsega.</w:t>
      </w:r>
    </w:p>
    <w:p w14:paraId="741D5361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2414A594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4071DE">
        <w:rPr>
          <w:rFonts w:eastAsia="TimesNewRoman"/>
          <w:i/>
          <w:iCs/>
          <w:sz w:val="22"/>
          <w:szCs w:val="22"/>
          <w:lang w:val="sr-Latn-ME"/>
        </w:rPr>
        <w:t>Varfarin</w:t>
      </w:r>
    </w:p>
    <w:p w14:paraId="4720E3A0" w14:textId="2E63301B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Ni</w:t>
      </w:r>
      <w:r w:rsidR="00FE647A" w:rsidRPr="004071DE">
        <w:rPr>
          <w:rFonts w:eastAsia="TimesNewRoman"/>
          <w:sz w:val="22"/>
          <w:szCs w:val="22"/>
          <w:lang w:val="sr-Latn-ME"/>
        </w:rPr>
        <w:t>je</w:t>
      </w:r>
      <w:r w:rsidRPr="004071DE">
        <w:rPr>
          <w:rFonts w:eastAsia="TimesNewRoman"/>
          <w:sz w:val="22"/>
          <w:szCs w:val="22"/>
          <w:lang w:val="sr-Latn-ME"/>
        </w:rPr>
        <w:t>su zab</w:t>
      </w:r>
      <w:r w:rsidR="00BC384C" w:rsidRPr="004071DE">
        <w:rPr>
          <w:rFonts w:eastAsia="TimesNewRoman"/>
          <w:sz w:val="22"/>
          <w:szCs w:val="22"/>
          <w:lang w:val="sr-Latn-ME"/>
        </w:rPr>
        <w:t>i</w:t>
      </w:r>
      <w:r w:rsidRPr="004071DE">
        <w:rPr>
          <w:rFonts w:eastAsia="TimesNewRoman"/>
          <w:sz w:val="22"/>
          <w:szCs w:val="22"/>
          <w:lang w:val="sr-Latn-ME"/>
        </w:rPr>
        <w:t>l</w:t>
      </w:r>
      <w:r w:rsidR="00BC384C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ežene klinički značajne interakcije sa varfarinom. Posebna pažnja je potrebna kada se varfarin daje u dozama koje su blizu gornje granice terapijskog opsega.</w:t>
      </w:r>
    </w:p>
    <w:p w14:paraId="53C94831" w14:textId="77777777" w:rsidR="007A7B42" w:rsidRPr="004071DE" w:rsidRDefault="007A7B42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</w:p>
    <w:p w14:paraId="6BE35C2F" w14:textId="77777777" w:rsidR="007A7B42" w:rsidRPr="004071DE" w:rsidRDefault="007A7B42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/>
        </w:rPr>
      </w:pPr>
      <w:r w:rsidRPr="004071DE">
        <w:rPr>
          <w:i/>
          <w:iCs/>
          <w:sz w:val="22"/>
          <w:szCs w:val="22"/>
          <w:lang w:val="sr-Latn-ME"/>
        </w:rPr>
        <w:t>CYP3A4 supstrati</w:t>
      </w:r>
    </w:p>
    <w:p w14:paraId="0C5475DB" w14:textId="2EFFFC79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Rezultati farmakokinetičkih studija sa CYP3A4 supstratima, npr. midazolamom i cisapridom, ni</w:t>
      </w:r>
      <w:r w:rsidR="00FE647A" w:rsidRPr="004071DE">
        <w:rPr>
          <w:rFonts w:eastAsia="TimesNewRoman"/>
          <w:sz w:val="22"/>
          <w:szCs w:val="22"/>
          <w:lang w:val="sr-Latn-ME"/>
        </w:rPr>
        <w:t>je</w:t>
      </w:r>
      <w:r w:rsidRPr="004071DE">
        <w:rPr>
          <w:rFonts w:eastAsia="TimesNewRoman"/>
          <w:sz w:val="22"/>
          <w:szCs w:val="22"/>
          <w:lang w:val="sr-Latn-ME"/>
        </w:rPr>
        <w:t>su pokazali značajne farmakokinetičke interakcije kada se ovi l</w:t>
      </w:r>
      <w:r w:rsidR="00BC384C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ekovi daju zajedno sa eplerenonom.</w:t>
      </w:r>
    </w:p>
    <w:p w14:paraId="1F3A12ED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11F4C2B3" w14:textId="77777777" w:rsidR="007A7B42" w:rsidRPr="004071DE" w:rsidRDefault="007A7B42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/>
        </w:rPr>
      </w:pPr>
      <w:r w:rsidRPr="004071DE">
        <w:rPr>
          <w:i/>
          <w:iCs/>
          <w:sz w:val="22"/>
          <w:szCs w:val="22"/>
          <w:lang w:val="sr-Latn-ME"/>
        </w:rPr>
        <w:t>CYP3A4 inhibitori</w:t>
      </w:r>
    </w:p>
    <w:p w14:paraId="5E0309B1" w14:textId="597B3096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- Snažni inhibitori CYP3A4: Može doći do značajnih farmakokinetičkih interakcija kada se eplerenon daje sa l</w:t>
      </w:r>
      <w:r w:rsidR="00BC384C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ekovima koji inhibišu CYP3A4. Snažan inhibitor CYP3A4 (ketokonazol 200 mg dva puta na dan) povećavao je površinu ispod krive (PIK) eplerenona za 441% (vid</w:t>
      </w:r>
      <w:r w:rsidR="00BC384C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>dio</w:t>
      </w:r>
      <w:r w:rsidRPr="004071DE">
        <w:rPr>
          <w:rFonts w:eastAsia="TimesNewRoman"/>
          <w:sz w:val="22"/>
          <w:szCs w:val="22"/>
          <w:lang w:val="sr-Latn-ME"/>
        </w:rPr>
        <w:t xml:space="preserve"> 4.3). Istovremena prim</w:t>
      </w:r>
      <w:r w:rsidR="00BC384C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ena eplerenona sa snažnim inhibitorima CYP3A4, kao što su ketokonazol, itrakonazol, ritonavir, nelfinavir, klaritromicin, telitromicin i nefazodon je kontraindikovana (vid</w:t>
      </w:r>
      <w:r w:rsidR="00BC384C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>dio</w:t>
      </w:r>
      <w:r w:rsidRPr="004071DE">
        <w:rPr>
          <w:rFonts w:eastAsia="TimesNewRoman"/>
          <w:sz w:val="22"/>
          <w:szCs w:val="22"/>
          <w:lang w:val="sr-Latn-ME"/>
        </w:rPr>
        <w:t xml:space="preserve"> 4.3).</w:t>
      </w:r>
    </w:p>
    <w:p w14:paraId="3597A1EB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5E0F7038" w14:textId="3FD1FBB6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- Blagi do um</w:t>
      </w:r>
      <w:r w:rsidR="00BC384C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ereni inhibitori CYP3A4: Istovremena prim</w:t>
      </w:r>
      <w:r w:rsidR="00BC384C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ena sa eritromicinom, sakvinavirom, amjodaronom, diltiazemom, verapamilom i flukonazolom je dovodila do značajnih farmakokinetičkih interakcija sa povećanjem PIK u opsegu od 98% do 187%. Stoga, doza eplerenona ne bi trebalo da prelazi 25 mg kada se blagi do um</w:t>
      </w:r>
      <w:r w:rsidR="00BC384C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ereni inhibitori CYP3A4 izoenzima prim</w:t>
      </w:r>
      <w:r w:rsidR="00BC384C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enjuju sa ovim l</w:t>
      </w:r>
      <w:r w:rsidR="00BC384C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ekom (vid</w:t>
      </w:r>
      <w:r w:rsidR="00BC384C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>dio</w:t>
      </w:r>
      <w:r w:rsidRPr="004071DE">
        <w:rPr>
          <w:rFonts w:eastAsia="TimesNewRoman"/>
          <w:sz w:val="22"/>
          <w:szCs w:val="22"/>
          <w:lang w:val="sr-Latn-ME"/>
        </w:rPr>
        <w:t xml:space="preserve"> 4.2).</w:t>
      </w:r>
    </w:p>
    <w:p w14:paraId="11510A5C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6D07221E" w14:textId="77777777" w:rsidR="007A7B42" w:rsidRPr="004071DE" w:rsidRDefault="007A7B42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/>
        </w:rPr>
      </w:pPr>
      <w:r w:rsidRPr="004071DE">
        <w:rPr>
          <w:i/>
          <w:iCs/>
          <w:sz w:val="22"/>
          <w:szCs w:val="22"/>
          <w:lang w:val="sr-Latn-ME"/>
        </w:rPr>
        <w:t>CYP3A4 induktori</w:t>
      </w:r>
    </w:p>
    <w:p w14:paraId="45B4C9AA" w14:textId="5D4CDB0D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Istovremena prim</w:t>
      </w:r>
      <w:r w:rsidR="00FE647A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ena kantariona (jak CYP3A4 induktor) sa eplerenonom je dovela do smanjenja PIK eplerenona za 30%. Još izrazitije smanjenje PIK može se javiti kada se koriste snažniji CYP3A4 induktori, kao što je rifampicin. Zbog rizika od smanjenja efikasnosti eplerenona, ne preporučuje se istovremena prim</w:t>
      </w:r>
      <w:r w:rsidR="00650541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ena snažnih CYP3A4 induktora (kao što su rifampicin, karbamazepin, fenitoin, fenobarbital i kantarion) sa eplerenonom (vid</w:t>
      </w:r>
      <w:r w:rsidR="00545CD9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>dio</w:t>
      </w:r>
      <w:r w:rsidRPr="004071DE">
        <w:rPr>
          <w:rFonts w:eastAsia="TimesNewRoman"/>
          <w:sz w:val="22"/>
          <w:szCs w:val="22"/>
          <w:lang w:val="sr-Latn-ME"/>
        </w:rPr>
        <w:t xml:space="preserve"> 4.4).</w:t>
      </w:r>
    </w:p>
    <w:p w14:paraId="43A966D5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54DADEAE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i/>
          <w:iCs/>
          <w:sz w:val="22"/>
          <w:szCs w:val="22"/>
          <w:lang w:val="sr-Latn-ME"/>
        </w:rPr>
        <w:t>Antacidi</w:t>
      </w:r>
      <w:r w:rsidRPr="004071DE">
        <w:rPr>
          <w:rFonts w:eastAsia="TimesNewRoman"/>
          <w:sz w:val="22"/>
          <w:szCs w:val="22"/>
          <w:lang w:val="sr-Latn-ME"/>
        </w:rPr>
        <w:t xml:space="preserve"> </w:t>
      </w:r>
    </w:p>
    <w:p w14:paraId="6B9DA93A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Na osnovu rezultata jedne farmakokinetičke kliničke studije, ne očekuju se značajne interakcije kada se</w:t>
      </w:r>
    </w:p>
    <w:p w14:paraId="1A72051E" w14:textId="3F98AFE3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antacidi prim</w:t>
      </w:r>
      <w:r w:rsidR="00545CD9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enjuju sa eplerenonom.</w:t>
      </w:r>
    </w:p>
    <w:p w14:paraId="4D2B9059" w14:textId="77777777" w:rsidR="0072020E" w:rsidRPr="004071DE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4D9142" w14:textId="77777777" w:rsidR="0072020E" w:rsidRPr="004071DE" w:rsidRDefault="0072020E" w:rsidP="00270C6F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 xml:space="preserve">4.6. </w:t>
      </w:r>
      <w:r w:rsidR="00480FB1" w:rsidRPr="004071DE">
        <w:rPr>
          <w:b/>
          <w:bCs/>
          <w:sz w:val="22"/>
          <w:szCs w:val="22"/>
          <w:lang w:val="sr-Latn-ME"/>
        </w:rPr>
        <w:tab/>
      </w:r>
      <w:r w:rsidR="006D20A5" w:rsidRPr="004071DE">
        <w:rPr>
          <w:b/>
          <w:sz w:val="22"/>
          <w:szCs w:val="22"/>
          <w:lang w:val="sr-Latn-ME"/>
        </w:rPr>
        <w:t>Plodnost, trudnoća i dojenje</w:t>
      </w:r>
    </w:p>
    <w:p w14:paraId="09CA4C2C" w14:textId="77777777" w:rsidR="002031B3" w:rsidRPr="004071DE" w:rsidRDefault="002031B3" w:rsidP="00270C6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30D8FA7E" w14:textId="77777777" w:rsidR="002031B3" w:rsidRPr="004071DE" w:rsidRDefault="002031B3" w:rsidP="00270C6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4071DE">
        <w:rPr>
          <w:sz w:val="22"/>
          <w:szCs w:val="22"/>
          <w:u w:val="single"/>
          <w:lang w:val="sr-Latn-ME"/>
        </w:rPr>
        <w:t>Plodnost</w:t>
      </w:r>
    </w:p>
    <w:p w14:paraId="051E0D3F" w14:textId="77777777" w:rsidR="007A7B42" w:rsidRPr="004071DE" w:rsidRDefault="007A7B4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Ne postoje raspoloživi podaci o uticaju eplerenona na plodnost kod ljudi.</w:t>
      </w:r>
    </w:p>
    <w:p w14:paraId="0F0E8AB2" w14:textId="77777777" w:rsidR="002031B3" w:rsidRPr="004071DE" w:rsidRDefault="002031B3" w:rsidP="00270C6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3BEB76C0" w14:textId="77777777" w:rsidR="007A3ECB" w:rsidRPr="004071DE" w:rsidRDefault="007A3EC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4071DE">
        <w:rPr>
          <w:sz w:val="22"/>
          <w:szCs w:val="22"/>
          <w:u w:val="single"/>
          <w:lang w:val="sr-Latn-ME"/>
        </w:rPr>
        <w:t>Trudnoća</w:t>
      </w:r>
    </w:p>
    <w:p w14:paraId="3141BA85" w14:textId="5FA06C0F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Nema adekvatnih podataka o prim</w:t>
      </w:r>
      <w:r w:rsidR="00545CD9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eni eplerenona kod trudnica. Studije sprovedene na životinjama nisu</w:t>
      </w:r>
    </w:p>
    <w:p w14:paraId="57058CDE" w14:textId="75961D69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ukazale na direktna ili indirektna neželjena dejstva na trudnoću, embriofetalni razvoj, porođaj i postnatalni razvoj (vid</w:t>
      </w:r>
      <w:r w:rsidR="00545CD9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>dio</w:t>
      </w:r>
      <w:r w:rsidRPr="004071DE">
        <w:rPr>
          <w:rFonts w:eastAsia="TimesNewRoman"/>
          <w:sz w:val="22"/>
          <w:szCs w:val="22"/>
          <w:lang w:val="sr-Latn-ME"/>
        </w:rPr>
        <w:t xml:space="preserve"> 5.3). Međutim, treba biti oprezan prilikom propisivanja eplerenona ženama u toku trudnoće.</w:t>
      </w:r>
    </w:p>
    <w:p w14:paraId="53378468" w14:textId="77777777" w:rsidR="002031B3" w:rsidRPr="004071DE" w:rsidRDefault="002031B3" w:rsidP="00270C6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13DF6FC3" w14:textId="77777777" w:rsidR="0072020E" w:rsidRPr="004071DE" w:rsidRDefault="007A3E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71DE">
        <w:rPr>
          <w:sz w:val="22"/>
          <w:szCs w:val="22"/>
          <w:u w:val="single"/>
          <w:lang w:val="sr-Latn-ME"/>
        </w:rPr>
        <w:t xml:space="preserve">Dojenje </w:t>
      </w:r>
    </w:p>
    <w:p w14:paraId="5318B824" w14:textId="3D27D6C4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Nije poznato da li se eplerenon nakon oralne prim</w:t>
      </w:r>
      <w:r w:rsidR="00545CD9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ene izlučuje u ml</w:t>
      </w:r>
      <w:r w:rsidR="00545CD9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eko dojilja. Međutim, pretklinička</w:t>
      </w:r>
    </w:p>
    <w:p w14:paraId="765D115F" w14:textId="48DB4B94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ispitivanja su pokazala da su eplerenon i/ili njegovi metaboliti prisutni u ml</w:t>
      </w:r>
      <w:r w:rsidR="00545CD9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eku pacova, ali i da su se mladunci koji su sisali razvijali normalno. Pošto je nepoznato na koji način l</w:t>
      </w:r>
      <w:r w:rsidR="00545CD9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ek d</w:t>
      </w:r>
      <w:r w:rsidR="00545CD9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eluje na odojče, treba don</w:t>
      </w:r>
      <w:r w:rsidR="00545CD9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eti odluku da li da majka prestane sa dojenjem ili sa uzimanjem l</w:t>
      </w:r>
      <w:r w:rsidR="00545CD9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eka, uzimajući u obzir značaj koji l</w:t>
      </w:r>
      <w:r w:rsidR="00545CD9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ek ima za njeno l</w:t>
      </w:r>
      <w:r w:rsidR="00545CD9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ečenje.</w:t>
      </w:r>
    </w:p>
    <w:p w14:paraId="7DCF477B" w14:textId="77777777" w:rsidR="00227BDB" w:rsidRPr="004071DE" w:rsidRDefault="00227BDB" w:rsidP="00270C6F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13F62A01" w14:textId="77777777" w:rsidR="0072020E" w:rsidRPr="004071DE" w:rsidRDefault="0072020E" w:rsidP="00270C6F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 xml:space="preserve">4.7. </w:t>
      </w:r>
      <w:r w:rsidR="00480FB1" w:rsidRPr="004071DE">
        <w:rPr>
          <w:b/>
          <w:bCs/>
          <w:sz w:val="22"/>
          <w:szCs w:val="22"/>
          <w:lang w:val="sr-Latn-ME"/>
        </w:rPr>
        <w:tab/>
      </w:r>
      <w:r w:rsidRPr="004071DE">
        <w:rPr>
          <w:b/>
          <w:bCs/>
          <w:sz w:val="22"/>
          <w:szCs w:val="22"/>
          <w:lang w:val="sr-Latn-ME"/>
        </w:rPr>
        <w:t xml:space="preserve">Uticaj na </w:t>
      </w:r>
      <w:r w:rsidR="002031B3" w:rsidRPr="004071DE">
        <w:rPr>
          <w:b/>
          <w:bCs/>
          <w:sz w:val="22"/>
          <w:szCs w:val="22"/>
          <w:lang w:val="sr-Latn-ME"/>
        </w:rPr>
        <w:t xml:space="preserve">sposobnost </w:t>
      </w:r>
      <w:r w:rsidR="00F34554" w:rsidRPr="004071DE">
        <w:rPr>
          <w:b/>
          <w:bCs/>
          <w:sz w:val="22"/>
          <w:szCs w:val="22"/>
          <w:lang w:val="sr-Latn-ME"/>
        </w:rPr>
        <w:t>upravljanja vozili</w:t>
      </w:r>
      <w:r w:rsidRPr="004071DE">
        <w:rPr>
          <w:b/>
          <w:bCs/>
          <w:sz w:val="22"/>
          <w:szCs w:val="22"/>
          <w:lang w:val="sr-Latn-ME"/>
        </w:rPr>
        <w:t>m</w:t>
      </w:r>
      <w:r w:rsidR="00F34554" w:rsidRPr="004071DE">
        <w:rPr>
          <w:b/>
          <w:bCs/>
          <w:sz w:val="22"/>
          <w:szCs w:val="22"/>
          <w:lang w:val="sr-Latn-ME"/>
        </w:rPr>
        <w:t>a</w:t>
      </w:r>
      <w:r w:rsidRPr="004071DE">
        <w:rPr>
          <w:b/>
          <w:bCs/>
          <w:sz w:val="22"/>
          <w:szCs w:val="22"/>
          <w:lang w:val="sr-Latn-ME"/>
        </w:rPr>
        <w:t xml:space="preserve"> i </w:t>
      </w:r>
      <w:r w:rsidR="000D3449" w:rsidRPr="004071DE">
        <w:rPr>
          <w:b/>
          <w:bCs/>
          <w:sz w:val="22"/>
          <w:szCs w:val="22"/>
          <w:lang w:val="sr-Latn-ME"/>
        </w:rPr>
        <w:t xml:space="preserve">rukovanje </w:t>
      </w:r>
      <w:r w:rsidRPr="004071DE">
        <w:rPr>
          <w:b/>
          <w:bCs/>
          <w:sz w:val="22"/>
          <w:szCs w:val="22"/>
          <w:lang w:val="sr-Latn-ME"/>
        </w:rPr>
        <w:t>mašinama</w:t>
      </w:r>
    </w:p>
    <w:p w14:paraId="10070969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05D6BECC" w14:textId="600471D4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Ni</w:t>
      </w:r>
      <w:r w:rsidR="00FE647A" w:rsidRPr="004071DE">
        <w:rPr>
          <w:rFonts w:eastAsia="TimesNewRoman"/>
          <w:sz w:val="22"/>
          <w:szCs w:val="22"/>
          <w:lang w:val="sr-Latn-ME"/>
        </w:rPr>
        <w:t>je</w:t>
      </w:r>
      <w:r w:rsidRPr="004071DE">
        <w:rPr>
          <w:rFonts w:eastAsia="TimesNewRoman"/>
          <w:sz w:val="22"/>
          <w:szCs w:val="22"/>
          <w:lang w:val="sr-Latn-ME"/>
        </w:rPr>
        <w:t>su sprovedene studije o uticaju eplerenona na sposobnost upravljanja motornim vozilima i mašinama.</w:t>
      </w:r>
    </w:p>
    <w:p w14:paraId="1A6252C8" w14:textId="77777777" w:rsidR="007A7B42" w:rsidRPr="004071DE" w:rsidRDefault="007A7B4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Eplerenon ne dovodi do pospanosti ili smanjenja kognitivnih funkcija, ali treba uzeti u obzir da se može</w:t>
      </w:r>
    </w:p>
    <w:p w14:paraId="490E7EC0" w14:textId="2D62C25D" w:rsidR="007A7B42" w:rsidRPr="004071DE" w:rsidRDefault="007A7B42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pojaviti vrtoglavica za vr</w:t>
      </w:r>
      <w:r w:rsidR="00545CD9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eme terapije ovim l</w:t>
      </w:r>
      <w:r w:rsidR="00545CD9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ekom.</w:t>
      </w:r>
    </w:p>
    <w:p w14:paraId="65B626A0" w14:textId="77777777" w:rsidR="0072020E" w:rsidRPr="004071DE" w:rsidRDefault="0072020E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7F4C628" w14:textId="7A4FB76C" w:rsidR="0072020E" w:rsidRPr="004071DE" w:rsidRDefault="0072020E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 xml:space="preserve">4.8. </w:t>
      </w:r>
      <w:r w:rsidR="00480FB1" w:rsidRPr="004071DE">
        <w:rPr>
          <w:b/>
          <w:bCs/>
          <w:sz w:val="22"/>
          <w:szCs w:val="22"/>
          <w:lang w:val="sr-Latn-ME"/>
        </w:rPr>
        <w:tab/>
      </w:r>
      <w:r w:rsidRPr="004071DE">
        <w:rPr>
          <w:b/>
          <w:bCs/>
          <w:sz w:val="22"/>
          <w:szCs w:val="22"/>
          <w:lang w:val="sr-Latn-ME"/>
        </w:rPr>
        <w:t>Neželjena dejstva</w:t>
      </w:r>
    </w:p>
    <w:p w14:paraId="5F3C92E8" w14:textId="77777777" w:rsidR="00D305D1" w:rsidRPr="004071DE" w:rsidRDefault="00D305D1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F84249F" w14:textId="096C1191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U dv</w:t>
      </w:r>
      <w:r w:rsidR="00B94F5D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 studije (</w:t>
      </w:r>
      <w:r w:rsidRPr="004071DE">
        <w:rPr>
          <w:rFonts w:eastAsia="TimesNewRoman"/>
          <w:i/>
          <w:iCs/>
          <w:sz w:val="22"/>
          <w:szCs w:val="22"/>
          <w:lang w:val="sr-Latn-ME"/>
        </w:rPr>
        <w:t>Eplerenone Post-acute Myocardial Infarction Heart Failure Efficacy and Survival Study</w:t>
      </w:r>
    </w:p>
    <w:p w14:paraId="0B14EBE3" w14:textId="2BA3CF4D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 xml:space="preserve">[EPHESUS] i </w:t>
      </w:r>
      <w:r w:rsidRPr="004071DE">
        <w:rPr>
          <w:rFonts w:eastAsia="TimesNewRoman"/>
          <w:i/>
          <w:iCs/>
          <w:sz w:val="22"/>
          <w:szCs w:val="22"/>
          <w:lang w:val="sr-Latn-ME"/>
        </w:rPr>
        <w:t xml:space="preserve">Eplerenone in Mild Patients Hospitalization and Survival Study in Heart Failure </w:t>
      </w:r>
      <w:r w:rsidRPr="004071DE">
        <w:rPr>
          <w:rFonts w:eastAsia="TimesNewRoman"/>
          <w:sz w:val="22"/>
          <w:szCs w:val="22"/>
          <w:lang w:val="sr-Latn-ME"/>
        </w:rPr>
        <w:t>[EMPHASIS-HF]) ukupna incidenca neželjenih događaja je bila slična u grupi koja je primala eplerenon i u grupi koja je dobijala placebo.</w:t>
      </w:r>
    </w:p>
    <w:p w14:paraId="3CAA1F42" w14:textId="77777777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64C96269" w14:textId="240480D5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iCs/>
          <w:sz w:val="22"/>
          <w:szCs w:val="22"/>
          <w:lang w:val="sr-Latn-ME"/>
        </w:rPr>
      </w:pPr>
      <w:r w:rsidRPr="004071DE">
        <w:rPr>
          <w:rFonts w:eastAsia="TimesNewRoman"/>
          <w:iCs/>
          <w:sz w:val="22"/>
          <w:szCs w:val="22"/>
          <w:lang w:val="sr-Latn-ME"/>
        </w:rPr>
        <w:t>Dol</w:t>
      </w:r>
      <w:r w:rsidR="00B94F5D" w:rsidRPr="004071DE">
        <w:rPr>
          <w:rFonts w:eastAsia="TimesNewRoman"/>
          <w:iCs/>
          <w:sz w:val="22"/>
          <w:szCs w:val="22"/>
          <w:lang w:val="sr-Latn-ME"/>
        </w:rPr>
        <w:t>j</w:t>
      </w:r>
      <w:r w:rsidRPr="004071DE">
        <w:rPr>
          <w:rFonts w:eastAsia="TimesNewRoman"/>
          <w:iCs/>
          <w:sz w:val="22"/>
          <w:szCs w:val="22"/>
          <w:lang w:val="sr-Latn-ME"/>
        </w:rPr>
        <w:t>e navedeni neželjeni događaji su oni za koje se pretpostavlja da su povezani sa l</w:t>
      </w:r>
      <w:r w:rsidR="00B94F5D" w:rsidRPr="004071DE">
        <w:rPr>
          <w:rFonts w:eastAsia="TimesNewRoman"/>
          <w:iCs/>
          <w:sz w:val="22"/>
          <w:szCs w:val="22"/>
          <w:lang w:val="sr-Latn-ME"/>
        </w:rPr>
        <w:t>ij</w:t>
      </w:r>
      <w:r w:rsidRPr="004071DE">
        <w:rPr>
          <w:rFonts w:eastAsia="TimesNewRoman"/>
          <w:iCs/>
          <w:sz w:val="22"/>
          <w:szCs w:val="22"/>
          <w:lang w:val="sr-Latn-ME"/>
        </w:rPr>
        <w:t>ečenjem i veće su učestalosti u odnosu na placebo, ili su ozbiljni i značajno veće učestalosti u odnosu na placebo, ili su zab</w:t>
      </w:r>
      <w:r w:rsidR="00B94F5D" w:rsidRPr="004071DE">
        <w:rPr>
          <w:rFonts w:eastAsia="TimesNewRoman"/>
          <w:iCs/>
          <w:sz w:val="22"/>
          <w:szCs w:val="22"/>
          <w:lang w:val="sr-Latn-ME"/>
        </w:rPr>
        <w:t>i</w:t>
      </w:r>
      <w:r w:rsidRPr="004071DE">
        <w:rPr>
          <w:rFonts w:eastAsia="TimesNewRoman"/>
          <w:iCs/>
          <w:sz w:val="22"/>
          <w:szCs w:val="22"/>
          <w:lang w:val="sr-Latn-ME"/>
        </w:rPr>
        <w:t>l</w:t>
      </w:r>
      <w:r w:rsidR="00CD7541" w:rsidRPr="004071DE">
        <w:rPr>
          <w:rFonts w:eastAsia="TimesNewRoman"/>
          <w:iCs/>
          <w:sz w:val="22"/>
          <w:szCs w:val="22"/>
          <w:lang w:val="sr-Latn-ME"/>
        </w:rPr>
        <w:t>j</w:t>
      </w:r>
      <w:r w:rsidRPr="004071DE">
        <w:rPr>
          <w:rFonts w:eastAsia="TimesNewRoman"/>
          <w:iCs/>
          <w:sz w:val="22"/>
          <w:szCs w:val="22"/>
          <w:lang w:val="sr-Latn-ME"/>
        </w:rPr>
        <w:t>eženi tokom postmarketinškog praćenja. Neželjeni događaji su prikazani prema sistemima organa i apsolutnoj učestalosti.</w:t>
      </w:r>
    </w:p>
    <w:p w14:paraId="1CD130BC" w14:textId="5BCF2C57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Učestalost je definisana na sl</w:t>
      </w:r>
      <w:r w:rsidR="00CD7541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edeći način: veoma česta (≥1/10), česta (≥1/100 do &lt; 1/10), povremena (≥</w:t>
      </w:r>
    </w:p>
    <w:p w14:paraId="6E4468A3" w14:textId="027FF74F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1/1000 do &lt; 1/100), r</w:t>
      </w:r>
      <w:r w:rsidR="00CD7541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etka (≥1/10000 do &lt;1/1000), veoma r</w:t>
      </w:r>
      <w:r w:rsidR="00CD7541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etka (&lt;1/10000) i nepoznata (ne može se proc</w:t>
      </w:r>
      <w:r w:rsidR="00CD7541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eniti na osnovu raspoloživih podataka).</w:t>
      </w:r>
    </w:p>
    <w:p w14:paraId="178ECE1C" w14:textId="77777777" w:rsidR="00D305D1" w:rsidRPr="004071DE" w:rsidRDefault="00D305D1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46"/>
        <w:gridCol w:w="4918"/>
      </w:tblGrid>
      <w:tr w:rsidR="00D305D1" w:rsidRPr="004071DE" w14:paraId="41953AA0" w14:textId="77777777" w:rsidTr="00270C6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5CD2E" w14:textId="7824F822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b/>
                <w:bCs/>
                <w:sz w:val="22"/>
                <w:szCs w:val="22"/>
                <w:lang w:val="sr-Latn-ME"/>
              </w:rPr>
              <w:t xml:space="preserve">MedDRA klasifikacija </w:t>
            </w:r>
            <w:r w:rsidR="00FE647A" w:rsidRPr="004071DE">
              <w:rPr>
                <w:b/>
                <w:bCs/>
                <w:sz w:val="22"/>
                <w:szCs w:val="22"/>
                <w:lang w:val="sr-Latn-ME"/>
              </w:rPr>
              <w:t>sistema organa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D42B8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b/>
                <w:bCs/>
                <w:sz w:val="22"/>
                <w:szCs w:val="22"/>
                <w:lang w:val="sr-Latn-ME"/>
              </w:rPr>
              <w:t>Neželjena reakcija</w:t>
            </w:r>
          </w:p>
        </w:tc>
      </w:tr>
      <w:tr w:rsidR="00D305D1" w:rsidRPr="004071DE" w14:paraId="3B24DC08" w14:textId="77777777" w:rsidTr="00270C6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6E54B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u w:val="single"/>
                <w:lang w:val="sr-Latn-ME"/>
              </w:rPr>
            </w:pPr>
            <w:r w:rsidRPr="004071DE">
              <w:rPr>
                <w:bCs/>
                <w:sz w:val="22"/>
                <w:szCs w:val="22"/>
                <w:u w:val="single"/>
                <w:lang w:val="sr-Latn-ME"/>
              </w:rPr>
              <w:t>Infekcije i infestacije</w:t>
            </w:r>
          </w:p>
          <w:p w14:paraId="5EC72791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i/>
                <w:i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5BDCB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  </w:t>
            </w:r>
          </w:p>
          <w:p w14:paraId="238EDF9A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>pijelonefritis, infekcije, faringitis</w:t>
            </w:r>
          </w:p>
        </w:tc>
      </w:tr>
      <w:tr w:rsidR="00D305D1" w:rsidRPr="004071DE" w14:paraId="6FF4B895" w14:textId="77777777" w:rsidTr="00270C6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9E485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bCs/>
                <w:sz w:val="22"/>
                <w:szCs w:val="22"/>
                <w:u w:val="single"/>
                <w:lang w:val="sr-Latn-ME"/>
              </w:rPr>
              <w:lastRenderedPageBreak/>
              <w:t>Poremećaji na nivou krvi i limfnog sistema</w:t>
            </w:r>
            <w:r w:rsidRPr="004071DE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4071DE">
              <w:rPr>
                <w:i/>
                <w:i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06BFA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  </w:t>
            </w:r>
          </w:p>
          <w:p w14:paraId="2A1B2F5C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>eozinofilija</w:t>
            </w:r>
          </w:p>
        </w:tc>
      </w:tr>
      <w:tr w:rsidR="00D305D1" w:rsidRPr="004071DE" w14:paraId="64FA4F68" w14:textId="77777777" w:rsidTr="00270C6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A1601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u w:val="single"/>
                <w:lang w:val="sr-Latn-ME"/>
              </w:rPr>
            </w:pPr>
            <w:r w:rsidRPr="004071DE">
              <w:rPr>
                <w:bCs/>
                <w:sz w:val="22"/>
                <w:szCs w:val="22"/>
                <w:u w:val="single"/>
                <w:lang w:val="sr-Latn-ME"/>
              </w:rPr>
              <w:t xml:space="preserve">Endokrinološki poremećaji </w:t>
            </w:r>
          </w:p>
          <w:p w14:paraId="0D0AF12B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i/>
                <w:i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2B910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  </w:t>
            </w:r>
          </w:p>
          <w:p w14:paraId="6A128EB9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>hipotireoidizam</w:t>
            </w:r>
          </w:p>
        </w:tc>
      </w:tr>
      <w:tr w:rsidR="00D305D1" w:rsidRPr="004071DE" w14:paraId="6D1AEF63" w14:textId="77777777" w:rsidTr="00270C6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540D0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u w:val="single"/>
                <w:lang w:val="sr-Latn-ME"/>
              </w:rPr>
            </w:pPr>
            <w:r w:rsidRPr="004071DE">
              <w:rPr>
                <w:bCs/>
                <w:sz w:val="22"/>
                <w:szCs w:val="22"/>
                <w:u w:val="single"/>
                <w:lang w:val="sr-Latn-ME"/>
              </w:rPr>
              <w:t xml:space="preserve">Poremećaji metabolizma i ishrane </w:t>
            </w:r>
          </w:p>
          <w:p w14:paraId="37546B51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4071DE">
              <w:rPr>
                <w:i/>
                <w:iCs/>
                <w:sz w:val="22"/>
                <w:szCs w:val="22"/>
                <w:lang w:val="sr-Latn-ME"/>
              </w:rPr>
              <w:t xml:space="preserve">Često </w:t>
            </w:r>
          </w:p>
          <w:p w14:paraId="509DFF80" w14:textId="77777777" w:rsidR="00E43A84" w:rsidRPr="004071DE" w:rsidRDefault="00E43A84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</w:p>
          <w:p w14:paraId="3CA5D0BA" w14:textId="174F19D0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i/>
                <w:i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5424B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  </w:t>
            </w:r>
          </w:p>
          <w:p w14:paraId="3C0CFF1A" w14:textId="3642C77B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>hiperkalijemija (vid</w:t>
            </w:r>
            <w:r w:rsidR="005A7705" w:rsidRPr="004071DE">
              <w:rPr>
                <w:sz w:val="22"/>
                <w:szCs w:val="22"/>
                <w:lang w:val="sr-Latn-ME"/>
              </w:rPr>
              <w:t>j</w:t>
            </w:r>
            <w:r w:rsidRPr="004071DE">
              <w:rPr>
                <w:sz w:val="22"/>
                <w:szCs w:val="22"/>
                <w:lang w:val="sr-Latn-ME"/>
              </w:rPr>
              <w:t xml:space="preserve">eti </w:t>
            </w:r>
            <w:r w:rsidR="00280578" w:rsidRPr="004071DE">
              <w:rPr>
                <w:sz w:val="22"/>
                <w:szCs w:val="22"/>
                <w:lang w:val="sr-Latn-ME"/>
              </w:rPr>
              <w:t>dijelove</w:t>
            </w:r>
            <w:r w:rsidRPr="004071DE">
              <w:rPr>
                <w:sz w:val="22"/>
                <w:szCs w:val="22"/>
                <w:lang w:val="sr-Latn-ME"/>
              </w:rPr>
              <w:t xml:space="preserve"> 4.3. i 4.4), hiperholesterolemija</w:t>
            </w:r>
          </w:p>
          <w:p w14:paraId="59A369B3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>hiponatremija, dehidratacija, hipertrigliceridemija</w:t>
            </w:r>
          </w:p>
        </w:tc>
      </w:tr>
      <w:tr w:rsidR="00D305D1" w:rsidRPr="004071DE" w14:paraId="019C0069" w14:textId="77777777" w:rsidTr="00270C6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E905E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u w:val="single"/>
                <w:lang w:val="sr-Latn-ME"/>
              </w:rPr>
            </w:pPr>
            <w:r w:rsidRPr="004071DE">
              <w:rPr>
                <w:bCs/>
                <w:sz w:val="22"/>
                <w:szCs w:val="22"/>
                <w:u w:val="single"/>
                <w:lang w:val="sr-Latn-ME"/>
              </w:rPr>
              <w:t xml:space="preserve">Psihijatrijski poremećaji </w:t>
            </w:r>
          </w:p>
          <w:p w14:paraId="6FD53319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4071DE">
              <w:rPr>
                <w:i/>
                <w:iCs/>
                <w:sz w:val="22"/>
                <w:szCs w:val="22"/>
                <w:lang w:val="sr-Latn-ME"/>
              </w:rPr>
              <w:t xml:space="preserve">Često 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634D3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  </w:t>
            </w:r>
          </w:p>
          <w:p w14:paraId="2BF56E7A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nesanica </w:t>
            </w:r>
          </w:p>
        </w:tc>
      </w:tr>
      <w:tr w:rsidR="00D305D1" w:rsidRPr="004071DE" w14:paraId="50702658" w14:textId="77777777" w:rsidTr="00270C6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87790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u w:val="single"/>
                <w:lang w:val="sr-Latn-ME"/>
              </w:rPr>
            </w:pPr>
            <w:r w:rsidRPr="004071DE">
              <w:rPr>
                <w:bCs/>
                <w:sz w:val="22"/>
                <w:szCs w:val="22"/>
                <w:u w:val="single"/>
                <w:lang w:val="sr-Latn-ME"/>
              </w:rPr>
              <w:t xml:space="preserve">Poremećaji nervnog sistema </w:t>
            </w:r>
          </w:p>
          <w:p w14:paraId="1D9FAABB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4071DE">
              <w:rPr>
                <w:i/>
                <w:iCs/>
                <w:sz w:val="22"/>
                <w:szCs w:val="22"/>
                <w:lang w:val="sr-Latn-ME"/>
              </w:rPr>
              <w:t xml:space="preserve">Često </w:t>
            </w:r>
          </w:p>
          <w:p w14:paraId="11657797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i/>
                <w:i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9A369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  </w:t>
            </w:r>
          </w:p>
          <w:p w14:paraId="12EEDEE5" w14:textId="0BA5DF01" w:rsidR="00D305D1" w:rsidRPr="004071DE" w:rsidRDefault="00E43A84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sinkopa, </w:t>
            </w:r>
            <w:r w:rsidR="00D305D1" w:rsidRPr="004071DE">
              <w:rPr>
                <w:sz w:val="22"/>
                <w:szCs w:val="22"/>
                <w:lang w:val="sr-Latn-ME"/>
              </w:rPr>
              <w:t xml:space="preserve">vrtoglavica, glavobolja </w:t>
            </w:r>
          </w:p>
          <w:p w14:paraId="70E9B275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>hipoestezija</w:t>
            </w:r>
          </w:p>
        </w:tc>
      </w:tr>
      <w:tr w:rsidR="00D305D1" w:rsidRPr="004071DE" w14:paraId="0C9AEBFE" w14:textId="77777777" w:rsidTr="00270C6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BD0E9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u w:val="single"/>
                <w:lang w:val="sr-Latn-ME"/>
              </w:rPr>
            </w:pPr>
            <w:r w:rsidRPr="004071DE">
              <w:rPr>
                <w:bCs/>
                <w:sz w:val="22"/>
                <w:szCs w:val="22"/>
                <w:u w:val="single"/>
                <w:lang w:val="sr-Latn-ME"/>
              </w:rPr>
              <w:t xml:space="preserve">Kardiološki poremećaji </w:t>
            </w:r>
          </w:p>
          <w:p w14:paraId="1E0A7DC5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4071DE">
              <w:rPr>
                <w:i/>
                <w:iCs/>
                <w:sz w:val="22"/>
                <w:szCs w:val="22"/>
                <w:lang w:val="sr-Latn-ME"/>
              </w:rPr>
              <w:t xml:space="preserve">Često </w:t>
            </w:r>
          </w:p>
          <w:p w14:paraId="1387C39D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i/>
                <w:i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817BB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  </w:t>
            </w:r>
          </w:p>
          <w:p w14:paraId="66633587" w14:textId="0498E90C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>insuficijencija l</w:t>
            </w:r>
            <w:r w:rsidR="00D75DB2" w:rsidRPr="004071DE">
              <w:rPr>
                <w:sz w:val="22"/>
                <w:szCs w:val="22"/>
                <w:lang w:val="sr-Latn-ME"/>
              </w:rPr>
              <w:t>ij</w:t>
            </w:r>
            <w:r w:rsidRPr="004071DE">
              <w:rPr>
                <w:sz w:val="22"/>
                <w:szCs w:val="22"/>
                <w:lang w:val="sr-Latn-ME"/>
              </w:rPr>
              <w:t xml:space="preserve">eve komore, atrijalna fibrilacija </w:t>
            </w:r>
          </w:p>
          <w:p w14:paraId="070958A8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tahikardija </w:t>
            </w:r>
          </w:p>
        </w:tc>
      </w:tr>
      <w:tr w:rsidR="00D305D1" w:rsidRPr="004071DE" w14:paraId="68A8F7E9" w14:textId="77777777" w:rsidTr="00270C6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C2346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u w:val="single"/>
                <w:lang w:val="sr-Latn-ME"/>
              </w:rPr>
            </w:pPr>
            <w:r w:rsidRPr="004071DE">
              <w:rPr>
                <w:bCs/>
                <w:sz w:val="22"/>
                <w:szCs w:val="22"/>
                <w:u w:val="single"/>
                <w:lang w:val="sr-Latn-ME"/>
              </w:rPr>
              <w:t xml:space="preserve">Vaskularni poremećaji </w:t>
            </w:r>
          </w:p>
          <w:p w14:paraId="1FC21085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4071DE">
              <w:rPr>
                <w:i/>
                <w:iCs/>
                <w:sz w:val="22"/>
                <w:szCs w:val="22"/>
                <w:lang w:val="sr-Latn-ME"/>
              </w:rPr>
              <w:t xml:space="preserve">Često </w:t>
            </w:r>
          </w:p>
          <w:p w14:paraId="73007ADB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i/>
                <w:i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61AC4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  </w:t>
            </w:r>
          </w:p>
          <w:p w14:paraId="71EDD11A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hipotenzija </w:t>
            </w:r>
          </w:p>
          <w:p w14:paraId="4B7BD50C" w14:textId="1DAC5767" w:rsidR="00D305D1" w:rsidRPr="004071DE" w:rsidRDefault="00C634B6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>tromboza perifernih arterija</w:t>
            </w:r>
            <w:r w:rsidR="00D305D1" w:rsidRPr="004071DE">
              <w:rPr>
                <w:sz w:val="22"/>
                <w:szCs w:val="22"/>
                <w:lang w:val="sr-Latn-ME"/>
              </w:rPr>
              <w:t>, ortostatska hipotenzija</w:t>
            </w:r>
          </w:p>
        </w:tc>
      </w:tr>
      <w:tr w:rsidR="00D305D1" w:rsidRPr="004071DE" w14:paraId="0D08B548" w14:textId="77777777" w:rsidTr="00270C6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B9B95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u w:val="single"/>
                <w:lang w:val="sr-Latn-ME"/>
              </w:rPr>
            </w:pPr>
            <w:r w:rsidRPr="004071DE">
              <w:rPr>
                <w:bCs/>
                <w:sz w:val="22"/>
                <w:szCs w:val="22"/>
                <w:u w:val="single"/>
                <w:lang w:val="sr-Latn-ME"/>
              </w:rPr>
              <w:t>Respiratorni, torakalni i medijastinalni</w:t>
            </w:r>
          </w:p>
          <w:p w14:paraId="4ACC7939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bCs/>
                <w:i/>
                <w:iCs/>
                <w:sz w:val="22"/>
                <w:szCs w:val="22"/>
                <w:u w:val="single"/>
                <w:lang w:val="sr-Latn-ME"/>
              </w:rPr>
            </w:pPr>
            <w:r w:rsidRPr="004071DE">
              <w:rPr>
                <w:bCs/>
                <w:sz w:val="22"/>
                <w:szCs w:val="22"/>
                <w:u w:val="single"/>
                <w:lang w:val="sr-Latn-ME"/>
              </w:rPr>
              <w:t>poremećaji</w:t>
            </w:r>
            <w:r w:rsidRPr="004071DE">
              <w:rPr>
                <w:bCs/>
                <w:i/>
                <w:iCs/>
                <w:sz w:val="22"/>
                <w:szCs w:val="22"/>
                <w:u w:val="single"/>
                <w:lang w:val="sr-Latn-ME"/>
              </w:rPr>
              <w:t xml:space="preserve"> </w:t>
            </w:r>
          </w:p>
          <w:p w14:paraId="21534E3C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i/>
                <w:iCs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D1510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  </w:t>
            </w:r>
          </w:p>
          <w:p w14:paraId="094DC24F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07240CB8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>kašalj</w:t>
            </w:r>
          </w:p>
        </w:tc>
      </w:tr>
      <w:tr w:rsidR="00D305D1" w:rsidRPr="004071DE" w14:paraId="0F3D91A0" w14:textId="77777777" w:rsidTr="00270C6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F34BE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u w:val="single"/>
                <w:lang w:val="sr-Latn-ME"/>
              </w:rPr>
            </w:pPr>
            <w:r w:rsidRPr="004071DE">
              <w:rPr>
                <w:bCs/>
                <w:sz w:val="22"/>
                <w:szCs w:val="22"/>
                <w:u w:val="single"/>
                <w:lang w:val="sr-Latn-ME"/>
              </w:rPr>
              <w:t xml:space="preserve">Gastrointestinalni poremećaji </w:t>
            </w:r>
          </w:p>
          <w:p w14:paraId="22372F99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4071DE">
              <w:rPr>
                <w:i/>
                <w:iCs/>
                <w:sz w:val="22"/>
                <w:szCs w:val="22"/>
                <w:lang w:val="sr-Latn-ME"/>
              </w:rPr>
              <w:t xml:space="preserve">Često </w:t>
            </w:r>
          </w:p>
          <w:p w14:paraId="3A29BA81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i/>
                <w:i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4A9FF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  </w:t>
            </w:r>
          </w:p>
          <w:p w14:paraId="785A923F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dijareja, mučnina, opstipacija, povraćanje </w:t>
            </w:r>
          </w:p>
          <w:p w14:paraId="45A96968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>nadutost</w:t>
            </w:r>
          </w:p>
        </w:tc>
      </w:tr>
      <w:tr w:rsidR="00D305D1" w:rsidRPr="004071DE" w14:paraId="16EE7C83" w14:textId="77777777" w:rsidTr="00270C6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86E9B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u w:val="single"/>
                <w:lang w:val="sr-Latn-ME"/>
              </w:rPr>
            </w:pPr>
            <w:r w:rsidRPr="004071DE">
              <w:rPr>
                <w:bCs/>
                <w:sz w:val="22"/>
                <w:szCs w:val="22"/>
                <w:u w:val="single"/>
                <w:lang w:val="sr-Latn-ME"/>
              </w:rPr>
              <w:t xml:space="preserve">Poremećaji na nivou kože i potkožnog tkiva </w:t>
            </w:r>
          </w:p>
          <w:p w14:paraId="06881517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4071DE">
              <w:rPr>
                <w:i/>
                <w:iCs/>
                <w:sz w:val="22"/>
                <w:szCs w:val="22"/>
                <w:lang w:val="sr-Latn-ME"/>
              </w:rPr>
              <w:t xml:space="preserve">Često </w:t>
            </w:r>
          </w:p>
          <w:p w14:paraId="2D9DD299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i/>
                <w:i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4F6C0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  </w:t>
            </w:r>
          </w:p>
          <w:p w14:paraId="60F4B598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osip, pruritus </w:t>
            </w:r>
          </w:p>
          <w:p w14:paraId="26E76A87" w14:textId="6974B443" w:rsidR="00D305D1" w:rsidRPr="004071DE" w:rsidRDefault="00E43A84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angioedem, </w:t>
            </w:r>
            <w:r w:rsidR="00D305D1" w:rsidRPr="004071DE">
              <w:rPr>
                <w:sz w:val="22"/>
                <w:szCs w:val="22"/>
                <w:lang w:val="sr-Latn-ME"/>
              </w:rPr>
              <w:t>pojačano znojenje</w:t>
            </w:r>
          </w:p>
        </w:tc>
      </w:tr>
      <w:tr w:rsidR="00D305D1" w:rsidRPr="004071DE" w14:paraId="333120B0" w14:textId="77777777" w:rsidTr="00270C6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B5B4C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u w:val="single"/>
                <w:lang w:val="sr-Latn-ME"/>
              </w:rPr>
            </w:pPr>
            <w:r w:rsidRPr="004071DE">
              <w:rPr>
                <w:bCs/>
                <w:sz w:val="22"/>
                <w:szCs w:val="22"/>
                <w:u w:val="single"/>
                <w:lang w:val="sr-Latn-ME"/>
              </w:rPr>
              <w:t>Poremećaji mišićno-skeletnog, vezivnog i</w:t>
            </w:r>
          </w:p>
          <w:p w14:paraId="585A44CE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bCs/>
                <w:i/>
                <w:iCs/>
                <w:sz w:val="22"/>
                <w:szCs w:val="22"/>
                <w:u w:val="single"/>
                <w:lang w:val="sr-Latn-ME"/>
              </w:rPr>
            </w:pPr>
            <w:r w:rsidRPr="004071DE">
              <w:rPr>
                <w:bCs/>
                <w:sz w:val="22"/>
                <w:szCs w:val="22"/>
                <w:u w:val="single"/>
                <w:lang w:val="sr-Latn-ME"/>
              </w:rPr>
              <w:t>koštanog tkiva</w:t>
            </w:r>
            <w:r w:rsidRPr="004071DE">
              <w:rPr>
                <w:bCs/>
                <w:i/>
                <w:iCs/>
                <w:sz w:val="22"/>
                <w:szCs w:val="22"/>
                <w:u w:val="single"/>
                <w:lang w:val="sr-Latn-ME"/>
              </w:rPr>
              <w:t xml:space="preserve"> </w:t>
            </w:r>
          </w:p>
          <w:p w14:paraId="1A0E76A5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4071DE">
              <w:rPr>
                <w:i/>
                <w:iCs/>
                <w:sz w:val="22"/>
                <w:szCs w:val="22"/>
                <w:lang w:val="sr-Latn-ME"/>
              </w:rPr>
              <w:t xml:space="preserve">Često </w:t>
            </w:r>
          </w:p>
          <w:p w14:paraId="37EA4952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i/>
                <w:i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B9D2A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  </w:t>
            </w:r>
          </w:p>
          <w:p w14:paraId="02992DF3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49848703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mišićni spazmi, bol u leđima </w:t>
            </w:r>
          </w:p>
          <w:p w14:paraId="7C3C5FB8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>bol u kostima i mišićima</w:t>
            </w:r>
          </w:p>
        </w:tc>
      </w:tr>
      <w:tr w:rsidR="00D305D1" w:rsidRPr="004071DE" w14:paraId="1FACC842" w14:textId="77777777" w:rsidTr="00270C6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FC9BD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u w:val="single"/>
                <w:lang w:val="sr-Latn-ME"/>
              </w:rPr>
            </w:pPr>
            <w:r w:rsidRPr="004071DE">
              <w:rPr>
                <w:bCs/>
                <w:sz w:val="22"/>
                <w:szCs w:val="22"/>
                <w:u w:val="single"/>
                <w:lang w:val="sr-Latn-ME"/>
              </w:rPr>
              <w:t xml:space="preserve">Poremećaji na nivou bubrega i urinarnog sistema </w:t>
            </w:r>
          </w:p>
          <w:p w14:paraId="1EAB54A5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i/>
                <w:iCs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AF085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  </w:t>
            </w:r>
          </w:p>
          <w:p w14:paraId="4349E918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05802234" w14:textId="35D5E14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>poremećaji funkcije bubrega (vid</w:t>
            </w:r>
            <w:r w:rsidR="00D75DB2" w:rsidRPr="004071DE">
              <w:rPr>
                <w:sz w:val="22"/>
                <w:szCs w:val="22"/>
                <w:lang w:val="sr-Latn-ME"/>
              </w:rPr>
              <w:t>j</w:t>
            </w:r>
            <w:r w:rsidRPr="004071DE">
              <w:rPr>
                <w:sz w:val="22"/>
                <w:szCs w:val="22"/>
                <w:lang w:val="sr-Latn-ME"/>
              </w:rPr>
              <w:t xml:space="preserve">eti </w:t>
            </w:r>
            <w:r w:rsidR="00280578" w:rsidRPr="004071DE">
              <w:rPr>
                <w:sz w:val="22"/>
                <w:szCs w:val="22"/>
                <w:lang w:val="sr-Latn-ME"/>
              </w:rPr>
              <w:t xml:space="preserve">dijelove </w:t>
            </w:r>
            <w:r w:rsidRPr="004071DE">
              <w:rPr>
                <w:sz w:val="22"/>
                <w:szCs w:val="22"/>
                <w:lang w:val="sr-Latn-ME"/>
              </w:rPr>
              <w:t>4.4. i 4.5)</w:t>
            </w:r>
          </w:p>
        </w:tc>
      </w:tr>
      <w:tr w:rsidR="00D305D1" w:rsidRPr="004071DE" w14:paraId="3F49FB17" w14:textId="77777777" w:rsidTr="00270C6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B5BA0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u w:val="single"/>
                <w:lang w:val="sr-Latn-ME"/>
              </w:rPr>
            </w:pPr>
            <w:r w:rsidRPr="004071DE">
              <w:rPr>
                <w:bCs/>
                <w:sz w:val="22"/>
                <w:szCs w:val="22"/>
                <w:u w:val="single"/>
                <w:lang w:val="sr-Latn-ME"/>
              </w:rPr>
              <w:t xml:space="preserve">Hepatobilijarni poremećaji </w:t>
            </w:r>
          </w:p>
          <w:p w14:paraId="7746E62F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i/>
                <w:i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989D7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  </w:t>
            </w:r>
          </w:p>
          <w:p w14:paraId="0129E52F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>holecistitis</w:t>
            </w:r>
          </w:p>
        </w:tc>
      </w:tr>
      <w:tr w:rsidR="00D305D1" w:rsidRPr="004071DE" w14:paraId="2BD1B626" w14:textId="77777777" w:rsidTr="00270C6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271FC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b/>
                <w:bCs/>
                <w:i/>
                <w:iCs/>
                <w:sz w:val="22"/>
                <w:szCs w:val="22"/>
                <w:lang w:val="sr-Latn-ME"/>
              </w:rPr>
            </w:pPr>
            <w:r w:rsidRPr="004071DE">
              <w:rPr>
                <w:bCs/>
                <w:sz w:val="22"/>
                <w:szCs w:val="22"/>
                <w:u w:val="single"/>
                <w:lang w:val="sr-Latn-ME"/>
              </w:rPr>
              <w:t>Poremećaji reproduktivnog sistema i na nivou dojk</w:t>
            </w:r>
            <w:r w:rsidRPr="004071DE">
              <w:rPr>
                <w:bCs/>
                <w:sz w:val="22"/>
                <w:szCs w:val="22"/>
                <w:lang w:val="sr-Latn-ME"/>
              </w:rPr>
              <w:t>e</w:t>
            </w:r>
            <w:r w:rsidRPr="004071DE">
              <w:rPr>
                <w:bCs/>
                <w:i/>
                <w:iCs/>
                <w:sz w:val="22"/>
                <w:szCs w:val="22"/>
                <w:lang w:val="sr-Latn-ME"/>
              </w:rPr>
              <w:t xml:space="preserve"> </w:t>
            </w:r>
          </w:p>
          <w:p w14:paraId="6E4B7A34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i/>
                <w:i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C1CCB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  </w:t>
            </w:r>
          </w:p>
          <w:p w14:paraId="600973FB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65B35506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>ginekomastija</w:t>
            </w:r>
          </w:p>
        </w:tc>
      </w:tr>
      <w:tr w:rsidR="00D305D1" w:rsidRPr="004071DE" w14:paraId="48CF63B5" w14:textId="77777777" w:rsidTr="00270C6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5AA05" w14:textId="341FE75C" w:rsidR="00D305D1" w:rsidRPr="004071DE" w:rsidRDefault="00D305D1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u w:val="single"/>
                <w:lang w:val="sr-Latn-ME"/>
              </w:rPr>
            </w:pPr>
            <w:r w:rsidRPr="004071DE">
              <w:rPr>
                <w:bCs/>
                <w:sz w:val="22"/>
                <w:szCs w:val="22"/>
                <w:u w:val="single"/>
                <w:lang w:val="sr-Latn-ME"/>
              </w:rPr>
              <w:t>Opšti poremećaji i reakcije na m</w:t>
            </w:r>
            <w:r w:rsidR="00D75DB2" w:rsidRPr="004071DE">
              <w:rPr>
                <w:bCs/>
                <w:sz w:val="22"/>
                <w:szCs w:val="22"/>
                <w:u w:val="single"/>
                <w:lang w:val="sr-Latn-ME"/>
              </w:rPr>
              <w:t>j</w:t>
            </w:r>
            <w:r w:rsidRPr="004071DE">
              <w:rPr>
                <w:bCs/>
                <w:sz w:val="22"/>
                <w:szCs w:val="22"/>
                <w:u w:val="single"/>
                <w:lang w:val="sr-Latn-ME"/>
              </w:rPr>
              <w:t>estu prim</w:t>
            </w:r>
            <w:r w:rsidR="00D75DB2" w:rsidRPr="004071DE">
              <w:rPr>
                <w:bCs/>
                <w:sz w:val="22"/>
                <w:szCs w:val="22"/>
                <w:u w:val="single"/>
                <w:lang w:val="sr-Latn-ME"/>
              </w:rPr>
              <w:t>j</w:t>
            </w:r>
            <w:r w:rsidRPr="004071DE">
              <w:rPr>
                <w:bCs/>
                <w:sz w:val="22"/>
                <w:szCs w:val="22"/>
                <w:u w:val="single"/>
                <w:lang w:val="sr-Latn-ME"/>
              </w:rPr>
              <w:t xml:space="preserve">ene </w:t>
            </w:r>
          </w:p>
          <w:p w14:paraId="36984FF8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4071DE">
              <w:rPr>
                <w:i/>
                <w:iCs/>
                <w:sz w:val="22"/>
                <w:szCs w:val="22"/>
                <w:lang w:val="sr-Latn-ME"/>
              </w:rPr>
              <w:t xml:space="preserve">Često </w:t>
            </w:r>
          </w:p>
          <w:p w14:paraId="0C40A1E2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i/>
                <w:i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F04D7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  </w:t>
            </w:r>
          </w:p>
          <w:p w14:paraId="7E947D4A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astenija </w:t>
            </w:r>
          </w:p>
          <w:p w14:paraId="21976A22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malaksalost </w:t>
            </w:r>
          </w:p>
        </w:tc>
      </w:tr>
      <w:tr w:rsidR="00D305D1" w:rsidRPr="004071DE" w14:paraId="7A1D0F0C" w14:textId="77777777" w:rsidTr="00270C6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0E9EC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4071DE">
              <w:rPr>
                <w:bCs/>
                <w:sz w:val="22"/>
                <w:szCs w:val="22"/>
                <w:u w:val="single"/>
                <w:lang w:val="sr-Latn-ME"/>
              </w:rPr>
              <w:t>Laboratorijska ispitivanja</w:t>
            </w:r>
          </w:p>
          <w:p w14:paraId="0A8AF467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4071DE">
              <w:rPr>
                <w:i/>
                <w:iCs/>
                <w:sz w:val="22"/>
                <w:szCs w:val="22"/>
                <w:lang w:val="sr-Latn-ME"/>
              </w:rPr>
              <w:t xml:space="preserve">Često </w:t>
            </w:r>
          </w:p>
          <w:p w14:paraId="3F675E70" w14:textId="77777777" w:rsidR="00E43A84" w:rsidRPr="004071DE" w:rsidRDefault="00E43A84">
            <w:pPr>
              <w:tabs>
                <w:tab w:val="left" w:pos="284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</w:p>
          <w:p w14:paraId="0FCEDBF4" w14:textId="4CFA7500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i/>
                <w:i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8CC87" w14:textId="77777777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 xml:space="preserve">  </w:t>
            </w:r>
          </w:p>
          <w:p w14:paraId="139781DD" w14:textId="77777777" w:rsidR="00E43A84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>povećane vr</w:t>
            </w:r>
            <w:r w:rsidR="00D75DB2" w:rsidRPr="004071DE">
              <w:rPr>
                <w:sz w:val="22"/>
                <w:szCs w:val="22"/>
                <w:lang w:val="sr-Latn-ME"/>
              </w:rPr>
              <w:t>ij</w:t>
            </w:r>
            <w:r w:rsidRPr="004071DE">
              <w:rPr>
                <w:sz w:val="22"/>
                <w:szCs w:val="22"/>
                <w:lang w:val="sr-Latn-ME"/>
              </w:rPr>
              <w:t>ednosti ureje, povećane vr</w:t>
            </w:r>
            <w:r w:rsidR="00D75DB2" w:rsidRPr="004071DE">
              <w:rPr>
                <w:sz w:val="22"/>
                <w:szCs w:val="22"/>
                <w:lang w:val="sr-Latn-ME"/>
              </w:rPr>
              <w:t>ij</w:t>
            </w:r>
            <w:r w:rsidRPr="004071DE">
              <w:rPr>
                <w:sz w:val="22"/>
                <w:szCs w:val="22"/>
                <w:lang w:val="sr-Latn-ME"/>
              </w:rPr>
              <w:t xml:space="preserve">ednosti kreatinina </w:t>
            </w:r>
          </w:p>
          <w:p w14:paraId="512B02F3" w14:textId="5149B452" w:rsidR="00D305D1" w:rsidRPr="004071DE" w:rsidRDefault="00D305D1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4071DE">
              <w:rPr>
                <w:sz w:val="22"/>
                <w:szCs w:val="22"/>
                <w:lang w:val="sr-Latn-ME"/>
              </w:rPr>
              <w:t>smanjenje receptora epidermalnog faktora rasta, porast glikemije</w:t>
            </w:r>
          </w:p>
        </w:tc>
      </w:tr>
    </w:tbl>
    <w:p w14:paraId="26BFB3B8" w14:textId="77777777" w:rsidR="00D305D1" w:rsidRPr="004071DE" w:rsidRDefault="00D305D1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</w:p>
    <w:p w14:paraId="235E7003" w14:textId="77777777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 xml:space="preserve">U </w:t>
      </w:r>
      <w:r w:rsidRPr="004071DE">
        <w:rPr>
          <w:rFonts w:eastAsia="TimesNewRoman"/>
          <w:i/>
          <w:iCs/>
          <w:sz w:val="22"/>
          <w:szCs w:val="22"/>
          <w:lang w:val="sr-Latn-ME"/>
        </w:rPr>
        <w:t xml:space="preserve">EPHESUS </w:t>
      </w:r>
      <w:r w:rsidRPr="004071DE">
        <w:rPr>
          <w:rFonts w:eastAsia="TimesNewRoman"/>
          <w:sz w:val="22"/>
          <w:szCs w:val="22"/>
          <w:lang w:val="sr-Latn-ME"/>
        </w:rPr>
        <w:t xml:space="preserve">studiji bilo je brojčano više slučajeva moždanog udara u grupi sa veoma starim pacijentima </w:t>
      </w:r>
    </w:p>
    <w:p w14:paraId="3D07DC15" w14:textId="55D2715A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 xml:space="preserve">(≥75 godina). Nije, međutim, bilo statistički značajnih razlika između pojavljivanja moždanog udara u grupi koja je primala eplerenon (30) i placebo (22). </w:t>
      </w:r>
      <w:r w:rsidRPr="004071DE">
        <w:rPr>
          <w:rFonts w:eastAsia="TimesNewRoman"/>
          <w:i/>
          <w:iCs/>
          <w:sz w:val="22"/>
          <w:szCs w:val="22"/>
          <w:lang w:val="sr-Latn-ME"/>
        </w:rPr>
        <w:t xml:space="preserve">U EMPHASIS-HF </w:t>
      </w:r>
      <w:r w:rsidRPr="004071DE">
        <w:rPr>
          <w:rFonts w:eastAsia="TimesNewRoman"/>
          <w:sz w:val="22"/>
          <w:szCs w:val="22"/>
          <w:lang w:val="sr-Latn-ME"/>
        </w:rPr>
        <w:t xml:space="preserve">studiji broj moždanih udara u </w:t>
      </w:r>
      <w:r w:rsidRPr="004071DE">
        <w:rPr>
          <w:rFonts w:eastAsia="TimesNewRoman"/>
          <w:sz w:val="22"/>
          <w:szCs w:val="22"/>
          <w:lang w:val="sr-Latn-ME"/>
        </w:rPr>
        <w:lastRenderedPageBreak/>
        <w:t xml:space="preserve">grupi sa veoma starim osobama (≥ 75 godina) iznosio je 9 </w:t>
      </w:r>
      <w:r w:rsidRPr="004071DE">
        <w:rPr>
          <w:sz w:val="22"/>
          <w:szCs w:val="22"/>
          <w:lang w:val="sr-Latn-ME"/>
        </w:rPr>
        <w:t>u grupi koja je primala eplerenon i 8 u grupi koja je primala placebo.</w:t>
      </w:r>
    </w:p>
    <w:p w14:paraId="2462B3F1" w14:textId="77777777" w:rsidR="004E70AD" w:rsidRPr="004071DE" w:rsidRDefault="004E70AD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99DDBFF" w14:textId="77777777" w:rsidR="005A23D2" w:rsidRPr="004071DE" w:rsidRDefault="005A23D2" w:rsidP="00270C6F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4071DE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380DAF5D" w14:textId="77777777" w:rsidR="005A23D2" w:rsidRPr="004071DE" w:rsidRDefault="005A23D2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4071DE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4071DE">
        <w:rPr>
          <w:rFonts w:eastAsia="Calibri"/>
          <w:sz w:val="22"/>
          <w:szCs w:val="22"/>
          <w:lang w:val="sr-Latn-ME"/>
        </w:rPr>
        <w:t>inuirano praćenje odnosa korist</w:t>
      </w:r>
      <w:r w:rsidRPr="004071DE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4071DE">
        <w:rPr>
          <w:rFonts w:eastAsia="Calibri"/>
          <w:sz w:val="22"/>
          <w:szCs w:val="22"/>
          <w:lang w:val="sr-Latn-ME"/>
        </w:rPr>
        <w:t xml:space="preserve"> </w:t>
      </w:r>
      <w:r w:rsidRPr="004071DE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4071DE">
        <w:rPr>
          <w:rFonts w:eastAsia="Calibri"/>
          <w:sz w:val="22"/>
          <w:szCs w:val="22"/>
          <w:lang w:val="sr-Latn-ME"/>
        </w:rPr>
        <w:t>Institutu</w:t>
      </w:r>
      <w:r w:rsidRPr="004071DE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4071DE">
        <w:rPr>
          <w:rFonts w:eastAsia="Calibri"/>
          <w:sz w:val="22"/>
          <w:szCs w:val="22"/>
          <w:lang w:val="sr-Latn-ME"/>
        </w:rPr>
        <w:t xml:space="preserve"> </w:t>
      </w:r>
      <w:r w:rsidRPr="004071DE">
        <w:rPr>
          <w:rFonts w:eastAsia="Calibri"/>
          <w:sz w:val="22"/>
          <w:szCs w:val="22"/>
          <w:lang w:val="sr-Latn-ME"/>
        </w:rPr>
        <w:t>(</w:t>
      </w:r>
      <w:r w:rsidR="004E70AD" w:rsidRPr="004071DE">
        <w:rPr>
          <w:rFonts w:eastAsia="Calibri"/>
          <w:sz w:val="22"/>
          <w:szCs w:val="22"/>
          <w:lang w:val="sr-Latn-ME"/>
        </w:rPr>
        <w:t>CInMED</w:t>
      </w:r>
      <w:r w:rsidRPr="004071DE">
        <w:rPr>
          <w:rFonts w:eastAsia="Calibri"/>
          <w:sz w:val="22"/>
          <w:szCs w:val="22"/>
          <w:lang w:val="sr-Latn-ME"/>
        </w:rPr>
        <w:t>):</w:t>
      </w:r>
    </w:p>
    <w:p w14:paraId="000D41A7" w14:textId="77777777" w:rsidR="005A23D2" w:rsidRPr="004071DE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071DE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4071DE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179C665B" w14:textId="77777777" w:rsidR="005A23D2" w:rsidRPr="004071DE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071DE">
        <w:rPr>
          <w:rFonts w:eastAsia="Calibri"/>
          <w:sz w:val="22"/>
          <w:szCs w:val="22"/>
          <w:lang w:val="sr-Latn-ME"/>
        </w:rPr>
        <w:t>Odjeljenje za farmakovigilancu</w:t>
      </w:r>
    </w:p>
    <w:p w14:paraId="660F7DDC" w14:textId="77777777" w:rsidR="00EA5765" w:rsidRPr="004071DE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071DE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7B5C4F62" w14:textId="77777777" w:rsidR="00EA5765" w:rsidRPr="004071DE" w:rsidRDefault="00EA5765" w:rsidP="00270C6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F5E50E6" w14:textId="77777777" w:rsidR="005A23D2" w:rsidRPr="004071DE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071DE">
        <w:rPr>
          <w:rFonts w:eastAsia="Calibri"/>
          <w:sz w:val="22"/>
          <w:szCs w:val="22"/>
          <w:lang w:val="sr-Latn-ME"/>
        </w:rPr>
        <w:t>tel: +382 (0) 20 310 280</w:t>
      </w:r>
    </w:p>
    <w:p w14:paraId="0052496C" w14:textId="77777777" w:rsidR="00EA5765" w:rsidRPr="004071DE" w:rsidRDefault="005A23D2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4071DE">
        <w:rPr>
          <w:rFonts w:eastAsia="Calibri"/>
          <w:sz w:val="22"/>
          <w:szCs w:val="22"/>
          <w:lang w:val="sr-Latn-ME"/>
        </w:rPr>
        <w:t>fax:</w:t>
      </w:r>
      <w:r w:rsidR="00EA5765" w:rsidRPr="004071DE">
        <w:rPr>
          <w:rFonts w:eastAsia="Calibri"/>
          <w:sz w:val="22"/>
          <w:szCs w:val="22"/>
          <w:lang w:val="sr-Latn-ME"/>
        </w:rPr>
        <w:t xml:space="preserve"> </w:t>
      </w:r>
      <w:r w:rsidRPr="004071DE">
        <w:rPr>
          <w:rFonts w:eastAsia="Calibri"/>
          <w:sz w:val="22"/>
          <w:szCs w:val="22"/>
          <w:lang w:val="sr-Latn-ME"/>
        </w:rPr>
        <w:t>+382 (0) 20 310 581</w:t>
      </w:r>
      <w:r w:rsidR="00FF3EDF" w:rsidRPr="004071DE">
        <w:rPr>
          <w:rFonts w:eastAsia="Calibri"/>
          <w:sz w:val="22"/>
          <w:szCs w:val="22"/>
          <w:lang w:val="sr-Latn-ME"/>
        </w:rPr>
        <w:tab/>
      </w:r>
    </w:p>
    <w:p w14:paraId="6FD75ABF" w14:textId="77777777" w:rsidR="005A23D2" w:rsidRPr="004071DE" w:rsidRDefault="001754D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4071DE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33C1392A" w14:textId="77777777" w:rsidR="00EA5765" w:rsidRPr="004071DE" w:rsidRDefault="001754D4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4071DE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16BAD827" w14:textId="77777777" w:rsidR="005A23D2" w:rsidRPr="004071DE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071DE">
        <w:rPr>
          <w:rFonts w:eastAsia="Calibri"/>
          <w:sz w:val="22"/>
          <w:szCs w:val="22"/>
          <w:lang w:val="sr-Latn-ME"/>
        </w:rPr>
        <w:t>putem IS zdravstvene zaštite</w:t>
      </w:r>
    </w:p>
    <w:p w14:paraId="1903061E" w14:textId="77777777" w:rsidR="007E31E9" w:rsidRPr="004071DE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071DE">
        <w:rPr>
          <w:rFonts w:eastAsia="Calibri"/>
          <w:sz w:val="22"/>
          <w:szCs w:val="22"/>
          <w:lang w:val="sr-Latn-ME"/>
        </w:rPr>
        <w:t>QR kod za online prijavu</w:t>
      </w:r>
      <w:r w:rsidR="00D74CD2" w:rsidRPr="004071DE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4071DE">
        <w:rPr>
          <w:rFonts w:eastAsia="Calibri"/>
          <w:sz w:val="22"/>
          <w:szCs w:val="22"/>
          <w:lang w:val="sr-Latn-ME"/>
        </w:rPr>
        <w:t>:</w:t>
      </w:r>
    </w:p>
    <w:p w14:paraId="240E7E59" w14:textId="77777777" w:rsidR="007E31E9" w:rsidRPr="004071DE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B11E0D1" w14:textId="77777777" w:rsidR="004F17E2" w:rsidRPr="004071DE" w:rsidRDefault="007E31E9" w:rsidP="00270C6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071DE">
        <w:rPr>
          <w:noProof/>
          <w:sz w:val="22"/>
          <w:szCs w:val="22"/>
        </w:rPr>
        <w:drawing>
          <wp:inline distT="0" distB="0" distL="0" distR="0" wp14:anchorId="14B24898" wp14:editId="16979908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A8C83" w14:textId="77777777" w:rsidR="00836B35" w:rsidRPr="004071DE" w:rsidRDefault="00836B35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C1D6E95" w14:textId="77777777" w:rsidR="00CD6F02" w:rsidRPr="004071DE" w:rsidRDefault="0072020E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 xml:space="preserve">4.9. </w:t>
      </w:r>
      <w:r w:rsidR="00480FB1" w:rsidRPr="004071DE">
        <w:rPr>
          <w:b/>
          <w:bCs/>
          <w:sz w:val="22"/>
          <w:szCs w:val="22"/>
          <w:lang w:val="sr-Latn-ME"/>
        </w:rPr>
        <w:tab/>
      </w:r>
      <w:r w:rsidRPr="004071DE">
        <w:rPr>
          <w:b/>
          <w:bCs/>
          <w:sz w:val="22"/>
          <w:szCs w:val="22"/>
          <w:lang w:val="sr-Latn-ME"/>
        </w:rPr>
        <w:t>Predoziranje</w:t>
      </w:r>
      <w:r w:rsidR="002846DB" w:rsidRPr="004071DE">
        <w:rPr>
          <w:b/>
          <w:bCs/>
          <w:sz w:val="22"/>
          <w:szCs w:val="22"/>
          <w:lang w:val="sr-Latn-ME"/>
        </w:rPr>
        <w:t xml:space="preserve"> </w:t>
      </w:r>
    </w:p>
    <w:p w14:paraId="702820AB" w14:textId="77777777" w:rsidR="00CD6F02" w:rsidRPr="004071DE" w:rsidRDefault="00CD6F02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CE47C01" w14:textId="303E0F36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Ni</w:t>
      </w:r>
      <w:r w:rsidR="00E43A84" w:rsidRPr="004071DE">
        <w:rPr>
          <w:rFonts w:eastAsia="TimesNewRoman"/>
          <w:sz w:val="22"/>
          <w:szCs w:val="22"/>
          <w:lang w:val="sr-Latn-ME"/>
        </w:rPr>
        <w:t>je</w:t>
      </w:r>
      <w:r w:rsidRPr="004071DE">
        <w:rPr>
          <w:rFonts w:eastAsia="TimesNewRoman"/>
          <w:sz w:val="22"/>
          <w:szCs w:val="22"/>
          <w:lang w:val="sr-Latn-ME"/>
        </w:rPr>
        <w:t>su prijavljeni slučajevi predoziranja l</w:t>
      </w:r>
      <w:r w:rsidR="00414EAA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ekom eplerenon kod ljudi. Najv</w:t>
      </w:r>
      <w:r w:rsidR="00414EAA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erovatnije manifestacije koje bi se mogle predvid</w:t>
      </w:r>
      <w:r w:rsidR="00414EAA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eti su hipotenzija ili hiperkalijemija. Eplerenon ne može da se ukloni hemodijalizom. Pokazano je da se izrazito vezuje za medicinski ugalj. Ako se razvije simptomatska hipotenzija, treba prim</w:t>
      </w:r>
      <w:r w:rsidR="00F240C1" w:rsidRPr="004071DE">
        <w:rPr>
          <w:rFonts w:eastAsia="TimesNewRoman"/>
          <w:sz w:val="22"/>
          <w:szCs w:val="22"/>
          <w:lang w:val="sr-Latn-ME"/>
        </w:rPr>
        <w:t>i</w:t>
      </w:r>
      <w:r w:rsidR="00414EAA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eniti suportivnu terapiju. Ako se razvije hiperkalijemija, treba prim</w:t>
      </w:r>
      <w:r w:rsidR="00414EAA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eniti standardnu terapiju.</w:t>
      </w:r>
    </w:p>
    <w:p w14:paraId="4E7A3875" w14:textId="02DC2F6A" w:rsidR="00227BDB" w:rsidRPr="004071DE" w:rsidRDefault="00227BDB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413A709" w14:textId="77777777" w:rsidR="009D4CB9" w:rsidRPr="004071DE" w:rsidRDefault="009D4CB9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1D4AF8E" w14:textId="77777777" w:rsidR="0072020E" w:rsidRPr="004071DE" w:rsidRDefault="0072020E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 xml:space="preserve">5. </w:t>
      </w:r>
      <w:r w:rsidR="00480FB1" w:rsidRPr="004071DE">
        <w:rPr>
          <w:b/>
          <w:bCs/>
          <w:sz w:val="22"/>
          <w:szCs w:val="22"/>
          <w:lang w:val="sr-Latn-ME"/>
        </w:rPr>
        <w:tab/>
      </w:r>
      <w:r w:rsidRPr="004071DE">
        <w:rPr>
          <w:b/>
          <w:bCs/>
          <w:sz w:val="22"/>
          <w:szCs w:val="22"/>
          <w:lang w:val="sr-Latn-ME"/>
        </w:rPr>
        <w:t>FARMAKOLOŠK</w:t>
      </w:r>
      <w:r w:rsidR="000D425A" w:rsidRPr="004071DE">
        <w:rPr>
          <w:b/>
          <w:bCs/>
          <w:sz w:val="22"/>
          <w:szCs w:val="22"/>
          <w:lang w:val="sr-Latn-ME"/>
        </w:rPr>
        <w:t>I</w:t>
      </w:r>
      <w:r w:rsidRPr="004071DE">
        <w:rPr>
          <w:b/>
          <w:bCs/>
          <w:sz w:val="22"/>
          <w:szCs w:val="22"/>
          <w:lang w:val="sr-Latn-ME"/>
        </w:rPr>
        <w:t xml:space="preserve"> PODACI</w:t>
      </w:r>
    </w:p>
    <w:p w14:paraId="175FA644" w14:textId="77777777" w:rsidR="0072020E" w:rsidRPr="004071DE" w:rsidRDefault="0072020E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B7A43B6" w14:textId="77777777" w:rsidR="0072020E" w:rsidRPr="004071DE" w:rsidRDefault="0072020E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 xml:space="preserve">5.1. </w:t>
      </w:r>
      <w:r w:rsidR="00480FB1" w:rsidRPr="004071DE">
        <w:rPr>
          <w:b/>
          <w:bCs/>
          <w:sz w:val="22"/>
          <w:szCs w:val="22"/>
          <w:lang w:val="sr-Latn-ME"/>
        </w:rPr>
        <w:tab/>
      </w:r>
      <w:r w:rsidRPr="004071DE">
        <w:rPr>
          <w:b/>
          <w:bCs/>
          <w:sz w:val="22"/>
          <w:szCs w:val="22"/>
          <w:lang w:val="sr-Latn-ME"/>
        </w:rPr>
        <w:t>Farmakodinamski podaci</w:t>
      </w:r>
      <w:r w:rsidR="003A7059" w:rsidRPr="004071DE">
        <w:rPr>
          <w:b/>
          <w:bCs/>
          <w:sz w:val="22"/>
          <w:szCs w:val="22"/>
          <w:lang w:val="sr-Latn-ME"/>
        </w:rPr>
        <w:t xml:space="preserve"> </w:t>
      </w:r>
    </w:p>
    <w:p w14:paraId="2C84821F" w14:textId="77777777" w:rsidR="00F45F77" w:rsidRPr="004071DE" w:rsidRDefault="00F45F77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280B367" w14:textId="4E246F68" w:rsidR="0072020E" w:rsidRPr="004071DE" w:rsidRDefault="0072020E" w:rsidP="00270C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071DE">
        <w:rPr>
          <w:bCs/>
          <w:sz w:val="22"/>
          <w:szCs w:val="22"/>
          <w:lang w:val="sr-Latn-ME"/>
        </w:rPr>
        <w:t>Farmakoterapijska grupa:</w:t>
      </w:r>
      <w:r w:rsidR="00D305D1" w:rsidRPr="004071DE">
        <w:rPr>
          <w:sz w:val="22"/>
          <w:szCs w:val="22"/>
          <w:lang w:val="sr-Latn-ME"/>
        </w:rPr>
        <w:t xml:space="preserve"> </w:t>
      </w:r>
      <w:r w:rsidR="00D305D1" w:rsidRPr="004071DE">
        <w:rPr>
          <w:bCs/>
          <w:sz w:val="22"/>
          <w:szCs w:val="22"/>
          <w:lang w:val="sr-Latn-ME"/>
        </w:rPr>
        <w:t>Antagonisti aldosterona</w:t>
      </w:r>
    </w:p>
    <w:p w14:paraId="4E6F75F2" w14:textId="77777777" w:rsidR="0072020E" w:rsidRPr="004071DE" w:rsidRDefault="0072020E" w:rsidP="00270C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50CA4C0" w14:textId="59174036" w:rsidR="0072020E" w:rsidRPr="004071DE" w:rsidRDefault="0072020E" w:rsidP="00270C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071DE">
        <w:rPr>
          <w:bCs/>
          <w:sz w:val="22"/>
          <w:szCs w:val="22"/>
          <w:lang w:val="sr-Latn-ME"/>
        </w:rPr>
        <w:t>ATC kod:</w:t>
      </w:r>
      <w:r w:rsidR="00D305D1" w:rsidRPr="004071DE">
        <w:rPr>
          <w:sz w:val="22"/>
          <w:szCs w:val="22"/>
          <w:lang w:val="sr-Latn-ME"/>
        </w:rPr>
        <w:t xml:space="preserve"> </w:t>
      </w:r>
      <w:r w:rsidR="00D305D1" w:rsidRPr="004071DE">
        <w:rPr>
          <w:bCs/>
          <w:sz w:val="22"/>
          <w:szCs w:val="22"/>
          <w:lang w:val="sr-Latn-ME"/>
        </w:rPr>
        <w:t>C03DA04</w:t>
      </w:r>
    </w:p>
    <w:p w14:paraId="6C072DEF" w14:textId="6A7A0D40" w:rsidR="00D305D1" w:rsidRPr="004071DE" w:rsidRDefault="00D305D1" w:rsidP="00270C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563C13A" w14:textId="50A4B588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iCs/>
          <w:sz w:val="22"/>
          <w:szCs w:val="22"/>
          <w:u w:val="single"/>
          <w:lang w:val="sr-Latn-ME"/>
        </w:rPr>
      </w:pPr>
      <w:r w:rsidRPr="004071DE">
        <w:rPr>
          <w:rFonts w:eastAsia="TimesNewRoman"/>
          <w:iCs/>
          <w:sz w:val="22"/>
          <w:szCs w:val="22"/>
          <w:u w:val="single"/>
          <w:lang w:val="sr-Latn-ME"/>
        </w:rPr>
        <w:t>Mehanizam d</w:t>
      </w:r>
      <w:r w:rsidR="00F240C1" w:rsidRPr="004071DE">
        <w:rPr>
          <w:rFonts w:eastAsia="TimesNewRoman"/>
          <w:iCs/>
          <w:sz w:val="22"/>
          <w:szCs w:val="22"/>
          <w:u w:val="single"/>
          <w:lang w:val="sr-Latn-ME"/>
        </w:rPr>
        <w:t>j</w:t>
      </w:r>
      <w:r w:rsidRPr="004071DE">
        <w:rPr>
          <w:rFonts w:eastAsia="TimesNewRoman"/>
          <w:iCs/>
          <w:sz w:val="22"/>
          <w:szCs w:val="22"/>
          <w:u w:val="single"/>
          <w:lang w:val="sr-Latn-ME"/>
        </w:rPr>
        <w:t>elovanja</w:t>
      </w:r>
    </w:p>
    <w:p w14:paraId="6C507CC7" w14:textId="0CA2DE6D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Eplerenon ima relativnu selektivnost u vezivanju za rekombinantne humane mineralokortikoidne receptore u poređenju sa njegovim vezivanjem za rekombinantne humane glukokortikoidne, progesteronske i androgene receptore. Eplerenon sprečava vezivanje aldosterona, ključnog hormona u sistemu renin-angiotenzin-aldosteron (RAAS), koji je uključen u regulaciju krvnog pritiska i patofiziologiju kardiovaskularnih bolesti.</w:t>
      </w:r>
    </w:p>
    <w:p w14:paraId="66CFDA86" w14:textId="77777777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4EFF26D0" w14:textId="77777777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iCs/>
          <w:sz w:val="22"/>
          <w:szCs w:val="22"/>
          <w:u w:val="single"/>
          <w:lang w:val="sr-Latn-ME"/>
        </w:rPr>
      </w:pPr>
      <w:r w:rsidRPr="004071DE">
        <w:rPr>
          <w:rFonts w:eastAsia="TimesNewRoman"/>
          <w:iCs/>
          <w:sz w:val="22"/>
          <w:szCs w:val="22"/>
          <w:u w:val="single"/>
          <w:lang w:val="sr-Latn-ME"/>
        </w:rPr>
        <w:t>Farmakodinamski efekti</w:t>
      </w:r>
    </w:p>
    <w:p w14:paraId="513A173B" w14:textId="4F5EE3B1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Eplerenon dovodi do produženog povećanja plazmatskog renina i serumskog aldosterona, što je u skladu sa inhibicijom negativne povratne sprege aldosterona na sekreciju renina. Povećanje aktivnosti plazmatskog renina i povećane koncentracije cirkulišućeg aldosterona ne prevazilaze efekte eplerenona.</w:t>
      </w:r>
    </w:p>
    <w:p w14:paraId="4C7E60FA" w14:textId="77777777" w:rsidR="00976E53" w:rsidRPr="004071DE" w:rsidRDefault="00976E5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47A9B708" w14:textId="21830C49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lastRenderedPageBreak/>
        <w:t xml:space="preserve">U studijama sa više doza, kod pacijenata sa hroničnom srčanom insuficijencijom (NYHA klasa od II do IV), nakon dodavanja eplerenona standardnoj terapiji dolazilo je do očekivanog dozno zavisnog povećanja aldosterona. Slično, u kardiorenalnoj podstudiji </w:t>
      </w:r>
      <w:r w:rsidRPr="004071DE">
        <w:rPr>
          <w:rFonts w:eastAsia="TimesNewRoman"/>
          <w:iCs/>
          <w:sz w:val="22"/>
          <w:szCs w:val="22"/>
          <w:lang w:val="sr-Latn-ME"/>
        </w:rPr>
        <w:t>EPHESUS</w:t>
      </w:r>
      <w:r w:rsidRPr="004071DE">
        <w:rPr>
          <w:rFonts w:eastAsia="TimesNewRoman"/>
          <w:i/>
          <w:iCs/>
          <w:sz w:val="22"/>
          <w:szCs w:val="22"/>
          <w:lang w:val="sr-Latn-ME"/>
        </w:rPr>
        <w:t xml:space="preserve"> </w:t>
      </w:r>
      <w:r w:rsidRPr="004071DE">
        <w:rPr>
          <w:rFonts w:eastAsia="TimesNewRoman"/>
          <w:sz w:val="22"/>
          <w:szCs w:val="22"/>
          <w:lang w:val="sr-Latn-ME"/>
        </w:rPr>
        <w:t>terapija eplerenonom je dovodila do značajnog povećanja aldosterona. Ovi rezultati potvrđuju blokadu mineralokortikoidnog receptora u ovim populacijama pacijenata.</w:t>
      </w:r>
    </w:p>
    <w:p w14:paraId="42F7B25B" w14:textId="77777777" w:rsidR="00976E53" w:rsidRPr="004071DE" w:rsidRDefault="00976E5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54DF8F50" w14:textId="2C54C845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Eplerenon je ispitivan u studiji EPHESUS. Ova studija je bila duplo sl</w:t>
      </w:r>
      <w:r w:rsidR="00F240C1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epa, placebo-kontrolisana, trajala je 3 godine, i u nju je bilo uključeno 6632 pacijenta sa akutnim infarktom miokarda, disfunkcijom l</w:t>
      </w:r>
      <w:r w:rsidR="00F240C1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eve komore (proc</w:t>
      </w:r>
      <w:r w:rsidR="00F240C1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enjivano na osnovu m</w:t>
      </w:r>
      <w:r w:rsidR="00F240C1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erenja ejekcione frakcije l</w:t>
      </w:r>
      <w:r w:rsidR="00F240C1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eve komore (LVEF) koja je bila ≤ 40%), kao i kliničkim znacima srčane insuficijencije. Tokom 3 do 14 dana (u pros</w:t>
      </w:r>
      <w:r w:rsidR="00F240C1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eku 7 dana) nakon akutnog infarkta miokarda pacijenti su primali eplerenenon ili placebo uz standardnu terapiju, i to u inicijalnoj dozi od 25 mg jednom dnevno, a zatim je doza nakon 4 ned</w:t>
      </w:r>
      <w:r w:rsidR="00F240C1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elje pažljivo povećavana na 50 mg na dan, ukoliko je serumski kalijum bio &lt; 5 mmol/</w:t>
      </w:r>
      <w:r w:rsidR="00251587" w:rsidRPr="004071DE">
        <w:rPr>
          <w:rFonts w:eastAsia="TimesNewRoman"/>
          <w:sz w:val="22"/>
          <w:szCs w:val="22"/>
          <w:lang w:val="sr-Latn-ME"/>
        </w:rPr>
        <w:t>l</w:t>
      </w:r>
      <w:r w:rsidRPr="004071DE">
        <w:rPr>
          <w:rFonts w:eastAsia="TimesNewRoman"/>
          <w:sz w:val="22"/>
          <w:szCs w:val="22"/>
          <w:lang w:val="sr-Latn-ME"/>
        </w:rPr>
        <w:t>. Za vr</w:t>
      </w:r>
      <w:r w:rsidR="00F240C1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eme studije pacijenti su primali sl</w:t>
      </w:r>
      <w:r w:rsidR="00F240C1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edeću standardnu terapiju: acetilsalicilnu kiselinu (92%), ACE inhibitore (90%), beta-blokatore (83%), nitrate (72%), diuretike Henle-ove petlje (66%) i inhibitore HMG CoA reduktaze (60%).</w:t>
      </w:r>
    </w:p>
    <w:p w14:paraId="1F89CF00" w14:textId="77777777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04D6EBCD" w14:textId="2F1B410B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U kliničkom ispitivanju EPHESUS, dodatni primarni parametri praćenja ishoda bili su smrtnost od bilo kog uzroka i kombinovani parametar praćenja ishoda kardiovaskularne smrti ili hospitalizacija zbog kardiovaskularnih razloga; kod 14,4% pacijenata na eplerenonu i 16,7% pacijenata na placebu došlo je do smrtnog ishoda usl</w:t>
      </w:r>
      <w:r w:rsidR="004F6FFC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ed različitih uzroka, dok je 26,7% pacijenata na eplerenonu i 30% pacijenata na placebu imalo kombinovani primarni parametar praćenja ishoda kardiovaskularne smrti ili hospitalizacije. Dakle, u </w:t>
      </w:r>
      <w:r w:rsidRPr="004071DE">
        <w:rPr>
          <w:rFonts w:eastAsia="TimesNewRoman"/>
          <w:i/>
          <w:iCs/>
          <w:sz w:val="22"/>
          <w:szCs w:val="22"/>
          <w:lang w:val="sr-Latn-ME"/>
        </w:rPr>
        <w:t xml:space="preserve">EPHESUS </w:t>
      </w:r>
      <w:r w:rsidRPr="004071DE">
        <w:rPr>
          <w:rFonts w:eastAsia="TimesNewRoman"/>
          <w:sz w:val="22"/>
          <w:szCs w:val="22"/>
          <w:lang w:val="sr-Latn-ME"/>
        </w:rPr>
        <w:t>studiji eplerenon je smanjio rizik od ukupnog mortaliteta za 15% u poređenju sa placebom (relativni rizik je 0,85; 95% CI je od 0,75 do 0,96; p = 0,008), primarno zbog smanjenja kardiovaskularnog mortaliteta. Rizik od smrti ili hospitalizacije izazvanih kardiovaskularnim uzrokom je smanjen prim</w:t>
      </w:r>
      <w:r w:rsidR="004F6FFC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enom eplerenona za 13% (relativni rizik je 0,87; CI 95% je od 0,79 do 0,95; p = 0,002). Smanjenje apsolutnog rizika za sve posmatrane parametre praćenja ishoda, kako ukupnog mortaliteta, tako i mortaliteta i hospitalizacije izazvane kardiovaskularnim uzrokom iznosilo je 2,3% i 3,3%, redom. Klinička efikasnost je bila prvenstveno pokazana kada je terapija eplerenonom započeta kod pacijenata mlađih od 75 godina. Korist od terapije kod pacijenata starijih od 75 godina za sada nije jasna. U grupi koja je primala eplerenon NYHA klasa je bila poboljšana ili ostala stabilna u statistički značajno većem procentu nego kod pacijenata koji su primali placebo. Incidenca hiperkalijemije bila je 3,4% u grupi koja je primala eplerenon, a 2% u placebo grupi (p &lt; 0,001). Incidenca hipokalijemije bila je 0,5% u grupi koja je primala eplerenon u poređenju sa 1,5% u placebo grupi (p &lt; 0,001).</w:t>
      </w:r>
    </w:p>
    <w:p w14:paraId="4420BECF" w14:textId="77777777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6B274A61" w14:textId="049B694C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Ni</w:t>
      </w:r>
      <w:r w:rsidR="00B3247B" w:rsidRPr="004071DE">
        <w:rPr>
          <w:rFonts w:eastAsia="TimesNewRoman"/>
          <w:sz w:val="22"/>
          <w:szCs w:val="22"/>
          <w:lang w:val="sr-Latn-ME"/>
        </w:rPr>
        <w:t>je</w:t>
      </w:r>
      <w:r w:rsidRPr="004071DE">
        <w:rPr>
          <w:rFonts w:eastAsia="TimesNewRoman"/>
          <w:sz w:val="22"/>
          <w:szCs w:val="22"/>
          <w:lang w:val="sr-Latn-ME"/>
        </w:rPr>
        <w:t>su zab</w:t>
      </w:r>
      <w:r w:rsidR="003E6EF7" w:rsidRPr="004071DE">
        <w:rPr>
          <w:rFonts w:eastAsia="TimesNewRoman"/>
          <w:sz w:val="22"/>
          <w:szCs w:val="22"/>
          <w:lang w:val="sr-Latn-ME"/>
        </w:rPr>
        <w:t>i</w:t>
      </w:r>
      <w:r w:rsidRPr="004071DE">
        <w:rPr>
          <w:rFonts w:eastAsia="TimesNewRoman"/>
          <w:sz w:val="22"/>
          <w:szCs w:val="22"/>
          <w:lang w:val="sr-Latn-ME"/>
        </w:rPr>
        <w:t>l</w:t>
      </w:r>
      <w:r w:rsidR="00FA6AF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eženi konzistentni efekti eplerenona na srčanu frekvencu, trajanje QRS kompleksa, ili PR ili QT interval kod 147 zdravih dobrovoljaca kod kojih su bile proc</w:t>
      </w:r>
      <w:r w:rsidR="003E6EF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enjivane elektrokardiografske prom</w:t>
      </w:r>
      <w:r w:rsidR="003E6EF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ene za vr</w:t>
      </w:r>
      <w:r w:rsidR="003E6EF7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eme farmakokinetičkih studija.</w:t>
      </w:r>
    </w:p>
    <w:p w14:paraId="5D5D497F" w14:textId="77777777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059684BD" w14:textId="4FF23DD9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 xml:space="preserve">U </w:t>
      </w:r>
      <w:r w:rsidRPr="004071DE">
        <w:rPr>
          <w:rFonts w:eastAsia="TimesNewRoman"/>
          <w:iCs/>
          <w:sz w:val="22"/>
          <w:szCs w:val="22"/>
          <w:lang w:val="sr-Latn-ME"/>
        </w:rPr>
        <w:t>EMPHASIS-HF</w:t>
      </w:r>
      <w:r w:rsidRPr="004071DE">
        <w:rPr>
          <w:rFonts w:eastAsia="TimesNewRoman"/>
          <w:i/>
          <w:iCs/>
          <w:sz w:val="22"/>
          <w:szCs w:val="22"/>
          <w:lang w:val="sr-Latn-ME"/>
        </w:rPr>
        <w:t xml:space="preserve"> </w:t>
      </w:r>
      <w:r w:rsidRPr="004071DE">
        <w:rPr>
          <w:rFonts w:eastAsia="TimesNewRoman"/>
          <w:sz w:val="22"/>
          <w:szCs w:val="22"/>
          <w:lang w:val="sr-Latn-ME"/>
        </w:rPr>
        <w:t>studiji bio je ispitivan efekat eplerenona, kao dodatne terapije uz standardnu terapiju, na klinički ishod pacijenata sa sistolnom srčanom insuficijencijom i blagim simptomima (NYHA klasa II).</w:t>
      </w:r>
    </w:p>
    <w:p w14:paraId="3AF7BFED" w14:textId="77777777" w:rsidR="00976E53" w:rsidRPr="004071DE" w:rsidRDefault="00976E5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4BB13EB0" w14:textId="7F00B2D1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Ispitanici su bili uključeni u studiju ukoliko su bili starosti od najmanje 55 godina sa ejekcionom frakcijom l</w:t>
      </w:r>
      <w:r w:rsidR="003E6EF7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eve komore (LVEF) ≤ 30% ili LVEF ≤ 35% uz produženi QRS &gt; 130 milisekundi i ukoliko su bili hospitalizovani zbog kardiovaskularnih bolesti 6 m</w:t>
      </w:r>
      <w:r w:rsidR="003E6EF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eseci pr</w:t>
      </w:r>
      <w:r w:rsidR="003E6EF7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 uključivanja u studiju ili ukoliko su imali koncentraciju plazmatskog natriuretičkog peptida (BNP) najmanje 250 pikograma/m</w:t>
      </w:r>
      <w:r w:rsidR="00251587" w:rsidRPr="004071DE">
        <w:rPr>
          <w:rFonts w:eastAsia="TimesNewRoman"/>
          <w:sz w:val="22"/>
          <w:szCs w:val="22"/>
          <w:lang w:val="sr-Latn-ME"/>
        </w:rPr>
        <w:t>l</w:t>
      </w:r>
      <w:r w:rsidRPr="004071DE">
        <w:rPr>
          <w:rFonts w:eastAsia="TimesNewRoman"/>
          <w:sz w:val="22"/>
          <w:szCs w:val="22"/>
          <w:lang w:val="sr-Latn-ME"/>
        </w:rPr>
        <w:t xml:space="preserve"> ili koncentraciju N terminalnog pro-BNP u plazmi najmanje 500 pikograma/m</w:t>
      </w:r>
      <w:r w:rsidR="00251587" w:rsidRPr="004071DE">
        <w:rPr>
          <w:rFonts w:eastAsia="TimesNewRoman"/>
          <w:sz w:val="22"/>
          <w:szCs w:val="22"/>
          <w:lang w:val="sr-Latn-ME"/>
        </w:rPr>
        <w:t>l</w:t>
      </w:r>
      <w:r w:rsidRPr="004071DE">
        <w:rPr>
          <w:rFonts w:eastAsia="TimesNewRoman"/>
          <w:sz w:val="22"/>
          <w:szCs w:val="22"/>
          <w:lang w:val="sr-Latn-ME"/>
        </w:rPr>
        <w:t xml:space="preserve"> kod muškaraca (750 pikograma/m</w:t>
      </w:r>
      <w:r w:rsidR="00B3247B" w:rsidRPr="004071DE">
        <w:rPr>
          <w:rFonts w:eastAsia="TimesNewRoman"/>
          <w:sz w:val="22"/>
          <w:szCs w:val="22"/>
          <w:lang w:val="sr-Latn-ME"/>
        </w:rPr>
        <w:t>l</w:t>
      </w:r>
      <w:r w:rsidRPr="004071DE">
        <w:rPr>
          <w:rFonts w:eastAsia="TimesNewRoman"/>
          <w:sz w:val="22"/>
          <w:szCs w:val="22"/>
          <w:lang w:val="sr-Latn-ME"/>
        </w:rPr>
        <w:t xml:space="preserve"> kod žena).</w:t>
      </w:r>
    </w:p>
    <w:p w14:paraId="57848FB9" w14:textId="52E4E7CD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Eplerenon je davan u početnoj dozi od 25 mg jednom dnevno i nakon 4 ned</w:t>
      </w:r>
      <w:r w:rsidR="003E6EF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elje je doza povećavana na 50 mg jednom dnevno, ukoliko su vr</w:t>
      </w:r>
      <w:r w:rsidR="003E6EF7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ednosti kalijuma u krvi bile &lt; 5 mmol/</w:t>
      </w:r>
      <w:r w:rsidR="00251587" w:rsidRPr="004071DE">
        <w:rPr>
          <w:rFonts w:eastAsia="TimesNewRoman"/>
          <w:sz w:val="22"/>
          <w:szCs w:val="22"/>
          <w:lang w:val="sr-Latn-ME"/>
        </w:rPr>
        <w:t>l</w:t>
      </w:r>
      <w:r w:rsidRPr="004071DE">
        <w:rPr>
          <w:rFonts w:eastAsia="TimesNewRoman"/>
          <w:sz w:val="22"/>
          <w:szCs w:val="22"/>
          <w:lang w:val="sr-Latn-ME"/>
        </w:rPr>
        <w:t>. Izuzetno, ukoliko su proc</w:t>
      </w:r>
      <w:r w:rsidR="003E6EF7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enjene vr</w:t>
      </w:r>
      <w:r w:rsidR="00567824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ednosti GFR bile 30-49 m</w:t>
      </w:r>
      <w:r w:rsidR="00251587" w:rsidRPr="004071DE">
        <w:rPr>
          <w:rFonts w:eastAsia="TimesNewRoman"/>
          <w:sz w:val="22"/>
          <w:szCs w:val="22"/>
          <w:lang w:val="sr-Latn-ME"/>
        </w:rPr>
        <w:t>l</w:t>
      </w:r>
      <w:r w:rsidRPr="004071DE">
        <w:rPr>
          <w:rFonts w:eastAsia="TimesNewRoman"/>
          <w:sz w:val="22"/>
          <w:szCs w:val="22"/>
          <w:lang w:val="sr-Latn-ME"/>
        </w:rPr>
        <w:t>/min/1,73 m</w:t>
      </w:r>
      <w:r w:rsidRPr="004071DE">
        <w:rPr>
          <w:rFonts w:eastAsia="TimesNewRoman"/>
          <w:sz w:val="22"/>
          <w:szCs w:val="22"/>
          <w:vertAlign w:val="superscript"/>
          <w:lang w:val="sr-Latn-ME"/>
        </w:rPr>
        <w:t>2</w:t>
      </w:r>
      <w:r w:rsidRPr="004071DE">
        <w:rPr>
          <w:rFonts w:eastAsia="TimesNewRoman"/>
          <w:sz w:val="22"/>
          <w:szCs w:val="22"/>
          <w:lang w:val="sr-Latn-ME"/>
        </w:rPr>
        <w:t xml:space="preserve">, </w:t>
      </w:r>
      <w:r w:rsidRPr="004071DE">
        <w:rPr>
          <w:sz w:val="22"/>
          <w:szCs w:val="22"/>
          <w:lang w:val="sr-Latn-ME"/>
        </w:rPr>
        <w:t xml:space="preserve">početna doza eplerenona je bila 25 mg svaki drugi dan i zatim je povećana na 25 mg jednom dnevno. </w:t>
      </w:r>
    </w:p>
    <w:p w14:paraId="138A7DE2" w14:textId="77777777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2FFE3FC6" w14:textId="56A0248A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Ukupno 2737 ispitanika je bilo randomizirano (duplo – sl</w:t>
      </w:r>
      <w:r w:rsidR="00512660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epo) na terapiju eplerenonom ili placebom, uz već postojeću terapiju diureticima (85%), ACE inhibitorima (78%), antagonistima receptora angiotenzina II (19%), beta-blokatorima (87%), antitrombotičkim l</w:t>
      </w:r>
      <w:r w:rsidR="004F1DC2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ekovima (88%), l</w:t>
      </w:r>
      <w:r w:rsidR="004F1DC2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ekovima za smanjenje lipida u krvi (63%) i glikozidima digitalisa (27%). Pros</w:t>
      </w:r>
      <w:r w:rsidR="004F1DC2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ečni LVEF je bio oko 26% i pros</w:t>
      </w:r>
      <w:r w:rsidR="004F1DC2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ečno </w:t>
      </w:r>
      <w:r w:rsidRPr="004071DE">
        <w:rPr>
          <w:rFonts w:eastAsia="TimesNewRoman"/>
          <w:sz w:val="22"/>
          <w:szCs w:val="22"/>
          <w:lang w:val="sr-Latn-ME"/>
        </w:rPr>
        <w:lastRenderedPageBreak/>
        <w:t>trajanje QRS kompleksa je bilo 122 milisekundi. Većina pacijenata (83,4%) je bilo prethodno hospitalizovano zbog kardiovaskularnih razloga unutar 6 m</w:t>
      </w:r>
      <w:r w:rsidR="004F1DC2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eseci pr</w:t>
      </w:r>
      <w:r w:rsidR="004F1DC2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 randomizacije, od kojih je oko 50% bilo hospitalizovano zbog srčane insuficijencije. Oko 20% pacijenata je imalo implantirane defibrilatore ili terapiju za resinhronizaciju srčanog ritma.</w:t>
      </w:r>
    </w:p>
    <w:p w14:paraId="2140E9DD" w14:textId="77777777" w:rsidR="005D1DC3" w:rsidRPr="004071DE" w:rsidRDefault="005D1DC3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47E15A15" w14:textId="77777777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Primarni parametar praćenja ishoda studije - kardiovaskularni mortalitet ili hospitalizacija zbog srčane insuficijencije, postignut je kod 249 pacijenata (18,3%) u grupi koja je primala eplerenon i kod 356 pacijenata (25,9%) u grupi koja je primala placebo (RR 0,63, 95% CI, 0,54-0,74; p &lt;0,001). Efekat eplerenona na postizanje primarnog parametra praćenja ishoda je bio konzistentan kod svih podgrupa.</w:t>
      </w:r>
    </w:p>
    <w:p w14:paraId="2B49B896" w14:textId="77777777" w:rsidR="00D305D1" w:rsidRPr="004071DE" w:rsidRDefault="00D305D1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</w:p>
    <w:p w14:paraId="463B2DFB" w14:textId="77777777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Ukupni mortalitet, kao sekundarni parametar praćenja ishoda studije, iznosio je 12,5% (171 pacijent) u grupi koja je primala eplerenon i 15,5% (213 pacijenata) u grupi koja je primala placebo (RR 0,76; 95% CI, 0,62 – 0,93; p = 0,008). Kardiovaskularni mortalitet bio je prijavljen kod 147 pacijenata (10,8%) u grupi koja je primala eplerenon i kod 185 (13,5%) pacijenata u grupi koja je primala placebo (RR 0,76; 95% CI, 0,61 – 0,94; p = 0,01).</w:t>
      </w:r>
    </w:p>
    <w:p w14:paraId="675FC7B4" w14:textId="77777777" w:rsidR="00D305D1" w:rsidRPr="004071DE" w:rsidRDefault="00D305D1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</w:p>
    <w:p w14:paraId="3E9565B9" w14:textId="32D79FE2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U toku studije, hiperkalijemija (vr</w:t>
      </w:r>
      <w:r w:rsidR="004A32AE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ednosti kalijuma u krvi &gt; 5,5 mmol/</w:t>
      </w:r>
      <w:r w:rsidR="009B4A2C" w:rsidRPr="004071DE">
        <w:rPr>
          <w:rFonts w:eastAsia="TimesNewRoman"/>
          <w:sz w:val="22"/>
          <w:szCs w:val="22"/>
          <w:lang w:val="sr-Latn-ME"/>
        </w:rPr>
        <w:t>l</w:t>
      </w:r>
      <w:r w:rsidRPr="004071DE">
        <w:rPr>
          <w:rFonts w:eastAsia="TimesNewRoman"/>
          <w:sz w:val="22"/>
          <w:szCs w:val="22"/>
          <w:lang w:val="sr-Latn-ME"/>
        </w:rPr>
        <w:t>) bila je prijavljena kod 158 pacijenata (11,8%) u grupi koja je primala eplerenon i kod 96 pacijenata (7,2%) u grupi koja je primala</w:t>
      </w:r>
    </w:p>
    <w:p w14:paraId="7390EFF1" w14:textId="281914AE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placebo (p &lt; 0,001). Hipokalijemija, definisana kao vr</w:t>
      </w:r>
      <w:r w:rsidR="00E67F10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ednosti kalijuma u krvi &lt; 4 mmol/</w:t>
      </w:r>
      <w:r w:rsidR="009B4A2C" w:rsidRPr="004071DE">
        <w:rPr>
          <w:rFonts w:eastAsia="TimesNewRoman"/>
          <w:sz w:val="22"/>
          <w:szCs w:val="22"/>
          <w:lang w:val="sr-Latn-ME"/>
        </w:rPr>
        <w:t>l</w:t>
      </w:r>
      <w:r w:rsidRPr="004071DE">
        <w:rPr>
          <w:rFonts w:eastAsia="TimesNewRoman"/>
          <w:sz w:val="22"/>
          <w:szCs w:val="22"/>
          <w:lang w:val="sr-Latn-ME"/>
        </w:rPr>
        <w:t xml:space="preserve"> bila je statistički značajno r</w:t>
      </w:r>
      <w:r w:rsidR="00E67F10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eđa u grupi koja je primala eplerenon u poređenju sa placebo grupom (38,9% za eplerenon u odnosu na 48,4% za placebo, p &lt; 0,0001).</w:t>
      </w:r>
    </w:p>
    <w:p w14:paraId="1A51E7B0" w14:textId="77777777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53321D95" w14:textId="77777777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iCs/>
          <w:sz w:val="22"/>
          <w:szCs w:val="22"/>
          <w:u w:val="single"/>
          <w:lang w:val="sr-Latn-ME"/>
        </w:rPr>
      </w:pPr>
      <w:r w:rsidRPr="004071DE">
        <w:rPr>
          <w:rFonts w:eastAsia="TimesNewRoman"/>
          <w:iCs/>
          <w:sz w:val="22"/>
          <w:szCs w:val="22"/>
          <w:u w:val="single"/>
          <w:lang w:val="sr-Latn-ME"/>
        </w:rPr>
        <w:t>Pedijatrijska populacija</w:t>
      </w:r>
    </w:p>
    <w:p w14:paraId="44A5C461" w14:textId="77777777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Eplerenon nije ispitivan kod pedijatrijskih pacijenata sa srčanom insuficijencijom.</w:t>
      </w:r>
    </w:p>
    <w:p w14:paraId="4305C21D" w14:textId="476D7DC7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U studiji sprovedenoj kod pedijatrijskih pacijenata sa hipertenzijom u trajanju od 10 ned</w:t>
      </w:r>
      <w:r w:rsidR="007B1A1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elja (uzrasta od 4 do 17 godina, n = 304), eplerenon u dozama kojima se postiže slična izloženost kao kod odraslih (od 25 mg do 100 mg na dan) nije efikasno smanjio krvni pritisak. U ovoj studiji, kao i u jednogodišnjoj pedijatrijskoj studiji bezb</w:t>
      </w:r>
      <w:r w:rsidR="00FE1DFC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ednosti na 149 pacijenata, profil bezb</w:t>
      </w:r>
      <w:r w:rsidR="00FE1DFC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ednosti je bio sličan kao kod odraslih. Eplerenon nije ispitivan kod hipertenzivnih pacijenata mlađih od 4 godine zbog toga što je studija na starijim pedijatrijskim pacijentima pokazala nedovoljnu efikasnost (vid</w:t>
      </w:r>
      <w:r w:rsidR="00D16160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>dio</w:t>
      </w:r>
      <w:r w:rsidRPr="004071DE">
        <w:rPr>
          <w:rFonts w:eastAsia="TimesNewRoman"/>
          <w:sz w:val="22"/>
          <w:szCs w:val="22"/>
          <w:lang w:val="sr-Latn-ME"/>
        </w:rPr>
        <w:t xml:space="preserve"> 4.2).</w:t>
      </w:r>
    </w:p>
    <w:p w14:paraId="4EF4A0FC" w14:textId="77777777" w:rsidR="00D305D1" w:rsidRPr="004071DE" w:rsidRDefault="00D305D1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Nije ispitivan bilo koji (dugotrajni) efekat na hormonski status kod pedijatrijskih pacijenata.</w:t>
      </w:r>
    </w:p>
    <w:p w14:paraId="71191970" w14:textId="77777777" w:rsidR="002E37A5" w:rsidRPr="004071DE" w:rsidRDefault="002E37A5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AF1C6A9" w14:textId="6D187DA7" w:rsidR="0072020E" w:rsidRPr="004071DE" w:rsidRDefault="0072020E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 xml:space="preserve">5.2. </w:t>
      </w:r>
      <w:r w:rsidR="00480FB1" w:rsidRPr="004071DE">
        <w:rPr>
          <w:b/>
          <w:bCs/>
          <w:sz w:val="22"/>
          <w:szCs w:val="22"/>
          <w:lang w:val="sr-Latn-ME"/>
        </w:rPr>
        <w:tab/>
      </w:r>
      <w:r w:rsidRPr="004071DE">
        <w:rPr>
          <w:b/>
          <w:bCs/>
          <w:sz w:val="22"/>
          <w:szCs w:val="22"/>
          <w:lang w:val="sr-Latn-ME"/>
        </w:rPr>
        <w:t>Farmakokinetički podaci</w:t>
      </w:r>
      <w:r w:rsidR="003A7059" w:rsidRPr="004071DE">
        <w:rPr>
          <w:b/>
          <w:bCs/>
          <w:sz w:val="22"/>
          <w:szCs w:val="22"/>
          <w:lang w:val="sr-Latn-ME"/>
        </w:rPr>
        <w:t xml:space="preserve"> </w:t>
      </w:r>
    </w:p>
    <w:p w14:paraId="5F9952B9" w14:textId="77777777" w:rsidR="00D305D1" w:rsidRPr="004071DE" w:rsidRDefault="00D305D1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31CA99B" w14:textId="77777777" w:rsidR="00D305D1" w:rsidRPr="004071DE" w:rsidRDefault="00D305D1" w:rsidP="00270C6F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4071DE">
        <w:rPr>
          <w:sz w:val="22"/>
          <w:szCs w:val="22"/>
          <w:u w:val="single"/>
          <w:lang w:val="sr-Latn-ME"/>
        </w:rPr>
        <w:t>Resorpcija</w:t>
      </w:r>
    </w:p>
    <w:p w14:paraId="1DA3655E" w14:textId="5DA7BDB5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Apsolutna bioraspoloživost eplerenona je 69% nakon prim</w:t>
      </w:r>
      <w:r w:rsidR="00E83BBF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ene tablete od 100 mg oralnim putem.</w:t>
      </w:r>
    </w:p>
    <w:p w14:paraId="20749A9F" w14:textId="1C60973F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Maksimalna koncentracija u plazmi se dostiže nakon približno 1,5 - 2 sata. Maksimalna koncentracija l</w:t>
      </w:r>
      <w:r w:rsidR="00E83BBF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eka u plazmi (C</w:t>
      </w:r>
      <w:r w:rsidRPr="004071DE">
        <w:rPr>
          <w:rFonts w:eastAsia="TimesNewRoman"/>
          <w:sz w:val="22"/>
          <w:szCs w:val="22"/>
          <w:vertAlign w:val="subscript"/>
          <w:lang w:val="sr-Latn-ME"/>
        </w:rPr>
        <w:t>max</w:t>
      </w:r>
      <w:r w:rsidRPr="004071DE">
        <w:rPr>
          <w:rFonts w:eastAsia="TimesNewRoman"/>
          <w:sz w:val="22"/>
          <w:szCs w:val="22"/>
          <w:lang w:val="sr-Latn-ME"/>
        </w:rPr>
        <w:t>) i površina ispod krive (PIK) su proporcionalne dozi u opsegu od 10 do 100 mg, dok se ta proporcionalnost postepeno gubi pri prim</w:t>
      </w:r>
      <w:r w:rsidR="00E83BBF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eni doza većih od 100 mg. Ravnotežne koncentracije se postižu unutar 2 dana. Hrana ne utiče na resorpciju l</w:t>
      </w:r>
      <w:r w:rsidR="00E83BBF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eka.</w:t>
      </w:r>
    </w:p>
    <w:p w14:paraId="345C8693" w14:textId="77777777" w:rsidR="00D305D1" w:rsidRPr="004071DE" w:rsidRDefault="00D305D1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5CA393D0" w14:textId="77777777" w:rsidR="00D305D1" w:rsidRPr="004071DE" w:rsidRDefault="00D305D1" w:rsidP="00270C6F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4071DE">
        <w:rPr>
          <w:sz w:val="22"/>
          <w:szCs w:val="22"/>
          <w:u w:val="single"/>
          <w:lang w:val="sr-Latn-ME"/>
        </w:rPr>
        <w:t>Distribucija</w:t>
      </w:r>
    </w:p>
    <w:p w14:paraId="0A6A674F" w14:textId="77777777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Vezivanje eplerenona za proteine plazme iznosi oko 50%, i to prvenstveno za alfa-1 kiseli glikoprotein.</w:t>
      </w:r>
    </w:p>
    <w:p w14:paraId="2F0A05E3" w14:textId="61F2CDE9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Prividni volumen distribucije u stanju ravnoteže se proc</w:t>
      </w:r>
      <w:r w:rsidR="00E83BBF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enjuje na 42-90 </w:t>
      </w:r>
      <w:r w:rsidR="00B9548C" w:rsidRPr="004071DE">
        <w:rPr>
          <w:rFonts w:eastAsia="TimesNewRoman"/>
          <w:sz w:val="22"/>
          <w:szCs w:val="22"/>
          <w:lang w:val="sr-Latn-ME"/>
        </w:rPr>
        <w:t>l</w:t>
      </w:r>
      <w:r w:rsidRPr="004071DE">
        <w:rPr>
          <w:rFonts w:eastAsia="TimesNewRoman"/>
          <w:sz w:val="22"/>
          <w:szCs w:val="22"/>
          <w:lang w:val="sr-Latn-ME"/>
        </w:rPr>
        <w:t>. Ovaj l</w:t>
      </w:r>
      <w:r w:rsidR="00E83BBF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ek nema posebnog</w:t>
      </w:r>
    </w:p>
    <w:p w14:paraId="2E90942E" w14:textId="77777777" w:rsidR="00D305D1" w:rsidRPr="004071DE" w:rsidRDefault="00D305D1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afiniteta za vezivanje za eritrocite.</w:t>
      </w:r>
    </w:p>
    <w:p w14:paraId="7B9183D2" w14:textId="77777777" w:rsidR="00D305D1" w:rsidRPr="004071DE" w:rsidRDefault="00D305D1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187B0AB3" w14:textId="77777777" w:rsidR="00D305D1" w:rsidRPr="004071DE" w:rsidRDefault="00D305D1" w:rsidP="00270C6F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4071DE">
        <w:rPr>
          <w:sz w:val="22"/>
          <w:szCs w:val="22"/>
          <w:u w:val="single"/>
          <w:lang w:val="sr-Latn-ME"/>
        </w:rPr>
        <w:t>Metabolizam</w:t>
      </w:r>
    </w:p>
    <w:p w14:paraId="43562ECC" w14:textId="5CA22A77" w:rsidR="00D305D1" w:rsidRPr="004071DE" w:rsidRDefault="00D305D1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Eplerenon se primarno metaboliše preko CYP 3A4. U ljudskoj plazmi ni</w:t>
      </w:r>
      <w:r w:rsidR="0075516F" w:rsidRPr="004071DE">
        <w:rPr>
          <w:rFonts w:eastAsia="TimesNewRoman"/>
          <w:sz w:val="22"/>
          <w:szCs w:val="22"/>
          <w:lang w:val="sr-Latn-ME"/>
        </w:rPr>
        <w:t>je</w:t>
      </w:r>
      <w:r w:rsidRPr="004071DE">
        <w:rPr>
          <w:rFonts w:eastAsia="TimesNewRoman"/>
          <w:sz w:val="22"/>
          <w:szCs w:val="22"/>
          <w:lang w:val="sr-Latn-ME"/>
        </w:rPr>
        <w:t>su nađeni aktivni metaboliti leka.</w:t>
      </w:r>
    </w:p>
    <w:p w14:paraId="5C4E23AC" w14:textId="77777777" w:rsidR="00D305D1" w:rsidRPr="004071DE" w:rsidRDefault="00D305D1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3CBB55FA" w14:textId="77777777" w:rsidR="00D305D1" w:rsidRPr="004071DE" w:rsidRDefault="00D305D1" w:rsidP="00270C6F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4071DE">
        <w:rPr>
          <w:sz w:val="22"/>
          <w:szCs w:val="22"/>
          <w:u w:val="single"/>
          <w:lang w:val="sr-Latn-ME"/>
        </w:rPr>
        <w:t>Izlučivanje</w:t>
      </w:r>
    </w:p>
    <w:p w14:paraId="041A24A6" w14:textId="327BA275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Manje od 5% doze eplerenona je identifikovano kao neprom</w:t>
      </w:r>
      <w:r w:rsidR="00224FAA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enjen l</w:t>
      </w:r>
      <w:r w:rsidR="00224FAA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ek u urinu i fecesu. Nakon jedne oralno</w:t>
      </w:r>
      <w:r w:rsidR="00C67F28" w:rsidRPr="004071DE">
        <w:rPr>
          <w:rFonts w:eastAsia="TimesNewRoman"/>
          <w:sz w:val="22"/>
          <w:szCs w:val="22"/>
          <w:lang w:val="sr-Latn-ME"/>
        </w:rPr>
        <w:t xml:space="preserve"> </w:t>
      </w:r>
      <w:r w:rsidRPr="004071DE">
        <w:rPr>
          <w:rFonts w:eastAsia="TimesNewRoman"/>
          <w:sz w:val="22"/>
          <w:szCs w:val="22"/>
          <w:lang w:val="sr-Latn-ME"/>
        </w:rPr>
        <w:t>un</w:t>
      </w:r>
      <w:r w:rsidR="00224FAA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ete doze radioaktivno-ob</w:t>
      </w:r>
      <w:r w:rsidR="00224FAA" w:rsidRPr="004071DE">
        <w:rPr>
          <w:rFonts w:eastAsia="TimesNewRoman"/>
          <w:sz w:val="22"/>
          <w:szCs w:val="22"/>
          <w:lang w:val="sr-Latn-ME"/>
        </w:rPr>
        <w:t>i</w:t>
      </w:r>
      <w:r w:rsidRPr="004071DE">
        <w:rPr>
          <w:rFonts w:eastAsia="TimesNewRoman"/>
          <w:sz w:val="22"/>
          <w:szCs w:val="22"/>
          <w:lang w:val="sr-Latn-ME"/>
        </w:rPr>
        <w:t>l</w:t>
      </w:r>
      <w:r w:rsidR="00583386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eženog l</w:t>
      </w:r>
      <w:r w:rsidR="00583386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eka, oko 32% doze je bilo izlučeno u fecesu, a oko 67% u urinu.</w:t>
      </w:r>
      <w:r w:rsidR="00C67F28" w:rsidRPr="004071DE">
        <w:rPr>
          <w:rFonts w:eastAsia="TimesNewRoman"/>
          <w:sz w:val="22"/>
          <w:szCs w:val="22"/>
          <w:lang w:val="sr-Latn-ME"/>
        </w:rPr>
        <w:t xml:space="preserve"> </w:t>
      </w:r>
      <w:r w:rsidRPr="004071DE">
        <w:rPr>
          <w:rFonts w:eastAsia="TimesNewRoman"/>
          <w:sz w:val="22"/>
          <w:szCs w:val="22"/>
          <w:lang w:val="sr-Latn-ME"/>
        </w:rPr>
        <w:t>Poluvr</w:t>
      </w:r>
      <w:r w:rsidR="00583386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 xml:space="preserve">eme eliminacije eplerenona je približno 3 do 6 sati. Prividni plazmatski klirens je približno 10 </w:t>
      </w:r>
      <w:r w:rsidR="00B9548C" w:rsidRPr="004071DE">
        <w:rPr>
          <w:rFonts w:eastAsia="TimesNewRoman"/>
          <w:sz w:val="22"/>
          <w:szCs w:val="22"/>
          <w:lang w:val="sr-Latn-ME"/>
        </w:rPr>
        <w:t>l</w:t>
      </w:r>
      <w:r w:rsidRPr="004071DE">
        <w:rPr>
          <w:rFonts w:eastAsia="TimesNewRoman"/>
          <w:sz w:val="22"/>
          <w:szCs w:val="22"/>
          <w:lang w:val="sr-Latn-ME"/>
        </w:rPr>
        <w:t>/h.</w:t>
      </w:r>
    </w:p>
    <w:p w14:paraId="79FCB9AF" w14:textId="77777777" w:rsidR="00D305D1" w:rsidRPr="004071DE" w:rsidRDefault="00D305D1" w:rsidP="00270C6F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  <w:u w:val="single"/>
          <w:lang w:val="sr-Latn-ME"/>
        </w:rPr>
      </w:pPr>
    </w:p>
    <w:p w14:paraId="035D4EF8" w14:textId="77777777" w:rsidR="004071DE" w:rsidRDefault="004071DE">
      <w:pPr>
        <w:tabs>
          <w:tab w:val="left" w:pos="284"/>
        </w:tabs>
        <w:jc w:val="both"/>
        <w:rPr>
          <w:rFonts w:eastAsia="TimesNewRoman"/>
          <w:bCs/>
          <w:sz w:val="22"/>
          <w:szCs w:val="22"/>
          <w:u w:val="single"/>
          <w:lang w:val="sr-Latn-ME"/>
        </w:rPr>
      </w:pPr>
    </w:p>
    <w:p w14:paraId="6F6C766B" w14:textId="19B301EB" w:rsidR="00D305D1" w:rsidRPr="004071DE" w:rsidRDefault="00D305D1">
      <w:pPr>
        <w:tabs>
          <w:tab w:val="left" w:pos="284"/>
        </w:tabs>
        <w:jc w:val="both"/>
        <w:rPr>
          <w:rFonts w:eastAsia="TimesNewRoman"/>
          <w:bCs/>
          <w:sz w:val="22"/>
          <w:szCs w:val="22"/>
          <w:u w:val="single"/>
          <w:lang w:val="sr-Latn-ME"/>
        </w:rPr>
      </w:pPr>
      <w:bookmarkStart w:id="0" w:name="_GoBack"/>
      <w:bookmarkEnd w:id="0"/>
      <w:r w:rsidRPr="004071DE">
        <w:rPr>
          <w:rFonts w:eastAsia="TimesNewRoman"/>
          <w:bCs/>
          <w:sz w:val="22"/>
          <w:szCs w:val="22"/>
          <w:u w:val="single"/>
          <w:lang w:val="sr-Latn-ME"/>
        </w:rPr>
        <w:lastRenderedPageBreak/>
        <w:t>Posebne populacije pacijenata</w:t>
      </w:r>
    </w:p>
    <w:p w14:paraId="3A64E3BF" w14:textId="77777777" w:rsidR="005D1DC3" w:rsidRPr="004071DE" w:rsidRDefault="005D1DC3">
      <w:pPr>
        <w:tabs>
          <w:tab w:val="left" w:pos="284"/>
        </w:tabs>
        <w:jc w:val="both"/>
        <w:rPr>
          <w:rFonts w:eastAsia="TimesNewRoman"/>
          <w:bCs/>
          <w:sz w:val="22"/>
          <w:szCs w:val="22"/>
          <w:u w:val="single"/>
          <w:lang w:val="sr-Latn-ME"/>
        </w:rPr>
      </w:pPr>
    </w:p>
    <w:p w14:paraId="2F07CCDA" w14:textId="77777777" w:rsidR="00D305D1" w:rsidRPr="004071DE" w:rsidRDefault="00D305D1" w:rsidP="00270C6F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/>
        </w:rPr>
      </w:pPr>
      <w:r w:rsidRPr="004071DE">
        <w:rPr>
          <w:i/>
          <w:iCs/>
          <w:sz w:val="22"/>
          <w:szCs w:val="22"/>
          <w:lang w:val="sr-Latn-ME"/>
        </w:rPr>
        <w:t xml:space="preserve">Starost, pol i rasa </w:t>
      </w:r>
    </w:p>
    <w:p w14:paraId="594A82E9" w14:textId="1A28A393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Farmakokinetika eplerenona u dozi od 100 mg jednom dnevno je ispitivana kod starijih osoba (≥ 65 godina), muškaraca i žena, kao i kod pripadnika crne rase. Farmakokinetika eplerenona se nije značajno razlikovala kod muškaraca i žena. U stanju ravnoteže kod starijih osoba C</w:t>
      </w:r>
      <w:r w:rsidRPr="004071DE">
        <w:rPr>
          <w:rFonts w:eastAsia="TimesNewRoman"/>
          <w:sz w:val="22"/>
          <w:szCs w:val="22"/>
          <w:vertAlign w:val="subscript"/>
          <w:lang w:val="sr-Latn-ME"/>
        </w:rPr>
        <w:t>max</w:t>
      </w:r>
      <w:r w:rsidRPr="004071DE">
        <w:rPr>
          <w:rFonts w:eastAsia="TimesNewRoman"/>
          <w:sz w:val="22"/>
          <w:szCs w:val="22"/>
          <w:lang w:val="sr-Latn-ME"/>
        </w:rPr>
        <w:t xml:space="preserve"> je bila veća za 22%, a PIK za 45% u poređenju sa mlađim osobama (od 18 do 45 godina). U stanju ravnoteže C</w:t>
      </w:r>
      <w:r w:rsidRPr="004071DE">
        <w:rPr>
          <w:rFonts w:eastAsia="TimesNewRoman"/>
          <w:sz w:val="22"/>
          <w:szCs w:val="22"/>
          <w:vertAlign w:val="subscript"/>
          <w:lang w:val="sr-Latn-ME"/>
        </w:rPr>
        <w:t>max</w:t>
      </w:r>
      <w:r w:rsidRPr="004071DE">
        <w:rPr>
          <w:rFonts w:eastAsia="TimesNewRoman"/>
          <w:sz w:val="22"/>
          <w:szCs w:val="22"/>
          <w:lang w:val="sr-Latn-ME"/>
        </w:rPr>
        <w:t xml:space="preserve"> je bila za 19% niža, a PIK za 26% niži kod pripadnika crne rase (vid</w:t>
      </w:r>
      <w:r w:rsidR="0087460E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>dio</w:t>
      </w:r>
      <w:r w:rsidRPr="004071DE">
        <w:rPr>
          <w:rFonts w:eastAsia="TimesNewRoman"/>
          <w:sz w:val="22"/>
          <w:szCs w:val="22"/>
          <w:lang w:val="sr-Latn-ME"/>
        </w:rPr>
        <w:t xml:space="preserve"> 4.2.).</w:t>
      </w:r>
    </w:p>
    <w:p w14:paraId="1A8D1BEF" w14:textId="77777777" w:rsidR="00D305D1" w:rsidRPr="004071DE" w:rsidRDefault="00D305D1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327559E5" w14:textId="77777777" w:rsidR="00D305D1" w:rsidRPr="004071DE" w:rsidRDefault="00D305D1" w:rsidP="00270C6F">
      <w:pPr>
        <w:autoSpaceDE w:val="0"/>
        <w:autoSpaceDN w:val="0"/>
        <w:adjustRightInd w:val="0"/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4071DE">
        <w:rPr>
          <w:rFonts w:eastAsia="TimesNewRoman"/>
          <w:i/>
          <w:iCs/>
          <w:sz w:val="22"/>
          <w:szCs w:val="22"/>
          <w:lang w:val="sr-Latn-ME"/>
        </w:rPr>
        <w:t xml:space="preserve">Pedijatrijska populacija </w:t>
      </w:r>
    </w:p>
    <w:p w14:paraId="5B067743" w14:textId="7FA27537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Populacioni farmakokinetički model za koncentracije eplerenona dobijen na osnovu dv</w:t>
      </w:r>
      <w:r w:rsidR="0087460E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 studije sprovedene kod 51 pedijatrijskog pacijenta sa hipertenzijom, ukazuje da t</w:t>
      </w:r>
      <w:r w:rsidR="0087460E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elesna masa ima statistički značajan efekat na volumen distribucije eplerenona, ali ne i na klirens. Vr</w:t>
      </w:r>
      <w:r w:rsidR="0087460E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ednosti volumena distribucije i maksimalne izloženosti kod pedijatrijskih pacijenata veće t</w:t>
      </w:r>
      <w:r w:rsidR="00E37316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elesne mase, su bile slične vr</w:t>
      </w:r>
      <w:r w:rsidR="00E37316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ednostima kod odraslih približne t</w:t>
      </w:r>
      <w:r w:rsidR="00E37316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elesne mase. Kod pacijenata t</w:t>
      </w:r>
      <w:r w:rsidR="00E37316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elesne mase manje od 45 kg, volumen distribucije je oko 40% niži dok je maksimalna izloženost veća nego kod odraslih pacijenata.</w:t>
      </w:r>
    </w:p>
    <w:p w14:paraId="4BA39F0E" w14:textId="5C20D641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Početne doze eplerenona su bile 25 mg jednom dnevno kod pedijatrijskih pacijenata i povećavale se na 25mg</w:t>
      </w:r>
      <w:r w:rsidR="00C67F28" w:rsidRPr="004071DE">
        <w:rPr>
          <w:rFonts w:eastAsia="TimesNewRoman"/>
          <w:sz w:val="22"/>
          <w:szCs w:val="22"/>
          <w:lang w:val="sr-Latn-ME"/>
        </w:rPr>
        <w:t xml:space="preserve"> </w:t>
      </w:r>
      <w:r w:rsidRPr="004071DE">
        <w:rPr>
          <w:rFonts w:eastAsia="TimesNewRoman"/>
          <w:sz w:val="22"/>
          <w:szCs w:val="22"/>
          <w:lang w:val="sr-Latn-ME"/>
        </w:rPr>
        <w:t>dva puta dnevno nakon dv</w:t>
      </w:r>
      <w:r w:rsidR="00E37316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 ned</w:t>
      </w:r>
      <w:r w:rsidR="00E37316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elje, sve do 50 mg dva puta dnevno, ukoliko je bilo klinički indikovano. Pri</w:t>
      </w:r>
      <w:r w:rsidR="00C67F28" w:rsidRPr="004071DE">
        <w:rPr>
          <w:rFonts w:eastAsia="TimesNewRoman"/>
          <w:sz w:val="22"/>
          <w:szCs w:val="22"/>
          <w:lang w:val="sr-Latn-ME"/>
        </w:rPr>
        <w:t xml:space="preserve"> </w:t>
      </w:r>
      <w:r w:rsidRPr="004071DE">
        <w:rPr>
          <w:rFonts w:eastAsia="TimesNewRoman"/>
          <w:sz w:val="22"/>
          <w:szCs w:val="22"/>
          <w:lang w:val="sr-Latn-ME"/>
        </w:rPr>
        <w:t>ovim dozama, najveća zab</w:t>
      </w:r>
      <w:r w:rsidR="00E37316" w:rsidRPr="004071DE">
        <w:rPr>
          <w:rFonts w:eastAsia="TimesNewRoman"/>
          <w:sz w:val="22"/>
          <w:szCs w:val="22"/>
          <w:lang w:val="sr-Latn-ME"/>
        </w:rPr>
        <w:t>i</w:t>
      </w:r>
      <w:r w:rsidRPr="004071DE">
        <w:rPr>
          <w:rFonts w:eastAsia="TimesNewRoman"/>
          <w:sz w:val="22"/>
          <w:szCs w:val="22"/>
          <w:lang w:val="sr-Latn-ME"/>
        </w:rPr>
        <w:t>l</w:t>
      </w:r>
      <w:r w:rsidR="00E37316" w:rsidRPr="004071DE">
        <w:rPr>
          <w:rFonts w:eastAsia="TimesNewRoman"/>
          <w:sz w:val="22"/>
          <w:szCs w:val="22"/>
          <w:lang w:val="sr-Latn-ME"/>
        </w:rPr>
        <w:t>j</w:t>
      </w:r>
      <w:r w:rsidR="00453487" w:rsidRPr="004071DE">
        <w:rPr>
          <w:rFonts w:eastAsia="TimesNewRoman"/>
          <w:sz w:val="22"/>
          <w:szCs w:val="22"/>
          <w:lang w:val="sr-Latn-ME"/>
        </w:rPr>
        <w:t>e</w:t>
      </w:r>
      <w:r w:rsidRPr="004071DE">
        <w:rPr>
          <w:rFonts w:eastAsia="TimesNewRoman"/>
          <w:sz w:val="22"/>
          <w:szCs w:val="22"/>
          <w:lang w:val="sr-Latn-ME"/>
        </w:rPr>
        <w:t>žena koncentracija eplerenona kod pedijatrijskih pacijenata nije bila značajno</w:t>
      </w:r>
      <w:r w:rsidR="00C67F28" w:rsidRPr="004071DE">
        <w:rPr>
          <w:rFonts w:eastAsia="TimesNewRoman"/>
          <w:sz w:val="22"/>
          <w:szCs w:val="22"/>
          <w:lang w:val="sr-Latn-ME"/>
        </w:rPr>
        <w:t xml:space="preserve"> </w:t>
      </w:r>
      <w:r w:rsidRPr="004071DE">
        <w:rPr>
          <w:rFonts w:eastAsia="TimesNewRoman"/>
          <w:sz w:val="22"/>
          <w:szCs w:val="22"/>
          <w:lang w:val="sr-Latn-ME"/>
        </w:rPr>
        <w:t>veća od koncentracija kod odraslih za početnom dozom od 50 mg jednom dnevno.</w:t>
      </w:r>
    </w:p>
    <w:p w14:paraId="5F19C85B" w14:textId="77777777" w:rsidR="00D305D1" w:rsidRPr="004071DE" w:rsidRDefault="00D305D1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7B2836F4" w14:textId="77777777" w:rsidR="00D305D1" w:rsidRPr="004071DE" w:rsidRDefault="00D305D1" w:rsidP="00270C6F">
      <w:pPr>
        <w:autoSpaceDE w:val="0"/>
        <w:autoSpaceDN w:val="0"/>
        <w:adjustRightInd w:val="0"/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4071DE">
        <w:rPr>
          <w:rFonts w:eastAsia="TimesNewRoman"/>
          <w:i/>
          <w:iCs/>
          <w:sz w:val="22"/>
          <w:szCs w:val="22"/>
          <w:lang w:val="sr-Latn-ME"/>
        </w:rPr>
        <w:t>Insuficijencija bubrega</w:t>
      </w:r>
    </w:p>
    <w:p w14:paraId="50D11E0F" w14:textId="68C5913B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Farmakokinetika eplerenona je bila ispitivana kod pacijenata sa različitim stepenom renalne insuficijencije i kod pacijenata koji su bili podvrgnuti hemodijalizi. U poređenju sa kontrolnim ispitanicima PIK u stanju ravnoteže i C</w:t>
      </w:r>
      <w:r w:rsidRPr="004071DE">
        <w:rPr>
          <w:rFonts w:eastAsia="TimesNewRoman"/>
          <w:sz w:val="22"/>
          <w:szCs w:val="22"/>
          <w:vertAlign w:val="subscript"/>
          <w:lang w:val="sr-Latn-ME"/>
        </w:rPr>
        <w:t>max</w:t>
      </w:r>
      <w:r w:rsidRPr="004071DE">
        <w:rPr>
          <w:rFonts w:eastAsia="TimesNewRoman"/>
          <w:sz w:val="22"/>
          <w:szCs w:val="22"/>
          <w:lang w:val="sr-Latn-ME"/>
        </w:rPr>
        <w:t xml:space="preserve"> su bili povećani za 38% i 24% kod pacijenata sa jako izraženim oštećenjem bubrežne funkcije, a smanjeni za 26% i 3% kod pacijenata koji su bili podvrgnuti hemodijalizi. Nije zapažena korelacija između plazmatskog klirensa eplerenona i klirensa kreatinina. Eplerenon se ne uklanja hemodijalizom (vid</w:t>
      </w:r>
      <w:r w:rsidR="00453487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>dio</w:t>
      </w:r>
      <w:r w:rsidRPr="004071DE">
        <w:rPr>
          <w:rFonts w:eastAsia="TimesNewRoman"/>
          <w:sz w:val="22"/>
          <w:szCs w:val="22"/>
          <w:lang w:val="sr-Latn-ME"/>
        </w:rPr>
        <w:t xml:space="preserve"> 4.4).</w:t>
      </w:r>
    </w:p>
    <w:p w14:paraId="017B0330" w14:textId="77777777" w:rsidR="00D305D1" w:rsidRPr="004071DE" w:rsidRDefault="00D305D1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673604D4" w14:textId="77777777" w:rsidR="00D305D1" w:rsidRPr="004071DE" w:rsidRDefault="00D305D1" w:rsidP="00270C6F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/>
        </w:rPr>
      </w:pPr>
      <w:r w:rsidRPr="004071DE">
        <w:rPr>
          <w:i/>
          <w:iCs/>
          <w:sz w:val="22"/>
          <w:szCs w:val="22"/>
          <w:lang w:val="sr-Latn-ME"/>
        </w:rPr>
        <w:t>Insuficijencija jetre</w:t>
      </w:r>
    </w:p>
    <w:p w14:paraId="1E64224B" w14:textId="4FA656D6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Farmakokinetika eplerenona u dozi od 400 mg ispitivana je kod pacijenata sa um</w:t>
      </w:r>
      <w:r w:rsidR="00DE32E1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erenim oštećenjem funkcije jetre (</w:t>
      </w:r>
      <w:r w:rsidRPr="004071DE">
        <w:rPr>
          <w:i/>
          <w:iCs/>
          <w:sz w:val="22"/>
          <w:szCs w:val="22"/>
          <w:lang w:val="sr-Latn-ME"/>
        </w:rPr>
        <w:t xml:space="preserve">Child-Pugh </w:t>
      </w:r>
      <w:r w:rsidRPr="004071DE">
        <w:rPr>
          <w:rFonts w:eastAsia="TimesNewRoman"/>
          <w:sz w:val="22"/>
          <w:szCs w:val="22"/>
          <w:lang w:val="sr-Latn-ME"/>
        </w:rPr>
        <w:t>klasa B) u poređenju sa zdravim osobama. Vr</w:t>
      </w:r>
      <w:r w:rsidR="00DE32E1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ednosti C</w:t>
      </w:r>
      <w:r w:rsidRPr="004071DE">
        <w:rPr>
          <w:rFonts w:eastAsia="TimesNewRoman"/>
          <w:sz w:val="22"/>
          <w:szCs w:val="22"/>
          <w:vertAlign w:val="subscript"/>
          <w:lang w:val="sr-Latn-ME"/>
        </w:rPr>
        <w:t>max</w:t>
      </w:r>
      <w:r w:rsidRPr="004071DE">
        <w:rPr>
          <w:rFonts w:eastAsia="TimesNewRoman"/>
          <w:sz w:val="22"/>
          <w:szCs w:val="22"/>
          <w:lang w:val="sr-Latn-ME"/>
        </w:rPr>
        <w:t xml:space="preserve"> i PIK u stanju ravnoteže su bile su povišene za 3,6% i 42% (vid</w:t>
      </w:r>
      <w:r w:rsidR="00DE32E1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>dio</w:t>
      </w:r>
      <w:r w:rsidRPr="004071DE">
        <w:rPr>
          <w:rFonts w:eastAsia="TimesNewRoman"/>
          <w:sz w:val="22"/>
          <w:szCs w:val="22"/>
          <w:lang w:val="sr-Latn-ME"/>
        </w:rPr>
        <w:t xml:space="preserve"> 4.2). Pošto prim</w:t>
      </w:r>
      <w:r w:rsidR="00DE32E1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ena eplerenona nije ispitana kod pacijenata sa teškim oštećenjem jetre, eplerenon je kontraindikovan kod ove grupe pacijenata (vid</w:t>
      </w:r>
      <w:r w:rsidR="00DE32E1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 xml:space="preserve">eti </w:t>
      </w:r>
      <w:r w:rsidR="00280578" w:rsidRPr="004071DE">
        <w:rPr>
          <w:rFonts w:eastAsia="TimesNewRoman"/>
          <w:sz w:val="22"/>
          <w:szCs w:val="22"/>
          <w:lang w:val="sr-Latn-ME"/>
        </w:rPr>
        <w:t>dio</w:t>
      </w:r>
      <w:r w:rsidRPr="004071DE">
        <w:rPr>
          <w:rFonts w:eastAsia="TimesNewRoman"/>
          <w:sz w:val="22"/>
          <w:szCs w:val="22"/>
          <w:lang w:val="sr-Latn-ME"/>
        </w:rPr>
        <w:t xml:space="preserve"> 4.3).</w:t>
      </w:r>
    </w:p>
    <w:p w14:paraId="02845E0F" w14:textId="77777777" w:rsidR="00D305D1" w:rsidRPr="004071DE" w:rsidRDefault="00D305D1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2B190B84" w14:textId="77777777" w:rsidR="00D305D1" w:rsidRPr="004071DE" w:rsidRDefault="00D305D1" w:rsidP="00270C6F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/>
        </w:rPr>
      </w:pPr>
      <w:r w:rsidRPr="004071DE">
        <w:rPr>
          <w:i/>
          <w:iCs/>
          <w:sz w:val="22"/>
          <w:szCs w:val="22"/>
          <w:lang w:val="sr-Latn-ME"/>
        </w:rPr>
        <w:t xml:space="preserve">Insuficijencija srca </w:t>
      </w:r>
    </w:p>
    <w:p w14:paraId="7ADB84EB" w14:textId="41BC65FA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Farmakokinetika eplerenona u dozi od 50 mg bila je ispitivana kod pacijenata sa srčanom insuficijencijom (NYHA klasa II-IV). U poređenju sa zdravim osobama istog uzrasta, t</w:t>
      </w:r>
      <w:r w:rsidR="00DE32E1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elesne mase i pola, vr</w:t>
      </w:r>
      <w:r w:rsidR="00DE32E1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ednosti PIK i C</w:t>
      </w:r>
      <w:r w:rsidRPr="004071DE">
        <w:rPr>
          <w:rFonts w:eastAsia="TimesNewRoman"/>
          <w:sz w:val="22"/>
          <w:szCs w:val="22"/>
          <w:vertAlign w:val="subscript"/>
          <w:lang w:val="sr-Latn-ME"/>
        </w:rPr>
        <w:t>max</w:t>
      </w:r>
      <w:r w:rsidRPr="004071DE">
        <w:rPr>
          <w:rFonts w:eastAsia="TimesNewRoman"/>
          <w:sz w:val="22"/>
          <w:szCs w:val="22"/>
          <w:lang w:val="sr-Latn-ME"/>
        </w:rPr>
        <w:t xml:space="preserve"> u stanju ravnoteže kod pacijenata sa srčanom insuficijencijom bile su za 38 % i 30% veće. U skladu sa ovim rezultatima, populaciona farmakokinetička analiza eplerenona koja se zasnivala na subpopulaciji pacijenata iz studije </w:t>
      </w:r>
      <w:r w:rsidRPr="004071DE">
        <w:rPr>
          <w:i/>
          <w:iCs/>
          <w:sz w:val="22"/>
          <w:szCs w:val="22"/>
          <w:lang w:val="sr-Latn-ME"/>
        </w:rPr>
        <w:t xml:space="preserve">EPHESUS </w:t>
      </w:r>
      <w:r w:rsidRPr="004071DE">
        <w:rPr>
          <w:rFonts w:eastAsia="TimesNewRoman"/>
          <w:sz w:val="22"/>
          <w:szCs w:val="22"/>
          <w:lang w:val="sr-Latn-ME"/>
        </w:rPr>
        <w:t>je ukazala da je klirens eplerenona kod pacijenata sa srčanom insuficijencijom bio sličan onome kod zdravih starijih osoba.</w:t>
      </w:r>
    </w:p>
    <w:p w14:paraId="585F2DAA" w14:textId="77777777" w:rsidR="0072020E" w:rsidRPr="004071DE" w:rsidRDefault="0072020E" w:rsidP="00270C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67BEBA" w14:textId="77777777" w:rsidR="0072020E" w:rsidRPr="004071DE" w:rsidRDefault="0072020E" w:rsidP="00270C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 xml:space="preserve">5.3. </w:t>
      </w:r>
      <w:r w:rsidR="00480FB1" w:rsidRPr="004071DE">
        <w:rPr>
          <w:b/>
          <w:bCs/>
          <w:sz w:val="22"/>
          <w:szCs w:val="22"/>
          <w:lang w:val="sr-Latn-ME"/>
        </w:rPr>
        <w:tab/>
      </w:r>
      <w:r w:rsidRPr="004071DE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650CDBF4" w14:textId="77777777" w:rsidR="00836B35" w:rsidRPr="004071DE" w:rsidRDefault="00836B35" w:rsidP="00270C6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8A566C" w14:textId="33A20883" w:rsidR="00D305D1" w:rsidRPr="004071DE" w:rsidRDefault="00D305D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Pretklinička ispitivanja bezb</w:t>
      </w:r>
      <w:r w:rsidR="000A0825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ednosne farmakologije, genotoksičnosti, karcinogenog potencijala i</w:t>
      </w:r>
    </w:p>
    <w:p w14:paraId="7F224C9D" w14:textId="77777777" w:rsidR="00D305D1" w:rsidRPr="004071DE" w:rsidRDefault="00D305D1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 xml:space="preserve">reproduktivne toksičnosti nisu otkrila posebne štetne efekte eplerenona za ljude. </w:t>
      </w:r>
    </w:p>
    <w:p w14:paraId="61E22C01" w14:textId="77777777" w:rsidR="00D305D1" w:rsidRPr="004071DE" w:rsidRDefault="00D305D1" w:rsidP="00270C6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3CBEFDB4" w14:textId="409B1E77" w:rsidR="00D305D1" w:rsidRPr="004071DE" w:rsidRDefault="00D305D1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4071DE">
        <w:rPr>
          <w:rFonts w:eastAsia="TimesNewRoman"/>
          <w:sz w:val="22"/>
          <w:szCs w:val="22"/>
          <w:lang w:val="sr-Latn-ME"/>
        </w:rPr>
        <w:t>U studijama toksičnosti sa ponovljenim dozama l</w:t>
      </w:r>
      <w:r w:rsidR="000A0825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eka zapažena je atrofija prostate kod pacova i pasa prilikom prim</w:t>
      </w:r>
      <w:r w:rsidR="000A0825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ene doza koje su bile nešto veće od onih koje se prim</w:t>
      </w:r>
      <w:r w:rsidR="000A0825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enjuju u kliničkoj praksi. Međutim, te prom</w:t>
      </w:r>
      <w:r w:rsidR="000A0825" w:rsidRPr="004071DE">
        <w:rPr>
          <w:rFonts w:eastAsia="TimesNewRoman"/>
          <w:sz w:val="22"/>
          <w:szCs w:val="22"/>
          <w:lang w:val="sr-Latn-ME"/>
        </w:rPr>
        <w:t>j</w:t>
      </w:r>
      <w:r w:rsidRPr="004071DE">
        <w:rPr>
          <w:rFonts w:eastAsia="TimesNewRoman"/>
          <w:sz w:val="22"/>
          <w:szCs w:val="22"/>
          <w:lang w:val="sr-Latn-ME"/>
        </w:rPr>
        <w:t>ene na prostati ni</w:t>
      </w:r>
      <w:r w:rsidR="0075516F" w:rsidRPr="004071DE">
        <w:rPr>
          <w:rFonts w:eastAsia="TimesNewRoman"/>
          <w:sz w:val="22"/>
          <w:szCs w:val="22"/>
          <w:lang w:val="sr-Latn-ME"/>
        </w:rPr>
        <w:t>je</w:t>
      </w:r>
      <w:r w:rsidRPr="004071DE">
        <w:rPr>
          <w:rFonts w:eastAsia="TimesNewRoman"/>
          <w:sz w:val="22"/>
          <w:szCs w:val="22"/>
          <w:lang w:val="sr-Latn-ME"/>
        </w:rPr>
        <w:t>su bile udružene sa funkcionalnim poremećajima. Njihov klinički značaj još uv</w:t>
      </w:r>
      <w:r w:rsidR="000A0825" w:rsidRPr="004071DE">
        <w:rPr>
          <w:rFonts w:eastAsia="TimesNewRoman"/>
          <w:sz w:val="22"/>
          <w:szCs w:val="22"/>
          <w:lang w:val="sr-Latn-ME"/>
        </w:rPr>
        <w:t>ij</w:t>
      </w:r>
      <w:r w:rsidRPr="004071DE">
        <w:rPr>
          <w:rFonts w:eastAsia="TimesNewRoman"/>
          <w:sz w:val="22"/>
          <w:szCs w:val="22"/>
          <w:lang w:val="sr-Latn-ME"/>
        </w:rPr>
        <w:t>ek je nepoznat.</w:t>
      </w:r>
    </w:p>
    <w:p w14:paraId="0617A5FB" w14:textId="77777777" w:rsidR="00D305D1" w:rsidRPr="004071DE" w:rsidRDefault="00D305D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95F1F8B" w14:textId="77777777" w:rsidR="00396DFD" w:rsidRPr="004071DE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A60AE73" w14:textId="77777777" w:rsidR="004071DE" w:rsidRDefault="004071D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DE19E75" w14:textId="77777777" w:rsidR="004071DE" w:rsidRDefault="004071D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149F3A9" w14:textId="7202BB8A" w:rsidR="0072020E" w:rsidRPr="004071D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 xml:space="preserve">6. </w:t>
      </w:r>
      <w:r w:rsidR="00480FB1" w:rsidRPr="004071DE">
        <w:rPr>
          <w:b/>
          <w:bCs/>
          <w:sz w:val="22"/>
          <w:szCs w:val="22"/>
          <w:lang w:val="sr-Latn-ME"/>
        </w:rPr>
        <w:tab/>
      </w:r>
      <w:r w:rsidRPr="004071DE">
        <w:rPr>
          <w:b/>
          <w:bCs/>
          <w:sz w:val="22"/>
          <w:szCs w:val="22"/>
          <w:lang w:val="sr-Latn-ME"/>
        </w:rPr>
        <w:t>FARMACEUTSKI PODACI</w:t>
      </w:r>
    </w:p>
    <w:p w14:paraId="5D155DE7" w14:textId="77777777" w:rsidR="00836B35" w:rsidRPr="004071DE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7C05A03" w14:textId="11936641" w:rsidR="0072020E" w:rsidRPr="004071D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 xml:space="preserve">6.1. </w:t>
      </w:r>
      <w:r w:rsidR="00480FB1" w:rsidRPr="004071DE">
        <w:rPr>
          <w:b/>
          <w:bCs/>
          <w:sz w:val="22"/>
          <w:szCs w:val="22"/>
          <w:lang w:val="sr-Latn-ME"/>
        </w:rPr>
        <w:tab/>
      </w:r>
      <w:r w:rsidRPr="004071DE">
        <w:rPr>
          <w:b/>
          <w:bCs/>
          <w:sz w:val="22"/>
          <w:szCs w:val="22"/>
          <w:lang w:val="sr-Latn-ME"/>
        </w:rPr>
        <w:t>Lista pomoćnih supstanci</w:t>
      </w:r>
      <w:r w:rsidR="002E0135" w:rsidRPr="004071DE">
        <w:rPr>
          <w:b/>
          <w:bCs/>
          <w:sz w:val="22"/>
          <w:szCs w:val="22"/>
          <w:lang w:val="sr-Latn-ME"/>
        </w:rPr>
        <w:t xml:space="preserve"> (ekscipijenasa)</w:t>
      </w:r>
    </w:p>
    <w:p w14:paraId="5EC67619" w14:textId="77777777" w:rsidR="00D305D1" w:rsidRPr="004071DE" w:rsidRDefault="00D305D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429E7B9" w14:textId="77777777" w:rsidR="00D305D1" w:rsidRPr="004071DE" w:rsidRDefault="00D305D1" w:rsidP="00D305D1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>Jezgro tablete:</w:t>
      </w:r>
    </w:p>
    <w:p w14:paraId="46AB6445" w14:textId="29D8C16B" w:rsidR="00D305D1" w:rsidRPr="004071DE" w:rsidRDefault="00D305D1" w:rsidP="00D305D1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071DE">
        <w:rPr>
          <w:bCs/>
          <w:sz w:val="22"/>
          <w:szCs w:val="22"/>
          <w:lang w:val="sr-Latn-ME"/>
        </w:rPr>
        <w:t>laktoza monohidrat;</w:t>
      </w:r>
    </w:p>
    <w:p w14:paraId="38329085" w14:textId="77777777" w:rsidR="00D305D1" w:rsidRPr="004071DE" w:rsidRDefault="00D305D1" w:rsidP="00D305D1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071DE">
        <w:rPr>
          <w:bCs/>
          <w:sz w:val="22"/>
          <w:szCs w:val="22"/>
          <w:lang w:val="sr-Latn-ME"/>
        </w:rPr>
        <w:t>celuloza, mikrokristalna;</w:t>
      </w:r>
    </w:p>
    <w:p w14:paraId="06DF15E9" w14:textId="5E3F98B3" w:rsidR="00D305D1" w:rsidRPr="004071DE" w:rsidRDefault="00D305D1" w:rsidP="00D305D1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071DE">
        <w:rPr>
          <w:bCs/>
          <w:sz w:val="22"/>
          <w:szCs w:val="22"/>
          <w:lang w:val="sr-Latn-ME"/>
        </w:rPr>
        <w:t>hipromeloza</w:t>
      </w:r>
      <w:r w:rsidR="009D4CB9" w:rsidRPr="004071DE">
        <w:rPr>
          <w:bCs/>
          <w:sz w:val="22"/>
          <w:szCs w:val="22"/>
          <w:lang w:val="sr-Latn-ME"/>
        </w:rPr>
        <w:t xml:space="preserve"> (Benecel E3)</w:t>
      </w:r>
      <w:r w:rsidRPr="004071DE">
        <w:rPr>
          <w:bCs/>
          <w:sz w:val="22"/>
          <w:szCs w:val="22"/>
          <w:lang w:val="sr-Latn-ME"/>
        </w:rPr>
        <w:t>;</w:t>
      </w:r>
    </w:p>
    <w:p w14:paraId="37584C15" w14:textId="7A82D72D" w:rsidR="00D305D1" w:rsidRPr="004071DE" w:rsidRDefault="00D305D1" w:rsidP="00D305D1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071DE">
        <w:rPr>
          <w:bCs/>
          <w:sz w:val="22"/>
          <w:szCs w:val="22"/>
          <w:lang w:val="sr-Latn-ME"/>
        </w:rPr>
        <w:t>kroskarmeloza natrijum</w:t>
      </w:r>
      <w:r w:rsidR="009D4CB9" w:rsidRPr="004071DE">
        <w:rPr>
          <w:bCs/>
          <w:sz w:val="22"/>
          <w:szCs w:val="22"/>
          <w:lang w:val="sr-Latn-ME"/>
        </w:rPr>
        <w:t xml:space="preserve"> (tip A)</w:t>
      </w:r>
      <w:r w:rsidRPr="004071DE">
        <w:rPr>
          <w:bCs/>
          <w:sz w:val="22"/>
          <w:szCs w:val="22"/>
          <w:lang w:val="sr-Latn-ME"/>
        </w:rPr>
        <w:t>;</w:t>
      </w:r>
    </w:p>
    <w:p w14:paraId="516BA38F" w14:textId="77777777" w:rsidR="00D305D1" w:rsidRPr="004071DE" w:rsidRDefault="00D305D1" w:rsidP="00D305D1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071DE">
        <w:rPr>
          <w:bCs/>
          <w:sz w:val="22"/>
          <w:szCs w:val="22"/>
          <w:lang w:val="sr-Latn-ME"/>
        </w:rPr>
        <w:t>talk;</w:t>
      </w:r>
    </w:p>
    <w:p w14:paraId="296E8E4D" w14:textId="58823D11" w:rsidR="00D305D1" w:rsidRPr="004071DE" w:rsidRDefault="00D305D1" w:rsidP="00D305D1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071DE">
        <w:rPr>
          <w:bCs/>
          <w:sz w:val="22"/>
          <w:szCs w:val="22"/>
          <w:lang w:val="sr-Latn-ME"/>
        </w:rPr>
        <w:t>magnezijum stearat.</w:t>
      </w:r>
    </w:p>
    <w:p w14:paraId="1155E24A" w14:textId="77777777" w:rsidR="00D305D1" w:rsidRPr="004071DE" w:rsidRDefault="00D305D1" w:rsidP="00D305D1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26D6DAD8" w14:textId="1051B05F" w:rsidR="00D305D1" w:rsidRPr="004071DE" w:rsidRDefault="00D305D1" w:rsidP="00D305D1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>Film tablete</w:t>
      </w:r>
      <w:r w:rsidR="0084282E" w:rsidRPr="004071DE">
        <w:rPr>
          <w:b/>
          <w:bCs/>
          <w:sz w:val="22"/>
          <w:szCs w:val="22"/>
          <w:lang w:val="sr-Latn-ME"/>
        </w:rPr>
        <w:t xml:space="preserve"> (Opadry Yellow 02F220004)</w:t>
      </w:r>
      <w:r w:rsidRPr="004071DE">
        <w:rPr>
          <w:b/>
          <w:bCs/>
          <w:sz w:val="22"/>
          <w:szCs w:val="22"/>
          <w:lang w:val="sr-Latn-ME"/>
        </w:rPr>
        <w:t>:</w:t>
      </w:r>
    </w:p>
    <w:p w14:paraId="1B965F85" w14:textId="77777777" w:rsidR="00D305D1" w:rsidRPr="004071DE" w:rsidRDefault="00D305D1" w:rsidP="00D305D1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071DE">
        <w:rPr>
          <w:bCs/>
          <w:sz w:val="22"/>
          <w:szCs w:val="22"/>
          <w:lang w:val="sr-Latn-ME"/>
        </w:rPr>
        <w:t>Macrogol 6000 (E 1521);</w:t>
      </w:r>
    </w:p>
    <w:p w14:paraId="72DB3CFE" w14:textId="0C75076B" w:rsidR="00D305D1" w:rsidRPr="004071DE" w:rsidRDefault="009D4CB9" w:rsidP="00D305D1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071DE">
        <w:rPr>
          <w:bCs/>
          <w:sz w:val="22"/>
          <w:szCs w:val="22"/>
          <w:lang w:val="sr-Latn-ME"/>
        </w:rPr>
        <w:t xml:space="preserve">HPMC </w:t>
      </w:r>
      <w:r w:rsidR="00D305D1" w:rsidRPr="004071DE">
        <w:rPr>
          <w:bCs/>
          <w:sz w:val="22"/>
          <w:szCs w:val="22"/>
          <w:lang w:val="sr-Latn-ME"/>
        </w:rPr>
        <w:t>2910</w:t>
      </w:r>
      <w:r w:rsidRPr="004071DE">
        <w:rPr>
          <w:bCs/>
          <w:sz w:val="22"/>
          <w:szCs w:val="22"/>
          <w:lang w:val="sr-Latn-ME"/>
        </w:rPr>
        <w:t xml:space="preserve">/ hipromeloza </w:t>
      </w:r>
      <w:r w:rsidR="00D305D1" w:rsidRPr="004071DE">
        <w:rPr>
          <w:bCs/>
          <w:sz w:val="22"/>
          <w:szCs w:val="22"/>
          <w:lang w:val="sr-Latn-ME"/>
        </w:rPr>
        <w:t>5cP (E 464);</w:t>
      </w:r>
    </w:p>
    <w:p w14:paraId="5FBFC7A5" w14:textId="29D8EB6C" w:rsidR="00D305D1" w:rsidRPr="004071DE" w:rsidRDefault="00D305D1" w:rsidP="00D305D1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071DE">
        <w:rPr>
          <w:bCs/>
          <w:sz w:val="22"/>
          <w:szCs w:val="22"/>
          <w:lang w:val="sr-Latn-ME"/>
        </w:rPr>
        <w:t>talk</w:t>
      </w:r>
      <w:r w:rsidR="009D4CB9" w:rsidRPr="004071DE">
        <w:rPr>
          <w:sz w:val="22"/>
          <w:szCs w:val="22"/>
          <w:lang w:val="sr-Latn-ME"/>
        </w:rPr>
        <w:t xml:space="preserve"> </w:t>
      </w:r>
      <w:r w:rsidR="009D4CB9" w:rsidRPr="004071DE">
        <w:rPr>
          <w:bCs/>
          <w:sz w:val="22"/>
          <w:szCs w:val="22"/>
          <w:lang w:val="sr-Latn-ME"/>
        </w:rPr>
        <w:t>(E553b)</w:t>
      </w:r>
      <w:r w:rsidRPr="004071DE">
        <w:rPr>
          <w:bCs/>
          <w:sz w:val="22"/>
          <w:szCs w:val="22"/>
          <w:lang w:val="sr-Latn-ME"/>
        </w:rPr>
        <w:t>;</w:t>
      </w:r>
    </w:p>
    <w:p w14:paraId="5B5AEA05" w14:textId="47B18741" w:rsidR="00D305D1" w:rsidRPr="004071DE" w:rsidRDefault="00D305D1" w:rsidP="00D305D1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071DE">
        <w:rPr>
          <w:bCs/>
          <w:sz w:val="22"/>
          <w:szCs w:val="22"/>
          <w:lang w:val="sr-Latn-ME"/>
        </w:rPr>
        <w:t>titan</w:t>
      </w:r>
      <w:r w:rsidR="00C67F28" w:rsidRPr="004071DE">
        <w:rPr>
          <w:bCs/>
          <w:sz w:val="22"/>
          <w:szCs w:val="22"/>
          <w:lang w:val="sr-Latn-ME"/>
        </w:rPr>
        <w:t xml:space="preserve"> </w:t>
      </w:r>
      <w:r w:rsidRPr="004071DE">
        <w:rPr>
          <w:bCs/>
          <w:sz w:val="22"/>
          <w:szCs w:val="22"/>
          <w:lang w:val="sr-Latn-ME"/>
        </w:rPr>
        <w:t>dioksid (E 171);</w:t>
      </w:r>
    </w:p>
    <w:p w14:paraId="49D09CEE" w14:textId="052A07E4" w:rsidR="00D305D1" w:rsidRPr="004071DE" w:rsidRDefault="00D305D1" w:rsidP="00D305D1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071DE">
        <w:rPr>
          <w:bCs/>
          <w:sz w:val="22"/>
          <w:szCs w:val="22"/>
          <w:lang w:val="sr-Latn-ME"/>
        </w:rPr>
        <w:t>gvožđe</w:t>
      </w:r>
      <w:r w:rsidR="00277844" w:rsidRPr="004071DE">
        <w:rPr>
          <w:bCs/>
          <w:sz w:val="22"/>
          <w:szCs w:val="22"/>
          <w:lang w:val="sr-Latn-ME"/>
        </w:rPr>
        <w:t xml:space="preserve"> </w:t>
      </w:r>
      <w:r w:rsidRPr="004071DE">
        <w:rPr>
          <w:bCs/>
          <w:sz w:val="22"/>
          <w:szCs w:val="22"/>
          <w:lang w:val="sr-Latn-ME"/>
        </w:rPr>
        <w:t>(III) oksid, crveni (E 172);</w:t>
      </w:r>
    </w:p>
    <w:p w14:paraId="63212B81" w14:textId="2D8E78ED" w:rsidR="00D305D1" w:rsidRPr="004071DE" w:rsidRDefault="00D305D1" w:rsidP="00D305D1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071DE">
        <w:rPr>
          <w:bCs/>
          <w:sz w:val="22"/>
          <w:szCs w:val="22"/>
          <w:lang w:val="sr-Latn-ME"/>
        </w:rPr>
        <w:t>gvožđe</w:t>
      </w:r>
      <w:r w:rsidR="00277844" w:rsidRPr="004071DE">
        <w:rPr>
          <w:bCs/>
          <w:sz w:val="22"/>
          <w:szCs w:val="22"/>
          <w:lang w:val="sr-Latn-ME"/>
        </w:rPr>
        <w:t xml:space="preserve"> </w:t>
      </w:r>
      <w:r w:rsidRPr="004071DE">
        <w:rPr>
          <w:bCs/>
          <w:sz w:val="22"/>
          <w:szCs w:val="22"/>
          <w:lang w:val="sr-Latn-ME"/>
        </w:rPr>
        <w:t>(III) oksid, žuti (E 172).</w:t>
      </w:r>
    </w:p>
    <w:p w14:paraId="4949D891" w14:textId="77777777" w:rsidR="0072020E" w:rsidRPr="004071D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1060459" w14:textId="77777777" w:rsidR="0072020E" w:rsidRPr="004071D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 xml:space="preserve">6.2. </w:t>
      </w:r>
      <w:r w:rsidR="00480FB1" w:rsidRPr="004071DE">
        <w:rPr>
          <w:b/>
          <w:bCs/>
          <w:sz w:val="22"/>
          <w:szCs w:val="22"/>
          <w:lang w:val="sr-Latn-ME"/>
        </w:rPr>
        <w:tab/>
      </w:r>
      <w:r w:rsidRPr="004071DE">
        <w:rPr>
          <w:b/>
          <w:bCs/>
          <w:sz w:val="22"/>
          <w:szCs w:val="22"/>
          <w:lang w:val="sr-Latn-ME"/>
        </w:rPr>
        <w:t>Inkompatibilnost</w:t>
      </w:r>
      <w:r w:rsidR="002846DB" w:rsidRPr="004071DE">
        <w:rPr>
          <w:b/>
          <w:bCs/>
          <w:sz w:val="22"/>
          <w:szCs w:val="22"/>
          <w:lang w:val="sr-Latn-ME"/>
        </w:rPr>
        <w:t>i</w:t>
      </w:r>
    </w:p>
    <w:p w14:paraId="0FC33314" w14:textId="77777777" w:rsidR="00D305D1" w:rsidRPr="004071DE" w:rsidRDefault="00D305D1" w:rsidP="00D305D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E273E67" w14:textId="28F95144" w:rsidR="00D305D1" w:rsidRPr="004071DE" w:rsidRDefault="00D305D1" w:rsidP="00D305D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71DE">
        <w:rPr>
          <w:sz w:val="22"/>
          <w:szCs w:val="22"/>
          <w:lang w:val="sr-Latn-ME"/>
        </w:rPr>
        <w:t>Nije prim</w:t>
      </w:r>
      <w:r w:rsidR="000A0825" w:rsidRPr="004071DE">
        <w:rPr>
          <w:sz w:val="22"/>
          <w:szCs w:val="22"/>
          <w:lang w:val="sr-Latn-ME"/>
        </w:rPr>
        <w:t>j</w:t>
      </w:r>
      <w:r w:rsidRPr="004071DE">
        <w:rPr>
          <w:sz w:val="22"/>
          <w:szCs w:val="22"/>
          <w:lang w:val="sr-Latn-ME"/>
        </w:rPr>
        <w:t>enljivo.</w:t>
      </w:r>
    </w:p>
    <w:p w14:paraId="6291BD6C" w14:textId="77777777" w:rsidR="00D305D1" w:rsidRPr="004071DE" w:rsidRDefault="00D305D1" w:rsidP="00D305D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152BE6F" w14:textId="77777777" w:rsidR="0072020E" w:rsidRPr="004071D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>6.3.</w:t>
      </w:r>
      <w:r w:rsidR="00C05DF8" w:rsidRPr="004071DE">
        <w:rPr>
          <w:b/>
          <w:bCs/>
          <w:sz w:val="22"/>
          <w:szCs w:val="22"/>
          <w:lang w:val="sr-Latn-ME"/>
        </w:rPr>
        <w:t xml:space="preserve"> </w:t>
      </w:r>
      <w:r w:rsidR="00480FB1" w:rsidRPr="004071DE">
        <w:rPr>
          <w:b/>
          <w:bCs/>
          <w:sz w:val="22"/>
          <w:szCs w:val="22"/>
          <w:lang w:val="sr-Latn-ME"/>
        </w:rPr>
        <w:tab/>
      </w:r>
      <w:r w:rsidRPr="004071DE">
        <w:rPr>
          <w:b/>
          <w:bCs/>
          <w:sz w:val="22"/>
          <w:szCs w:val="22"/>
          <w:lang w:val="sr-Latn-ME"/>
        </w:rPr>
        <w:t>Rok upotrebe</w:t>
      </w:r>
    </w:p>
    <w:p w14:paraId="5D9E8C26" w14:textId="77777777" w:rsidR="00D305D1" w:rsidRPr="004071DE" w:rsidRDefault="00D305D1" w:rsidP="00D305D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D024D67" w14:textId="0794416C" w:rsidR="00D305D1" w:rsidRPr="004071DE" w:rsidRDefault="00D305D1" w:rsidP="00D305D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71DE">
        <w:rPr>
          <w:sz w:val="22"/>
          <w:szCs w:val="22"/>
          <w:lang w:val="sr-Latn-ME"/>
        </w:rPr>
        <w:t>3 godine.</w:t>
      </w:r>
    </w:p>
    <w:p w14:paraId="1E607414" w14:textId="77777777" w:rsidR="0072020E" w:rsidRPr="004071D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551EF3D" w14:textId="77777777" w:rsidR="0072020E" w:rsidRPr="004071D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 xml:space="preserve">6.4. </w:t>
      </w:r>
      <w:r w:rsidR="00480FB1" w:rsidRPr="004071DE">
        <w:rPr>
          <w:b/>
          <w:bCs/>
          <w:sz w:val="22"/>
          <w:szCs w:val="22"/>
          <w:lang w:val="sr-Latn-ME"/>
        </w:rPr>
        <w:tab/>
      </w:r>
      <w:r w:rsidRPr="004071DE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4071DE">
        <w:rPr>
          <w:b/>
          <w:bCs/>
          <w:sz w:val="22"/>
          <w:szCs w:val="22"/>
          <w:lang w:val="sr-Latn-ME"/>
        </w:rPr>
        <w:t xml:space="preserve"> lijeka</w:t>
      </w:r>
    </w:p>
    <w:p w14:paraId="41D03038" w14:textId="77777777" w:rsidR="00D305D1" w:rsidRPr="004071DE" w:rsidRDefault="00D305D1" w:rsidP="00D305D1">
      <w:pPr>
        <w:rPr>
          <w:bCs/>
          <w:sz w:val="22"/>
          <w:szCs w:val="22"/>
          <w:lang w:val="sr-Latn-ME"/>
        </w:rPr>
      </w:pPr>
    </w:p>
    <w:p w14:paraId="5911ABC2" w14:textId="0766A68B" w:rsidR="00D305D1" w:rsidRPr="004071DE" w:rsidRDefault="009D4CB9" w:rsidP="00D305D1">
      <w:pPr>
        <w:rPr>
          <w:bCs/>
          <w:sz w:val="22"/>
          <w:szCs w:val="22"/>
          <w:lang w:val="sr-Latn-ME"/>
        </w:rPr>
      </w:pPr>
      <w:r w:rsidRPr="004071DE">
        <w:rPr>
          <w:bCs/>
          <w:sz w:val="22"/>
          <w:szCs w:val="22"/>
          <w:lang w:val="sr-Latn-ME"/>
        </w:rPr>
        <w:t>Lijek n</w:t>
      </w:r>
      <w:r w:rsidR="00D305D1" w:rsidRPr="004071DE">
        <w:rPr>
          <w:bCs/>
          <w:sz w:val="22"/>
          <w:szCs w:val="22"/>
          <w:lang w:val="sr-Latn-ME"/>
        </w:rPr>
        <w:t>e zaht</w:t>
      </w:r>
      <w:r w:rsidRPr="004071DE">
        <w:rPr>
          <w:bCs/>
          <w:sz w:val="22"/>
          <w:szCs w:val="22"/>
          <w:lang w:val="sr-Latn-ME"/>
        </w:rPr>
        <w:t>i</w:t>
      </w:r>
      <w:r w:rsidR="00155797" w:rsidRPr="004071DE">
        <w:rPr>
          <w:bCs/>
          <w:sz w:val="22"/>
          <w:szCs w:val="22"/>
          <w:lang w:val="sr-Latn-ME"/>
        </w:rPr>
        <w:t>j</w:t>
      </w:r>
      <w:r w:rsidR="00D305D1" w:rsidRPr="004071DE">
        <w:rPr>
          <w:bCs/>
          <w:sz w:val="22"/>
          <w:szCs w:val="22"/>
          <w:lang w:val="sr-Latn-ME"/>
        </w:rPr>
        <w:t>eva posebn</w:t>
      </w:r>
      <w:r w:rsidRPr="004071DE">
        <w:rPr>
          <w:bCs/>
          <w:sz w:val="22"/>
          <w:szCs w:val="22"/>
          <w:lang w:val="sr-Latn-ME"/>
        </w:rPr>
        <w:t>e</w:t>
      </w:r>
      <w:r w:rsidR="00D305D1" w:rsidRPr="004071DE">
        <w:rPr>
          <w:bCs/>
          <w:sz w:val="22"/>
          <w:szCs w:val="22"/>
          <w:lang w:val="sr-Latn-ME"/>
        </w:rPr>
        <w:t xml:space="preserve"> uslov</w:t>
      </w:r>
      <w:r w:rsidRPr="004071DE">
        <w:rPr>
          <w:bCs/>
          <w:sz w:val="22"/>
          <w:szCs w:val="22"/>
          <w:lang w:val="sr-Latn-ME"/>
        </w:rPr>
        <w:t>e</w:t>
      </w:r>
      <w:r w:rsidR="00D305D1" w:rsidRPr="004071DE">
        <w:rPr>
          <w:bCs/>
          <w:sz w:val="22"/>
          <w:szCs w:val="22"/>
          <w:lang w:val="sr-Latn-ME"/>
        </w:rPr>
        <w:t xml:space="preserve"> čuvanja.</w:t>
      </w:r>
    </w:p>
    <w:p w14:paraId="6353FE67" w14:textId="77777777" w:rsidR="00EC2532" w:rsidRPr="004071DE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853B061" w14:textId="77777777" w:rsidR="0072020E" w:rsidRPr="004071D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 xml:space="preserve">6.5. </w:t>
      </w:r>
      <w:r w:rsidR="00480FB1" w:rsidRPr="004071DE">
        <w:rPr>
          <w:b/>
          <w:bCs/>
          <w:sz w:val="22"/>
          <w:szCs w:val="22"/>
          <w:lang w:val="sr-Latn-ME"/>
        </w:rPr>
        <w:tab/>
      </w:r>
      <w:r w:rsidR="002846DB" w:rsidRPr="004071DE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4071DE">
        <w:rPr>
          <w:b/>
          <w:bCs/>
          <w:sz w:val="22"/>
          <w:szCs w:val="22"/>
          <w:lang w:val="sr-Latn-ME"/>
        </w:rPr>
        <w:t>pakovanja</w:t>
      </w:r>
      <w:r w:rsidR="00C06864" w:rsidRPr="004071DE">
        <w:rPr>
          <w:b/>
          <w:bCs/>
          <w:sz w:val="22"/>
          <w:szCs w:val="22"/>
          <w:lang w:val="sr-Latn-ME"/>
        </w:rPr>
        <w:t xml:space="preserve"> </w:t>
      </w:r>
    </w:p>
    <w:p w14:paraId="4F233314" w14:textId="77777777" w:rsidR="00D305D1" w:rsidRPr="004071DE" w:rsidRDefault="00D305D1" w:rsidP="00D305D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0354B92" w14:textId="6B8A4869" w:rsidR="00D305D1" w:rsidRPr="004071DE" w:rsidRDefault="00D305D1" w:rsidP="00D305D1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4071DE">
        <w:rPr>
          <w:sz w:val="22"/>
          <w:szCs w:val="22"/>
          <w:u w:val="single"/>
          <w:lang w:val="sr-Latn-ME"/>
        </w:rPr>
        <w:t>Diupot, 25 mg, film tablet</w:t>
      </w:r>
      <w:r w:rsidR="00923FD3" w:rsidRPr="004071DE">
        <w:rPr>
          <w:sz w:val="22"/>
          <w:szCs w:val="22"/>
          <w:u w:val="single"/>
          <w:lang w:val="sr-Latn-ME"/>
        </w:rPr>
        <w:t>a</w:t>
      </w:r>
      <w:r w:rsidRPr="004071DE">
        <w:rPr>
          <w:sz w:val="22"/>
          <w:szCs w:val="22"/>
          <w:u w:val="single"/>
          <w:lang w:val="sr-Latn-ME"/>
        </w:rPr>
        <w:t xml:space="preserve"> </w:t>
      </w:r>
    </w:p>
    <w:p w14:paraId="4F9E2351" w14:textId="77777777" w:rsidR="00923FD3" w:rsidRPr="004071DE" w:rsidRDefault="00D305D1" w:rsidP="00D305D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71DE">
        <w:rPr>
          <w:sz w:val="22"/>
          <w:szCs w:val="22"/>
          <w:lang w:val="sr-Latn-ME"/>
        </w:rPr>
        <w:t xml:space="preserve">Unutrašnje pakovanje je </w:t>
      </w:r>
      <w:r w:rsidR="00923FD3" w:rsidRPr="004071DE">
        <w:rPr>
          <w:sz w:val="22"/>
          <w:szCs w:val="22"/>
          <w:lang w:val="sr-Latn-ME"/>
        </w:rPr>
        <w:t xml:space="preserve">bijeli neprovidni </w:t>
      </w:r>
      <w:r w:rsidRPr="004071DE">
        <w:rPr>
          <w:sz w:val="22"/>
          <w:szCs w:val="22"/>
          <w:lang w:val="sr-Latn-ME"/>
        </w:rPr>
        <w:t xml:space="preserve">PVC-Alu blister koji sadrži 10 film tableta. </w:t>
      </w:r>
    </w:p>
    <w:p w14:paraId="57A0FE26" w14:textId="4196127B" w:rsidR="00D305D1" w:rsidRPr="004071DE" w:rsidRDefault="00D305D1" w:rsidP="00D305D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71DE">
        <w:rPr>
          <w:sz w:val="22"/>
          <w:szCs w:val="22"/>
          <w:lang w:val="sr-Latn-ME"/>
        </w:rPr>
        <w:t>Spolj</w:t>
      </w:r>
      <w:r w:rsidR="00923FD3" w:rsidRPr="004071DE">
        <w:rPr>
          <w:sz w:val="22"/>
          <w:szCs w:val="22"/>
          <w:lang w:val="sr-Latn-ME"/>
        </w:rPr>
        <w:t>aš</w:t>
      </w:r>
      <w:r w:rsidRPr="004071DE">
        <w:rPr>
          <w:sz w:val="22"/>
          <w:szCs w:val="22"/>
          <w:lang w:val="sr-Latn-ME"/>
        </w:rPr>
        <w:t>nje pakovanje je složiva kartonska kutija u kojoj se nalaze 3 blistera (ukupno 30 film tableta) i Uputstvo za l</w:t>
      </w:r>
      <w:r w:rsidR="00155797" w:rsidRPr="004071DE">
        <w:rPr>
          <w:sz w:val="22"/>
          <w:szCs w:val="22"/>
          <w:lang w:val="sr-Latn-ME"/>
        </w:rPr>
        <w:t>ij</w:t>
      </w:r>
      <w:r w:rsidRPr="004071DE">
        <w:rPr>
          <w:sz w:val="22"/>
          <w:szCs w:val="22"/>
          <w:lang w:val="sr-Latn-ME"/>
        </w:rPr>
        <w:t>ek.</w:t>
      </w:r>
    </w:p>
    <w:p w14:paraId="4FCA64FA" w14:textId="77777777" w:rsidR="00923FD3" w:rsidRPr="004071DE" w:rsidRDefault="00923FD3" w:rsidP="00D305D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642D70A" w14:textId="3DD8659B" w:rsidR="00D305D1" w:rsidRPr="004071DE" w:rsidRDefault="00D305D1" w:rsidP="00D305D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71DE">
        <w:rPr>
          <w:sz w:val="22"/>
          <w:szCs w:val="22"/>
          <w:u w:val="single"/>
          <w:lang w:val="sr-Latn-ME"/>
        </w:rPr>
        <w:t>Diupot, 50 mg, film tablet</w:t>
      </w:r>
      <w:r w:rsidR="00923FD3" w:rsidRPr="004071DE">
        <w:rPr>
          <w:sz w:val="22"/>
          <w:szCs w:val="22"/>
          <w:u w:val="single"/>
          <w:lang w:val="sr-Latn-ME"/>
        </w:rPr>
        <w:t>a</w:t>
      </w:r>
    </w:p>
    <w:p w14:paraId="3426E352" w14:textId="31950263" w:rsidR="00923FD3" w:rsidRPr="004071DE" w:rsidRDefault="00D305D1" w:rsidP="00D305D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71DE">
        <w:rPr>
          <w:sz w:val="22"/>
          <w:szCs w:val="22"/>
          <w:lang w:val="sr-Latn-ME"/>
        </w:rPr>
        <w:t xml:space="preserve">Unutrašnje pakovanje je </w:t>
      </w:r>
      <w:r w:rsidR="00923FD3" w:rsidRPr="004071DE">
        <w:rPr>
          <w:sz w:val="22"/>
          <w:szCs w:val="22"/>
          <w:lang w:val="sr-Latn-ME"/>
        </w:rPr>
        <w:t xml:space="preserve">bijeli neprovidni </w:t>
      </w:r>
      <w:r w:rsidRPr="004071DE">
        <w:rPr>
          <w:sz w:val="22"/>
          <w:szCs w:val="22"/>
          <w:lang w:val="sr-Latn-ME"/>
        </w:rPr>
        <w:t xml:space="preserve">PVC-Alu blister koji sadrži 10 film tableta. </w:t>
      </w:r>
    </w:p>
    <w:p w14:paraId="5D406F4D" w14:textId="31BEC9CB" w:rsidR="00D305D1" w:rsidRPr="004071DE" w:rsidRDefault="00D305D1" w:rsidP="00D305D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71DE">
        <w:rPr>
          <w:sz w:val="22"/>
          <w:szCs w:val="22"/>
          <w:lang w:val="sr-Latn-ME"/>
        </w:rPr>
        <w:t>Spolj</w:t>
      </w:r>
      <w:r w:rsidR="00923FD3" w:rsidRPr="004071DE">
        <w:rPr>
          <w:sz w:val="22"/>
          <w:szCs w:val="22"/>
          <w:lang w:val="sr-Latn-ME"/>
        </w:rPr>
        <w:t>aš</w:t>
      </w:r>
      <w:r w:rsidRPr="004071DE">
        <w:rPr>
          <w:sz w:val="22"/>
          <w:szCs w:val="22"/>
          <w:lang w:val="sr-Latn-ME"/>
        </w:rPr>
        <w:t>nje pakovanje je složiva kartonska kutija u kojoj se nalaze 3 blistera (ukupno 30 film tableta) i Uputstvo za l</w:t>
      </w:r>
      <w:r w:rsidR="00155797" w:rsidRPr="004071DE">
        <w:rPr>
          <w:sz w:val="22"/>
          <w:szCs w:val="22"/>
          <w:lang w:val="sr-Latn-ME"/>
        </w:rPr>
        <w:t>ij</w:t>
      </w:r>
      <w:r w:rsidRPr="004071DE">
        <w:rPr>
          <w:sz w:val="22"/>
          <w:szCs w:val="22"/>
          <w:lang w:val="sr-Latn-ME"/>
        </w:rPr>
        <w:t>ek.</w:t>
      </w:r>
    </w:p>
    <w:p w14:paraId="2DA22F7D" w14:textId="77777777" w:rsidR="0072020E" w:rsidRPr="004071D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204955E" w14:textId="77777777" w:rsidR="002846DB" w:rsidRPr="004071D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 xml:space="preserve">6.6. </w:t>
      </w:r>
      <w:r w:rsidR="00480FB1" w:rsidRPr="004071DE">
        <w:rPr>
          <w:b/>
          <w:bCs/>
          <w:sz w:val="22"/>
          <w:szCs w:val="22"/>
          <w:lang w:val="sr-Latn-ME"/>
        </w:rPr>
        <w:tab/>
      </w:r>
      <w:r w:rsidRPr="004071DE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4071DE">
        <w:rPr>
          <w:b/>
          <w:bCs/>
          <w:sz w:val="22"/>
          <w:szCs w:val="22"/>
          <w:lang w:val="sr-Latn-ME"/>
        </w:rPr>
        <w:t xml:space="preserve"> </w:t>
      </w:r>
      <w:r w:rsidR="00310F03" w:rsidRPr="004071DE">
        <w:rPr>
          <w:b/>
          <w:bCs/>
          <w:sz w:val="22"/>
          <w:szCs w:val="22"/>
          <w:lang w:val="sr-Latn-ME"/>
        </w:rPr>
        <w:t>(i druga uputs</w:t>
      </w:r>
      <w:r w:rsidR="004109FA" w:rsidRPr="004071DE">
        <w:rPr>
          <w:b/>
          <w:bCs/>
          <w:sz w:val="22"/>
          <w:szCs w:val="22"/>
          <w:lang w:val="sr-Latn-ME"/>
        </w:rPr>
        <w:t>t</w:t>
      </w:r>
      <w:r w:rsidR="00310F03" w:rsidRPr="004071DE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44E31183" w14:textId="77777777" w:rsidR="00B66A70" w:rsidRPr="004071DE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8DC24A2" w14:textId="69C5D573" w:rsidR="00D305D1" w:rsidRPr="004071DE" w:rsidRDefault="00D305D1" w:rsidP="00D305D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71DE">
        <w:rPr>
          <w:sz w:val="22"/>
          <w:szCs w:val="22"/>
          <w:lang w:val="sr-Latn-ME"/>
        </w:rPr>
        <w:t>Svu neiskorišćenu količinu l</w:t>
      </w:r>
      <w:r w:rsidR="00946442" w:rsidRPr="004071DE">
        <w:rPr>
          <w:sz w:val="22"/>
          <w:szCs w:val="22"/>
          <w:lang w:val="sr-Latn-ME"/>
        </w:rPr>
        <w:t>ij</w:t>
      </w:r>
      <w:r w:rsidRPr="004071DE">
        <w:rPr>
          <w:sz w:val="22"/>
          <w:szCs w:val="22"/>
          <w:lang w:val="sr-Latn-ME"/>
        </w:rPr>
        <w:t>eka ili otpadnog materijala nakon njegove upotrebe treba ukloniti, u skladu sa važećim propisima.</w:t>
      </w:r>
    </w:p>
    <w:p w14:paraId="5623AAAD" w14:textId="1CF2D97C" w:rsidR="0072020E" w:rsidRPr="004071D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B8E26F7" w14:textId="77777777" w:rsidR="00923FD3" w:rsidRPr="004071DE" w:rsidRDefault="00923FD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15791C1" w14:textId="77777777" w:rsidR="00F8570A" w:rsidRPr="004071D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 xml:space="preserve">7. </w:t>
      </w:r>
      <w:r w:rsidR="00480FB1" w:rsidRPr="004071DE">
        <w:rPr>
          <w:b/>
          <w:bCs/>
          <w:sz w:val="22"/>
          <w:szCs w:val="22"/>
          <w:lang w:val="sr-Latn-ME"/>
        </w:rPr>
        <w:tab/>
      </w:r>
      <w:r w:rsidRPr="004071DE">
        <w:rPr>
          <w:b/>
          <w:bCs/>
          <w:sz w:val="22"/>
          <w:szCs w:val="22"/>
          <w:lang w:val="sr-Latn-ME"/>
        </w:rPr>
        <w:t>NOSILAC DOZVOLE</w:t>
      </w:r>
      <w:r w:rsidR="00483928" w:rsidRPr="004071DE">
        <w:rPr>
          <w:b/>
          <w:bCs/>
          <w:sz w:val="22"/>
          <w:szCs w:val="22"/>
          <w:lang w:val="sr-Latn-ME"/>
        </w:rPr>
        <w:t xml:space="preserve"> </w:t>
      </w:r>
    </w:p>
    <w:p w14:paraId="1702EBE1" w14:textId="77777777" w:rsidR="00D305D1" w:rsidRPr="004071DE" w:rsidRDefault="00D305D1" w:rsidP="00D305D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FE18C6C" w14:textId="73A9211D" w:rsidR="00D305D1" w:rsidRPr="004071DE" w:rsidRDefault="00D305D1" w:rsidP="00D305D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071DE">
        <w:rPr>
          <w:bCs/>
          <w:sz w:val="22"/>
          <w:szCs w:val="22"/>
          <w:lang w:val="sr-Latn-ME"/>
        </w:rPr>
        <w:t>PharmaSwiss - Montenegro, PharmaSwiss doo Beograd, dio stranog društva u Podgorici</w:t>
      </w:r>
      <w:r w:rsidR="008557CA" w:rsidRPr="004071DE">
        <w:rPr>
          <w:bCs/>
          <w:sz w:val="22"/>
          <w:szCs w:val="22"/>
          <w:lang w:val="sr-Latn-ME"/>
        </w:rPr>
        <w:t>,</w:t>
      </w:r>
    </w:p>
    <w:p w14:paraId="2CAFDCB0" w14:textId="74093274" w:rsidR="00D305D1" w:rsidRPr="004071DE" w:rsidRDefault="00D305D1" w:rsidP="00D305D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071DE">
        <w:rPr>
          <w:bCs/>
          <w:sz w:val="22"/>
          <w:szCs w:val="22"/>
          <w:lang w:val="sr-Latn-ME"/>
        </w:rPr>
        <w:t>Rimski trg br. 16, Podgorica, Crna Gora</w:t>
      </w:r>
    </w:p>
    <w:p w14:paraId="71B2295F" w14:textId="77777777" w:rsidR="00D305D1" w:rsidRPr="004071DE" w:rsidRDefault="00D305D1" w:rsidP="00D305D1">
      <w:pPr>
        <w:tabs>
          <w:tab w:val="left" w:pos="426"/>
        </w:tabs>
        <w:jc w:val="both"/>
        <w:rPr>
          <w:b/>
          <w:sz w:val="22"/>
          <w:szCs w:val="22"/>
          <w:lang w:val="sr-Latn-ME"/>
        </w:rPr>
      </w:pPr>
    </w:p>
    <w:p w14:paraId="3E10DBD5" w14:textId="77777777" w:rsidR="00C37FD7" w:rsidRPr="004071DE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EF92186" w14:textId="77777777" w:rsidR="004071DE" w:rsidRPr="004071DE" w:rsidRDefault="004071D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989FE63" w14:textId="77777777" w:rsidR="004071DE" w:rsidRPr="004071DE" w:rsidRDefault="004071D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7CE4F93" w14:textId="23930094" w:rsidR="0072020E" w:rsidRPr="004071D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 xml:space="preserve">8. </w:t>
      </w:r>
      <w:r w:rsidR="00480FB1" w:rsidRPr="004071DE">
        <w:rPr>
          <w:b/>
          <w:bCs/>
          <w:sz w:val="22"/>
          <w:szCs w:val="22"/>
          <w:lang w:val="sr-Latn-ME"/>
        </w:rPr>
        <w:tab/>
      </w:r>
      <w:r w:rsidRPr="004071DE">
        <w:rPr>
          <w:b/>
          <w:bCs/>
          <w:sz w:val="22"/>
          <w:szCs w:val="22"/>
          <w:lang w:val="sr-Latn-ME"/>
        </w:rPr>
        <w:t>BROJ DOZVOLE</w:t>
      </w:r>
      <w:r w:rsidR="008A6D43" w:rsidRPr="004071DE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30CF8209" w14:textId="77777777" w:rsidR="0072020E" w:rsidRPr="004071D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9A6045" w14:textId="40E735D0" w:rsidR="00D305D1" w:rsidRPr="004071DE" w:rsidRDefault="00D305D1" w:rsidP="00D305D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71DE">
        <w:rPr>
          <w:sz w:val="22"/>
          <w:szCs w:val="22"/>
          <w:lang w:val="sr-Latn-ME"/>
        </w:rPr>
        <w:t>Diupot, 25 mg, film tablet</w:t>
      </w:r>
      <w:r w:rsidR="005269DD" w:rsidRPr="004071DE">
        <w:rPr>
          <w:sz w:val="22"/>
          <w:szCs w:val="22"/>
          <w:lang w:val="sr-Latn-ME"/>
        </w:rPr>
        <w:t>a</w:t>
      </w:r>
      <w:r w:rsidR="004071DE">
        <w:rPr>
          <w:sz w:val="22"/>
          <w:szCs w:val="22"/>
          <w:lang w:val="sr-Latn-ME"/>
        </w:rPr>
        <w:t>, blister, 30 (3x10) film tableta</w:t>
      </w:r>
      <w:r w:rsidRPr="004071DE">
        <w:rPr>
          <w:sz w:val="22"/>
          <w:szCs w:val="22"/>
          <w:lang w:val="sr-Latn-ME"/>
        </w:rPr>
        <w:t>:</w:t>
      </w:r>
      <w:r w:rsidR="00F50BC9" w:rsidRPr="004071DE">
        <w:rPr>
          <w:sz w:val="22"/>
          <w:szCs w:val="22"/>
          <w:lang w:val="sr-Latn-ME"/>
        </w:rPr>
        <w:t xml:space="preserve"> 2030/24/3023 – 6322</w:t>
      </w:r>
    </w:p>
    <w:p w14:paraId="4C6C303A" w14:textId="043497EA" w:rsidR="00D305D1" w:rsidRPr="004071DE" w:rsidRDefault="00D305D1" w:rsidP="00D305D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071DE">
        <w:rPr>
          <w:sz w:val="22"/>
          <w:szCs w:val="22"/>
          <w:lang w:val="sr-Latn-ME"/>
        </w:rPr>
        <w:t>Diupot, 50 mg, film tablet</w:t>
      </w:r>
      <w:r w:rsidR="005269DD" w:rsidRPr="004071DE">
        <w:rPr>
          <w:sz w:val="22"/>
          <w:szCs w:val="22"/>
          <w:lang w:val="sr-Latn-ME"/>
        </w:rPr>
        <w:t>a</w:t>
      </w:r>
      <w:r w:rsidR="004071DE">
        <w:rPr>
          <w:sz w:val="22"/>
          <w:szCs w:val="22"/>
          <w:lang w:val="sr-Latn-ME"/>
        </w:rPr>
        <w:t xml:space="preserve">, </w:t>
      </w:r>
      <w:r w:rsidR="004071DE">
        <w:rPr>
          <w:sz w:val="22"/>
          <w:szCs w:val="22"/>
          <w:lang w:val="sr-Latn-ME"/>
        </w:rPr>
        <w:t>blister, 30 (3x10) film tableta</w:t>
      </w:r>
      <w:r w:rsidRPr="004071DE">
        <w:rPr>
          <w:sz w:val="22"/>
          <w:szCs w:val="22"/>
          <w:lang w:val="sr-Latn-ME"/>
        </w:rPr>
        <w:t>:</w:t>
      </w:r>
      <w:r w:rsidR="006F5933" w:rsidRPr="004071DE">
        <w:rPr>
          <w:sz w:val="22"/>
          <w:szCs w:val="22"/>
          <w:lang w:val="sr-Latn-ME"/>
        </w:rPr>
        <w:t xml:space="preserve"> 2030/24/3025 - 6324</w:t>
      </w:r>
    </w:p>
    <w:p w14:paraId="23BC5FA0" w14:textId="48E023EE" w:rsidR="00F45F77" w:rsidRPr="004071DE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9CF4C62" w14:textId="77777777" w:rsidR="006F5933" w:rsidRPr="004071DE" w:rsidRDefault="006F593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CAD3420" w14:textId="77777777" w:rsidR="0072020E" w:rsidRPr="004071D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 xml:space="preserve">9. </w:t>
      </w:r>
      <w:r w:rsidR="00480FB1" w:rsidRPr="004071DE">
        <w:rPr>
          <w:b/>
          <w:bCs/>
          <w:sz w:val="22"/>
          <w:szCs w:val="22"/>
          <w:lang w:val="sr-Latn-ME"/>
        </w:rPr>
        <w:tab/>
      </w:r>
      <w:r w:rsidRPr="004071DE">
        <w:rPr>
          <w:b/>
          <w:bCs/>
          <w:sz w:val="22"/>
          <w:szCs w:val="22"/>
          <w:lang w:val="sr-Latn-ME"/>
        </w:rPr>
        <w:t xml:space="preserve">DATUM </w:t>
      </w:r>
      <w:r w:rsidR="00C05DF8" w:rsidRPr="004071DE">
        <w:rPr>
          <w:b/>
          <w:bCs/>
          <w:sz w:val="22"/>
          <w:szCs w:val="22"/>
          <w:lang w:val="sr-Latn-ME"/>
        </w:rPr>
        <w:t xml:space="preserve">PRVE </w:t>
      </w:r>
      <w:r w:rsidR="008A6D43" w:rsidRPr="004071DE">
        <w:rPr>
          <w:b/>
          <w:bCs/>
          <w:sz w:val="22"/>
          <w:szCs w:val="22"/>
          <w:lang w:val="sr-Latn-ME"/>
        </w:rPr>
        <w:t>DOZVOLE</w:t>
      </w:r>
      <w:r w:rsidR="00C05DF8" w:rsidRPr="004071DE">
        <w:rPr>
          <w:b/>
          <w:bCs/>
          <w:sz w:val="22"/>
          <w:szCs w:val="22"/>
          <w:lang w:val="sr-Latn-ME"/>
        </w:rPr>
        <w:t>/OBNOVE DOZVOLE</w:t>
      </w:r>
      <w:r w:rsidR="008A6D43" w:rsidRPr="004071DE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BB56F89" w14:textId="16D1D85B" w:rsidR="0072020E" w:rsidRPr="004071D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B65DCC6" w14:textId="0FF7909F" w:rsidR="005269DD" w:rsidRPr="004071DE" w:rsidRDefault="00F50BC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071DE">
        <w:rPr>
          <w:bCs/>
          <w:sz w:val="22"/>
          <w:szCs w:val="22"/>
          <w:lang w:val="sr-Latn-ME"/>
        </w:rPr>
        <w:t>07.06.2024. godine</w:t>
      </w:r>
    </w:p>
    <w:p w14:paraId="2A84D8A7" w14:textId="397EF4BF" w:rsidR="00836B35" w:rsidRPr="004071DE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6800C24" w14:textId="77777777" w:rsidR="006F5933" w:rsidRPr="004071DE" w:rsidRDefault="006F593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5783823" w14:textId="77777777" w:rsidR="003F6A59" w:rsidRPr="004071DE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4071DE">
        <w:rPr>
          <w:b/>
          <w:bCs/>
          <w:sz w:val="22"/>
          <w:szCs w:val="22"/>
          <w:lang w:val="sr-Latn-ME"/>
        </w:rPr>
        <w:t xml:space="preserve">10. </w:t>
      </w:r>
      <w:r w:rsidR="00480FB1" w:rsidRPr="004071DE">
        <w:rPr>
          <w:b/>
          <w:bCs/>
          <w:sz w:val="22"/>
          <w:szCs w:val="22"/>
          <w:lang w:val="sr-Latn-ME"/>
        </w:rPr>
        <w:tab/>
      </w:r>
      <w:r w:rsidR="002846DB" w:rsidRPr="004071DE">
        <w:rPr>
          <w:b/>
          <w:bCs/>
          <w:sz w:val="22"/>
          <w:szCs w:val="22"/>
          <w:lang w:val="sr-Latn-ME"/>
        </w:rPr>
        <w:t>D</w:t>
      </w:r>
      <w:r w:rsidR="00EC2532" w:rsidRPr="004071DE">
        <w:rPr>
          <w:b/>
          <w:bCs/>
          <w:sz w:val="22"/>
          <w:szCs w:val="22"/>
          <w:lang w:val="sr-Latn-ME"/>
        </w:rPr>
        <w:t xml:space="preserve">ATUM REVIZIJE TEKSTA </w:t>
      </w:r>
    </w:p>
    <w:p w14:paraId="300E7CC5" w14:textId="77777777" w:rsidR="003F6A59" w:rsidRPr="004071DE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6D5542E" w14:textId="5DA48489" w:rsidR="008A6D43" w:rsidRPr="004071DE" w:rsidRDefault="00F50BC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071DE">
        <w:rPr>
          <w:bCs/>
          <w:sz w:val="22"/>
          <w:szCs w:val="22"/>
          <w:lang w:val="sr-Latn-ME"/>
        </w:rPr>
        <w:t>Jun, 2024. godine</w:t>
      </w:r>
    </w:p>
    <w:p w14:paraId="2C9BAEC7" w14:textId="78974E75" w:rsidR="003F6A59" w:rsidRPr="004071DE" w:rsidRDefault="003F6A59" w:rsidP="00DE3F5C">
      <w:pPr>
        <w:rPr>
          <w:sz w:val="22"/>
          <w:szCs w:val="22"/>
          <w:lang w:val="sr-Latn-ME"/>
        </w:rPr>
      </w:pPr>
    </w:p>
    <w:sectPr w:rsidR="003F6A59" w:rsidRPr="004071DE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D42A7" w14:textId="77777777" w:rsidR="001754D4" w:rsidRDefault="001754D4">
      <w:r>
        <w:separator/>
      </w:r>
    </w:p>
  </w:endnote>
  <w:endnote w:type="continuationSeparator" w:id="0">
    <w:p w14:paraId="42000BC6" w14:textId="77777777" w:rsidR="001754D4" w:rsidRDefault="0017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94C22" w14:textId="32B6E5ED" w:rsidR="007E64AE" w:rsidRPr="00B23F69" w:rsidRDefault="007E64AE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4071DE">
      <w:rPr>
        <w:noProof/>
        <w:sz w:val="22"/>
        <w:szCs w:val="22"/>
      </w:rPr>
      <w:t>13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4071DE">
      <w:rPr>
        <w:noProof/>
        <w:sz w:val="22"/>
        <w:szCs w:val="22"/>
      </w:rPr>
      <w:t>13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0D904" w14:textId="77777777" w:rsidR="001754D4" w:rsidRDefault="001754D4">
      <w:r>
        <w:separator/>
      </w:r>
    </w:p>
  </w:footnote>
  <w:footnote w:type="continuationSeparator" w:id="0">
    <w:p w14:paraId="338D4662" w14:textId="77777777" w:rsidR="001754D4" w:rsidRDefault="00175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D007B"/>
    <w:multiLevelType w:val="hybridMultilevel"/>
    <w:tmpl w:val="4260D3FE"/>
    <w:lvl w:ilvl="0" w:tplc="226E1E06">
      <w:start w:val="3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3469"/>
    <w:rsid w:val="00036FA0"/>
    <w:rsid w:val="0003793F"/>
    <w:rsid w:val="00045130"/>
    <w:rsid w:val="00057E35"/>
    <w:rsid w:val="00075E28"/>
    <w:rsid w:val="00076726"/>
    <w:rsid w:val="00080303"/>
    <w:rsid w:val="00083D02"/>
    <w:rsid w:val="000A0825"/>
    <w:rsid w:val="000A3F58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4766D"/>
    <w:rsid w:val="001536CC"/>
    <w:rsid w:val="00155797"/>
    <w:rsid w:val="001754D4"/>
    <w:rsid w:val="001A3FBA"/>
    <w:rsid w:val="001A5518"/>
    <w:rsid w:val="001B1C6A"/>
    <w:rsid w:val="001C1263"/>
    <w:rsid w:val="001C1417"/>
    <w:rsid w:val="001E390B"/>
    <w:rsid w:val="001F42FB"/>
    <w:rsid w:val="001F719A"/>
    <w:rsid w:val="002031B3"/>
    <w:rsid w:val="00215931"/>
    <w:rsid w:val="00224C91"/>
    <w:rsid w:val="00224FAA"/>
    <w:rsid w:val="00227BDB"/>
    <w:rsid w:val="00234CB1"/>
    <w:rsid w:val="002352F8"/>
    <w:rsid w:val="002510A5"/>
    <w:rsid w:val="00251587"/>
    <w:rsid w:val="00254A0A"/>
    <w:rsid w:val="00266046"/>
    <w:rsid w:val="00270C6F"/>
    <w:rsid w:val="00277844"/>
    <w:rsid w:val="00280578"/>
    <w:rsid w:val="002846DB"/>
    <w:rsid w:val="00284CCD"/>
    <w:rsid w:val="002C6637"/>
    <w:rsid w:val="002E0135"/>
    <w:rsid w:val="002E37A5"/>
    <w:rsid w:val="00310F03"/>
    <w:rsid w:val="003247D2"/>
    <w:rsid w:val="003445C1"/>
    <w:rsid w:val="00355B61"/>
    <w:rsid w:val="00362686"/>
    <w:rsid w:val="00371510"/>
    <w:rsid w:val="003829C8"/>
    <w:rsid w:val="00396DFD"/>
    <w:rsid w:val="003A4C3E"/>
    <w:rsid w:val="003A7059"/>
    <w:rsid w:val="003B7A36"/>
    <w:rsid w:val="003C17AB"/>
    <w:rsid w:val="003C7823"/>
    <w:rsid w:val="003E1DCC"/>
    <w:rsid w:val="003E6EF7"/>
    <w:rsid w:val="003F11A1"/>
    <w:rsid w:val="003F6A59"/>
    <w:rsid w:val="004065C8"/>
    <w:rsid w:val="004071DE"/>
    <w:rsid w:val="004109FA"/>
    <w:rsid w:val="00411B4B"/>
    <w:rsid w:val="00414EAA"/>
    <w:rsid w:val="00415BEE"/>
    <w:rsid w:val="004254E9"/>
    <w:rsid w:val="00427F85"/>
    <w:rsid w:val="00436F42"/>
    <w:rsid w:val="004378B4"/>
    <w:rsid w:val="00451314"/>
    <w:rsid w:val="00452E9D"/>
    <w:rsid w:val="00453487"/>
    <w:rsid w:val="004534C7"/>
    <w:rsid w:val="004671AA"/>
    <w:rsid w:val="00471DF8"/>
    <w:rsid w:val="00480FB1"/>
    <w:rsid w:val="00483928"/>
    <w:rsid w:val="004A32AE"/>
    <w:rsid w:val="004B2911"/>
    <w:rsid w:val="004C331F"/>
    <w:rsid w:val="004D1A35"/>
    <w:rsid w:val="004D6103"/>
    <w:rsid w:val="004E3BCE"/>
    <w:rsid w:val="004E70AD"/>
    <w:rsid w:val="004F0E97"/>
    <w:rsid w:val="004F17E2"/>
    <w:rsid w:val="004F1DC2"/>
    <w:rsid w:val="004F6FFC"/>
    <w:rsid w:val="00501DD1"/>
    <w:rsid w:val="00512660"/>
    <w:rsid w:val="00515C21"/>
    <w:rsid w:val="00526321"/>
    <w:rsid w:val="005269DD"/>
    <w:rsid w:val="00530BD7"/>
    <w:rsid w:val="00535EA2"/>
    <w:rsid w:val="00545CD2"/>
    <w:rsid w:val="00545CD9"/>
    <w:rsid w:val="005476F3"/>
    <w:rsid w:val="00567824"/>
    <w:rsid w:val="00572527"/>
    <w:rsid w:val="00573E40"/>
    <w:rsid w:val="00576348"/>
    <w:rsid w:val="00583386"/>
    <w:rsid w:val="005A0B2E"/>
    <w:rsid w:val="005A23D2"/>
    <w:rsid w:val="005A36CB"/>
    <w:rsid w:val="005A7705"/>
    <w:rsid w:val="005B49B8"/>
    <w:rsid w:val="005C0741"/>
    <w:rsid w:val="005C5EF4"/>
    <w:rsid w:val="005D1DC3"/>
    <w:rsid w:val="005E2E0B"/>
    <w:rsid w:val="005E67AD"/>
    <w:rsid w:val="005E7A7D"/>
    <w:rsid w:val="00602457"/>
    <w:rsid w:val="00644FC3"/>
    <w:rsid w:val="00646BD1"/>
    <w:rsid w:val="00650541"/>
    <w:rsid w:val="006561C2"/>
    <w:rsid w:val="00671CB3"/>
    <w:rsid w:val="00674BAF"/>
    <w:rsid w:val="00682200"/>
    <w:rsid w:val="00687D8E"/>
    <w:rsid w:val="00692BF6"/>
    <w:rsid w:val="006A1351"/>
    <w:rsid w:val="006A1497"/>
    <w:rsid w:val="006B0BD1"/>
    <w:rsid w:val="006B5404"/>
    <w:rsid w:val="006C77A1"/>
    <w:rsid w:val="006D20A5"/>
    <w:rsid w:val="006D37BF"/>
    <w:rsid w:val="006F5933"/>
    <w:rsid w:val="00702E22"/>
    <w:rsid w:val="00706BFE"/>
    <w:rsid w:val="0072020E"/>
    <w:rsid w:val="00754902"/>
    <w:rsid w:val="0075516F"/>
    <w:rsid w:val="00786071"/>
    <w:rsid w:val="007A3ECB"/>
    <w:rsid w:val="007A7B42"/>
    <w:rsid w:val="007B1A17"/>
    <w:rsid w:val="007B4F8C"/>
    <w:rsid w:val="007C0758"/>
    <w:rsid w:val="007D7BB3"/>
    <w:rsid w:val="007E31E9"/>
    <w:rsid w:val="007E64AE"/>
    <w:rsid w:val="007F05E3"/>
    <w:rsid w:val="00824AB9"/>
    <w:rsid w:val="00836B35"/>
    <w:rsid w:val="0084282E"/>
    <w:rsid w:val="00843BDE"/>
    <w:rsid w:val="008557CA"/>
    <w:rsid w:val="0087460E"/>
    <w:rsid w:val="0087588C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23FD3"/>
    <w:rsid w:val="00924166"/>
    <w:rsid w:val="00940B9B"/>
    <w:rsid w:val="00946442"/>
    <w:rsid w:val="00953573"/>
    <w:rsid w:val="0095676E"/>
    <w:rsid w:val="00956983"/>
    <w:rsid w:val="00963CF0"/>
    <w:rsid w:val="00964BB1"/>
    <w:rsid w:val="009724F8"/>
    <w:rsid w:val="00976E53"/>
    <w:rsid w:val="009775D9"/>
    <w:rsid w:val="00981F53"/>
    <w:rsid w:val="00997175"/>
    <w:rsid w:val="009A0676"/>
    <w:rsid w:val="009A1847"/>
    <w:rsid w:val="009B062A"/>
    <w:rsid w:val="009B4A2C"/>
    <w:rsid w:val="009C76B0"/>
    <w:rsid w:val="009D4CB9"/>
    <w:rsid w:val="009D4E26"/>
    <w:rsid w:val="009E7C6F"/>
    <w:rsid w:val="009F1793"/>
    <w:rsid w:val="009F2D23"/>
    <w:rsid w:val="00A01D69"/>
    <w:rsid w:val="00A02335"/>
    <w:rsid w:val="00A46C9A"/>
    <w:rsid w:val="00A619F3"/>
    <w:rsid w:val="00A62A73"/>
    <w:rsid w:val="00A77092"/>
    <w:rsid w:val="00A87FF6"/>
    <w:rsid w:val="00AA0A3B"/>
    <w:rsid w:val="00AA2763"/>
    <w:rsid w:val="00AA33B6"/>
    <w:rsid w:val="00AB50CA"/>
    <w:rsid w:val="00AB6D64"/>
    <w:rsid w:val="00AC53CE"/>
    <w:rsid w:val="00AD2193"/>
    <w:rsid w:val="00AF19F4"/>
    <w:rsid w:val="00AF2AC7"/>
    <w:rsid w:val="00AF74CE"/>
    <w:rsid w:val="00B208DB"/>
    <w:rsid w:val="00B23F69"/>
    <w:rsid w:val="00B3247B"/>
    <w:rsid w:val="00B60619"/>
    <w:rsid w:val="00B66A70"/>
    <w:rsid w:val="00B67366"/>
    <w:rsid w:val="00B80EE1"/>
    <w:rsid w:val="00B84135"/>
    <w:rsid w:val="00B94F5D"/>
    <w:rsid w:val="00B9548C"/>
    <w:rsid w:val="00BC384C"/>
    <w:rsid w:val="00C04D34"/>
    <w:rsid w:val="00C05DF8"/>
    <w:rsid w:val="00C06864"/>
    <w:rsid w:val="00C10F54"/>
    <w:rsid w:val="00C23D8D"/>
    <w:rsid w:val="00C334BD"/>
    <w:rsid w:val="00C37AA3"/>
    <w:rsid w:val="00C37FD7"/>
    <w:rsid w:val="00C43419"/>
    <w:rsid w:val="00C44CF3"/>
    <w:rsid w:val="00C61BE0"/>
    <w:rsid w:val="00C634B6"/>
    <w:rsid w:val="00C6707E"/>
    <w:rsid w:val="00C67F28"/>
    <w:rsid w:val="00C70B0E"/>
    <w:rsid w:val="00C773CA"/>
    <w:rsid w:val="00C83785"/>
    <w:rsid w:val="00C87FA8"/>
    <w:rsid w:val="00C938D4"/>
    <w:rsid w:val="00C94C0D"/>
    <w:rsid w:val="00CA1FEB"/>
    <w:rsid w:val="00CD4F85"/>
    <w:rsid w:val="00CD6F02"/>
    <w:rsid w:val="00CD7541"/>
    <w:rsid w:val="00CE246D"/>
    <w:rsid w:val="00CF07A0"/>
    <w:rsid w:val="00CF3E03"/>
    <w:rsid w:val="00D0082A"/>
    <w:rsid w:val="00D16160"/>
    <w:rsid w:val="00D17DB7"/>
    <w:rsid w:val="00D21455"/>
    <w:rsid w:val="00D305D1"/>
    <w:rsid w:val="00D47634"/>
    <w:rsid w:val="00D709B3"/>
    <w:rsid w:val="00D70F5F"/>
    <w:rsid w:val="00D74CD2"/>
    <w:rsid w:val="00D75DB2"/>
    <w:rsid w:val="00DA2E0D"/>
    <w:rsid w:val="00DA2ED6"/>
    <w:rsid w:val="00DB1D55"/>
    <w:rsid w:val="00DB76B8"/>
    <w:rsid w:val="00DC2EA1"/>
    <w:rsid w:val="00DD6AAF"/>
    <w:rsid w:val="00DE32E1"/>
    <w:rsid w:val="00DE3F5C"/>
    <w:rsid w:val="00DF1D20"/>
    <w:rsid w:val="00E21324"/>
    <w:rsid w:val="00E246B9"/>
    <w:rsid w:val="00E31FEA"/>
    <w:rsid w:val="00E37316"/>
    <w:rsid w:val="00E43A84"/>
    <w:rsid w:val="00E45169"/>
    <w:rsid w:val="00E47787"/>
    <w:rsid w:val="00E51C30"/>
    <w:rsid w:val="00E64180"/>
    <w:rsid w:val="00E67F10"/>
    <w:rsid w:val="00E7235D"/>
    <w:rsid w:val="00E74AEE"/>
    <w:rsid w:val="00E83BBF"/>
    <w:rsid w:val="00E868E5"/>
    <w:rsid w:val="00E9237A"/>
    <w:rsid w:val="00E939FA"/>
    <w:rsid w:val="00EA5765"/>
    <w:rsid w:val="00EC2532"/>
    <w:rsid w:val="00EC6352"/>
    <w:rsid w:val="00ED7812"/>
    <w:rsid w:val="00EF3B86"/>
    <w:rsid w:val="00F240C1"/>
    <w:rsid w:val="00F317E9"/>
    <w:rsid w:val="00F337C7"/>
    <w:rsid w:val="00F34554"/>
    <w:rsid w:val="00F35B68"/>
    <w:rsid w:val="00F45F77"/>
    <w:rsid w:val="00F50BC9"/>
    <w:rsid w:val="00F5167F"/>
    <w:rsid w:val="00F52258"/>
    <w:rsid w:val="00F8570A"/>
    <w:rsid w:val="00F91C7B"/>
    <w:rsid w:val="00FA4A5F"/>
    <w:rsid w:val="00FA6AF7"/>
    <w:rsid w:val="00FE1DFC"/>
    <w:rsid w:val="00FE647A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284E2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709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A8984-2510-4A60-BE59-2DD59AF8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5288</Words>
  <Characters>30146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35364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Olja Borozan</cp:lastModifiedBy>
  <cp:revision>56</cp:revision>
  <cp:lastPrinted>2023-02-09T08:16:00Z</cp:lastPrinted>
  <dcterms:created xsi:type="dcterms:W3CDTF">2023-06-20T13:22:00Z</dcterms:created>
  <dcterms:modified xsi:type="dcterms:W3CDTF">2024-06-07T11:33:00Z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