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36E71" w14:textId="77777777" w:rsidR="001A5518" w:rsidRDefault="001A5518" w:rsidP="00293A14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6DA36E72" w14:textId="77777777" w:rsidR="00F91C7B" w:rsidRPr="00786071" w:rsidRDefault="00F91C7B" w:rsidP="00293A14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6DA36E73" w14:textId="1A1EBE97" w:rsidR="002510A5" w:rsidRPr="006565C6" w:rsidRDefault="002510A5" w:rsidP="00F90351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6565C6">
        <w:rPr>
          <w:b/>
          <w:bCs/>
          <w:iCs/>
          <w:sz w:val="22"/>
          <w:szCs w:val="22"/>
          <w:u w:val="single"/>
          <w:lang w:val="sr-Latn-RS"/>
        </w:rPr>
        <w:t xml:space="preserve">SAŽETAK KARAKTERISTIKA </w:t>
      </w:r>
      <w:proofErr w:type="spellStart"/>
      <w:r w:rsidRPr="006565C6">
        <w:rPr>
          <w:b/>
          <w:bCs/>
          <w:iCs/>
          <w:sz w:val="22"/>
          <w:szCs w:val="22"/>
          <w:u w:val="single"/>
          <w:lang w:val="sr-Latn-RS"/>
        </w:rPr>
        <w:t>LIJEKA</w:t>
      </w:r>
      <w:proofErr w:type="spellEnd"/>
    </w:p>
    <w:p w14:paraId="6DA36E74" w14:textId="77777777" w:rsidR="002510A5" w:rsidRPr="006565C6" w:rsidRDefault="002510A5" w:rsidP="00293A14">
      <w:pPr>
        <w:jc w:val="both"/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6DA36E77" w14:textId="77777777" w:rsidR="003C17AB" w:rsidRPr="006565C6" w:rsidRDefault="003C17AB" w:rsidP="00293A14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RS"/>
        </w:rPr>
      </w:pPr>
    </w:p>
    <w:p w14:paraId="6DA36E78" w14:textId="77777777" w:rsidR="00C37FD7" w:rsidRPr="006565C6" w:rsidRDefault="00C37FD7" w:rsidP="00293A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79" w14:textId="77777777" w:rsidR="00411B4B" w:rsidRPr="006565C6" w:rsidRDefault="00411B4B" w:rsidP="00293A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>1.</w:t>
      </w:r>
      <w:r w:rsidR="00F5167F" w:rsidRPr="006565C6">
        <w:rPr>
          <w:b/>
          <w:bCs/>
          <w:sz w:val="22"/>
          <w:szCs w:val="22"/>
          <w:lang w:val="sr-Latn-RS"/>
        </w:rPr>
        <w:tab/>
      </w:r>
      <w:r w:rsidR="002846DB" w:rsidRPr="006565C6">
        <w:rPr>
          <w:b/>
          <w:bCs/>
          <w:sz w:val="22"/>
          <w:szCs w:val="22"/>
          <w:lang w:val="sr-Latn-RS"/>
        </w:rPr>
        <w:t xml:space="preserve">NAZIV </w:t>
      </w:r>
      <w:proofErr w:type="spellStart"/>
      <w:r w:rsidRPr="006565C6">
        <w:rPr>
          <w:b/>
          <w:bCs/>
          <w:sz w:val="22"/>
          <w:szCs w:val="22"/>
          <w:lang w:val="sr-Latn-RS"/>
        </w:rPr>
        <w:t>LIJEKA</w:t>
      </w:r>
      <w:proofErr w:type="spellEnd"/>
    </w:p>
    <w:p w14:paraId="6DA36E7A" w14:textId="77777777" w:rsidR="00EC2532" w:rsidRPr="006565C6" w:rsidRDefault="00EC2532" w:rsidP="00293A14">
      <w:pPr>
        <w:jc w:val="both"/>
        <w:rPr>
          <w:sz w:val="22"/>
          <w:szCs w:val="22"/>
          <w:lang w:val="sr-Latn-RS"/>
        </w:rPr>
      </w:pPr>
    </w:p>
    <w:p w14:paraId="4330A632" w14:textId="3CE6C081" w:rsidR="008F695A" w:rsidRPr="006565C6" w:rsidRDefault="008F695A" w:rsidP="00293A14">
      <w:pPr>
        <w:spacing w:line="221" w:lineRule="auto"/>
        <w:ind w:right="2799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§</w:t>
      </w:r>
      <w:r w:rsidRPr="006565C6">
        <w:rPr>
          <w:color w:val="FF0000"/>
          <w:sz w:val="22"/>
          <w:szCs w:val="22"/>
          <w:lang w:val="sr-Latn-RS"/>
        </w:rPr>
        <w:t>▲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>, 20 mg/ml, oralni rastvor</w:t>
      </w:r>
    </w:p>
    <w:p w14:paraId="1AF1BACD" w14:textId="77777777" w:rsidR="008F695A" w:rsidRPr="006565C6" w:rsidRDefault="008F695A" w:rsidP="00293A14">
      <w:pPr>
        <w:spacing w:line="221" w:lineRule="auto"/>
        <w:ind w:right="2799"/>
        <w:jc w:val="both"/>
        <w:rPr>
          <w:sz w:val="22"/>
          <w:szCs w:val="22"/>
          <w:lang w:val="sr-Latn-RS"/>
        </w:rPr>
      </w:pPr>
    </w:p>
    <w:p w14:paraId="3C64B105" w14:textId="77777777" w:rsidR="008F695A" w:rsidRPr="006565C6" w:rsidRDefault="008F695A" w:rsidP="00293A14">
      <w:pPr>
        <w:spacing w:line="0" w:lineRule="atLeast"/>
        <w:jc w:val="both"/>
        <w:rPr>
          <w:bCs/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INN</w:t>
      </w:r>
      <w:proofErr w:type="spellEnd"/>
      <w:r w:rsidRPr="006565C6">
        <w:rPr>
          <w:sz w:val="22"/>
          <w:szCs w:val="22"/>
          <w:lang w:val="sr-Latn-RS"/>
        </w:rPr>
        <w:t xml:space="preserve">: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</w:p>
    <w:p w14:paraId="6DA36E7E" w14:textId="77777777" w:rsidR="006D20A5" w:rsidRPr="006565C6" w:rsidRDefault="006D20A5" w:rsidP="00293A14">
      <w:pPr>
        <w:jc w:val="both"/>
        <w:rPr>
          <w:bCs/>
          <w:sz w:val="22"/>
          <w:szCs w:val="22"/>
          <w:lang w:val="sr-Latn-RS"/>
        </w:rPr>
      </w:pPr>
    </w:p>
    <w:p w14:paraId="6DA36E7F" w14:textId="77777777" w:rsidR="00530BD7" w:rsidRPr="006565C6" w:rsidRDefault="00530BD7" w:rsidP="00293A14">
      <w:pPr>
        <w:jc w:val="both"/>
        <w:rPr>
          <w:bCs/>
          <w:sz w:val="22"/>
          <w:szCs w:val="22"/>
          <w:lang w:val="sr-Latn-RS"/>
        </w:rPr>
      </w:pPr>
    </w:p>
    <w:p w14:paraId="6DA36E80" w14:textId="77777777" w:rsidR="00411B4B" w:rsidRPr="006565C6" w:rsidRDefault="00411B4B" w:rsidP="00293A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2. </w:t>
      </w:r>
      <w:r w:rsidR="00F5167F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KVALITATIVNI I KVANTITATIVNI SASTAV</w:t>
      </w:r>
    </w:p>
    <w:p w14:paraId="6DA36E81" w14:textId="77777777" w:rsidR="005A0B2E" w:rsidRPr="006565C6" w:rsidRDefault="005A0B2E" w:rsidP="00293A14">
      <w:pPr>
        <w:jc w:val="both"/>
        <w:rPr>
          <w:sz w:val="22"/>
          <w:szCs w:val="22"/>
          <w:lang w:val="sr-Latn-RS"/>
        </w:rPr>
      </w:pPr>
    </w:p>
    <w:p w14:paraId="2ABE07E4" w14:textId="4AB99545" w:rsidR="001C1504" w:rsidRPr="006565C6" w:rsidRDefault="001C1504" w:rsidP="00BE358D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1 ml oralnog rastvora sadrži 20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(u obliku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="00C900A2" w:rsidRPr="006565C6">
        <w:rPr>
          <w:sz w:val="22"/>
          <w:szCs w:val="22"/>
          <w:lang w:val="sr-Latn-RS"/>
        </w:rPr>
        <w:t>hidro</w:t>
      </w:r>
      <w:r w:rsidRPr="006565C6">
        <w:rPr>
          <w:sz w:val="22"/>
          <w:szCs w:val="22"/>
          <w:lang w:val="sr-Latn-RS"/>
        </w:rPr>
        <w:t>hlorida</w:t>
      </w:r>
      <w:proofErr w:type="spellEnd"/>
      <w:r w:rsidRPr="006565C6">
        <w:rPr>
          <w:sz w:val="22"/>
          <w:szCs w:val="22"/>
          <w:lang w:val="sr-Latn-RS"/>
        </w:rPr>
        <w:t>)</w:t>
      </w:r>
      <w:r w:rsidR="005D4AF3">
        <w:rPr>
          <w:sz w:val="22"/>
          <w:szCs w:val="22"/>
          <w:lang w:val="sr-Latn-RS"/>
        </w:rPr>
        <w:t>.</w:t>
      </w:r>
      <w:r w:rsidRPr="006565C6">
        <w:rPr>
          <w:sz w:val="22"/>
          <w:szCs w:val="22"/>
          <w:lang w:val="sr-Latn-RS"/>
        </w:rPr>
        <w:t xml:space="preserve"> </w:t>
      </w:r>
    </w:p>
    <w:p w14:paraId="574191FD" w14:textId="77777777" w:rsidR="001C1504" w:rsidRPr="006565C6" w:rsidRDefault="001C1504" w:rsidP="00BE358D">
      <w:pPr>
        <w:pStyle w:val="Default"/>
        <w:jc w:val="both"/>
        <w:rPr>
          <w:sz w:val="22"/>
          <w:szCs w:val="22"/>
          <w:lang w:val="sr-Latn-RS"/>
        </w:rPr>
      </w:pPr>
    </w:p>
    <w:p w14:paraId="098A80CA" w14:textId="77777777" w:rsidR="001C1504" w:rsidRPr="006565C6" w:rsidRDefault="001C1504" w:rsidP="00BE358D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Pomoćne supstance sa poznatim efektom: </w:t>
      </w:r>
    </w:p>
    <w:p w14:paraId="217B6BC0" w14:textId="6C693CB2" w:rsidR="001C1504" w:rsidRPr="006565C6" w:rsidRDefault="001C1504" w:rsidP="00BE358D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20 mg/ml oralni rastvor sadrži </w:t>
      </w:r>
      <w:proofErr w:type="spellStart"/>
      <w:r w:rsidRPr="006565C6">
        <w:rPr>
          <w:sz w:val="22"/>
          <w:szCs w:val="22"/>
          <w:lang w:val="sr-Latn-RS"/>
        </w:rPr>
        <w:t>propilen</w:t>
      </w:r>
      <w:proofErr w:type="spellEnd"/>
      <w:r w:rsidR="00316A5B"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glikol</w:t>
      </w:r>
      <w:proofErr w:type="spellEnd"/>
      <w:r w:rsidR="00C900A2" w:rsidRPr="006565C6">
        <w:rPr>
          <w:sz w:val="22"/>
          <w:szCs w:val="22"/>
          <w:lang w:val="sr-Latn-RS"/>
        </w:rPr>
        <w:t xml:space="preserve">, natrijum </w:t>
      </w:r>
      <w:proofErr w:type="spellStart"/>
      <w:r w:rsidR="00C900A2" w:rsidRPr="006565C6">
        <w:rPr>
          <w:sz w:val="22"/>
          <w:szCs w:val="22"/>
          <w:lang w:val="sr-Latn-RS"/>
        </w:rPr>
        <w:t>benzoat</w:t>
      </w:r>
      <w:proofErr w:type="spellEnd"/>
      <w:r w:rsidR="00C900A2" w:rsidRPr="006565C6">
        <w:rPr>
          <w:sz w:val="22"/>
          <w:szCs w:val="22"/>
          <w:lang w:val="sr-Latn-RS"/>
        </w:rPr>
        <w:t xml:space="preserve"> i</w:t>
      </w:r>
      <w:r w:rsidRPr="006565C6">
        <w:rPr>
          <w:sz w:val="22"/>
          <w:szCs w:val="22"/>
          <w:lang w:val="sr-Latn-RS"/>
        </w:rPr>
        <w:t xml:space="preserve"> natrijum. </w:t>
      </w:r>
    </w:p>
    <w:p w14:paraId="5E027ABE" w14:textId="5623A5A8" w:rsidR="001C1504" w:rsidRPr="006565C6" w:rsidRDefault="000852B7" w:rsidP="00BE358D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Pogledati</w:t>
      </w:r>
      <w:r w:rsidR="001C1504" w:rsidRPr="006565C6">
        <w:rPr>
          <w:sz w:val="22"/>
          <w:szCs w:val="22"/>
          <w:lang w:val="sr-Latn-RS"/>
        </w:rPr>
        <w:t xml:space="preserve"> </w:t>
      </w:r>
      <w:proofErr w:type="spellStart"/>
      <w:r w:rsidR="001C1504" w:rsidRPr="006565C6">
        <w:rPr>
          <w:sz w:val="22"/>
          <w:szCs w:val="22"/>
          <w:lang w:val="sr-Latn-RS"/>
        </w:rPr>
        <w:t>dio</w:t>
      </w:r>
      <w:proofErr w:type="spellEnd"/>
      <w:r w:rsidR="001C1504" w:rsidRPr="006565C6">
        <w:rPr>
          <w:sz w:val="22"/>
          <w:szCs w:val="22"/>
          <w:lang w:val="sr-Latn-RS"/>
        </w:rPr>
        <w:t xml:space="preserve"> 4.4. </w:t>
      </w:r>
    </w:p>
    <w:p w14:paraId="38806FDB" w14:textId="77777777" w:rsidR="004432A0" w:rsidRPr="006565C6" w:rsidRDefault="004432A0" w:rsidP="00BE358D">
      <w:pPr>
        <w:jc w:val="both"/>
        <w:rPr>
          <w:sz w:val="22"/>
          <w:szCs w:val="22"/>
          <w:lang w:val="sr-Latn-RS"/>
        </w:rPr>
      </w:pPr>
    </w:p>
    <w:p w14:paraId="6DA36E82" w14:textId="77777777" w:rsidR="0003793F" w:rsidRPr="006565C6" w:rsidRDefault="0003793F" w:rsidP="00BE358D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Za spisak svih </w:t>
      </w:r>
      <w:proofErr w:type="spellStart"/>
      <w:r w:rsidRPr="006565C6">
        <w:rPr>
          <w:sz w:val="22"/>
          <w:szCs w:val="22"/>
          <w:lang w:val="sr-Latn-RS"/>
        </w:rPr>
        <w:t>ekscipijenasa</w:t>
      </w:r>
      <w:proofErr w:type="spellEnd"/>
      <w:r w:rsidRPr="006565C6">
        <w:rPr>
          <w:sz w:val="22"/>
          <w:szCs w:val="22"/>
          <w:lang w:val="sr-Latn-RS"/>
        </w:rPr>
        <w:t xml:space="preserve">, pogledati </w:t>
      </w:r>
      <w:proofErr w:type="spellStart"/>
      <w:r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6.1.</w:t>
      </w:r>
    </w:p>
    <w:p w14:paraId="6DA36E83" w14:textId="77777777" w:rsidR="0003793F" w:rsidRPr="006565C6" w:rsidRDefault="0003793F" w:rsidP="00742703">
      <w:pPr>
        <w:jc w:val="both"/>
        <w:rPr>
          <w:sz w:val="22"/>
          <w:szCs w:val="22"/>
          <w:lang w:val="sr-Latn-RS"/>
        </w:rPr>
      </w:pPr>
    </w:p>
    <w:p w14:paraId="6DA36E84" w14:textId="77777777" w:rsidR="00C37FD7" w:rsidRPr="006565C6" w:rsidRDefault="00C37FD7" w:rsidP="00742703">
      <w:pPr>
        <w:jc w:val="both"/>
        <w:rPr>
          <w:sz w:val="22"/>
          <w:szCs w:val="22"/>
          <w:lang w:val="sr-Latn-RS"/>
        </w:rPr>
      </w:pPr>
    </w:p>
    <w:p w14:paraId="6DA36E85" w14:textId="77777777" w:rsidR="00411B4B" w:rsidRPr="006565C6" w:rsidRDefault="00411B4B" w:rsidP="007427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3. </w:t>
      </w:r>
      <w:r w:rsidR="00F5167F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FARMACEUTSKI OBLIK</w:t>
      </w:r>
      <w:r w:rsidR="009F2D23" w:rsidRPr="006565C6">
        <w:rPr>
          <w:b/>
          <w:bCs/>
          <w:sz w:val="22"/>
          <w:szCs w:val="22"/>
          <w:lang w:val="sr-Latn-RS"/>
        </w:rPr>
        <w:t xml:space="preserve"> </w:t>
      </w:r>
    </w:p>
    <w:p w14:paraId="1466CD0B" w14:textId="77777777" w:rsidR="00616A92" w:rsidRPr="006565C6" w:rsidRDefault="00616A92" w:rsidP="007427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73EB8D8" w14:textId="77777777" w:rsidR="00616A92" w:rsidRPr="006565C6" w:rsidRDefault="00616A92" w:rsidP="0074270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Oralni rastvor</w:t>
      </w:r>
    </w:p>
    <w:p w14:paraId="2C45F69C" w14:textId="77777777" w:rsidR="00616A92" w:rsidRPr="006565C6" w:rsidRDefault="00616A92" w:rsidP="0074270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Bistri, bezbojni rastvor</w:t>
      </w:r>
    </w:p>
    <w:p w14:paraId="131284BC" w14:textId="77777777" w:rsidR="00616A92" w:rsidRPr="006565C6" w:rsidRDefault="00616A92" w:rsidP="00742703">
      <w:pPr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pH</w:t>
      </w:r>
      <w:proofErr w:type="spellEnd"/>
      <w:r w:rsidRPr="006565C6">
        <w:rPr>
          <w:sz w:val="22"/>
          <w:szCs w:val="22"/>
          <w:lang w:val="sr-Latn-RS"/>
        </w:rPr>
        <w:t xml:space="preserve"> 3,5 do 4,5</w:t>
      </w:r>
    </w:p>
    <w:p w14:paraId="6DA36E87" w14:textId="17DE3EFC" w:rsidR="00EC2532" w:rsidRDefault="00EC2532" w:rsidP="00742703">
      <w:pPr>
        <w:jc w:val="both"/>
        <w:rPr>
          <w:bCs/>
          <w:sz w:val="22"/>
          <w:szCs w:val="22"/>
          <w:lang w:val="sr-Latn-RS"/>
        </w:rPr>
      </w:pPr>
    </w:p>
    <w:p w14:paraId="442302B8" w14:textId="77777777" w:rsidR="006565C6" w:rsidRPr="006565C6" w:rsidRDefault="006565C6" w:rsidP="00742703">
      <w:pPr>
        <w:jc w:val="both"/>
        <w:rPr>
          <w:bCs/>
          <w:sz w:val="22"/>
          <w:szCs w:val="22"/>
          <w:lang w:val="sr-Latn-RS"/>
        </w:rPr>
      </w:pPr>
    </w:p>
    <w:p w14:paraId="6DA36E88" w14:textId="77777777" w:rsidR="00411B4B" w:rsidRPr="006565C6" w:rsidRDefault="00411B4B" w:rsidP="007427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KLINIČKI PODACI</w:t>
      </w:r>
    </w:p>
    <w:p w14:paraId="6DA36E89" w14:textId="77777777" w:rsidR="00CD6F02" w:rsidRPr="006565C6" w:rsidRDefault="00CD6F02" w:rsidP="0074270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8A" w14:textId="77777777" w:rsidR="00411B4B" w:rsidRPr="006565C6" w:rsidRDefault="00411B4B" w:rsidP="007427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4.1.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Terapijske indikacije</w:t>
      </w:r>
    </w:p>
    <w:p w14:paraId="121F4994" w14:textId="77777777" w:rsidR="00D655E7" w:rsidRPr="006565C6" w:rsidRDefault="00D655E7" w:rsidP="007427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DA36E8B" w14:textId="208946EB" w:rsidR="00411B4B" w:rsidRPr="006565C6" w:rsidRDefault="00D655E7" w:rsidP="00742703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20 mg/ml oralni rastvor </w:t>
      </w:r>
      <w:proofErr w:type="spellStart"/>
      <w:r w:rsidRPr="006565C6">
        <w:rPr>
          <w:sz w:val="22"/>
          <w:szCs w:val="22"/>
          <w:lang w:val="sr-Latn-RS"/>
        </w:rPr>
        <w:t>indikovan</w:t>
      </w:r>
      <w:proofErr w:type="spellEnd"/>
      <w:r w:rsidRPr="006565C6">
        <w:rPr>
          <w:sz w:val="22"/>
          <w:szCs w:val="22"/>
          <w:lang w:val="sr-Latn-RS"/>
        </w:rPr>
        <w:t xml:space="preserve"> je za ublažavanje </w:t>
      </w:r>
      <w:proofErr w:type="spellStart"/>
      <w:r w:rsidRPr="006565C6">
        <w:rPr>
          <w:sz w:val="22"/>
          <w:szCs w:val="22"/>
          <w:lang w:val="sr-Latn-RS"/>
        </w:rPr>
        <w:t>umjeren</w:t>
      </w:r>
      <w:r w:rsidR="00992F33" w:rsidRPr="006565C6">
        <w:rPr>
          <w:sz w:val="22"/>
          <w:szCs w:val="22"/>
          <w:lang w:val="sr-Latn-RS"/>
        </w:rPr>
        <w:t>og</w:t>
      </w:r>
      <w:proofErr w:type="spellEnd"/>
      <w:r w:rsidR="00992F33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>do jak</w:t>
      </w:r>
      <w:r w:rsidR="00992F33" w:rsidRPr="006565C6">
        <w:rPr>
          <w:sz w:val="22"/>
          <w:szCs w:val="22"/>
          <w:lang w:val="sr-Latn-RS"/>
        </w:rPr>
        <w:t>og</w:t>
      </w:r>
      <w:r w:rsidRPr="006565C6">
        <w:rPr>
          <w:sz w:val="22"/>
          <w:szCs w:val="22"/>
          <w:lang w:val="sr-Latn-RS"/>
        </w:rPr>
        <w:t xml:space="preserve"> akutn</w:t>
      </w:r>
      <w:r w:rsidR="00992F33" w:rsidRPr="006565C6">
        <w:rPr>
          <w:sz w:val="22"/>
          <w:szCs w:val="22"/>
          <w:lang w:val="sr-Latn-RS"/>
        </w:rPr>
        <w:t>og</w:t>
      </w:r>
      <w:r w:rsidRPr="006565C6">
        <w:rPr>
          <w:sz w:val="22"/>
          <w:szCs w:val="22"/>
          <w:lang w:val="sr-Latn-RS"/>
        </w:rPr>
        <w:t xml:space="preserve"> bol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</w:t>
      </w:r>
      <w:r w:rsidR="00992F33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starije od 2 godine i </w:t>
      </w:r>
      <w:proofErr w:type="spellStart"/>
      <w:r w:rsidRPr="006565C6">
        <w:rPr>
          <w:sz w:val="22"/>
          <w:szCs w:val="22"/>
          <w:lang w:val="sr-Latn-RS"/>
        </w:rPr>
        <w:t>tjelesne</w:t>
      </w:r>
      <w:proofErr w:type="spellEnd"/>
      <w:r w:rsidRPr="006565C6">
        <w:rPr>
          <w:sz w:val="22"/>
          <w:szCs w:val="22"/>
          <w:lang w:val="sr-Latn-RS"/>
        </w:rPr>
        <w:t xml:space="preserve"> težine veće od 16 kg</w:t>
      </w:r>
      <w:r w:rsidR="00992F33" w:rsidRPr="006565C6">
        <w:rPr>
          <w:sz w:val="22"/>
          <w:szCs w:val="22"/>
          <w:lang w:val="sr-Latn-RS"/>
        </w:rPr>
        <w:t>,</w:t>
      </w:r>
      <w:r w:rsidR="000C00D9" w:rsidRPr="006565C6">
        <w:rPr>
          <w:sz w:val="22"/>
          <w:szCs w:val="22"/>
          <w:lang w:val="sr-Latn-RS"/>
        </w:rPr>
        <w:t xml:space="preserve"> </w:t>
      </w:r>
      <w:r w:rsidR="00992F33" w:rsidRPr="006565C6">
        <w:rPr>
          <w:sz w:val="22"/>
          <w:szCs w:val="22"/>
          <w:lang w:val="sr-Latn-RS"/>
        </w:rPr>
        <w:t xml:space="preserve">kao i kod </w:t>
      </w:r>
      <w:r w:rsidRPr="006565C6">
        <w:rPr>
          <w:sz w:val="22"/>
          <w:szCs w:val="22"/>
          <w:lang w:val="sr-Latn-RS"/>
        </w:rPr>
        <w:t xml:space="preserve">odraslih koja se samo 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analgeticima može odgovarajuće ublažiti.</w:t>
      </w:r>
    </w:p>
    <w:p w14:paraId="6FAB5E09" w14:textId="77777777" w:rsidR="00D655E7" w:rsidRPr="006565C6" w:rsidRDefault="00D655E7" w:rsidP="000C00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8C" w14:textId="77777777" w:rsidR="00411B4B" w:rsidRPr="006565C6" w:rsidRDefault="00411B4B" w:rsidP="000C00D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4.2.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 xml:space="preserve">Doziranje i način </w:t>
      </w:r>
      <w:proofErr w:type="spellStart"/>
      <w:r w:rsidRPr="006565C6">
        <w:rPr>
          <w:b/>
          <w:bCs/>
          <w:sz w:val="22"/>
          <w:szCs w:val="22"/>
          <w:lang w:val="sr-Latn-RS"/>
        </w:rPr>
        <w:t>primjene</w:t>
      </w:r>
      <w:proofErr w:type="spellEnd"/>
    </w:p>
    <w:p w14:paraId="6DA36E8D" w14:textId="77777777" w:rsidR="0072020E" w:rsidRPr="006565C6" w:rsidRDefault="0072020E" w:rsidP="000C00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8E" w14:textId="77777777" w:rsidR="00452E9D" w:rsidRPr="006565C6" w:rsidRDefault="00452E9D" w:rsidP="000C00D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6565C6">
        <w:rPr>
          <w:bCs/>
          <w:sz w:val="22"/>
          <w:szCs w:val="22"/>
          <w:u w:val="single"/>
          <w:lang w:val="sr-Latn-RS"/>
        </w:rPr>
        <w:t>Doziranje</w:t>
      </w:r>
    </w:p>
    <w:p w14:paraId="6DA36E8F" w14:textId="77777777" w:rsidR="00452E9D" w:rsidRPr="006565C6" w:rsidRDefault="00452E9D" w:rsidP="000C00D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064BD751" w14:textId="5E3C4061" w:rsidR="00940592" w:rsidRPr="006565C6" w:rsidRDefault="00940592" w:rsidP="000C00D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Upotreba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oralnog rastvora 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ograničena je na bolničku </w:t>
      </w:r>
      <w:proofErr w:type="spellStart"/>
      <w:r w:rsidRPr="006565C6">
        <w:rPr>
          <w:sz w:val="22"/>
          <w:szCs w:val="22"/>
          <w:lang w:val="sr-Latn-RS"/>
        </w:rPr>
        <w:t>primjenu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gdje</w:t>
      </w:r>
      <w:proofErr w:type="spellEnd"/>
      <w:r w:rsidRPr="006565C6">
        <w:rPr>
          <w:sz w:val="22"/>
          <w:szCs w:val="22"/>
          <w:lang w:val="sr-Latn-RS"/>
        </w:rPr>
        <w:t xml:space="preserve"> je dostupna odgovarajuća oprema za respiratornu potporu.</w:t>
      </w:r>
    </w:p>
    <w:p w14:paraId="424ACE00" w14:textId="77777777" w:rsidR="006F724C" w:rsidRPr="006565C6" w:rsidRDefault="006F724C" w:rsidP="000C00D9">
      <w:pPr>
        <w:pStyle w:val="Default"/>
        <w:jc w:val="both"/>
        <w:rPr>
          <w:sz w:val="22"/>
          <w:szCs w:val="22"/>
          <w:lang w:val="sr-Latn-RS"/>
        </w:rPr>
      </w:pPr>
    </w:p>
    <w:p w14:paraId="268FEAB6" w14:textId="6F40AE1F" w:rsidR="00940592" w:rsidRPr="006565C6" w:rsidRDefault="00940592" w:rsidP="000C00D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Režim doziranja treba individualno prilagoditi prema intenzitetu bol</w:t>
      </w:r>
      <w:r w:rsidR="00992F33" w:rsidRPr="006565C6">
        <w:rPr>
          <w:sz w:val="22"/>
          <w:szCs w:val="22"/>
          <w:lang w:val="sr-Latn-RS"/>
        </w:rPr>
        <w:t xml:space="preserve">a </w:t>
      </w:r>
      <w:r w:rsidRPr="006565C6">
        <w:rPr>
          <w:sz w:val="22"/>
          <w:szCs w:val="22"/>
          <w:lang w:val="sr-Latn-RS"/>
        </w:rPr>
        <w:t>koj</w:t>
      </w:r>
      <w:r w:rsidR="00992F33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 xml:space="preserve"> se </w:t>
      </w:r>
      <w:proofErr w:type="spellStart"/>
      <w:r w:rsidRPr="006565C6">
        <w:rPr>
          <w:sz w:val="22"/>
          <w:szCs w:val="22"/>
          <w:lang w:val="sr-Latn-RS"/>
        </w:rPr>
        <w:t>liječi</w:t>
      </w:r>
      <w:proofErr w:type="spellEnd"/>
      <w:r w:rsidRPr="006565C6">
        <w:rPr>
          <w:sz w:val="22"/>
          <w:szCs w:val="22"/>
          <w:lang w:val="sr-Latn-RS"/>
        </w:rPr>
        <w:t>, prethodnom iskustvu s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liječenjem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992F33" w:rsidRPr="006565C6">
        <w:rPr>
          <w:sz w:val="22"/>
          <w:szCs w:val="22"/>
          <w:lang w:val="sr-Latn-RS"/>
        </w:rPr>
        <w:t xml:space="preserve">kao i </w:t>
      </w:r>
      <w:r w:rsidRPr="006565C6">
        <w:rPr>
          <w:sz w:val="22"/>
          <w:szCs w:val="22"/>
          <w:lang w:val="sr-Latn-RS"/>
        </w:rPr>
        <w:t>prema mogućnosti praćenja</w:t>
      </w:r>
      <w:r w:rsidR="00ED5137" w:rsidRPr="006565C6">
        <w:rPr>
          <w:sz w:val="22"/>
          <w:szCs w:val="22"/>
          <w:lang w:val="sr-Latn-RS"/>
        </w:rPr>
        <w:t xml:space="preserve"> </w:t>
      </w:r>
      <w:r w:rsidR="00992F33" w:rsidRPr="006565C6">
        <w:rPr>
          <w:sz w:val="22"/>
          <w:szCs w:val="22"/>
          <w:lang w:val="sr-Latn-RS"/>
        </w:rPr>
        <w:t>pacijenta</w:t>
      </w:r>
      <w:r w:rsidRPr="006565C6">
        <w:rPr>
          <w:sz w:val="22"/>
          <w:szCs w:val="22"/>
          <w:lang w:val="sr-Latn-RS"/>
        </w:rPr>
        <w:t xml:space="preserve">. </w:t>
      </w:r>
    </w:p>
    <w:p w14:paraId="035E8375" w14:textId="77777777" w:rsidR="00D342BE" w:rsidRPr="006565C6" w:rsidRDefault="00D342BE" w:rsidP="000C00D9">
      <w:pPr>
        <w:pStyle w:val="Default"/>
        <w:jc w:val="both"/>
        <w:rPr>
          <w:sz w:val="22"/>
          <w:szCs w:val="22"/>
          <w:lang w:val="sr-Latn-RS"/>
        </w:rPr>
      </w:pPr>
    </w:p>
    <w:p w14:paraId="7A2C0900" w14:textId="77777777" w:rsidR="00940592" w:rsidRPr="006565C6" w:rsidRDefault="00940592" w:rsidP="000C00D9">
      <w:pPr>
        <w:pStyle w:val="Default"/>
        <w:jc w:val="both"/>
        <w:rPr>
          <w:sz w:val="22"/>
          <w:szCs w:val="22"/>
          <w:u w:val="single"/>
          <w:lang w:val="sr-Latn-RS"/>
        </w:rPr>
      </w:pPr>
      <w:r w:rsidRPr="006565C6">
        <w:rPr>
          <w:sz w:val="22"/>
          <w:szCs w:val="22"/>
          <w:u w:val="single"/>
          <w:lang w:val="sr-Latn-RS"/>
        </w:rPr>
        <w:t xml:space="preserve">Odrasli </w:t>
      </w:r>
    </w:p>
    <w:p w14:paraId="066250BF" w14:textId="65FE6CE6" w:rsidR="00940592" w:rsidRPr="006565C6" w:rsidRDefault="00940592" w:rsidP="000C00D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Bolesnici trebaju započeti </w:t>
      </w:r>
      <w:proofErr w:type="spellStart"/>
      <w:r w:rsidRPr="006565C6">
        <w:rPr>
          <w:sz w:val="22"/>
          <w:szCs w:val="22"/>
          <w:lang w:val="sr-Latn-RS"/>
        </w:rPr>
        <w:t>liječenje</w:t>
      </w:r>
      <w:proofErr w:type="spellEnd"/>
      <w:r w:rsidRPr="006565C6">
        <w:rPr>
          <w:sz w:val="22"/>
          <w:szCs w:val="22"/>
          <w:lang w:val="sr-Latn-RS"/>
        </w:rPr>
        <w:t xml:space="preserve"> s jednokratnim dozama od 50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u obliku oralnog rastvora koja se </w:t>
      </w:r>
      <w:proofErr w:type="spellStart"/>
      <w:r w:rsidRPr="006565C6">
        <w:rPr>
          <w:sz w:val="22"/>
          <w:szCs w:val="22"/>
          <w:lang w:val="sr-Latn-RS"/>
        </w:rPr>
        <w:t>primjenjuje</w:t>
      </w:r>
      <w:proofErr w:type="spellEnd"/>
      <w:r w:rsidRPr="006565C6">
        <w:rPr>
          <w:sz w:val="22"/>
          <w:szCs w:val="22"/>
          <w:lang w:val="sr-Latn-RS"/>
        </w:rPr>
        <w:t xml:space="preserve"> svaka 4 do 6 sati. Mogu biti potrebne veće početne doze, što </w:t>
      </w:r>
      <w:r w:rsidR="00992F33" w:rsidRPr="006565C6">
        <w:rPr>
          <w:sz w:val="22"/>
          <w:szCs w:val="22"/>
          <w:lang w:val="sr-Latn-RS"/>
        </w:rPr>
        <w:t xml:space="preserve">zavisi od </w:t>
      </w:r>
      <w:r w:rsidRPr="006565C6">
        <w:rPr>
          <w:sz w:val="22"/>
          <w:szCs w:val="22"/>
          <w:lang w:val="sr-Latn-RS"/>
        </w:rPr>
        <w:t>intenzitet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bol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i prethodnoj anamnezi potrebe </w:t>
      </w:r>
      <w:r w:rsidR="00992F33" w:rsidRPr="006565C6">
        <w:rPr>
          <w:sz w:val="22"/>
          <w:szCs w:val="22"/>
          <w:lang w:val="sr-Latn-RS"/>
        </w:rPr>
        <w:t xml:space="preserve">pacijenta </w:t>
      </w:r>
      <w:r w:rsidRPr="006565C6">
        <w:rPr>
          <w:sz w:val="22"/>
          <w:szCs w:val="22"/>
          <w:lang w:val="sr-Latn-RS"/>
        </w:rPr>
        <w:t xml:space="preserve">za analgeticima. </w:t>
      </w:r>
    </w:p>
    <w:p w14:paraId="04C059BA" w14:textId="2BBF3CFF" w:rsidR="00940592" w:rsidRPr="006565C6" w:rsidRDefault="00940592" w:rsidP="003679DA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Prvoga dana doziranja, ako se ne postigne kontrola bol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, može se uzeti dodatna doza već jedan sat nakon početne doze. Dozu </w:t>
      </w:r>
      <w:r w:rsidR="00992F33" w:rsidRPr="006565C6">
        <w:rPr>
          <w:sz w:val="22"/>
          <w:szCs w:val="22"/>
          <w:lang w:val="sr-Latn-RS"/>
        </w:rPr>
        <w:t xml:space="preserve">zatim </w:t>
      </w:r>
      <w:r w:rsidRPr="006565C6">
        <w:rPr>
          <w:sz w:val="22"/>
          <w:szCs w:val="22"/>
          <w:lang w:val="sr-Latn-RS"/>
        </w:rPr>
        <w:t xml:space="preserve">treba pojedinačno </w:t>
      </w:r>
      <w:proofErr w:type="spellStart"/>
      <w:r w:rsidRPr="006565C6">
        <w:rPr>
          <w:sz w:val="22"/>
          <w:szCs w:val="22"/>
          <w:lang w:val="sr-Latn-RS"/>
        </w:rPr>
        <w:t>titrirati</w:t>
      </w:r>
      <w:proofErr w:type="spellEnd"/>
      <w:r w:rsidRPr="006565C6">
        <w:rPr>
          <w:sz w:val="22"/>
          <w:szCs w:val="22"/>
          <w:lang w:val="sr-Latn-RS"/>
        </w:rPr>
        <w:t xml:space="preserve"> do koncentracije koja</w:t>
      </w:r>
      <w:r w:rsidR="00992F33" w:rsidRPr="006565C6">
        <w:rPr>
          <w:sz w:val="22"/>
          <w:szCs w:val="22"/>
          <w:lang w:val="sr-Latn-RS"/>
        </w:rPr>
        <w:t xml:space="preserve"> je </w:t>
      </w:r>
      <w:r w:rsidRPr="006565C6">
        <w:rPr>
          <w:sz w:val="22"/>
          <w:szCs w:val="22"/>
          <w:lang w:val="sr-Latn-RS"/>
        </w:rPr>
        <w:t xml:space="preserve">pod pažljivim praćenjem. </w:t>
      </w:r>
      <w:proofErr w:type="spellStart"/>
      <w:r w:rsidRPr="006565C6">
        <w:rPr>
          <w:sz w:val="22"/>
          <w:szCs w:val="22"/>
          <w:lang w:val="sr-Latn-RS"/>
        </w:rPr>
        <w:t>Ljekar</w:t>
      </w:r>
      <w:proofErr w:type="spellEnd"/>
      <w:r w:rsidRPr="006565C6">
        <w:rPr>
          <w:sz w:val="22"/>
          <w:szCs w:val="22"/>
          <w:lang w:val="sr-Latn-RS"/>
        </w:rPr>
        <w:t xml:space="preserve"> koji propisuje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, osigurava adekvatnu </w:t>
      </w:r>
      <w:proofErr w:type="spellStart"/>
      <w:r w:rsidRPr="006565C6">
        <w:rPr>
          <w:sz w:val="22"/>
          <w:szCs w:val="22"/>
          <w:lang w:val="sr-Latn-RS"/>
        </w:rPr>
        <w:t>analgeziju</w:t>
      </w:r>
      <w:proofErr w:type="spellEnd"/>
      <w:r w:rsidRPr="006565C6">
        <w:rPr>
          <w:sz w:val="22"/>
          <w:szCs w:val="22"/>
          <w:lang w:val="sr-Latn-RS"/>
        </w:rPr>
        <w:t xml:space="preserve">, a </w:t>
      </w:r>
      <w:r w:rsidR="00992F33" w:rsidRPr="006565C6">
        <w:rPr>
          <w:sz w:val="22"/>
          <w:szCs w:val="22"/>
          <w:lang w:val="sr-Latn-RS"/>
        </w:rPr>
        <w:t xml:space="preserve">neželjena dejstva </w:t>
      </w:r>
      <w:r w:rsidRPr="006565C6">
        <w:rPr>
          <w:sz w:val="22"/>
          <w:szCs w:val="22"/>
          <w:lang w:val="sr-Latn-RS"/>
        </w:rPr>
        <w:t xml:space="preserve">svodi na najmanju moguću </w:t>
      </w:r>
      <w:proofErr w:type="spellStart"/>
      <w:r w:rsidRPr="006565C6">
        <w:rPr>
          <w:sz w:val="22"/>
          <w:szCs w:val="22"/>
          <w:lang w:val="sr-Latn-RS"/>
        </w:rPr>
        <w:t>mjeru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</w:p>
    <w:p w14:paraId="623ED9BC" w14:textId="77777777" w:rsidR="00940592" w:rsidRPr="006565C6" w:rsidRDefault="00940592" w:rsidP="003679DA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lastRenderedPageBreak/>
        <w:t xml:space="preserve">Ukupne dnevne doze veće od 700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prvoga dana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, te dnevne doze održavanja veće od 600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nisu ispitane pa se zbog toga ne preporučuju.  </w:t>
      </w:r>
    </w:p>
    <w:p w14:paraId="2033DEBC" w14:textId="77777777" w:rsidR="00940592" w:rsidRPr="006565C6" w:rsidRDefault="00940592" w:rsidP="006C2ABA">
      <w:pPr>
        <w:pStyle w:val="Default"/>
        <w:jc w:val="both"/>
        <w:rPr>
          <w:sz w:val="22"/>
          <w:szCs w:val="22"/>
          <w:lang w:val="sr-Latn-RS"/>
        </w:rPr>
      </w:pPr>
    </w:p>
    <w:p w14:paraId="00F4992F" w14:textId="0BEEA962" w:rsidR="00940592" w:rsidRPr="006565C6" w:rsidRDefault="00940592" w:rsidP="006C2ABA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6565C6">
        <w:rPr>
          <w:color w:val="auto"/>
          <w:sz w:val="22"/>
          <w:szCs w:val="22"/>
          <w:lang w:val="sr-Latn-RS"/>
        </w:rPr>
        <w:t>Tab</w:t>
      </w:r>
      <w:r w:rsidR="00992F33" w:rsidRPr="006565C6">
        <w:rPr>
          <w:color w:val="auto"/>
          <w:sz w:val="22"/>
          <w:szCs w:val="22"/>
          <w:lang w:val="sr-Latn-RS"/>
        </w:rPr>
        <w:t>ela</w:t>
      </w:r>
      <w:r w:rsidRPr="006565C6">
        <w:rPr>
          <w:color w:val="auto"/>
          <w:sz w:val="22"/>
          <w:szCs w:val="22"/>
          <w:lang w:val="sr-Latn-RS"/>
        </w:rPr>
        <w:t xml:space="preserve"> za </w:t>
      </w:r>
      <w:r w:rsidR="00992F33" w:rsidRPr="006565C6">
        <w:rPr>
          <w:color w:val="auto"/>
          <w:sz w:val="22"/>
          <w:szCs w:val="22"/>
          <w:lang w:val="sr-Latn-RS"/>
        </w:rPr>
        <w:t xml:space="preserve">računanje </w:t>
      </w:r>
      <w:proofErr w:type="spellStart"/>
      <w:r w:rsidRPr="006565C6">
        <w:rPr>
          <w:color w:val="auto"/>
          <w:sz w:val="22"/>
          <w:szCs w:val="22"/>
          <w:lang w:val="sr-Latn-RS"/>
        </w:rPr>
        <w:t>PALEXIA</w:t>
      </w:r>
      <w:proofErr w:type="spellEnd"/>
      <w:r w:rsidRPr="006565C6">
        <w:rPr>
          <w:color w:val="auto"/>
          <w:sz w:val="22"/>
          <w:szCs w:val="22"/>
          <w:lang w:val="sr-Latn-RS"/>
        </w:rPr>
        <w:t xml:space="preserve"> </w:t>
      </w:r>
      <w:r w:rsidRPr="006565C6">
        <w:rPr>
          <w:b/>
          <w:bCs/>
          <w:color w:val="auto"/>
          <w:sz w:val="22"/>
          <w:szCs w:val="22"/>
          <w:lang w:val="sr-Latn-RS"/>
        </w:rPr>
        <w:t xml:space="preserve">20 mg/ml </w:t>
      </w:r>
      <w:r w:rsidRPr="006565C6">
        <w:rPr>
          <w:color w:val="auto"/>
          <w:sz w:val="22"/>
          <w:szCs w:val="22"/>
          <w:lang w:val="sr-Latn-RS"/>
        </w:rPr>
        <w:t>oralnog rastvora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4277"/>
      </w:tblGrid>
      <w:tr w:rsidR="00940592" w:rsidRPr="006565C6" w14:paraId="43DDB873" w14:textId="77777777" w:rsidTr="00992F33">
        <w:trPr>
          <w:trHeight w:val="135"/>
        </w:trPr>
        <w:tc>
          <w:tcPr>
            <w:tcW w:w="4277" w:type="dxa"/>
          </w:tcPr>
          <w:p w14:paraId="42A54D1B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color w:val="auto"/>
                <w:sz w:val="22"/>
                <w:szCs w:val="22"/>
                <w:lang w:val="sr-Latn-RS"/>
              </w:rPr>
              <w:t xml:space="preserve"> </w:t>
            </w:r>
            <w:r w:rsidRPr="006565C6">
              <w:rPr>
                <w:sz w:val="22"/>
                <w:szCs w:val="22"/>
                <w:lang w:val="sr-Latn-RS"/>
              </w:rPr>
              <w:t xml:space="preserve">Propisana jednokratna doza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tapentadola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277" w:type="dxa"/>
          </w:tcPr>
          <w:p w14:paraId="5A8BE504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Volumen (ml) koji treba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primijeniti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</w:p>
        </w:tc>
      </w:tr>
      <w:tr w:rsidR="00940592" w:rsidRPr="006565C6" w14:paraId="36DD4F9C" w14:textId="77777777" w:rsidTr="00992F33">
        <w:trPr>
          <w:trHeight w:val="100"/>
        </w:trPr>
        <w:tc>
          <w:tcPr>
            <w:tcW w:w="4277" w:type="dxa"/>
          </w:tcPr>
          <w:p w14:paraId="2BF9E021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25 mg </w:t>
            </w:r>
          </w:p>
        </w:tc>
        <w:tc>
          <w:tcPr>
            <w:tcW w:w="4277" w:type="dxa"/>
          </w:tcPr>
          <w:p w14:paraId="2C182F5A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1,25 ml </w:t>
            </w:r>
          </w:p>
        </w:tc>
      </w:tr>
      <w:tr w:rsidR="00940592" w:rsidRPr="006565C6" w14:paraId="55B9ED1E" w14:textId="77777777" w:rsidTr="00992F33">
        <w:trPr>
          <w:trHeight w:val="100"/>
        </w:trPr>
        <w:tc>
          <w:tcPr>
            <w:tcW w:w="4277" w:type="dxa"/>
          </w:tcPr>
          <w:p w14:paraId="6343EB30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50 mg </w:t>
            </w:r>
          </w:p>
        </w:tc>
        <w:tc>
          <w:tcPr>
            <w:tcW w:w="4277" w:type="dxa"/>
          </w:tcPr>
          <w:p w14:paraId="3FA27045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2,5 ml </w:t>
            </w:r>
          </w:p>
        </w:tc>
      </w:tr>
      <w:tr w:rsidR="00940592" w:rsidRPr="006565C6" w14:paraId="1352F12F" w14:textId="77777777" w:rsidTr="00992F33">
        <w:trPr>
          <w:trHeight w:val="100"/>
        </w:trPr>
        <w:tc>
          <w:tcPr>
            <w:tcW w:w="4277" w:type="dxa"/>
          </w:tcPr>
          <w:p w14:paraId="58CA80DF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75 mg </w:t>
            </w:r>
          </w:p>
        </w:tc>
        <w:tc>
          <w:tcPr>
            <w:tcW w:w="4277" w:type="dxa"/>
          </w:tcPr>
          <w:p w14:paraId="6BBED735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3,75 ml </w:t>
            </w:r>
          </w:p>
        </w:tc>
      </w:tr>
      <w:tr w:rsidR="00940592" w:rsidRPr="006565C6" w14:paraId="16BB421F" w14:textId="77777777" w:rsidTr="00992F33">
        <w:trPr>
          <w:trHeight w:val="100"/>
        </w:trPr>
        <w:tc>
          <w:tcPr>
            <w:tcW w:w="4277" w:type="dxa"/>
          </w:tcPr>
          <w:p w14:paraId="6FFB6553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100 mg </w:t>
            </w:r>
          </w:p>
        </w:tc>
        <w:tc>
          <w:tcPr>
            <w:tcW w:w="4277" w:type="dxa"/>
          </w:tcPr>
          <w:p w14:paraId="1A6B0569" w14:textId="77777777" w:rsidR="00940592" w:rsidRPr="006565C6" w:rsidRDefault="00940592" w:rsidP="006C2ABA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 ml </w:t>
            </w:r>
          </w:p>
        </w:tc>
      </w:tr>
    </w:tbl>
    <w:p w14:paraId="28E462D9" w14:textId="77777777" w:rsidR="00940592" w:rsidRPr="006565C6" w:rsidRDefault="00940592" w:rsidP="006C2ABA">
      <w:pPr>
        <w:jc w:val="both"/>
        <w:rPr>
          <w:sz w:val="22"/>
          <w:szCs w:val="22"/>
          <w:lang w:val="sr-Latn-RS"/>
        </w:rPr>
      </w:pPr>
    </w:p>
    <w:p w14:paraId="335239A2" w14:textId="3E1B182A" w:rsidR="00B81D07" w:rsidRPr="006565C6" w:rsidRDefault="00B81D07" w:rsidP="006C2ABA">
      <w:pPr>
        <w:jc w:val="both"/>
        <w:rPr>
          <w:i/>
          <w:iCs/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>Tr</w:t>
      </w:r>
      <w:r w:rsidR="00FD1935" w:rsidRPr="006565C6">
        <w:rPr>
          <w:i/>
          <w:iCs/>
          <w:sz w:val="22"/>
          <w:szCs w:val="22"/>
          <w:lang w:val="sr-Latn-RS"/>
        </w:rPr>
        <w:t xml:space="preserve">ajanje </w:t>
      </w:r>
      <w:proofErr w:type="spellStart"/>
      <w:r w:rsidR="00522460" w:rsidRPr="006565C6">
        <w:rPr>
          <w:i/>
          <w:sz w:val="22"/>
          <w:szCs w:val="22"/>
          <w:lang w:val="sr-Latn-RS"/>
        </w:rPr>
        <w:t>liječenja</w:t>
      </w:r>
      <w:proofErr w:type="spellEnd"/>
    </w:p>
    <w:p w14:paraId="5CB0F287" w14:textId="6C33F0FC" w:rsidR="00940592" w:rsidRPr="006565C6" w:rsidRDefault="00940592" w:rsidP="006C2ABA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Oralni rastvor je </w:t>
      </w:r>
      <w:proofErr w:type="spellStart"/>
      <w:r w:rsidRPr="006565C6">
        <w:rPr>
          <w:sz w:val="22"/>
          <w:szCs w:val="22"/>
          <w:lang w:val="sr-Latn-RS"/>
        </w:rPr>
        <w:t>namijenjen</w:t>
      </w:r>
      <w:proofErr w:type="spellEnd"/>
      <w:r w:rsidRPr="006565C6">
        <w:rPr>
          <w:sz w:val="22"/>
          <w:szCs w:val="22"/>
          <w:lang w:val="sr-Latn-RS"/>
        </w:rPr>
        <w:t xml:space="preserve"> za stanja akutn</w:t>
      </w:r>
      <w:r w:rsidR="00992F33" w:rsidRPr="006565C6">
        <w:rPr>
          <w:sz w:val="22"/>
          <w:szCs w:val="22"/>
          <w:lang w:val="sr-Latn-RS"/>
        </w:rPr>
        <w:t>og</w:t>
      </w:r>
      <w:r w:rsidRPr="006565C6">
        <w:rPr>
          <w:sz w:val="22"/>
          <w:szCs w:val="22"/>
          <w:lang w:val="sr-Latn-RS"/>
        </w:rPr>
        <w:t xml:space="preserve"> bol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. Ako se </w:t>
      </w:r>
      <w:r w:rsidR="00992F33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odraslih </w:t>
      </w:r>
      <w:r w:rsidR="00992F33" w:rsidRPr="006565C6">
        <w:rPr>
          <w:sz w:val="22"/>
          <w:szCs w:val="22"/>
          <w:lang w:val="sr-Latn-RS"/>
        </w:rPr>
        <w:t xml:space="preserve">pacijenata </w:t>
      </w:r>
      <w:r w:rsidRPr="006565C6">
        <w:rPr>
          <w:sz w:val="22"/>
          <w:szCs w:val="22"/>
          <w:lang w:val="sr-Latn-RS"/>
        </w:rPr>
        <w:t xml:space="preserve">predviđa dugotrajno </w:t>
      </w:r>
      <w:proofErr w:type="spellStart"/>
      <w:r w:rsidRPr="006565C6">
        <w:rPr>
          <w:sz w:val="22"/>
          <w:szCs w:val="22"/>
          <w:lang w:val="sr-Latn-RS"/>
        </w:rPr>
        <w:t>liječenje</w:t>
      </w:r>
      <w:proofErr w:type="spellEnd"/>
      <w:r w:rsidRPr="006565C6">
        <w:rPr>
          <w:sz w:val="22"/>
          <w:szCs w:val="22"/>
          <w:lang w:val="sr-Latn-RS"/>
        </w:rPr>
        <w:t xml:space="preserve"> ili ono postane nužno, a postignuto je </w:t>
      </w:r>
      <w:proofErr w:type="spellStart"/>
      <w:r w:rsidRPr="006565C6">
        <w:rPr>
          <w:sz w:val="22"/>
          <w:szCs w:val="22"/>
          <w:lang w:val="sr-Latn-RS"/>
        </w:rPr>
        <w:t>efiksano</w:t>
      </w:r>
      <w:proofErr w:type="spellEnd"/>
      <w:r w:rsidRPr="006565C6">
        <w:rPr>
          <w:sz w:val="22"/>
          <w:szCs w:val="22"/>
          <w:lang w:val="sr-Latn-RS"/>
        </w:rPr>
        <w:t xml:space="preserve"> ublažavanje bol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uz odsustvo nepodnošljivih štetnih događaja sa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oralnim rastvorom, treba razmisliti o mogućnosti prelaska </w:t>
      </w:r>
      <w:r w:rsidR="00992F33" w:rsidRPr="006565C6">
        <w:rPr>
          <w:sz w:val="22"/>
          <w:szCs w:val="22"/>
          <w:lang w:val="sr-Latn-RS"/>
        </w:rPr>
        <w:t xml:space="preserve">pacijenata </w:t>
      </w:r>
      <w:r w:rsidRPr="006565C6">
        <w:rPr>
          <w:sz w:val="22"/>
          <w:szCs w:val="22"/>
          <w:lang w:val="sr-Latn-RS"/>
        </w:rPr>
        <w:t xml:space="preserve">na terapiju sa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tablet</w:t>
      </w:r>
      <w:r w:rsidR="00992F33" w:rsidRPr="006565C6">
        <w:rPr>
          <w:sz w:val="22"/>
          <w:szCs w:val="22"/>
          <w:lang w:val="sr-Latn-RS"/>
        </w:rPr>
        <w:t xml:space="preserve">ama </w:t>
      </w:r>
      <w:r w:rsidRPr="006565C6">
        <w:rPr>
          <w:sz w:val="22"/>
          <w:szCs w:val="22"/>
          <w:lang w:val="sr-Latn-RS"/>
        </w:rPr>
        <w:t xml:space="preserve">sa produženim oslobađanjem. Kao i u slučaju svakog </w:t>
      </w:r>
      <w:proofErr w:type="spellStart"/>
      <w:r w:rsidRPr="006565C6">
        <w:rPr>
          <w:sz w:val="22"/>
          <w:szCs w:val="22"/>
          <w:lang w:val="sr-Latn-RS"/>
        </w:rPr>
        <w:t>simptomatskog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, kontinuirana upotreba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se mora redovno </w:t>
      </w:r>
      <w:proofErr w:type="spellStart"/>
      <w:r w:rsidRPr="006565C6">
        <w:rPr>
          <w:sz w:val="22"/>
          <w:szCs w:val="22"/>
          <w:lang w:val="sr-Latn-RS"/>
        </w:rPr>
        <w:t>proc</w:t>
      </w:r>
      <w:r w:rsidR="00992F33" w:rsidRPr="006565C6">
        <w:rPr>
          <w:sz w:val="22"/>
          <w:szCs w:val="22"/>
          <w:lang w:val="sr-Latn-RS"/>
        </w:rPr>
        <w:t>jenjivati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0B54FAC4" w14:textId="77777777" w:rsidR="00940592" w:rsidRPr="006565C6" w:rsidRDefault="00940592" w:rsidP="006C2ABA">
      <w:pPr>
        <w:jc w:val="both"/>
        <w:rPr>
          <w:sz w:val="22"/>
          <w:szCs w:val="22"/>
          <w:lang w:val="sr-Latn-RS"/>
        </w:rPr>
      </w:pPr>
    </w:p>
    <w:p w14:paraId="5624DCE3" w14:textId="77777777" w:rsidR="00940592" w:rsidRPr="006565C6" w:rsidRDefault="00940592" w:rsidP="006C2ABA">
      <w:pPr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Prestanak </w:t>
      </w:r>
      <w:proofErr w:type="spellStart"/>
      <w:r w:rsidRPr="006565C6">
        <w:rPr>
          <w:i/>
          <w:sz w:val="22"/>
          <w:szCs w:val="22"/>
          <w:lang w:val="sr-Latn-RS"/>
        </w:rPr>
        <w:t>liječenja</w:t>
      </w:r>
      <w:proofErr w:type="spellEnd"/>
    </w:p>
    <w:p w14:paraId="5F3AC655" w14:textId="6E500E38" w:rsidR="00940592" w:rsidRPr="006565C6" w:rsidRDefault="00940592" w:rsidP="006C2ABA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Nakon naglog prestanka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tapentadolom</w:t>
      </w:r>
      <w:proofErr w:type="spellEnd"/>
      <w:r w:rsidRPr="006565C6">
        <w:rPr>
          <w:sz w:val="22"/>
          <w:szCs w:val="22"/>
          <w:lang w:val="sr-Latn-RS"/>
        </w:rPr>
        <w:t xml:space="preserve"> mogu nastupiti simptomi </w:t>
      </w:r>
      <w:r w:rsidR="00992F33" w:rsidRPr="006565C6">
        <w:rPr>
          <w:sz w:val="22"/>
          <w:szCs w:val="22"/>
          <w:lang w:val="sr-Latn-RS"/>
        </w:rPr>
        <w:t xml:space="preserve">naglog prekida uzimanja </w:t>
      </w:r>
      <w:proofErr w:type="spellStart"/>
      <w:r w:rsidR="00992F33" w:rsidRPr="006565C6">
        <w:rPr>
          <w:sz w:val="22"/>
          <w:szCs w:val="22"/>
          <w:lang w:val="sr-Latn-RS"/>
        </w:rPr>
        <w:t>lijeka</w:t>
      </w:r>
      <w:proofErr w:type="spellEnd"/>
      <w:r w:rsidR="00992F33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>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4.8). Kada </w:t>
      </w:r>
      <w:r w:rsidR="00992F33" w:rsidRPr="006565C6">
        <w:rPr>
          <w:sz w:val="22"/>
          <w:szCs w:val="22"/>
          <w:lang w:val="sr-Latn-RS"/>
        </w:rPr>
        <w:t xml:space="preserve">pacijentu </w:t>
      </w:r>
      <w:r w:rsidRPr="006565C6">
        <w:rPr>
          <w:sz w:val="22"/>
          <w:szCs w:val="22"/>
          <w:lang w:val="sr-Latn-RS"/>
        </w:rPr>
        <w:t>više n</w:t>
      </w:r>
      <w:r w:rsidR="00992F33" w:rsidRPr="006565C6">
        <w:rPr>
          <w:sz w:val="22"/>
          <w:szCs w:val="22"/>
          <w:lang w:val="sr-Latn-RS"/>
        </w:rPr>
        <w:t xml:space="preserve">ije potrebna </w:t>
      </w:r>
      <w:r w:rsidRPr="006565C6">
        <w:rPr>
          <w:sz w:val="22"/>
          <w:szCs w:val="22"/>
          <w:lang w:val="sr-Latn-RS"/>
        </w:rPr>
        <w:t>terapij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tapentadolom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savjetuje</w:t>
      </w:r>
      <w:proofErr w:type="spellEnd"/>
      <w:r w:rsidRPr="006565C6">
        <w:rPr>
          <w:sz w:val="22"/>
          <w:szCs w:val="22"/>
          <w:lang w:val="sr-Latn-RS"/>
        </w:rPr>
        <w:t xml:space="preserve"> se </w:t>
      </w:r>
      <w:r w:rsidR="00992F33" w:rsidRPr="006565C6">
        <w:rPr>
          <w:sz w:val="22"/>
          <w:szCs w:val="22"/>
          <w:lang w:val="sr-Latn-RS"/>
        </w:rPr>
        <w:t xml:space="preserve">da se doza </w:t>
      </w:r>
      <w:r w:rsidRPr="006565C6">
        <w:rPr>
          <w:sz w:val="22"/>
          <w:szCs w:val="22"/>
          <w:lang w:val="sr-Latn-RS"/>
        </w:rPr>
        <w:t>postepeno snižava</w:t>
      </w:r>
      <w:r w:rsidR="00E01731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kako bi se </w:t>
      </w:r>
      <w:proofErr w:type="spellStart"/>
      <w:r w:rsidRPr="006565C6">
        <w:rPr>
          <w:sz w:val="22"/>
          <w:szCs w:val="22"/>
          <w:lang w:val="sr-Latn-RS"/>
        </w:rPr>
        <w:t>spriječila</w:t>
      </w:r>
      <w:proofErr w:type="spellEnd"/>
      <w:r w:rsidRPr="006565C6">
        <w:rPr>
          <w:sz w:val="22"/>
          <w:szCs w:val="22"/>
          <w:lang w:val="sr-Latn-RS"/>
        </w:rPr>
        <w:t xml:space="preserve"> pojava simptoma</w:t>
      </w:r>
      <w:r w:rsidR="00992F33" w:rsidRPr="006565C6">
        <w:rPr>
          <w:sz w:val="22"/>
          <w:szCs w:val="22"/>
          <w:lang w:val="sr-Latn-RS"/>
        </w:rPr>
        <w:t xml:space="preserve"> naglog prekida.</w:t>
      </w:r>
    </w:p>
    <w:p w14:paraId="6CD78ADC" w14:textId="77777777" w:rsidR="00940592" w:rsidRPr="006565C6" w:rsidRDefault="00940592" w:rsidP="00E01731">
      <w:pPr>
        <w:jc w:val="both"/>
        <w:rPr>
          <w:sz w:val="22"/>
          <w:szCs w:val="22"/>
          <w:lang w:val="sr-Latn-RS"/>
        </w:rPr>
      </w:pPr>
    </w:p>
    <w:p w14:paraId="23F70DEA" w14:textId="77777777" w:rsidR="00940592" w:rsidRPr="006565C6" w:rsidRDefault="00940592" w:rsidP="00E01731">
      <w:pPr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Posebne populacije</w:t>
      </w:r>
    </w:p>
    <w:p w14:paraId="57DD8460" w14:textId="77777777" w:rsidR="00940592" w:rsidRPr="006565C6" w:rsidRDefault="00940592" w:rsidP="00E01731">
      <w:pPr>
        <w:jc w:val="both"/>
        <w:rPr>
          <w:i/>
          <w:sz w:val="22"/>
          <w:szCs w:val="22"/>
          <w:lang w:val="sr-Latn-RS"/>
        </w:rPr>
      </w:pPr>
    </w:p>
    <w:p w14:paraId="682C43D2" w14:textId="77777777" w:rsidR="00940592" w:rsidRPr="006565C6" w:rsidRDefault="00940592" w:rsidP="00E01731">
      <w:pPr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Oštećenje funkcije bubrega</w:t>
      </w:r>
    </w:p>
    <w:p w14:paraId="0532AD2E" w14:textId="1502F4E0" w:rsidR="00940592" w:rsidRPr="006565C6" w:rsidRDefault="00992F33" w:rsidP="00E01731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pacijenata </w:t>
      </w:r>
      <w:r w:rsidR="00940592" w:rsidRPr="006565C6">
        <w:rPr>
          <w:sz w:val="22"/>
          <w:szCs w:val="22"/>
          <w:lang w:val="sr-Latn-RS"/>
        </w:rPr>
        <w:t>s</w:t>
      </w:r>
      <w:r w:rsidRPr="006565C6">
        <w:rPr>
          <w:sz w:val="22"/>
          <w:szCs w:val="22"/>
          <w:lang w:val="sr-Latn-RS"/>
        </w:rPr>
        <w:t>a</w:t>
      </w:r>
      <w:r w:rsidR="00940592" w:rsidRPr="006565C6">
        <w:rPr>
          <w:sz w:val="22"/>
          <w:szCs w:val="22"/>
          <w:lang w:val="sr-Latn-RS"/>
        </w:rPr>
        <w:t xml:space="preserve"> blagim ili </w:t>
      </w:r>
      <w:proofErr w:type="spellStart"/>
      <w:r w:rsidR="00940592" w:rsidRPr="006565C6">
        <w:rPr>
          <w:sz w:val="22"/>
          <w:szCs w:val="22"/>
          <w:lang w:val="sr-Latn-RS"/>
        </w:rPr>
        <w:t>umjerenim</w:t>
      </w:r>
      <w:proofErr w:type="spellEnd"/>
      <w:r w:rsidR="00940592" w:rsidRPr="006565C6">
        <w:rPr>
          <w:sz w:val="22"/>
          <w:szCs w:val="22"/>
          <w:lang w:val="sr-Latn-RS"/>
        </w:rPr>
        <w:t xml:space="preserve"> oštećenjem funkcije bubrega nije potrebno prilagođava</w:t>
      </w:r>
      <w:r w:rsidRPr="006565C6">
        <w:rPr>
          <w:sz w:val="22"/>
          <w:szCs w:val="22"/>
          <w:lang w:val="sr-Latn-RS"/>
        </w:rPr>
        <w:t xml:space="preserve">nje doze </w:t>
      </w:r>
      <w:r w:rsidR="00940592" w:rsidRPr="006565C6">
        <w:rPr>
          <w:sz w:val="22"/>
          <w:szCs w:val="22"/>
          <w:lang w:val="sr-Latn-RS"/>
        </w:rPr>
        <w:t>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="00940592" w:rsidRPr="006565C6">
        <w:rPr>
          <w:sz w:val="22"/>
          <w:szCs w:val="22"/>
          <w:lang w:val="sr-Latn-RS"/>
        </w:rPr>
        <w:t xml:space="preserve"> 5.2).</w:t>
      </w:r>
    </w:p>
    <w:p w14:paraId="042A61AE" w14:textId="2A8DD0D7" w:rsidR="00940592" w:rsidRPr="006565C6" w:rsidRDefault="00940592" w:rsidP="00E01731">
      <w:pPr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ispitana u kontrolisanim ispitivanjima </w:t>
      </w:r>
      <w:proofErr w:type="spellStart"/>
      <w:r w:rsidRPr="006565C6">
        <w:rPr>
          <w:sz w:val="22"/>
          <w:szCs w:val="22"/>
          <w:lang w:val="sr-Latn-RS"/>
        </w:rPr>
        <w:t>efiksanosti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992F33" w:rsidRPr="006565C6">
        <w:rPr>
          <w:sz w:val="22"/>
          <w:szCs w:val="22"/>
          <w:lang w:val="sr-Latn-RS"/>
        </w:rPr>
        <w:t xml:space="preserve">kod pacijenata </w:t>
      </w:r>
      <w:r w:rsidRPr="006565C6">
        <w:rPr>
          <w:sz w:val="22"/>
          <w:szCs w:val="22"/>
          <w:lang w:val="sr-Latn-RS"/>
        </w:rPr>
        <w:t xml:space="preserve">sa teškim oštećenjem funkcije bubrega, </w:t>
      </w:r>
      <w:r w:rsidR="00992F33" w:rsidRPr="006565C6">
        <w:rPr>
          <w:sz w:val="22"/>
          <w:szCs w:val="22"/>
          <w:lang w:val="sr-Latn-RS"/>
        </w:rPr>
        <w:t xml:space="preserve">zbog </w:t>
      </w:r>
      <w:r w:rsidRPr="006565C6">
        <w:rPr>
          <w:sz w:val="22"/>
          <w:szCs w:val="22"/>
          <w:lang w:val="sr-Latn-RS"/>
        </w:rPr>
        <w:t>toga se ne preporučuje upotreba u toj populaciji (</w:t>
      </w:r>
      <w:r w:rsidR="00A97468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A97468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4.4 i 5.2).</w:t>
      </w:r>
    </w:p>
    <w:p w14:paraId="0E0C0F6A" w14:textId="77777777" w:rsidR="00C66B6D" w:rsidRPr="006565C6" w:rsidRDefault="00C66B6D" w:rsidP="00E01731">
      <w:pPr>
        <w:jc w:val="both"/>
        <w:rPr>
          <w:sz w:val="22"/>
          <w:szCs w:val="22"/>
          <w:lang w:val="sr-Latn-RS"/>
        </w:rPr>
      </w:pPr>
    </w:p>
    <w:p w14:paraId="68F20AE1" w14:textId="77777777" w:rsidR="00940592" w:rsidRPr="006565C6" w:rsidRDefault="00940592" w:rsidP="00E01731">
      <w:pPr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Oštećenje funkcije jetre</w:t>
      </w:r>
    </w:p>
    <w:p w14:paraId="28983C32" w14:textId="2EFDF2D2" w:rsidR="00940592" w:rsidRPr="006565C6" w:rsidRDefault="00992F33" w:rsidP="00E01731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pacijenata </w:t>
      </w:r>
      <w:r w:rsidR="00940592" w:rsidRPr="006565C6">
        <w:rPr>
          <w:sz w:val="22"/>
          <w:szCs w:val="22"/>
          <w:lang w:val="sr-Latn-RS"/>
        </w:rPr>
        <w:t>s</w:t>
      </w:r>
      <w:r w:rsidRPr="006565C6">
        <w:rPr>
          <w:sz w:val="22"/>
          <w:szCs w:val="22"/>
          <w:lang w:val="sr-Latn-RS"/>
        </w:rPr>
        <w:t>a</w:t>
      </w:r>
      <w:r w:rsidR="00940592" w:rsidRPr="006565C6">
        <w:rPr>
          <w:sz w:val="22"/>
          <w:szCs w:val="22"/>
          <w:lang w:val="sr-Latn-RS"/>
        </w:rPr>
        <w:t xml:space="preserve"> blagim oštećenjem funkcije jetre nije potrebno </w:t>
      </w:r>
      <w:proofErr w:type="spellStart"/>
      <w:r w:rsidR="00940592" w:rsidRPr="006565C6">
        <w:rPr>
          <w:sz w:val="22"/>
          <w:szCs w:val="22"/>
          <w:lang w:val="sr-Latn-RS"/>
        </w:rPr>
        <w:t>prilagođav</w:t>
      </w:r>
      <w:r w:rsidRPr="006565C6">
        <w:rPr>
          <w:sz w:val="22"/>
          <w:szCs w:val="22"/>
          <w:lang w:val="sr-Latn-RS"/>
        </w:rPr>
        <w:t>nje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940592" w:rsidRPr="006565C6">
        <w:rPr>
          <w:sz w:val="22"/>
          <w:szCs w:val="22"/>
          <w:lang w:val="sr-Latn-RS"/>
        </w:rPr>
        <w:t>doz</w:t>
      </w:r>
      <w:r w:rsidRPr="006565C6">
        <w:rPr>
          <w:sz w:val="22"/>
          <w:szCs w:val="22"/>
          <w:lang w:val="sr-Latn-RS"/>
        </w:rPr>
        <w:t>e</w:t>
      </w:r>
      <w:r w:rsidR="00940592" w:rsidRPr="006565C6">
        <w:rPr>
          <w:sz w:val="22"/>
          <w:szCs w:val="22"/>
          <w:lang w:val="sr-Latn-RS"/>
        </w:rPr>
        <w:t xml:space="preserve">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="00940592" w:rsidRPr="006565C6">
        <w:rPr>
          <w:sz w:val="22"/>
          <w:szCs w:val="22"/>
          <w:lang w:val="sr-Latn-RS"/>
        </w:rPr>
        <w:t xml:space="preserve"> 5.2).</w:t>
      </w:r>
    </w:p>
    <w:p w14:paraId="734A1790" w14:textId="3323C2F2" w:rsidR="00940592" w:rsidRPr="006565C6" w:rsidRDefault="00940592" w:rsidP="00E01731">
      <w:pPr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treba oprezno upotrebljavati </w:t>
      </w:r>
      <w:r w:rsidR="00992F33" w:rsidRPr="006565C6">
        <w:rPr>
          <w:sz w:val="22"/>
          <w:szCs w:val="22"/>
          <w:lang w:val="sr-Latn-RS"/>
        </w:rPr>
        <w:t xml:space="preserve">kod pacijenata </w:t>
      </w:r>
      <w:r w:rsidRPr="006565C6">
        <w:rPr>
          <w:sz w:val="22"/>
          <w:szCs w:val="22"/>
          <w:lang w:val="sr-Latn-RS"/>
        </w:rPr>
        <w:t>s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umjerenim</w:t>
      </w:r>
      <w:proofErr w:type="spellEnd"/>
      <w:r w:rsidRPr="006565C6">
        <w:rPr>
          <w:sz w:val="22"/>
          <w:szCs w:val="22"/>
          <w:lang w:val="sr-Latn-RS"/>
        </w:rPr>
        <w:t xml:space="preserve"> oštećenjem jetrene funkcije. </w:t>
      </w:r>
      <w:r w:rsidR="00992F33" w:rsidRPr="006565C6">
        <w:rPr>
          <w:sz w:val="22"/>
          <w:szCs w:val="22"/>
          <w:lang w:val="sr-Latn-RS"/>
        </w:rPr>
        <w:t xml:space="preserve">Kod tih pacijenata </w:t>
      </w:r>
      <w:proofErr w:type="spellStart"/>
      <w:r w:rsidRPr="006565C6">
        <w:rPr>
          <w:sz w:val="22"/>
          <w:szCs w:val="22"/>
          <w:lang w:val="sr-Latn-RS"/>
        </w:rPr>
        <w:t>liječenje</w:t>
      </w:r>
      <w:proofErr w:type="spellEnd"/>
      <w:r w:rsidRPr="006565C6">
        <w:rPr>
          <w:sz w:val="22"/>
          <w:szCs w:val="22"/>
          <w:lang w:val="sr-Latn-RS"/>
        </w:rPr>
        <w:t xml:space="preserve"> je potrebno započeti s</w:t>
      </w:r>
      <w:r w:rsidR="00D53FD6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25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u obliku oralnog rastvora, a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se ne smije davati češće od jedanput svakih 8 sati. Na početku terapije ne preporučuje se dnevna doza veća od 150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. Dalje </w:t>
      </w:r>
      <w:proofErr w:type="spellStart"/>
      <w:r w:rsidRPr="006565C6">
        <w:rPr>
          <w:sz w:val="22"/>
          <w:szCs w:val="22"/>
          <w:lang w:val="sr-Latn-RS"/>
        </w:rPr>
        <w:t>liječenje</w:t>
      </w:r>
      <w:proofErr w:type="spellEnd"/>
      <w:r w:rsidRPr="006565C6">
        <w:rPr>
          <w:sz w:val="22"/>
          <w:szCs w:val="22"/>
          <w:lang w:val="sr-Latn-RS"/>
        </w:rPr>
        <w:t xml:space="preserve"> treba omogućiti održavanje </w:t>
      </w:r>
      <w:proofErr w:type="spellStart"/>
      <w:r w:rsidRPr="006565C6">
        <w:rPr>
          <w:sz w:val="22"/>
          <w:szCs w:val="22"/>
          <w:lang w:val="sr-Latn-RS"/>
        </w:rPr>
        <w:t>analgezije</w:t>
      </w:r>
      <w:proofErr w:type="spellEnd"/>
      <w:r w:rsidRPr="006565C6">
        <w:rPr>
          <w:sz w:val="22"/>
          <w:szCs w:val="22"/>
          <w:lang w:val="sr-Latn-RS"/>
        </w:rPr>
        <w:t xml:space="preserve"> uz prihvatljivu </w:t>
      </w:r>
      <w:proofErr w:type="spellStart"/>
      <w:r w:rsidRPr="006565C6">
        <w:rPr>
          <w:sz w:val="22"/>
          <w:szCs w:val="22"/>
          <w:lang w:val="sr-Latn-RS"/>
        </w:rPr>
        <w:t>podnošljivost</w:t>
      </w:r>
      <w:proofErr w:type="spellEnd"/>
      <w:r w:rsidRPr="006565C6">
        <w:rPr>
          <w:sz w:val="22"/>
          <w:szCs w:val="22"/>
          <w:lang w:val="sr-Latn-RS"/>
        </w:rPr>
        <w:t>, što se mora postići bilo skraćivanjem bilo produžavanjem intervala doziranja (</w:t>
      </w:r>
      <w:r w:rsidR="00A97468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A97468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4.4 i 5.2).</w:t>
      </w:r>
    </w:p>
    <w:p w14:paraId="7C76E180" w14:textId="2F36C558" w:rsidR="00940592" w:rsidRPr="006565C6" w:rsidRDefault="00940592" w:rsidP="00E01731">
      <w:pPr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ispitana </w:t>
      </w:r>
      <w:r w:rsidR="00992F33" w:rsidRPr="006565C6">
        <w:rPr>
          <w:sz w:val="22"/>
          <w:szCs w:val="22"/>
          <w:lang w:val="sr-Latn-RS"/>
        </w:rPr>
        <w:t xml:space="preserve">kod pacijenata </w:t>
      </w:r>
      <w:r w:rsidRPr="006565C6">
        <w:rPr>
          <w:sz w:val="22"/>
          <w:szCs w:val="22"/>
          <w:lang w:val="sr-Latn-RS"/>
        </w:rPr>
        <w:t>s</w:t>
      </w:r>
      <w:r w:rsidR="00992F33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teškim oštećenjem funkcije jetre, </w:t>
      </w:r>
      <w:r w:rsidR="00992F33" w:rsidRPr="006565C6">
        <w:rPr>
          <w:sz w:val="22"/>
          <w:szCs w:val="22"/>
          <w:lang w:val="sr-Latn-RS"/>
        </w:rPr>
        <w:t xml:space="preserve">zbog </w:t>
      </w:r>
      <w:r w:rsidRPr="006565C6">
        <w:rPr>
          <w:sz w:val="22"/>
          <w:szCs w:val="22"/>
          <w:lang w:val="sr-Latn-RS"/>
        </w:rPr>
        <w:t xml:space="preserve">toga se ne preporučuje upotreba </w:t>
      </w:r>
      <w:r w:rsidR="00992F33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>te populacije (</w:t>
      </w:r>
      <w:r w:rsidR="00A97468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A97468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4.4 i 5.2).</w:t>
      </w:r>
    </w:p>
    <w:p w14:paraId="77B5E4CE" w14:textId="77777777" w:rsidR="00940592" w:rsidRPr="006565C6" w:rsidRDefault="00940592" w:rsidP="00E01731">
      <w:pPr>
        <w:jc w:val="both"/>
        <w:rPr>
          <w:sz w:val="22"/>
          <w:szCs w:val="22"/>
          <w:lang w:val="sr-Latn-RS"/>
        </w:rPr>
      </w:pPr>
    </w:p>
    <w:p w14:paraId="1817B60A" w14:textId="633D9CC1" w:rsidR="00940592" w:rsidRPr="006565C6" w:rsidRDefault="00940592" w:rsidP="00E01731">
      <w:pPr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Stariji bolesnici (osobe </w:t>
      </w:r>
      <w:r w:rsidR="00A273F2" w:rsidRPr="006565C6">
        <w:rPr>
          <w:i/>
          <w:sz w:val="22"/>
          <w:szCs w:val="22"/>
          <w:lang w:val="sr-Latn-RS"/>
        </w:rPr>
        <w:t xml:space="preserve">u starosnoj grupi </w:t>
      </w:r>
      <w:r w:rsidRPr="006565C6">
        <w:rPr>
          <w:i/>
          <w:sz w:val="22"/>
          <w:szCs w:val="22"/>
          <w:lang w:val="sr-Latn-RS"/>
        </w:rPr>
        <w:t>od 65 godina i stariji)</w:t>
      </w:r>
    </w:p>
    <w:p w14:paraId="60AF5334" w14:textId="7A068604" w:rsidR="00940592" w:rsidRPr="006565C6" w:rsidRDefault="00940592" w:rsidP="00E01731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Generalno, </w:t>
      </w:r>
      <w:r w:rsidR="00A273F2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starijih </w:t>
      </w:r>
      <w:r w:rsidR="00A273F2" w:rsidRPr="006565C6">
        <w:rPr>
          <w:sz w:val="22"/>
          <w:szCs w:val="22"/>
          <w:lang w:val="sr-Latn-RS"/>
        </w:rPr>
        <w:t xml:space="preserve">pacijenata </w:t>
      </w:r>
      <w:r w:rsidRPr="006565C6">
        <w:rPr>
          <w:sz w:val="22"/>
          <w:szCs w:val="22"/>
          <w:lang w:val="sr-Latn-RS"/>
        </w:rPr>
        <w:t>nije potrebno prilagođavati dozu.</w:t>
      </w:r>
      <w:r w:rsidR="00BF7193" w:rsidRPr="006565C6">
        <w:rPr>
          <w:sz w:val="22"/>
          <w:szCs w:val="22"/>
          <w:lang w:val="sr-Latn-RS"/>
        </w:rPr>
        <w:t xml:space="preserve"> </w:t>
      </w:r>
      <w:r w:rsidR="00A273F2" w:rsidRPr="006565C6">
        <w:rPr>
          <w:sz w:val="22"/>
          <w:szCs w:val="22"/>
          <w:lang w:val="sr-Latn-RS"/>
        </w:rPr>
        <w:t>Ali</w:t>
      </w:r>
      <w:r w:rsidRPr="006565C6">
        <w:rPr>
          <w:sz w:val="22"/>
          <w:szCs w:val="22"/>
          <w:lang w:val="sr-Latn-RS"/>
        </w:rPr>
        <w:t xml:space="preserve">, </w:t>
      </w:r>
      <w:r w:rsidR="00A273F2" w:rsidRPr="006565C6">
        <w:rPr>
          <w:sz w:val="22"/>
          <w:szCs w:val="22"/>
          <w:lang w:val="sr-Latn-RS"/>
        </w:rPr>
        <w:t>s</w:t>
      </w:r>
      <w:r w:rsidR="00801669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obzirom da je </w:t>
      </w:r>
      <w:r w:rsidR="00A273F2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starijih </w:t>
      </w:r>
      <w:r w:rsidR="00A273F2" w:rsidRPr="006565C6">
        <w:rPr>
          <w:sz w:val="22"/>
          <w:szCs w:val="22"/>
          <w:lang w:val="sr-Latn-RS"/>
        </w:rPr>
        <w:t xml:space="preserve">pacijenata </w:t>
      </w:r>
      <w:r w:rsidRPr="006565C6">
        <w:rPr>
          <w:sz w:val="22"/>
          <w:szCs w:val="22"/>
          <w:lang w:val="sr-Latn-RS"/>
        </w:rPr>
        <w:t xml:space="preserve">veća </w:t>
      </w:r>
      <w:proofErr w:type="spellStart"/>
      <w:r w:rsidRPr="006565C6">
        <w:rPr>
          <w:sz w:val="22"/>
          <w:szCs w:val="22"/>
          <w:lang w:val="sr-Latn-RS"/>
        </w:rPr>
        <w:t>vjerovatno</w:t>
      </w:r>
      <w:r w:rsidR="00D602C9" w:rsidRPr="006565C6">
        <w:rPr>
          <w:sz w:val="22"/>
          <w:szCs w:val="22"/>
          <w:lang w:val="sr-Latn-RS"/>
        </w:rPr>
        <w:t>ć</w:t>
      </w:r>
      <w:r w:rsidRPr="006565C6">
        <w:rPr>
          <w:sz w:val="22"/>
          <w:szCs w:val="22"/>
          <w:lang w:val="sr-Latn-RS"/>
        </w:rPr>
        <w:t>a</w:t>
      </w:r>
      <w:proofErr w:type="spellEnd"/>
      <w:r w:rsidRPr="006565C6">
        <w:rPr>
          <w:sz w:val="22"/>
          <w:szCs w:val="22"/>
          <w:lang w:val="sr-Latn-RS"/>
        </w:rPr>
        <w:t xml:space="preserve"> da imaju smanjenu funkciju bubrega i jetre, potrebno je paziti da se doza odabere prema preporukama (</w:t>
      </w:r>
      <w:r w:rsidR="00A97468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A97468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4.2 i 5.2).</w:t>
      </w:r>
    </w:p>
    <w:p w14:paraId="45B3A91E" w14:textId="77777777" w:rsidR="00A01A0F" w:rsidRPr="006565C6" w:rsidRDefault="00A01A0F" w:rsidP="00016A13">
      <w:pPr>
        <w:jc w:val="both"/>
        <w:rPr>
          <w:sz w:val="22"/>
          <w:szCs w:val="22"/>
          <w:lang w:val="sr-Latn-RS"/>
        </w:rPr>
      </w:pPr>
    </w:p>
    <w:p w14:paraId="4117ED39" w14:textId="77777777" w:rsidR="00940592" w:rsidRPr="006565C6" w:rsidRDefault="00940592" w:rsidP="00016A13">
      <w:pPr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Pedijatrijska populacija</w:t>
      </w:r>
    </w:p>
    <w:p w14:paraId="78944ABE" w14:textId="77777777" w:rsidR="00A01A0F" w:rsidRPr="006565C6" w:rsidRDefault="00A01A0F" w:rsidP="00016A13">
      <w:pPr>
        <w:jc w:val="both"/>
        <w:rPr>
          <w:i/>
          <w:sz w:val="22"/>
          <w:szCs w:val="22"/>
          <w:lang w:val="sr-Latn-RS"/>
        </w:rPr>
      </w:pPr>
    </w:p>
    <w:p w14:paraId="4DF47CCC" w14:textId="666FA650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Preporučena doza za </w:t>
      </w:r>
      <w:proofErr w:type="spellStart"/>
      <w:r w:rsidRPr="006565C6">
        <w:rPr>
          <w:sz w:val="22"/>
          <w:szCs w:val="22"/>
          <w:lang w:val="sr-Latn-RS"/>
        </w:rPr>
        <w:t>djecu</w:t>
      </w:r>
      <w:proofErr w:type="spellEnd"/>
      <w:r w:rsidRPr="006565C6">
        <w:rPr>
          <w:sz w:val="22"/>
          <w:szCs w:val="22"/>
          <w:lang w:val="sr-Latn-RS"/>
        </w:rPr>
        <w:t xml:space="preserve"> zavisi o</w:t>
      </w:r>
      <w:r w:rsidR="00A273F2" w:rsidRPr="006565C6">
        <w:rPr>
          <w:sz w:val="22"/>
          <w:szCs w:val="22"/>
          <w:lang w:val="sr-Latn-RS"/>
        </w:rPr>
        <w:t>d</w:t>
      </w:r>
      <w:r w:rsidRPr="006565C6">
        <w:rPr>
          <w:sz w:val="22"/>
          <w:szCs w:val="22"/>
          <w:lang w:val="sr-Latn-RS"/>
        </w:rPr>
        <w:t xml:space="preserve"> </w:t>
      </w:r>
      <w:r w:rsidR="00A273F2" w:rsidRPr="006565C6">
        <w:rPr>
          <w:sz w:val="22"/>
          <w:szCs w:val="22"/>
          <w:lang w:val="sr-Latn-RS"/>
        </w:rPr>
        <w:t xml:space="preserve">uzrasta </w:t>
      </w:r>
      <w:r w:rsidRPr="006565C6">
        <w:rPr>
          <w:sz w:val="22"/>
          <w:szCs w:val="22"/>
          <w:lang w:val="sr-Latn-RS"/>
        </w:rPr>
        <w:t xml:space="preserve">i </w:t>
      </w:r>
      <w:proofErr w:type="spellStart"/>
      <w:r w:rsidRPr="006565C6">
        <w:rPr>
          <w:sz w:val="22"/>
          <w:szCs w:val="22"/>
          <w:lang w:val="sr-Latn-RS"/>
        </w:rPr>
        <w:t>tjeles</w:t>
      </w:r>
      <w:r w:rsidR="00E25B2C" w:rsidRPr="006565C6">
        <w:rPr>
          <w:sz w:val="22"/>
          <w:szCs w:val="22"/>
          <w:lang w:val="sr-Latn-RS"/>
        </w:rPr>
        <w:t>n</w:t>
      </w:r>
      <w:r w:rsidR="00A273F2" w:rsidRPr="006565C6">
        <w:rPr>
          <w:sz w:val="22"/>
          <w:szCs w:val="22"/>
          <w:lang w:val="sr-Latn-RS"/>
        </w:rPr>
        <w:t>e</w:t>
      </w:r>
      <w:proofErr w:type="spellEnd"/>
      <w:r w:rsidR="00A273F2" w:rsidRPr="006565C6">
        <w:rPr>
          <w:sz w:val="22"/>
          <w:szCs w:val="22"/>
          <w:lang w:val="sr-Latn-RS"/>
        </w:rPr>
        <w:t xml:space="preserve"> težine</w:t>
      </w:r>
      <w:r w:rsidRPr="006565C6">
        <w:rPr>
          <w:sz w:val="22"/>
          <w:szCs w:val="22"/>
          <w:lang w:val="sr-Latn-RS"/>
        </w:rPr>
        <w:t>:</w:t>
      </w:r>
    </w:p>
    <w:p w14:paraId="376476D3" w14:textId="77777777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</w:p>
    <w:p w14:paraId="242F58E4" w14:textId="77777777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Za </w:t>
      </w:r>
      <w:proofErr w:type="spellStart"/>
      <w:r w:rsidRPr="006565C6">
        <w:rPr>
          <w:sz w:val="22"/>
          <w:szCs w:val="22"/>
          <w:lang w:val="sr-Latn-RS"/>
        </w:rPr>
        <w:t>djecu</w:t>
      </w:r>
      <w:proofErr w:type="spellEnd"/>
      <w:r w:rsidRPr="006565C6">
        <w:rPr>
          <w:sz w:val="22"/>
          <w:szCs w:val="22"/>
          <w:lang w:val="sr-Latn-RS"/>
        </w:rPr>
        <w:t xml:space="preserve"> i adolescente od 2 do 18 godina starosti preporučena pojedinačna doza je 1,25 mg po kilogramu </w:t>
      </w:r>
      <w:proofErr w:type="spellStart"/>
      <w:r w:rsidRPr="006565C6">
        <w:rPr>
          <w:sz w:val="22"/>
          <w:szCs w:val="22"/>
          <w:lang w:val="sr-Latn-RS"/>
        </w:rPr>
        <w:t>tjelesne</w:t>
      </w:r>
      <w:proofErr w:type="spellEnd"/>
      <w:r w:rsidRPr="006565C6">
        <w:rPr>
          <w:sz w:val="22"/>
          <w:szCs w:val="22"/>
          <w:lang w:val="sr-Latn-RS"/>
        </w:rPr>
        <w:t xml:space="preserve"> težine, svaka 4 sata.</w:t>
      </w:r>
    </w:p>
    <w:p w14:paraId="1D1B8EFE" w14:textId="77777777" w:rsidR="003C3AFB" w:rsidRPr="006565C6" w:rsidRDefault="003C3AFB" w:rsidP="00016A13">
      <w:pPr>
        <w:jc w:val="both"/>
        <w:rPr>
          <w:sz w:val="22"/>
          <w:szCs w:val="22"/>
          <w:lang w:val="sr-Latn-RS"/>
        </w:rPr>
      </w:pPr>
    </w:p>
    <w:p w14:paraId="4771ED4F" w14:textId="77777777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Maksimalna dnevna doza je 7,5 mg po kilogramu </w:t>
      </w:r>
      <w:proofErr w:type="spellStart"/>
      <w:r w:rsidRPr="006565C6">
        <w:rPr>
          <w:sz w:val="22"/>
          <w:szCs w:val="22"/>
          <w:lang w:val="sr-Latn-RS"/>
        </w:rPr>
        <w:t>tjelesne</w:t>
      </w:r>
      <w:proofErr w:type="spellEnd"/>
      <w:r w:rsidRPr="006565C6">
        <w:rPr>
          <w:sz w:val="22"/>
          <w:szCs w:val="22"/>
          <w:lang w:val="sr-Latn-RS"/>
        </w:rPr>
        <w:t xml:space="preserve"> težine (</w:t>
      </w:r>
      <w:r w:rsidRPr="006565C6">
        <w:rPr>
          <w:rFonts w:ascii="Cambria Math" w:hAnsi="Cambria Math" w:cs="Cambria Math"/>
          <w:sz w:val="22"/>
          <w:szCs w:val="22"/>
          <w:lang w:val="sr-Latn-RS"/>
        </w:rPr>
        <w:t>≙</w:t>
      </w:r>
      <w:r w:rsidRPr="006565C6">
        <w:rPr>
          <w:sz w:val="22"/>
          <w:szCs w:val="22"/>
          <w:lang w:val="sr-Latn-RS"/>
        </w:rPr>
        <w:t xml:space="preserve"> 6 x pojedinačna doza).</w:t>
      </w:r>
    </w:p>
    <w:p w14:paraId="78A9B84D" w14:textId="1C10D394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Maksimalna doza za </w:t>
      </w:r>
      <w:proofErr w:type="spellStart"/>
      <w:r w:rsidRPr="006565C6">
        <w:rPr>
          <w:sz w:val="22"/>
          <w:szCs w:val="22"/>
          <w:lang w:val="sr-Latn-RS"/>
        </w:rPr>
        <w:t>djecu</w:t>
      </w:r>
      <w:proofErr w:type="spellEnd"/>
      <w:r w:rsidRPr="006565C6">
        <w:rPr>
          <w:sz w:val="22"/>
          <w:szCs w:val="22"/>
          <w:lang w:val="sr-Latn-RS"/>
        </w:rPr>
        <w:t xml:space="preserve"> i adolescente s visokim indeksom </w:t>
      </w:r>
      <w:proofErr w:type="spellStart"/>
      <w:r w:rsidRPr="006565C6">
        <w:rPr>
          <w:sz w:val="22"/>
          <w:szCs w:val="22"/>
          <w:lang w:val="sr-Latn-RS"/>
        </w:rPr>
        <w:t>tjelesne</w:t>
      </w:r>
      <w:proofErr w:type="spellEnd"/>
      <w:r w:rsidRPr="006565C6">
        <w:rPr>
          <w:sz w:val="22"/>
          <w:szCs w:val="22"/>
          <w:lang w:val="sr-Latn-RS"/>
        </w:rPr>
        <w:t xml:space="preserve"> mase (</w:t>
      </w:r>
      <w:proofErr w:type="spellStart"/>
      <w:r w:rsidRPr="006565C6">
        <w:rPr>
          <w:sz w:val="22"/>
          <w:szCs w:val="22"/>
          <w:lang w:val="sr-Latn-RS"/>
        </w:rPr>
        <w:t>BMI</w:t>
      </w:r>
      <w:proofErr w:type="spellEnd"/>
      <w:r w:rsidRPr="006565C6">
        <w:rPr>
          <w:sz w:val="22"/>
          <w:szCs w:val="22"/>
          <w:lang w:val="sr-Latn-RS"/>
        </w:rPr>
        <w:t>) ne smije pr</w:t>
      </w:r>
      <w:r w:rsidR="004635CF" w:rsidRPr="006565C6">
        <w:rPr>
          <w:sz w:val="22"/>
          <w:szCs w:val="22"/>
          <w:lang w:val="sr-Latn-RS"/>
        </w:rPr>
        <w:t>e</w:t>
      </w:r>
      <w:r w:rsidRPr="006565C6">
        <w:rPr>
          <w:sz w:val="22"/>
          <w:szCs w:val="22"/>
          <w:lang w:val="sr-Latn-RS"/>
        </w:rPr>
        <w:t xml:space="preserve">ći izračunatu maksimalnu dozu za </w:t>
      </w:r>
      <w:proofErr w:type="spellStart"/>
      <w:r w:rsidRPr="006565C6">
        <w:rPr>
          <w:sz w:val="22"/>
          <w:szCs w:val="22"/>
          <w:lang w:val="sr-Latn-RS"/>
        </w:rPr>
        <w:t>tjelesnu</w:t>
      </w:r>
      <w:proofErr w:type="spellEnd"/>
      <w:r w:rsidRPr="006565C6">
        <w:rPr>
          <w:sz w:val="22"/>
          <w:szCs w:val="22"/>
          <w:lang w:val="sr-Latn-RS"/>
        </w:rPr>
        <w:t xml:space="preserve"> težinu pri 97,5-oj </w:t>
      </w:r>
      <w:proofErr w:type="spellStart"/>
      <w:r w:rsidRPr="006565C6">
        <w:rPr>
          <w:sz w:val="22"/>
          <w:szCs w:val="22"/>
          <w:lang w:val="sr-Latn-RS"/>
        </w:rPr>
        <w:t>percentili</w:t>
      </w:r>
      <w:proofErr w:type="spellEnd"/>
      <w:r w:rsidRPr="006565C6">
        <w:rPr>
          <w:sz w:val="22"/>
          <w:szCs w:val="22"/>
          <w:lang w:val="sr-Latn-RS"/>
        </w:rPr>
        <w:t xml:space="preserve"> za</w:t>
      </w:r>
      <w:r w:rsidR="006423EE" w:rsidRPr="006565C6">
        <w:rPr>
          <w:sz w:val="22"/>
          <w:szCs w:val="22"/>
          <w:lang w:val="sr-Latn-RS"/>
        </w:rPr>
        <w:t xml:space="preserve"> </w:t>
      </w:r>
      <w:r w:rsidR="00A273F2" w:rsidRPr="006565C6">
        <w:rPr>
          <w:sz w:val="22"/>
          <w:szCs w:val="22"/>
          <w:lang w:val="sr-Latn-RS"/>
        </w:rPr>
        <w:t>taj uzrast</w:t>
      </w:r>
      <w:r w:rsidRPr="006565C6">
        <w:rPr>
          <w:sz w:val="22"/>
          <w:szCs w:val="22"/>
          <w:lang w:val="sr-Latn-RS"/>
        </w:rPr>
        <w:t>.</w:t>
      </w:r>
    </w:p>
    <w:p w14:paraId="3C9E6755" w14:textId="77777777" w:rsidR="00173674" w:rsidRPr="006565C6" w:rsidRDefault="00173674" w:rsidP="00016A13">
      <w:pPr>
        <w:jc w:val="both"/>
        <w:rPr>
          <w:sz w:val="22"/>
          <w:szCs w:val="22"/>
          <w:lang w:val="sr-Latn-RS"/>
        </w:rPr>
      </w:pPr>
    </w:p>
    <w:p w14:paraId="2210628D" w14:textId="4A1E7271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lastRenderedPageBreak/>
        <w:t>S vremenom se može razmotriti smanjenje doze kako akutn</w:t>
      </w:r>
      <w:r w:rsidR="00A273F2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 xml:space="preserve"> bol prolazi.</w:t>
      </w:r>
    </w:p>
    <w:p w14:paraId="69A1895F" w14:textId="77777777" w:rsidR="00940592" w:rsidRPr="006565C6" w:rsidRDefault="00940592" w:rsidP="00016A13">
      <w:pPr>
        <w:pStyle w:val="Default"/>
        <w:jc w:val="both"/>
        <w:rPr>
          <w:sz w:val="22"/>
          <w:szCs w:val="22"/>
          <w:lang w:val="sr-Latn-RS"/>
        </w:rPr>
      </w:pPr>
    </w:p>
    <w:p w14:paraId="751FECA8" w14:textId="77777777" w:rsidR="00940592" w:rsidRPr="006565C6" w:rsidRDefault="00940592" w:rsidP="00016A13">
      <w:pPr>
        <w:pStyle w:val="Default"/>
        <w:jc w:val="both"/>
        <w:rPr>
          <w:b/>
          <w:sz w:val="22"/>
          <w:szCs w:val="22"/>
          <w:lang w:val="sr-Latn-RS"/>
        </w:rPr>
      </w:pPr>
      <w:r w:rsidRPr="006565C6">
        <w:rPr>
          <w:b/>
          <w:sz w:val="22"/>
          <w:szCs w:val="22"/>
          <w:lang w:val="sr-Latn-RS"/>
        </w:rPr>
        <w:t xml:space="preserve">Preporučene doze za </w:t>
      </w:r>
      <w:proofErr w:type="spellStart"/>
      <w:r w:rsidRPr="006565C6">
        <w:rPr>
          <w:b/>
          <w:sz w:val="22"/>
          <w:szCs w:val="22"/>
          <w:lang w:val="sr-Latn-RS"/>
        </w:rPr>
        <w:t>djecu</w:t>
      </w:r>
      <w:proofErr w:type="spellEnd"/>
      <w:r w:rsidRPr="006565C6">
        <w:rPr>
          <w:b/>
          <w:sz w:val="22"/>
          <w:szCs w:val="22"/>
          <w:lang w:val="sr-Latn-RS"/>
        </w:rPr>
        <w:t xml:space="preserve"> </w:t>
      </w:r>
      <w:proofErr w:type="spellStart"/>
      <w:r w:rsidRPr="006565C6">
        <w:rPr>
          <w:b/>
          <w:sz w:val="22"/>
          <w:szCs w:val="22"/>
          <w:lang w:val="sr-Latn-RS"/>
        </w:rPr>
        <w:t>tjelesne</w:t>
      </w:r>
      <w:proofErr w:type="spellEnd"/>
      <w:r w:rsidRPr="006565C6">
        <w:rPr>
          <w:b/>
          <w:sz w:val="22"/>
          <w:szCs w:val="22"/>
          <w:lang w:val="sr-Latn-RS"/>
        </w:rPr>
        <w:t xml:space="preserve"> težine veće od 16 kg (</w:t>
      </w:r>
      <w:proofErr w:type="spellStart"/>
      <w:r w:rsidRPr="006565C6">
        <w:rPr>
          <w:b/>
          <w:sz w:val="22"/>
          <w:szCs w:val="22"/>
          <w:lang w:val="sr-Latn-RS"/>
        </w:rPr>
        <w:t>PALEXIA</w:t>
      </w:r>
      <w:proofErr w:type="spellEnd"/>
      <w:r w:rsidRPr="006565C6">
        <w:rPr>
          <w:b/>
          <w:sz w:val="22"/>
          <w:szCs w:val="22"/>
          <w:lang w:val="sr-Latn-RS"/>
        </w:rPr>
        <w:t xml:space="preserve"> 20 mg/ml oralni rastvor)</w:t>
      </w:r>
    </w:p>
    <w:p w14:paraId="64C6DF7E" w14:textId="77777777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714"/>
        <w:gridCol w:w="1713"/>
        <w:gridCol w:w="1715"/>
      </w:tblGrid>
      <w:tr w:rsidR="00940592" w:rsidRPr="006565C6" w14:paraId="79AECEEA" w14:textId="77777777" w:rsidTr="00992F33">
        <w:trPr>
          <w:trHeight w:val="225"/>
        </w:trPr>
        <w:tc>
          <w:tcPr>
            <w:tcW w:w="6855" w:type="dxa"/>
            <w:gridSpan w:val="4"/>
          </w:tcPr>
          <w:p w14:paraId="3C78C55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</w:p>
          <w:p w14:paraId="0038131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b/>
                <w:bCs/>
                <w:sz w:val="22"/>
                <w:szCs w:val="22"/>
                <w:lang w:val="sr-Latn-RS"/>
              </w:rPr>
              <w:t>2 godine do manje od 18 godina</w:t>
            </w:r>
          </w:p>
          <w:p w14:paraId="0240594F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b/>
                <w:bCs/>
                <w:sz w:val="22"/>
                <w:szCs w:val="22"/>
                <w:lang w:val="sr-Latn-RS"/>
              </w:rPr>
              <w:t>Tjelesna</w:t>
            </w:r>
            <w:proofErr w:type="spellEnd"/>
            <w:r w:rsidRPr="006565C6">
              <w:rPr>
                <w:b/>
                <w:bCs/>
                <w:sz w:val="22"/>
                <w:szCs w:val="22"/>
                <w:lang w:val="sr-Latn-RS"/>
              </w:rPr>
              <w:t xml:space="preserve"> težina veća od 16 kg</w:t>
            </w:r>
          </w:p>
        </w:tc>
      </w:tr>
      <w:tr w:rsidR="00940592" w:rsidRPr="006565C6" w14:paraId="66F0B23C" w14:textId="77777777" w:rsidTr="00992F33">
        <w:trPr>
          <w:trHeight w:val="98"/>
        </w:trPr>
        <w:tc>
          <w:tcPr>
            <w:tcW w:w="6855" w:type="dxa"/>
            <w:gridSpan w:val="4"/>
          </w:tcPr>
          <w:p w14:paraId="4244DD75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b/>
                <w:bCs/>
                <w:sz w:val="22"/>
                <w:szCs w:val="22"/>
                <w:lang w:val="sr-Latn-RS"/>
              </w:rPr>
              <w:t>1,25 mg/kg svaka 4 sata</w:t>
            </w:r>
          </w:p>
        </w:tc>
      </w:tr>
      <w:tr w:rsidR="00940592" w:rsidRPr="006565C6" w14:paraId="07411AEA" w14:textId="77777777" w:rsidTr="00992F33">
        <w:trPr>
          <w:trHeight w:val="227"/>
        </w:trPr>
        <w:tc>
          <w:tcPr>
            <w:tcW w:w="6855" w:type="dxa"/>
            <w:gridSpan w:val="4"/>
          </w:tcPr>
          <w:p w14:paraId="3AF294BE" w14:textId="3A7EAA86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b/>
                <w:bCs/>
                <w:sz w:val="22"/>
                <w:szCs w:val="22"/>
                <w:lang w:val="sr-Latn-RS"/>
              </w:rPr>
              <w:t>PALEXIA</w:t>
            </w:r>
            <w:proofErr w:type="spellEnd"/>
            <w:r w:rsidRPr="006565C6">
              <w:rPr>
                <w:b/>
                <w:bCs/>
                <w:sz w:val="22"/>
                <w:szCs w:val="22"/>
                <w:lang w:val="sr-Latn-RS"/>
              </w:rPr>
              <w:t xml:space="preserve"> 20 mg/ml oralni rastvor (doziranje s</w:t>
            </w:r>
            <w:r w:rsidR="00A273F2" w:rsidRPr="006565C6">
              <w:rPr>
                <w:b/>
                <w:bCs/>
                <w:sz w:val="22"/>
                <w:szCs w:val="22"/>
                <w:lang w:val="sr-Latn-RS"/>
              </w:rPr>
              <w:t>a</w:t>
            </w:r>
            <w:r w:rsidRPr="006565C6">
              <w:rPr>
                <w:b/>
                <w:bCs/>
                <w:sz w:val="22"/>
                <w:szCs w:val="22"/>
                <w:lang w:val="sr-Latn-RS"/>
              </w:rPr>
              <w:t xml:space="preserve"> priloženom pipetom od 5 ml) </w:t>
            </w:r>
          </w:p>
        </w:tc>
      </w:tr>
      <w:tr w:rsidR="00940592" w:rsidRPr="006565C6" w14:paraId="4E30888D" w14:textId="77777777" w:rsidTr="00992F33">
        <w:trPr>
          <w:trHeight w:val="231"/>
        </w:trPr>
        <w:tc>
          <w:tcPr>
            <w:tcW w:w="1713" w:type="dxa"/>
          </w:tcPr>
          <w:p w14:paraId="67B226F9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kg (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tjelesna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težina) </w:t>
            </w:r>
          </w:p>
        </w:tc>
        <w:tc>
          <w:tcPr>
            <w:tcW w:w="1714" w:type="dxa"/>
          </w:tcPr>
          <w:p w14:paraId="388DFF7D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ml (volumen doze) </w:t>
            </w:r>
          </w:p>
        </w:tc>
        <w:tc>
          <w:tcPr>
            <w:tcW w:w="1713" w:type="dxa"/>
          </w:tcPr>
          <w:p w14:paraId="3A8F40DE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kg (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tjelesna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težina) </w:t>
            </w:r>
          </w:p>
        </w:tc>
        <w:tc>
          <w:tcPr>
            <w:tcW w:w="1715" w:type="dxa"/>
          </w:tcPr>
          <w:p w14:paraId="24B8520D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ml (volumen doze) </w:t>
            </w:r>
          </w:p>
        </w:tc>
      </w:tr>
      <w:tr w:rsidR="00940592" w:rsidRPr="006565C6" w14:paraId="721638CF" w14:textId="77777777" w:rsidTr="00992F33">
        <w:trPr>
          <w:trHeight w:val="100"/>
        </w:trPr>
        <w:tc>
          <w:tcPr>
            <w:tcW w:w="1713" w:type="dxa"/>
          </w:tcPr>
          <w:p w14:paraId="36F35C2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16,1 - 17,5 </w:t>
            </w:r>
          </w:p>
        </w:tc>
        <w:tc>
          <w:tcPr>
            <w:tcW w:w="1714" w:type="dxa"/>
          </w:tcPr>
          <w:p w14:paraId="3123BA6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1,0 </w:t>
            </w:r>
          </w:p>
        </w:tc>
        <w:tc>
          <w:tcPr>
            <w:tcW w:w="1713" w:type="dxa"/>
          </w:tcPr>
          <w:p w14:paraId="42B2167F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49,6 - 51,1 </w:t>
            </w:r>
          </w:p>
        </w:tc>
        <w:tc>
          <w:tcPr>
            <w:tcW w:w="1715" w:type="dxa"/>
          </w:tcPr>
          <w:p w14:paraId="4515D84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3,1 </w:t>
            </w:r>
          </w:p>
        </w:tc>
      </w:tr>
      <w:tr w:rsidR="00940592" w:rsidRPr="006565C6" w14:paraId="47125828" w14:textId="77777777" w:rsidTr="00992F33">
        <w:trPr>
          <w:trHeight w:val="100"/>
        </w:trPr>
        <w:tc>
          <w:tcPr>
            <w:tcW w:w="1713" w:type="dxa"/>
          </w:tcPr>
          <w:p w14:paraId="598E5F6C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17,6 - 19,1 </w:t>
            </w:r>
          </w:p>
        </w:tc>
        <w:tc>
          <w:tcPr>
            <w:tcW w:w="1714" w:type="dxa"/>
          </w:tcPr>
          <w:p w14:paraId="45EFA6BF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1,1 </w:t>
            </w:r>
          </w:p>
        </w:tc>
        <w:tc>
          <w:tcPr>
            <w:tcW w:w="1713" w:type="dxa"/>
          </w:tcPr>
          <w:p w14:paraId="15DCD889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51,2 - 52,7 </w:t>
            </w:r>
          </w:p>
        </w:tc>
        <w:tc>
          <w:tcPr>
            <w:tcW w:w="1715" w:type="dxa"/>
          </w:tcPr>
          <w:p w14:paraId="546BCFDE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3,2 </w:t>
            </w:r>
          </w:p>
        </w:tc>
      </w:tr>
      <w:tr w:rsidR="00940592" w:rsidRPr="006565C6" w14:paraId="68AC7466" w14:textId="77777777" w:rsidTr="00992F33">
        <w:trPr>
          <w:trHeight w:val="100"/>
        </w:trPr>
        <w:tc>
          <w:tcPr>
            <w:tcW w:w="1713" w:type="dxa"/>
          </w:tcPr>
          <w:p w14:paraId="25CCCE9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19,2 - 20,7 </w:t>
            </w:r>
          </w:p>
        </w:tc>
        <w:tc>
          <w:tcPr>
            <w:tcW w:w="1714" w:type="dxa"/>
          </w:tcPr>
          <w:p w14:paraId="3D1DA14A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1,2 </w:t>
            </w:r>
          </w:p>
        </w:tc>
        <w:tc>
          <w:tcPr>
            <w:tcW w:w="1713" w:type="dxa"/>
          </w:tcPr>
          <w:p w14:paraId="34C15D17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52,8 - 54,3 </w:t>
            </w:r>
          </w:p>
        </w:tc>
        <w:tc>
          <w:tcPr>
            <w:tcW w:w="1715" w:type="dxa"/>
          </w:tcPr>
          <w:p w14:paraId="791D009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3,3 </w:t>
            </w:r>
          </w:p>
        </w:tc>
      </w:tr>
      <w:tr w:rsidR="00940592" w:rsidRPr="006565C6" w14:paraId="4B332705" w14:textId="77777777" w:rsidTr="00992F33">
        <w:trPr>
          <w:trHeight w:val="100"/>
        </w:trPr>
        <w:tc>
          <w:tcPr>
            <w:tcW w:w="1713" w:type="dxa"/>
          </w:tcPr>
          <w:p w14:paraId="3AFA5B4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20,8 - 22,3 </w:t>
            </w:r>
          </w:p>
        </w:tc>
        <w:tc>
          <w:tcPr>
            <w:tcW w:w="1714" w:type="dxa"/>
          </w:tcPr>
          <w:p w14:paraId="318C6DB0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1,3 </w:t>
            </w:r>
          </w:p>
        </w:tc>
        <w:tc>
          <w:tcPr>
            <w:tcW w:w="1713" w:type="dxa"/>
          </w:tcPr>
          <w:p w14:paraId="7358C9EF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54,4 - 55,9 </w:t>
            </w:r>
          </w:p>
        </w:tc>
        <w:tc>
          <w:tcPr>
            <w:tcW w:w="1715" w:type="dxa"/>
          </w:tcPr>
          <w:p w14:paraId="3047BD3A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3,4 </w:t>
            </w:r>
          </w:p>
        </w:tc>
      </w:tr>
      <w:tr w:rsidR="00940592" w:rsidRPr="006565C6" w14:paraId="628B2BCD" w14:textId="77777777" w:rsidTr="00992F33">
        <w:trPr>
          <w:trHeight w:val="100"/>
        </w:trPr>
        <w:tc>
          <w:tcPr>
            <w:tcW w:w="1713" w:type="dxa"/>
          </w:tcPr>
          <w:p w14:paraId="046CD990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22,4 - 23,9 </w:t>
            </w:r>
          </w:p>
        </w:tc>
        <w:tc>
          <w:tcPr>
            <w:tcW w:w="1714" w:type="dxa"/>
          </w:tcPr>
          <w:p w14:paraId="5EE32E9F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1,4 </w:t>
            </w:r>
          </w:p>
        </w:tc>
        <w:tc>
          <w:tcPr>
            <w:tcW w:w="1713" w:type="dxa"/>
          </w:tcPr>
          <w:p w14:paraId="4C80644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56,0 - 57,5 </w:t>
            </w:r>
          </w:p>
        </w:tc>
        <w:tc>
          <w:tcPr>
            <w:tcW w:w="1715" w:type="dxa"/>
          </w:tcPr>
          <w:p w14:paraId="7493BB7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3,5 </w:t>
            </w:r>
          </w:p>
        </w:tc>
      </w:tr>
      <w:tr w:rsidR="00940592" w:rsidRPr="006565C6" w14:paraId="6703A215" w14:textId="77777777" w:rsidTr="00992F33">
        <w:trPr>
          <w:trHeight w:val="100"/>
        </w:trPr>
        <w:tc>
          <w:tcPr>
            <w:tcW w:w="1713" w:type="dxa"/>
          </w:tcPr>
          <w:p w14:paraId="101C4F9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24,0 -25,5 </w:t>
            </w:r>
          </w:p>
        </w:tc>
        <w:tc>
          <w:tcPr>
            <w:tcW w:w="1714" w:type="dxa"/>
          </w:tcPr>
          <w:p w14:paraId="2925E77D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1,5 </w:t>
            </w:r>
          </w:p>
        </w:tc>
        <w:tc>
          <w:tcPr>
            <w:tcW w:w="1713" w:type="dxa"/>
          </w:tcPr>
          <w:p w14:paraId="2E2E7084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57,6 - 59,1 </w:t>
            </w:r>
          </w:p>
        </w:tc>
        <w:tc>
          <w:tcPr>
            <w:tcW w:w="1715" w:type="dxa"/>
          </w:tcPr>
          <w:p w14:paraId="469F4415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3,6 </w:t>
            </w:r>
          </w:p>
        </w:tc>
      </w:tr>
      <w:tr w:rsidR="00940592" w:rsidRPr="006565C6" w14:paraId="4A7898CE" w14:textId="77777777" w:rsidTr="00992F33">
        <w:trPr>
          <w:trHeight w:val="100"/>
        </w:trPr>
        <w:tc>
          <w:tcPr>
            <w:tcW w:w="1713" w:type="dxa"/>
          </w:tcPr>
          <w:p w14:paraId="116DF24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25,6 -27,1 </w:t>
            </w:r>
          </w:p>
        </w:tc>
        <w:tc>
          <w:tcPr>
            <w:tcW w:w="1714" w:type="dxa"/>
          </w:tcPr>
          <w:p w14:paraId="41F41775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1,6 </w:t>
            </w:r>
          </w:p>
        </w:tc>
        <w:tc>
          <w:tcPr>
            <w:tcW w:w="1713" w:type="dxa"/>
          </w:tcPr>
          <w:p w14:paraId="4C34CDE7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59,2 - 60,7 </w:t>
            </w:r>
          </w:p>
        </w:tc>
        <w:tc>
          <w:tcPr>
            <w:tcW w:w="1715" w:type="dxa"/>
          </w:tcPr>
          <w:p w14:paraId="20CBEE10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3,7 </w:t>
            </w:r>
          </w:p>
        </w:tc>
      </w:tr>
      <w:tr w:rsidR="00940592" w:rsidRPr="006565C6" w14:paraId="713A25A1" w14:textId="77777777" w:rsidTr="00992F33">
        <w:trPr>
          <w:trHeight w:val="100"/>
        </w:trPr>
        <w:tc>
          <w:tcPr>
            <w:tcW w:w="1713" w:type="dxa"/>
          </w:tcPr>
          <w:p w14:paraId="0F8AEB2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27,2 -28,7 </w:t>
            </w:r>
          </w:p>
        </w:tc>
        <w:tc>
          <w:tcPr>
            <w:tcW w:w="1714" w:type="dxa"/>
          </w:tcPr>
          <w:p w14:paraId="5F6B3817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1,7 </w:t>
            </w:r>
          </w:p>
        </w:tc>
        <w:tc>
          <w:tcPr>
            <w:tcW w:w="1713" w:type="dxa"/>
          </w:tcPr>
          <w:p w14:paraId="2F53A1CC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60,8 - 62,3 </w:t>
            </w:r>
          </w:p>
        </w:tc>
        <w:tc>
          <w:tcPr>
            <w:tcW w:w="1715" w:type="dxa"/>
          </w:tcPr>
          <w:p w14:paraId="3672E7FA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3,8 </w:t>
            </w:r>
          </w:p>
        </w:tc>
      </w:tr>
      <w:tr w:rsidR="00940592" w:rsidRPr="006565C6" w14:paraId="448275F8" w14:textId="77777777" w:rsidTr="00992F33">
        <w:trPr>
          <w:trHeight w:val="100"/>
        </w:trPr>
        <w:tc>
          <w:tcPr>
            <w:tcW w:w="1713" w:type="dxa"/>
          </w:tcPr>
          <w:p w14:paraId="5EC27A1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28,8 - 30,3 </w:t>
            </w:r>
          </w:p>
        </w:tc>
        <w:tc>
          <w:tcPr>
            <w:tcW w:w="1714" w:type="dxa"/>
          </w:tcPr>
          <w:p w14:paraId="65D28DB5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1,8 </w:t>
            </w:r>
          </w:p>
        </w:tc>
        <w:tc>
          <w:tcPr>
            <w:tcW w:w="1713" w:type="dxa"/>
          </w:tcPr>
          <w:p w14:paraId="59935249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62,4 - 63,9 </w:t>
            </w:r>
          </w:p>
        </w:tc>
        <w:tc>
          <w:tcPr>
            <w:tcW w:w="1715" w:type="dxa"/>
          </w:tcPr>
          <w:p w14:paraId="03C8AC31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3,9 </w:t>
            </w:r>
          </w:p>
        </w:tc>
      </w:tr>
      <w:tr w:rsidR="00940592" w:rsidRPr="006565C6" w14:paraId="4A86F659" w14:textId="77777777" w:rsidTr="00992F33">
        <w:trPr>
          <w:trHeight w:val="100"/>
        </w:trPr>
        <w:tc>
          <w:tcPr>
            <w:tcW w:w="1713" w:type="dxa"/>
          </w:tcPr>
          <w:p w14:paraId="5BF47E5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30,4 - 31,9 </w:t>
            </w:r>
          </w:p>
        </w:tc>
        <w:tc>
          <w:tcPr>
            <w:tcW w:w="1714" w:type="dxa"/>
          </w:tcPr>
          <w:p w14:paraId="4D9FA1E0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1,9 </w:t>
            </w:r>
          </w:p>
        </w:tc>
        <w:tc>
          <w:tcPr>
            <w:tcW w:w="1713" w:type="dxa"/>
          </w:tcPr>
          <w:p w14:paraId="0011F927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64,0 - 65,5 </w:t>
            </w:r>
          </w:p>
        </w:tc>
        <w:tc>
          <w:tcPr>
            <w:tcW w:w="1715" w:type="dxa"/>
          </w:tcPr>
          <w:p w14:paraId="4C8FFA6D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4,0 </w:t>
            </w:r>
          </w:p>
        </w:tc>
      </w:tr>
      <w:tr w:rsidR="00940592" w:rsidRPr="006565C6" w14:paraId="46C0F8B2" w14:textId="77777777" w:rsidTr="00992F33">
        <w:trPr>
          <w:trHeight w:val="100"/>
        </w:trPr>
        <w:tc>
          <w:tcPr>
            <w:tcW w:w="1713" w:type="dxa"/>
          </w:tcPr>
          <w:p w14:paraId="36A5982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32,0 - 33,5 </w:t>
            </w:r>
          </w:p>
        </w:tc>
        <w:tc>
          <w:tcPr>
            <w:tcW w:w="1714" w:type="dxa"/>
          </w:tcPr>
          <w:p w14:paraId="09CA4E7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2,0 </w:t>
            </w:r>
          </w:p>
        </w:tc>
        <w:tc>
          <w:tcPr>
            <w:tcW w:w="1713" w:type="dxa"/>
          </w:tcPr>
          <w:p w14:paraId="3130ACE1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65,6 - 67,1 </w:t>
            </w:r>
          </w:p>
        </w:tc>
        <w:tc>
          <w:tcPr>
            <w:tcW w:w="1715" w:type="dxa"/>
          </w:tcPr>
          <w:p w14:paraId="33650D6E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4,1 </w:t>
            </w:r>
          </w:p>
        </w:tc>
      </w:tr>
      <w:tr w:rsidR="00940592" w:rsidRPr="006565C6" w14:paraId="3000EF2C" w14:textId="77777777" w:rsidTr="00992F33">
        <w:trPr>
          <w:trHeight w:val="100"/>
        </w:trPr>
        <w:tc>
          <w:tcPr>
            <w:tcW w:w="1713" w:type="dxa"/>
          </w:tcPr>
          <w:p w14:paraId="7411A64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33,6 - 35,1 </w:t>
            </w:r>
          </w:p>
        </w:tc>
        <w:tc>
          <w:tcPr>
            <w:tcW w:w="1714" w:type="dxa"/>
          </w:tcPr>
          <w:p w14:paraId="64257F15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2,1 </w:t>
            </w:r>
          </w:p>
        </w:tc>
        <w:tc>
          <w:tcPr>
            <w:tcW w:w="1713" w:type="dxa"/>
          </w:tcPr>
          <w:p w14:paraId="0D8941F1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67,2 - 68,7 </w:t>
            </w:r>
          </w:p>
        </w:tc>
        <w:tc>
          <w:tcPr>
            <w:tcW w:w="1715" w:type="dxa"/>
          </w:tcPr>
          <w:p w14:paraId="65B370F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4,2 </w:t>
            </w:r>
          </w:p>
        </w:tc>
      </w:tr>
      <w:tr w:rsidR="00940592" w:rsidRPr="006565C6" w14:paraId="618ABCF4" w14:textId="77777777" w:rsidTr="00992F33">
        <w:trPr>
          <w:trHeight w:val="100"/>
        </w:trPr>
        <w:tc>
          <w:tcPr>
            <w:tcW w:w="1713" w:type="dxa"/>
          </w:tcPr>
          <w:p w14:paraId="2EE43D1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35,2 - 36,7 </w:t>
            </w:r>
          </w:p>
        </w:tc>
        <w:tc>
          <w:tcPr>
            <w:tcW w:w="1714" w:type="dxa"/>
          </w:tcPr>
          <w:p w14:paraId="050911A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2,2 </w:t>
            </w:r>
          </w:p>
        </w:tc>
        <w:tc>
          <w:tcPr>
            <w:tcW w:w="1713" w:type="dxa"/>
          </w:tcPr>
          <w:p w14:paraId="47F6C2CE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68,8 - 70,3 </w:t>
            </w:r>
          </w:p>
        </w:tc>
        <w:tc>
          <w:tcPr>
            <w:tcW w:w="1715" w:type="dxa"/>
          </w:tcPr>
          <w:p w14:paraId="609C26D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4,3 </w:t>
            </w:r>
          </w:p>
        </w:tc>
      </w:tr>
      <w:tr w:rsidR="00940592" w:rsidRPr="006565C6" w14:paraId="3D52F2BD" w14:textId="77777777" w:rsidTr="00992F33">
        <w:trPr>
          <w:trHeight w:val="100"/>
        </w:trPr>
        <w:tc>
          <w:tcPr>
            <w:tcW w:w="1713" w:type="dxa"/>
          </w:tcPr>
          <w:p w14:paraId="227FB4FC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36,8 - 38,3 </w:t>
            </w:r>
          </w:p>
        </w:tc>
        <w:tc>
          <w:tcPr>
            <w:tcW w:w="1714" w:type="dxa"/>
          </w:tcPr>
          <w:p w14:paraId="184EE0F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2,3 </w:t>
            </w:r>
          </w:p>
        </w:tc>
        <w:tc>
          <w:tcPr>
            <w:tcW w:w="1713" w:type="dxa"/>
          </w:tcPr>
          <w:p w14:paraId="25185CA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70,4 - 71,9 </w:t>
            </w:r>
          </w:p>
        </w:tc>
        <w:tc>
          <w:tcPr>
            <w:tcW w:w="1715" w:type="dxa"/>
          </w:tcPr>
          <w:p w14:paraId="32A69FF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4,4 </w:t>
            </w:r>
          </w:p>
        </w:tc>
      </w:tr>
      <w:tr w:rsidR="00940592" w:rsidRPr="006565C6" w14:paraId="2430943B" w14:textId="77777777" w:rsidTr="00992F33">
        <w:trPr>
          <w:trHeight w:val="100"/>
        </w:trPr>
        <w:tc>
          <w:tcPr>
            <w:tcW w:w="1713" w:type="dxa"/>
          </w:tcPr>
          <w:p w14:paraId="3236FEC0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38,4 - 39,9 </w:t>
            </w:r>
          </w:p>
        </w:tc>
        <w:tc>
          <w:tcPr>
            <w:tcW w:w="1714" w:type="dxa"/>
          </w:tcPr>
          <w:p w14:paraId="02D7C72C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2,4 </w:t>
            </w:r>
          </w:p>
        </w:tc>
        <w:tc>
          <w:tcPr>
            <w:tcW w:w="1713" w:type="dxa"/>
          </w:tcPr>
          <w:p w14:paraId="2B009809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72,0 - 73,5 </w:t>
            </w:r>
          </w:p>
        </w:tc>
        <w:tc>
          <w:tcPr>
            <w:tcW w:w="1715" w:type="dxa"/>
          </w:tcPr>
          <w:p w14:paraId="50D55BD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4,5 </w:t>
            </w:r>
          </w:p>
        </w:tc>
      </w:tr>
      <w:tr w:rsidR="00940592" w:rsidRPr="006565C6" w14:paraId="199CC4A4" w14:textId="77777777" w:rsidTr="00992F33">
        <w:trPr>
          <w:trHeight w:val="100"/>
        </w:trPr>
        <w:tc>
          <w:tcPr>
            <w:tcW w:w="1713" w:type="dxa"/>
          </w:tcPr>
          <w:p w14:paraId="76B36875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40,0 - 41,5 </w:t>
            </w:r>
          </w:p>
        </w:tc>
        <w:tc>
          <w:tcPr>
            <w:tcW w:w="1714" w:type="dxa"/>
          </w:tcPr>
          <w:p w14:paraId="5BBB4637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2,5 </w:t>
            </w:r>
          </w:p>
        </w:tc>
        <w:tc>
          <w:tcPr>
            <w:tcW w:w="1713" w:type="dxa"/>
          </w:tcPr>
          <w:p w14:paraId="3A81939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73,6 - 75,1 </w:t>
            </w:r>
          </w:p>
        </w:tc>
        <w:tc>
          <w:tcPr>
            <w:tcW w:w="1715" w:type="dxa"/>
          </w:tcPr>
          <w:p w14:paraId="1808832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4,6 </w:t>
            </w:r>
          </w:p>
        </w:tc>
      </w:tr>
      <w:tr w:rsidR="00940592" w:rsidRPr="006565C6" w14:paraId="1D203F90" w14:textId="77777777" w:rsidTr="00992F33">
        <w:trPr>
          <w:trHeight w:val="100"/>
        </w:trPr>
        <w:tc>
          <w:tcPr>
            <w:tcW w:w="1713" w:type="dxa"/>
          </w:tcPr>
          <w:p w14:paraId="2E308E0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41,6 - 43,1 </w:t>
            </w:r>
          </w:p>
        </w:tc>
        <w:tc>
          <w:tcPr>
            <w:tcW w:w="1714" w:type="dxa"/>
          </w:tcPr>
          <w:p w14:paraId="17C4D90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2,6 </w:t>
            </w:r>
          </w:p>
        </w:tc>
        <w:tc>
          <w:tcPr>
            <w:tcW w:w="1713" w:type="dxa"/>
          </w:tcPr>
          <w:p w14:paraId="75C7273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75,2 - 76,7 </w:t>
            </w:r>
          </w:p>
        </w:tc>
        <w:tc>
          <w:tcPr>
            <w:tcW w:w="1715" w:type="dxa"/>
          </w:tcPr>
          <w:p w14:paraId="7437D62C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4,7 </w:t>
            </w:r>
          </w:p>
        </w:tc>
      </w:tr>
      <w:tr w:rsidR="00940592" w:rsidRPr="006565C6" w14:paraId="7634E937" w14:textId="77777777" w:rsidTr="00992F33">
        <w:trPr>
          <w:trHeight w:val="100"/>
        </w:trPr>
        <w:tc>
          <w:tcPr>
            <w:tcW w:w="1713" w:type="dxa"/>
          </w:tcPr>
          <w:p w14:paraId="7933283D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43,2 - 44,7 </w:t>
            </w:r>
          </w:p>
        </w:tc>
        <w:tc>
          <w:tcPr>
            <w:tcW w:w="1714" w:type="dxa"/>
          </w:tcPr>
          <w:p w14:paraId="3A9B9D74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2,7 </w:t>
            </w:r>
          </w:p>
        </w:tc>
        <w:tc>
          <w:tcPr>
            <w:tcW w:w="1713" w:type="dxa"/>
          </w:tcPr>
          <w:p w14:paraId="7EF43730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76,8 - 78,3 </w:t>
            </w:r>
          </w:p>
        </w:tc>
        <w:tc>
          <w:tcPr>
            <w:tcW w:w="1715" w:type="dxa"/>
          </w:tcPr>
          <w:p w14:paraId="79F63AA6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4,8 </w:t>
            </w:r>
          </w:p>
        </w:tc>
      </w:tr>
      <w:tr w:rsidR="00940592" w:rsidRPr="006565C6" w14:paraId="7D38AE87" w14:textId="77777777" w:rsidTr="00992F33">
        <w:trPr>
          <w:trHeight w:val="100"/>
        </w:trPr>
        <w:tc>
          <w:tcPr>
            <w:tcW w:w="1713" w:type="dxa"/>
          </w:tcPr>
          <w:p w14:paraId="66E3C70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44,8 - 46,3 </w:t>
            </w:r>
          </w:p>
        </w:tc>
        <w:tc>
          <w:tcPr>
            <w:tcW w:w="1714" w:type="dxa"/>
          </w:tcPr>
          <w:p w14:paraId="4B56847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2,8 </w:t>
            </w:r>
          </w:p>
        </w:tc>
        <w:tc>
          <w:tcPr>
            <w:tcW w:w="1713" w:type="dxa"/>
          </w:tcPr>
          <w:p w14:paraId="5123F8C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78,4 - 79,9 </w:t>
            </w:r>
          </w:p>
        </w:tc>
        <w:tc>
          <w:tcPr>
            <w:tcW w:w="1715" w:type="dxa"/>
          </w:tcPr>
          <w:p w14:paraId="6C0B012B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4,9 </w:t>
            </w:r>
          </w:p>
        </w:tc>
      </w:tr>
      <w:tr w:rsidR="00940592" w:rsidRPr="006565C6" w14:paraId="4BD4862B" w14:textId="77777777" w:rsidTr="00992F33">
        <w:trPr>
          <w:trHeight w:val="100"/>
        </w:trPr>
        <w:tc>
          <w:tcPr>
            <w:tcW w:w="1713" w:type="dxa"/>
          </w:tcPr>
          <w:p w14:paraId="028C5E11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46,4 - 47,9 </w:t>
            </w:r>
          </w:p>
        </w:tc>
        <w:tc>
          <w:tcPr>
            <w:tcW w:w="1714" w:type="dxa"/>
          </w:tcPr>
          <w:p w14:paraId="5E0170BD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2,9 </w:t>
            </w:r>
          </w:p>
        </w:tc>
        <w:tc>
          <w:tcPr>
            <w:tcW w:w="1713" w:type="dxa"/>
          </w:tcPr>
          <w:p w14:paraId="784EF63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≥ 80,0 </w:t>
            </w:r>
          </w:p>
        </w:tc>
        <w:tc>
          <w:tcPr>
            <w:tcW w:w="1715" w:type="dxa"/>
          </w:tcPr>
          <w:p w14:paraId="0847F6D2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5,0 </w:t>
            </w:r>
          </w:p>
        </w:tc>
      </w:tr>
      <w:tr w:rsidR="00940592" w:rsidRPr="006565C6" w14:paraId="489E4200" w14:textId="77777777" w:rsidTr="00992F33">
        <w:trPr>
          <w:trHeight w:val="100"/>
        </w:trPr>
        <w:tc>
          <w:tcPr>
            <w:tcW w:w="1713" w:type="dxa"/>
          </w:tcPr>
          <w:p w14:paraId="332BFC15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48,0 - 49,5              </w:t>
            </w:r>
          </w:p>
        </w:tc>
        <w:tc>
          <w:tcPr>
            <w:tcW w:w="1714" w:type="dxa"/>
          </w:tcPr>
          <w:p w14:paraId="39729103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3,0</w:t>
            </w:r>
          </w:p>
        </w:tc>
        <w:tc>
          <w:tcPr>
            <w:tcW w:w="3428" w:type="dxa"/>
            <w:gridSpan w:val="2"/>
          </w:tcPr>
          <w:p w14:paraId="7B3202B1" w14:textId="77777777" w:rsidR="00940592" w:rsidRPr="006565C6" w:rsidRDefault="00940592" w:rsidP="00016A13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</w:p>
        </w:tc>
      </w:tr>
    </w:tbl>
    <w:p w14:paraId="7A56E405" w14:textId="77777777" w:rsidR="00940592" w:rsidRPr="006565C6" w:rsidRDefault="00940592" w:rsidP="00016A13">
      <w:pPr>
        <w:jc w:val="both"/>
        <w:rPr>
          <w:sz w:val="22"/>
          <w:szCs w:val="22"/>
          <w:lang w:val="sr-Latn-RS"/>
        </w:rPr>
      </w:pPr>
    </w:p>
    <w:p w14:paraId="727694D7" w14:textId="0D192E53" w:rsidR="00940592" w:rsidRPr="006565C6" w:rsidRDefault="00940592" w:rsidP="00016A13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Zbog visokog sadržaja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20 mg/ml oralni rastvor ne preporučuje se za </w:t>
      </w:r>
      <w:proofErr w:type="spellStart"/>
      <w:r w:rsidRPr="006565C6">
        <w:rPr>
          <w:sz w:val="22"/>
          <w:szCs w:val="22"/>
          <w:lang w:val="sr-Latn-RS"/>
        </w:rPr>
        <w:t>primjenu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A273F2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tjelesne</w:t>
      </w:r>
      <w:proofErr w:type="spellEnd"/>
      <w:r w:rsidRPr="006565C6">
        <w:rPr>
          <w:sz w:val="22"/>
          <w:szCs w:val="22"/>
          <w:lang w:val="sr-Latn-RS"/>
        </w:rPr>
        <w:t xml:space="preserve"> težine od 16 kg ili manje.</w:t>
      </w:r>
    </w:p>
    <w:p w14:paraId="13B7D59E" w14:textId="77777777" w:rsidR="009A24C9" w:rsidRPr="006565C6" w:rsidRDefault="009A24C9" w:rsidP="00016A13">
      <w:pPr>
        <w:pStyle w:val="Default"/>
        <w:jc w:val="both"/>
        <w:rPr>
          <w:sz w:val="22"/>
          <w:szCs w:val="22"/>
          <w:lang w:val="sr-Latn-RS"/>
        </w:rPr>
      </w:pPr>
    </w:p>
    <w:p w14:paraId="4A38F437" w14:textId="107B6AB1" w:rsidR="00940592" w:rsidRPr="006565C6" w:rsidRDefault="00A273F2" w:rsidP="0020381D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Bezbijednost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940592" w:rsidRPr="006565C6">
        <w:rPr>
          <w:sz w:val="22"/>
          <w:szCs w:val="22"/>
          <w:lang w:val="sr-Latn-RS"/>
        </w:rPr>
        <w:t xml:space="preserve">i efikasnost </w:t>
      </w:r>
      <w:proofErr w:type="spellStart"/>
      <w:r w:rsidR="00940592" w:rsidRPr="006565C6">
        <w:rPr>
          <w:sz w:val="22"/>
          <w:szCs w:val="22"/>
          <w:lang w:val="sr-Latn-RS"/>
        </w:rPr>
        <w:t>lijeka</w:t>
      </w:r>
      <w:proofErr w:type="spellEnd"/>
      <w:r w:rsidR="00940592" w:rsidRPr="006565C6">
        <w:rPr>
          <w:sz w:val="22"/>
          <w:szCs w:val="22"/>
          <w:lang w:val="sr-Latn-RS"/>
        </w:rPr>
        <w:t xml:space="preserve"> </w:t>
      </w:r>
      <w:proofErr w:type="spellStart"/>
      <w:r w:rsidR="00940592" w:rsidRPr="006565C6">
        <w:rPr>
          <w:sz w:val="22"/>
          <w:szCs w:val="22"/>
          <w:lang w:val="sr-Latn-RS"/>
        </w:rPr>
        <w:t>PALEXIA</w:t>
      </w:r>
      <w:proofErr w:type="spellEnd"/>
      <w:r w:rsidR="00940592" w:rsidRPr="006565C6">
        <w:rPr>
          <w:sz w:val="22"/>
          <w:szCs w:val="22"/>
          <w:lang w:val="sr-Latn-RS"/>
        </w:rPr>
        <w:t xml:space="preserve"> oralni rastvor </w:t>
      </w:r>
      <w:r w:rsidRPr="006565C6">
        <w:rPr>
          <w:sz w:val="22"/>
          <w:szCs w:val="22"/>
          <w:lang w:val="sr-Latn-RS"/>
        </w:rPr>
        <w:t xml:space="preserve">kod </w:t>
      </w:r>
      <w:proofErr w:type="spellStart"/>
      <w:r w:rsidR="00940592" w:rsidRPr="006565C6">
        <w:rPr>
          <w:sz w:val="22"/>
          <w:szCs w:val="22"/>
          <w:lang w:val="sr-Latn-RS"/>
        </w:rPr>
        <w:t>djece</w:t>
      </w:r>
      <w:proofErr w:type="spellEnd"/>
      <w:r w:rsidR="00940592" w:rsidRPr="006565C6">
        <w:rPr>
          <w:sz w:val="22"/>
          <w:szCs w:val="22"/>
          <w:lang w:val="sr-Latn-RS"/>
        </w:rPr>
        <w:t xml:space="preserve"> mlađe od 2 godine nisu još ustanovljene. Trenutno dostupni podaci opisani su u </w:t>
      </w:r>
      <w:proofErr w:type="spellStart"/>
      <w:r w:rsidR="00904257" w:rsidRPr="006565C6">
        <w:rPr>
          <w:sz w:val="22"/>
          <w:szCs w:val="22"/>
          <w:lang w:val="sr-Latn-RS"/>
        </w:rPr>
        <w:t>djelovima</w:t>
      </w:r>
      <w:proofErr w:type="spellEnd"/>
      <w:r w:rsidR="00940592" w:rsidRPr="006565C6">
        <w:rPr>
          <w:sz w:val="22"/>
          <w:szCs w:val="22"/>
          <w:lang w:val="sr-Latn-RS"/>
        </w:rPr>
        <w:t xml:space="preserve"> 5.1 i 5.2 međutim nije moguće dati preporuku o doziranju </w:t>
      </w:r>
      <w:r w:rsidRPr="006565C6">
        <w:rPr>
          <w:sz w:val="22"/>
          <w:szCs w:val="22"/>
          <w:lang w:val="sr-Latn-RS"/>
        </w:rPr>
        <w:t xml:space="preserve">kod </w:t>
      </w:r>
      <w:proofErr w:type="spellStart"/>
      <w:r w:rsidR="00940592" w:rsidRPr="006565C6">
        <w:rPr>
          <w:sz w:val="22"/>
          <w:szCs w:val="22"/>
          <w:lang w:val="sr-Latn-RS"/>
        </w:rPr>
        <w:t>djece</w:t>
      </w:r>
      <w:proofErr w:type="spellEnd"/>
      <w:r w:rsidR="00940592" w:rsidRPr="006565C6">
        <w:rPr>
          <w:sz w:val="22"/>
          <w:szCs w:val="22"/>
          <w:lang w:val="sr-Latn-RS"/>
        </w:rPr>
        <w:t xml:space="preserve"> mlađe od 2 godine.</w:t>
      </w:r>
    </w:p>
    <w:p w14:paraId="05FDC26B" w14:textId="77777777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</w:p>
    <w:p w14:paraId="73182D94" w14:textId="77777777" w:rsidR="00940592" w:rsidRPr="006565C6" w:rsidRDefault="00940592" w:rsidP="0020381D">
      <w:pPr>
        <w:pStyle w:val="Default"/>
        <w:jc w:val="both"/>
        <w:rPr>
          <w:iCs/>
          <w:sz w:val="22"/>
          <w:szCs w:val="22"/>
          <w:u w:val="single"/>
          <w:lang w:val="sr-Latn-RS"/>
        </w:rPr>
      </w:pPr>
      <w:r w:rsidRPr="006565C6">
        <w:rPr>
          <w:iCs/>
          <w:sz w:val="22"/>
          <w:szCs w:val="22"/>
          <w:u w:val="single"/>
          <w:lang w:val="sr-Latn-RS"/>
        </w:rPr>
        <w:t xml:space="preserve">Trajanje </w:t>
      </w:r>
      <w:proofErr w:type="spellStart"/>
      <w:r w:rsidRPr="006565C6">
        <w:rPr>
          <w:iCs/>
          <w:sz w:val="22"/>
          <w:szCs w:val="22"/>
          <w:u w:val="single"/>
          <w:lang w:val="sr-Latn-RS"/>
        </w:rPr>
        <w:t>liječenja</w:t>
      </w:r>
      <w:proofErr w:type="spellEnd"/>
    </w:p>
    <w:p w14:paraId="01997524" w14:textId="5496BA1E" w:rsidR="00940592" w:rsidRPr="006565C6" w:rsidRDefault="00940592" w:rsidP="0020381D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Oralni rastvor je </w:t>
      </w:r>
      <w:proofErr w:type="spellStart"/>
      <w:r w:rsidRPr="006565C6">
        <w:rPr>
          <w:sz w:val="22"/>
          <w:szCs w:val="22"/>
          <w:lang w:val="sr-Latn-RS"/>
        </w:rPr>
        <w:t>namijenjen</w:t>
      </w:r>
      <w:proofErr w:type="spellEnd"/>
      <w:r w:rsidRPr="006565C6">
        <w:rPr>
          <w:sz w:val="22"/>
          <w:szCs w:val="22"/>
          <w:lang w:val="sr-Latn-RS"/>
        </w:rPr>
        <w:t xml:space="preserve"> za stanja akutn</w:t>
      </w:r>
      <w:r w:rsidR="00A273F2" w:rsidRPr="006565C6">
        <w:rPr>
          <w:sz w:val="22"/>
          <w:szCs w:val="22"/>
          <w:lang w:val="sr-Latn-RS"/>
        </w:rPr>
        <w:t>og</w:t>
      </w:r>
      <w:r w:rsidRPr="006565C6">
        <w:rPr>
          <w:sz w:val="22"/>
          <w:szCs w:val="22"/>
          <w:lang w:val="sr-Latn-RS"/>
        </w:rPr>
        <w:t xml:space="preserve"> bol</w:t>
      </w:r>
      <w:r w:rsidR="00A273F2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. Kao i u slučaju svakog </w:t>
      </w:r>
      <w:proofErr w:type="spellStart"/>
      <w:r w:rsidRPr="006565C6">
        <w:rPr>
          <w:sz w:val="22"/>
          <w:szCs w:val="22"/>
          <w:lang w:val="sr-Latn-RS"/>
        </w:rPr>
        <w:t>simptomatskog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, kontinuirana se upotreba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mora redovno </w:t>
      </w:r>
      <w:proofErr w:type="spellStart"/>
      <w:r w:rsidRPr="006565C6">
        <w:rPr>
          <w:sz w:val="22"/>
          <w:szCs w:val="22"/>
          <w:lang w:val="sr-Latn-RS"/>
        </w:rPr>
        <w:t>proc</w:t>
      </w:r>
      <w:r w:rsidR="00A273F2" w:rsidRPr="006565C6">
        <w:rPr>
          <w:sz w:val="22"/>
          <w:szCs w:val="22"/>
          <w:lang w:val="sr-Latn-RS"/>
        </w:rPr>
        <w:t>jenjivati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  <w:r w:rsidR="00A273F2" w:rsidRPr="006565C6">
        <w:rPr>
          <w:sz w:val="22"/>
          <w:szCs w:val="22"/>
          <w:u w:val="single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u w:val="single"/>
          <w:lang w:val="sr-Latn-RS"/>
        </w:rPr>
        <w:t>djece</w:t>
      </w:r>
      <w:proofErr w:type="spellEnd"/>
      <w:r w:rsidRPr="006565C6">
        <w:rPr>
          <w:sz w:val="22"/>
          <w:szCs w:val="22"/>
          <w:u w:val="single"/>
          <w:lang w:val="sr-Latn-RS"/>
        </w:rPr>
        <w:t xml:space="preserve"> trajanje </w:t>
      </w:r>
      <w:proofErr w:type="spellStart"/>
      <w:r w:rsidRPr="006565C6">
        <w:rPr>
          <w:sz w:val="22"/>
          <w:szCs w:val="22"/>
          <w:u w:val="single"/>
          <w:lang w:val="sr-Latn-RS"/>
        </w:rPr>
        <w:t>liječenja</w:t>
      </w:r>
      <w:proofErr w:type="spellEnd"/>
      <w:r w:rsidRPr="006565C6">
        <w:rPr>
          <w:sz w:val="22"/>
          <w:szCs w:val="22"/>
          <w:u w:val="single"/>
          <w:lang w:val="sr-Latn-RS"/>
        </w:rPr>
        <w:t xml:space="preserve"> ne smije biti duže od 3 dana jer </w:t>
      </w:r>
      <w:proofErr w:type="spellStart"/>
      <w:r w:rsidR="00A273F2" w:rsidRPr="006565C6">
        <w:rPr>
          <w:sz w:val="22"/>
          <w:szCs w:val="22"/>
          <w:u w:val="single"/>
          <w:lang w:val="sr-Latn-RS"/>
        </w:rPr>
        <w:t>bezbijednost</w:t>
      </w:r>
      <w:proofErr w:type="spellEnd"/>
      <w:r w:rsidR="00A273F2" w:rsidRPr="006565C6">
        <w:rPr>
          <w:sz w:val="22"/>
          <w:szCs w:val="22"/>
          <w:u w:val="single"/>
          <w:lang w:val="sr-Latn-RS"/>
        </w:rPr>
        <w:t xml:space="preserve"> </w:t>
      </w:r>
      <w:r w:rsidRPr="006565C6">
        <w:rPr>
          <w:sz w:val="22"/>
          <w:szCs w:val="22"/>
          <w:u w:val="single"/>
          <w:lang w:val="sr-Latn-RS"/>
        </w:rPr>
        <w:t xml:space="preserve">i </w:t>
      </w:r>
      <w:proofErr w:type="spellStart"/>
      <w:r w:rsidRPr="006565C6">
        <w:rPr>
          <w:sz w:val="22"/>
          <w:szCs w:val="22"/>
          <w:u w:val="single"/>
          <w:lang w:val="sr-Latn-RS"/>
        </w:rPr>
        <w:t>efiksanost</w:t>
      </w:r>
      <w:proofErr w:type="spellEnd"/>
      <w:r w:rsidRPr="006565C6">
        <w:rPr>
          <w:sz w:val="22"/>
          <w:szCs w:val="22"/>
          <w:u w:val="single"/>
          <w:lang w:val="sr-Latn-RS"/>
        </w:rPr>
        <w:t xml:space="preserve"> dužeg </w:t>
      </w:r>
      <w:proofErr w:type="spellStart"/>
      <w:r w:rsidRPr="006565C6">
        <w:rPr>
          <w:sz w:val="22"/>
          <w:szCs w:val="22"/>
          <w:u w:val="single"/>
          <w:lang w:val="sr-Latn-RS"/>
        </w:rPr>
        <w:t>liječenja</w:t>
      </w:r>
      <w:proofErr w:type="spellEnd"/>
      <w:r w:rsidRPr="006565C6">
        <w:rPr>
          <w:sz w:val="22"/>
          <w:szCs w:val="22"/>
          <w:u w:val="single"/>
          <w:lang w:val="sr-Latn-RS"/>
        </w:rPr>
        <w:t xml:space="preserve"> nisu još ustanovljene.</w:t>
      </w:r>
    </w:p>
    <w:p w14:paraId="772F889E" w14:textId="77777777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</w:p>
    <w:p w14:paraId="75990B7C" w14:textId="77777777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Prestanak </w:t>
      </w:r>
      <w:proofErr w:type="spellStart"/>
      <w:r w:rsidRPr="006565C6">
        <w:rPr>
          <w:i/>
          <w:sz w:val="22"/>
          <w:szCs w:val="22"/>
          <w:lang w:val="sr-Latn-RS"/>
        </w:rPr>
        <w:t>liječenja</w:t>
      </w:r>
      <w:proofErr w:type="spellEnd"/>
    </w:p>
    <w:p w14:paraId="0B5A839E" w14:textId="10242AFE" w:rsidR="00940592" w:rsidRPr="006565C6" w:rsidRDefault="00940592" w:rsidP="0020381D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Nakon naglog prestanka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tapentadolom</w:t>
      </w:r>
      <w:proofErr w:type="spellEnd"/>
      <w:r w:rsidRPr="006565C6">
        <w:rPr>
          <w:sz w:val="22"/>
          <w:szCs w:val="22"/>
          <w:lang w:val="sr-Latn-RS"/>
        </w:rPr>
        <w:t xml:space="preserve"> mogu nastupiti simptomi </w:t>
      </w:r>
      <w:r w:rsidR="00A273F2" w:rsidRPr="006565C6">
        <w:rPr>
          <w:sz w:val="22"/>
          <w:szCs w:val="22"/>
          <w:lang w:val="sr-Latn-RS"/>
        </w:rPr>
        <w:t xml:space="preserve">naglog prekida </w:t>
      </w:r>
      <w:r w:rsidRPr="006565C6">
        <w:rPr>
          <w:sz w:val="22"/>
          <w:szCs w:val="22"/>
          <w:lang w:val="sr-Latn-RS"/>
        </w:rPr>
        <w:t>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4.8). Kada </w:t>
      </w:r>
      <w:r w:rsidR="00A273F2" w:rsidRPr="006565C6">
        <w:rPr>
          <w:sz w:val="22"/>
          <w:szCs w:val="22"/>
          <w:lang w:val="sr-Latn-RS"/>
        </w:rPr>
        <w:t xml:space="preserve">pacijentu </w:t>
      </w:r>
      <w:r w:rsidRPr="006565C6">
        <w:rPr>
          <w:sz w:val="22"/>
          <w:szCs w:val="22"/>
          <w:lang w:val="sr-Latn-RS"/>
        </w:rPr>
        <w:t xml:space="preserve">više </w:t>
      </w:r>
      <w:r w:rsidR="00A273F2" w:rsidRPr="006565C6">
        <w:rPr>
          <w:sz w:val="22"/>
          <w:szCs w:val="22"/>
          <w:lang w:val="sr-Latn-RS"/>
        </w:rPr>
        <w:t xml:space="preserve">nije potrebna </w:t>
      </w:r>
      <w:r w:rsidRPr="006565C6">
        <w:rPr>
          <w:sz w:val="22"/>
          <w:szCs w:val="22"/>
          <w:lang w:val="sr-Latn-RS"/>
        </w:rPr>
        <w:t>terapij</w:t>
      </w:r>
      <w:r w:rsidR="00A273F2" w:rsidRPr="006565C6">
        <w:rPr>
          <w:sz w:val="22"/>
          <w:szCs w:val="22"/>
          <w:lang w:val="sr-Latn-RS"/>
        </w:rPr>
        <w:t xml:space="preserve">a </w:t>
      </w:r>
      <w:proofErr w:type="spellStart"/>
      <w:r w:rsidRPr="006565C6">
        <w:rPr>
          <w:sz w:val="22"/>
          <w:szCs w:val="22"/>
          <w:lang w:val="sr-Latn-RS"/>
        </w:rPr>
        <w:t>tapentadolom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savjetuje</w:t>
      </w:r>
      <w:proofErr w:type="spellEnd"/>
      <w:r w:rsidRPr="006565C6">
        <w:rPr>
          <w:sz w:val="22"/>
          <w:szCs w:val="22"/>
          <w:lang w:val="sr-Latn-RS"/>
        </w:rPr>
        <w:t xml:space="preserve"> se </w:t>
      </w:r>
      <w:r w:rsidR="00A273F2" w:rsidRPr="006565C6">
        <w:rPr>
          <w:sz w:val="22"/>
          <w:szCs w:val="22"/>
          <w:lang w:val="sr-Latn-RS"/>
        </w:rPr>
        <w:t>da se doza postepeno snižava</w:t>
      </w:r>
      <w:r w:rsidRPr="006565C6">
        <w:rPr>
          <w:sz w:val="22"/>
          <w:szCs w:val="22"/>
          <w:lang w:val="sr-Latn-RS"/>
        </w:rPr>
        <w:t xml:space="preserve">, kako bi se </w:t>
      </w:r>
      <w:proofErr w:type="spellStart"/>
      <w:r w:rsidRPr="006565C6">
        <w:rPr>
          <w:sz w:val="22"/>
          <w:szCs w:val="22"/>
          <w:lang w:val="sr-Latn-RS"/>
        </w:rPr>
        <w:t>spriječila</w:t>
      </w:r>
      <w:proofErr w:type="spellEnd"/>
      <w:r w:rsidRPr="006565C6">
        <w:rPr>
          <w:sz w:val="22"/>
          <w:szCs w:val="22"/>
          <w:lang w:val="sr-Latn-RS"/>
        </w:rPr>
        <w:t xml:space="preserve"> pojava simptoma</w:t>
      </w:r>
      <w:r w:rsidR="0020381D" w:rsidRPr="006565C6">
        <w:rPr>
          <w:sz w:val="22"/>
          <w:szCs w:val="22"/>
          <w:lang w:val="sr-Latn-RS"/>
        </w:rPr>
        <w:t xml:space="preserve"> </w:t>
      </w:r>
      <w:r w:rsidR="00A273F2" w:rsidRPr="006565C6">
        <w:rPr>
          <w:sz w:val="22"/>
          <w:szCs w:val="22"/>
          <w:lang w:val="sr-Latn-RS"/>
        </w:rPr>
        <w:t>naglog prekida</w:t>
      </w:r>
      <w:r w:rsidRPr="006565C6">
        <w:rPr>
          <w:sz w:val="22"/>
          <w:szCs w:val="22"/>
          <w:lang w:val="sr-Latn-RS"/>
        </w:rPr>
        <w:t>.</w:t>
      </w:r>
    </w:p>
    <w:p w14:paraId="1A4CD016" w14:textId="557F600A" w:rsidR="006565C6" w:rsidRDefault="006565C6" w:rsidP="0020381D">
      <w:pPr>
        <w:pStyle w:val="Default"/>
        <w:jc w:val="both"/>
        <w:rPr>
          <w:i/>
          <w:sz w:val="22"/>
          <w:szCs w:val="22"/>
          <w:lang w:val="sr-Latn-RS"/>
        </w:rPr>
      </w:pPr>
    </w:p>
    <w:p w14:paraId="5A193F44" w14:textId="0D26886F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Oštećenje funkcije bubrega</w:t>
      </w:r>
    </w:p>
    <w:p w14:paraId="159CFDBB" w14:textId="5A871AA1" w:rsidR="00940592" w:rsidRPr="006565C6" w:rsidRDefault="00940592" w:rsidP="0020381D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ispitana </w:t>
      </w:r>
      <w:r w:rsidR="00A273F2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i adolescenata s oštećenjem funkcije bubrega, </w:t>
      </w:r>
      <w:r w:rsidR="00A273F2" w:rsidRPr="006565C6">
        <w:rPr>
          <w:sz w:val="22"/>
          <w:szCs w:val="22"/>
          <w:lang w:val="sr-Latn-RS"/>
        </w:rPr>
        <w:t xml:space="preserve">zbog čega </w:t>
      </w:r>
      <w:r w:rsidRPr="006565C6">
        <w:rPr>
          <w:sz w:val="22"/>
          <w:szCs w:val="22"/>
          <w:lang w:val="sr-Latn-RS"/>
        </w:rPr>
        <w:t>se ne preporučuje upotreba u toj populaciji (</w:t>
      </w:r>
      <w:r w:rsidR="00A97468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A97468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4.4 i 5.2).</w:t>
      </w:r>
    </w:p>
    <w:p w14:paraId="42BEA33C" w14:textId="77777777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</w:p>
    <w:p w14:paraId="119D0A1A" w14:textId="77777777" w:rsidR="006565C6" w:rsidRDefault="006565C6" w:rsidP="0020381D">
      <w:pPr>
        <w:pStyle w:val="Default"/>
        <w:jc w:val="both"/>
        <w:rPr>
          <w:i/>
          <w:sz w:val="22"/>
          <w:szCs w:val="22"/>
          <w:lang w:val="sr-Latn-RS"/>
        </w:rPr>
      </w:pPr>
    </w:p>
    <w:p w14:paraId="26890665" w14:textId="062D442C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lastRenderedPageBreak/>
        <w:t>Oštećenje funkcije jetre</w:t>
      </w:r>
    </w:p>
    <w:p w14:paraId="71C7231C" w14:textId="2F4828E7" w:rsidR="00940592" w:rsidRPr="006565C6" w:rsidRDefault="00940592" w:rsidP="0020381D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ispitana </w:t>
      </w:r>
      <w:r w:rsidR="00A273F2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i adolescenata s oštećenjem funkcije jetre, </w:t>
      </w:r>
      <w:r w:rsidR="00A273F2" w:rsidRPr="006565C6">
        <w:rPr>
          <w:sz w:val="22"/>
          <w:szCs w:val="22"/>
          <w:lang w:val="sr-Latn-RS"/>
        </w:rPr>
        <w:t xml:space="preserve">zbog čega </w:t>
      </w:r>
      <w:r w:rsidRPr="006565C6">
        <w:rPr>
          <w:sz w:val="22"/>
          <w:szCs w:val="22"/>
          <w:lang w:val="sr-Latn-RS"/>
        </w:rPr>
        <w:t>se ne preporučuje upotreba u toj populaciji (</w:t>
      </w:r>
      <w:r w:rsidR="00A97468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A97468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4.4 i 5.2).</w:t>
      </w:r>
    </w:p>
    <w:p w14:paraId="7F9AE1E1" w14:textId="77777777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</w:p>
    <w:p w14:paraId="73D8668D" w14:textId="77777777" w:rsidR="00940592" w:rsidRPr="006565C6" w:rsidRDefault="00940592" w:rsidP="0020381D">
      <w:pPr>
        <w:pStyle w:val="Defaul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Način </w:t>
      </w:r>
      <w:proofErr w:type="spellStart"/>
      <w:r w:rsidRPr="006565C6">
        <w:rPr>
          <w:i/>
          <w:sz w:val="22"/>
          <w:szCs w:val="22"/>
          <w:lang w:val="sr-Latn-RS"/>
        </w:rPr>
        <w:t>primjene</w:t>
      </w:r>
      <w:proofErr w:type="spellEnd"/>
    </w:p>
    <w:p w14:paraId="4FE32C21" w14:textId="77777777" w:rsidR="00940592" w:rsidRPr="006565C6" w:rsidRDefault="00940592" w:rsidP="0020381D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oralni rastvor </w:t>
      </w:r>
      <w:proofErr w:type="spellStart"/>
      <w:r w:rsidRPr="006565C6">
        <w:rPr>
          <w:sz w:val="22"/>
          <w:szCs w:val="22"/>
          <w:lang w:val="sr-Latn-RS"/>
        </w:rPr>
        <w:t>namijenjen</w:t>
      </w:r>
      <w:proofErr w:type="spellEnd"/>
      <w:r w:rsidRPr="006565C6">
        <w:rPr>
          <w:sz w:val="22"/>
          <w:szCs w:val="22"/>
          <w:lang w:val="sr-Latn-RS"/>
        </w:rPr>
        <w:t xml:space="preserve"> je za </w:t>
      </w:r>
      <w:proofErr w:type="spellStart"/>
      <w:r w:rsidRPr="006565C6">
        <w:rPr>
          <w:sz w:val="22"/>
          <w:szCs w:val="22"/>
          <w:lang w:val="sr-Latn-RS"/>
        </w:rPr>
        <w:t>primjenu</w:t>
      </w:r>
      <w:proofErr w:type="spellEnd"/>
      <w:r w:rsidRPr="006565C6">
        <w:rPr>
          <w:sz w:val="22"/>
          <w:szCs w:val="22"/>
          <w:lang w:val="sr-Latn-RS"/>
        </w:rPr>
        <w:t xml:space="preserve"> kroz usta.</w:t>
      </w:r>
    </w:p>
    <w:p w14:paraId="5920C009" w14:textId="4F7127A9" w:rsidR="00940592" w:rsidRPr="006565C6" w:rsidRDefault="00940592" w:rsidP="0020381D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oralni rastvor se može uzimati s</w:t>
      </w:r>
      <w:r w:rsidR="00A273F2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hranom ili bez nje.</w:t>
      </w:r>
    </w:p>
    <w:p w14:paraId="5873EF23" w14:textId="7931BA56" w:rsidR="00940592" w:rsidRPr="006565C6" w:rsidRDefault="00940592" w:rsidP="0020381D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oralni rastvor može se uzimati </w:t>
      </w:r>
      <w:proofErr w:type="spellStart"/>
      <w:r w:rsidRPr="006565C6">
        <w:rPr>
          <w:sz w:val="22"/>
          <w:szCs w:val="22"/>
          <w:lang w:val="sr-Latn-RS"/>
        </w:rPr>
        <w:t>nerazrijeđena</w:t>
      </w:r>
      <w:proofErr w:type="spellEnd"/>
      <w:r w:rsidRPr="006565C6">
        <w:rPr>
          <w:sz w:val="22"/>
          <w:szCs w:val="22"/>
          <w:lang w:val="sr-Latn-RS"/>
        </w:rPr>
        <w:t xml:space="preserve"> ili </w:t>
      </w:r>
      <w:proofErr w:type="spellStart"/>
      <w:r w:rsidRPr="006565C6">
        <w:rPr>
          <w:sz w:val="22"/>
          <w:szCs w:val="22"/>
          <w:lang w:val="sr-Latn-RS"/>
        </w:rPr>
        <w:t>razrijeđena</w:t>
      </w:r>
      <w:proofErr w:type="spellEnd"/>
      <w:r w:rsidRPr="006565C6">
        <w:rPr>
          <w:sz w:val="22"/>
          <w:szCs w:val="22"/>
          <w:lang w:val="sr-Latn-RS"/>
        </w:rPr>
        <w:t xml:space="preserve"> u vodi ili bilo kojem bezalkoholnom piću. U pakovanju je pipeta za doziranje s</w:t>
      </w:r>
      <w:r w:rsidR="00A273F2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priloženim nastavkom koja se treba koristiti za uzimanje tačne količine (volumena) iz bočice koja odgovara propisanoj dozi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72A9F1B2" w14:textId="77777777" w:rsidR="00940592" w:rsidRPr="006565C6" w:rsidRDefault="00940592" w:rsidP="00992F33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oralni rastvor se može koristiti putem </w:t>
      </w:r>
      <w:proofErr w:type="spellStart"/>
      <w:r w:rsidRPr="006565C6">
        <w:rPr>
          <w:sz w:val="22"/>
          <w:szCs w:val="22"/>
          <w:lang w:val="sr-Latn-RS"/>
        </w:rPr>
        <w:t>nazogastrične</w:t>
      </w:r>
      <w:proofErr w:type="spellEnd"/>
      <w:r w:rsidRPr="006565C6">
        <w:rPr>
          <w:sz w:val="22"/>
          <w:szCs w:val="22"/>
          <w:lang w:val="sr-Latn-RS"/>
        </w:rPr>
        <w:t xml:space="preserve"> sonde od </w:t>
      </w:r>
      <w:proofErr w:type="spellStart"/>
      <w:r w:rsidRPr="006565C6">
        <w:rPr>
          <w:sz w:val="22"/>
          <w:szCs w:val="22"/>
          <w:lang w:val="sr-Latn-RS"/>
        </w:rPr>
        <w:t>poliuretana</w:t>
      </w:r>
      <w:proofErr w:type="spellEnd"/>
      <w:r w:rsidRPr="006565C6">
        <w:rPr>
          <w:sz w:val="22"/>
          <w:szCs w:val="22"/>
          <w:lang w:val="sr-Latn-RS"/>
        </w:rPr>
        <w:t xml:space="preserve">, silikona ili </w:t>
      </w:r>
      <w:proofErr w:type="spellStart"/>
      <w:r w:rsidRPr="006565C6">
        <w:rPr>
          <w:sz w:val="22"/>
          <w:szCs w:val="22"/>
          <w:lang w:val="sr-Latn-RS"/>
        </w:rPr>
        <w:t>polivinilhlorida</w:t>
      </w:r>
      <w:proofErr w:type="spellEnd"/>
      <w:r w:rsidRPr="006565C6">
        <w:rPr>
          <w:sz w:val="22"/>
          <w:szCs w:val="22"/>
          <w:lang w:val="sr-Latn-RS"/>
        </w:rPr>
        <w:t xml:space="preserve"> (ovi materijali su ispitani i nisu pokazali nikakve interakcije ili razgradnju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>).</w:t>
      </w:r>
    </w:p>
    <w:p w14:paraId="6DA36E91" w14:textId="77777777" w:rsidR="00452E9D" w:rsidRPr="006565C6" w:rsidRDefault="00452E9D" w:rsidP="002038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92" w14:textId="77777777" w:rsidR="00411B4B" w:rsidRPr="006565C6" w:rsidRDefault="00411B4B" w:rsidP="007A22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4.3.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proofErr w:type="spellStart"/>
      <w:r w:rsidRPr="006565C6">
        <w:rPr>
          <w:b/>
          <w:bCs/>
          <w:sz w:val="22"/>
          <w:szCs w:val="22"/>
          <w:lang w:val="sr-Latn-RS"/>
        </w:rPr>
        <w:t>Kontraindikacije</w:t>
      </w:r>
      <w:proofErr w:type="spellEnd"/>
    </w:p>
    <w:p w14:paraId="023846F3" w14:textId="77777777" w:rsidR="00875368" w:rsidRPr="006565C6" w:rsidRDefault="00875368" w:rsidP="007A22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F043326" w14:textId="440691AC" w:rsidR="00875368" w:rsidRPr="006565C6" w:rsidRDefault="00875368" w:rsidP="007A2272">
      <w:pPr>
        <w:spacing w:line="0" w:lineRule="atLeas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je kontraindikovana:</w:t>
      </w:r>
    </w:p>
    <w:p w14:paraId="2F2AE131" w14:textId="6D85EB74" w:rsidR="00875368" w:rsidRPr="006565C6" w:rsidRDefault="00875368" w:rsidP="007A2272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7"/>
        <w:jc w:val="both"/>
        <w:rPr>
          <w:rFonts w:eastAsia="Symbol"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pacijenata </w:t>
      </w:r>
      <w:proofErr w:type="spellStart"/>
      <w:r w:rsidRPr="006565C6">
        <w:rPr>
          <w:sz w:val="22"/>
          <w:szCs w:val="22"/>
          <w:lang w:val="sr-Latn-RS"/>
        </w:rPr>
        <w:t>preosjetljivih</w:t>
      </w:r>
      <w:proofErr w:type="spellEnd"/>
      <w:r w:rsidRPr="006565C6">
        <w:rPr>
          <w:sz w:val="22"/>
          <w:szCs w:val="22"/>
          <w:lang w:val="sr-Latn-RS"/>
        </w:rPr>
        <w:t xml:space="preserve"> na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ili bilo koju od pomoćn</w:t>
      </w:r>
      <w:r w:rsidR="00A90B44" w:rsidRPr="006565C6">
        <w:rPr>
          <w:sz w:val="22"/>
          <w:szCs w:val="22"/>
          <w:lang w:val="sr-Latn-RS"/>
        </w:rPr>
        <w:t>ih</w:t>
      </w:r>
      <w:r w:rsidRPr="006565C6">
        <w:rPr>
          <w:sz w:val="22"/>
          <w:szCs w:val="22"/>
          <w:lang w:val="sr-Latn-RS"/>
        </w:rPr>
        <w:t xml:space="preserve"> supstanc</w:t>
      </w:r>
      <w:r w:rsidR="00A90B44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6.1)</w:t>
      </w:r>
    </w:p>
    <w:p w14:paraId="1B0DEAF9" w14:textId="77777777" w:rsidR="00875368" w:rsidRPr="006565C6" w:rsidRDefault="00875368" w:rsidP="007A2272">
      <w:pPr>
        <w:spacing w:line="17" w:lineRule="exact"/>
        <w:jc w:val="both"/>
        <w:rPr>
          <w:rFonts w:eastAsia="Symbol"/>
          <w:sz w:val="22"/>
          <w:szCs w:val="22"/>
          <w:lang w:val="sr-Latn-RS"/>
        </w:rPr>
      </w:pPr>
    </w:p>
    <w:p w14:paraId="7FFC0195" w14:textId="090331E7" w:rsidR="00875368" w:rsidRPr="006565C6" w:rsidRDefault="00875368" w:rsidP="007A2272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7"/>
        <w:jc w:val="both"/>
        <w:rPr>
          <w:rFonts w:eastAsia="Symbol"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U situacijama u kojima je kontraindikovana </w:t>
      </w:r>
      <w:proofErr w:type="spellStart"/>
      <w:r w:rsidRPr="006565C6">
        <w:rPr>
          <w:sz w:val="22"/>
          <w:szCs w:val="22"/>
          <w:lang w:val="sr-Latn-RS"/>
        </w:rPr>
        <w:t>primjena</w:t>
      </w:r>
      <w:proofErr w:type="spellEnd"/>
      <w:r w:rsidRPr="006565C6">
        <w:rPr>
          <w:sz w:val="22"/>
          <w:szCs w:val="22"/>
          <w:lang w:val="sr-Latn-RS"/>
        </w:rPr>
        <w:t xml:space="preserve"> aktivnih supstanci </w:t>
      </w:r>
      <w:proofErr w:type="spellStart"/>
      <w:r w:rsidRPr="006565C6">
        <w:rPr>
          <w:sz w:val="22"/>
          <w:szCs w:val="22"/>
          <w:lang w:val="sr-Latn-RS"/>
        </w:rPr>
        <w:t>agonista</w:t>
      </w:r>
      <w:proofErr w:type="spellEnd"/>
      <w:r w:rsidRPr="006565C6">
        <w:rPr>
          <w:sz w:val="22"/>
          <w:szCs w:val="22"/>
          <w:lang w:val="sr-Latn-RS"/>
        </w:rPr>
        <w:t xml:space="preserve"> μ-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 (u daljem tekstu mi-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receptora), tj. kod pacijenata sa značajnom respiratornom depresijom (u uslovima </w:t>
      </w:r>
      <w:proofErr w:type="spellStart"/>
      <w:r w:rsidRPr="006565C6">
        <w:rPr>
          <w:sz w:val="22"/>
          <w:szCs w:val="22"/>
          <w:lang w:val="sr-Latn-RS"/>
        </w:rPr>
        <w:t>gd</w:t>
      </w:r>
      <w:r w:rsidR="00735315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</w:t>
      </w:r>
      <w:proofErr w:type="spellEnd"/>
      <w:r w:rsidRPr="006565C6">
        <w:rPr>
          <w:sz w:val="22"/>
          <w:szCs w:val="22"/>
          <w:lang w:val="sr-Latn-RS"/>
        </w:rPr>
        <w:t xml:space="preserve"> nema monitoringa ili u odsustvu opreme za reanimaciju) i kod pacijenata sa akutnom ili teškom bronhijalnom astmom ili </w:t>
      </w:r>
      <w:proofErr w:type="spellStart"/>
      <w:r w:rsidRPr="006565C6">
        <w:rPr>
          <w:sz w:val="22"/>
          <w:szCs w:val="22"/>
          <w:lang w:val="sr-Latn-RS"/>
        </w:rPr>
        <w:t>hiperkapnijom</w:t>
      </w:r>
      <w:proofErr w:type="spellEnd"/>
    </w:p>
    <w:p w14:paraId="01D5BB00" w14:textId="77777777" w:rsidR="00875368" w:rsidRPr="006565C6" w:rsidRDefault="00875368" w:rsidP="007A2272">
      <w:pPr>
        <w:spacing w:line="3" w:lineRule="exact"/>
        <w:jc w:val="both"/>
        <w:rPr>
          <w:rFonts w:eastAsia="Symbol"/>
          <w:sz w:val="22"/>
          <w:szCs w:val="22"/>
          <w:lang w:val="sr-Latn-RS"/>
        </w:rPr>
      </w:pPr>
    </w:p>
    <w:p w14:paraId="7F73AADD" w14:textId="77777777" w:rsidR="00875368" w:rsidRPr="006565C6" w:rsidRDefault="00875368" w:rsidP="007A2272">
      <w:pPr>
        <w:numPr>
          <w:ilvl w:val="0"/>
          <w:numId w:val="14"/>
        </w:numPr>
        <w:tabs>
          <w:tab w:val="left" w:pos="720"/>
        </w:tabs>
        <w:spacing w:line="235" w:lineRule="auto"/>
        <w:ind w:left="720" w:hanging="367"/>
        <w:jc w:val="both"/>
        <w:rPr>
          <w:rFonts w:eastAsia="Symbol"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svih pacijenata kod kojih postoji ili se sumnja da postoji paralitički </w:t>
      </w:r>
      <w:proofErr w:type="spellStart"/>
      <w:r w:rsidRPr="006565C6">
        <w:rPr>
          <w:sz w:val="22"/>
          <w:szCs w:val="22"/>
          <w:lang w:val="sr-Latn-RS"/>
        </w:rPr>
        <w:t>ileus</w:t>
      </w:r>
      <w:proofErr w:type="spellEnd"/>
    </w:p>
    <w:p w14:paraId="136EE583" w14:textId="14CB4723" w:rsidR="00875368" w:rsidRPr="006565C6" w:rsidRDefault="00875368" w:rsidP="007A2272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7"/>
        <w:jc w:val="both"/>
        <w:rPr>
          <w:rFonts w:eastAsia="Symbol"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pacijenata sa akutnom </w:t>
      </w:r>
      <w:proofErr w:type="spellStart"/>
      <w:r w:rsidRPr="006565C6">
        <w:rPr>
          <w:sz w:val="22"/>
          <w:szCs w:val="22"/>
          <w:lang w:val="sr-Latn-RS"/>
        </w:rPr>
        <w:t>intoksikacijom</w:t>
      </w:r>
      <w:proofErr w:type="spellEnd"/>
      <w:r w:rsidRPr="006565C6">
        <w:rPr>
          <w:sz w:val="22"/>
          <w:szCs w:val="22"/>
          <w:lang w:val="sr-Latn-RS"/>
        </w:rPr>
        <w:t xml:space="preserve"> alkoholom, </w:t>
      </w:r>
      <w:proofErr w:type="spellStart"/>
      <w:r w:rsidRPr="006565C6">
        <w:rPr>
          <w:sz w:val="22"/>
          <w:szCs w:val="22"/>
          <w:lang w:val="sr-Latn-RS"/>
        </w:rPr>
        <w:t>hipnoticima</w:t>
      </w:r>
      <w:proofErr w:type="spellEnd"/>
      <w:r w:rsidRPr="006565C6">
        <w:rPr>
          <w:sz w:val="22"/>
          <w:szCs w:val="22"/>
          <w:lang w:val="sr-Latn-RS"/>
        </w:rPr>
        <w:t xml:space="preserve">, analgeticima sa centralnim delovanjem, ili </w:t>
      </w:r>
      <w:proofErr w:type="spellStart"/>
      <w:r w:rsidRPr="006565C6">
        <w:rPr>
          <w:sz w:val="22"/>
          <w:szCs w:val="22"/>
          <w:lang w:val="sr-Latn-RS"/>
        </w:rPr>
        <w:t>psihotropnim</w:t>
      </w:r>
      <w:proofErr w:type="spellEnd"/>
      <w:r w:rsidRPr="006565C6">
        <w:rPr>
          <w:sz w:val="22"/>
          <w:szCs w:val="22"/>
          <w:lang w:val="sr-Latn-RS"/>
        </w:rPr>
        <w:t xml:space="preserve"> aktivnim supstancama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4.5).</w:t>
      </w:r>
    </w:p>
    <w:p w14:paraId="6DA36E93" w14:textId="77777777" w:rsidR="0072020E" w:rsidRPr="006565C6" w:rsidRDefault="0072020E" w:rsidP="007A2272">
      <w:pPr>
        <w:tabs>
          <w:tab w:val="left" w:pos="540"/>
          <w:tab w:val="left" w:pos="569"/>
        </w:tabs>
        <w:ind w:firstLine="720"/>
        <w:jc w:val="both"/>
        <w:rPr>
          <w:bCs/>
          <w:sz w:val="22"/>
          <w:szCs w:val="22"/>
          <w:lang w:val="sr-Latn-RS"/>
        </w:rPr>
      </w:pPr>
    </w:p>
    <w:p w14:paraId="6DA36E94" w14:textId="77777777" w:rsidR="00411B4B" w:rsidRPr="006565C6" w:rsidRDefault="00411B4B" w:rsidP="007A22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4.4.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 xml:space="preserve">Posebna upozorenja i </w:t>
      </w:r>
      <w:proofErr w:type="spellStart"/>
      <w:r w:rsidRPr="006565C6">
        <w:rPr>
          <w:b/>
          <w:bCs/>
          <w:sz w:val="22"/>
          <w:szCs w:val="22"/>
          <w:lang w:val="sr-Latn-RS"/>
        </w:rPr>
        <w:t>mjere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opreza pri upotrebi </w:t>
      </w:r>
      <w:proofErr w:type="spellStart"/>
      <w:r w:rsidRPr="006565C6">
        <w:rPr>
          <w:b/>
          <w:bCs/>
          <w:sz w:val="22"/>
          <w:szCs w:val="22"/>
          <w:lang w:val="sr-Latn-RS"/>
        </w:rPr>
        <w:t>lijeka</w:t>
      </w:r>
      <w:proofErr w:type="spellEnd"/>
    </w:p>
    <w:p w14:paraId="6DA36E95" w14:textId="77777777" w:rsidR="0072020E" w:rsidRPr="006565C6" w:rsidRDefault="0072020E" w:rsidP="007A22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0EA1677" w14:textId="78D2C49F" w:rsidR="00AA2677" w:rsidRPr="006565C6" w:rsidRDefault="00AA2677" w:rsidP="00992F33">
      <w:pPr>
        <w:tabs>
          <w:tab w:val="left" w:pos="284"/>
        </w:tabs>
        <w:spacing w:line="250" w:lineRule="auto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Tolerancija </w:t>
      </w:r>
      <w:r w:rsidR="00735315" w:rsidRPr="006565C6">
        <w:rPr>
          <w:i/>
          <w:sz w:val="22"/>
          <w:szCs w:val="22"/>
          <w:lang w:val="sr-Latn-RS"/>
        </w:rPr>
        <w:t>i</w:t>
      </w:r>
      <w:r w:rsidRPr="006565C6">
        <w:rPr>
          <w:i/>
          <w:sz w:val="22"/>
          <w:szCs w:val="22"/>
          <w:lang w:val="sr-Latn-RS"/>
        </w:rPr>
        <w:t xml:space="preserve"> poremećaj povezan sa upotrebom </w:t>
      </w:r>
      <w:proofErr w:type="spellStart"/>
      <w:r w:rsidRPr="006565C6">
        <w:rPr>
          <w:i/>
          <w:sz w:val="22"/>
          <w:szCs w:val="22"/>
          <w:lang w:val="sr-Latn-RS"/>
        </w:rPr>
        <w:t>opioida</w:t>
      </w:r>
      <w:proofErr w:type="spellEnd"/>
      <w:r w:rsidRPr="006565C6">
        <w:rPr>
          <w:i/>
          <w:sz w:val="22"/>
          <w:szCs w:val="22"/>
          <w:lang w:val="sr-Latn-RS"/>
        </w:rPr>
        <w:t xml:space="preserve"> (zloupotreba </w:t>
      </w:r>
      <w:r w:rsidR="00735315" w:rsidRPr="006565C6">
        <w:rPr>
          <w:i/>
          <w:sz w:val="22"/>
          <w:szCs w:val="22"/>
          <w:lang w:val="sr-Latn-RS"/>
        </w:rPr>
        <w:t>i</w:t>
      </w:r>
      <w:r w:rsidRPr="006565C6">
        <w:rPr>
          <w:i/>
          <w:sz w:val="22"/>
          <w:szCs w:val="22"/>
          <w:lang w:val="sr-Latn-RS"/>
        </w:rPr>
        <w:t xml:space="preserve"> zavisnost)</w:t>
      </w:r>
    </w:p>
    <w:p w14:paraId="3F6CAB1F" w14:textId="7B5F86E4" w:rsidR="00AA2677" w:rsidRPr="006565C6" w:rsidRDefault="00AA2677" w:rsidP="00992F33">
      <w:pPr>
        <w:tabs>
          <w:tab w:val="left" w:pos="284"/>
        </w:tabs>
        <w:spacing w:line="250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Kontinuirana </w:t>
      </w:r>
      <w:proofErr w:type="spellStart"/>
      <w:r w:rsidRPr="006565C6">
        <w:rPr>
          <w:sz w:val="22"/>
          <w:szCs w:val="22"/>
          <w:lang w:val="sr-Latn-RS"/>
        </w:rPr>
        <w:t>prim</w:t>
      </w:r>
      <w:r w:rsidR="00735315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može dovesti do razvoja tolerancije, fizičke </w:t>
      </w:r>
      <w:r w:rsidR="00735315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 xml:space="preserve"> psihičke zavisnosti kao i poremećaja povezanih sa upotrebom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(engl. </w:t>
      </w:r>
      <w:proofErr w:type="spellStart"/>
      <w:r w:rsidRPr="006565C6">
        <w:rPr>
          <w:sz w:val="22"/>
          <w:szCs w:val="22"/>
          <w:lang w:val="sr-Latn-RS"/>
        </w:rPr>
        <w:t>Opioid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Use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Disorder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OUD</w:t>
      </w:r>
      <w:proofErr w:type="spellEnd"/>
      <w:r w:rsidRPr="006565C6">
        <w:rPr>
          <w:sz w:val="22"/>
          <w:szCs w:val="22"/>
          <w:lang w:val="sr-Latn-RS"/>
        </w:rPr>
        <w:t xml:space="preserve">). Zloupotreba ili </w:t>
      </w:r>
      <w:proofErr w:type="spellStart"/>
      <w:r w:rsidRPr="006565C6">
        <w:rPr>
          <w:sz w:val="22"/>
          <w:szCs w:val="22"/>
          <w:lang w:val="sr-Latn-RS"/>
        </w:rPr>
        <w:t>nam</w:t>
      </w:r>
      <w:r w:rsidR="00924600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erna</w:t>
      </w:r>
      <w:proofErr w:type="spellEnd"/>
      <w:r w:rsidRPr="006565C6">
        <w:rPr>
          <w:sz w:val="22"/>
          <w:szCs w:val="22"/>
          <w:lang w:val="sr-Latn-RS"/>
        </w:rPr>
        <w:t xml:space="preserve"> neadekvatna </w:t>
      </w:r>
      <w:proofErr w:type="spellStart"/>
      <w:r w:rsidRPr="006565C6">
        <w:rPr>
          <w:sz w:val="22"/>
          <w:szCs w:val="22"/>
          <w:lang w:val="sr-Latn-RS"/>
        </w:rPr>
        <w:t>prim</w:t>
      </w:r>
      <w:r w:rsidR="00924600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mo</w:t>
      </w:r>
      <w:r w:rsidR="00924600" w:rsidRPr="006565C6">
        <w:rPr>
          <w:sz w:val="22"/>
          <w:szCs w:val="22"/>
          <w:lang w:val="sr-Latn-RS"/>
        </w:rPr>
        <w:t>ž</w:t>
      </w:r>
      <w:r w:rsidRPr="006565C6">
        <w:rPr>
          <w:sz w:val="22"/>
          <w:szCs w:val="22"/>
          <w:lang w:val="sr-Latn-RS"/>
        </w:rPr>
        <w:t>e da ima za posl</w:t>
      </w:r>
      <w:r w:rsidR="00A273F2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 xml:space="preserve">edicu </w:t>
      </w:r>
      <w:proofErr w:type="spellStart"/>
      <w:r w:rsidRPr="006565C6">
        <w:rPr>
          <w:sz w:val="22"/>
          <w:szCs w:val="22"/>
          <w:lang w:val="sr-Latn-RS"/>
        </w:rPr>
        <w:t>predoziranje</w:t>
      </w:r>
      <w:proofErr w:type="spellEnd"/>
      <w:r w:rsidRPr="006565C6">
        <w:rPr>
          <w:sz w:val="22"/>
          <w:szCs w:val="22"/>
          <w:lang w:val="sr-Latn-RS"/>
        </w:rPr>
        <w:t xml:space="preserve"> i/ili smrt. Rizik od razvoja </w:t>
      </w:r>
      <w:proofErr w:type="spellStart"/>
      <w:r w:rsidRPr="006565C6">
        <w:rPr>
          <w:sz w:val="22"/>
          <w:szCs w:val="22"/>
          <w:lang w:val="sr-Latn-RS"/>
        </w:rPr>
        <w:t>OUD</w:t>
      </w:r>
      <w:proofErr w:type="spellEnd"/>
      <w:r w:rsidRPr="006565C6">
        <w:rPr>
          <w:sz w:val="22"/>
          <w:szCs w:val="22"/>
          <w:lang w:val="sr-Latn-RS"/>
        </w:rPr>
        <w:t xml:space="preserve">-a povećan je kod pacijenata sa ličnom ili porodičnom anamnezom (roditelji ili braća </w:t>
      </w:r>
      <w:r w:rsidR="00924600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 xml:space="preserve"> sestre) poremećaja povezanih sa uzimanjem </w:t>
      </w:r>
      <w:proofErr w:type="spellStart"/>
      <w:r w:rsidRPr="006565C6">
        <w:rPr>
          <w:sz w:val="22"/>
          <w:szCs w:val="22"/>
          <w:lang w:val="sr-Latn-RS"/>
        </w:rPr>
        <w:t>psihoaktivnih</w:t>
      </w:r>
      <w:proofErr w:type="spellEnd"/>
      <w:r w:rsidRPr="006565C6">
        <w:rPr>
          <w:sz w:val="22"/>
          <w:szCs w:val="22"/>
          <w:lang w:val="sr-Latn-RS"/>
        </w:rPr>
        <w:t xml:space="preserve"> supstanci (uključujući poremećaj povezan sa uzimanjem alkohola), kod trenutnih pušača ili kod pacijenata sa porodičnom anamnezom drugih poremećaja mentalnog zdravlja (npr. velika depresija, anksioznost </w:t>
      </w:r>
      <w:r w:rsidR="00924600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 xml:space="preserve"> poremećaji ličnosti).</w:t>
      </w:r>
    </w:p>
    <w:p w14:paraId="46EDA093" w14:textId="6D534E35" w:rsidR="00AA2677" w:rsidRPr="006565C6" w:rsidRDefault="00AA2677" w:rsidP="00A273F2">
      <w:pPr>
        <w:tabs>
          <w:tab w:val="left" w:pos="284"/>
        </w:tabs>
        <w:spacing w:line="0" w:lineRule="atLeast"/>
        <w:jc w:val="both"/>
        <w:rPr>
          <w:i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Pacijente je potrebno pratiti zbog mogućnosti pojave znakova koji su povezani sa potražnjom </w:t>
      </w:r>
      <w:proofErr w:type="spellStart"/>
      <w:r w:rsidRPr="006565C6">
        <w:rPr>
          <w:sz w:val="22"/>
          <w:szCs w:val="22"/>
          <w:lang w:val="sr-Latn-RS"/>
        </w:rPr>
        <w:t>l</w:t>
      </w:r>
      <w:r w:rsidR="00480BD8" w:rsidRPr="006565C6">
        <w:rPr>
          <w:sz w:val="22"/>
          <w:szCs w:val="22"/>
          <w:lang w:val="sr-Latn-RS"/>
        </w:rPr>
        <w:t>ij</w:t>
      </w:r>
      <w:r w:rsidRPr="006565C6">
        <w:rPr>
          <w:sz w:val="22"/>
          <w:szCs w:val="22"/>
          <w:lang w:val="sr-Latn-RS"/>
        </w:rPr>
        <w:t>eka</w:t>
      </w:r>
      <w:proofErr w:type="spellEnd"/>
      <w:r w:rsidRPr="006565C6">
        <w:rPr>
          <w:sz w:val="22"/>
          <w:szCs w:val="22"/>
          <w:lang w:val="sr-Latn-RS"/>
        </w:rPr>
        <w:t xml:space="preserve"> (npr. preuranjeni </w:t>
      </w:r>
      <w:proofErr w:type="spellStart"/>
      <w:r w:rsidRPr="006565C6">
        <w:rPr>
          <w:sz w:val="22"/>
          <w:szCs w:val="22"/>
          <w:lang w:val="sr-Latn-RS"/>
        </w:rPr>
        <w:t>zaht</w:t>
      </w:r>
      <w:r w:rsidR="00480BD8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evi</w:t>
      </w:r>
      <w:proofErr w:type="spellEnd"/>
      <w:r w:rsidRPr="006565C6">
        <w:rPr>
          <w:sz w:val="22"/>
          <w:szCs w:val="22"/>
          <w:lang w:val="sr-Latn-RS"/>
        </w:rPr>
        <w:t xml:space="preserve"> za ponovljenu dozu </w:t>
      </w:r>
      <w:proofErr w:type="spellStart"/>
      <w:r w:rsidRPr="006565C6">
        <w:rPr>
          <w:sz w:val="22"/>
          <w:szCs w:val="22"/>
          <w:lang w:val="sr-Latn-RS"/>
        </w:rPr>
        <w:t>l</w:t>
      </w:r>
      <w:r w:rsidR="00480BD8" w:rsidRPr="006565C6">
        <w:rPr>
          <w:sz w:val="22"/>
          <w:szCs w:val="22"/>
          <w:lang w:val="sr-Latn-RS"/>
        </w:rPr>
        <w:t>ij</w:t>
      </w:r>
      <w:r w:rsidRPr="006565C6">
        <w:rPr>
          <w:sz w:val="22"/>
          <w:szCs w:val="22"/>
          <w:lang w:val="sr-Latn-RS"/>
        </w:rPr>
        <w:t>eka</w:t>
      </w:r>
      <w:proofErr w:type="spellEnd"/>
      <w:r w:rsidRPr="006565C6">
        <w:rPr>
          <w:sz w:val="22"/>
          <w:szCs w:val="22"/>
          <w:lang w:val="sr-Latn-RS"/>
        </w:rPr>
        <w:t xml:space="preserve">). Ovo </w:t>
      </w:r>
      <w:proofErr w:type="spellStart"/>
      <w:r w:rsidRPr="006565C6">
        <w:rPr>
          <w:sz w:val="22"/>
          <w:szCs w:val="22"/>
          <w:lang w:val="sr-Latn-RS"/>
        </w:rPr>
        <w:t>podrazum</w:t>
      </w:r>
      <w:r w:rsidR="00480BD8" w:rsidRPr="006565C6">
        <w:rPr>
          <w:sz w:val="22"/>
          <w:szCs w:val="22"/>
          <w:lang w:val="sr-Latn-RS"/>
        </w:rPr>
        <w:t>ij</w:t>
      </w:r>
      <w:r w:rsidRPr="006565C6">
        <w:rPr>
          <w:sz w:val="22"/>
          <w:szCs w:val="22"/>
          <w:lang w:val="sr-Latn-RS"/>
        </w:rPr>
        <w:t>eva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prov</w:t>
      </w:r>
      <w:r w:rsidR="00480BD8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eru</w:t>
      </w:r>
      <w:proofErr w:type="spellEnd"/>
      <w:r w:rsidRPr="006565C6">
        <w:rPr>
          <w:sz w:val="22"/>
          <w:szCs w:val="22"/>
          <w:lang w:val="sr-Latn-RS"/>
        </w:rPr>
        <w:t xml:space="preserve"> istovremene </w:t>
      </w:r>
      <w:proofErr w:type="spellStart"/>
      <w:r w:rsidRPr="006565C6">
        <w:rPr>
          <w:sz w:val="22"/>
          <w:szCs w:val="22"/>
          <w:lang w:val="sr-Latn-RS"/>
        </w:rPr>
        <w:t>prim</w:t>
      </w:r>
      <w:r w:rsidR="00480BD8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ene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psihoaktivnih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</w:t>
      </w:r>
      <w:r w:rsidR="002455BB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ekova</w:t>
      </w:r>
      <w:proofErr w:type="spellEnd"/>
      <w:r w:rsidRPr="006565C6">
        <w:rPr>
          <w:sz w:val="22"/>
          <w:szCs w:val="22"/>
          <w:lang w:val="sr-Latn-RS"/>
        </w:rPr>
        <w:t xml:space="preserve"> (kao što su </w:t>
      </w:r>
      <w:proofErr w:type="spellStart"/>
      <w:r w:rsidRPr="006565C6">
        <w:rPr>
          <w:sz w:val="22"/>
          <w:szCs w:val="22"/>
          <w:lang w:val="sr-Latn-RS"/>
        </w:rPr>
        <w:t>benzodiazepini</w:t>
      </w:r>
      <w:proofErr w:type="spellEnd"/>
      <w:r w:rsidRPr="006565C6">
        <w:rPr>
          <w:sz w:val="22"/>
          <w:szCs w:val="22"/>
          <w:lang w:val="sr-Latn-RS"/>
        </w:rPr>
        <w:t xml:space="preserve">). Potrebno je razmotriti </w:t>
      </w:r>
      <w:proofErr w:type="spellStart"/>
      <w:r w:rsidRPr="006565C6">
        <w:rPr>
          <w:sz w:val="22"/>
          <w:szCs w:val="22"/>
          <w:lang w:val="sr-Latn-RS"/>
        </w:rPr>
        <w:t>sav</w:t>
      </w:r>
      <w:r w:rsidR="002455BB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etovanje</w:t>
      </w:r>
      <w:proofErr w:type="spellEnd"/>
      <w:r w:rsidRPr="006565C6">
        <w:rPr>
          <w:sz w:val="22"/>
          <w:szCs w:val="22"/>
          <w:lang w:val="sr-Latn-RS"/>
        </w:rPr>
        <w:t xml:space="preserve"> sa specijalistom za zavisnost, pacijenata kod kojih se </w:t>
      </w:r>
      <w:proofErr w:type="spellStart"/>
      <w:r w:rsidRPr="006565C6">
        <w:rPr>
          <w:sz w:val="22"/>
          <w:szCs w:val="22"/>
          <w:lang w:val="sr-Latn-RS"/>
        </w:rPr>
        <w:t>prim</w:t>
      </w:r>
      <w:r w:rsidR="002455BB" w:rsidRPr="006565C6">
        <w:rPr>
          <w:sz w:val="22"/>
          <w:szCs w:val="22"/>
          <w:lang w:val="sr-Latn-RS"/>
        </w:rPr>
        <w:t>ij</w:t>
      </w:r>
      <w:r w:rsidRPr="006565C6">
        <w:rPr>
          <w:sz w:val="22"/>
          <w:szCs w:val="22"/>
          <w:lang w:val="sr-Latn-RS"/>
        </w:rPr>
        <w:t>ete</w:t>
      </w:r>
      <w:proofErr w:type="spellEnd"/>
      <w:r w:rsidRPr="006565C6">
        <w:rPr>
          <w:sz w:val="22"/>
          <w:szCs w:val="22"/>
          <w:lang w:val="sr-Latn-RS"/>
        </w:rPr>
        <w:t xml:space="preserve"> znaci </w:t>
      </w:r>
      <w:r w:rsidR="002455BB" w:rsidRPr="006565C6">
        <w:rPr>
          <w:sz w:val="22"/>
          <w:szCs w:val="22"/>
          <w:lang w:val="sr-Latn-RS"/>
        </w:rPr>
        <w:t xml:space="preserve">i </w:t>
      </w:r>
      <w:r w:rsidRPr="006565C6">
        <w:rPr>
          <w:sz w:val="22"/>
          <w:szCs w:val="22"/>
          <w:lang w:val="sr-Latn-RS"/>
        </w:rPr>
        <w:t xml:space="preserve">simptomi </w:t>
      </w:r>
      <w:proofErr w:type="spellStart"/>
      <w:r w:rsidRPr="006565C6">
        <w:rPr>
          <w:sz w:val="22"/>
          <w:szCs w:val="22"/>
          <w:lang w:val="sr-Latn-RS"/>
        </w:rPr>
        <w:t>OUD</w:t>
      </w:r>
      <w:proofErr w:type="spellEnd"/>
      <w:r w:rsidRPr="006565C6">
        <w:rPr>
          <w:sz w:val="22"/>
          <w:szCs w:val="22"/>
          <w:lang w:val="sr-Latn-RS"/>
        </w:rPr>
        <w:t>-a.</w:t>
      </w:r>
    </w:p>
    <w:p w14:paraId="034AFB3F" w14:textId="77777777" w:rsidR="006D5933" w:rsidRPr="006565C6" w:rsidRDefault="006D5933" w:rsidP="00805A35">
      <w:pPr>
        <w:spacing w:line="273" w:lineRule="auto"/>
        <w:jc w:val="both"/>
        <w:rPr>
          <w:sz w:val="22"/>
          <w:szCs w:val="22"/>
          <w:lang w:val="sr-Latn-RS"/>
        </w:rPr>
      </w:pPr>
    </w:p>
    <w:p w14:paraId="6E95572E" w14:textId="77777777" w:rsidR="006D5933" w:rsidRPr="006565C6" w:rsidRDefault="006D5933" w:rsidP="00805A35">
      <w:pPr>
        <w:spacing w:line="273" w:lineRule="auto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Rizik od istovremene upotrebe sedativnih </w:t>
      </w:r>
      <w:proofErr w:type="spellStart"/>
      <w:r w:rsidRPr="006565C6">
        <w:rPr>
          <w:i/>
          <w:sz w:val="22"/>
          <w:szCs w:val="22"/>
          <w:lang w:val="sr-Latn-RS"/>
        </w:rPr>
        <w:t>ljekova</w:t>
      </w:r>
      <w:proofErr w:type="spellEnd"/>
      <w:r w:rsidRPr="006565C6">
        <w:rPr>
          <w:i/>
          <w:sz w:val="22"/>
          <w:szCs w:val="22"/>
          <w:lang w:val="sr-Latn-RS"/>
        </w:rPr>
        <w:t xml:space="preserve"> kao </w:t>
      </w:r>
      <w:proofErr w:type="spellStart"/>
      <w:r w:rsidRPr="006565C6">
        <w:rPr>
          <w:i/>
          <w:sz w:val="22"/>
          <w:szCs w:val="22"/>
          <w:lang w:val="sr-Latn-RS"/>
        </w:rPr>
        <w:t>benzodiazepini</w:t>
      </w:r>
      <w:proofErr w:type="spellEnd"/>
      <w:r w:rsidRPr="006565C6">
        <w:rPr>
          <w:i/>
          <w:sz w:val="22"/>
          <w:szCs w:val="22"/>
          <w:lang w:val="sr-Latn-RS"/>
        </w:rPr>
        <w:t xml:space="preserve"> ili srodne supstance</w:t>
      </w:r>
    </w:p>
    <w:p w14:paraId="723E81DC" w14:textId="60618F3C" w:rsidR="006D5933" w:rsidRPr="006565C6" w:rsidRDefault="006D5933" w:rsidP="00805A35">
      <w:pPr>
        <w:spacing w:line="27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Istovremena upotreba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sa sedativnim </w:t>
      </w:r>
      <w:proofErr w:type="spellStart"/>
      <w:r w:rsidRPr="006565C6">
        <w:rPr>
          <w:sz w:val="22"/>
          <w:szCs w:val="22"/>
          <w:lang w:val="sr-Latn-RS"/>
        </w:rPr>
        <w:t>ljekovima</w:t>
      </w:r>
      <w:proofErr w:type="spellEnd"/>
      <w:r w:rsidRPr="006565C6">
        <w:rPr>
          <w:sz w:val="22"/>
          <w:szCs w:val="22"/>
          <w:lang w:val="sr-Latn-RS"/>
        </w:rPr>
        <w:t xml:space="preserve"> kao što su </w:t>
      </w:r>
      <w:proofErr w:type="spellStart"/>
      <w:r w:rsidRPr="006565C6">
        <w:rPr>
          <w:sz w:val="22"/>
          <w:szCs w:val="22"/>
          <w:lang w:val="sr-Latn-RS"/>
        </w:rPr>
        <w:t>benzodiazepini</w:t>
      </w:r>
      <w:proofErr w:type="spellEnd"/>
      <w:r w:rsidRPr="006565C6">
        <w:rPr>
          <w:sz w:val="22"/>
          <w:szCs w:val="22"/>
          <w:lang w:val="sr-Latn-RS"/>
        </w:rPr>
        <w:t xml:space="preserve"> ili srodne supstance, može da dovede do </w:t>
      </w:r>
      <w:proofErr w:type="spellStart"/>
      <w:r w:rsidRPr="006565C6">
        <w:rPr>
          <w:sz w:val="22"/>
          <w:szCs w:val="22"/>
          <w:lang w:val="sr-Latn-RS"/>
        </w:rPr>
        <w:t>sedacije</w:t>
      </w:r>
      <w:proofErr w:type="spellEnd"/>
      <w:r w:rsidRPr="006565C6">
        <w:rPr>
          <w:sz w:val="22"/>
          <w:szCs w:val="22"/>
          <w:lang w:val="sr-Latn-RS"/>
        </w:rPr>
        <w:t xml:space="preserve">, respiratorne depresije, kome i smrti. Zbog ovih rizika istovremeno propisivanje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="00805A35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sa ovim sedativnim </w:t>
      </w:r>
      <w:proofErr w:type="spellStart"/>
      <w:r w:rsidR="00CE546B" w:rsidRPr="006565C6">
        <w:rPr>
          <w:sz w:val="22"/>
          <w:szCs w:val="22"/>
          <w:lang w:val="sr-Latn-RS"/>
        </w:rPr>
        <w:t>ljekovima</w:t>
      </w:r>
      <w:proofErr w:type="spellEnd"/>
      <w:r w:rsidRPr="006565C6">
        <w:rPr>
          <w:sz w:val="22"/>
          <w:szCs w:val="22"/>
          <w:lang w:val="sr-Latn-RS"/>
        </w:rPr>
        <w:t xml:space="preserve"> bi trebalo da bude rezervisano za pacijente za koje alternativni način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 nije moguć. Ako se donese odluka da se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propiše istovremeno sa sedativnim </w:t>
      </w:r>
      <w:proofErr w:type="spellStart"/>
      <w:r w:rsidRPr="006565C6">
        <w:rPr>
          <w:sz w:val="22"/>
          <w:szCs w:val="22"/>
          <w:lang w:val="sr-Latn-RS"/>
        </w:rPr>
        <w:t>ljekovima</w:t>
      </w:r>
      <w:proofErr w:type="spellEnd"/>
      <w:r w:rsidRPr="006565C6">
        <w:rPr>
          <w:sz w:val="22"/>
          <w:szCs w:val="22"/>
          <w:lang w:val="sr-Latn-RS"/>
        </w:rPr>
        <w:t xml:space="preserve">, podešavanje doze jednog ili oba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treba uzeti u obzir, a trajanje istovremene terapije treba da bude što je kraće moguće.</w:t>
      </w:r>
    </w:p>
    <w:p w14:paraId="6308D951" w14:textId="7E8184D1" w:rsidR="006D5933" w:rsidRPr="006565C6" w:rsidRDefault="006D5933" w:rsidP="00805A35">
      <w:pPr>
        <w:spacing w:line="27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Ove pacijente treba pažljivo pratiti u pogledu znakova respiratorne depresije i </w:t>
      </w:r>
      <w:proofErr w:type="spellStart"/>
      <w:r w:rsidRPr="006565C6">
        <w:rPr>
          <w:sz w:val="22"/>
          <w:szCs w:val="22"/>
          <w:lang w:val="sr-Latn-RS"/>
        </w:rPr>
        <w:t>sedacije</w:t>
      </w:r>
      <w:proofErr w:type="spellEnd"/>
      <w:r w:rsidRPr="006565C6">
        <w:rPr>
          <w:sz w:val="22"/>
          <w:szCs w:val="22"/>
          <w:lang w:val="sr-Latn-RS"/>
        </w:rPr>
        <w:t>. U tom smislu se preporučuje da se pacijenti i njihovi staratelji informišu o ovim simptomima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4.5).</w:t>
      </w:r>
    </w:p>
    <w:p w14:paraId="6585F721" w14:textId="77777777" w:rsidR="006D5933" w:rsidRPr="006565C6" w:rsidRDefault="006D5933" w:rsidP="00805A35">
      <w:pPr>
        <w:spacing w:line="273" w:lineRule="auto"/>
        <w:jc w:val="both"/>
        <w:rPr>
          <w:i/>
          <w:sz w:val="22"/>
          <w:szCs w:val="22"/>
          <w:lang w:val="sr-Latn-RS"/>
        </w:rPr>
      </w:pPr>
    </w:p>
    <w:p w14:paraId="5F668CBF" w14:textId="77777777" w:rsidR="006D5933" w:rsidRPr="006565C6" w:rsidRDefault="006D5933" w:rsidP="00805A35">
      <w:pPr>
        <w:spacing w:line="273" w:lineRule="auto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Respiratorna depresija</w:t>
      </w:r>
    </w:p>
    <w:p w14:paraId="7C325A78" w14:textId="17EA2670" w:rsidR="006D5933" w:rsidRPr="006565C6" w:rsidRDefault="006D5933" w:rsidP="00805A35">
      <w:pPr>
        <w:spacing w:line="27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U velikim dozama ili kod pacijenata </w:t>
      </w:r>
      <w:proofErr w:type="spellStart"/>
      <w:r w:rsidRPr="006565C6">
        <w:rPr>
          <w:sz w:val="22"/>
          <w:szCs w:val="22"/>
          <w:lang w:val="sr-Latn-RS"/>
        </w:rPr>
        <w:t>os</w:t>
      </w:r>
      <w:r w:rsidR="00F85F2C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etljivih</w:t>
      </w:r>
      <w:proofErr w:type="spellEnd"/>
      <w:r w:rsidRPr="006565C6">
        <w:rPr>
          <w:sz w:val="22"/>
          <w:szCs w:val="22"/>
          <w:lang w:val="sr-Latn-RS"/>
        </w:rPr>
        <w:t xml:space="preserve"> na </w:t>
      </w:r>
      <w:proofErr w:type="spellStart"/>
      <w:r w:rsidRPr="006565C6">
        <w:rPr>
          <w:sz w:val="22"/>
          <w:szCs w:val="22"/>
          <w:lang w:val="sr-Latn-RS"/>
        </w:rPr>
        <w:t>agoniste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receptora,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 može izazvati </w:t>
      </w:r>
      <w:proofErr w:type="spellStart"/>
      <w:r w:rsidRPr="006565C6">
        <w:rPr>
          <w:sz w:val="22"/>
          <w:szCs w:val="22"/>
          <w:lang w:val="sr-Latn-RS"/>
        </w:rPr>
        <w:t>dozno</w:t>
      </w:r>
      <w:proofErr w:type="spellEnd"/>
      <w:r w:rsidRPr="006565C6">
        <w:rPr>
          <w:sz w:val="22"/>
          <w:szCs w:val="22"/>
          <w:lang w:val="sr-Latn-RS"/>
        </w:rPr>
        <w:t>-zavisnu respiratornu depresiju. Iz tog razlog</w:t>
      </w:r>
      <w:r w:rsidR="00F85F2C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treba sa oprezom </w:t>
      </w:r>
      <w:proofErr w:type="spellStart"/>
      <w:r w:rsidRPr="006565C6">
        <w:rPr>
          <w:sz w:val="22"/>
          <w:szCs w:val="22"/>
          <w:lang w:val="sr-Latn-RS"/>
        </w:rPr>
        <w:t>primjenjivati</w:t>
      </w:r>
      <w:proofErr w:type="spellEnd"/>
      <w:r w:rsidRPr="006565C6">
        <w:rPr>
          <w:sz w:val="22"/>
          <w:szCs w:val="22"/>
          <w:lang w:val="sr-Latn-RS"/>
        </w:rPr>
        <w:t xml:space="preserve"> kod pacijenata sa oslabljenom disajnom funkcijom.</w:t>
      </w:r>
    </w:p>
    <w:p w14:paraId="32C59AB1" w14:textId="7CE0CD48" w:rsidR="006D5933" w:rsidRPr="006565C6" w:rsidRDefault="006D5933" w:rsidP="00805A35">
      <w:pPr>
        <w:spacing w:line="27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lastRenderedPageBreak/>
        <w:t xml:space="preserve">Treba uzeti u obzir alternativne analgetike koji nisu </w:t>
      </w:r>
      <w:proofErr w:type="spellStart"/>
      <w:r w:rsidRPr="006565C6">
        <w:rPr>
          <w:sz w:val="22"/>
          <w:szCs w:val="22"/>
          <w:lang w:val="sr-Latn-RS"/>
        </w:rPr>
        <w:t>agonisti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receptora, a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kod takvih pacijenata treba koristiti samo pod pažljivim medicinskim nadzorom u najnižoj efektivnoj dozi. Ako se javi respiratorna depresija, treba je </w:t>
      </w:r>
      <w:proofErr w:type="spellStart"/>
      <w:r w:rsidRPr="006565C6">
        <w:rPr>
          <w:sz w:val="22"/>
          <w:szCs w:val="22"/>
          <w:lang w:val="sr-Latn-RS"/>
        </w:rPr>
        <w:t>liječiti</w:t>
      </w:r>
      <w:proofErr w:type="spellEnd"/>
      <w:r w:rsidRPr="006565C6">
        <w:rPr>
          <w:sz w:val="22"/>
          <w:szCs w:val="22"/>
          <w:lang w:val="sr-Latn-RS"/>
        </w:rPr>
        <w:t xml:space="preserve"> kao i svaku drugu respiratornu depresiju izazvanu </w:t>
      </w:r>
      <w:proofErr w:type="spellStart"/>
      <w:r w:rsidRPr="006565C6">
        <w:rPr>
          <w:sz w:val="22"/>
          <w:szCs w:val="22"/>
          <w:lang w:val="sr-Latn-RS"/>
        </w:rPr>
        <w:t>agonistima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4.9).</w:t>
      </w:r>
    </w:p>
    <w:p w14:paraId="61CC3DC2" w14:textId="77777777" w:rsidR="006D5933" w:rsidRPr="006565C6" w:rsidRDefault="006D5933" w:rsidP="00805A35">
      <w:pPr>
        <w:spacing w:line="273" w:lineRule="auto"/>
        <w:jc w:val="both"/>
        <w:rPr>
          <w:sz w:val="22"/>
          <w:szCs w:val="22"/>
          <w:lang w:val="sr-Latn-RS"/>
        </w:rPr>
      </w:pPr>
    </w:p>
    <w:p w14:paraId="49F11CE1" w14:textId="77777777" w:rsidR="006D5933" w:rsidRPr="006565C6" w:rsidRDefault="006D5933" w:rsidP="00805A35">
      <w:pPr>
        <w:spacing w:line="267" w:lineRule="exac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Povreda glave i povišeni </w:t>
      </w:r>
      <w:proofErr w:type="spellStart"/>
      <w:r w:rsidRPr="006565C6">
        <w:rPr>
          <w:i/>
          <w:sz w:val="22"/>
          <w:szCs w:val="22"/>
          <w:lang w:val="sr-Latn-RS"/>
        </w:rPr>
        <w:t>intrakranijalni</w:t>
      </w:r>
      <w:proofErr w:type="spellEnd"/>
      <w:r w:rsidRPr="006565C6">
        <w:rPr>
          <w:i/>
          <w:sz w:val="22"/>
          <w:szCs w:val="22"/>
          <w:lang w:val="sr-Latn-RS"/>
        </w:rPr>
        <w:t xml:space="preserve"> pritisak</w:t>
      </w:r>
    </w:p>
    <w:p w14:paraId="41EDBF3A" w14:textId="48E3C7B5" w:rsidR="006D5933" w:rsidRPr="006565C6" w:rsidRDefault="006D5933" w:rsidP="00805A35">
      <w:pPr>
        <w:spacing w:line="267" w:lineRule="exac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ne treba da se koristi kod pacijenata koji mogu da budu posebno </w:t>
      </w:r>
      <w:proofErr w:type="spellStart"/>
      <w:r w:rsidRPr="006565C6">
        <w:rPr>
          <w:sz w:val="22"/>
          <w:szCs w:val="22"/>
          <w:lang w:val="sr-Latn-RS"/>
        </w:rPr>
        <w:t>osjetljivi</w:t>
      </w:r>
      <w:proofErr w:type="spellEnd"/>
      <w:r w:rsidRPr="006565C6">
        <w:rPr>
          <w:sz w:val="22"/>
          <w:szCs w:val="22"/>
          <w:lang w:val="sr-Latn-RS"/>
        </w:rPr>
        <w:t xml:space="preserve"> na </w:t>
      </w:r>
      <w:proofErr w:type="spellStart"/>
      <w:r w:rsidRPr="006565C6">
        <w:rPr>
          <w:sz w:val="22"/>
          <w:szCs w:val="22"/>
          <w:lang w:val="sr-Latn-RS"/>
        </w:rPr>
        <w:t>intrakranijalna</w:t>
      </w:r>
      <w:proofErr w:type="spellEnd"/>
      <w:r w:rsidRPr="006565C6">
        <w:rPr>
          <w:sz w:val="22"/>
          <w:szCs w:val="22"/>
          <w:lang w:val="sr-Latn-RS"/>
        </w:rPr>
        <w:t xml:space="preserve"> dejstva retencije ugljen dioksida, kao što su oni sa dokazanim povišenim </w:t>
      </w:r>
      <w:proofErr w:type="spellStart"/>
      <w:r w:rsidRPr="006565C6">
        <w:rPr>
          <w:sz w:val="22"/>
          <w:szCs w:val="22"/>
          <w:lang w:val="sr-Latn-RS"/>
        </w:rPr>
        <w:t>intrakranijalnim</w:t>
      </w:r>
      <w:proofErr w:type="spellEnd"/>
      <w:r w:rsidRPr="006565C6">
        <w:rPr>
          <w:sz w:val="22"/>
          <w:szCs w:val="22"/>
          <w:lang w:val="sr-Latn-RS"/>
        </w:rPr>
        <w:t xml:space="preserve"> pritiskom, pacijenti sa poremećajem </w:t>
      </w:r>
      <w:proofErr w:type="spellStart"/>
      <w:r w:rsidRPr="006565C6">
        <w:rPr>
          <w:sz w:val="22"/>
          <w:szCs w:val="22"/>
          <w:lang w:val="sr-Latn-RS"/>
        </w:rPr>
        <w:t>svijesti</w:t>
      </w:r>
      <w:proofErr w:type="spellEnd"/>
      <w:r w:rsidRPr="006565C6">
        <w:rPr>
          <w:sz w:val="22"/>
          <w:szCs w:val="22"/>
          <w:lang w:val="sr-Latn-RS"/>
        </w:rPr>
        <w:t xml:space="preserve">, ili u komi. Analgetici sa aktivnošću </w:t>
      </w:r>
      <w:proofErr w:type="spellStart"/>
      <w:r w:rsidRPr="006565C6">
        <w:rPr>
          <w:sz w:val="22"/>
          <w:szCs w:val="22"/>
          <w:lang w:val="sr-Latn-RS"/>
        </w:rPr>
        <w:t>agonista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 mogu da maskiraju klinički tok kod pacijenta sa povredom glave.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treba oprezno koristiti kod pacijenata sa povredom glave i tumorima mozga.</w:t>
      </w:r>
    </w:p>
    <w:p w14:paraId="58CDE597" w14:textId="77777777" w:rsidR="006D5933" w:rsidRPr="006565C6" w:rsidRDefault="006D5933" w:rsidP="00805A35">
      <w:pPr>
        <w:spacing w:line="267" w:lineRule="exact"/>
        <w:jc w:val="both"/>
        <w:rPr>
          <w:sz w:val="22"/>
          <w:szCs w:val="22"/>
          <w:lang w:val="sr-Latn-RS"/>
        </w:rPr>
      </w:pPr>
    </w:p>
    <w:p w14:paraId="6DEDC3AB" w14:textId="77777777" w:rsidR="006D5933" w:rsidRPr="006565C6" w:rsidRDefault="006D5933" w:rsidP="00805A35">
      <w:pPr>
        <w:spacing w:line="267" w:lineRule="exac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Konvulzije</w:t>
      </w:r>
    </w:p>
    <w:p w14:paraId="557873F3" w14:textId="06F9A7AC" w:rsidR="006D5933" w:rsidRPr="006565C6" w:rsidRDefault="006D5933" w:rsidP="00805A35">
      <w:pPr>
        <w:spacing w:line="267" w:lineRule="exac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sistematski ispitivan kod pacijenata sa konvulzijama i ti pacijenti su bili isključeni iz kliničkih ispitivanja. Međutim, kao i drugi analgetici koji imaju aktivnost </w:t>
      </w:r>
      <w:proofErr w:type="spellStart"/>
      <w:r w:rsidRPr="006565C6">
        <w:rPr>
          <w:sz w:val="22"/>
          <w:szCs w:val="22"/>
          <w:lang w:val="sr-Latn-RS"/>
        </w:rPr>
        <w:t>agonista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receptora, i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se ne preporučuje kod pacijenata koji u anamnezi imaju konvulzije ili bilo koje stanje koje bi pacijenta izložilo riziku od pojave konvulzija. Dodatno,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može povećati rizik od pojave konvulzija kod pacijenata koji uzimaju </w:t>
      </w:r>
      <w:proofErr w:type="spellStart"/>
      <w:r w:rsidR="00557985" w:rsidRPr="006565C6">
        <w:rPr>
          <w:sz w:val="22"/>
          <w:szCs w:val="22"/>
          <w:lang w:val="sr-Latn-RS"/>
        </w:rPr>
        <w:t>ljekove</w:t>
      </w:r>
      <w:proofErr w:type="spellEnd"/>
      <w:r w:rsidRPr="006565C6">
        <w:rPr>
          <w:sz w:val="22"/>
          <w:szCs w:val="22"/>
          <w:lang w:val="sr-Latn-RS"/>
        </w:rPr>
        <w:t xml:space="preserve"> koji snižavaju prag za pojavu konvulzija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4.5).</w:t>
      </w:r>
    </w:p>
    <w:p w14:paraId="090522CC" w14:textId="77777777" w:rsidR="006D5933" w:rsidRPr="006565C6" w:rsidRDefault="006D5933" w:rsidP="00805A35">
      <w:pPr>
        <w:spacing w:line="267" w:lineRule="exact"/>
        <w:jc w:val="both"/>
        <w:rPr>
          <w:sz w:val="22"/>
          <w:szCs w:val="22"/>
          <w:lang w:val="sr-Latn-RS"/>
        </w:rPr>
      </w:pPr>
    </w:p>
    <w:p w14:paraId="2514A6B5" w14:textId="77777777" w:rsidR="006D5933" w:rsidRPr="006565C6" w:rsidRDefault="006D5933" w:rsidP="00E3485A">
      <w:pPr>
        <w:spacing w:line="267" w:lineRule="exac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 xml:space="preserve">Bubrežna </w:t>
      </w:r>
      <w:proofErr w:type="spellStart"/>
      <w:r w:rsidRPr="006565C6">
        <w:rPr>
          <w:i/>
          <w:sz w:val="22"/>
          <w:szCs w:val="22"/>
          <w:lang w:val="sr-Latn-RS"/>
        </w:rPr>
        <w:t>insuficijencija</w:t>
      </w:r>
      <w:proofErr w:type="spellEnd"/>
    </w:p>
    <w:p w14:paraId="244C22E1" w14:textId="529970C8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ispitivan u kliničkim studijama efikasnosti kod pacijenata sa teškom bubrežnom </w:t>
      </w:r>
      <w:proofErr w:type="spellStart"/>
      <w:r w:rsidRPr="006565C6">
        <w:rPr>
          <w:sz w:val="22"/>
          <w:szCs w:val="22"/>
          <w:lang w:val="sr-Latn-RS"/>
        </w:rPr>
        <w:t>insuficijencijom</w:t>
      </w:r>
      <w:proofErr w:type="spellEnd"/>
      <w:r w:rsidRPr="006565C6">
        <w:rPr>
          <w:sz w:val="22"/>
          <w:szCs w:val="22"/>
          <w:lang w:val="sr-Latn-RS"/>
        </w:rPr>
        <w:t xml:space="preserve">. Zato se upotreba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u ovoj populaciji ne preporučuje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</w:t>
      </w:r>
      <w:r w:rsidR="009717C3" w:rsidRPr="006565C6">
        <w:rPr>
          <w:sz w:val="22"/>
          <w:szCs w:val="22"/>
          <w:lang w:val="sr-Latn-RS"/>
        </w:rPr>
        <w:t>jelove</w:t>
      </w:r>
      <w:proofErr w:type="spellEnd"/>
      <w:r w:rsidRPr="006565C6">
        <w:rPr>
          <w:sz w:val="22"/>
          <w:szCs w:val="22"/>
          <w:lang w:val="sr-Latn-RS"/>
        </w:rPr>
        <w:t xml:space="preserve"> 4.2 i 5.2).</w:t>
      </w:r>
    </w:p>
    <w:p w14:paraId="17E2E343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</w:p>
    <w:p w14:paraId="76354CCA" w14:textId="77777777" w:rsidR="006D5933" w:rsidRPr="006565C6" w:rsidRDefault="006D5933" w:rsidP="00E3485A">
      <w:pPr>
        <w:spacing w:line="267" w:lineRule="exact"/>
        <w:jc w:val="both"/>
        <w:rPr>
          <w:i/>
          <w:sz w:val="22"/>
          <w:szCs w:val="22"/>
          <w:lang w:val="sr-Latn-RS"/>
        </w:rPr>
      </w:pPr>
      <w:proofErr w:type="spellStart"/>
      <w:r w:rsidRPr="006565C6">
        <w:rPr>
          <w:i/>
          <w:sz w:val="22"/>
          <w:szCs w:val="22"/>
          <w:lang w:val="sr-Latn-RS"/>
        </w:rPr>
        <w:t>Insuficijencija</w:t>
      </w:r>
      <w:proofErr w:type="spellEnd"/>
      <w:r w:rsidRPr="006565C6">
        <w:rPr>
          <w:i/>
          <w:sz w:val="22"/>
          <w:szCs w:val="22"/>
          <w:lang w:val="sr-Latn-RS"/>
        </w:rPr>
        <w:t xml:space="preserve"> jetre</w:t>
      </w:r>
    </w:p>
    <w:p w14:paraId="75CFDE36" w14:textId="07DAAA1D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Ispitanici sa blagom i </w:t>
      </w:r>
      <w:proofErr w:type="spellStart"/>
      <w:r w:rsidRPr="006565C6">
        <w:rPr>
          <w:sz w:val="22"/>
          <w:szCs w:val="22"/>
          <w:lang w:val="sr-Latn-RS"/>
        </w:rPr>
        <w:t>umjerenom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insuficijencijom</w:t>
      </w:r>
      <w:proofErr w:type="spellEnd"/>
      <w:r w:rsidRPr="006565C6">
        <w:rPr>
          <w:sz w:val="22"/>
          <w:szCs w:val="22"/>
          <w:lang w:val="sr-Latn-RS"/>
        </w:rPr>
        <w:t xml:space="preserve"> jetre pokazali su povećanje sistemske izloženosti 2 puta odnosno 4,5 puta, u poređenju sa ispitanicima koji imaju normalnu funkciju jetre.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treba oprezno koristiti kod pacijenata sa </w:t>
      </w:r>
      <w:proofErr w:type="spellStart"/>
      <w:r w:rsidRPr="006565C6">
        <w:rPr>
          <w:sz w:val="22"/>
          <w:szCs w:val="22"/>
          <w:lang w:val="sr-Latn-RS"/>
        </w:rPr>
        <w:t>umjerenom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insuficijencijom</w:t>
      </w:r>
      <w:proofErr w:type="spellEnd"/>
      <w:r w:rsidRPr="006565C6">
        <w:rPr>
          <w:sz w:val="22"/>
          <w:szCs w:val="22"/>
          <w:lang w:val="sr-Latn-RS"/>
        </w:rPr>
        <w:t xml:space="preserve"> jetre (</w:t>
      </w:r>
      <w:r w:rsidR="009717C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9717C3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4.2 i 5.2), a posebno nakon započinjanja terapije.</w:t>
      </w:r>
    </w:p>
    <w:p w14:paraId="428CAF22" w14:textId="185B5C59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ispitivan kod ljudi sa teškom </w:t>
      </w:r>
      <w:proofErr w:type="spellStart"/>
      <w:r w:rsidRPr="006565C6">
        <w:rPr>
          <w:sz w:val="22"/>
          <w:szCs w:val="22"/>
          <w:lang w:val="sr-Latn-RS"/>
        </w:rPr>
        <w:t>insuficijencijom</w:t>
      </w:r>
      <w:proofErr w:type="spellEnd"/>
      <w:r w:rsidRPr="006565C6">
        <w:rPr>
          <w:sz w:val="22"/>
          <w:szCs w:val="22"/>
          <w:lang w:val="sr-Latn-RS"/>
        </w:rPr>
        <w:t xml:space="preserve"> jetre, pa se zato upotreba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u ovoj populaciji ne preporučuje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</w:t>
      </w:r>
      <w:r w:rsidR="009717C3" w:rsidRPr="006565C6">
        <w:rPr>
          <w:sz w:val="22"/>
          <w:szCs w:val="22"/>
          <w:lang w:val="sr-Latn-RS"/>
        </w:rPr>
        <w:t>jelove</w:t>
      </w:r>
      <w:proofErr w:type="spellEnd"/>
      <w:r w:rsidRPr="006565C6">
        <w:rPr>
          <w:sz w:val="22"/>
          <w:szCs w:val="22"/>
          <w:lang w:val="sr-Latn-RS"/>
        </w:rPr>
        <w:t xml:space="preserve"> 4.4 i 5.2).</w:t>
      </w:r>
    </w:p>
    <w:p w14:paraId="2A278C63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</w:p>
    <w:p w14:paraId="4A416E0F" w14:textId="77777777" w:rsidR="006D5933" w:rsidRPr="006565C6" w:rsidRDefault="006D5933" w:rsidP="00E3485A">
      <w:pPr>
        <w:spacing w:line="267" w:lineRule="exac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Upotreba kod oboljenja pankreasa/</w:t>
      </w:r>
      <w:proofErr w:type="spellStart"/>
      <w:r w:rsidRPr="006565C6">
        <w:rPr>
          <w:i/>
          <w:sz w:val="22"/>
          <w:szCs w:val="22"/>
          <w:lang w:val="sr-Latn-RS"/>
        </w:rPr>
        <w:t>bilijarnog</w:t>
      </w:r>
      <w:proofErr w:type="spellEnd"/>
      <w:r w:rsidRPr="006565C6">
        <w:rPr>
          <w:i/>
          <w:sz w:val="22"/>
          <w:szCs w:val="22"/>
          <w:lang w:val="sr-Latn-RS"/>
        </w:rPr>
        <w:t xml:space="preserve"> trakta</w:t>
      </w:r>
    </w:p>
    <w:p w14:paraId="4B2802DA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Aktivne supstance koje imaju </w:t>
      </w:r>
      <w:proofErr w:type="spellStart"/>
      <w:r w:rsidRPr="006565C6">
        <w:rPr>
          <w:sz w:val="22"/>
          <w:szCs w:val="22"/>
          <w:lang w:val="sr-Latn-RS"/>
        </w:rPr>
        <w:t>agonističko</w:t>
      </w:r>
      <w:proofErr w:type="spellEnd"/>
      <w:r w:rsidRPr="006565C6">
        <w:rPr>
          <w:sz w:val="22"/>
          <w:szCs w:val="22"/>
          <w:lang w:val="sr-Latn-RS"/>
        </w:rPr>
        <w:t xml:space="preserve"> dejstvo na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receptorima mogu da izazovu spazam </w:t>
      </w:r>
      <w:proofErr w:type="spellStart"/>
      <w:r w:rsidRPr="006565C6">
        <w:rPr>
          <w:sz w:val="22"/>
          <w:szCs w:val="22"/>
          <w:lang w:val="sr-Latn-RS"/>
        </w:rPr>
        <w:t>Odijevog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sfinktera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 treba sa oprezom koristiti kod pacijenata sa oboljenjem </w:t>
      </w:r>
      <w:proofErr w:type="spellStart"/>
      <w:r w:rsidRPr="006565C6">
        <w:rPr>
          <w:sz w:val="22"/>
          <w:szCs w:val="22"/>
          <w:lang w:val="sr-Latn-RS"/>
        </w:rPr>
        <w:t>bilijarnog</w:t>
      </w:r>
      <w:proofErr w:type="spellEnd"/>
      <w:r w:rsidRPr="006565C6">
        <w:rPr>
          <w:sz w:val="22"/>
          <w:szCs w:val="22"/>
          <w:lang w:val="sr-Latn-RS"/>
        </w:rPr>
        <w:t xml:space="preserve"> trakta, uključujući i akutni </w:t>
      </w:r>
      <w:proofErr w:type="spellStart"/>
      <w:r w:rsidRPr="006565C6">
        <w:rPr>
          <w:sz w:val="22"/>
          <w:szCs w:val="22"/>
          <w:lang w:val="sr-Latn-RS"/>
        </w:rPr>
        <w:t>pankreatitis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59023106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</w:p>
    <w:p w14:paraId="441F8620" w14:textId="77777777" w:rsidR="006D5933" w:rsidRPr="006565C6" w:rsidRDefault="006D5933" w:rsidP="00E3485A">
      <w:pPr>
        <w:spacing w:line="267" w:lineRule="exact"/>
        <w:jc w:val="both"/>
        <w:rPr>
          <w:i/>
          <w:sz w:val="22"/>
          <w:szCs w:val="22"/>
          <w:lang w:val="sr-Latn-RS"/>
        </w:rPr>
      </w:pPr>
      <w:proofErr w:type="spellStart"/>
      <w:r w:rsidRPr="006565C6">
        <w:rPr>
          <w:i/>
          <w:sz w:val="22"/>
          <w:szCs w:val="22"/>
          <w:lang w:val="sr-Latn-RS"/>
        </w:rPr>
        <w:t>Poremećaji</w:t>
      </w:r>
      <w:proofErr w:type="spellEnd"/>
      <w:r w:rsidRPr="006565C6">
        <w:rPr>
          <w:i/>
          <w:sz w:val="22"/>
          <w:szCs w:val="22"/>
          <w:lang w:val="sr-Latn-RS"/>
        </w:rPr>
        <w:t xml:space="preserve"> disanja povezani sa spavanjem </w:t>
      </w:r>
    </w:p>
    <w:p w14:paraId="08695664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Opioidi</w:t>
      </w:r>
      <w:proofErr w:type="spellEnd"/>
      <w:r w:rsidRPr="006565C6">
        <w:rPr>
          <w:sz w:val="22"/>
          <w:szCs w:val="22"/>
          <w:lang w:val="sr-Latn-RS"/>
        </w:rPr>
        <w:t xml:space="preserve"> mogu izazvati </w:t>
      </w:r>
      <w:proofErr w:type="spellStart"/>
      <w:r w:rsidRPr="006565C6">
        <w:rPr>
          <w:sz w:val="22"/>
          <w:szCs w:val="22"/>
          <w:lang w:val="sr-Latn-RS"/>
        </w:rPr>
        <w:t>poremećaje</w:t>
      </w:r>
      <w:proofErr w:type="spellEnd"/>
      <w:r w:rsidRPr="006565C6">
        <w:rPr>
          <w:sz w:val="22"/>
          <w:szCs w:val="22"/>
          <w:lang w:val="sr-Latn-RS"/>
        </w:rPr>
        <w:t xml:space="preserve"> disanja povezane sa spavanjem, </w:t>
      </w:r>
      <w:proofErr w:type="spellStart"/>
      <w:r w:rsidRPr="006565C6">
        <w:rPr>
          <w:sz w:val="22"/>
          <w:szCs w:val="22"/>
          <w:lang w:val="sr-Latn-RS"/>
        </w:rPr>
        <w:t>uključujući</w:t>
      </w:r>
      <w:proofErr w:type="spellEnd"/>
      <w:r w:rsidRPr="006565C6">
        <w:rPr>
          <w:sz w:val="22"/>
          <w:szCs w:val="22"/>
          <w:lang w:val="sr-Latn-RS"/>
        </w:rPr>
        <w:t xml:space="preserve"> centralnu </w:t>
      </w:r>
      <w:proofErr w:type="spellStart"/>
      <w:r w:rsidRPr="006565C6">
        <w:rPr>
          <w:sz w:val="22"/>
          <w:szCs w:val="22"/>
          <w:lang w:val="sr-Latn-RS"/>
        </w:rPr>
        <w:t>apneu</w:t>
      </w:r>
      <w:proofErr w:type="spellEnd"/>
      <w:r w:rsidRPr="006565C6">
        <w:rPr>
          <w:sz w:val="22"/>
          <w:szCs w:val="22"/>
          <w:lang w:val="sr-Latn-RS"/>
        </w:rPr>
        <w:t xml:space="preserve"> tokom spavanja (</w:t>
      </w:r>
      <w:proofErr w:type="spellStart"/>
      <w:r w:rsidRPr="006565C6">
        <w:rPr>
          <w:sz w:val="22"/>
          <w:szCs w:val="22"/>
          <w:lang w:val="sr-Latn-RS"/>
        </w:rPr>
        <w:t>CSA</w:t>
      </w:r>
      <w:proofErr w:type="spellEnd"/>
      <w:r w:rsidRPr="006565C6">
        <w:rPr>
          <w:sz w:val="22"/>
          <w:szCs w:val="22"/>
          <w:lang w:val="sr-Latn-RS"/>
        </w:rPr>
        <w:t xml:space="preserve">) i </w:t>
      </w:r>
      <w:proofErr w:type="spellStart"/>
      <w:r w:rsidRPr="006565C6">
        <w:rPr>
          <w:sz w:val="22"/>
          <w:szCs w:val="22"/>
          <w:lang w:val="sr-Latn-RS"/>
        </w:rPr>
        <w:t>hipoksemiju</w:t>
      </w:r>
      <w:proofErr w:type="spellEnd"/>
      <w:r w:rsidRPr="006565C6">
        <w:rPr>
          <w:sz w:val="22"/>
          <w:szCs w:val="22"/>
          <w:lang w:val="sr-Latn-RS"/>
        </w:rPr>
        <w:t xml:space="preserve"> povezanu sa spavanjem. Upotreba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povećava</w:t>
      </w:r>
      <w:proofErr w:type="spellEnd"/>
      <w:r w:rsidRPr="006565C6">
        <w:rPr>
          <w:sz w:val="22"/>
          <w:szCs w:val="22"/>
          <w:lang w:val="sr-Latn-RS"/>
        </w:rPr>
        <w:t xml:space="preserve"> rizik od </w:t>
      </w:r>
      <w:proofErr w:type="spellStart"/>
      <w:r w:rsidRPr="006565C6">
        <w:rPr>
          <w:sz w:val="22"/>
          <w:szCs w:val="22"/>
          <w:lang w:val="sr-Latn-RS"/>
        </w:rPr>
        <w:t>CSA</w:t>
      </w:r>
      <w:proofErr w:type="spellEnd"/>
      <w:r w:rsidRPr="006565C6">
        <w:rPr>
          <w:sz w:val="22"/>
          <w:szCs w:val="22"/>
          <w:lang w:val="sr-Latn-RS"/>
        </w:rPr>
        <w:t xml:space="preserve"> u zavisnosti od doze. Kod pacijenata kod kojih je prisutna </w:t>
      </w:r>
      <w:proofErr w:type="spellStart"/>
      <w:r w:rsidRPr="006565C6">
        <w:rPr>
          <w:sz w:val="22"/>
          <w:szCs w:val="22"/>
          <w:lang w:val="sr-Latn-RS"/>
        </w:rPr>
        <w:t>CSA</w:t>
      </w:r>
      <w:proofErr w:type="spellEnd"/>
      <w:r w:rsidRPr="006565C6">
        <w:rPr>
          <w:sz w:val="22"/>
          <w:szCs w:val="22"/>
          <w:lang w:val="sr-Latn-RS"/>
        </w:rPr>
        <w:t xml:space="preserve">, potrebno je razmotriti smanjenje ukupne doze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4C23E8DC" w14:textId="77777777" w:rsidR="006D5933" w:rsidRPr="006565C6" w:rsidRDefault="006D5933" w:rsidP="00E3485A">
      <w:pPr>
        <w:spacing w:line="267" w:lineRule="exact"/>
        <w:jc w:val="both"/>
        <w:rPr>
          <w:i/>
          <w:sz w:val="22"/>
          <w:szCs w:val="22"/>
          <w:lang w:val="sr-Latn-RS"/>
        </w:rPr>
      </w:pPr>
    </w:p>
    <w:p w14:paraId="18A9120C" w14:textId="77777777" w:rsidR="006D5933" w:rsidRPr="006565C6" w:rsidRDefault="006D5933" w:rsidP="00E3485A">
      <w:pPr>
        <w:spacing w:line="267" w:lineRule="exact"/>
        <w:jc w:val="both"/>
        <w:rPr>
          <w:i/>
          <w:sz w:val="22"/>
          <w:szCs w:val="22"/>
          <w:lang w:val="sr-Latn-RS"/>
        </w:rPr>
      </w:pPr>
      <w:proofErr w:type="spellStart"/>
      <w:r w:rsidRPr="006565C6">
        <w:rPr>
          <w:i/>
          <w:sz w:val="22"/>
          <w:szCs w:val="22"/>
          <w:lang w:val="sr-Latn-RS"/>
        </w:rPr>
        <w:t>Mješoviti</w:t>
      </w:r>
      <w:proofErr w:type="spellEnd"/>
      <w:r w:rsidRPr="006565C6">
        <w:rPr>
          <w:i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sz w:val="22"/>
          <w:szCs w:val="22"/>
          <w:lang w:val="sr-Latn-RS"/>
        </w:rPr>
        <w:t>opioidni</w:t>
      </w:r>
      <w:proofErr w:type="spellEnd"/>
      <w:r w:rsidRPr="006565C6">
        <w:rPr>
          <w:i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sz w:val="22"/>
          <w:szCs w:val="22"/>
          <w:lang w:val="sr-Latn-RS"/>
        </w:rPr>
        <w:t>agonisti</w:t>
      </w:r>
      <w:proofErr w:type="spellEnd"/>
      <w:r w:rsidRPr="006565C6">
        <w:rPr>
          <w:i/>
          <w:sz w:val="22"/>
          <w:szCs w:val="22"/>
          <w:lang w:val="sr-Latn-RS"/>
        </w:rPr>
        <w:t>/antagonisti</w:t>
      </w:r>
    </w:p>
    <w:p w14:paraId="29260CD5" w14:textId="783FD5E5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Potreban je oprez kada se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uzima sa </w:t>
      </w:r>
      <w:proofErr w:type="spellStart"/>
      <w:r w:rsidRPr="006565C6">
        <w:rPr>
          <w:sz w:val="22"/>
          <w:szCs w:val="22"/>
          <w:lang w:val="sr-Latn-RS"/>
        </w:rPr>
        <w:t>mješovitim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agonistima</w:t>
      </w:r>
      <w:proofErr w:type="spellEnd"/>
      <w:r w:rsidRPr="006565C6">
        <w:rPr>
          <w:sz w:val="22"/>
          <w:szCs w:val="22"/>
          <w:lang w:val="sr-Latn-RS"/>
        </w:rPr>
        <w:t xml:space="preserve">/antagonistima (kao što su </w:t>
      </w:r>
      <w:proofErr w:type="spellStart"/>
      <w:r w:rsidRPr="006565C6">
        <w:rPr>
          <w:sz w:val="22"/>
          <w:szCs w:val="22"/>
          <w:lang w:val="sr-Latn-RS"/>
        </w:rPr>
        <w:t>pentazocin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nalbufin</w:t>
      </w:r>
      <w:proofErr w:type="spellEnd"/>
      <w:r w:rsidRPr="006565C6">
        <w:rPr>
          <w:sz w:val="22"/>
          <w:szCs w:val="22"/>
          <w:lang w:val="sr-Latn-RS"/>
        </w:rPr>
        <w:t>) ili parcijalnim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agonistima</w:t>
      </w:r>
      <w:proofErr w:type="spellEnd"/>
      <w:r w:rsidRPr="006565C6">
        <w:rPr>
          <w:sz w:val="22"/>
          <w:szCs w:val="22"/>
          <w:lang w:val="sr-Latn-RS"/>
        </w:rPr>
        <w:t xml:space="preserve"> (kao što je </w:t>
      </w:r>
      <w:proofErr w:type="spellStart"/>
      <w:r w:rsidRPr="006565C6">
        <w:rPr>
          <w:sz w:val="22"/>
          <w:szCs w:val="22"/>
          <w:lang w:val="sr-Latn-RS"/>
        </w:rPr>
        <w:t>buprenorfin</w:t>
      </w:r>
      <w:proofErr w:type="spellEnd"/>
      <w:r w:rsidRPr="006565C6">
        <w:rPr>
          <w:sz w:val="22"/>
          <w:szCs w:val="22"/>
          <w:lang w:val="sr-Latn-RS"/>
        </w:rPr>
        <w:t xml:space="preserve">). Kod pacijenata koji su na terapiji održavanja </w:t>
      </w:r>
      <w:proofErr w:type="spellStart"/>
      <w:r w:rsidRPr="006565C6">
        <w:rPr>
          <w:sz w:val="22"/>
          <w:szCs w:val="22"/>
          <w:lang w:val="sr-Latn-RS"/>
        </w:rPr>
        <w:t>buprenorfinom</w:t>
      </w:r>
      <w:proofErr w:type="spellEnd"/>
      <w:r w:rsidRPr="006565C6">
        <w:rPr>
          <w:sz w:val="22"/>
          <w:szCs w:val="22"/>
          <w:lang w:val="sr-Latn-RS"/>
        </w:rPr>
        <w:t xml:space="preserve"> za </w:t>
      </w:r>
      <w:proofErr w:type="spellStart"/>
      <w:r w:rsidRPr="006565C6">
        <w:rPr>
          <w:sz w:val="22"/>
          <w:szCs w:val="22"/>
          <w:lang w:val="sr-Latn-RS"/>
        </w:rPr>
        <w:t>liječenje</w:t>
      </w:r>
      <w:proofErr w:type="spellEnd"/>
      <w:r w:rsidRPr="006565C6">
        <w:rPr>
          <w:sz w:val="22"/>
          <w:szCs w:val="22"/>
          <w:lang w:val="sr-Latn-RS"/>
        </w:rPr>
        <w:t xml:space="preserve"> zavisnosti od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, treba razmotriti druge terapijske opcije (kao što je npr. privremeni prekid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buprenorfinom</w:t>
      </w:r>
      <w:proofErr w:type="spellEnd"/>
      <w:r w:rsidRPr="006565C6">
        <w:rPr>
          <w:sz w:val="22"/>
          <w:szCs w:val="22"/>
          <w:lang w:val="sr-Latn-RS"/>
        </w:rPr>
        <w:t xml:space="preserve">), ako </w:t>
      </w:r>
      <w:proofErr w:type="spellStart"/>
      <w:r w:rsidRPr="006565C6">
        <w:rPr>
          <w:sz w:val="22"/>
          <w:szCs w:val="22"/>
          <w:lang w:val="sr-Latn-RS"/>
        </w:rPr>
        <w:t>primjena</w:t>
      </w:r>
      <w:proofErr w:type="spellEnd"/>
      <w:r w:rsidRPr="006565C6">
        <w:rPr>
          <w:sz w:val="22"/>
          <w:szCs w:val="22"/>
          <w:lang w:val="sr-Latn-RS"/>
        </w:rPr>
        <w:t xml:space="preserve"> punog µ-</w:t>
      </w:r>
      <w:proofErr w:type="spellStart"/>
      <w:r w:rsidRPr="006565C6">
        <w:rPr>
          <w:sz w:val="22"/>
          <w:szCs w:val="22"/>
          <w:lang w:val="sr-Latn-RS"/>
        </w:rPr>
        <w:t>agoniste</w:t>
      </w:r>
      <w:proofErr w:type="spellEnd"/>
      <w:r w:rsidRPr="006565C6">
        <w:rPr>
          <w:sz w:val="22"/>
          <w:szCs w:val="22"/>
          <w:lang w:val="sr-Latn-RS"/>
        </w:rPr>
        <w:t xml:space="preserve"> (kao što je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) postane neophodna za </w:t>
      </w:r>
      <w:proofErr w:type="spellStart"/>
      <w:r w:rsidRPr="006565C6">
        <w:rPr>
          <w:sz w:val="22"/>
          <w:szCs w:val="22"/>
          <w:lang w:val="sr-Latn-RS"/>
        </w:rPr>
        <w:t>kupiranje</w:t>
      </w:r>
      <w:proofErr w:type="spellEnd"/>
      <w:r w:rsidRPr="006565C6">
        <w:rPr>
          <w:sz w:val="22"/>
          <w:szCs w:val="22"/>
          <w:lang w:val="sr-Latn-RS"/>
        </w:rPr>
        <w:t xml:space="preserve"> akutnih bolnih stanja. Tokom zajedničke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sa </w:t>
      </w:r>
      <w:proofErr w:type="spellStart"/>
      <w:r w:rsidRPr="006565C6">
        <w:rPr>
          <w:sz w:val="22"/>
          <w:szCs w:val="22"/>
          <w:lang w:val="sr-Latn-RS"/>
        </w:rPr>
        <w:t>buprenorfinom</w:t>
      </w:r>
      <w:proofErr w:type="spellEnd"/>
      <w:r w:rsidRPr="006565C6">
        <w:rPr>
          <w:sz w:val="22"/>
          <w:szCs w:val="22"/>
          <w:lang w:val="sr-Latn-RS"/>
        </w:rPr>
        <w:t xml:space="preserve">, prijavljeno je da su potrebne veće doze punih </w:t>
      </w:r>
      <w:proofErr w:type="spellStart"/>
      <w:r w:rsidRPr="006565C6">
        <w:rPr>
          <w:sz w:val="22"/>
          <w:szCs w:val="22"/>
          <w:lang w:val="sr-Latn-RS"/>
        </w:rPr>
        <w:t>agonista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 i da je u ovakvim slučajevima potrebno pažljivo praćenje neželjenih događaja, kao što je respiratorna depresija.</w:t>
      </w:r>
    </w:p>
    <w:p w14:paraId="33C7233E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</w:p>
    <w:p w14:paraId="799FCF85" w14:textId="0D0C8F49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b/>
          <w:bCs/>
          <w:sz w:val="22"/>
          <w:szCs w:val="22"/>
          <w:lang w:val="sr-Latn-RS"/>
        </w:rPr>
        <w:t>PALEXIA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20 mg/ml oralni rastvor sadrži </w:t>
      </w:r>
      <w:proofErr w:type="spellStart"/>
      <w:r w:rsidRPr="006565C6">
        <w:rPr>
          <w:b/>
          <w:bCs/>
          <w:sz w:val="22"/>
          <w:szCs w:val="22"/>
          <w:lang w:val="sr-Latn-RS"/>
        </w:rPr>
        <w:t>propilen</w:t>
      </w:r>
      <w:proofErr w:type="spellEnd"/>
      <w:r w:rsidR="006565C6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6565C6">
        <w:rPr>
          <w:b/>
          <w:bCs/>
          <w:sz w:val="22"/>
          <w:szCs w:val="22"/>
          <w:lang w:val="sr-Latn-RS"/>
        </w:rPr>
        <w:t>glikol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i natrijum</w:t>
      </w:r>
    </w:p>
    <w:p w14:paraId="02E924E5" w14:textId="3EB2C601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lastRenderedPageBreak/>
        <w:t xml:space="preserve">Ovaj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sadrži 10 mg </w:t>
      </w:r>
      <w:proofErr w:type="spellStart"/>
      <w:r w:rsidRPr="006565C6">
        <w:rPr>
          <w:sz w:val="22"/>
          <w:szCs w:val="22"/>
          <w:lang w:val="sr-Latn-RS"/>
        </w:rPr>
        <w:t>propilen</w:t>
      </w:r>
      <w:proofErr w:type="spellEnd"/>
      <w:r w:rsid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glikola</w:t>
      </w:r>
      <w:proofErr w:type="spellEnd"/>
      <w:r w:rsidRPr="006565C6">
        <w:rPr>
          <w:sz w:val="22"/>
          <w:szCs w:val="22"/>
          <w:lang w:val="sr-Latn-RS"/>
        </w:rPr>
        <w:t xml:space="preserve"> u 5 ml rastvora (maksimalna pojedinačna doza) što odgovara 2,0 mg/ml. </w:t>
      </w:r>
    </w:p>
    <w:p w14:paraId="4539172B" w14:textId="77777777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Ovaj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sadrži manje od 1 </w:t>
      </w:r>
      <w:proofErr w:type="spellStart"/>
      <w:r w:rsidRPr="006565C6">
        <w:rPr>
          <w:sz w:val="22"/>
          <w:szCs w:val="22"/>
          <w:lang w:val="sr-Latn-RS"/>
        </w:rPr>
        <w:t>mmol</w:t>
      </w:r>
      <w:proofErr w:type="spellEnd"/>
      <w:r w:rsidRPr="006565C6">
        <w:rPr>
          <w:sz w:val="22"/>
          <w:szCs w:val="22"/>
          <w:lang w:val="sr-Latn-RS"/>
        </w:rPr>
        <w:t xml:space="preserve"> (23 mg) natrijuma po maksimalnoj pojedinačnoj dozi, tj. zanemarive količine natrijuma. </w:t>
      </w:r>
    </w:p>
    <w:p w14:paraId="69E60B01" w14:textId="77777777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</w:p>
    <w:p w14:paraId="3A3AAC62" w14:textId="77777777" w:rsidR="006D5933" w:rsidRPr="006565C6" w:rsidRDefault="006D5933" w:rsidP="00E3485A">
      <w:pPr>
        <w:pStyle w:val="Default"/>
        <w:jc w:val="both"/>
        <w:rPr>
          <w:sz w:val="22"/>
          <w:szCs w:val="22"/>
          <w:u w:val="single"/>
          <w:lang w:val="sr-Latn-RS"/>
        </w:rPr>
      </w:pPr>
      <w:r w:rsidRPr="006565C6">
        <w:rPr>
          <w:sz w:val="22"/>
          <w:szCs w:val="22"/>
          <w:u w:val="single"/>
          <w:lang w:val="sr-Latn-RS"/>
        </w:rPr>
        <w:t xml:space="preserve">Pedijatrijska populacija </w:t>
      </w:r>
    </w:p>
    <w:p w14:paraId="77F3FB52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Jednaka upozorenja i </w:t>
      </w:r>
      <w:proofErr w:type="spellStart"/>
      <w:r w:rsidRPr="006565C6">
        <w:rPr>
          <w:sz w:val="22"/>
          <w:szCs w:val="22"/>
          <w:lang w:val="sr-Latn-RS"/>
        </w:rPr>
        <w:t>mjere</w:t>
      </w:r>
      <w:proofErr w:type="spellEnd"/>
      <w:r w:rsidRPr="006565C6">
        <w:rPr>
          <w:sz w:val="22"/>
          <w:szCs w:val="22"/>
          <w:lang w:val="sr-Latn-RS"/>
        </w:rPr>
        <w:t xml:space="preserve"> opreza za upotrebu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oralni rastvor </w:t>
      </w:r>
      <w:proofErr w:type="spellStart"/>
      <w:r w:rsidRPr="006565C6">
        <w:rPr>
          <w:sz w:val="22"/>
          <w:szCs w:val="22"/>
          <w:lang w:val="sr-Latn-RS"/>
        </w:rPr>
        <w:t>vrijede</w:t>
      </w:r>
      <w:proofErr w:type="spellEnd"/>
      <w:r w:rsidRPr="006565C6">
        <w:rPr>
          <w:sz w:val="22"/>
          <w:szCs w:val="22"/>
          <w:lang w:val="sr-Latn-RS"/>
        </w:rPr>
        <w:t xml:space="preserve"> i za </w:t>
      </w:r>
      <w:proofErr w:type="spellStart"/>
      <w:r w:rsidRPr="006565C6">
        <w:rPr>
          <w:sz w:val="22"/>
          <w:szCs w:val="22"/>
          <w:lang w:val="sr-Latn-RS"/>
        </w:rPr>
        <w:t>djecu</w:t>
      </w:r>
      <w:proofErr w:type="spellEnd"/>
      <w:r w:rsidRPr="006565C6">
        <w:rPr>
          <w:sz w:val="22"/>
          <w:szCs w:val="22"/>
          <w:lang w:val="sr-Latn-RS"/>
        </w:rPr>
        <w:t>, uz sljedeće dodatne napomene:</w:t>
      </w:r>
    </w:p>
    <w:p w14:paraId="65FD832E" w14:textId="77777777" w:rsidR="006D5933" w:rsidRPr="006565C6" w:rsidRDefault="006D5933" w:rsidP="00E3485A">
      <w:pPr>
        <w:spacing w:line="267" w:lineRule="exact"/>
        <w:jc w:val="both"/>
        <w:rPr>
          <w:sz w:val="22"/>
          <w:szCs w:val="22"/>
          <w:lang w:val="sr-Latn-RS"/>
        </w:rPr>
      </w:pPr>
    </w:p>
    <w:p w14:paraId="499E686E" w14:textId="43303B93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ispitivana </w:t>
      </w:r>
      <w:r w:rsidR="00A273F2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i adolescenata s</w:t>
      </w:r>
      <w:r w:rsidR="00A273F2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oštećenjem funkcije bubrega ili jetre, </w:t>
      </w:r>
      <w:r w:rsidR="00A273F2" w:rsidRPr="006565C6">
        <w:rPr>
          <w:sz w:val="22"/>
          <w:szCs w:val="22"/>
          <w:lang w:val="sr-Latn-RS"/>
        </w:rPr>
        <w:t xml:space="preserve">zbog čega </w:t>
      </w:r>
      <w:r w:rsidRPr="006565C6">
        <w:rPr>
          <w:sz w:val="22"/>
          <w:szCs w:val="22"/>
          <w:lang w:val="sr-Latn-RS"/>
        </w:rPr>
        <w:t>se ne preporučuje upotreba u toj populaciji (</w:t>
      </w:r>
      <w:r w:rsidR="00A97468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A97468" w:rsidRPr="006565C6">
        <w:rPr>
          <w:sz w:val="22"/>
          <w:szCs w:val="22"/>
          <w:lang w:val="sr-Latn-RS"/>
        </w:rPr>
        <w:t>djelove</w:t>
      </w:r>
      <w:proofErr w:type="spellEnd"/>
      <w:r w:rsidRPr="006565C6">
        <w:rPr>
          <w:sz w:val="22"/>
          <w:szCs w:val="22"/>
          <w:lang w:val="sr-Latn-RS"/>
        </w:rPr>
        <w:t xml:space="preserve"> 4.2 i 5.2). </w:t>
      </w:r>
    </w:p>
    <w:p w14:paraId="5D19334E" w14:textId="2C6A4B26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se ne preporučuje </w:t>
      </w:r>
      <w:r w:rsidR="00A273F2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mlađe od 2 godine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4.1). </w:t>
      </w:r>
    </w:p>
    <w:p w14:paraId="2AD20E08" w14:textId="266D010C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20 mg/ml oralni rastvor</w:t>
      </w:r>
      <w:r w:rsidR="00C73C45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se ne preporučuje </w:t>
      </w:r>
      <w:r w:rsidR="00A273F2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tjelesne</w:t>
      </w:r>
      <w:proofErr w:type="spellEnd"/>
      <w:r w:rsidRPr="006565C6">
        <w:rPr>
          <w:sz w:val="22"/>
          <w:szCs w:val="22"/>
          <w:lang w:val="sr-Latn-RS"/>
        </w:rPr>
        <w:t xml:space="preserve"> težine od 16 kg ili manje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4.2). </w:t>
      </w:r>
    </w:p>
    <w:p w14:paraId="57710273" w14:textId="1DBE1D93" w:rsidR="006D5933" w:rsidRPr="006565C6" w:rsidRDefault="006D5933" w:rsidP="00E3485A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sistemski </w:t>
      </w:r>
      <w:proofErr w:type="spellStart"/>
      <w:r w:rsidRPr="006565C6">
        <w:rPr>
          <w:sz w:val="22"/>
          <w:szCs w:val="22"/>
          <w:lang w:val="sr-Latn-RS"/>
        </w:rPr>
        <w:t>ocijenjena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A273F2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pretil</w:t>
      </w:r>
      <w:r w:rsidR="00A273F2" w:rsidRPr="006565C6">
        <w:rPr>
          <w:sz w:val="22"/>
          <w:szCs w:val="22"/>
          <w:lang w:val="sr-Latn-RS"/>
        </w:rPr>
        <w:t>n</w:t>
      </w:r>
      <w:r w:rsidRPr="006565C6">
        <w:rPr>
          <w:sz w:val="22"/>
          <w:szCs w:val="22"/>
          <w:lang w:val="sr-Latn-RS"/>
        </w:rPr>
        <w:t>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i adolescenata, </w:t>
      </w:r>
      <w:r w:rsidR="00A273F2" w:rsidRPr="006565C6">
        <w:rPr>
          <w:sz w:val="22"/>
          <w:szCs w:val="22"/>
          <w:lang w:val="sr-Latn-RS"/>
        </w:rPr>
        <w:t xml:space="preserve">zbog čega </w:t>
      </w:r>
      <w:proofErr w:type="spellStart"/>
      <w:r w:rsidRPr="006565C6">
        <w:rPr>
          <w:sz w:val="22"/>
          <w:szCs w:val="22"/>
          <w:lang w:val="sr-Latn-RS"/>
        </w:rPr>
        <w:t>pretil</w:t>
      </w:r>
      <w:r w:rsidR="00A273F2" w:rsidRPr="006565C6">
        <w:rPr>
          <w:sz w:val="22"/>
          <w:szCs w:val="22"/>
          <w:lang w:val="sr-Latn-RS"/>
        </w:rPr>
        <w:t>n</w:t>
      </w:r>
      <w:r w:rsidRPr="006565C6">
        <w:rPr>
          <w:sz w:val="22"/>
          <w:szCs w:val="22"/>
          <w:lang w:val="sr-Latn-RS"/>
        </w:rPr>
        <w:t>e</w:t>
      </w:r>
      <w:proofErr w:type="spellEnd"/>
      <w:r w:rsidRPr="006565C6">
        <w:rPr>
          <w:sz w:val="22"/>
          <w:szCs w:val="22"/>
          <w:lang w:val="sr-Latn-RS"/>
        </w:rPr>
        <w:t xml:space="preserve"> pedijatrijske </w:t>
      </w:r>
      <w:r w:rsidR="00A273F2" w:rsidRPr="006565C6">
        <w:rPr>
          <w:sz w:val="22"/>
          <w:szCs w:val="22"/>
          <w:lang w:val="sr-Latn-RS"/>
        </w:rPr>
        <w:t xml:space="preserve">pacijente </w:t>
      </w:r>
      <w:r w:rsidRPr="006565C6">
        <w:rPr>
          <w:sz w:val="22"/>
          <w:szCs w:val="22"/>
          <w:lang w:val="sr-Latn-RS"/>
        </w:rPr>
        <w:t>treba pažljivo</w:t>
      </w:r>
      <w:r w:rsidR="00BF2037" w:rsidRPr="006565C6">
        <w:rPr>
          <w:sz w:val="22"/>
          <w:szCs w:val="22"/>
          <w:lang w:val="sr-Latn-RS"/>
        </w:rPr>
        <w:t xml:space="preserve"> </w:t>
      </w:r>
      <w:r w:rsidR="00A273F2" w:rsidRPr="006565C6">
        <w:rPr>
          <w:sz w:val="22"/>
          <w:szCs w:val="22"/>
          <w:lang w:val="sr-Latn-RS"/>
        </w:rPr>
        <w:t>pratiti</w:t>
      </w:r>
      <w:r w:rsidRPr="006565C6">
        <w:rPr>
          <w:sz w:val="22"/>
          <w:szCs w:val="22"/>
          <w:lang w:val="sr-Latn-RS"/>
        </w:rPr>
        <w:t xml:space="preserve">, a preporučena maksimalna doza za </w:t>
      </w:r>
      <w:r w:rsidR="00A273F2" w:rsidRPr="006565C6">
        <w:rPr>
          <w:sz w:val="22"/>
          <w:szCs w:val="22"/>
          <w:lang w:val="sr-Latn-RS"/>
        </w:rPr>
        <w:t xml:space="preserve">uzrast se </w:t>
      </w:r>
      <w:r w:rsidRPr="006565C6">
        <w:rPr>
          <w:sz w:val="22"/>
          <w:szCs w:val="22"/>
          <w:lang w:val="sr-Latn-RS"/>
        </w:rPr>
        <w:t xml:space="preserve">ne smije prekoračiti. </w:t>
      </w:r>
    </w:p>
    <w:p w14:paraId="2577E2CD" w14:textId="058345C6" w:rsidR="006D5933" w:rsidRPr="006565C6" w:rsidRDefault="006D5933" w:rsidP="009B78B3">
      <w:pPr>
        <w:spacing w:line="267" w:lineRule="exac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je </w:t>
      </w:r>
      <w:proofErr w:type="spellStart"/>
      <w:r w:rsidRPr="006565C6">
        <w:rPr>
          <w:sz w:val="22"/>
          <w:szCs w:val="22"/>
          <w:lang w:val="sr-Latn-RS"/>
        </w:rPr>
        <w:t>namijenjena</w:t>
      </w:r>
      <w:proofErr w:type="spellEnd"/>
      <w:r w:rsidRPr="006565C6">
        <w:rPr>
          <w:sz w:val="22"/>
          <w:szCs w:val="22"/>
          <w:lang w:val="sr-Latn-RS"/>
        </w:rPr>
        <w:t xml:space="preserve"> upotrebi kod akutn</w:t>
      </w:r>
      <w:r w:rsidR="003022B2" w:rsidRPr="006565C6">
        <w:rPr>
          <w:sz w:val="22"/>
          <w:szCs w:val="22"/>
          <w:lang w:val="sr-Latn-RS"/>
        </w:rPr>
        <w:t>og</w:t>
      </w:r>
      <w:r w:rsidRPr="006565C6">
        <w:rPr>
          <w:sz w:val="22"/>
          <w:szCs w:val="22"/>
          <w:lang w:val="sr-Latn-RS"/>
        </w:rPr>
        <w:t xml:space="preserve"> bol</w:t>
      </w:r>
      <w:r w:rsidR="003022B2" w:rsidRPr="006565C6">
        <w:rPr>
          <w:sz w:val="22"/>
          <w:szCs w:val="22"/>
          <w:lang w:val="sr-Latn-RS"/>
        </w:rPr>
        <w:t>a</w:t>
      </w:r>
      <w:r w:rsidR="009B78B3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i stoga je ispitana u kratkotrajnom </w:t>
      </w:r>
      <w:proofErr w:type="spellStart"/>
      <w:r w:rsidRPr="006565C6">
        <w:rPr>
          <w:sz w:val="22"/>
          <w:szCs w:val="22"/>
          <w:lang w:val="sr-Latn-RS"/>
        </w:rPr>
        <w:t>liječenju</w:t>
      </w:r>
      <w:proofErr w:type="spellEnd"/>
      <w:r w:rsidRPr="006565C6">
        <w:rPr>
          <w:sz w:val="22"/>
          <w:szCs w:val="22"/>
          <w:lang w:val="sr-Latn-RS"/>
        </w:rPr>
        <w:t xml:space="preserve">. Prema tome, nisu dostupni podaci o dugoročnoj </w:t>
      </w:r>
      <w:proofErr w:type="spellStart"/>
      <w:r w:rsidR="00DC2526" w:rsidRPr="006565C6">
        <w:rPr>
          <w:sz w:val="22"/>
          <w:szCs w:val="22"/>
          <w:lang w:val="sr-Latn-RS"/>
        </w:rPr>
        <w:t>bezbijednosti</w:t>
      </w:r>
      <w:proofErr w:type="spellEnd"/>
      <w:r w:rsidR="00DC2526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upotrebe </w:t>
      </w:r>
      <w:r w:rsidR="00DC2526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(npr. za rast ili razvoj).</w:t>
      </w:r>
    </w:p>
    <w:p w14:paraId="6DA36E97" w14:textId="77777777" w:rsidR="00057E35" w:rsidRPr="006565C6" w:rsidRDefault="00057E35" w:rsidP="00D37E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98" w14:textId="77777777" w:rsidR="00411B4B" w:rsidRPr="006565C6" w:rsidRDefault="00411B4B" w:rsidP="00D37E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>4.5.</w:t>
      </w:r>
      <w:r w:rsidR="000D60CC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 xml:space="preserve">Interakcije sa drugim </w:t>
      </w:r>
      <w:proofErr w:type="spellStart"/>
      <w:r w:rsidRPr="006565C6">
        <w:rPr>
          <w:b/>
          <w:bCs/>
          <w:sz w:val="22"/>
          <w:szCs w:val="22"/>
          <w:lang w:val="sr-Latn-RS"/>
        </w:rPr>
        <w:t>ljekovima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i druge vrste interakcija</w:t>
      </w:r>
    </w:p>
    <w:p w14:paraId="56FB316B" w14:textId="77777777" w:rsidR="00BA1CD5" w:rsidRPr="006565C6" w:rsidRDefault="00BA1CD5" w:rsidP="00D37E9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E65795B" w14:textId="30AAE443" w:rsidR="004313F5" w:rsidRPr="006565C6" w:rsidRDefault="004313F5" w:rsidP="00D37E99">
      <w:pPr>
        <w:spacing w:line="274" w:lineRule="exact"/>
        <w:jc w:val="both"/>
        <w:rPr>
          <w:i/>
          <w:sz w:val="22"/>
          <w:szCs w:val="22"/>
          <w:lang w:val="sr-Latn-RS"/>
        </w:rPr>
      </w:pPr>
      <w:proofErr w:type="spellStart"/>
      <w:r w:rsidRPr="006565C6">
        <w:rPr>
          <w:i/>
          <w:sz w:val="22"/>
          <w:szCs w:val="22"/>
          <w:lang w:val="sr-Latn-RS"/>
        </w:rPr>
        <w:t>L</w:t>
      </w:r>
      <w:r w:rsidR="00961B55" w:rsidRPr="006565C6">
        <w:rPr>
          <w:i/>
          <w:sz w:val="22"/>
          <w:szCs w:val="22"/>
          <w:lang w:val="sr-Latn-RS"/>
        </w:rPr>
        <w:t>j</w:t>
      </w:r>
      <w:r w:rsidRPr="006565C6">
        <w:rPr>
          <w:i/>
          <w:sz w:val="22"/>
          <w:szCs w:val="22"/>
          <w:lang w:val="sr-Latn-RS"/>
        </w:rPr>
        <w:t>ekovi</w:t>
      </w:r>
      <w:proofErr w:type="spellEnd"/>
      <w:r w:rsidRPr="006565C6">
        <w:rPr>
          <w:i/>
          <w:sz w:val="22"/>
          <w:szCs w:val="22"/>
          <w:lang w:val="sr-Latn-RS"/>
        </w:rPr>
        <w:t xml:space="preserve"> sa centralnim </w:t>
      </w:r>
      <w:proofErr w:type="spellStart"/>
      <w:r w:rsidRPr="006565C6">
        <w:rPr>
          <w:i/>
          <w:sz w:val="22"/>
          <w:szCs w:val="22"/>
          <w:lang w:val="sr-Latn-RS"/>
        </w:rPr>
        <w:t>d</w:t>
      </w:r>
      <w:r w:rsidR="00961B55" w:rsidRPr="006565C6">
        <w:rPr>
          <w:i/>
          <w:sz w:val="22"/>
          <w:szCs w:val="22"/>
          <w:lang w:val="sr-Latn-RS"/>
        </w:rPr>
        <w:t>j</w:t>
      </w:r>
      <w:r w:rsidRPr="006565C6">
        <w:rPr>
          <w:i/>
          <w:sz w:val="22"/>
          <w:szCs w:val="22"/>
          <w:lang w:val="sr-Latn-RS"/>
        </w:rPr>
        <w:t>elovanjem</w:t>
      </w:r>
      <w:proofErr w:type="spellEnd"/>
      <w:r w:rsidRPr="006565C6">
        <w:rPr>
          <w:i/>
          <w:sz w:val="22"/>
          <w:szCs w:val="22"/>
          <w:lang w:val="sr-Latn-RS"/>
        </w:rPr>
        <w:t>/</w:t>
      </w:r>
      <w:proofErr w:type="spellStart"/>
      <w:r w:rsidRPr="006565C6">
        <w:rPr>
          <w:i/>
          <w:sz w:val="22"/>
          <w:szCs w:val="22"/>
          <w:lang w:val="sr-Latn-RS"/>
        </w:rPr>
        <w:t>depresori</w:t>
      </w:r>
      <w:proofErr w:type="spellEnd"/>
      <w:r w:rsidRPr="006565C6">
        <w:rPr>
          <w:i/>
          <w:sz w:val="22"/>
          <w:szCs w:val="22"/>
          <w:lang w:val="sr-Latn-RS"/>
        </w:rPr>
        <w:t xml:space="preserve"> centralnog nervnog </w:t>
      </w:r>
      <w:proofErr w:type="spellStart"/>
      <w:r w:rsidRPr="006565C6">
        <w:rPr>
          <w:i/>
          <w:sz w:val="22"/>
          <w:szCs w:val="22"/>
          <w:lang w:val="sr-Latn-RS"/>
        </w:rPr>
        <w:t>sisitema</w:t>
      </w:r>
      <w:proofErr w:type="spellEnd"/>
      <w:r w:rsidRPr="006565C6">
        <w:rPr>
          <w:i/>
          <w:sz w:val="22"/>
          <w:szCs w:val="22"/>
          <w:lang w:val="sr-Latn-RS"/>
        </w:rPr>
        <w:t xml:space="preserve"> (</w:t>
      </w:r>
      <w:proofErr w:type="spellStart"/>
      <w:r w:rsidRPr="006565C6">
        <w:rPr>
          <w:i/>
          <w:sz w:val="22"/>
          <w:szCs w:val="22"/>
          <w:lang w:val="sr-Latn-RS"/>
        </w:rPr>
        <w:t>CNS</w:t>
      </w:r>
      <w:proofErr w:type="spellEnd"/>
      <w:r w:rsidRPr="006565C6">
        <w:rPr>
          <w:i/>
          <w:sz w:val="22"/>
          <w:szCs w:val="22"/>
          <w:lang w:val="sr-Latn-RS"/>
        </w:rPr>
        <w:t xml:space="preserve">), uključujući alkohol </w:t>
      </w:r>
      <w:r w:rsidR="00961B55" w:rsidRPr="006565C6">
        <w:rPr>
          <w:i/>
          <w:sz w:val="22"/>
          <w:szCs w:val="22"/>
          <w:lang w:val="sr-Latn-RS"/>
        </w:rPr>
        <w:t>i</w:t>
      </w:r>
      <w:r w:rsidRPr="006565C6">
        <w:rPr>
          <w:i/>
          <w:sz w:val="22"/>
          <w:szCs w:val="22"/>
          <w:lang w:val="sr-Latn-RS"/>
        </w:rPr>
        <w:t xml:space="preserve"> narkotike sa </w:t>
      </w:r>
      <w:proofErr w:type="spellStart"/>
      <w:r w:rsidRPr="006565C6">
        <w:rPr>
          <w:i/>
          <w:sz w:val="22"/>
          <w:szCs w:val="22"/>
          <w:lang w:val="sr-Latn-RS"/>
        </w:rPr>
        <w:t>depresornim</w:t>
      </w:r>
      <w:proofErr w:type="spellEnd"/>
      <w:r w:rsidRPr="006565C6">
        <w:rPr>
          <w:i/>
          <w:sz w:val="22"/>
          <w:szCs w:val="22"/>
          <w:lang w:val="sr-Latn-RS"/>
        </w:rPr>
        <w:t xml:space="preserve"> efektom na </w:t>
      </w:r>
      <w:proofErr w:type="spellStart"/>
      <w:r w:rsidRPr="006565C6">
        <w:rPr>
          <w:i/>
          <w:sz w:val="22"/>
          <w:szCs w:val="22"/>
          <w:lang w:val="sr-Latn-RS"/>
        </w:rPr>
        <w:t>CNS</w:t>
      </w:r>
      <w:proofErr w:type="spellEnd"/>
    </w:p>
    <w:p w14:paraId="53BC074D" w14:textId="2D032143" w:rsidR="00BA1CD5" w:rsidRPr="006565C6" w:rsidRDefault="00BA1CD5" w:rsidP="00D37E99">
      <w:pPr>
        <w:spacing w:line="259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Istovremena </w:t>
      </w:r>
      <w:proofErr w:type="spellStart"/>
      <w:r w:rsidRPr="006565C6">
        <w:rPr>
          <w:sz w:val="22"/>
          <w:szCs w:val="22"/>
          <w:lang w:val="sr-Latn-RS"/>
        </w:rPr>
        <w:t>primjena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sa sedativnim </w:t>
      </w:r>
      <w:proofErr w:type="spellStart"/>
      <w:r w:rsidR="00CE546B" w:rsidRPr="006565C6">
        <w:rPr>
          <w:sz w:val="22"/>
          <w:szCs w:val="22"/>
          <w:lang w:val="sr-Latn-RS"/>
        </w:rPr>
        <w:t>ljekovima</w:t>
      </w:r>
      <w:proofErr w:type="spellEnd"/>
      <w:r w:rsidRPr="006565C6">
        <w:rPr>
          <w:sz w:val="22"/>
          <w:szCs w:val="22"/>
          <w:lang w:val="sr-Latn-RS"/>
        </w:rPr>
        <w:t xml:space="preserve"> kao što su </w:t>
      </w:r>
      <w:proofErr w:type="spellStart"/>
      <w:r w:rsidRPr="006565C6">
        <w:rPr>
          <w:sz w:val="22"/>
          <w:szCs w:val="22"/>
          <w:lang w:val="sr-Latn-RS"/>
        </w:rPr>
        <w:t>benzodiazepini</w:t>
      </w:r>
      <w:proofErr w:type="spellEnd"/>
      <w:r w:rsidRPr="006565C6">
        <w:rPr>
          <w:sz w:val="22"/>
          <w:szCs w:val="22"/>
          <w:lang w:val="sr-Latn-RS"/>
        </w:rPr>
        <w:t xml:space="preserve"> ili drugi respiratorni ili </w:t>
      </w:r>
      <w:proofErr w:type="spellStart"/>
      <w:r w:rsidRPr="006565C6">
        <w:rPr>
          <w:sz w:val="22"/>
          <w:szCs w:val="22"/>
          <w:lang w:val="sr-Latn-RS"/>
        </w:rPr>
        <w:t>CNS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depresori</w:t>
      </w:r>
      <w:proofErr w:type="spellEnd"/>
      <w:r w:rsidRPr="006565C6">
        <w:rPr>
          <w:sz w:val="22"/>
          <w:szCs w:val="22"/>
          <w:lang w:val="sr-Latn-RS"/>
        </w:rPr>
        <w:t xml:space="preserve"> (drugi </w:t>
      </w:r>
      <w:proofErr w:type="spellStart"/>
      <w:r w:rsidRPr="006565C6">
        <w:rPr>
          <w:sz w:val="22"/>
          <w:szCs w:val="22"/>
          <w:lang w:val="sr-Latn-RS"/>
        </w:rPr>
        <w:t>opioidi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antitusici</w:t>
      </w:r>
      <w:proofErr w:type="spellEnd"/>
      <w:r w:rsidRPr="006565C6">
        <w:rPr>
          <w:sz w:val="22"/>
          <w:szCs w:val="22"/>
          <w:lang w:val="sr-Latn-RS"/>
        </w:rPr>
        <w:t xml:space="preserve"> ili </w:t>
      </w:r>
      <w:proofErr w:type="spellStart"/>
      <w:r w:rsidRPr="006565C6">
        <w:rPr>
          <w:sz w:val="22"/>
          <w:szCs w:val="22"/>
          <w:lang w:val="sr-Latn-RS"/>
        </w:rPr>
        <w:t>supstitucione</w:t>
      </w:r>
      <w:proofErr w:type="spellEnd"/>
      <w:r w:rsidRPr="006565C6">
        <w:rPr>
          <w:sz w:val="22"/>
          <w:szCs w:val="22"/>
          <w:lang w:val="sr-Latn-RS"/>
        </w:rPr>
        <w:t xml:space="preserve"> terapije, barbiturati, </w:t>
      </w:r>
      <w:proofErr w:type="spellStart"/>
      <w:r w:rsidRPr="006565C6">
        <w:rPr>
          <w:sz w:val="22"/>
          <w:szCs w:val="22"/>
          <w:lang w:val="sr-Latn-RS"/>
        </w:rPr>
        <w:t>antipsihotici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H1</w:t>
      </w:r>
      <w:proofErr w:type="spellEnd"/>
      <w:r w:rsidRPr="006565C6">
        <w:rPr>
          <w:sz w:val="22"/>
          <w:szCs w:val="22"/>
          <w:lang w:val="sr-Latn-RS"/>
        </w:rPr>
        <w:t xml:space="preserve">-antihistaminici, alkohol) povećava rizik od </w:t>
      </w:r>
      <w:proofErr w:type="spellStart"/>
      <w:r w:rsidRPr="006565C6">
        <w:rPr>
          <w:sz w:val="22"/>
          <w:szCs w:val="22"/>
          <w:lang w:val="sr-Latn-RS"/>
        </w:rPr>
        <w:t>sedacije</w:t>
      </w:r>
      <w:proofErr w:type="spellEnd"/>
      <w:r w:rsidRPr="006565C6">
        <w:rPr>
          <w:sz w:val="22"/>
          <w:szCs w:val="22"/>
          <w:lang w:val="sr-Latn-RS"/>
        </w:rPr>
        <w:t xml:space="preserve">, respiratorne depresije, kome i smrti, zbog aditivnog </w:t>
      </w:r>
      <w:proofErr w:type="spellStart"/>
      <w:r w:rsidRPr="006565C6">
        <w:rPr>
          <w:sz w:val="22"/>
          <w:szCs w:val="22"/>
          <w:lang w:val="sr-Latn-RS"/>
        </w:rPr>
        <w:t>depresornog</w:t>
      </w:r>
      <w:proofErr w:type="spellEnd"/>
      <w:r w:rsidRPr="006565C6">
        <w:rPr>
          <w:sz w:val="22"/>
          <w:szCs w:val="22"/>
          <w:lang w:val="sr-Latn-RS"/>
        </w:rPr>
        <w:t xml:space="preserve"> efekta na </w:t>
      </w:r>
      <w:proofErr w:type="spellStart"/>
      <w:r w:rsidRPr="006565C6">
        <w:rPr>
          <w:sz w:val="22"/>
          <w:szCs w:val="22"/>
          <w:lang w:val="sr-Latn-RS"/>
        </w:rPr>
        <w:t>CNS</w:t>
      </w:r>
      <w:proofErr w:type="spellEnd"/>
      <w:r w:rsidRPr="006565C6">
        <w:rPr>
          <w:sz w:val="22"/>
          <w:szCs w:val="22"/>
          <w:lang w:val="sr-Latn-RS"/>
        </w:rPr>
        <w:t xml:space="preserve">. Iz tog razloga, kada se razmatra kombinovana terapija </w:t>
      </w:r>
      <w:proofErr w:type="spellStart"/>
      <w:r w:rsidRPr="006565C6">
        <w:rPr>
          <w:sz w:val="22"/>
          <w:szCs w:val="22"/>
          <w:lang w:val="sr-Latn-RS"/>
        </w:rPr>
        <w:t>lijekom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ljekovima</w:t>
      </w:r>
      <w:proofErr w:type="spellEnd"/>
      <w:r w:rsidRPr="006565C6">
        <w:rPr>
          <w:sz w:val="22"/>
          <w:szCs w:val="22"/>
          <w:lang w:val="sr-Latn-RS"/>
        </w:rPr>
        <w:t xml:space="preserve"> koji imaju </w:t>
      </w:r>
      <w:proofErr w:type="spellStart"/>
      <w:r w:rsidRPr="006565C6">
        <w:rPr>
          <w:sz w:val="22"/>
          <w:szCs w:val="22"/>
          <w:lang w:val="sr-Latn-RS"/>
        </w:rPr>
        <w:t>depresorno</w:t>
      </w:r>
      <w:proofErr w:type="spellEnd"/>
      <w:r w:rsidRPr="006565C6">
        <w:rPr>
          <w:sz w:val="22"/>
          <w:szCs w:val="22"/>
          <w:lang w:val="sr-Latn-RS"/>
        </w:rPr>
        <w:t xml:space="preserve"> dejstvo na respiratorni sistem ili </w:t>
      </w:r>
      <w:proofErr w:type="spellStart"/>
      <w:r w:rsidRPr="006565C6">
        <w:rPr>
          <w:sz w:val="22"/>
          <w:szCs w:val="22"/>
          <w:lang w:val="sr-Latn-RS"/>
        </w:rPr>
        <w:t>CNS</w:t>
      </w:r>
      <w:proofErr w:type="spellEnd"/>
      <w:r w:rsidRPr="006565C6">
        <w:rPr>
          <w:sz w:val="22"/>
          <w:szCs w:val="22"/>
          <w:lang w:val="sr-Latn-RS"/>
        </w:rPr>
        <w:t xml:space="preserve">, treba uzeti u obzir smanjenje doze jednog ili oba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, a trajanje </w:t>
      </w:r>
      <w:proofErr w:type="spellStart"/>
      <w:r w:rsidRPr="006565C6">
        <w:rPr>
          <w:sz w:val="22"/>
          <w:szCs w:val="22"/>
          <w:lang w:val="sr-Latn-RS"/>
        </w:rPr>
        <w:t>konkomitantne</w:t>
      </w:r>
      <w:proofErr w:type="spellEnd"/>
      <w:r w:rsidRPr="006565C6">
        <w:rPr>
          <w:sz w:val="22"/>
          <w:szCs w:val="22"/>
          <w:lang w:val="sr-Latn-RS"/>
        </w:rPr>
        <w:t xml:space="preserve"> terapije treba da bude ograničeno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4.4).</w:t>
      </w:r>
    </w:p>
    <w:p w14:paraId="190D6739" w14:textId="2F5FA982" w:rsidR="00103480" w:rsidRPr="006565C6" w:rsidRDefault="00103480" w:rsidP="00D37E99">
      <w:pPr>
        <w:spacing w:line="259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Istovremena </w:t>
      </w:r>
      <w:proofErr w:type="spellStart"/>
      <w:r w:rsidRPr="006565C6">
        <w:rPr>
          <w:sz w:val="22"/>
          <w:szCs w:val="22"/>
          <w:lang w:val="sr-Latn-RS"/>
        </w:rPr>
        <w:t>prim</w:t>
      </w:r>
      <w:r w:rsidR="00F80119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F80119" w:rsidRPr="006565C6">
        <w:rPr>
          <w:sz w:val="22"/>
          <w:szCs w:val="22"/>
          <w:lang w:val="sr-Latn-RS"/>
        </w:rPr>
        <w:t xml:space="preserve">i </w:t>
      </w:r>
      <w:proofErr w:type="spellStart"/>
      <w:r w:rsidRPr="006565C6">
        <w:rPr>
          <w:sz w:val="22"/>
          <w:szCs w:val="22"/>
          <w:lang w:val="sr-Latn-RS"/>
        </w:rPr>
        <w:t>gabapentinoida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gabapentina</w:t>
      </w:r>
      <w:proofErr w:type="spellEnd"/>
      <w:r w:rsidRPr="006565C6">
        <w:rPr>
          <w:sz w:val="22"/>
          <w:szCs w:val="22"/>
          <w:lang w:val="sr-Latn-RS"/>
        </w:rPr>
        <w:t xml:space="preserve"> ili </w:t>
      </w:r>
      <w:proofErr w:type="spellStart"/>
      <w:r w:rsidRPr="006565C6">
        <w:rPr>
          <w:sz w:val="22"/>
          <w:szCs w:val="22"/>
          <w:lang w:val="sr-Latn-RS"/>
        </w:rPr>
        <w:t>pregabalina</w:t>
      </w:r>
      <w:proofErr w:type="spellEnd"/>
      <w:r w:rsidRPr="006565C6">
        <w:rPr>
          <w:sz w:val="22"/>
          <w:szCs w:val="22"/>
          <w:lang w:val="sr-Latn-RS"/>
        </w:rPr>
        <w:t xml:space="preserve">) povećava rizik od </w:t>
      </w:r>
      <w:proofErr w:type="spellStart"/>
      <w:r w:rsidRPr="006565C6">
        <w:rPr>
          <w:sz w:val="22"/>
          <w:szCs w:val="22"/>
          <w:lang w:val="sr-Latn-RS"/>
        </w:rPr>
        <w:t>predoziranja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opioidima</w:t>
      </w:r>
      <w:proofErr w:type="spellEnd"/>
      <w:r w:rsidRPr="006565C6">
        <w:rPr>
          <w:sz w:val="22"/>
          <w:szCs w:val="22"/>
          <w:lang w:val="sr-Latn-RS"/>
        </w:rPr>
        <w:t xml:space="preserve">, respiratorne depresije </w:t>
      </w:r>
      <w:r w:rsidR="00021F43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 xml:space="preserve"> smrti</w:t>
      </w:r>
    </w:p>
    <w:p w14:paraId="6F70E631" w14:textId="77777777" w:rsidR="00BA1CD5" w:rsidRPr="006565C6" w:rsidRDefault="00BA1CD5" w:rsidP="00D37E99">
      <w:pPr>
        <w:spacing w:line="183" w:lineRule="exact"/>
        <w:jc w:val="both"/>
        <w:rPr>
          <w:sz w:val="22"/>
          <w:szCs w:val="22"/>
          <w:lang w:val="sr-Latn-RS"/>
        </w:rPr>
      </w:pPr>
    </w:p>
    <w:p w14:paraId="593BE21B" w14:textId="77777777" w:rsidR="00BA1CD5" w:rsidRPr="006565C6" w:rsidRDefault="00BA1CD5" w:rsidP="00D37E99">
      <w:pPr>
        <w:spacing w:line="0" w:lineRule="atLeas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i/>
          <w:sz w:val="22"/>
          <w:szCs w:val="22"/>
          <w:lang w:val="sr-Latn-RS"/>
        </w:rPr>
        <w:t>Mješoviti</w:t>
      </w:r>
      <w:proofErr w:type="spellEnd"/>
      <w:r w:rsidRPr="006565C6">
        <w:rPr>
          <w:i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sz w:val="22"/>
          <w:szCs w:val="22"/>
          <w:lang w:val="sr-Latn-RS"/>
        </w:rPr>
        <w:t>opioidni</w:t>
      </w:r>
      <w:proofErr w:type="spellEnd"/>
      <w:r w:rsidRPr="006565C6">
        <w:rPr>
          <w:i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sz w:val="22"/>
          <w:szCs w:val="22"/>
          <w:lang w:val="sr-Latn-RS"/>
        </w:rPr>
        <w:t>agonisti</w:t>
      </w:r>
      <w:proofErr w:type="spellEnd"/>
      <w:r w:rsidRPr="006565C6">
        <w:rPr>
          <w:i/>
          <w:sz w:val="22"/>
          <w:szCs w:val="22"/>
          <w:lang w:val="sr-Latn-RS"/>
        </w:rPr>
        <w:t>/antagonisti</w:t>
      </w:r>
    </w:p>
    <w:p w14:paraId="695E0CD5" w14:textId="2DFF11A4" w:rsidR="00BA1CD5" w:rsidRPr="006565C6" w:rsidRDefault="00BA1CD5" w:rsidP="00D37E99">
      <w:pPr>
        <w:spacing w:line="26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Potreban je oprez kada se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uzima sa </w:t>
      </w:r>
      <w:proofErr w:type="spellStart"/>
      <w:r w:rsidRPr="006565C6">
        <w:rPr>
          <w:sz w:val="22"/>
          <w:szCs w:val="22"/>
          <w:lang w:val="sr-Latn-RS"/>
        </w:rPr>
        <w:t>mješovitim</w:t>
      </w:r>
      <w:proofErr w:type="spellEnd"/>
      <w:r w:rsidRPr="006565C6">
        <w:rPr>
          <w:sz w:val="22"/>
          <w:szCs w:val="22"/>
          <w:lang w:val="sr-Latn-RS"/>
        </w:rPr>
        <w:t xml:space="preserve">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agonistima</w:t>
      </w:r>
      <w:proofErr w:type="spellEnd"/>
      <w:r w:rsidRPr="006565C6">
        <w:rPr>
          <w:sz w:val="22"/>
          <w:szCs w:val="22"/>
          <w:lang w:val="sr-Latn-RS"/>
        </w:rPr>
        <w:t xml:space="preserve">/antagonistima (kao što su </w:t>
      </w:r>
      <w:proofErr w:type="spellStart"/>
      <w:r w:rsidRPr="006565C6">
        <w:rPr>
          <w:sz w:val="22"/>
          <w:szCs w:val="22"/>
          <w:lang w:val="sr-Latn-RS"/>
        </w:rPr>
        <w:t>pentazocin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nalbufin</w:t>
      </w:r>
      <w:proofErr w:type="spellEnd"/>
      <w:r w:rsidRPr="006565C6">
        <w:rPr>
          <w:sz w:val="22"/>
          <w:szCs w:val="22"/>
          <w:lang w:val="sr-Latn-RS"/>
        </w:rPr>
        <w:t>) ili parcijalnim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agonistima</w:t>
      </w:r>
      <w:proofErr w:type="spellEnd"/>
      <w:r w:rsidRPr="006565C6">
        <w:rPr>
          <w:sz w:val="22"/>
          <w:szCs w:val="22"/>
          <w:lang w:val="sr-Latn-RS"/>
        </w:rPr>
        <w:t xml:space="preserve">, kao što je </w:t>
      </w:r>
      <w:proofErr w:type="spellStart"/>
      <w:r w:rsidRPr="006565C6">
        <w:rPr>
          <w:sz w:val="22"/>
          <w:szCs w:val="22"/>
          <w:lang w:val="sr-Latn-RS"/>
        </w:rPr>
        <w:t>buprenorfin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r w:rsidR="00021F43" w:rsidRPr="006565C6">
        <w:rPr>
          <w:sz w:val="22"/>
          <w:szCs w:val="22"/>
          <w:lang w:val="sr-Latn-RS"/>
        </w:rPr>
        <w:t xml:space="preserve">pogledati </w:t>
      </w:r>
      <w:r w:rsidRPr="006565C6">
        <w:rPr>
          <w:sz w:val="22"/>
          <w:szCs w:val="22"/>
          <w:lang w:val="sr-Latn-RS"/>
        </w:rPr>
        <w:t xml:space="preserve">takođe </w:t>
      </w:r>
      <w:proofErr w:type="spellStart"/>
      <w:r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4.4).</w:t>
      </w:r>
    </w:p>
    <w:p w14:paraId="581F3E37" w14:textId="77777777" w:rsidR="00BA1CD5" w:rsidRPr="006565C6" w:rsidRDefault="00BA1CD5" w:rsidP="00D37E99">
      <w:pPr>
        <w:spacing w:line="263" w:lineRule="auto"/>
        <w:jc w:val="both"/>
        <w:rPr>
          <w:sz w:val="22"/>
          <w:szCs w:val="22"/>
          <w:lang w:val="sr-Latn-RS"/>
        </w:rPr>
      </w:pPr>
    </w:p>
    <w:p w14:paraId="41A2A0F7" w14:textId="28628B15" w:rsidR="00BA1CD5" w:rsidRPr="006565C6" w:rsidRDefault="00BA1CD5" w:rsidP="00D37E99">
      <w:pPr>
        <w:spacing w:line="263" w:lineRule="auto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SR</w:t>
      </w:r>
      <w:proofErr w:type="spellEnd"/>
      <w:r w:rsidRPr="006565C6">
        <w:rPr>
          <w:sz w:val="22"/>
          <w:szCs w:val="22"/>
          <w:lang w:val="sr-Latn-RS"/>
        </w:rPr>
        <w:t xml:space="preserve"> može uzrokovati konvulzije i povećati potencijal selektivnih </w:t>
      </w:r>
      <w:proofErr w:type="spellStart"/>
      <w:r w:rsidRPr="006565C6">
        <w:rPr>
          <w:sz w:val="22"/>
          <w:szCs w:val="22"/>
          <w:lang w:val="sr-Latn-RS"/>
        </w:rPr>
        <w:t>inhibitora</w:t>
      </w:r>
      <w:proofErr w:type="spellEnd"/>
      <w:r w:rsidRPr="006565C6">
        <w:rPr>
          <w:sz w:val="22"/>
          <w:szCs w:val="22"/>
          <w:lang w:val="sr-Latn-RS"/>
        </w:rPr>
        <w:t xml:space="preserve"> ponovnog preuzimanja </w:t>
      </w:r>
      <w:proofErr w:type="spellStart"/>
      <w:r w:rsidRPr="006565C6">
        <w:rPr>
          <w:sz w:val="22"/>
          <w:szCs w:val="22"/>
          <w:lang w:val="sr-Latn-RS"/>
        </w:rPr>
        <w:t>serotonina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SSRI</w:t>
      </w:r>
      <w:proofErr w:type="spellEnd"/>
      <w:r w:rsidRPr="006565C6">
        <w:rPr>
          <w:sz w:val="22"/>
          <w:szCs w:val="22"/>
          <w:lang w:val="sr-Latn-RS"/>
        </w:rPr>
        <w:t xml:space="preserve">), </w:t>
      </w:r>
      <w:proofErr w:type="spellStart"/>
      <w:r w:rsidRPr="006565C6">
        <w:rPr>
          <w:sz w:val="22"/>
          <w:szCs w:val="22"/>
          <w:lang w:val="sr-Latn-RS"/>
        </w:rPr>
        <w:t>inhibitora</w:t>
      </w:r>
      <w:proofErr w:type="spellEnd"/>
      <w:r w:rsidRPr="006565C6">
        <w:rPr>
          <w:sz w:val="22"/>
          <w:szCs w:val="22"/>
          <w:lang w:val="sr-Latn-RS"/>
        </w:rPr>
        <w:t xml:space="preserve"> ponovnog preuzimanja </w:t>
      </w:r>
      <w:proofErr w:type="spellStart"/>
      <w:r w:rsidRPr="006565C6">
        <w:rPr>
          <w:sz w:val="22"/>
          <w:szCs w:val="22"/>
          <w:lang w:val="sr-Latn-RS"/>
        </w:rPr>
        <w:t>serotonina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noradrenalina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SNRI</w:t>
      </w:r>
      <w:proofErr w:type="spellEnd"/>
      <w:r w:rsidRPr="006565C6">
        <w:rPr>
          <w:sz w:val="22"/>
          <w:szCs w:val="22"/>
          <w:lang w:val="sr-Latn-RS"/>
        </w:rPr>
        <w:t xml:space="preserve">), </w:t>
      </w:r>
      <w:proofErr w:type="spellStart"/>
      <w:r w:rsidRPr="006565C6">
        <w:rPr>
          <w:sz w:val="22"/>
          <w:szCs w:val="22"/>
          <w:lang w:val="sr-Latn-RS"/>
        </w:rPr>
        <w:t>tricikličnih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antidepresiva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antipsihotika</w:t>
      </w:r>
      <w:proofErr w:type="spellEnd"/>
      <w:r w:rsidRPr="006565C6">
        <w:rPr>
          <w:sz w:val="22"/>
          <w:szCs w:val="22"/>
          <w:lang w:val="sr-Latn-RS"/>
        </w:rPr>
        <w:t xml:space="preserve"> i drugih </w:t>
      </w:r>
      <w:proofErr w:type="spellStart"/>
      <w:r w:rsidR="00021F43" w:rsidRPr="006565C6">
        <w:rPr>
          <w:sz w:val="22"/>
          <w:szCs w:val="22"/>
          <w:lang w:val="sr-Latn-RS"/>
        </w:rPr>
        <w:t>ljekova</w:t>
      </w:r>
      <w:proofErr w:type="spellEnd"/>
      <w:r w:rsidRPr="006565C6">
        <w:rPr>
          <w:sz w:val="22"/>
          <w:szCs w:val="22"/>
          <w:lang w:val="sr-Latn-RS"/>
        </w:rPr>
        <w:t xml:space="preserve"> koji smanjuju prag nadražaja za pojavu konvulzija.</w:t>
      </w:r>
    </w:p>
    <w:p w14:paraId="17060D88" w14:textId="77777777" w:rsidR="00BA1CD5" w:rsidRPr="006565C6" w:rsidRDefault="00BA1CD5" w:rsidP="00D37E99">
      <w:pPr>
        <w:spacing w:line="181" w:lineRule="exact"/>
        <w:jc w:val="both"/>
        <w:rPr>
          <w:sz w:val="22"/>
          <w:szCs w:val="22"/>
          <w:lang w:val="sr-Latn-RS"/>
        </w:rPr>
      </w:pPr>
    </w:p>
    <w:p w14:paraId="5E41E02A" w14:textId="19FB0255" w:rsidR="00BA1CD5" w:rsidRPr="006565C6" w:rsidRDefault="00BA1CD5" w:rsidP="00D37E99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Prijavljeni su slučajevi pojave </w:t>
      </w:r>
      <w:proofErr w:type="spellStart"/>
      <w:r w:rsidRPr="006565C6">
        <w:rPr>
          <w:sz w:val="22"/>
          <w:szCs w:val="22"/>
          <w:lang w:val="sr-Latn-RS"/>
        </w:rPr>
        <w:t>serotoninskog</w:t>
      </w:r>
      <w:proofErr w:type="spellEnd"/>
      <w:r w:rsidRPr="006565C6">
        <w:rPr>
          <w:sz w:val="22"/>
          <w:szCs w:val="22"/>
          <w:lang w:val="sr-Latn-RS"/>
        </w:rPr>
        <w:t xml:space="preserve"> sindroma, koji je vremenski bio povezan sa upotrebom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u kombinaciji sa </w:t>
      </w:r>
      <w:proofErr w:type="spellStart"/>
      <w:r w:rsidRPr="006565C6">
        <w:rPr>
          <w:sz w:val="22"/>
          <w:szCs w:val="22"/>
          <w:lang w:val="sr-Latn-RS"/>
        </w:rPr>
        <w:t>serotoninergičkim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="00CE546B" w:rsidRPr="006565C6">
        <w:rPr>
          <w:sz w:val="22"/>
          <w:szCs w:val="22"/>
          <w:lang w:val="sr-Latn-RS"/>
        </w:rPr>
        <w:t>ljekovima</w:t>
      </w:r>
      <w:proofErr w:type="spellEnd"/>
      <w:r w:rsidRPr="006565C6">
        <w:rPr>
          <w:sz w:val="22"/>
          <w:szCs w:val="22"/>
          <w:lang w:val="sr-Latn-RS"/>
        </w:rPr>
        <w:t xml:space="preserve">, kao što su selektivni </w:t>
      </w:r>
      <w:proofErr w:type="spellStart"/>
      <w:r w:rsidRPr="006565C6">
        <w:rPr>
          <w:sz w:val="22"/>
          <w:szCs w:val="22"/>
          <w:lang w:val="sr-Latn-RS"/>
        </w:rPr>
        <w:t>inhibitori</w:t>
      </w:r>
      <w:proofErr w:type="spellEnd"/>
      <w:r w:rsidRPr="006565C6">
        <w:rPr>
          <w:sz w:val="22"/>
          <w:szCs w:val="22"/>
          <w:lang w:val="sr-Latn-RS"/>
        </w:rPr>
        <w:t xml:space="preserve"> ponovnog preuzimanja </w:t>
      </w:r>
      <w:proofErr w:type="spellStart"/>
      <w:r w:rsidRPr="006565C6">
        <w:rPr>
          <w:sz w:val="22"/>
          <w:szCs w:val="22"/>
          <w:lang w:val="sr-Latn-RS"/>
        </w:rPr>
        <w:t>serotonina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SSRI</w:t>
      </w:r>
      <w:proofErr w:type="spellEnd"/>
      <w:r w:rsidRPr="006565C6">
        <w:rPr>
          <w:sz w:val="22"/>
          <w:szCs w:val="22"/>
          <w:lang w:val="sr-Latn-RS"/>
        </w:rPr>
        <w:t xml:space="preserve">), </w:t>
      </w:r>
      <w:proofErr w:type="spellStart"/>
      <w:r w:rsidRPr="006565C6">
        <w:rPr>
          <w:sz w:val="22"/>
          <w:szCs w:val="22"/>
          <w:lang w:val="sr-Latn-RS"/>
        </w:rPr>
        <w:t>inhibitori</w:t>
      </w:r>
      <w:proofErr w:type="spellEnd"/>
      <w:r w:rsidRPr="006565C6">
        <w:rPr>
          <w:sz w:val="22"/>
          <w:szCs w:val="22"/>
          <w:lang w:val="sr-Latn-RS"/>
        </w:rPr>
        <w:t xml:space="preserve"> ponovnog preuzimanja </w:t>
      </w:r>
      <w:proofErr w:type="spellStart"/>
      <w:r w:rsidRPr="006565C6">
        <w:rPr>
          <w:sz w:val="22"/>
          <w:szCs w:val="22"/>
          <w:lang w:val="sr-Latn-RS"/>
        </w:rPr>
        <w:t>serotonina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noradrenalina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SNRI</w:t>
      </w:r>
      <w:proofErr w:type="spellEnd"/>
      <w:r w:rsidRPr="006565C6">
        <w:rPr>
          <w:sz w:val="22"/>
          <w:szCs w:val="22"/>
          <w:lang w:val="sr-Latn-RS"/>
        </w:rPr>
        <w:t xml:space="preserve">) i </w:t>
      </w:r>
      <w:proofErr w:type="spellStart"/>
      <w:r w:rsidRPr="006565C6">
        <w:rPr>
          <w:sz w:val="22"/>
          <w:szCs w:val="22"/>
          <w:lang w:val="sr-Latn-RS"/>
        </w:rPr>
        <w:t>tricikličnih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antidepresiva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  <w:proofErr w:type="spellStart"/>
      <w:r w:rsidRPr="006565C6">
        <w:rPr>
          <w:sz w:val="22"/>
          <w:szCs w:val="22"/>
          <w:lang w:val="sr-Latn-RS"/>
        </w:rPr>
        <w:t>Serotoninski</w:t>
      </w:r>
      <w:proofErr w:type="spellEnd"/>
      <w:r w:rsidRPr="006565C6">
        <w:rPr>
          <w:sz w:val="22"/>
          <w:szCs w:val="22"/>
          <w:lang w:val="sr-Latn-RS"/>
        </w:rPr>
        <w:t xml:space="preserve"> sindrom je </w:t>
      </w:r>
      <w:proofErr w:type="spellStart"/>
      <w:r w:rsidRPr="006565C6">
        <w:rPr>
          <w:sz w:val="22"/>
          <w:szCs w:val="22"/>
          <w:lang w:val="sr-Latn-RS"/>
        </w:rPr>
        <w:t>vjerovatan</w:t>
      </w:r>
      <w:proofErr w:type="spellEnd"/>
      <w:r w:rsidRPr="006565C6">
        <w:rPr>
          <w:sz w:val="22"/>
          <w:szCs w:val="22"/>
          <w:lang w:val="sr-Latn-RS"/>
        </w:rPr>
        <w:t>, kada se javi nešto od navedenog:</w:t>
      </w:r>
    </w:p>
    <w:p w14:paraId="20418938" w14:textId="77777777" w:rsidR="00BA1CD5" w:rsidRPr="006565C6" w:rsidRDefault="00BA1CD5" w:rsidP="00992F33">
      <w:pPr>
        <w:numPr>
          <w:ilvl w:val="0"/>
          <w:numId w:val="13"/>
        </w:num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Spontani </w:t>
      </w:r>
      <w:proofErr w:type="spellStart"/>
      <w:r w:rsidRPr="006565C6">
        <w:rPr>
          <w:sz w:val="22"/>
          <w:szCs w:val="22"/>
          <w:lang w:val="sr-Latn-RS"/>
        </w:rPr>
        <w:t>klonus</w:t>
      </w:r>
      <w:proofErr w:type="spellEnd"/>
    </w:p>
    <w:p w14:paraId="0D39FAA5" w14:textId="77777777" w:rsidR="00BA1CD5" w:rsidRPr="006565C6" w:rsidRDefault="00BA1CD5" w:rsidP="00A273F2">
      <w:pPr>
        <w:numPr>
          <w:ilvl w:val="0"/>
          <w:numId w:val="13"/>
        </w:num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Indukovani ili </w:t>
      </w:r>
      <w:proofErr w:type="spellStart"/>
      <w:r w:rsidRPr="006565C6">
        <w:rPr>
          <w:sz w:val="22"/>
          <w:szCs w:val="22"/>
          <w:lang w:val="sr-Latn-RS"/>
        </w:rPr>
        <w:t>okularni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klonus</w:t>
      </w:r>
      <w:proofErr w:type="spellEnd"/>
      <w:r w:rsidRPr="006565C6">
        <w:rPr>
          <w:sz w:val="22"/>
          <w:szCs w:val="22"/>
          <w:lang w:val="sr-Latn-RS"/>
        </w:rPr>
        <w:t xml:space="preserve"> sa agitacijom ili </w:t>
      </w:r>
      <w:proofErr w:type="spellStart"/>
      <w:r w:rsidRPr="006565C6">
        <w:rPr>
          <w:sz w:val="22"/>
          <w:szCs w:val="22"/>
          <w:lang w:val="sr-Latn-RS"/>
        </w:rPr>
        <w:t>dijaforezom</w:t>
      </w:r>
      <w:proofErr w:type="spellEnd"/>
    </w:p>
    <w:p w14:paraId="0451427E" w14:textId="77777777" w:rsidR="00BA1CD5" w:rsidRPr="006565C6" w:rsidRDefault="00BA1CD5" w:rsidP="00A273F2">
      <w:pPr>
        <w:numPr>
          <w:ilvl w:val="0"/>
          <w:numId w:val="13"/>
        </w:numPr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Tremor</w:t>
      </w:r>
      <w:proofErr w:type="spellEnd"/>
      <w:r w:rsidRPr="006565C6">
        <w:rPr>
          <w:sz w:val="22"/>
          <w:szCs w:val="22"/>
          <w:lang w:val="sr-Latn-RS"/>
        </w:rPr>
        <w:t xml:space="preserve"> ili </w:t>
      </w:r>
      <w:proofErr w:type="spellStart"/>
      <w:r w:rsidRPr="006565C6">
        <w:rPr>
          <w:sz w:val="22"/>
          <w:szCs w:val="22"/>
          <w:lang w:val="sr-Latn-RS"/>
        </w:rPr>
        <w:t>hiperreflijeksija</w:t>
      </w:r>
      <w:proofErr w:type="spellEnd"/>
    </w:p>
    <w:p w14:paraId="3C70983E" w14:textId="77777777" w:rsidR="00BA1CD5" w:rsidRPr="006565C6" w:rsidRDefault="00BA1CD5">
      <w:pPr>
        <w:numPr>
          <w:ilvl w:val="0"/>
          <w:numId w:val="13"/>
        </w:num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Hipertonija i temperatura </w:t>
      </w:r>
      <w:proofErr w:type="spellStart"/>
      <w:r w:rsidRPr="006565C6">
        <w:rPr>
          <w:sz w:val="22"/>
          <w:szCs w:val="22"/>
          <w:lang w:val="sr-Latn-RS"/>
        </w:rPr>
        <w:t>tijela</w:t>
      </w:r>
      <w:proofErr w:type="spellEnd"/>
      <w:r w:rsidRPr="006565C6">
        <w:rPr>
          <w:sz w:val="22"/>
          <w:szCs w:val="22"/>
          <w:lang w:val="sr-Latn-RS"/>
        </w:rPr>
        <w:t xml:space="preserve"> &gt;</w:t>
      </w:r>
      <w:proofErr w:type="spellStart"/>
      <w:r w:rsidRPr="006565C6">
        <w:rPr>
          <w:sz w:val="22"/>
          <w:szCs w:val="22"/>
          <w:lang w:val="sr-Latn-RS"/>
        </w:rPr>
        <w:t>38°C</w:t>
      </w:r>
      <w:proofErr w:type="spellEnd"/>
      <w:r w:rsidRPr="006565C6">
        <w:rPr>
          <w:sz w:val="22"/>
          <w:szCs w:val="22"/>
          <w:lang w:val="sr-Latn-RS"/>
        </w:rPr>
        <w:t xml:space="preserve"> i indukovani </w:t>
      </w:r>
      <w:proofErr w:type="spellStart"/>
      <w:r w:rsidRPr="006565C6">
        <w:rPr>
          <w:sz w:val="22"/>
          <w:szCs w:val="22"/>
          <w:lang w:val="sr-Latn-RS"/>
        </w:rPr>
        <w:t>okularni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klonus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27CC08C7" w14:textId="77777777" w:rsidR="00D407FE" w:rsidRPr="006565C6" w:rsidRDefault="00D407FE">
      <w:pPr>
        <w:ind w:left="720"/>
        <w:jc w:val="both"/>
        <w:rPr>
          <w:sz w:val="22"/>
          <w:szCs w:val="22"/>
          <w:lang w:val="sr-Latn-RS"/>
        </w:rPr>
      </w:pPr>
    </w:p>
    <w:p w14:paraId="468D4C67" w14:textId="77777777" w:rsidR="00BA1CD5" w:rsidRPr="006565C6" w:rsidRDefault="00BA1CD5" w:rsidP="00D37E99">
      <w:pPr>
        <w:spacing w:line="243" w:lineRule="exac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Obustava </w:t>
      </w:r>
      <w:proofErr w:type="spellStart"/>
      <w:r w:rsidRPr="006565C6">
        <w:rPr>
          <w:sz w:val="22"/>
          <w:szCs w:val="22"/>
          <w:lang w:val="sr-Latn-RS"/>
        </w:rPr>
        <w:t>serotoninergičkog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obično dovodi do brzog oporavka. Terapija zavisi od prirode i težine simptoma.</w:t>
      </w:r>
    </w:p>
    <w:p w14:paraId="35B8E901" w14:textId="77777777" w:rsidR="00BA1CD5" w:rsidRPr="006565C6" w:rsidRDefault="00BA1CD5" w:rsidP="00D37E99">
      <w:pPr>
        <w:spacing w:line="243" w:lineRule="exact"/>
        <w:jc w:val="both"/>
        <w:rPr>
          <w:sz w:val="22"/>
          <w:szCs w:val="22"/>
          <w:lang w:val="sr-Latn-RS"/>
        </w:rPr>
      </w:pPr>
    </w:p>
    <w:p w14:paraId="11CFA02F" w14:textId="4DD105EC" w:rsidR="00BA1CD5" w:rsidRPr="006565C6" w:rsidRDefault="00BA1CD5" w:rsidP="00D37E99">
      <w:pPr>
        <w:spacing w:line="244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lastRenderedPageBreak/>
        <w:t xml:space="preserve">Glavni put eliminacije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je konjugacija sa </w:t>
      </w:r>
      <w:proofErr w:type="spellStart"/>
      <w:r w:rsidRPr="006565C6">
        <w:rPr>
          <w:sz w:val="22"/>
          <w:szCs w:val="22"/>
          <w:lang w:val="sr-Latn-RS"/>
        </w:rPr>
        <w:t>glukuronskom</w:t>
      </w:r>
      <w:proofErr w:type="spellEnd"/>
      <w:r w:rsidRPr="006565C6">
        <w:rPr>
          <w:sz w:val="22"/>
          <w:szCs w:val="22"/>
          <w:lang w:val="sr-Latn-RS"/>
        </w:rPr>
        <w:t xml:space="preserve"> kiselinom posredovana </w:t>
      </w:r>
      <w:proofErr w:type="spellStart"/>
      <w:r w:rsidRPr="006565C6">
        <w:rPr>
          <w:sz w:val="22"/>
          <w:szCs w:val="22"/>
          <w:lang w:val="sr-Latn-RS"/>
        </w:rPr>
        <w:t>uridin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difosfat</w:t>
      </w:r>
      <w:proofErr w:type="spellEnd"/>
      <w:r w:rsidRPr="006565C6">
        <w:rPr>
          <w:sz w:val="22"/>
          <w:szCs w:val="22"/>
          <w:lang w:val="sr-Latn-RS"/>
        </w:rPr>
        <w:t xml:space="preserve">- </w:t>
      </w:r>
      <w:proofErr w:type="spellStart"/>
      <w:r w:rsidRPr="006565C6">
        <w:rPr>
          <w:sz w:val="22"/>
          <w:szCs w:val="22"/>
          <w:lang w:val="sr-Latn-RS"/>
        </w:rPr>
        <w:t>transferazom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UGT</w:t>
      </w:r>
      <w:proofErr w:type="spellEnd"/>
      <w:r w:rsidRPr="006565C6">
        <w:rPr>
          <w:sz w:val="22"/>
          <w:szCs w:val="22"/>
          <w:lang w:val="sr-Latn-RS"/>
        </w:rPr>
        <w:t xml:space="preserve">) uglavnom </w:t>
      </w:r>
      <w:proofErr w:type="spellStart"/>
      <w:r w:rsidRPr="006565C6">
        <w:rPr>
          <w:sz w:val="22"/>
          <w:szCs w:val="22"/>
          <w:lang w:val="sr-Latn-RS"/>
        </w:rPr>
        <w:t>UGT1A6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UGT1A9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UGT2B7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izoformama</w:t>
      </w:r>
      <w:proofErr w:type="spellEnd"/>
      <w:r w:rsidRPr="006565C6">
        <w:rPr>
          <w:sz w:val="22"/>
          <w:szCs w:val="22"/>
          <w:lang w:val="sr-Latn-RS"/>
        </w:rPr>
        <w:t xml:space="preserve">. Zbog toga, istovremena </w:t>
      </w:r>
      <w:proofErr w:type="spellStart"/>
      <w:r w:rsidRPr="006565C6">
        <w:rPr>
          <w:sz w:val="22"/>
          <w:szCs w:val="22"/>
          <w:lang w:val="sr-Latn-RS"/>
        </w:rPr>
        <w:t>primjena</w:t>
      </w:r>
      <w:proofErr w:type="spellEnd"/>
      <w:r w:rsidRPr="006565C6">
        <w:rPr>
          <w:sz w:val="22"/>
          <w:szCs w:val="22"/>
          <w:lang w:val="sr-Latn-RS"/>
        </w:rPr>
        <w:t xml:space="preserve"> sa snažnim </w:t>
      </w:r>
      <w:proofErr w:type="spellStart"/>
      <w:r w:rsidRPr="006565C6">
        <w:rPr>
          <w:sz w:val="22"/>
          <w:szCs w:val="22"/>
          <w:lang w:val="sr-Latn-RS"/>
        </w:rPr>
        <w:t>inhibitorima</w:t>
      </w:r>
      <w:proofErr w:type="spellEnd"/>
      <w:r w:rsidRPr="006565C6">
        <w:rPr>
          <w:sz w:val="22"/>
          <w:szCs w:val="22"/>
          <w:lang w:val="sr-Latn-RS"/>
        </w:rPr>
        <w:t xml:space="preserve"> ovih </w:t>
      </w:r>
      <w:proofErr w:type="spellStart"/>
      <w:r w:rsidRPr="006565C6">
        <w:rPr>
          <w:sz w:val="22"/>
          <w:szCs w:val="22"/>
          <w:lang w:val="sr-Latn-RS"/>
        </w:rPr>
        <w:t>izoenzima</w:t>
      </w:r>
      <w:proofErr w:type="spellEnd"/>
      <w:r w:rsidRPr="006565C6">
        <w:rPr>
          <w:sz w:val="22"/>
          <w:szCs w:val="22"/>
          <w:lang w:val="sr-Latn-RS"/>
        </w:rPr>
        <w:t xml:space="preserve"> može dovesti do povećane sistemske izloženosti </w:t>
      </w:r>
      <w:proofErr w:type="spellStart"/>
      <w:r w:rsidRPr="006565C6">
        <w:rPr>
          <w:sz w:val="22"/>
          <w:szCs w:val="22"/>
          <w:lang w:val="sr-Latn-RS"/>
        </w:rPr>
        <w:t>tapentadolu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5.2).</w:t>
      </w:r>
    </w:p>
    <w:p w14:paraId="0832F008" w14:textId="779FE359" w:rsidR="00BA1CD5" w:rsidRPr="006565C6" w:rsidRDefault="00BA1CD5" w:rsidP="00D37E9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Zbog toga što je glavni put eliminacije konjugacija s </w:t>
      </w:r>
      <w:proofErr w:type="spellStart"/>
      <w:r w:rsidRPr="006565C6">
        <w:rPr>
          <w:sz w:val="22"/>
          <w:szCs w:val="22"/>
          <w:lang w:val="sr-Latn-RS"/>
        </w:rPr>
        <w:t>glukuronskom</w:t>
      </w:r>
      <w:proofErr w:type="spellEnd"/>
      <w:r w:rsidRPr="006565C6">
        <w:rPr>
          <w:sz w:val="22"/>
          <w:szCs w:val="22"/>
          <w:lang w:val="sr-Latn-RS"/>
        </w:rPr>
        <w:t xml:space="preserve"> kiselinom, potencijal za interakcije </w:t>
      </w:r>
      <w:r w:rsidR="00DC2526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odraslih je nizak. </w:t>
      </w:r>
    </w:p>
    <w:p w14:paraId="252F1808" w14:textId="77777777" w:rsidR="00BA1CD5" w:rsidRPr="006565C6" w:rsidRDefault="00BA1CD5" w:rsidP="00D37E99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1AB9BC6E" w14:textId="77777777" w:rsidR="00BA1CD5" w:rsidRPr="006565C6" w:rsidRDefault="00BA1CD5" w:rsidP="00D37E99">
      <w:pPr>
        <w:spacing w:line="244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Dodatno, </w:t>
      </w:r>
      <w:r w:rsidRPr="006565C6">
        <w:rPr>
          <w:i/>
          <w:iCs/>
          <w:sz w:val="22"/>
          <w:szCs w:val="22"/>
          <w:lang w:val="sr-Latn-RS"/>
        </w:rPr>
        <w:t xml:space="preserve">in </w:t>
      </w:r>
      <w:proofErr w:type="spellStart"/>
      <w:r w:rsidRPr="006565C6">
        <w:rPr>
          <w:i/>
          <w:iCs/>
          <w:sz w:val="22"/>
          <w:szCs w:val="22"/>
          <w:lang w:val="sr-Latn-RS"/>
        </w:rPr>
        <w:t>vitro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je nađeno da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ne indukuje niti inhibira bilo koji od glavnih </w:t>
      </w:r>
      <w:proofErr w:type="spellStart"/>
      <w:r w:rsidRPr="006565C6">
        <w:rPr>
          <w:sz w:val="22"/>
          <w:szCs w:val="22"/>
          <w:lang w:val="sr-Latn-RS"/>
        </w:rPr>
        <w:t>CYP</w:t>
      </w:r>
      <w:proofErr w:type="spellEnd"/>
      <w:r w:rsidRPr="006565C6">
        <w:rPr>
          <w:sz w:val="22"/>
          <w:szCs w:val="22"/>
          <w:lang w:val="sr-Latn-RS"/>
        </w:rPr>
        <w:t xml:space="preserve"> enzima, uključujući </w:t>
      </w:r>
      <w:proofErr w:type="spellStart"/>
      <w:r w:rsidRPr="006565C6">
        <w:rPr>
          <w:sz w:val="22"/>
          <w:szCs w:val="22"/>
          <w:lang w:val="sr-Latn-RS"/>
        </w:rPr>
        <w:t>CYP3A4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627E9369" w14:textId="77777777" w:rsidR="00BA1CD5" w:rsidRPr="006565C6" w:rsidRDefault="00BA1CD5" w:rsidP="00D37E99">
      <w:pPr>
        <w:spacing w:line="244" w:lineRule="auto"/>
        <w:jc w:val="both"/>
        <w:rPr>
          <w:sz w:val="22"/>
          <w:szCs w:val="22"/>
          <w:lang w:val="sr-Latn-RS"/>
        </w:rPr>
      </w:pPr>
    </w:p>
    <w:p w14:paraId="2CEA1FFA" w14:textId="77777777" w:rsidR="00BA1CD5" w:rsidRPr="006565C6" w:rsidRDefault="00BA1CD5" w:rsidP="00D37E99">
      <w:pPr>
        <w:spacing w:line="3" w:lineRule="exact"/>
        <w:jc w:val="both"/>
        <w:rPr>
          <w:sz w:val="22"/>
          <w:szCs w:val="22"/>
          <w:lang w:val="sr-Latn-RS"/>
        </w:rPr>
      </w:pPr>
    </w:p>
    <w:p w14:paraId="2CD984D3" w14:textId="77777777" w:rsidR="00BA1CD5" w:rsidRPr="006565C6" w:rsidRDefault="00BA1CD5" w:rsidP="002D549F">
      <w:pPr>
        <w:spacing w:line="254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pacijenata na terapiji </w:t>
      </w:r>
      <w:proofErr w:type="spellStart"/>
      <w:r w:rsidRPr="006565C6">
        <w:rPr>
          <w:sz w:val="22"/>
          <w:szCs w:val="22"/>
          <w:lang w:val="sr-Latn-RS"/>
        </w:rPr>
        <w:t>tapentadolom</w:t>
      </w:r>
      <w:proofErr w:type="spellEnd"/>
      <w:r w:rsidRPr="006565C6">
        <w:rPr>
          <w:sz w:val="22"/>
          <w:szCs w:val="22"/>
          <w:lang w:val="sr-Latn-RS"/>
        </w:rPr>
        <w:t xml:space="preserve"> neophodan je oprez ukoliko se istovremeno započinje ili prekida </w:t>
      </w:r>
      <w:proofErr w:type="spellStart"/>
      <w:r w:rsidRPr="006565C6">
        <w:rPr>
          <w:sz w:val="22"/>
          <w:szCs w:val="22"/>
          <w:lang w:val="sr-Latn-RS"/>
        </w:rPr>
        <w:t>primjena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koji je snažan induktor enzima (npr. </w:t>
      </w:r>
      <w:proofErr w:type="spellStart"/>
      <w:r w:rsidRPr="006565C6">
        <w:rPr>
          <w:sz w:val="22"/>
          <w:szCs w:val="22"/>
          <w:lang w:val="sr-Latn-RS"/>
        </w:rPr>
        <w:t>rifampicin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fenobarbital</w:t>
      </w:r>
      <w:proofErr w:type="spellEnd"/>
      <w:r w:rsidRPr="006565C6">
        <w:rPr>
          <w:sz w:val="22"/>
          <w:szCs w:val="22"/>
          <w:lang w:val="sr-Latn-RS"/>
        </w:rPr>
        <w:t>, kantarion (</w:t>
      </w:r>
      <w:proofErr w:type="spellStart"/>
      <w:r w:rsidRPr="006565C6">
        <w:rPr>
          <w:i/>
          <w:sz w:val="22"/>
          <w:szCs w:val="22"/>
          <w:lang w:val="sr-Latn-RS"/>
        </w:rPr>
        <w:t>Hypericum</w:t>
      </w:r>
      <w:proofErr w:type="spellEnd"/>
      <w:r w:rsidRPr="006565C6">
        <w:rPr>
          <w:i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sz w:val="22"/>
          <w:szCs w:val="22"/>
          <w:lang w:val="sr-Latn-RS"/>
        </w:rPr>
        <w:t>perforatum</w:t>
      </w:r>
      <w:proofErr w:type="spellEnd"/>
      <w:r w:rsidRPr="006565C6">
        <w:rPr>
          <w:sz w:val="22"/>
          <w:szCs w:val="22"/>
          <w:lang w:val="sr-Latn-RS"/>
        </w:rPr>
        <w:t>)), jer to može da dovede do smanjenja efikasnosti u prvom, odnosno pojačanog rizika od neželjenih dejstava u drugom slučaju.</w:t>
      </w:r>
    </w:p>
    <w:p w14:paraId="2FC965AD" w14:textId="77777777" w:rsidR="00BA1CD5" w:rsidRPr="006565C6" w:rsidRDefault="00BA1CD5" w:rsidP="002D549F">
      <w:pPr>
        <w:spacing w:line="191" w:lineRule="exact"/>
        <w:jc w:val="both"/>
        <w:rPr>
          <w:sz w:val="22"/>
          <w:szCs w:val="22"/>
          <w:lang w:val="sr-Latn-RS"/>
        </w:rPr>
      </w:pPr>
    </w:p>
    <w:p w14:paraId="5C4E5B36" w14:textId="540D2A85" w:rsidR="00BA1CD5" w:rsidRPr="006565C6" w:rsidRDefault="00BA1CD5" w:rsidP="002D549F">
      <w:pPr>
        <w:spacing w:line="25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Terapiju </w:t>
      </w:r>
      <w:proofErr w:type="spellStart"/>
      <w:r w:rsidRPr="006565C6">
        <w:rPr>
          <w:sz w:val="22"/>
          <w:szCs w:val="22"/>
          <w:lang w:val="sr-Latn-RS"/>
        </w:rPr>
        <w:t>lijekom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treba </w:t>
      </w:r>
      <w:proofErr w:type="spellStart"/>
      <w:r w:rsidRPr="006565C6">
        <w:rPr>
          <w:sz w:val="22"/>
          <w:szCs w:val="22"/>
          <w:lang w:val="sr-Latn-RS"/>
        </w:rPr>
        <w:t>izbjegavati</w:t>
      </w:r>
      <w:proofErr w:type="spellEnd"/>
      <w:r w:rsidRPr="006565C6">
        <w:rPr>
          <w:sz w:val="22"/>
          <w:szCs w:val="22"/>
          <w:lang w:val="sr-Latn-RS"/>
        </w:rPr>
        <w:t xml:space="preserve"> kod pacijenata koji koriste </w:t>
      </w:r>
      <w:proofErr w:type="spellStart"/>
      <w:r w:rsidRPr="006565C6">
        <w:rPr>
          <w:sz w:val="22"/>
          <w:szCs w:val="22"/>
          <w:lang w:val="sr-Latn-RS"/>
        </w:rPr>
        <w:t>inhibitore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monoamino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oksidaze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MAO</w:t>
      </w:r>
      <w:proofErr w:type="spellEnd"/>
      <w:r w:rsidRPr="006565C6">
        <w:rPr>
          <w:sz w:val="22"/>
          <w:szCs w:val="22"/>
          <w:lang w:val="sr-Latn-RS"/>
        </w:rPr>
        <w:t xml:space="preserve">) ili koji su ih koristili u poslednjih 14 dana zbog potencijalnog aditivnog dejstva na koncentracije </w:t>
      </w:r>
      <w:proofErr w:type="spellStart"/>
      <w:r w:rsidRPr="006565C6">
        <w:rPr>
          <w:sz w:val="22"/>
          <w:szCs w:val="22"/>
          <w:lang w:val="sr-Latn-RS"/>
        </w:rPr>
        <w:t>sinaptičkog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noradrenalina</w:t>
      </w:r>
      <w:proofErr w:type="spellEnd"/>
      <w:r w:rsidRPr="006565C6">
        <w:rPr>
          <w:sz w:val="22"/>
          <w:szCs w:val="22"/>
          <w:lang w:val="sr-Latn-RS"/>
        </w:rPr>
        <w:t xml:space="preserve">, što može da dovede do neželjenih </w:t>
      </w:r>
      <w:proofErr w:type="spellStart"/>
      <w:r w:rsidRPr="006565C6">
        <w:rPr>
          <w:sz w:val="22"/>
          <w:szCs w:val="22"/>
          <w:lang w:val="sr-Latn-RS"/>
        </w:rPr>
        <w:t>kardiovaskularnih</w:t>
      </w:r>
      <w:proofErr w:type="spellEnd"/>
      <w:r w:rsidRPr="006565C6">
        <w:rPr>
          <w:sz w:val="22"/>
          <w:szCs w:val="22"/>
          <w:lang w:val="sr-Latn-RS"/>
        </w:rPr>
        <w:t xml:space="preserve"> događaja, kao što je </w:t>
      </w:r>
      <w:proofErr w:type="spellStart"/>
      <w:r w:rsidRPr="006565C6">
        <w:rPr>
          <w:sz w:val="22"/>
          <w:szCs w:val="22"/>
          <w:lang w:val="sr-Latn-RS"/>
        </w:rPr>
        <w:t>hipertenzivna</w:t>
      </w:r>
      <w:proofErr w:type="spellEnd"/>
      <w:r w:rsidRPr="006565C6">
        <w:rPr>
          <w:sz w:val="22"/>
          <w:szCs w:val="22"/>
          <w:lang w:val="sr-Latn-RS"/>
        </w:rPr>
        <w:t xml:space="preserve"> kriza.</w:t>
      </w:r>
    </w:p>
    <w:p w14:paraId="450E1DC1" w14:textId="77777777" w:rsidR="00BA1CD5" w:rsidRPr="006565C6" w:rsidRDefault="00BA1CD5" w:rsidP="002D549F">
      <w:pPr>
        <w:spacing w:line="253" w:lineRule="auto"/>
        <w:jc w:val="both"/>
        <w:rPr>
          <w:sz w:val="22"/>
          <w:szCs w:val="22"/>
          <w:lang w:val="sr-Latn-RS"/>
        </w:rPr>
      </w:pPr>
    </w:p>
    <w:p w14:paraId="4998479C" w14:textId="77777777" w:rsidR="00BA1CD5" w:rsidRPr="006565C6" w:rsidRDefault="00BA1CD5" w:rsidP="002D549F">
      <w:pPr>
        <w:pStyle w:val="Default"/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i/>
          <w:iCs/>
          <w:sz w:val="22"/>
          <w:szCs w:val="22"/>
          <w:lang w:val="sr-Latn-RS"/>
        </w:rPr>
        <w:t xml:space="preserve">Pedijatrijska populacija </w:t>
      </w:r>
    </w:p>
    <w:p w14:paraId="720004FC" w14:textId="2C9E33F2" w:rsidR="00BA1CD5" w:rsidRPr="006565C6" w:rsidRDefault="00BA1CD5" w:rsidP="002D549F">
      <w:pPr>
        <w:spacing w:line="253" w:lineRule="auto"/>
        <w:jc w:val="both"/>
        <w:rPr>
          <w:b/>
          <w:bCs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Zbog toga što je glavni put eliminacije konjugacija s </w:t>
      </w:r>
      <w:proofErr w:type="spellStart"/>
      <w:r w:rsidRPr="006565C6">
        <w:rPr>
          <w:sz w:val="22"/>
          <w:szCs w:val="22"/>
          <w:lang w:val="sr-Latn-RS"/>
        </w:rPr>
        <w:t>glukuronskom</w:t>
      </w:r>
      <w:proofErr w:type="spellEnd"/>
      <w:r w:rsidRPr="006565C6">
        <w:rPr>
          <w:sz w:val="22"/>
          <w:szCs w:val="22"/>
          <w:lang w:val="sr-Latn-RS"/>
        </w:rPr>
        <w:t xml:space="preserve"> kiselinom, potencijal za interakcije </w:t>
      </w:r>
      <w:r w:rsidR="00DC2526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starije od 5 </w:t>
      </w:r>
      <w:proofErr w:type="spellStart"/>
      <w:r w:rsidRPr="006565C6">
        <w:rPr>
          <w:sz w:val="22"/>
          <w:szCs w:val="22"/>
          <w:lang w:val="sr-Latn-RS"/>
        </w:rPr>
        <w:t>mjeseci</w:t>
      </w:r>
      <w:proofErr w:type="spellEnd"/>
      <w:r w:rsidRPr="006565C6">
        <w:rPr>
          <w:sz w:val="22"/>
          <w:szCs w:val="22"/>
          <w:lang w:val="sr-Latn-RS"/>
        </w:rPr>
        <w:t xml:space="preserve"> je nizak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4.2).</w:t>
      </w:r>
    </w:p>
    <w:p w14:paraId="6DA36E99" w14:textId="02BDA65C" w:rsidR="0072020E" w:rsidRPr="006565C6" w:rsidRDefault="0072020E" w:rsidP="002955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9A" w14:textId="77777777" w:rsidR="0072020E" w:rsidRPr="006565C6" w:rsidRDefault="0072020E" w:rsidP="002955D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4.6.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="006D20A5" w:rsidRPr="006565C6">
        <w:rPr>
          <w:b/>
          <w:sz w:val="22"/>
          <w:szCs w:val="22"/>
          <w:lang w:val="sr-Latn-RS"/>
        </w:rPr>
        <w:t>Plodnost, trudnoća i dojenje</w:t>
      </w:r>
    </w:p>
    <w:p w14:paraId="6DA36E9B" w14:textId="77777777" w:rsidR="002031B3" w:rsidRPr="006565C6" w:rsidRDefault="002031B3" w:rsidP="002955D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01FD5935" w14:textId="77777777" w:rsidR="002C700D" w:rsidRPr="006565C6" w:rsidRDefault="002C700D" w:rsidP="00992F33">
      <w:pPr>
        <w:tabs>
          <w:tab w:val="left" w:pos="284"/>
        </w:tabs>
        <w:spacing w:line="0" w:lineRule="atLeas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Trudnoća</w:t>
      </w:r>
    </w:p>
    <w:p w14:paraId="6F53EA71" w14:textId="77777777" w:rsidR="002C700D" w:rsidRPr="006565C6" w:rsidRDefault="002C700D" w:rsidP="00A273F2">
      <w:pPr>
        <w:tabs>
          <w:tab w:val="left" w:pos="284"/>
        </w:tabs>
        <w:spacing w:line="0" w:lineRule="atLeas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Podaci o upotrebi kod trudnica su veoma ograničeni.</w:t>
      </w:r>
    </w:p>
    <w:p w14:paraId="0155E6FF" w14:textId="25F9E14B" w:rsidR="002C700D" w:rsidRPr="006565C6" w:rsidRDefault="002C700D" w:rsidP="00A273F2">
      <w:pPr>
        <w:tabs>
          <w:tab w:val="left" w:pos="284"/>
        </w:tabs>
        <w:spacing w:line="246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Ispitivanja na životinjama nisu pokazala </w:t>
      </w:r>
      <w:proofErr w:type="spellStart"/>
      <w:r w:rsidRPr="006565C6">
        <w:rPr>
          <w:sz w:val="22"/>
          <w:szCs w:val="22"/>
          <w:lang w:val="sr-Latn-RS"/>
        </w:rPr>
        <w:t>teratogena</w:t>
      </w:r>
      <w:proofErr w:type="spellEnd"/>
      <w:r w:rsidRPr="006565C6">
        <w:rPr>
          <w:sz w:val="22"/>
          <w:szCs w:val="22"/>
          <w:lang w:val="sr-Latn-RS"/>
        </w:rPr>
        <w:t xml:space="preserve"> dejstva. Međutim, usporeni razvoj i </w:t>
      </w:r>
      <w:proofErr w:type="spellStart"/>
      <w:r w:rsidRPr="006565C6">
        <w:rPr>
          <w:sz w:val="22"/>
          <w:szCs w:val="22"/>
          <w:lang w:val="sr-Latn-RS"/>
        </w:rPr>
        <w:t>embriotoksičnost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zabilježeni</w:t>
      </w:r>
      <w:proofErr w:type="spellEnd"/>
      <w:r w:rsidRPr="006565C6">
        <w:rPr>
          <w:sz w:val="22"/>
          <w:szCs w:val="22"/>
          <w:lang w:val="sr-Latn-RS"/>
        </w:rPr>
        <w:t xml:space="preserve"> su pri dozama koje su imale pojačana farmakološka dejstva (tzv. ‘</w:t>
      </w:r>
      <w:r w:rsidRPr="006565C6">
        <w:rPr>
          <w:i/>
          <w:sz w:val="22"/>
          <w:szCs w:val="22"/>
          <w:lang w:val="sr-Latn-RS"/>
        </w:rPr>
        <w:t>’</w:t>
      </w:r>
      <w:proofErr w:type="spellStart"/>
      <w:r w:rsidRPr="006565C6">
        <w:rPr>
          <w:i/>
          <w:sz w:val="22"/>
          <w:szCs w:val="22"/>
          <w:lang w:val="sr-Latn-RS"/>
        </w:rPr>
        <w:t>exaggareted</w:t>
      </w:r>
      <w:proofErr w:type="spellEnd"/>
      <w:r w:rsidRPr="006565C6">
        <w:rPr>
          <w:i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sz w:val="22"/>
          <w:szCs w:val="22"/>
          <w:lang w:val="sr-Latn-RS"/>
        </w:rPr>
        <w:t>pharmacology</w:t>
      </w:r>
      <w:proofErr w:type="spellEnd"/>
      <w:r w:rsidRPr="006565C6">
        <w:rPr>
          <w:i/>
          <w:sz w:val="22"/>
          <w:szCs w:val="22"/>
          <w:lang w:val="sr-Latn-RS"/>
        </w:rPr>
        <w:t>’’</w:t>
      </w:r>
      <w:r w:rsidRPr="006565C6">
        <w:rPr>
          <w:sz w:val="22"/>
          <w:szCs w:val="22"/>
          <w:lang w:val="sr-Latn-RS"/>
        </w:rPr>
        <w:t>) (µ-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receptorima posredovani efekti na </w:t>
      </w:r>
      <w:proofErr w:type="spellStart"/>
      <w:r w:rsidRPr="006565C6">
        <w:rPr>
          <w:sz w:val="22"/>
          <w:szCs w:val="22"/>
          <w:lang w:val="sr-Latn-RS"/>
        </w:rPr>
        <w:t>CNS</w:t>
      </w:r>
      <w:proofErr w:type="spellEnd"/>
      <w:r w:rsidRPr="006565C6">
        <w:rPr>
          <w:sz w:val="22"/>
          <w:szCs w:val="22"/>
          <w:lang w:val="sr-Latn-RS"/>
        </w:rPr>
        <w:t xml:space="preserve"> povezani sa dozama koje su iznad terapijskog opsega). Dejstva na </w:t>
      </w:r>
      <w:proofErr w:type="spellStart"/>
      <w:r w:rsidRPr="006565C6">
        <w:rPr>
          <w:sz w:val="22"/>
          <w:szCs w:val="22"/>
          <w:lang w:val="sr-Latn-RS"/>
        </w:rPr>
        <w:t>postnatalni</w:t>
      </w:r>
      <w:proofErr w:type="spellEnd"/>
      <w:r w:rsidRPr="006565C6">
        <w:rPr>
          <w:sz w:val="22"/>
          <w:szCs w:val="22"/>
          <w:lang w:val="sr-Latn-RS"/>
        </w:rPr>
        <w:t xml:space="preserve"> razvoj su uočena već pri </w:t>
      </w:r>
      <w:proofErr w:type="spellStart"/>
      <w:r w:rsidRPr="006565C6">
        <w:rPr>
          <w:sz w:val="22"/>
          <w:szCs w:val="22"/>
          <w:lang w:val="sr-Latn-RS"/>
        </w:rPr>
        <w:t>primjeni</w:t>
      </w:r>
      <w:proofErr w:type="spellEnd"/>
      <w:r w:rsidRPr="006565C6">
        <w:rPr>
          <w:sz w:val="22"/>
          <w:szCs w:val="22"/>
          <w:lang w:val="sr-Latn-RS"/>
        </w:rPr>
        <w:t xml:space="preserve"> doza koje kod majki nisu izazivale neželjena dejstva (tzv. </w:t>
      </w:r>
      <w:proofErr w:type="spellStart"/>
      <w:r w:rsidRPr="006565C6">
        <w:rPr>
          <w:i/>
          <w:sz w:val="22"/>
          <w:szCs w:val="22"/>
          <w:lang w:val="sr-Latn-RS"/>
        </w:rPr>
        <w:t>NOAEL</w:t>
      </w:r>
      <w:proofErr w:type="spellEnd"/>
      <w:r w:rsidRPr="006565C6">
        <w:rPr>
          <w:sz w:val="22"/>
          <w:szCs w:val="22"/>
          <w:lang w:val="sr-Latn-RS"/>
        </w:rPr>
        <w:t>)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5.3).</w:t>
      </w:r>
    </w:p>
    <w:p w14:paraId="204E6CEF" w14:textId="1BD20D2A" w:rsidR="000D60A4" w:rsidRPr="006565C6" w:rsidRDefault="000D60A4">
      <w:pPr>
        <w:tabs>
          <w:tab w:val="left" w:pos="284"/>
        </w:tabs>
        <w:spacing w:line="0" w:lineRule="atLeas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treba koristiti tokom trudnoće samo ako potencijalna korist opravdava potencijalni rizik po fetus.</w:t>
      </w:r>
    </w:p>
    <w:p w14:paraId="7BB5C192" w14:textId="0DE66330" w:rsidR="000D60A4" w:rsidRPr="006565C6" w:rsidRDefault="000D60A4">
      <w:pPr>
        <w:tabs>
          <w:tab w:val="left" w:pos="284"/>
        </w:tabs>
        <w:spacing w:line="0" w:lineRule="atLeas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Dugoročna </w:t>
      </w:r>
      <w:proofErr w:type="spellStart"/>
      <w:r w:rsidRPr="006565C6">
        <w:rPr>
          <w:sz w:val="22"/>
          <w:szCs w:val="22"/>
          <w:lang w:val="sr-Latn-RS"/>
        </w:rPr>
        <w:t>prim</w:t>
      </w:r>
      <w:r w:rsidR="0035102E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kod trudnica istovremeno dovodi i do izloženosti fetusa. Posl</w:t>
      </w:r>
      <w:r w:rsidR="00937ADA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 xml:space="preserve">edično, kod  novorođenčeta se može javiti </w:t>
      </w:r>
      <w:proofErr w:type="spellStart"/>
      <w:r w:rsidRPr="006565C6">
        <w:rPr>
          <w:sz w:val="22"/>
          <w:szCs w:val="22"/>
          <w:lang w:val="sr-Latn-RS"/>
        </w:rPr>
        <w:t>neonatalni</w:t>
      </w:r>
      <w:proofErr w:type="spellEnd"/>
      <w:r w:rsidRPr="006565C6">
        <w:rPr>
          <w:sz w:val="22"/>
          <w:szCs w:val="22"/>
          <w:lang w:val="sr-Latn-RS"/>
        </w:rPr>
        <w:t xml:space="preserve"> sindrom obustave (engl. </w:t>
      </w:r>
      <w:proofErr w:type="spellStart"/>
      <w:r w:rsidRPr="006565C6">
        <w:rPr>
          <w:i/>
          <w:iCs/>
          <w:sz w:val="22"/>
          <w:szCs w:val="22"/>
          <w:lang w:val="sr-Latn-RS"/>
        </w:rPr>
        <w:t>neonatal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iCs/>
          <w:sz w:val="22"/>
          <w:szCs w:val="22"/>
          <w:lang w:val="sr-Latn-RS"/>
        </w:rPr>
        <w:t>withdrawal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</w:t>
      </w:r>
      <w:proofErr w:type="spellStart"/>
      <w:r w:rsidRPr="006565C6">
        <w:rPr>
          <w:i/>
          <w:iCs/>
          <w:sz w:val="22"/>
          <w:szCs w:val="22"/>
          <w:lang w:val="sr-Latn-RS"/>
        </w:rPr>
        <w:t>syndrome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NOWS</w:t>
      </w:r>
      <w:proofErr w:type="spellEnd"/>
      <w:r w:rsidRPr="006565C6">
        <w:rPr>
          <w:sz w:val="22"/>
          <w:szCs w:val="22"/>
          <w:lang w:val="sr-Latn-RS"/>
        </w:rPr>
        <w:t xml:space="preserve">). Ukoliko se ne prepozna i ne </w:t>
      </w:r>
      <w:proofErr w:type="spellStart"/>
      <w:r w:rsidRPr="006565C6">
        <w:rPr>
          <w:sz w:val="22"/>
          <w:szCs w:val="22"/>
          <w:lang w:val="sr-Latn-RS"/>
        </w:rPr>
        <w:t>l</w:t>
      </w:r>
      <w:r w:rsidR="00937ADA" w:rsidRPr="006565C6">
        <w:rPr>
          <w:sz w:val="22"/>
          <w:szCs w:val="22"/>
          <w:lang w:val="sr-Latn-RS"/>
        </w:rPr>
        <w:t>ij</w:t>
      </w:r>
      <w:r w:rsidRPr="006565C6">
        <w:rPr>
          <w:sz w:val="22"/>
          <w:szCs w:val="22"/>
          <w:lang w:val="sr-Latn-RS"/>
        </w:rPr>
        <w:t>eči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neonatalni</w:t>
      </w:r>
      <w:proofErr w:type="spellEnd"/>
      <w:r w:rsidRPr="006565C6">
        <w:rPr>
          <w:sz w:val="22"/>
          <w:szCs w:val="22"/>
          <w:lang w:val="sr-Latn-RS"/>
        </w:rPr>
        <w:t xml:space="preserve"> sindrom obustave može biti životno ugrožavajući. Potrebno je da antidot za novorođenče odmah bude dostupan.</w:t>
      </w:r>
    </w:p>
    <w:p w14:paraId="19B1A30F" w14:textId="77777777" w:rsidR="002C700D" w:rsidRPr="006565C6" w:rsidRDefault="002C700D">
      <w:pPr>
        <w:tabs>
          <w:tab w:val="left" w:pos="284"/>
        </w:tabs>
        <w:spacing w:line="227" w:lineRule="exact"/>
        <w:jc w:val="both"/>
        <w:rPr>
          <w:sz w:val="22"/>
          <w:szCs w:val="22"/>
          <w:lang w:val="sr-Latn-RS"/>
        </w:rPr>
      </w:pPr>
    </w:p>
    <w:p w14:paraId="4EC93FE1" w14:textId="77777777" w:rsidR="002C700D" w:rsidRPr="006565C6" w:rsidRDefault="002C700D">
      <w:pPr>
        <w:tabs>
          <w:tab w:val="left" w:pos="284"/>
        </w:tabs>
        <w:spacing w:line="0" w:lineRule="atLeas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Trudovi i porođaj</w:t>
      </w:r>
    </w:p>
    <w:p w14:paraId="19A474E1" w14:textId="3033789D" w:rsidR="002C700D" w:rsidRPr="006565C6" w:rsidRDefault="002C700D">
      <w:pPr>
        <w:tabs>
          <w:tab w:val="left" w:pos="284"/>
        </w:tabs>
        <w:spacing w:line="0" w:lineRule="atLeas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Dejstvo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na trudove i porođaj kod žena nije poznato.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se ne preporučuje kod žena tokom i neposredno prije pojave trudova i samog porođaja. Zbog </w:t>
      </w:r>
      <w:proofErr w:type="spellStart"/>
      <w:r w:rsidRPr="006565C6">
        <w:rPr>
          <w:sz w:val="22"/>
          <w:szCs w:val="22"/>
          <w:lang w:val="sr-Latn-RS"/>
        </w:rPr>
        <w:t>agonističke</w:t>
      </w:r>
      <w:proofErr w:type="spellEnd"/>
      <w:r w:rsidRPr="006565C6">
        <w:rPr>
          <w:sz w:val="22"/>
          <w:szCs w:val="22"/>
          <w:lang w:val="sr-Latn-RS"/>
        </w:rPr>
        <w:t xml:space="preserve"> aktivnosti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na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receptorima, novorođenčad čije su majke uzimale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treba pratiti zbog eventualnog razvoja respiratorne depresije.</w:t>
      </w:r>
    </w:p>
    <w:p w14:paraId="5524A2EB" w14:textId="77777777" w:rsidR="002C700D" w:rsidRPr="006565C6" w:rsidRDefault="002C700D">
      <w:pPr>
        <w:tabs>
          <w:tab w:val="left" w:pos="284"/>
        </w:tabs>
        <w:spacing w:line="0" w:lineRule="atLeast"/>
        <w:jc w:val="both"/>
        <w:rPr>
          <w:sz w:val="22"/>
          <w:szCs w:val="22"/>
          <w:lang w:val="sr-Latn-RS"/>
        </w:rPr>
      </w:pPr>
    </w:p>
    <w:p w14:paraId="60880D36" w14:textId="77777777" w:rsidR="002C700D" w:rsidRPr="006565C6" w:rsidRDefault="002C700D" w:rsidP="002955D9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Dojenje </w:t>
      </w:r>
    </w:p>
    <w:p w14:paraId="64A4634D" w14:textId="77777777" w:rsidR="002C700D" w:rsidRPr="006565C6" w:rsidRDefault="002C700D" w:rsidP="00992F33">
      <w:pPr>
        <w:tabs>
          <w:tab w:val="left" w:pos="284"/>
        </w:tabs>
        <w:spacing w:line="25" w:lineRule="exact"/>
        <w:jc w:val="both"/>
        <w:rPr>
          <w:sz w:val="22"/>
          <w:szCs w:val="22"/>
          <w:lang w:val="sr-Latn-RS"/>
        </w:rPr>
      </w:pPr>
    </w:p>
    <w:p w14:paraId="0DF67A61" w14:textId="6995E6D8" w:rsidR="00CD4F25" w:rsidRPr="006565C6" w:rsidRDefault="002C700D" w:rsidP="002955D9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Nema informacija o izlučivanju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u humano </w:t>
      </w:r>
      <w:proofErr w:type="spellStart"/>
      <w:r w:rsidRPr="006565C6">
        <w:rPr>
          <w:sz w:val="22"/>
          <w:szCs w:val="22"/>
          <w:lang w:val="sr-Latn-RS"/>
        </w:rPr>
        <w:t>mlijeko</w:t>
      </w:r>
      <w:proofErr w:type="spellEnd"/>
      <w:r w:rsidRPr="006565C6">
        <w:rPr>
          <w:sz w:val="22"/>
          <w:szCs w:val="22"/>
          <w:lang w:val="sr-Latn-RS"/>
        </w:rPr>
        <w:t xml:space="preserve">. Iz ispitivanja na novorođenim pacovima koje je dojila ženka koja je primala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zaključeno je da se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izlučuje u </w:t>
      </w:r>
      <w:proofErr w:type="spellStart"/>
      <w:r w:rsidRPr="006565C6">
        <w:rPr>
          <w:sz w:val="22"/>
          <w:szCs w:val="22"/>
          <w:lang w:val="sr-Latn-RS"/>
        </w:rPr>
        <w:t>mlijeku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5.3). Iz tog razloga, ne može se isključiti rizik </w:t>
      </w:r>
      <w:r w:rsidR="00DC2526" w:rsidRPr="006565C6">
        <w:rPr>
          <w:sz w:val="22"/>
          <w:szCs w:val="22"/>
          <w:lang w:val="sr-Latn-RS"/>
        </w:rPr>
        <w:t xml:space="preserve">za </w:t>
      </w:r>
      <w:r w:rsidRPr="006565C6">
        <w:rPr>
          <w:sz w:val="22"/>
          <w:szCs w:val="22"/>
          <w:lang w:val="sr-Latn-RS"/>
        </w:rPr>
        <w:t xml:space="preserve">odojče.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ne treba koristiti tokom dojenja.</w:t>
      </w:r>
    </w:p>
    <w:p w14:paraId="57104716" w14:textId="77777777" w:rsidR="005369BC" w:rsidRPr="006565C6" w:rsidRDefault="005369BC" w:rsidP="002955D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26A764AF" w14:textId="77777777" w:rsidR="004514B9" w:rsidRPr="006565C6" w:rsidRDefault="004514B9" w:rsidP="002955D9">
      <w:pPr>
        <w:spacing w:line="237" w:lineRule="auto"/>
        <w:jc w:val="both"/>
        <w:rPr>
          <w:i/>
          <w:iCs/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>Plodnost</w:t>
      </w:r>
    </w:p>
    <w:p w14:paraId="7ECE5820" w14:textId="44DE75F3" w:rsidR="004514B9" w:rsidRPr="006565C6" w:rsidRDefault="004514B9" w:rsidP="002955D9">
      <w:pPr>
        <w:spacing w:line="237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Nema dostupnih podataka o uticaju </w:t>
      </w:r>
      <w:proofErr w:type="spellStart"/>
      <w:r w:rsidRPr="006565C6">
        <w:rPr>
          <w:sz w:val="22"/>
          <w:szCs w:val="22"/>
          <w:lang w:val="sr-Latn-RS"/>
        </w:rPr>
        <w:t>l</w:t>
      </w:r>
      <w:r w:rsidR="00DC2526" w:rsidRPr="006565C6">
        <w:rPr>
          <w:sz w:val="22"/>
          <w:szCs w:val="22"/>
          <w:lang w:val="sr-Latn-RS"/>
        </w:rPr>
        <w:t>ij</w:t>
      </w:r>
      <w:r w:rsidRPr="006565C6">
        <w:rPr>
          <w:sz w:val="22"/>
          <w:szCs w:val="22"/>
          <w:lang w:val="sr-Latn-RS"/>
        </w:rPr>
        <w:t>eka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na plodnost ljudi. U ispitivanju plodnosti i ranog embrionalnog razvoja kod mužjaka ili ženki pacova, nije uočen uticaj na reproduktivne parametre (</w:t>
      </w:r>
      <w:r w:rsidR="00D851EC" w:rsidRPr="006565C6">
        <w:rPr>
          <w:i/>
          <w:iCs/>
          <w:sz w:val="22"/>
          <w:szCs w:val="22"/>
          <w:lang w:val="sr-Latn-RS"/>
        </w:rPr>
        <w:t xml:space="preserve">pogledati </w:t>
      </w:r>
      <w:proofErr w:type="spellStart"/>
      <w:r w:rsidR="00D851EC" w:rsidRPr="006565C6">
        <w:rPr>
          <w:i/>
          <w:iCs/>
          <w:sz w:val="22"/>
          <w:szCs w:val="22"/>
          <w:lang w:val="sr-Latn-RS"/>
        </w:rPr>
        <w:t>dio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5.3</w:t>
      </w:r>
      <w:r w:rsidRPr="006565C6">
        <w:rPr>
          <w:sz w:val="22"/>
          <w:szCs w:val="22"/>
          <w:lang w:val="sr-Latn-RS"/>
        </w:rPr>
        <w:t>).</w:t>
      </w:r>
    </w:p>
    <w:p w14:paraId="6DA36EA1" w14:textId="4D1A8C1A" w:rsidR="00227BDB" w:rsidRPr="006565C6" w:rsidRDefault="00227BDB" w:rsidP="002955D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14:paraId="6DA36EA2" w14:textId="77777777" w:rsidR="0072020E" w:rsidRPr="006565C6" w:rsidRDefault="0072020E" w:rsidP="002955D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lastRenderedPageBreak/>
        <w:t xml:space="preserve">4.7.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 xml:space="preserve">Uticaj na </w:t>
      </w:r>
      <w:r w:rsidR="002031B3" w:rsidRPr="006565C6">
        <w:rPr>
          <w:b/>
          <w:bCs/>
          <w:sz w:val="22"/>
          <w:szCs w:val="22"/>
          <w:lang w:val="sr-Latn-RS"/>
        </w:rPr>
        <w:t xml:space="preserve">sposobnost </w:t>
      </w:r>
      <w:r w:rsidR="00F34554" w:rsidRPr="006565C6">
        <w:rPr>
          <w:b/>
          <w:bCs/>
          <w:sz w:val="22"/>
          <w:szCs w:val="22"/>
          <w:lang w:val="sr-Latn-RS"/>
        </w:rPr>
        <w:t>upravljanja vozili</w:t>
      </w:r>
      <w:r w:rsidRPr="006565C6">
        <w:rPr>
          <w:b/>
          <w:bCs/>
          <w:sz w:val="22"/>
          <w:szCs w:val="22"/>
          <w:lang w:val="sr-Latn-RS"/>
        </w:rPr>
        <w:t>m</w:t>
      </w:r>
      <w:r w:rsidR="00F34554" w:rsidRPr="006565C6">
        <w:rPr>
          <w:b/>
          <w:bCs/>
          <w:sz w:val="22"/>
          <w:szCs w:val="22"/>
          <w:lang w:val="sr-Latn-RS"/>
        </w:rPr>
        <w:t>a</w:t>
      </w:r>
      <w:r w:rsidRPr="006565C6">
        <w:rPr>
          <w:b/>
          <w:bCs/>
          <w:sz w:val="22"/>
          <w:szCs w:val="22"/>
          <w:lang w:val="sr-Latn-RS"/>
        </w:rPr>
        <w:t xml:space="preserve"> i </w:t>
      </w:r>
      <w:r w:rsidR="000D3449" w:rsidRPr="006565C6">
        <w:rPr>
          <w:b/>
          <w:bCs/>
          <w:sz w:val="22"/>
          <w:szCs w:val="22"/>
          <w:lang w:val="sr-Latn-RS"/>
        </w:rPr>
        <w:t xml:space="preserve">rukovanje </w:t>
      </w:r>
      <w:r w:rsidRPr="006565C6">
        <w:rPr>
          <w:b/>
          <w:bCs/>
          <w:sz w:val="22"/>
          <w:szCs w:val="22"/>
          <w:lang w:val="sr-Latn-RS"/>
        </w:rPr>
        <w:t>mašinama</w:t>
      </w:r>
    </w:p>
    <w:p w14:paraId="17CFF6DB" w14:textId="77777777" w:rsidR="003A1483" w:rsidRPr="006565C6" w:rsidRDefault="003A1483" w:rsidP="002955D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14:paraId="5AC62346" w14:textId="153131C2" w:rsidR="003A1483" w:rsidRPr="006565C6" w:rsidRDefault="003A1483" w:rsidP="00992F33">
      <w:pPr>
        <w:spacing w:line="248" w:lineRule="auto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SR</w:t>
      </w:r>
      <w:proofErr w:type="spellEnd"/>
      <w:r w:rsidRPr="006565C6">
        <w:rPr>
          <w:sz w:val="22"/>
          <w:szCs w:val="22"/>
          <w:lang w:val="sr-Latn-RS"/>
        </w:rPr>
        <w:t xml:space="preserve"> može da ima jak uticaj na psihofizičke sposobnosti prilikom upravljanja vozilima i rukovanja mašinama zbog činjenice da može nepovoljno da utiče na funkcije centralnog nervnog sistema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4.8). Ovo se može očekivati posebno na početku terapije, pri svakoj </w:t>
      </w:r>
      <w:proofErr w:type="spellStart"/>
      <w:r w:rsidRPr="006565C6">
        <w:rPr>
          <w:sz w:val="22"/>
          <w:szCs w:val="22"/>
          <w:lang w:val="sr-Latn-RS"/>
        </w:rPr>
        <w:t>promjeni</w:t>
      </w:r>
      <w:proofErr w:type="spellEnd"/>
      <w:r w:rsidRPr="006565C6">
        <w:rPr>
          <w:sz w:val="22"/>
          <w:szCs w:val="22"/>
          <w:lang w:val="sr-Latn-RS"/>
        </w:rPr>
        <w:t xml:space="preserve"> doze i kada se kombinuje sa alkoholom ili </w:t>
      </w:r>
      <w:proofErr w:type="spellStart"/>
      <w:r w:rsidRPr="006565C6">
        <w:rPr>
          <w:sz w:val="22"/>
          <w:szCs w:val="22"/>
          <w:lang w:val="sr-Latn-RS"/>
        </w:rPr>
        <w:t>trankilizerima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4.4). Pacijente treba upozoriti da nije dozvoljeno upravljanje vozilima i rukovanje mašinama.</w:t>
      </w:r>
    </w:p>
    <w:p w14:paraId="6DA36EA3" w14:textId="7E440AAB" w:rsidR="0072020E" w:rsidRPr="006565C6" w:rsidRDefault="0072020E" w:rsidP="00BF78BD">
      <w:pPr>
        <w:tabs>
          <w:tab w:val="left" w:pos="1050"/>
        </w:tabs>
        <w:jc w:val="both"/>
        <w:rPr>
          <w:b/>
          <w:bCs/>
          <w:sz w:val="22"/>
          <w:szCs w:val="22"/>
          <w:lang w:val="sr-Latn-RS"/>
        </w:rPr>
      </w:pPr>
    </w:p>
    <w:p w14:paraId="6DA36EA4" w14:textId="77777777" w:rsidR="0072020E" w:rsidRPr="006565C6" w:rsidRDefault="0072020E" w:rsidP="00BF78B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4.8.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Neželjena dejstva</w:t>
      </w:r>
    </w:p>
    <w:p w14:paraId="582A6A4B" w14:textId="77777777" w:rsidR="00D979FF" w:rsidRPr="006565C6" w:rsidRDefault="00D979FF" w:rsidP="00BF78B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03F37A1" w14:textId="77777777" w:rsidR="00565FD1" w:rsidRPr="006565C6" w:rsidRDefault="00D979FF" w:rsidP="00BF78BD">
      <w:pPr>
        <w:spacing w:line="250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Neželjene reakcije na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koje su se javile kod pacijenata u </w:t>
      </w:r>
      <w:proofErr w:type="spellStart"/>
      <w:r w:rsidRPr="006565C6">
        <w:rPr>
          <w:sz w:val="22"/>
          <w:szCs w:val="22"/>
          <w:lang w:val="sr-Latn-RS"/>
        </w:rPr>
        <w:t>placebo</w:t>
      </w:r>
      <w:proofErr w:type="spellEnd"/>
      <w:r w:rsidRPr="006565C6">
        <w:rPr>
          <w:sz w:val="22"/>
          <w:szCs w:val="22"/>
          <w:lang w:val="sr-Latn-RS"/>
        </w:rPr>
        <w:t xml:space="preserve"> kontrolisanim ispitivanjima sprovedenim sa </w:t>
      </w:r>
      <w:proofErr w:type="spellStart"/>
      <w:r w:rsidRPr="006565C6">
        <w:rPr>
          <w:sz w:val="22"/>
          <w:szCs w:val="22"/>
          <w:lang w:val="sr-Latn-RS"/>
        </w:rPr>
        <w:t>lijekom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bile su uglavnom blagog do </w:t>
      </w:r>
      <w:proofErr w:type="spellStart"/>
      <w:r w:rsidRPr="006565C6">
        <w:rPr>
          <w:sz w:val="22"/>
          <w:szCs w:val="22"/>
          <w:lang w:val="sr-Latn-RS"/>
        </w:rPr>
        <w:t>umjerenog</w:t>
      </w:r>
      <w:proofErr w:type="spellEnd"/>
      <w:r w:rsidRPr="006565C6">
        <w:rPr>
          <w:sz w:val="22"/>
          <w:szCs w:val="22"/>
          <w:lang w:val="sr-Latn-RS"/>
        </w:rPr>
        <w:t xml:space="preserve"> intenziteta. Najčešće neželjene reakcije na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javile su se na nivou gastrointestinalnog trakta i centralnog nervnog sistema (mučnina, vrtoglavica, opstipacija, glavobolja i pospanost). </w:t>
      </w:r>
    </w:p>
    <w:p w14:paraId="295A7AC7" w14:textId="77777777" w:rsidR="00565FD1" w:rsidRPr="006565C6" w:rsidRDefault="00565FD1" w:rsidP="00BF78BD">
      <w:pPr>
        <w:spacing w:line="250" w:lineRule="auto"/>
        <w:jc w:val="both"/>
        <w:rPr>
          <w:sz w:val="22"/>
          <w:szCs w:val="22"/>
          <w:lang w:val="sr-Latn-RS"/>
        </w:rPr>
      </w:pPr>
    </w:p>
    <w:p w14:paraId="1FA63934" w14:textId="1B48BB1E" w:rsidR="00D979FF" w:rsidRPr="006565C6" w:rsidRDefault="00D979FF" w:rsidP="00BF78BD">
      <w:pPr>
        <w:spacing w:line="250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Najteže </w:t>
      </w:r>
      <w:proofErr w:type="spellStart"/>
      <w:r w:rsidRPr="006565C6">
        <w:rPr>
          <w:sz w:val="22"/>
          <w:szCs w:val="22"/>
          <w:lang w:val="sr-Latn-RS"/>
        </w:rPr>
        <w:t>nuspojave</w:t>
      </w:r>
      <w:proofErr w:type="spellEnd"/>
      <w:r w:rsidRPr="006565C6">
        <w:rPr>
          <w:sz w:val="22"/>
          <w:szCs w:val="22"/>
          <w:lang w:val="sr-Latn-RS"/>
        </w:rPr>
        <w:t xml:space="preserve"> su </w:t>
      </w:r>
      <w:proofErr w:type="spellStart"/>
      <w:r w:rsidRPr="006565C6">
        <w:rPr>
          <w:sz w:val="22"/>
          <w:szCs w:val="22"/>
          <w:lang w:val="sr-Latn-RS"/>
        </w:rPr>
        <w:t>sedacija</w:t>
      </w:r>
      <w:proofErr w:type="spellEnd"/>
      <w:r w:rsidRPr="006565C6">
        <w:rPr>
          <w:sz w:val="22"/>
          <w:szCs w:val="22"/>
          <w:lang w:val="sr-Latn-RS"/>
        </w:rPr>
        <w:t>, respiratorna depresija i alergijske reakcije.</w:t>
      </w:r>
    </w:p>
    <w:p w14:paraId="16E60AAB" w14:textId="77777777" w:rsidR="00565FD1" w:rsidRPr="006565C6" w:rsidRDefault="00565FD1" w:rsidP="00BF78BD">
      <w:pPr>
        <w:spacing w:line="250" w:lineRule="auto"/>
        <w:jc w:val="both"/>
        <w:rPr>
          <w:sz w:val="22"/>
          <w:szCs w:val="22"/>
          <w:lang w:val="sr-Latn-RS"/>
        </w:rPr>
      </w:pPr>
    </w:p>
    <w:p w14:paraId="46ED30D2" w14:textId="2A1B6B63" w:rsidR="00D979FF" w:rsidRPr="006565C6" w:rsidRDefault="00D979FF" w:rsidP="00BF78BD">
      <w:pPr>
        <w:spacing w:line="273" w:lineRule="auto"/>
        <w:ind w:left="20" w:right="20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U tabeli datoj u nastavku navedene su neželjene reakcije na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koje su identifikovane u kliničkim ispitivanjima sprovedenim sa </w:t>
      </w:r>
      <w:proofErr w:type="spellStart"/>
      <w:r w:rsidRPr="006565C6">
        <w:rPr>
          <w:sz w:val="22"/>
          <w:szCs w:val="22"/>
          <w:lang w:val="sr-Latn-RS"/>
        </w:rPr>
        <w:t>lijekom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. Navedene su po klasi i učestalosti. Učestalosti se definiše kao veoma česta(≥1/10); česta (≥1/100, &lt;1/10); povremena (≥1/1,000, &lt;1/100); </w:t>
      </w:r>
      <w:proofErr w:type="spellStart"/>
      <w:r w:rsidRPr="006565C6">
        <w:rPr>
          <w:sz w:val="22"/>
          <w:szCs w:val="22"/>
          <w:lang w:val="sr-Latn-RS"/>
        </w:rPr>
        <w:t>rijetka</w:t>
      </w:r>
      <w:proofErr w:type="spellEnd"/>
      <w:r w:rsidRPr="006565C6">
        <w:rPr>
          <w:sz w:val="22"/>
          <w:szCs w:val="22"/>
          <w:lang w:val="sr-Latn-RS"/>
        </w:rPr>
        <w:t xml:space="preserve"> (≥1/10,000, &lt;1/1,000); veoma </w:t>
      </w:r>
      <w:proofErr w:type="spellStart"/>
      <w:r w:rsidRPr="006565C6">
        <w:rPr>
          <w:sz w:val="22"/>
          <w:szCs w:val="22"/>
          <w:lang w:val="sr-Latn-RS"/>
        </w:rPr>
        <w:t>rijetka</w:t>
      </w:r>
      <w:proofErr w:type="spellEnd"/>
      <w:r w:rsidRPr="006565C6">
        <w:rPr>
          <w:sz w:val="22"/>
          <w:szCs w:val="22"/>
          <w:lang w:val="sr-Latn-RS"/>
        </w:rPr>
        <w:t xml:space="preserve"> (&lt;1/10,000), i nije poznato (ne može se </w:t>
      </w:r>
      <w:proofErr w:type="spellStart"/>
      <w:r w:rsidRPr="006565C6">
        <w:rPr>
          <w:sz w:val="22"/>
          <w:szCs w:val="22"/>
          <w:lang w:val="sr-Latn-RS"/>
        </w:rPr>
        <w:t>procijeniti</w:t>
      </w:r>
      <w:proofErr w:type="spellEnd"/>
      <w:r w:rsidRPr="006565C6">
        <w:rPr>
          <w:sz w:val="22"/>
          <w:szCs w:val="22"/>
          <w:lang w:val="sr-Latn-RS"/>
        </w:rPr>
        <w:t xml:space="preserve"> na osnovu raspoloživih podataka.</w:t>
      </w:r>
    </w:p>
    <w:p w14:paraId="1476B338" w14:textId="77777777" w:rsidR="00D979FF" w:rsidRPr="006565C6" w:rsidRDefault="00D979FF" w:rsidP="00BF78BD">
      <w:pPr>
        <w:spacing w:line="245" w:lineRule="auto"/>
        <w:jc w:val="both"/>
        <w:rPr>
          <w:sz w:val="22"/>
          <w:szCs w:val="22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294"/>
        <w:gridCol w:w="1415"/>
        <w:gridCol w:w="1728"/>
        <w:gridCol w:w="1457"/>
        <w:gridCol w:w="1277"/>
      </w:tblGrid>
      <w:tr w:rsidR="00D979FF" w:rsidRPr="006565C6" w14:paraId="232A7A33" w14:textId="77777777" w:rsidTr="00992F33">
        <w:tc>
          <w:tcPr>
            <w:tcW w:w="1923" w:type="dxa"/>
            <w:vMerge w:val="restart"/>
          </w:tcPr>
          <w:p w14:paraId="28C63766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 xml:space="preserve">Klasa </w:t>
            </w:r>
          </w:p>
          <w:p w14:paraId="5748058A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 xml:space="preserve">sistema </w:t>
            </w:r>
          </w:p>
          <w:p w14:paraId="010975E6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organa</w:t>
            </w:r>
          </w:p>
        </w:tc>
        <w:tc>
          <w:tcPr>
            <w:tcW w:w="6456" w:type="dxa"/>
            <w:gridSpan w:val="4"/>
          </w:tcPr>
          <w:p w14:paraId="62FCA835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Učestalost</w:t>
            </w:r>
          </w:p>
        </w:tc>
        <w:tc>
          <w:tcPr>
            <w:tcW w:w="1476" w:type="dxa"/>
          </w:tcPr>
          <w:p w14:paraId="11CDE72E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D979FF" w:rsidRPr="006565C6" w14:paraId="738FB191" w14:textId="77777777" w:rsidTr="00992F33">
        <w:tc>
          <w:tcPr>
            <w:tcW w:w="1923" w:type="dxa"/>
            <w:vMerge/>
          </w:tcPr>
          <w:p w14:paraId="2F9EA9A1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403" w:type="dxa"/>
          </w:tcPr>
          <w:p w14:paraId="74DE5AAE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542" w:type="dxa"/>
          </w:tcPr>
          <w:p w14:paraId="1149B335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932" w:type="dxa"/>
          </w:tcPr>
          <w:p w14:paraId="536CC49B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579" w:type="dxa"/>
          </w:tcPr>
          <w:p w14:paraId="0EBF4BAC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b/>
                <w:sz w:val="22"/>
                <w:szCs w:val="22"/>
                <w:lang w:val="sr-Latn-RS"/>
              </w:rPr>
              <w:t>Rijetka</w:t>
            </w:r>
            <w:proofErr w:type="spellEnd"/>
          </w:p>
        </w:tc>
        <w:tc>
          <w:tcPr>
            <w:tcW w:w="1476" w:type="dxa"/>
          </w:tcPr>
          <w:p w14:paraId="5BC6C566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Nepoznata</w:t>
            </w:r>
          </w:p>
        </w:tc>
      </w:tr>
      <w:tr w:rsidR="00D979FF" w:rsidRPr="006565C6" w14:paraId="731CF6C6" w14:textId="77777777" w:rsidTr="00992F33">
        <w:tc>
          <w:tcPr>
            <w:tcW w:w="1923" w:type="dxa"/>
          </w:tcPr>
          <w:p w14:paraId="6A9C0DDF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Imunološki poremećaji</w:t>
            </w:r>
          </w:p>
        </w:tc>
        <w:tc>
          <w:tcPr>
            <w:tcW w:w="1403" w:type="dxa"/>
          </w:tcPr>
          <w:p w14:paraId="7FCD0A23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780AD0A8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32" w:type="dxa"/>
          </w:tcPr>
          <w:p w14:paraId="51F3A541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79" w:type="dxa"/>
          </w:tcPr>
          <w:p w14:paraId="0B17A1EE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Preosjetljivost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na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lijek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476" w:type="dxa"/>
          </w:tcPr>
          <w:p w14:paraId="24ABEFD8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40E29481" w14:textId="77777777" w:rsidTr="00992F33">
        <w:tc>
          <w:tcPr>
            <w:tcW w:w="1923" w:type="dxa"/>
          </w:tcPr>
          <w:p w14:paraId="39340ACF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Poremećaji</w:t>
            </w:r>
          </w:p>
          <w:p w14:paraId="1C8F6ADD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metabolizma i ishrane</w:t>
            </w:r>
          </w:p>
        </w:tc>
        <w:tc>
          <w:tcPr>
            <w:tcW w:w="1403" w:type="dxa"/>
          </w:tcPr>
          <w:p w14:paraId="45035496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2BD0D017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Oslabljen apetit</w:t>
            </w:r>
          </w:p>
        </w:tc>
        <w:tc>
          <w:tcPr>
            <w:tcW w:w="1932" w:type="dxa"/>
          </w:tcPr>
          <w:p w14:paraId="04CBD4C8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79" w:type="dxa"/>
          </w:tcPr>
          <w:p w14:paraId="1AAEA8A4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398866F5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175F0FA1" w14:textId="77777777" w:rsidTr="00992F33">
        <w:tc>
          <w:tcPr>
            <w:tcW w:w="1923" w:type="dxa"/>
          </w:tcPr>
          <w:p w14:paraId="4F67E7FD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Psihijatrijski poremećaji</w:t>
            </w:r>
          </w:p>
        </w:tc>
        <w:tc>
          <w:tcPr>
            <w:tcW w:w="1403" w:type="dxa"/>
          </w:tcPr>
          <w:p w14:paraId="603BA78E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6B97D9D6" w14:textId="77777777" w:rsidR="00D979FF" w:rsidRPr="006565C6" w:rsidRDefault="00D979FF" w:rsidP="00BF78BD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Anksioznost, stanje konfuzije, halucinacije, poremećaj spavanja, abnormalni snovi </w:t>
            </w:r>
          </w:p>
        </w:tc>
        <w:tc>
          <w:tcPr>
            <w:tcW w:w="1932" w:type="dxa"/>
          </w:tcPr>
          <w:p w14:paraId="3B8CCC1F" w14:textId="77777777" w:rsidR="00D979FF" w:rsidRPr="006565C6" w:rsidRDefault="00D979FF" w:rsidP="00BF78BD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Depresivno raspoloženje,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dezorijentiranost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agitacija, nervoza, nemir, euforično raspoloženje </w:t>
            </w:r>
          </w:p>
        </w:tc>
        <w:tc>
          <w:tcPr>
            <w:tcW w:w="1579" w:type="dxa"/>
          </w:tcPr>
          <w:p w14:paraId="237F91F6" w14:textId="77777777" w:rsidR="00D979FF" w:rsidRPr="006565C6" w:rsidRDefault="00D979FF" w:rsidP="00BF78BD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Abnormalno razmišljanje </w:t>
            </w:r>
          </w:p>
        </w:tc>
        <w:tc>
          <w:tcPr>
            <w:tcW w:w="1476" w:type="dxa"/>
          </w:tcPr>
          <w:p w14:paraId="700F55E4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Delirijum**</w:t>
            </w:r>
          </w:p>
        </w:tc>
      </w:tr>
      <w:tr w:rsidR="00D979FF" w:rsidRPr="006565C6" w14:paraId="5256ED8A" w14:textId="77777777" w:rsidTr="00992F33">
        <w:tc>
          <w:tcPr>
            <w:tcW w:w="1923" w:type="dxa"/>
          </w:tcPr>
          <w:p w14:paraId="34E75A72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 xml:space="preserve">Poremećaji nervnog </w:t>
            </w:r>
          </w:p>
          <w:p w14:paraId="2A85A1C7" w14:textId="77777777" w:rsidR="00D979FF" w:rsidRPr="006565C6" w:rsidRDefault="00D979FF" w:rsidP="00BF78BD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sistema</w:t>
            </w:r>
          </w:p>
        </w:tc>
        <w:tc>
          <w:tcPr>
            <w:tcW w:w="1403" w:type="dxa"/>
          </w:tcPr>
          <w:p w14:paraId="639C2B61" w14:textId="77777777" w:rsidR="00D979FF" w:rsidRPr="006565C6" w:rsidRDefault="00D979FF" w:rsidP="00DC2526">
            <w:pPr>
              <w:spacing w:line="245" w:lineRule="auto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Vrtoglavica, </w:t>
            </w:r>
          </w:p>
          <w:p w14:paraId="79390B24" w14:textId="77777777" w:rsidR="00D979FF" w:rsidRPr="006565C6" w:rsidRDefault="00D979FF">
            <w:pPr>
              <w:spacing w:line="245" w:lineRule="auto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Pospanost,</w:t>
            </w:r>
          </w:p>
          <w:p w14:paraId="1C6D5B4B" w14:textId="77777777" w:rsidR="00D979FF" w:rsidRPr="006565C6" w:rsidRDefault="00D979FF">
            <w:pPr>
              <w:spacing w:line="245" w:lineRule="auto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glavobolja</w:t>
            </w:r>
          </w:p>
        </w:tc>
        <w:tc>
          <w:tcPr>
            <w:tcW w:w="1542" w:type="dxa"/>
          </w:tcPr>
          <w:p w14:paraId="2A53FF6C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Tremor</w:t>
            </w:r>
            <w:proofErr w:type="spellEnd"/>
          </w:p>
        </w:tc>
        <w:tc>
          <w:tcPr>
            <w:tcW w:w="1932" w:type="dxa"/>
          </w:tcPr>
          <w:p w14:paraId="737AAE65" w14:textId="77777777" w:rsidR="00D979FF" w:rsidRPr="006565C6" w:rsidRDefault="00D979FF" w:rsidP="00DC2526">
            <w:pPr>
              <w:spacing w:line="245" w:lineRule="auto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Smetnja u pažnji, oštećena funkcija pamćenja,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presinkopa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sedacija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ataksija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dizartrija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hipoestezija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parestezija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>, nevoljne kontrakcije mišića</w:t>
            </w:r>
          </w:p>
        </w:tc>
        <w:tc>
          <w:tcPr>
            <w:tcW w:w="1579" w:type="dxa"/>
          </w:tcPr>
          <w:p w14:paraId="44814291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Konvulzije, Smanjen nivo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svijesti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>,</w:t>
            </w:r>
          </w:p>
          <w:p w14:paraId="2DE3817B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poremećaj koordinacije</w:t>
            </w:r>
          </w:p>
        </w:tc>
        <w:tc>
          <w:tcPr>
            <w:tcW w:w="1476" w:type="dxa"/>
          </w:tcPr>
          <w:p w14:paraId="0BEB0622" w14:textId="77777777" w:rsidR="00D979FF" w:rsidRPr="006565C6" w:rsidRDefault="00D979FF" w:rsidP="00BF78BD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40C127C7" w14:textId="77777777" w:rsidTr="00992F33">
        <w:tc>
          <w:tcPr>
            <w:tcW w:w="1923" w:type="dxa"/>
          </w:tcPr>
          <w:p w14:paraId="6BE3A0E5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Poremećaj oka</w:t>
            </w:r>
          </w:p>
        </w:tc>
        <w:tc>
          <w:tcPr>
            <w:tcW w:w="1403" w:type="dxa"/>
          </w:tcPr>
          <w:p w14:paraId="16A06243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21E65B90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32" w:type="dxa"/>
          </w:tcPr>
          <w:p w14:paraId="1D537822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Poremećaj vida</w:t>
            </w:r>
          </w:p>
        </w:tc>
        <w:tc>
          <w:tcPr>
            <w:tcW w:w="1579" w:type="dxa"/>
          </w:tcPr>
          <w:p w14:paraId="26347B82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4672E4D2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25201D40" w14:textId="77777777" w:rsidTr="00992F33">
        <w:tc>
          <w:tcPr>
            <w:tcW w:w="1923" w:type="dxa"/>
          </w:tcPr>
          <w:p w14:paraId="4D1FCED1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Kardiološki poremećaji</w:t>
            </w:r>
          </w:p>
        </w:tc>
        <w:tc>
          <w:tcPr>
            <w:tcW w:w="1403" w:type="dxa"/>
          </w:tcPr>
          <w:p w14:paraId="584DF361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417EA6B5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32" w:type="dxa"/>
          </w:tcPr>
          <w:p w14:paraId="32CE38C2" w14:textId="77777777" w:rsidR="00D979FF" w:rsidRPr="006565C6" w:rsidRDefault="00D979FF" w:rsidP="00DC2526">
            <w:pPr>
              <w:spacing w:line="245" w:lineRule="auto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Ubrzan rad srca,</w:t>
            </w:r>
          </w:p>
          <w:p w14:paraId="2C643D80" w14:textId="77777777" w:rsidR="00D979FF" w:rsidRPr="006565C6" w:rsidRDefault="00D979FF">
            <w:pPr>
              <w:spacing w:line="245" w:lineRule="auto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palpitacije</w:t>
            </w:r>
            <w:proofErr w:type="spellEnd"/>
          </w:p>
        </w:tc>
        <w:tc>
          <w:tcPr>
            <w:tcW w:w="1579" w:type="dxa"/>
          </w:tcPr>
          <w:p w14:paraId="1C9814DE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Usporen rad srca,</w:t>
            </w:r>
          </w:p>
          <w:p w14:paraId="1165596D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782456BA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5A54FE2F" w14:textId="77777777" w:rsidTr="00992F33">
        <w:tc>
          <w:tcPr>
            <w:tcW w:w="1923" w:type="dxa"/>
          </w:tcPr>
          <w:p w14:paraId="5C0EE781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Vaskularni poremećaji</w:t>
            </w:r>
          </w:p>
        </w:tc>
        <w:tc>
          <w:tcPr>
            <w:tcW w:w="1403" w:type="dxa"/>
          </w:tcPr>
          <w:p w14:paraId="42D4361A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622C4F0C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Naleti crvenila (vrućine)</w:t>
            </w:r>
          </w:p>
        </w:tc>
        <w:tc>
          <w:tcPr>
            <w:tcW w:w="1932" w:type="dxa"/>
          </w:tcPr>
          <w:p w14:paraId="58E163C3" w14:textId="77777777" w:rsidR="00D979FF" w:rsidRPr="006565C6" w:rsidRDefault="00D979FF" w:rsidP="00DC2526">
            <w:pPr>
              <w:spacing w:line="245" w:lineRule="auto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Snižen krvni pritisak</w:t>
            </w:r>
          </w:p>
        </w:tc>
        <w:tc>
          <w:tcPr>
            <w:tcW w:w="1579" w:type="dxa"/>
          </w:tcPr>
          <w:p w14:paraId="59BD18F7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46738F80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79975A74" w14:textId="77777777" w:rsidTr="00992F33">
        <w:tc>
          <w:tcPr>
            <w:tcW w:w="1923" w:type="dxa"/>
          </w:tcPr>
          <w:p w14:paraId="09A8455E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Respiratorni,</w:t>
            </w:r>
          </w:p>
          <w:p w14:paraId="1779D708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 xml:space="preserve">torakalni i </w:t>
            </w:r>
            <w:proofErr w:type="spellStart"/>
            <w:r w:rsidRPr="006565C6">
              <w:rPr>
                <w:b/>
                <w:sz w:val="22"/>
                <w:szCs w:val="22"/>
                <w:lang w:val="sr-Latn-RS"/>
              </w:rPr>
              <w:t>medijastinalni</w:t>
            </w:r>
            <w:proofErr w:type="spellEnd"/>
            <w:r w:rsidRPr="006565C6">
              <w:rPr>
                <w:b/>
                <w:sz w:val="22"/>
                <w:szCs w:val="22"/>
                <w:lang w:val="sr-Latn-RS"/>
              </w:rPr>
              <w:t xml:space="preserve"> poremećaji</w:t>
            </w:r>
          </w:p>
        </w:tc>
        <w:tc>
          <w:tcPr>
            <w:tcW w:w="1403" w:type="dxa"/>
          </w:tcPr>
          <w:p w14:paraId="383B0401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4B1579BF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32" w:type="dxa"/>
          </w:tcPr>
          <w:p w14:paraId="11EC76FF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Respiratorna depresija, smanjena zasićenost kiseonikom,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dispneja</w:t>
            </w:r>
            <w:proofErr w:type="spellEnd"/>
          </w:p>
        </w:tc>
        <w:tc>
          <w:tcPr>
            <w:tcW w:w="1579" w:type="dxa"/>
          </w:tcPr>
          <w:p w14:paraId="379DC99D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3B4C4F9F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0D88D9DB" w14:textId="77777777" w:rsidTr="00992F33">
        <w:tc>
          <w:tcPr>
            <w:tcW w:w="1923" w:type="dxa"/>
          </w:tcPr>
          <w:p w14:paraId="3E761039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Gastrointestinalni poremećaji</w:t>
            </w:r>
          </w:p>
        </w:tc>
        <w:tc>
          <w:tcPr>
            <w:tcW w:w="1403" w:type="dxa"/>
          </w:tcPr>
          <w:p w14:paraId="52592CC1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Mučnina,</w:t>
            </w:r>
          </w:p>
          <w:p w14:paraId="4216BDFB" w14:textId="2556B7D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Opstipacija</w:t>
            </w:r>
          </w:p>
        </w:tc>
        <w:tc>
          <w:tcPr>
            <w:tcW w:w="1542" w:type="dxa"/>
          </w:tcPr>
          <w:p w14:paraId="7D83262A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povraćanje dijareja, dispepsija, suva usta</w:t>
            </w:r>
          </w:p>
        </w:tc>
        <w:tc>
          <w:tcPr>
            <w:tcW w:w="1932" w:type="dxa"/>
          </w:tcPr>
          <w:p w14:paraId="2B5C0D40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Nelagodnost u abdomenu</w:t>
            </w:r>
          </w:p>
        </w:tc>
        <w:tc>
          <w:tcPr>
            <w:tcW w:w="1579" w:type="dxa"/>
          </w:tcPr>
          <w:p w14:paraId="05750A9F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Poremećaj pražnjenja želuca</w:t>
            </w:r>
          </w:p>
        </w:tc>
        <w:tc>
          <w:tcPr>
            <w:tcW w:w="1476" w:type="dxa"/>
          </w:tcPr>
          <w:p w14:paraId="76253C57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53C38A17" w14:textId="77777777" w:rsidTr="00992F33">
        <w:tc>
          <w:tcPr>
            <w:tcW w:w="1923" w:type="dxa"/>
          </w:tcPr>
          <w:p w14:paraId="561A70F6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>Poremećaji kože i potkožnog tkiva</w:t>
            </w:r>
          </w:p>
        </w:tc>
        <w:tc>
          <w:tcPr>
            <w:tcW w:w="1403" w:type="dxa"/>
          </w:tcPr>
          <w:p w14:paraId="4F6C755E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0EDF757D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Pruritus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>,</w:t>
            </w:r>
          </w:p>
          <w:p w14:paraId="2DAAE3D3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Hiperhidroza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>,</w:t>
            </w:r>
          </w:p>
          <w:p w14:paraId="0FF2DDF6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osip</w:t>
            </w:r>
          </w:p>
        </w:tc>
        <w:tc>
          <w:tcPr>
            <w:tcW w:w="1932" w:type="dxa"/>
          </w:tcPr>
          <w:p w14:paraId="7339E4B4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Urtikarija</w:t>
            </w:r>
          </w:p>
        </w:tc>
        <w:tc>
          <w:tcPr>
            <w:tcW w:w="1579" w:type="dxa"/>
          </w:tcPr>
          <w:p w14:paraId="0F07D264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3A1F09B0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076D9616" w14:textId="77777777" w:rsidTr="00992F33">
        <w:tc>
          <w:tcPr>
            <w:tcW w:w="1923" w:type="dxa"/>
          </w:tcPr>
          <w:p w14:paraId="0F957671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b/>
                <w:sz w:val="22"/>
                <w:szCs w:val="22"/>
                <w:lang w:val="sr-Latn-RS"/>
              </w:rPr>
              <w:t>Poremecaj</w:t>
            </w:r>
            <w:proofErr w:type="spellEnd"/>
            <w:r w:rsidRPr="006565C6">
              <w:rPr>
                <w:b/>
                <w:sz w:val="22"/>
                <w:szCs w:val="22"/>
                <w:lang w:val="sr-Latn-RS"/>
              </w:rPr>
              <w:t xml:space="preserve"> mišićno skeletnog I vezivnog tkiva</w:t>
            </w:r>
          </w:p>
        </w:tc>
        <w:tc>
          <w:tcPr>
            <w:tcW w:w="1403" w:type="dxa"/>
          </w:tcPr>
          <w:p w14:paraId="73ED779B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78127C1A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Mišićni spazam</w:t>
            </w:r>
          </w:p>
        </w:tc>
        <w:tc>
          <w:tcPr>
            <w:tcW w:w="1932" w:type="dxa"/>
          </w:tcPr>
          <w:p w14:paraId="782FE8F4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Osjećaj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težine</w:t>
            </w:r>
          </w:p>
        </w:tc>
        <w:tc>
          <w:tcPr>
            <w:tcW w:w="1579" w:type="dxa"/>
          </w:tcPr>
          <w:p w14:paraId="6108CE0D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29D5BAD7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54F3D664" w14:textId="77777777" w:rsidTr="00992F33">
        <w:tc>
          <w:tcPr>
            <w:tcW w:w="1923" w:type="dxa"/>
          </w:tcPr>
          <w:p w14:paraId="12238484" w14:textId="77777777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 xml:space="preserve">Poremećaju bubrega i </w:t>
            </w:r>
            <w:proofErr w:type="spellStart"/>
            <w:r w:rsidRPr="006565C6">
              <w:rPr>
                <w:b/>
                <w:sz w:val="22"/>
                <w:szCs w:val="22"/>
                <w:lang w:val="sr-Latn-RS"/>
              </w:rPr>
              <w:t>urinarnog</w:t>
            </w:r>
            <w:proofErr w:type="spellEnd"/>
            <w:r w:rsidRPr="006565C6">
              <w:rPr>
                <w:b/>
                <w:sz w:val="22"/>
                <w:szCs w:val="22"/>
                <w:lang w:val="sr-Latn-RS"/>
              </w:rPr>
              <w:t xml:space="preserve"> sistema</w:t>
            </w:r>
          </w:p>
        </w:tc>
        <w:tc>
          <w:tcPr>
            <w:tcW w:w="1403" w:type="dxa"/>
          </w:tcPr>
          <w:p w14:paraId="779F6A1B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39B689D1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32" w:type="dxa"/>
          </w:tcPr>
          <w:p w14:paraId="2AD1E215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>Otežano započinjanje mokrenja,</w:t>
            </w:r>
          </w:p>
          <w:p w14:paraId="50DAFA39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polakiurija</w:t>
            </w:r>
            <w:proofErr w:type="spellEnd"/>
          </w:p>
        </w:tc>
        <w:tc>
          <w:tcPr>
            <w:tcW w:w="1579" w:type="dxa"/>
          </w:tcPr>
          <w:p w14:paraId="7BBE3831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4B7EA7B0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539FADEF" w14:textId="77777777" w:rsidTr="00992F33">
        <w:tc>
          <w:tcPr>
            <w:tcW w:w="1923" w:type="dxa"/>
          </w:tcPr>
          <w:p w14:paraId="297490CC" w14:textId="6EE00A01" w:rsidR="00D979FF" w:rsidRPr="006565C6" w:rsidRDefault="00D979FF" w:rsidP="00A026C3">
            <w:pPr>
              <w:spacing w:line="245" w:lineRule="auto"/>
              <w:jc w:val="both"/>
              <w:rPr>
                <w:b/>
                <w:sz w:val="22"/>
                <w:szCs w:val="22"/>
                <w:lang w:val="sr-Latn-RS"/>
              </w:rPr>
            </w:pPr>
            <w:r w:rsidRPr="006565C6">
              <w:rPr>
                <w:b/>
                <w:sz w:val="22"/>
                <w:szCs w:val="22"/>
                <w:lang w:val="sr-Latn-RS"/>
              </w:rPr>
              <w:t xml:space="preserve">Opšti poremećaji i reakcije na </w:t>
            </w:r>
            <w:proofErr w:type="spellStart"/>
            <w:r w:rsidRPr="006565C6">
              <w:rPr>
                <w:b/>
                <w:sz w:val="22"/>
                <w:szCs w:val="22"/>
                <w:lang w:val="sr-Latn-RS"/>
              </w:rPr>
              <w:t>m</w:t>
            </w:r>
            <w:r w:rsidR="00BD2530" w:rsidRPr="006565C6">
              <w:rPr>
                <w:b/>
                <w:sz w:val="22"/>
                <w:szCs w:val="22"/>
                <w:lang w:val="sr-Latn-RS"/>
              </w:rPr>
              <w:t>j</w:t>
            </w:r>
            <w:r w:rsidRPr="006565C6">
              <w:rPr>
                <w:b/>
                <w:sz w:val="22"/>
                <w:szCs w:val="22"/>
                <w:lang w:val="sr-Latn-RS"/>
              </w:rPr>
              <w:t>estu</w:t>
            </w:r>
            <w:proofErr w:type="spellEnd"/>
            <w:r w:rsidRPr="006565C6"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565C6">
              <w:rPr>
                <w:b/>
                <w:sz w:val="22"/>
                <w:szCs w:val="22"/>
                <w:lang w:val="sr-Latn-RS"/>
              </w:rPr>
              <w:t>primjene</w:t>
            </w:r>
            <w:proofErr w:type="spellEnd"/>
            <w:r w:rsidRPr="006565C6"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565C6">
              <w:rPr>
                <w:b/>
                <w:sz w:val="22"/>
                <w:szCs w:val="22"/>
                <w:lang w:val="sr-Latn-RS"/>
              </w:rPr>
              <w:t>lijeka</w:t>
            </w:r>
            <w:proofErr w:type="spellEnd"/>
          </w:p>
        </w:tc>
        <w:tc>
          <w:tcPr>
            <w:tcW w:w="1403" w:type="dxa"/>
          </w:tcPr>
          <w:p w14:paraId="77E3AD1C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542" w:type="dxa"/>
          </w:tcPr>
          <w:p w14:paraId="7475048E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Astenija, zamor, </w:t>
            </w:r>
          </w:p>
          <w:p w14:paraId="483C9F51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  <w:proofErr w:type="spellStart"/>
            <w:r w:rsidRPr="006565C6">
              <w:rPr>
                <w:sz w:val="22"/>
                <w:szCs w:val="22"/>
                <w:lang w:val="sr-Latn-RS"/>
              </w:rPr>
              <w:t>osjećaj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promjene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tjelesne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temperature</w:t>
            </w:r>
          </w:p>
          <w:p w14:paraId="58B8B746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32" w:type="dxa"/>
          </w:tcPr>
          <w:p w14:paraId="415BD1E5" w14:textId="77777777" w:rsidR="00D979FF" w:rsidRPr="006565C6" w:rsidRDefault="00D979FF" w:rsidP="00DC2526">
            <w:pPr>
              <w:spacing w:line="245" w:lineRule="auto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Sindrom ustezanja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lijeka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edem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nenormalan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osjećaj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osjećaj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opijenosti, razdražljivost,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osjećaj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relaksacije</w:t>
            </w:r>
          </w:p>
        </w:tc>
        <w:tc>
          <w:tcPr>
            <w:tcW w:w="1579" w:type="dxa"/>
          </w:tcPr>
          <w:p w14:paraId="7A901362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76" w:type="dxa"/>
          </w:tcPr>
          <w:p w14:paraId="0444849A" w14:textId="77777777" w:rsidR="00D979FF" w:rsidRPr="006565C6" w:rsidRDefault="00D979FF" w:rsidP="00A026C3">
            <w:pPr>
              <w:spacing w:line="245" w:lineRule="auto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D979FF" w:rsidRPr="006565C6" w14:paraId="448D5773" w14:textId="77777777" w:rsidTr="00992F33">
        <w:tc>
          <w:tcPr>
            <w:tcW w:w="8379" w:type="dxa"/>
            <w:gridSpan w:val="5"/>
          </w:tcPr>
          <w:p w14:paraId="2FE08730" w14:textId="77777777" w:rsidR="00D979FF" w:rsidRPr="006565C6" w:rsidRDefault="00D979FF" w:rsidP="00A026C3">
            <w:pPr>
              <w:spacing w:line="245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6565C6">
              <w:rPr>
                <w:i/>
                <w:sz w:val="22"/>
                <w:szCs w:val="22"/>
                <w:lang w:val="sr-Latn-RS"/>
              </w:rPr>
              <w:t>*</w:t>
            </w:r>
            <w:proofErr w:type="spellStart"/>
            <w:r w:rsidRPr="006565C6">
              <w:rPr>
                <w:i/>
                <w:sz w:val="22"/>
                <w:szCs w:val="22"/>
                <w:lang w:val="sr-Latn-RS"/>
              </w:rPr>
              <w:t>Postmarketinški</w:t>
            </w:r>
            <w:proofErr w:type="spellEnd"/>
            <w:r w:rsidRPr="006565C6">
              <w:rPr>
                <w:i/>
                <w:sz w:val="22"/>
                <w:szCs w:val="22"/>
                <w:lang w:val="sr-Latn-RS"/>
              </w:rPr>
              <w:t xml:space="preserve"> su prijavljeni </w:t>
            </w:r>
            <w:proofErr w:type="spellStart"/>
            <w:r w:rsidRPr="006565C6">
              <w:rPr>
                <w:i/>
                <w:sz w:val="22"/>
                <w:szCs w:val="22"/>
                <w:lang w:val="sr-Latn-RS"/>
              </w:rPr>
              <w:t>rijetki</w:t>
            </w:r>
            <w:proofErr w:type="spellEnd"/>
            <w:r w:rsidRPr="006565C6">
              <w:rPr>
                <w:i/>
                <w:sz w:val="22"/>
                <w:szCs w:val="22"/>
                <w:lang w:val="sr-Latn-RS"/>
              </w:rPr>
              <w:t xml:space="preserve"> događaji </w:t>
            </w:r>
            <w:proofErr w:type="spellStart"/>
            <w:r w:rsidRPr="006565C6">
              <w:rPr>
                <w:i/>
                <w:sz w:val="22"/>
                <w:szCs w:val="22"/>
                <w:lang w:val="sr-Latn-RS"/>
              </w:rPr>
              <w:t>angioedema</w:t>
            </w:r>
            <w:proofErr w:type="spellEnd"/>
            <w:r w:rsidRPr="006565C6">
              <w:rPr>
                <w:i/>
                <w:sz w:val="22"/>
                <w:szCs w:val="22"/>
                <w:lang w:val="sr-Latn-RS"/>
              </w:rPr>
              <w:t xml:space="preserve">, </w:t>
            </w:r>
            <w:proofErr w:type="spellStart"/>
            <w:r w:rsidRPr="006565C6">
              <w:rPr>
                <w:i/>
                <w:sz w:val="22"/>
                <w:szCs w:val="22"/>
                <w:lang w:val="sr-Latn-RS"/>
              </w:rPr>
              <w:t>anafilakse</w:t>
            </w:r>
            <w:proofErr w:type="spellEnd"/>
            <w:r w:rsidRPr="006565C6">
              <w:rPr>
                <w:i/>
                <w:sz w:val="22"/>
                <w:szCs w:val="22"/>
                <w:lang w:val="sr-Latn-RS"/>
              </w:rPr>
              <w:t xml:space="preserve"> i </w:t>
            </w:r>
            <w:proofErr w:type="spellStart"/>
            <w:r w:rsidRPr="006565C6">
              <w:rPr>
                <w:i/>
                <w:sz w:val="22"/>
                <w:szCs w:val="22"/>
                <w:lang w:val="sr-Latn-RS"/>
              </w:rPr>
              <w:t>anafilaktičkog</w:t>
            </w:r>
            <w:proofErr w:type="spellEnd"/>
            <w:r w:rsidRPr="006565C6">
              <w:rPr>
                <w:i/>
                <w:sz w:val="22"/>
                <w:szCs w:val="22"/>
                <w:lang w:val="sr-Latn-RS"/>
              </w:rPr>
              <w:t xml:space="preserve"> šoka</w:t>
            </w:r>
          </w:p>
          <w:p w14:paraId="53AEFC5A" w14:textId="77777777" w:rsidR="00D979FF" w:rsidRPr="006565C6" w:rsidRDefault="00D979FF" w:rsidP="00A026C3">
            <w:pPr>
              <w:spacing w:line="245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6565C6">
              <w:rPr>
                <w:i/>
                <w:sz w:val="22"/>
                <w:szCs w:val="22"/>
                <w:lang w:val="sr-Latn-RS"/>
              </w:rPr>
              <w:t>**</w:t>
            </w:r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565C6">
              <w:rPr>
                <w:i/>
                <w:sz w:val="22"/>
                <w:szCs w:val="22"/>
                <w:lang w:val="sr-Latn-RS"/>
              </w:rPr>
              <w:t>Postmarketinški</w:t>
            </w:r>
            <w:proofErr w:type="spellEnd"/>
            <w:r w:rsidRPr="006565C6">
              <w:rPr>
                <w:i/>
                <w:sz w:val="22"/>
                <w:szCs w:val="22"/>
                <w:lang w:val="sr-Latn-RS"/>
              </w:rPr>
              <w:t xml:space="preserve"> su prijavljeni slučajevi delirijuma kod pacijenata sa dodatnim faktorima rizika kao što su kancer ili kod starije populacije.</w:t>
            </w:r>
          </w:p>
        </w:tc>
        <w:tc>
          <w:tcPr>
            <w:tcW w:w="1476" w:type="dxa"/>
          </w:tcPr>
          <w:p w14:paraId="7B13E035" w14:textId="77777777" w:rsidR="00D979FF" w:rsidRPr="006565C6" w:rsidRDefault="00D979FF" w:rsidP="00A026C3">
            <w:pPr>
              <w:spacing w:line="245" w:lineRule="auto"/>
              <w:jc w:val="both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14:paraId="7D60BCE7" w14:textId="77777777" w:rsidR="00D979FF" w:rsidRPr="006565C6" w:rsidRDefault="00D979FF" w:rsidP="00A026C3">
      <w:pPr>
        <w:spacing w:line="246" w:lineRule="auto"/>
        <w:jc w:val="both"/>
        <w:rPr>
          <w:sz w:val="22"/>
          <w:szCs w:val="22"/>
          <w:lang w:val="sr-Latn-RS"/>
        </w:rPr>
      </w:pPr>
    </w:p>
    <w:p w14:paraId="033BD9DD" w14:textId="30E126E2" w:rsidR="00D979FF" w:rsidRPr="006565C6" w:rsidRDefault="00D979FF" w:rsidP="00A026C3">
      <w:pPr>
        <w:spacing w:line="250" w:lineRule="auto"/>
        <w:ind w:left="20" w:right="20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Klinička ispitivanja sprovedena sa </w:t>
      </w:r>
      <w:proofErr w:type="spellStart"/>
      <w:r w:rsidRPr="006565C6">
        <w:rPr>
          <w:sz w:val="22"/>
          <w:szCs w:val="22"/>
          <w:lang w:val="sr-Latn-RS"/>
        </w:rPr>
        <w:t>lijekom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u kome su pacijenti bili izlagani do godinu dana pokazali su minimalne dokaze o pojavi apstinencijalnih simptoma po nagloj obustavi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>, a po pravilu su klasifikovani kao blagi, ukoliko ih je bilo. Ipak, neophodno je pažljivo praćenje pacijenata kako bi se uočili eventualni apstinencijalni simptomi (</w:t>
      </w:r>
      <w:r w:rsidR="008927F3" w:rsidRPr="006565C6">
        <w:rPr>
          <w:sz w:val="22"/>
          <w:szCs w:val="22"/>
          <w:lang w:val="sr-Latn-RS"/>
        </w:rPr>
        <w:t xml:space="preserve">pogledati </w:t>
      </w:r>
      <w:proofErr w:type="spellStart"/>
      <w:r w:rsidR="008927F3" w:rsidRPr="006565C6">
        <w:rPr>
          <w:sz w:val="22"/>
          <w:szCs w:val="22"/>
          <w:lang w:val="sr-Latn-RS"/>
        </w:rPr>
        <w:t>dio</w:t>
      </w:r>
      <w:proofErr w:type="spellEnd"/>
      <w:r w:rsidRPr="006565C6">
        <w:rPr>
          <w:sz w:val="22"/>
          <w:szCs w:val="22"/>
          <w:lang w:val="sr-Latn-RS"/>
        </w:rPr>
        <w:t xml:space="preserve"> 4.2) i u slučaju da se pojave, adekvatno </w:t>
      </w:r>
      <w:proofErr w:type="spellStart"/>
      <w:r w:rsidRPr="006565C6">
        <w:rPr>
          <w:sz w:val="22"/>
          <w:szCs w:val="22"/>
          <w:lang w:val="sr-Latn-RS"/>
        </w:rPr>
        <w:t>liječenje</w:t>
      </w:r>
      <w:proofErr w:type="spellEnd"/>
      <w:r w:rsidRPr="006565C6">
        <w:rPr>
          <w:sz w:val="22"/>
          <w:szCs w:val="22"/>
          <w:lang w:val="sr-Latn-RS"/>
        </w:rPr>
        <w:t xml:space="preserve"> pacijenta.</w:t>
      </w:r>
    </w:p>
    <w:p w14:paraId="2A21B526" w14:textId="77777777" w:rsidR="00D979FF" w:rsidRPr="006565C6" w:rsidRDefault="00D979FF" w:rsidP="00A026C3">
      <w:pPr>
        <w:spacing w:line="208" w:lineRule="exact"/>
        <w:jc w:val="both"/>
        <w:rPr>
          <w:sz w:val="22"/>
          <w:szCs w:val="22"/>
          <w:lang w:val="sr-Latn-RS"/>
        </w:rPr>
      </w:pPr>
    </w:p>
    <w:p w14:paraId="6A2F3FAE" w14:textId="77777777" w:rsidR="00D979FF" w:rsidRPr="006565C6" w:rsidRDefault="00D979FF" w:rsidP="008B495D">
      <w:pPr>
        <w:spacing w:line="250" w:lineRule="auto"/>
        <w:ind w:left="20" w:right="20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Poznato je da je rizik od suicida i </w:t>
      </w:r>
      <w:proofErr w:type="spellStart"/>
      <w:r w:rsidRPr="006565C6">
        <w:rPr>
          <w:sz w:val="22"/>
          <w:szCs w:val="22"/>
          <w:lang w:val="sr-Latn-RS"/>
        </w:rPr>
        <w:t>suicidalnih</w:t>
      </w:r>
      <w:proofErr w:type="spellEnd"/>
      <w:r w:rsidRPr="006565C6">
        <w:rPr>
          <w:sz w:val="22"/>
          <w:szCs w:val="22"/>
          <w:lang w:val="sr-Latn-RS"/>
        </w:rPr>
        <w:t xml:space="preserve"> ideja veći kod pacijenata koji pate od hroničnog bola. Pored toga, supstance sa izraženim dejstvom na </w:t>
      </w:r>
      <w:proofErr w:type="spellStart"/>
      <w:r w:rsidRPr="006565C6">
        <w:rPr>
          <w:sz w:val="22"/>
          <w:szCs w:val="22"/>
          <w:lang w:val="sr-Latn-RS"/>
        </w:rPr>
        <w:t>monoaminergički</w:t>
      </w:r>
      <w:proofErr w:type="spellEnd"/>
      <w:r w:rsidRPr="006565C6">
        <w:rPr>
          <w:sz w:val="22"/>
          <w:szCs w:val="22"/>
          <w:lang w:val="sr-Latn-RS"/>
        </w:rPr>
        <w:t xml:space="preserve"> sistem dovode se u vezu sa pojačanim rizikom od suicida kod pacijenata koji pate od depresije, a posebno na početku terapije. U slučaju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, podaci iz kliničkih ispitivanja i </w:t>
      </w:r>
      <w:proofErr w:type="spellStart"/>
      <w:r w:rsidRPr="006565C6">
        <w:rPr>
          <w:sz w:val="22"/>
          <w:szCs w:val="22"/>
          <w:lang w:val="sr-Latn-RS"/>
        </w:rPr>
        <w:t>postmarketinškog</w:t>
      </w:r>
      <w:proofErr w:type="spellEnd"/>
      <w:r w:rsidRPr="006565C6">
        <w:rPr>
          <w:sz w:val="22"/>
          <w:szCs w:val="22"/>
          <w:lang w:val="sr-Latn-RS"/>
        </w:rPr>
        <w:t xml:space="preserve"> praćenja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ne daju dokaze o povećanju ovog rizika.</w:t>
      </w:r>
    </w:p>
    <w:p w14:paraId="30D63440" w14:textId="77777777" w:rsidR="00175C6F" w:rsidRPr="006565C6" w:rsidRDefault="00175C6F" w:rsidP="008B495D">
      <w:pPr>
        <w:spacing w:line="250" w:lineRule="auto"/>
        <w:ind w:left="20" w:right="20"/>
        <w:jc w:val="both"/>
        <w:rPr>
          <w:sz w:val="22"/>
          <w:szCs w:val="22"/>
          <w:lang w:val="sr-Latn-RS"/>
        </w:rPr>
      </w:pPr>
    </w:p>
    <w:p w14:paraId="10705AF1" w14:textId="0E4FC50B" w:rsidR="00175C6F" w:rsidRPr="006565C6" w:rsidRDefault="00175C6F" w:rsidP="008B495D">
      <w:pPr>
        <w:spacing w:line="250" w:lineRule="auto"/>
        <w:ind w:left="20" w:right="20"/>
        <w:jc w:val="both"/>
        <w:rPr>
          <w:b/>
          <w:bCs/>
          <w:i/>
          <w:iCs/>
          <w:sz w:val="22"/>
          <w:szCs w:val="22"/>
          <w:lang w:val="sr-Latn-RS"/>
        </w:rPr>
      </w:pPr>
      <w:r w:rsidRPr="006565C6">
        <w:rPr>
          <w:b/>
          <w:bCs/>
          <w:i/>
          <w:iCs/>
          <w:sz w:val="22"/>
          <w:szCs w:val="22"/>
          <w:lang w:val="sr-Latn-RS"/>
        </w:rPr>
        <w:t>Pedij</w:t>
      </w:r>
      <w:r w:rsidR="00710319" w:rsidRPr="006565C6">
        <w:rPr>
          <w:b/>
          <w:bCs/>
          <w:i/>
          <w:iCs/>
          <w:sz w:val="22"/>
          <w:szCs w:val="22"/>
          <w:lang w:val="sr-Latn-RS"/>
        </w:rPr>
        <w:t>a</w:t>
      </w:r>
      <w:r w:rsidRPr="006565C6">
        <w:rPr>
          <w:b/>
          <w:bCs/>
          <w:i/>
          <w:iCs/>
          <w:sz w:val="22"/>
          <w:szCs w:val="22"/>
          <w:lang w:val="sr-Latn-RS"/>
        </w:rPr>
        <w:t>trijska populacija</w:t>
      </w:r>
    </w:p>
    <w:p w14:paraId="3603CDF1" w14:textId="77777777" w:rsidR="00D205D4" w:rsidRPr="006565C6" w:rsidRDefault="00D205D4" w:rsidP="008B495D">
      <w:pPr>
        <w:spacing w:line="250" w:lineRule="auto"/>
        <w:ind w:left="20" w:right="20"/>
        <w:jc w:val="both"/>
        <w:rPr>
          <w:b/>
          <w:bCs/>
          <w:i/>
          <w:iCs/>
          <w:sz w:val="22"/>
          <w:szCs w:val="22"/>
          <w:lang w:val="sr-Latn-RS"/>
        </w:rPr>
      </w:pPr>
    </w:p>
    <w:p w14:paraId="15BB506E" w14:textId="1AA8E141" w:rsidR="00D205D4" w:rsidRPr="006565C6" w:rsidRDefault="00D205D4" w:rsidP="00992F3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sr-Latn-RS"/>
        </w:rPr>
      </w:pPr>
      <w:r w:rsidRPr="006565C6">
        <w:rPr>
          <w:rStyle w:val="normaltextrun"/>
          <w:sz w:val="22"/>
          <w:szCs w:val="22"/>
          <w:lang w:val="sr-Latn-RS"/>
        </w:rPr>
        <w:t xml:space="preserve">Učestalost, tip i ozbiljnost neželjenih reakcija kod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d</w:t>
      </w:r>
      <w:r w:rsidR="001B417D" w:rsidRPr="006565C6">
        <w:rPr>
          <w:rStyle w:val="normaltextrun"/>
          <w:sz w:val="22"/>
          <w:szCs w:val="22"/>
          <w:lang w:val="sr-Latn-RS"/>
        </w:rPr>
        <w:t>j</w:t>
      </w:r>
      <w:r w:rsidRPr="006565C6">
        <w:rPr>
          <w:rStyle w:val="normaltextrun"/>
          <w:sz w:val="22"/>
          <w:szCs w:val="22"/>
          <w:lang w:val="sr-Latn-RS"/>
        </w:rPr>
        <w:t>ece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i adolescenata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l</w:t>
      </w:r>
      <w:r w:rsidR="001B417D" w:rsidRPr="006565C6">
        <w:rPr>
          <w:rStyle w:val="normaltextrun"/>
          <w:sz w:val="22"/>
          <w:szCs w:val="22"/>
          <w:lang w:val="sr-Latn-RS"/>
        </w:rPr>
        <w:t>ij</w:t>
      </w:r>
      <w:r w:rsidRPr="006565C6">
        <w:rPr>
          <w:rStyle w:val="normaltextrun"/>
          <w:sz w:val="22"/>
          <w:szCs w:val="22"/>
          <w:lang w:val="sr-Latn-RS"/>
        </w:rPr>
        <w:t>ečenih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l</w:t>
      </w:r>
      <w:r w:rsidR="001B417D" w:rsidRPr="006565C6">
        <w:rPr>
          <w:rStyle w:val="normaltextrun"/>
          <w:sz w:val="22"/>
          <w:szCs w:val="22"/>
          <w:lang w:val="sr-Latn-RS"/>
        </w:rPr>
        <w:t>ij</w:t>
      </w:r>
      <w:r w:rsidRPr="006565C6">
        <w:rPr>
          <w:rStyle w:val="normaltextrun"/>
          <w:sz w:val="22"/>
          <w:szCs w:val="22"/>
          <w:lang w:val="sr-Latn-RS"/>
        </w:rPr>
        <w:t>ekom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Palexia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očekuje se da budu isti kao i kod odraslih koji se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l</w:t>
      </w:r>
      <w:r w:rsidR="001B417D" w:rsidRPr="006565C6">
        <w:rPr>
          <w:rStyle w:val="normaltextrun"/>
          <w:sz w:val="22"/>
          <w:szCs w:val="22"/>
          <w:lang w:val="sr-Latn-RS"/>
        </w:rPr>
        <w:t>ij</w:t>
      </w:r>
      <w:r w:rsidRPr="006565C6">
        <w:rPr>
          <w:rStyle w:val="normaltextrun"/>
          <w:sz w:val="22"/>
          <w:szCs w:val="22"/>
          <w:lang w:val="sr-Latn-RS"/>
        </w:rPr>
        <w:t>eče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l</w:t>
      </w:r>
      <w:r w:rsidR="00D851EC" w:rsidRPr="006565C6">
        <w:rPr>
          <w:rStyle w:val="normaltextrun"/>
          <w:sz w:val="22"/>
          <w:szCs w:val="22"/>
          <w:lang w:val="sr-Latn-RS"/>
        </w:rPr>
        <w:t>ij</w:t>
      </w:r>
      <w:r w:rsidRPr="006565C6">
        <w:rPr>
          <w:rStyle w:val="normaltextrun"/>
          <w:sz w:val="22"/>
          <w:szCs w:val="22"/>
          <w:lang w:val="sr-Latn-RS"/>
        </w:rPr>
        <w:t>ekom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Palexia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. Od završenih pedijatrijskih ispitivanja nisu utvrđena nova pitanja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bezb</w:t>
      </w:r>
      <w:r w:rsidR="00D851EC" w:rsidRPr="006565C6">
        <w:rPr>
          <w:rStyle w:val="normaltextrun"/>
          <w:sz w:val="22"/>
          <w:szCs w:val="22"/>
          <w:lang w:val="sr-Latn-RS"/>
        </w:rPr>
        <w:t>j</w:t>
      </w:r>
      <w:r w:rsidRPr="006565C6">
        <w:rPr>
          <w:rStyle w:val="normaltextrun"/>
          <w:sz w:val="22"/>
          <w:szCs w:val="22"/>
          <w:lang w:val="sr-Latn-RS"/>
        </w:rPr>
        <w:t>ednosti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ni za jedno od ispitivane starosne podgrupe.</w:t>
      </w:r>
      <w:r w:rsidRPr="006565C6">
        <w:rPr>
          <w:rStyle w:val="eop"/>
          <w:sz w:val="22"/>
          <w:szCs w:val="22"/>
          <w:lang w:val="sr-Latn-RS"/>
        </w:rPr>
        <w:t> </w:t>
      </w:r>
    </w:p>
    <w:p w14:paraId="4E093685" w14:textId="77777777" w:rsidR="00D205D4" w:rsidRPr="006565C6" w:rsidRDefault="00D205D4" w:rsidP="00A273F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sr-Latn-RS"/>
        </w:rPr>
      </w:pPr>
      <w:r w:rsidRPr="006565C6">
        <w:rPr>
          <w:rStyle w:val="eop"/>
          <w:sz w:val="22"/>
          <w:szCs w:val="22"/>
          <w:lang w:val="sr-Latn-RS"/>
        </w:rPr>
        <w:lastRenderedPageBreak/>
        <w:t> </w:t>
      </w:r>
    </w:p>
    <w:p w14:paraId="527D7840" w14:textId="1277F596" w:rsidR="00D205D4" w:rsidRPr="006565C6" w:rsidRDefault="00D205D4" w:rsidP="00A273F2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sr-Latn-RS"/>
        </w:rPr>
      </w:pPr>
      <w:r w:rsidRPr="006565C6">
        <w:rPr>
          <w:rStyle w:val="normaltextrun"/>
          <w:sz w:val="22"/>
          <w:szCs w:val="22"/>
          <w:lang w:val="sr-Latn-RS"/>
        </w:rPr>
        <w:t xml:space="preserve">Nema podataka o kliničkim ispitivanjima apstinencijalnih simptoma kod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d</w:t>
      </w:r>
      <w:r w:rsidR="00D851EC" w:rsidRPr="006565C6">
        <w:rPr>
          <w:rStyle w:val="normaltextrun"/>
          <w:sz w:val="22"/>
          <w:szCs w:val="22"/>
          <w:lang w:val="sr-Latn-RS"/>
        </w:rPr>
        <w:t>j</w:t>
      </w:r>
      <w:r w:rsidRPr="006565C6">
        <w:rPr>
          <w:rStyle w:val="normaltextrun"/>
          <w:sz w:val="22"/>
          <w:szCs w:val="22"/>
          <w:lang w:val="sr-Latn-RS"/>
        </w:rPr>
        <w:t>ece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koja koriste formulaciju sa trenutnim oslobađanjem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tapentadola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; međutim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l</w:t>
      </w:r>
      <w:r w:rsidR="00D851EC" w:rsidRPr="006565C6">
        <w:rPr>
          <w:rStyle w:val="normaltextrun"/>
          <w:sz w:val="22"/>
          <w:szCs w:val="22"/>
          <w:lang w:val="sr-Latn-RS"/>
        </w:rPr>
        <w:t>j</w:t>
      </w:r>
      <w:r w:rsidRPr="006565C6">
        <w:rPr>
          <w:rStyle w:val="normaltextrun"/>
          <w:sz w:val="22"/>
          <w:szCs w:val="22"/>
          <w:lang w:val="sr-Latn-RS"/>
        </w:rPr>
        <w:t>ekari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treba da budu oprezni zbog apstinencijalnih simptoma nakon ponovljenog davanja </w:t>
      </w:r>
      <w:proofErr w:type="spellStart"/>
      <w:r w:rsidRPr="006565C6">
        <w:rPr>
          <w:rStyle w:val="normaltextrun"/>
          <w:sz w:val="22"/>
          <w:szCs w:val="22"/>
          <w:lang w:val="sr-Latn-RS"/>
        </w:rPr>
        <w:t>tapentadola</w:t>
      </w:r>
      <w:proofErr w:type="spellEnd"/>
      <w:r w:rsidRPr="006565C6">
        <w:rPr>
          <w:rStyle w:val="normaltextrun"/>
          <w:sz w:val="22"/>
          <w:szCs w:val="22"/>
          <w:lang w:val="sr-Latn-RS"/>
        </w:rPr>
        <w:t xml:space="preserve"> i njegovog naglog prestanka (</w:t>
      </w:r>
      <w:r w:rsidR="00D851EC" w:rsidRPr="006565C6">
        <w:rPr>
          <w:rStyle w:val="normaltextrun"/>
          <w:sz w:val="22"/>
          <w:szCs w:val="22"/>
          <w:lang w:val="sr-Latn-RS"/>
        </w:rPr>
        <w:t xml:space="preserve">pogledati </w:t>
      </w:r>
      <w:proofErr w:type="spellStart"/>
      <w:r w:rsidR="00D851EC" w:rsidRPr="006565C6">
        <w:rPr>
          <w:rStyle w:val="normaltextrun"/>
          <w:sz w:val="22"/>
          <w:szCs w:val="22"/>
          <w:lang w:val="sr-Latn-RS"/>
        </w:rPr>
        <w:t>dio</w:t>
      </w:r>
      <w:proofErr w:type="spellEnd"/>
      <w:r w:rsidR="00D851EC" w:rsidRPr="006565C6">
        <w:rPr>
          <w:rStyle w:val="normaltextrun"/>
          <w:sz w:val="22"/>
          <w:szCs w:val="22"/>
          <w:lang w:val="sr-Latn-RS"/>
        </w:rPr>
        <w:t xml:space="preserve"> </w:t>
      </w:r>
      <w:r w:rsidRPr="006565C6">
        <w:rPr>
          <w:rStyle w:val="normaltextrun"/>
          <w:sz w:val="22"/>
          <w:szCs w:val="22"/>
          <w:lang w:val="sr-Latn-RS"/>
        </w:rPr>
        <w:t>4.2).</w:t>
      </w:r>
      <w:r w:rsidRPr="006565C6">
        <w:rPr>
          <w:rStyle w:val="eop"/>
          <w:sz w:val="22"/>
          <w:szCs w:val="22"/>
          <w:lang w:val="sr-Latn-RS"/>
        </w:rPr>
        <w:t> </w:t>
      </w:r>
    </w:p>
    <w:p w14:paraId="31AAF4FE" w14:textId="77777777" w:rsidR="00D979FF" w:rsidRPr="006565C6" w:rsidRDefault="00D979FF" w:rsidP="008B495D">
      <w:pPr>
        <w:jc w:val="both"/>
        <w:rPr>
          <w:noProof/>
          <w:sz w:val="22"/>
          <w:szCs w:val="22"/>
          <w:u w:val="single"/>
          <w:lang w:val="sr-Latn-RS"/>
        </w:rPr>
      </w:pPr>
    </w:p>
    <w:p w14:paraId="6DA36EA6" w14:textId="77777777" w:rsidR="005A23D2" w:rsidRPr="006565C6" w:rsidRDefault="005A23D2" w:rsidP="008B495D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6565C6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6DA36EA7" w14:textId="79CEB875" w:rsidR="005A23D2" w:rsidRPr="006565C6" w:rsidRDefault="005A23D2" w:rsidP="00992F33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6565C6">
        <w:rPr>
          <w:rFonts w:eastAsia="Calibri"/>
          <w:sz w:val="22"/>
          <w:szCs w:val="22"/>
          <w:lang w:val="sr-Latn-RS"/>
        </w:rPr>
        <w:t>Prijavljivanje neželjenih dejstava nakon dobijanja dozvole</w:t>
      </w:r>
      <w:r w:rsidR="00DC2526" w:rsidRPr="006565C6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="00DC2526" w:rsidRPr="006565C6">
        <w:rPr>
          <w:rFonts w:eastAsia="Calibri"/>
          <w:sz w:val="22"/>
          <w:szCs w:val="22"/>
          <w:lang w:val="sr-Latn-RS"/>
        </w:rPr>
        <w:t>lijek</w:t>
      </w:r>
      <w:proofErr w:type="spellEnd"/>
      <w:r w:rsidR="00DC2526" w:rsidRPr="006565C6">
        <w:rPr>
          <w:rFonts w:eastAsia="Calibri"/>
          <w:sz w:val="22"/>
          <w:szCs w:val="22"/>
          <w:lang w:val="sr-Latn-RS"/>
        </w:rPr>
        <w:t xml:space="preserve"> </w:t>
      </w:r>
      <w:r w:rsidRPr="006565C6">
        <w:rPr>
          <w:rFonts w:eastAsia="Calibri"/>
          <w:sz w:val="22"/>
          <w:szCs w:val="22"/>
          <w:lang w:val="sr-Latn-RS"/>
        </w:rPr>
        <w:t xml:space="preserve"> je od velikog značaja jer 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obezbjeđuje</w:t>
      </w:r>
      <w:proofErr w:type="spellEnd"/>
      <w:r w:rsidRPr="006565C6">
        <w:rPr>
          <w:rFonts w:eastAsia="Calibri"/>
          <w:sz w:val="22"/>
          <w:szCs w:val="22"/>
          <w:lang w:val="sr-Latn-RS"/>
        </w:rPr>
        <w:t xml:space="preserve"> kont</w:t>
      </w:r>
      <w:r w:rsidR="00EA5765" w:rsidRPr="006565C6">
        <w:rPr>
          <w:rFonts w:eastAsia="Calibri"/>
          <w:sz w:val="22"/>
          <w:szCs w:val="22"/>
          <w:lang w:val="sr-Latn-RS"/>
        </w:rPr>
        <w:t>inuirano praćenje odnosa korist</w:t>
      </w:r>
      <w:r w:rsidRPr="006565C6">
        <w:rPr>
          <w:rFonts w:eastAsia="Calibri"/>
          <w:sz w:val="22"/>
          <w:szCs w:val="22"/>
          <w:lang w:val="sr-Latn-RS"/>
        </w:rPr>
        <w:t xml:space="preserve">/rizik 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primjene</w:t>
      </w:r>
      <w:proofErr w:type="spellEnd"/>
      <w:r w:rsidRPr="006565C6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lijeka</w:t>
      </w:r>
      <w:proofErr w:type="spellEnd"/>
      <w:r w:rsidRPr="006565C6">
        <w:rPr>
          <w:rFonts w:eastAsia="Calibri"/>
          <w:sz w:val="22"/>
          <w:szCs w:val="22"/>
          <w:lang w:val="sr-Latn-RS"/>
        </w:rPr>
        <w:t>. Zdravstveni radnici treba da prijave svaku sumnju na neželjeno</w:t>
      </w:r>
      <w:r w:rsidR="009B062A" w:rsidRPr="006565C6">
        <w:rPr>
          <w:rFonts w:eastAsia="Calibri"/>
          <w:sz w:val="22"/>
          <w:szCs w:val="22"/>
          <w:lang w:val="sr-Latn-RS"/>
        </w:rPr>
        <w:t xml:space="preserve"> </w:t>
      </w:r>
      <w:r w:rsidRPr="006565C6">
        <w:rPr>
          <w:rFonts w:eastAsia="Calibri"/>
          <w:sz w:val="22"/>
          <w:szCs w:val="22"/>
          <w:lang w:val="sr-Latn-RS"/>
        </w:rPr>
        <w:t xml:space="preserve">dejstvo ovog 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lijeka</w:t>
      </w:r>
      <w:proofErr w:type="spellEnd"/>
      <w:r w:rsidRPr="006565C6">
        <w:rPr>
          <w:rFonts w:eastAsia="Calibri"/>
          <w:sz w:val="22"/>
          <w:szCs w:val="22"/>
          <w:lang w:val="sr-Latn-RS"/>
        </w:rPr>
        <w:t xml:space="preserve"> </w:t>
      </w:r>
      <w:r w:rsidR="004E70AD" w:rsidRPr="006565C6">
        <w:rPr>
          <w:rFonts w:eastAsia="Calibri"/>
          <w:sz w:val="22"/>
          <w:szCs w:val="22"/>
          <w:lang w:val="sr-Latn-RS"/>
        </w:rPr>
        <w:t>Institutu</w:t>
      </w:r>
      <w:r w:rsidRPr="006565C6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ljekove</w:t>
      </w:r>
      <w:proofErr w:type="spellEnd"/>
      <w:r w:rsidRPr="006565C6">
        <w:rPr>
          <w:rFonts w:eastAsia="Calibri"/>
          <w:sz w:val="22"/>
          <w:szCs w:val="22"/>
          <w:lang w:val="sr-Latn-RS"/>
        </w:rPr>
        <w:t xml:space="preserve"> i medicinska sredstva</w:t>
      </w:r>
      <w:r w:rsidR="004E70AD" w:rsidRPr="006565C6">
        <w:rPr>
          <w:rFonts w:eastAsia="Calibri"/>
          <w:sz w:val="22"/>
          <w:szCs w:val="22"/>
          <w:lang w:val="sr-Latn-RS"/>
        </w:rPr>
        <w:t xml:space="preserve"> </w:t>
      </w:r>
      <w:r w:rsidRPr="006565C6">
        <w:rPr>
          <w:rFonts w:eastAsia="Calibri"/>
          <w:sz w:val="22"/>
          <w:szCs w:val="22"/>
          <w:lang w:val="sr-Latn-RS"/>
        </w:rPr>
        <w:t>(</w:t>
      </w:r>
      <w:r w:rsidR="004E70AD" w:rsidRPr="006565C6">
        <w:rPr>
          <w:rFonts w:eastAsia="Calibri"/>
          <w:sz w:val="22"/>
          <w:szCs w:val="22"/>
          <w:lang w:val="sr-Latn-RS"/>
        </w:rPr>
        <w:t>CInMED</w:t>
      </w:r>
      <w:r w:rsidRPr="006565C6">
        <w:rPr>
          <w:rFonts w:eastAsia="Calibri"/>
          <w:sz w:val="22"/>
          <w:szCs w:val="22"/>
          <w:lang w:val="sr-Latn-RS"/>
        </w:rPr>
        <w:t>):</w:t>
      </w:r>
    </w:p>
    <w:p w14:paraId="6DA36EA8" w14:textId="77777777" w:rsidR="005A23D2" w:rsidRPr="006565C6" w:rsidRDefault="004E70AD" w:rsidP="00A273F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565C6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6565C6">
        <w:rPr>
          <w:rFonts w:eastAsia="Calibri"/>
          <w:sz w:val="22"/>
          <w:szCs w:val="22"/>
          <w:lang w:val="sr-Latn-RS"/>
        </w:rPr>
        <w:t xml:space="preserve">za </w:t>
      </w:r>
      <w:proofErr w:type="spellStart"/>
      <w:r w:rsidR="005A23D2" w:rsidRPr="006565C6">
        <w:rPr>
          <w:rFonts w:eastAsia="Calibri"/>
          <w:sz w:val="22"/>
          <w:szCs w:val="22"/>
          <w:lang w:val="sr-Latn-RS"/>
        </w:rPr>
        <w:t>ljekove</w:t>
      </w:r>
      <w:proofErr w:type="spellEnd"/>
      <w:r w:rsidR="005A23D2" w:rsidRPr="006565C6">
        <w:rPr>
          <w:rFonts w:eastAsia="Calibri"/>
          <w:sz w:val="22"/>
          <w:szCs w:val="22"/>
          <w:lang w:val="sr-Latn-RS"/>
        </w:rPr>
        <w:t xml:space="preserve"> i medicinska sredstva </w:t>
      </w:r>
    </w:p>
    <w:p w14:paraId="6DA36EA9" w14:textId="77777777" w:rsidR="005A23D2" w:rsidRPr="006565C6" w:rsidRDefault="005A23D2" w:rsidP="00A273F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6565C6">
        <w:rPr>
          <w:rFonts w:eastAsia="Calibri"/>
          <w:sz w:val="22"/>
          <w:szCs w:val="22"/>
          <w:lang w:val="sr-Latn-RS"/>
        </w:rPr>
        <w:t>Odjeljenje</w:t>
      </w:r>
      <w:proofErr w:type="spellEnd"/>
      <w:r w:rsidRPr="006565C6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farmakovigilancu</w:t>
      </w:r>
      <w:proofErr w:type="spellEnd"/>
    </w:p>
    <w:p w14:paraId="6DA36EAA" w14:textId="77777777" w:rsidR="00EA5765" w:rsidRPr="006565C6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565C6">
        <w:rPr>
          <w:rFonts w:eastAsia="Calibri"/>
          <w:sz w:val="22"/>
          <w:szCs w:val="22"/>
          <w:lang w:val="sr-Latn-RS"/>
        </w:rPr>
        <w:t xml:space="preserve">Bulevar Ivana Crnojevića 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64a</w:t>
      </w:r>
      <w:proofErr w:type="spellEnd"/>
      <w:r w:rsidRPr="006565C6">
        <w:rPr>
          <w:rFonts w:eastAsia="Calibri"/>
          <w:sz w:val="22"/>
          <w:szCs w:val="22"/>
          <w:lang w:val="sr-Latn-RS"/>
        </w:rPr>
        <w:t>, 81000 Podgorica</w:t>
      </w:r>
    </w:p>
    <w:p w14:paraId="6DA36EAB" w14:textId="77777777" w:rsidR="00EA5765" w:rsidRPr="006565C6" w:rsidRDefault="00EA5765" w:rsidP="008B495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DA36EAC" w14:textId="77777777" w:rsidR="005A23D2" w:rsidRPr="006565C6" w:rsidRDefault="005A23D2" w:rsidP="00992F3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565C6">
        <w:rPr>
          <w:rFonts w:eastAsia="Calibri"/>
          <w:sz w:val="22"/>
          <w:szCs w:val="22"/>
          <w:lang w:val="sr-Latn-RS"/>
        </w:rPr>
        <w:t>tel: +382 (0) 20 310 280</w:t>
      </w:r>
    </w:p>
    <w:p w14:paraId="6DA36EAD" w14:textId="77777777" w:rsidR="00EA5765" w:rsidRPr="006565C6" w:rsidRDefault="005A23D2" w:rsidP="00A273F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6565C6">
        <w:rPr>
          <w:rFonts w:eastAsia="Calibri"/>
          <w:sz w:val="22"/>
          <w:szCs w:val="22"/>
          <w:lang w:val="sr-Latn-RS"/>
        </w:rPr>
        <w:t>fax</w:t>
      </w:r>
      <w:proofErr w:type="spellEnd"/>
      <w:r w:rsidRPr="006565C6">
        <w:rPr>
          <w:rFonts w:eastAsia="Calibri"/>
          <w:sz w:val="22"/>
          <w:szCs w:val="22"/>
          <w:lang w:val="sr-Latn-RS"/>
        </w:rPr>
        <w:t>:</w:t>
      </w:r>
      <w:r w:rsidR="00EA5765" w:rsidRPr="006565C6">
        <w:rPr>
          <w:rFonts w:eastAsia="Calibri"/>
          <w:sz w:val="22"/>
          <w:szCs w:val="22"/>
          <w:lang w:val="sr-Latn-RS"/>
        </w:rPr>
        <w:t xml:space="preserve"> </w:t>
      </w:r>
      <w:r w:rsidRPr="006565C6">
        <w:rPr>
          <w:rFonts w:eastAsia="Calibri"/>
          <w:sz w:val="22"/>
          <w:szCs w:val="22"/>
          <w:lang w:val="sr-Latn-RS"/>
        </w:rPr>
        <w:t>+382 (0) 20 310 581</w:t>
      </w:r>
      <w:r w:rsidR="00FF3EDF" w:rsidRPr="006565C6">
        <w:rPr>
          <w:rFonts w:eastAsia="Calibri"/>
          <w:sz w:val="22"/>
          <w:szCs w:val="22"/>
          <w:lang w:val="sr-Latn-RS"/>
        </w:rPr>
        <w:tab/>
      </w:r>
    </w:p>
    <w:p w14:paraId="6DA36EAE" w14:textId="77777777" w:rsidR="005A23D2" w:rsidRPr="006565C6" w:rsidRDefault="0020229F" w:rsidP="00A273F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proofErr w:type="spellStart"/>
        <w:r w:rsidR="004E70AD" w:rsidRPr="006565C6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  <w:proofErr w:type="spellEnd"/>
      </w:hyperlink>
    </w:p>
    <w:p w14:paraId="6DA36EAF" w14:textId="77777777" w:rsidR="00EA5765" w:rsidRPr="006565C6" w:rsidRDefault="0020229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proofErr w:type="spellStart"/>
        <w:r w:rsidR="004E70AD" w:rsidRPr="006565C6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  <w:proofErr w:type="spellEnd"/>
      </w:hyperlink>
    </w:p>
    <w:p w14:paraId="6DA36EB0" w14:textId="77777777" w:rsidR="005A23D2" w:rsidRPr="006565C6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565C6">
        <w:rPr>
          <w:rFonts w:eastAsia="Calibri"/>
          <w:sz w:val="22"/>
          <w:szCs w:val="22"/>
          <w:lang w:val="sr-Latn-RS"/>
        </w:rPr>
        <w:t>putem IS zdravstvene zaštite</w:t>
      </w:r>
    </w:p>
    <w:p w14:paraId="6DA36EB1" w14:textId="77777777" w:rsidR="007E31E9" w:rsidRPr="006565C6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6565C6">
        <w:rPr>
          <w:rFonts w:eastAsia="Calibri"/>
          <w:sz w:val="22"/>
          <w:szCs w:val="22"/>
          <w:lang w:val="sr-Latn-RS"/>
        </w:rPr>
        <w:t>QR</w:t>
      </w:r>
      <w:proofErr w:type="spellEnd"/>
      <w:r w:rsidRPr="006565C6">
        <w:rPr>
          <w:rFonts w:eastAsia="Calibri"/>
          <w:sz w:val="22"/>
          <w:szCs w:val="22"/>
          <w:lang w:val="sr-Latn-RS"/>
        </w:rPr>
        <w:t xml:space="preserve"> kod za </w:t>
      </w:r>
      <w:proofErr w:type="spellStart"/>
      <w:r w:rsidRPr="006565C6">
        <w:rPr>
          <w:rFonts w:eastAsia="Calibri"/>
          <w:sz w:val="22"/>
          <w:szCs w:val="22"/>
          <w:lang w:val="sr-Latn-RS"/>
        </w:rPr>
        <w:t>online</w:t>
      </w:r>
      <w:proofErr w:type="spellEnd"/>
      <w:r w:rsidRPr="006565C6">
        <w:rPr>
          <w:rFonts w:eastAsia="Calibri"/>
          <w:sz w:val="22"/>
          <w:szCs w:val="22"/>
          <w:lang w:val="sr-Latn-RS"/>
        </w:rPr>
        <w:t xml:space="preserve"> prijavu</w:t>
      </w:r>
      <w:r w:rsidR="00D74CD2" w:rsidRPr="006565C6">
        <w:rPr>
          <w:rFonts w:eastAsia="Calibri"/>
          <w:sz w:val="22"/>
          <w:szCs w:val="22"/>
          <w:lang w:val="sr-Latn-RS"/>
        </w:rPr>
        <w:t xml:space="preserve"> sumnje na neželjeno dejstvo </w:t>
      </w:r>
      <w:proofErr w:type="spellStart"/>
      <w:r w:rsidR="00D74CD2" w:rsidRPr="006565C6">
        <w:rPr>
          <w:rFonts w:eastAsia="Calibri"/>
          <w:sz w:val="22"/>
          <w:szCs w:val="22"/>
          <w:lang w:val="sr-Latn-RS"/>
        </w:rPr>
        <w:t>lijeka</w:t>
      </w:r>
      <w:proofErr w:type="spellEnd"/>
      <w:r w:rsidRPr="006565C6">
        <w:rPr>
          <w:rFonts w:eastAsia="Calibri"/>
          <w:sz w:val="22"/>
          <w:szCs w:val="22"/>
          <w:lang w:val="sr-Latn-RS"/>
        </w:rPr>
        <w:t>:</w:t>
      </w:r>
    </w:p>
    <w:p w14:paraId="6DA36EB2" w14:textId="77777777" w:rsidR="007E31E9" w:rsidRPr="006565C6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DA36EB3" w14:textId="77777777" w:rsidR="004F17E2" w:rsidRPr="006565C6" w:rsidRDefault="007E31E9" w:rsidP="008B495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565C6">
        <w:rPr>
          <w:noProof/>
          <w:sz w:val="22"/>
          <w:szCs w:val="22"/>
          <w:lang w:val="sr-Latn-ME" w:eastAsia="sr-Latn-ME"/>
        </w:rPr>
        <w:drawing>
          <wp:inline distT="0" distB="0" distL="0" distR="0" wp14:anchorId="6DA36EE9" wp14:editId="6DA36EEA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6EB4" w14:textId="77777777" w:rsidR="00836B35" w:rsidRPr="006565C6" w:rsidRDefault="00836B35" w:rsidP="008B49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DA36EB5" w14:textId="77777777" w:rsidR="00CD6F02" w:rsidRPr="006565C6" w:rsidRDefault="0072020E" w:rsidP="008B49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4.9.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proofErr w:type="spellStart"/>
      <w:r w:rsidRPr="006565C6">
        <w:rPr>
          <w:b/>
          <w:bCs/>
          <w:sz w:val="22"/>
          <w:szCs w:val="22"/>
          <w:lang w:val="sr-Latn-RS"/>
        </w:rPr>
        <w:t>Predoziranje</w:t>
      </w:r>
      <w:proofErr w:type="spellEnd"/>
      <w:r w:rsidR="002846DB" w:rsidRPr="006565C6">
        <w:rPr>
          <w:b/>
          <w:bCs/>
          <w:sz w:val="22"/>
          <w:szCs w:val="22"/>
          <w:lang w:val="sr-Latn-RS"/>
        </w:rPr>
        <w:t xml:space="preserve"> </w:t>
      </w:r>
    </w:p>
    <w:p w14:paraId="4857B626" w14:textId="77777777" w:rsidR="0062477F" w:rsidRPr="006565C6" w:rsidRDefault="0062477F" w:rsidP="008B49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466D808" w14:textId="77777777" w:rsidR="0062477F" w:rsidRPr="006565C6" w:rsidRDefault="0062477F" w:rsidP="008B495D">
      <w:pPr>
        <w:spacing w:line="0" w:lineRule="atLeas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Simptomi</w:t>
      </w:r>
    </w:p>
    <w:p w14:paraId="787A65A6" w14:textId="77777777" w:rsidR="0062477F" w:rsidRPr="006565C6" w:rsidRDefault="0062477F" w:rsidP="008B495D">
      <w:pPr>
        <w:spacing w:line="25" w:lineRule="exact"/>
        <w:jc w:val="both"/>
        <w:rPr>
          <w:sz w:val="22"/>
          <w:szCs w:val="22"/>
          <w:lang w:val="sr-Latn-RS"/>
        </w:rPr>
      </w:pPr>
    </w:p>
    <w:p w14:paraId="0A9A7ABB" w14:textId="25FF92E8" w:rsidR="0062477F" w:rsidRPr="006565C6" w:rsidRDefault="0062477F" w:rsidP="008B495D">
      <w:pPr>
        <w:spacing w:line="25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Iskustva sa </w:t>
      </w:r>
      <w:proofErr w:type="spellStart"/>
      <w:r w:rsidRPr="006565C6">
        <w:rPr>
          <w:sz w:val="22"/>
          <w:szCs w:val="22"/>
          <w:lang w:val="sr-Latn-RS"/>
        </w:rPr>
        <w:t>predoziranjem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su veoma ograničena. </w:t>
      </w:r>
      <w:proofErr w:type="spellStart"/>
      <w:r w:rsidRPr="006565C6">
        <w:rPr>
          <w:sz w:val="22"/>
          <w:szCs w:val="22"/>
          <w:lang w:val="sr-Latn-RS"/>
        </w:rPr>
        <w:t>Pretklinički</w:t>
      </w:r>
      <w:proofErr w:type="spellEnd"/>
      <w:r w:rsidRPr="006565C6">
        <w:rPr>
          <w:sz w:val="22"/>
          <w:szCs w:val="22"/>
          <w:lang w:val="sr-Latn-RS"/>
        </w:rPr>
        <w:t xml:space="preserve"> podaci ukazuju da pri </w:t>
      </w:r>
      <w:proofErr w:type="spellStart"/>
      <w:r w:rsidRPr="006565C6">
        <w:rPr>
          <w:sz w:val="22"/>
          <w:szCs w:val="22"/>
          <w:lang w:val="sr-Latn-RS"/>
        </w:rPr>
        <w:t>intoksikaciji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tapentadolom</w:t>
      </w:r>
      <w:proofErr w:type="spellEnd"/>
      <w:r w:rsidRPr="006565C6">
        <w:rPr>
          <w:sz w:val="22"/>
          <w:szCs w:val="22"/>
          <w:lang w:val="sr-Latn-RS"/>
        </w:rPr>
        <w:t xml:space="preserve"> mogu da se očekuju simptomi slični onima koje daju analgetici sa centralnim </w:t>
      </w:r>
      <w:proofErr w:type="spellStart"/>
      <w:r w:rsidRPr="006565C6">
        <w:rPr>
          <w:sz w:val="22"/>
          <w:szCs w:val="22"/>
          <w:lang w:val="sr-Latn-RS"/>
        </w:rPr>
        <w:t>d</w:t>
      </w:r>
      <w:r w:rsidR="00D851EC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elovanjem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agonističkom</w:t>
      </w:r>
      <w:proofErr w:type="spellEnd"/>
      <w:r w:rsidRPr="006565C6">
        <w:rPr>
          <w:sz w:val="22"/>
          <w:szCs w:val="22"/>
          <w:lang w:val="sr-Latn-RS"/>
        </w:rPr>
        <w:t xml:space="preserve"> aktivnošću na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receptorima. U principu, ovi simptomi u kliničkom okruženju uključuju </w:t>
      </w:r>
      <w:proofErr w:type="spellStart"/>
      <w:r w:rsidRPr="006565C6">
        <w:rPr>
          <w:sz w:val="22"/>
          <w:szCs w:val="22"/>
          <w:lang w:val="sr-Latn-RS"/>
        </w:rPr>
        <w:t>miozu</w:t>
      </w:r>
      <w:proofErr w:type="spellEnd"/>
      <w:r w:rsidRPr="006565C6">
        <w:rPr>
          <w:sz w:val="22"/>
          <w:szCs w:val="22"/>
          <w:lang w:val="sr-Latn-RS"/>
        </w:rPr>
        <w:t xml:space="preserve">, povraćanje, </w:t>
      </w:r>
      <w:proofErr w:type="spellStart"/>
      <w:r w:rsidRPr="006565C6">
        <w:rPr>
          <w:sz w:val="22"/>
          <w:szCs w:val="22"/>
          <w:lang w:val="sr-Latn-RS"/>
        </w:rPr>
        <w:t>kardiovaskularni</w:t>
      </w:r>
      <w:proofErr w:type="spellEnd"/>
      <w:r w:rsidRPr="006565C6">
        <w:rPr>
          <w:sz w:val="22"/>
          <w:szCs w:val="22"/>
          <w:lang w:val="sr-Latn-RS"/>
        </w:rPr>
        <w:t xml:space="preserve"> kolaps, poremećaje </w:t>
      </w:r>
      <w:proofErr w:type="spellStart"/>
      <w:r w:rsidRPr="006565C6">
        <w:rPr>
          <w:sz w:val="22"/>
          <w:szCs w:val="22"/>
          <w:lang w:val="sr-Latn-RS"/>
        </w:rPr>
        <w:t>svijesti</w:t>
      </w:r>
      <w:proofErr w:type="spellEnd"/>
      <w:r w:rsidRPr="006565C6">
        <w:rPr>
          <w:sz w:val="22"/>
          <w:szCs w:val="22"/>
          <w:lang w:val="sr-Latn-RS"/>
        </w:rPr>
        <w:t xml:space="preserve"> do nivoa kome, konvulzije i respiratornu depresiju do nivoa zastoja disanja.</w:t>
      </w:r>
    </w:p>
    <w:p w14:paraId="63632149" w14:textId="77777777" w:rsidR="0062477F" w:rsidRPr="006565C6" w:rsidRDefault="0062477F" w:rsidP="008B495D">
      <w:pPr>
        <w:spacing w:line="253" w:lineRule="auto"/>
        <w:jc w:val="both"/>
        <w:rPr>
          <w:sz w:val="22"/>
          <w:szCs w:val="22"/>
          <w:lang w:val="sr-Latn-RS"/>
        </w:rPr>
      </w:pPr>
    </w:p>
    <w:p w14:paraId="6D00E70D" w14:textId="77777777" w:rsidR="0062477F" w:rsidRPr="006565C6" w:rsidRDefault="0062477F" w:rsidP="008B495D">
      <w:pPr>
        <w:spacing w:line="0" w:lineRule="atLeas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Terapija</w:t>
      </w:r>
    </w:p>
    <w:p w14:paraId="56ACCF63" w14:textId="77777777" w:rsidR="0062477F" w:rsidRPr="006565C6" w:rsidRDefault="0062477F" w:rsidP="008B495D">
      <w:pPr>
        <w:spacing w:line="20" w:lineRule="exact"/>
        <w:jc w:val="both"/>
        <w:rPr>
          <w:sz w:val="22"/>
          <w:szCs w:val="22"/>
          <w:lang w:val="sr-Latn-RS"/>
        </w:rPr>
      </w:pPr>
    </w:p>
    <w:p w14:paraId="3E9CF7EF" w14:textId="77777777" w:rsidR="0062477F" w:rsidRPr="006565C6" w:rsidRDefault="0062477F" w:rsidP="000A5187">
      <w:pPr>
        <w:spacing w:line="24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U slučaju </w:t>
      </w:r>
      <w:proofErr w:type="spellStart"/>
      <w:r w:rsidRPr="006565C6">
        <w:rPr>
          <w:sz w:val="22"/>
          <w:szCs w:val="22"/>
          <w:lang w:val="sr-Latn-RS"/>
        </w:rPr>
        <w:t>predoziranja</w:t>
      </w:r>
      <w:proofErr w:type="spellEnd"/>
      <w:r w:rsidRPr="006565C6">
        <w:rPr>
          <w:sz w:val="22"/>
          <w:szCs w:val="22"/>
          <w:lang w:val="sr-Latn-RS"/>
        </w:rPr>
        <w:t xml:space="preserve">, terapiju treba </w:t>
      </w:r>
      <w:proofErr w:type="spellStart"/>
      <w:r w:rsidRPr="006565C6">
        <w:rPr>
          <w:sz w:val="22"/>
          <w:szCs w:val="22"/>
          <w:lang w:val="sr-Latn-RS"/>
        </w:rPr>
        <w:t>usmjeriti</w:t>
      </w:r>
      <w:proofErr w:type="spellEnd"/>
      <w:r w:rsidRPr="006565C6">
        <w:rPr>
          <w:sz w:val="22"/>
          <w:szCs w:val="22"/>
          <w:lang w:val="sr-Latn-RS"/>
        </w:rPr>
        <w:t xml:space="preserve"> na kontrolu simptoma uzrokovanih </w:t>
      </w:r>
      <w:proofErr w:type="spellStart"/>
      <w:r w:rsidRPr="006565C6">
        <w:rPr>
          <w:sz w:val="22"/>
          <w:szCs w:val="22"/>
          <w:lang w:val="sr-Latn-RS"/>
        </w:rPr>
        <w:t>agonističkim</w:t>
      </w:r>
      <w:proofErr w:type="spellEnd"/>
      <w:r w:rsidRPr="006565C6">
        <w:rPr>
          <w:sz w:val="22"/>
          <w:szCs w:val="22"/>
          <w:lang w:val="sr-Latn-RS"/>
        </w:rPr>
        <w:t xml:space="preserve"> dejstvom na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receptorima. Kada se sumnja na </w:t>
      </w:r>
      <w:proofErr w:type="spellStart"/>
      <w:r w:rsidRPr="006565C6">
        <w:rPr>
          <w:sz w:val="22"/>
          <w:szCs w:val="22"/>
          <w:lang w:val="sr-Latn-RS"/>
        </w:rPr>
        <w:t>predoziranje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tapentadolom</w:t>
      </w:r>
      <w:proofErr w:type="spellEnd"/>
      <w:r w:rsidRPr="006565C6">
        <w:rPr>
          <w:sz w:val="22"/>
          <w:szCs w:val="22"/>
          <w:lang w:val="sr-Latn-RS"/>
        </w:rPr>
        <w:t xml:space="preserve"> primarnu pažnju treba posvetiti ponovnom uspostavljanju prohodnosti disajnih puteva i uvođenju asistirane ili kontrolisane ventilacije.</w:t>
      </w:r>
    </w:p>
    <w:p w14:paraId="26E0660A" w14:textId="77777777" w:rsidR="0062477F" w:rsidRPr="006565C6" w:rsidRDefault="0062477F" w:rsidP="000A5187">
      <w:pPr>
        <w:spacing w:line="244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Čisti antagonisti 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 kao što je </w:t>
      </w:r>
      <w:proofErr w:type="spellStart"/>
      <w:r w:rsidRPr="006565C6">
        <w:rPr>
          <w:sz w:val="22"/>
          <w:szCs w:val="22"/>
          <w:lang w:val="sr-Latn-RS"/>
        </w:rPr>
        <w:t>nalokson</w:t>
      </w:r>
      <w:proofErr w:type="spellEnd"/>
      <w:r w:rsidRPr="006565C6">
        <w:rPr>
          <w:sz w:val="22"/>
          <w:szCs w:val="22"/>
          <w:lang w:val="sr-Latn-RS"/>
        </w:rPr>
        <w:t xml:space="preserve"> su specifični antidoti za respiratornu depresiju koja je posljedica </w:t>
      </w:r>
      <w:proofErr w:type="spellStart"/>
      <w:r w:rsidRPr="006565C6">
        <w:rPr>
          <w:sz w:val="22"/>
          <w:szCs w:val="22"/>
          <w:lang w:val="sr-Latn-RS"/>
        </w:rPr>
        <w:t>predoziranja</w:t>
      </w:r>
      <w:proofErr w:type="spellEnd"/>
      <w:r w:rsidRPr="006565C6">
        <w:rPr>
          <w:sz w:val="22"/>
          <w:szCs w:val="22"/>
          <w:lang w:val="sr-Latn-RS"/>
        </w:rPr>
        <w:t xml:space="preserve">. Respiratorna depresija zbog </w:t>
      </w:r>
      <w:proofErr w:type="spellStart"/>
      <w:r w:rsidRPr="006565C6">
        <w:rPr>
          <w:sz w:val="22"/>
          <w:szCs w:val="22"/>
          <w:lang w:val="sr-Latn-RS"/>
        </w:rPr>
        <w:t>predoziranja</w:t>
      </w:r>
      <w:proofErr w:type="spellEnd"/>
      <w:r w:rsidRPr="006565C6">
        <w:rPr>
          <w:sz w:val="22"/>
          <w:szCs w:val="22"/>
          <w:lang w:val="sr-Latn-RS"/>
        </w:rPr>
        <w:t xml:space="preserve"> može da traje duže od dejstva antagonista 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receptora. Davanje antagonista 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 nije </w:t>
      </w:r>
      <w:proofErr w:type="spellStart"/>
      <w:r w:rsidRPr="006565C6">
        <w:rPr>
          <w:sz w:val="22"/>
          <w:szCs w:val="22"/>
          <w:lang w:val="sr-Latn-RS"/>
        </w:rPr>
        <w:t>zamjena</w:t>
      </w:r>
      <w:proofErr w:type="spellEnd"/>
      <w:r w:rsidRPr="006565C6">
        <w:rPr>
          <w:sz w:val="22"/>
          <w:szCs w:val="22"/>
          <w:lang w:val="sr-Latn-RS"/>
        </w:rPr>
        <w:t xml:space="preserve"> za kontinuirano praćenje disajnih puteva, procesa disanja i cirkulacije nakon </w:t>
      </w:r>
      <w:proofErr w:type="spellStart"/>
      <w:r w:rsidRPr="006565C6">
        <w:rPr>
          <w:sz w:val="22"/>
          <w:szCs w:val="22"/>
          <w:lang w:val="sr-Latn-RS"/>
        </w:rPr>
        <w:t>predoziranja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opioidima</w:t>
      </w:r>
      <w:proofErr w:type="spellEnd"/>
      <w:r w:rsidRPr="006565C6">
        <w:rPr>
          <w:sz w:val="22"/>
          <w:szCs w:val="22"/>
          <w:lang w:val="sr-Latn-RS"/>
        </w:rPr>
        <w:t xml:space="preserve">. Ako je odgovor na antagoniste </w:t>
      </w:r>
      <w:proofErr w:type="spellStart"/>
      <w:r w:rsidRPr="006565C6">
        <w:rPr>
          <w:sz w:val="22"/>
          <w:szCs w:val="22"/>
          <w:lang w:val="sr-Latn-RS"/>
        </w:rPr>
        <w:t>opioidnih</w:t>
      </w:r>
      <w:proofErr w:type="spellEnd"/>
      <w:r w:rsidRPr="006565C6">
        <w:rPr>
          <w:sz w:val="22"/>
          <w:szCs w:val="22"/>
          <w:lang w:val="sr-Latn-RS"/>
        </w:rPr>
        <w:t xml:space="preserve"> receptora </w:t>
      </w:r>
      <w:proofErr w:type="spellStart"/>
      <w:r w:rsidRPr="006565C6">
        <w:rPr>
          <w:sz w:val="22"/>
          <w:szCs w:val="22"/>
          <w:lang w:val="sr-Latn-RS"/>
        </w:rPr>
        <w:t>suboptimalan</w:t>
      </w:r>
      <w:proofErr w:type="spellEnd"/>
      <w:r w:rsidRPr="006565C6">
        <w:rPr>
          <w:sz w:val="22"/>
          <w:szCs w:val="22"/>
          <w:lang w:val="sr-Latn-RS"/>
        </w:rPr>
        <w:t xml:space="preserve"> ili po prirodi, samo kratkotrajan, treba dati dodatnu dozu antagonista (npr. </w:t>
      </w:r>
      <w:proofErr w:type="spellStart"/>
      <w:r w:rsidRPr="006565C6">
        <w:rPr>
          <w:sz w:val="22"/>
          <w:szCs w:val="22"/>
          <w:lang w:val="sr-Latn-RS"/>
        </w:rPr>
        <w:t>naloksona</w:t>
      </w:r>
      <w:proofErr w:type="spellEnd"/>
      <w:r w:rsidRPr="006565C6">
        <w:rPr>
          <w:sz w:val="22"/>
          <w:szCs w:val="22"/>
          <w:lang w:val="sr-Latn-RS"/>
        </w:rPr>
        <w:t xml:space="preserve">) u skladu sa uputstvom za upotrebu proizvođača tog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09B75BC9" w14:textId="33BF4BE3" w:rsidR="0062477F" w:rsidRPr="006565C6" w:rsidRDefault="0062477F" w:rsidP="000A5187">
      <w:pPr>
        <w:spacing w:line="253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Gastrointestinalna dekontaminacija se može razmotriti u cilju eliminacije </w:t>
      </w:r>
      <w:proofErr w:type="spellStart"/>
      <w:r w:rsidRPr="006565C6">
        <w:rPr>
          <w:sz w:val="22"/>
          <w:szCs w:val="22"/>
          <w:lang w:val="sr-Latn-RS"/>
        </w:rPr>
        <w:t>neresorbovane</w:t>
      </w:r>
      <w:proofErr w:type="spellEnd"/>
      <w:r w:rsidRPr="006565C6">
        <w:rPr>
          <w:sz w:val="22"/>
          <w:szCs w:val="22"/>
          <w:lang w:val="sr-Latn-RS"/>
        </w:rPr>
        <w:t xml:space="preserve"> aktivne supstance. Gastrointestinalna dekontaminacija se može vršiti aktivnim ugljem ili ispiranjem želuca u roku od 2 sata od uzimanja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. Prije započinjanja gastrointestinalne dekontaminacije važno je da se </w:t>
      </w:r>
      <w:proofErr w:type="spellStart"/>
      <w:r w:rsidRPr="006565C6">
        <w:rPr>
          <w:sz w:val="22"/>
          <w:szCs w:val="22"/>
          <w:lang w:val="sr-Latn-RS"/>
        </w:rPr>
        <w:t>obezb</w:t>
      </w:r>
      <w:r w:rsidR="00835139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>jedi</w:t>
      </w:r>
      <w:proofErr w:type="spellEnd"/>
      <w:r w:rsidRPr="006565C6">
        <w:rPr>
          <w:sz w:val="22"/>
          <w:szCs w:val="22"/>
          <w:lang w:val="sr-Latn-RS"/>
        </w:rPr>
        <w:t xml:space="preserve"> prohodnost disajnih puteva.</w:t>
      </w:r>
    </w:p>
    <w:p w14:paraId="5A48F2CD" w14:textId="7915B7C2" w:rsidR="0062477F" w:rsidRDefault="0062477F" w:rsidP="00E435BE">
      <w:pPr>
        <w:jc w:val="both"/>
        <w:rPr>
          <w:sz w:val="22"/>
          <w:szCs w:val="22"/>
          <w:lang w:val="sr-Latn-RS"/>
        </w:rPr>
      </w:pPr>
    </w:p>
    <w:p w14:paraId="51378E6D" w14:textId="173D5CAE" w:rsidR="006565C6" w:rsidRDefault="006565C6" w:rsidP="00E435BE">
      <w:pPr>
        <w:jc w:val="both"/>
        <w:rPr>
          <w:sz w:val="22"/>
          <w:szCs w:val="22"/>
          <w:lang w:val="sr-Latn-RS"/>
        </w:rPr>
      </w:pPr>
    </w:p>
    <w:p w14:paraId="281935B0" w14:textId="77777777" w:rsidR="006565C6" w:rsidRPr="006565C6" w:rsidRDefault="006565C6" w:rsidP="00E435BE">
      <w:pPr>
        <w:jc w:val="both"/>
        <w:rPr>
          <w:sz w:val="22"/>
          <w:szCs w:val="22"/>
          <w:lang w:val="sr-Latn-RS"/>
        </w:rPr>
      </w:pPr>
    </w:p>
    <w:p w14:paraId="6DA36EB8" w14:textId="77777777" w:rsidR="0072020E" w:rsidRPr="006565C6" w:rsidRDefault="0072020E" w:rsidP="00E43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lastRenderedPageBreak/>
        <w:t xml:space="preserve">5.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FARMAKOLOŠK</w:t>
      </w:r>
      <w:r w:rsidR="000D425A" w:rsidRPr="006565C6">
        <w:rPr>
          <w:b/>
          <w:bCs/>
          <w:sz w:val="22"/>
          <w:szCs w:val="22"/>
          <w:lang w:val="sr-Latn-RS"/>
        </w:rPr>
        <w:t>I</w:t>
      </w:r>
      <w:r w:rsidRPr="006565C6">
        <w:rPr>
          <w:b/>
          <w:bCs/>
          <w:sz w:val="22"/>
          <w:szCs w:val="22"/>
          <w:lang w:val="sr-Latn-RS"/>
        </w:rPr>
        <w:t xml:space="preserve"> PODACI</w:t>
      </w:r>
    </w:p>
    <w:p w14:paraId="6DA36EB9" w14:textId="77777777" w:rsidR="0072020E" w:rsidRPr="006565C6" w:rsidRDefault="0072020E" w:rsidP="00E43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DA36EBA" w14:textId="77777777" w:rsidR="0072020E" w:rsidRPr="006565C6" w:rsidRDefault="0072020E" w:rsidP="00E43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5.1.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proofErr w:type="spellStart"/>
      <w:r w:rsidRPr="006565C6">
        <w:rPr>
          <w:b/>
          <w:bCs/>
          <w:sz w:val="22"/>
          <w:szCs w:val="22"/>
          <w:lang w:val="sr-Latn-RS"/>
        </w:rPr>
        <w:t>Farmakodinamski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podaci</w:t>
      </w:r>
      <w:r w:rsidR="003A7059" w:rsidRPr="006565C6">
        <w:rPr>
          <w:b/>
          <w:bCs/>
          <w:sz w:val="22"/>
          <w:szCs w:val="22"/>
          <w:lang w:val="sr-Latn-RS"/>
        </w:rPr>
        <w:t xml:space="preserve"> </w:t>
      </w:r>
    </w:p>
    <w:p w14:paraId="6DA36EBB" w14:textId="77777777" w:rsidR="00F45F77" w:rsidRPr="006565C6" w:rsidRDefault="00F45F77" w:rsidP="00E43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C01A536" w14:textId="0289F16F" w:rsidR="000E1F7E" w:rsidRPr="006565C6" w:rsidRDefault="0072020E" w:rsidP="00E435BE">
      <w:pPr>
        <w:jc w:val="both"/>
        <w:rPr>
          <w:b/>
          <w:bCs/>
          <w:sz w:val="22"/>
          <w:szCs w:val="22"/>
          <w:lang w:val="sr-Latn-RS"/>
        </w:rPr>
      </w:pPr>
      <w:proofErr w:type="spellStart"/>
      <w:r w:rsidRPr="006565C6">
        <w:rPr>
          <w:bCs/>
          <w:sz w:val="22"/>
          <w:szCs w:val="22"/>
          <w:lang w:val="sr-Latn-RS"/>
        </w:rPr>
        <w:t>Farmakoterapijska</w:t>
      </w:r>
      <w:proofErr w:type="spellEnd"/>
      <w:r w:rsidRPr="006565C6">
        <w:rPr>
          <w:bCs/>
          <w:sz w:val="22"/>
          <w:szCs w:val="22"/>
          <w:lang w:val="sr-Latn-RS"/>
        </w:rPr>
        <w:t xml:space="preserve"> grupa:</w:t>
      </w:r>
      <w:r w:rsidR="000E1F7E" w:rsidRPr="006565C6">
        <w:rPr>
          <w:sz w:val="22"/>
          <w:szCs w:val="22"/>
          <w:lang w:val="sr-Latn-RS"/>
        </w:rPr>
        <w:t xml:space="preserve"> Analgetici; </w:t>
      </w:r>
      <w:proofErr w:type="spellStart"/>
      <w:r w:rsidR="000E1F7E" w:rsidRPr="006565C6">
        <w:rPr>
          <w:sz w:val="22"/>
          <w:szCs w:val="22"/>
          <w:lang w:val="sr-Latn-RS"/>
        </w:rPr>
        <w:t>opioidi</w:t>
      </w:r>
      <w:proofErr w:type="spellEnd"/>
      <w:r w:rsidR="000E1F7E" w:rsidRPr="006565C6">
        <w:rPr>
          <w:sz w:val="22"/>
          <w:szCs w:val="22"/>
          <w:lang w:val="sr-Latn-RS"/>
        </w:rPr>
        <w:t>; ostali</w:t>
      </w:r>
      <w:r w:rsidR="00DC2526" w:rsidRPr="006565C6">
        <w:rPr>
          <w:sz w:val="22"/>
          <w:szCs w:val="22"/>
          <w:lang w:val="sr-Latn-RS"/>
        </w:rPr>
        <w:t xml:space="preserve"> </w:t>
      </w:r>
      <w:proofErr w:type="spellStart"/>
      <w:r w:rsidR="00DC2526" w:rsidRPr="006565C6">
        <w:rPr>
          <w:sz w:val="22"/>
          <w:szCs w:val="22"/>
          <w:lang w:val="sr-Latn-RS"/>
        </w:rPr>
        <w:t>opioidi</w:t>
      </w:r>
      <w:proofErr w:type="spellEnd"/>
      <w:r w:rsidR="00DC2526" w:rsidRPr="006565C6">
        <w:rPr>
          <w:sz w:val="22"/>
          <w:szCs w:val="22"/>
          <w:lang w:val="sr-Latn-RS"/>
        </w:rPr>
        <w:t>,</w:t>
      </w:r>
    </w:p>
    <w:p w14:paraId="6DA36EBD" w14:textId="562BE1EE" w:rsidR="0072020E" w:rsidRPr="006565C6" w:rsidRDefault="0072020E" w:rsidP="00E435B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BE" w14:textId="6CEE4233" w:rsidR="0072020E" w:rsidRPr="006565C6" w:rsidRDefault="0072020E" w:rsidP="00E435B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6565C6">
        <w:rPr>
          <w:bCs/>
          <w:sz w:val="22"/>
          <w:szCs w:val="22"/>
          <w:lang w:val="sr-Latn-RS"/>
        </w:rPr>
        <w:t>ATC kod:</w:t>
      </w:r>
      <w:r w:rsidR="0009284A" w:rsidRPr="006565C6">
        <w:rPr>
          <w:bCs/>
          <w:sz w:val="22"/>
          <w:szCs w:val="22"/>
          <w:lang w:val="sr-Latn-RS"/>
        </w:rPr>
        <w:t xml:space="preserve"> </w:t>
      </w:r>
      <w:proofErr w:type="spellStart"/>
      <w:r w:rsidR="0009284A" w:rsidRPr="006565C6">
        <w:rPr>
          <w:sz w:val="22"/>
          <w:szCs w:val="22"/>
          <w:lang w:val="sr-Latn-RS"/>
        </w:rPr>
        <w:t>N02AX06</w:t>
      </w:r>
      <w:proofErr w:type="spellEnd"/>
    </w:p>
    <w:p w14:paraId="1E0B7815" w14:textId="77777777" w:rsidR="008D7D26" w:rsidRPr="006565C6" w:rsidRDefault="008D7D26" w:rsidP="00E43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AA0497A" w14:textId="77777777" w:rsidR="008D7D26" w:rsidRPr="006565C6" w:rsidRDefault="008D7D26" w:rsidP="00E435BE">
      <w:pPr>
        <w:spacing w:line="255" w:lineRule="auto"/>
        <w:ind w:right="20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je snažan analgetik, </w:t>
      </w:r>
      <w:proofErr w:type="spellStart"/>
      <w:r w:rsidRPr="006565C6">
        <w:rPr>
          <w:sz w:val="22"/>
          <w:szCs w:val="22"/>
          <w:lang w:val="sr-Latn-RS"/>
        </w:rPr>
        <w:t>agonista</w:t>
      </w:r>
      <w:proofErr w:type="spellEnd"/>
      <w:r w:rsidRPr="006565C6">
        <w:rPr>
          <w:sz w:val="22"/>
          <w:szCs w:val="22"/>
          <w:lang w:val="sr-Latn-RS"/>
        </w:rPr>
        <w:t xml:space="preserve"> na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receptorima i dodatnom inhibicijom ponovnog preuzimanja </w:t>
      </w:r>
      <w:proofErr w:type="spellStart"/>
      <w:r w:rsidRPr="006565C6">
        <w:rPr>
          <w:sz w:val="22"/>
          <w:szCs w:val="22"/>
          <w:lang w:val="sr-Latn-RS"/>
        </w:rPr>
        <w:t>noradrenalina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svoje analgetičko dejstvo vrši direktno, bez farmakološki aktivnog </w:t>
      </w:r>
      <w:proofErr w:type="spellStart"/>
      <w:r w:rsidRPr="006565C6">
        <w:rPr>
          <w:sz w:val="22"/>
          <w:szCs w:val="22"/>
          <w:lang w:val="sr-Latn-RS"/>
        </w:rPr>
        <w:t>metabolita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4A30965E" w14:textId="77777777" w:rsidR="004C5635" w:rsidRPr="006565C6" w:rsidRDefault="004C5635" w:rsidP="00E435BE">
      <w:pPr>
        <w:spacing w:line="255" w:lineRule="auto"/>
        <w:ind w:right="20"/>
        <w:jc w:val="both"/>
        <w:rPr>
          <w:sz w:val="22"/>
          <w:szCs w:val="22"/>
          <w:lang w:val="sr-Latn-RS"/>
        </w:rPr>
      </w:pPr>
    </w:p>
    <w:p w14:paraId="422F9062" w14:textId="77777777" w:rsidR="008D7D26" w:rsidRPr="006565C6" w:rsidRDefault="008D7D26" w:rsidP="00E435BE">
      <w:pPr>
        <w:spacing w:line="0" w:lineRule="atLeas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je pokazao efikasnost u </w:t>
      </w:r>
      <w:proofErr w:type="spellStart"/>
      <w:r w:rsidRPr="006565C6">
        <w:rPr>
          <w:sz w:val="22"/>
          <w:szCs w:val="22"/>
          <w:lang w:val="sr-Latn-RS"/>
        </w:rPr>
        <w:t>pretkliničkim</w:t>
      </w:r>
      <w:proofErr w:type="spellEnd"/>
      <w:r w:rsidRPr="006565C6">
        <w:rPr>
          <w:sz w:val="22"/>
          <w:szCs w:val="22"/>
          <w:lang w:val="sr-Latn-RS"/>
        </w:rPr>
        <w:t xml:space="preserve"> modelima </w:t>
      </w:r>
      <w:proofErr w:type="spellStart"/>
      <w:r w:rsidRPr="006565C6">
        <w:rPr>
          <w:sz w:val="22"/>
          <w:szCs w:val="22"/>
          <w:lang w:val="sr-Latn-RS"/>
        </w:rPr>
        <w:t>nociceptivnog</w:t>
      </w:r>
      <w:proofErr w:type="spellEnd"/>
      <w:r w:rsidRPr="006565C6">
        <w:rPr>
          <w:sz w:val="22"/>
          <w:szCs w:val="22"/>
          <w:lang w:val="sr-Latn-RS"/>
        </w:rPr>
        <w:t xml:space="preserve">, neuropatskog, visceralnog i </w:t>
      </w:r>
      <w:proofErr w:type="spellStart"/>
      <w:r w:rsidRPr="006565C6">
        <w:rPr>
          <w:sz w:val="22"/>
          <w:szCs w:val="22"/>
          <w:lang w:val="sr-Latn-RS"/>
        </w:rPr>
        <w:t>zapaljenskog</w:t>
      </w:r>
      <w:proofErr w:type="spellEnd"/>
      <w:r w:rsidRPr="006565C6">
        <w:rPr>
          <w:sz w:val="22"/>
          <w:szCs w:val="22"/>
          <w:lang w:val="sr-Latn-RS"/>
        </w:rPr>
        <w:t xml:space="preserve"> bola. Efikasnost je potvrđena u kliničkim ispitivanjima sa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tabletama sa produženim oslobađanjem </w:t>
      </w:r>
      <w:proofErr w:type="spellStart"/>
      <w:r w:rsidRPr="006565C6">
        <w:rPr>
          <w:sz w:val="22"/>
          <w:szCs w:val="22"/>
          <w:lang w:val="sr-Latn-RS"/>
        </w:rPr>
        <w:t>gdje</w:t>
      </w:r>
      <w:proofErr w:type="spellEnd"/>
      <w:r w:rsidRPr="006565C6">
        <w:rPr>
          <w:sz w:val="22"/>
          <w:szCs w:val="22"/>
          <w:lang w:val="sr-Latn-RS"/>
        </w:rPr>
        <w:t xml:space="preserve"> su bila obuhvaćena stanja </w:t>
      </w:r>
      <w:proofErr w:type="spellStart"/>
      <w:r w:rsidRPr="006565C6">
        <w:rPr>
          <w:sz w:val="22"/>
          <w:szCs w:val="22"/>
          <w:lang w:val="sr-Latn-RS"/>
        </w:rPr>
        <w:t>nemalignog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nociceptivnog</w:t>
      </w:r>
      <w:proofErr w:type="spellEnd"/>
      <w:r w:rsidRPr="006565C6">
        <w:rPr>
          <w:sz w:val="22"/>
          <w:szCs w:val="22"/>
          <w:lang w:val="sr-Latn-RS"/>
        </w:rPr>
        <w:t xml:space="preserve"> bola i neuropatskog hroničnog bola kao i kod hroničnog bola povezanog sa tumorima. Ispitivanja kod bola izazvanog </w:t>
      </w:r>
      <w:proofErr w:type="spellStart"/>
      <w:r w:rsidRPr="006565C6">
        <w:rPr>
          <w:sz w:val="22"/>
          <w:szCs w:val="22"/>
          <w:lang w:val="sr-Latn-RS"/>
        </w:rPr>
        <w:t>osteoartritisom</w:t>
      </w:r>
      <w:proofErr w:type="spellEnd"/>
      <w:r w:rsidRPr="006565C6">
        <w:rPr>
          <w:sz w:val="22"/>
          <w:szCs w:val="22"/>
          <w:lang w:val="sr-Latn-RS"/>
        </w:rPr>
        <w:t xml:space="preserve"> i hroničnog bola u donjem </w:t>
      </w:r>
      <w:proofErr w:type="spellStart"/>
      <w:r w:rsidRPr="006565C6">
        <w:rPr>
          <w:sz w:val="22"/>
          <w:szCs w:val="22"/>
          <w:lang w:val="sr-Latn-RS"/>
        </w:rPr>
        <w:t>dijelu</w:t>
      </w:r>
      <w:proofErr w:type="spellEnd"/>
      <w:r w:rsidRPr="006565C6">
        <w:rPr>
          <w:sz w:val="22"/>
          <w:szCs w:val="22"/>
          <w:lang w:val="sr-Latn-RS"/>
        </w:rPr>
        <w:t xml:space="preserve"> leđa pokazala su sličnu analgetsku aktivnost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i snažnog </w:t>
      </w:r>
      <w:proofErr w:type="spellStart"/>
      <w:r w:rsidRPr="006565C6">
        <w:rPr>
          <w:sz w:val="22"/>
          <w:szCs w:val="22"/>
          <w:lang w:val="sr-Latn-RS"/>
        </w:rPr>
        <w:t>opioida</w:t>
      </w:r>
      <w:proofErr w:type="spellEnd"/>
      <w:r w:rsidRPr="006565C6">
        <w:rPr>
          <w:sz w:val="22"/>
          <w:szCs w:val="22"/>
          <w:lang w:val="sr-Latn-RS"/>
        </w:rPr>
        <w:t xml:space="preserve"> koji je korišten za poređenje. U jednom ispitivanju sa bolnom </w:t>
      </w:r>
      <w:proofErr w:type="spellStart"/>
      <w:r w:rsidRPr="006565C6">
        <w:rPr>
          <w:sz w:val="22"/>
          <w:szCs w:val="22"/>
          <w:lang w:val="sr-Latn-RS"/>
        </w:rPr>
        <w:t>dijabetičkom</w:t>
      </w:r>
      <w:proofErr w:type="spellEnd"/>
      <w:r w:rsidRPr="006565C6">
        <w:rPr>
          <w:sz w:val="22"/>
          <w:szCs w:val="22"/>
          <w:lang w:val="sr-Latn-RS"/>
        </w:rPr>
        <w:t xml:space="preserve"> perifernom neuropatijom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je bio bolji od </w:t>
      </w:r>
      <w:proofErr w:type="spellStart"/>
      <w:r w:rsidRPr="006565C6">
        <w:rPr>
          <w:sz w:val="22"/>
          <w:szCs w:val="22"/>
          <w:lang w:val="sr-Latn-RS"/>
        </w:rPr>
        <w:t>placeba</w:t>
      </w:r>
      <w:proofErr w:type="spellEnd"/>
      <w:r w:rsidRPr="006565C6">
        <w:rPr>
          <w:sz w:val="22"/>
          <w:szCs w:val="22"/>
          <w:lang w:val="sr-Latn-RS"/>
        </w:rPr>
        <w:t xml:space="preserve"> koji je korišten za poređenje.</w:t>
      </w:r>
    </w:p>
    <w:p w14:paraId="35C2C8E2" w14:textId="77777777" w:rsidR="008D7D26" w:rsidRPr="006565C6" w:rsidRDefault="008D7D26" w:rsidP="00E435BE">
      <w:pPr>
        <w:spacing w:line="0" w:lineRule="atLeast"/>
        <w:jc w:val="both"/>
        <w:rPr>
          <w:sz w:val="22"/>
          <w:szCs w:val="22"/>
          <w:lang w:val="sr-Latn-RS"/>
        </w:rPr>
      </w:pPr>
    </w:p>
    <w:p w14:paraId="0CA1524F" w14:textId="77777777" w:rsidR="008D7D26" w:rsidRPr="006565C6" w:rsidRDefault="008D7D26" w:rsidP="00E435BE">
      <w:pPr>
        <w:spacing w:line="257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Dejstva na </w:t>
      </w:r>
      <w:proofErr w:type="spellStart"/>
      <w:r w:rsidRPr="006565C6">
        <w:rPr>
          <w:sz w:val="22"/>
          <w:szCs w:val="22"/>
          <w:lang w:val="sr-Latn-RS"/>
        </w:rPr>
        <w:t>kardiovaskularni</w:t>
      </w:r>
      <w:proofErr w:type="spellEnd"/>
      <w:r w:rsidRPr="006565C6">
        <w:rPr>
          <w:sz w:val="22"/>
          <w:szCs w:val="22"/>
          <w:lang w:val="sr-Latn-RS"/>
        </w:rPr>
        <w:t xml:space="preserve"> sistem: U opsežnom ispitivanju </w:t>
      </w:r>
      <w:proofErr w:type="spellStart"/>
      <w:r w:rsidRPr="006565C6">
        <w:rPr>
          <w:sz w:val="22"/>
          <w:szCs w:val="22"/>
          <w:lang w:val="sr-Latn-RS"/>
        </w:rPr>
        <w:t>QT</w:t>
      </w:r>
      <w:proofErr w:type="spellEnd"/>
      <w:r w:rsidRPr="006565C6">
        <w:rPr>
          <w:sz w:val="22"/>
          <w:szCs w:val="22"/>
          <w:lang w:val="sr-Latn-RS"/>
        </w:rPr>
        <w:t xml:space="preserve"> intervala kod ljudi, nije pokazan uticaj ponavljanih terapijskih i </w:t>
      </w:r>
      <w:proofErr w:type="spellStart"/>
      <w:r w:rsidRPr="006565C6">
        <w:rPr>
          <w:sz w:val="22"/>
          <w:szCs w:val="22"/>
          <w:lang w:val="sr-Latn-RS"/>
        </w:rPr>
        <w:t>supraterapijskih</w:t>
      </w:r>
      <w:proofErr w:type="spellEnd"/>
      <w:r w:rsidRPr="006565C6">
        <w:rPr>
          <w:sz w:val="22"/>
          <w:szCs w:val="22"/>
          <w:lang w:val="sr-Latn-RS"/>
        </w:rPr>
        <w:t xml:space="preserve"> doza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na </w:t>
      </w:r>
      <w:proofErr w:type="spellStart"/>
      <w:r w:rsidRPr="006565C6">
        <w:rPr>
          <w:sz w:val="22"/>
          <w:szCs w:val="22"/>
          <w:lang w:val="sr-Latn-RS"/>
        </w:rPr>
        <w:t>QT</w:t>
      </w:r>
      <w:proofErr w:type="spellEnd"/>
      <w:r w:rsidRPr="006565C6">
        <w:rPr>
          <w:sz w:val="22"/>
          <w:szCs w:val="22"/>
          <w:lang w:val="sr-Latn-RS"/>
        </w:rPr>
        <w:t xml:space="preserve"> interval. Takođe,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nije imao relevantnog uticaja na ostale parametre EKG-a (puls, </w:t>
      </w:r>
      <w:proofErr w:type="spellStart"/>
      <w:r w:rsidRPr="006565C6">
        <w:rPr>
          <w:sz w:val="22"/>
          <w:szCs w:val="22"/>
          <w:lang w:val="sr-Latn-RS"/>
        </w:rPr>
        <w:t>PR</w:t>
      </w:r>
      <w:proofErr w:type="spellEnd"/>
      <w:r w:rsidRPr="006565C6">
        <w:rPr>
          <w:sz w:val="22"/>
          <w:szCs w:val="22"/>
          <w:lang w:val="sr-Latn-RS"/>
        </w:rPr>
        <w:t xml:space="preserve"> interval, trajanje </w:t>
      </w:r>
      <w:proofErr w:type="spellStart"/>
      <w:r w:rsidRPr="006565C6">
        <w:rPr>
          <w:sz w:val="22"/>
          <w:szCs w:val="22"/>
          <w:lang w:val="sr-Latn-RS"/>
        </w:rPr>
        <w:t>QRS</w:t>
      </w:r>
      <w:proofErr w:type="spellEnd"/>
      <w:r w:rsidRPr="006565C6">
        <w:rPr>
          <w:sz w:val="22"/>
          <w:szCs w:val="22"/>
          <w:lang w:val="sr-Latn-RS"/>
        </w:rPr>
        <w:t>, morfologiju T-talasa ili U-talasa).</w:t>
      </w:r>
    </w:p>
    <w:p w14:paraId="23DF49C3" w14:textId="77777777" w:rsidR="008D7D26" w:rsidRPr="006565C6" w:rsidRDefault="008D7D26" w:rsidP="00E435BE">
      <w:pPr>
        <w:spacing w:line="196" w:lineRule="exact"/>
        <w:jc w:val="both"/>
        <w:rPr>
          <w:sz w:val="22"/>
          <w:szCs w:val="22"/>
          <w:lang w:val="sr-Latn-RS"/>
        </w:rPr>
      </w:pPr>
    </w:p>
    <w:p w14:paraId="481D85FF" w14:textId="77777777" w:rsidR="008D7D26" w:rsidRPr="006565C6" w:rsidRDefault="008D7D26" w:rsidP="00E435BE">
      <w:pPr>
        <w:spacing w:line="0" w:lineRule="atLeast"/>
        <w:jc w:val="both"/>
        <w:rPr>
          <w:i/>
          <w:sz w:val="22"/>
          <w:szCs w:val="22"/>
          <w:lang w:val="sr-Latn-RS"/>
        </w:rPr>
      </w:pPr>
      <w:r w:rsidRPr="006565C6">
        <w:rPr>
          <w:i/>
          <w:sz w:val="22"/>
          <w:szCs w:val="22"/>
          <w:lang w:val="sr-Latn-RS"/>
        </w:rPr>
        <w:t>Pedijatrijska populacija</w:t>
      </w:r>
    </w:p>
    <w:p w14:paraId="35F47C4C" w14:textId="35C6B497" w:rsidR="008D7D26" w:rsidRPr="006565C6" w:rsidRDefault="00DC2526" w:rsidP="00E435BE">
      <w:pPr>
        <w:spacing w:line="0" w:lineRule="atLeas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</w:t>
      </w:r>
      <w:proofErr w:type="spellStart"/>
      <w:r w:rsidR="008D7D26" w:rsidRPr="006565C6">
        <w:rPr>
          <w:sz w:val="22"/>
          <w:szCs w:val="22"/>
          <w:lang w:val="sr-Latn-RS"/>
        </w:rPr>
        <w:t>djece</w:t>
      </w:r>
      <w:proofErr w:type="spellEnd"/>
      <w:r w:rsidR="008D7D26" w:rsidRPr="006565C6">
        <w:rPr>
          <w:sz w:val="22"/>
          <w:szCs w:val="22"/>
          <w:lang w:val="sr-Latn-RS"/>
        </w:rPr>
        <w:t xml:space="preserve"> i adolescenata (</w:t>
      </w:r>
      <w:r w:rsidRPr="006565C6">
        <w:rPr>
          <w:sz w:val="22"/>
          <w:szCs w:val="22"/>
          <w:lang w:val="sr-Latn-RS"/>
        </w:rPr>
        <w:t xml:space="preserve">starosne grupe </w:t>
      </w:r>
      <w:r w:rsidR="008D7D26" w:rsidRPr="006565C6">
        <w:rPr>
          <w:sz w:val="22"/>
          <w:szCs w:val="22"/>
          <w:lang w:val="sr-Latn-RS"/>
        </w:rPr>
        <w:t xml:space="preserve">između 2 godine i &lt;18 godina) dokazana je </w:t>
      </w:r>
      <w:r w:rsidRPr="006565C6">
        <w:rPr>
          <w:sz w:val="22"/>
          <w:szCs w:val="22"/>
          <w:lang w:val="sr-Latn-RS"/>
        </w:rPr>
        <w:t xml:space="preserve">efikasnost </w:t>
      </w:r>
      <w:r w:rsidR="008D7D26" w:rsidRPr="006565C6">
        <w:rPr>
          <w:sz w:val="22"/>
          <w:szCs w:val="22"/>
          <w:lang w:val="sr-Latn-RS"/>
        </w:rPr>
        <w:t xml:space="preserve">oralnog rastvora </w:t>
      </w:r>
      <w:proofErr w:type="spellStart"/>
      <w:r w:rsidR="008D7D26" w:rsidRPr="006565C6">
        <w:rPr>
          <w:sz w:val="22"/>
          <w:szCs w:val="22"/>
          <w:lang w:val="sr-Latn-RS"/>
        </w:rPr>
        <w:t>tapentadola</w:t>
      </w:r>
      <w:proofErr w:type="spellEnd"/>
      <w:r w:rsidR="008D7D26"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primijenjene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8D7D26" w:rsidRPr="006565C6">
        <w:rPr>
          <w:sz w:val="22"/>
          <w:szCs w:val="22"/>
          <w:lang w:val="sr-Latn-RS"/>
        </w:rPr>
        <w:t xml:space="preserve">do 72 sata kod </w:t>
      </w:r>
      <w:proofErr w:type="spellStart"/>
      <w:r w:rsidR="008D7D26" w:rsidRPr="006565C6">
        <w:rPr>
          <w:sz w:val="22"/>
          <w:szCs w:val="22"/>
          <w:lang w:val="sr-Latn-RS"/>
        </w:rPr>
        <w:t>postoperativne</w:t>
      </w:r>
      <w:proofErr w:type="spellEnd"/>
      <w:r w:rsidR="008D7D26" w:rsidRPr="006565C6">
        <w:rPr>
          <w:sz w:val="22"/>
          <w:szCs w:val="22"/>
          <w:lang w:val="sr-Latn-RS"/>
        </w:rPr>
        <w:t xml:space="preserve"> bol</w:t>
      </w:r>
      <w:r w:rsidRPr="006565C6">
        <w:rPr>
          <w:sz w:val="22"/>
          <w:szCs w:val="22"/>
          <w:lang w:val="sr-Latn-RS"/>
        </w:rPr>
        <w:t>a</w:t>
      </w:r>
      <w:r w:rsidR="008D7D26" w:rsidRPr="006565C6">
        <w:rPr>
          <w:sz w:val="22"/>
          <w:szCs w:val="22"/>
          <w:lang w:val="sr-Latn-RS"/>
        </w:rPr>
        <w:t>.</w:t>
      </w:r>
    </w:p>
    <w:p w14:paraId="35EB42C6" w14:textId="77777777" w:rsidR="00097DD2" w:rsidRPr="006565C6" w:rsidRDefault="00097DD2" w:rsidP="00E435BE">
      <w:pPr>
        <w:spacing w:line="0" w:lineRule="atLeast"/>
        <w:jc w:val="both"/>
        <w:rPr>
          <w:sz w:val="22"/>
          <w:szCs w:val="22"/>
          <w:lang w:val="sr-Latn-RS"/>
        </w:rPr>
      </w:pPr>
    </w:p>
    <w:p w14:paraId="7906AD1D" w14:textId="77777777" w:rsidR="00097DD2" w:rsidRPr="006565C6" w:rsidRDefault="00097DD2" w:rsidP="00E43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5.2. </w:t>
      </w:r>
      <w:r w:rsidRPr="006565C6">
        <w:rPr>
          <w:b/>
          <w:bCs/>
          <w:sz w:val="22"/>
          <w:szCs w:val="22"/>
          <w:lang w:val="sr-Latn-RS"/>
        </w:rPr>
        <w:tab/>
      </w:r>
      <w:proofErr w:type="spellStart"/>
      <w:r w:rsidRPr="006565C6">
        <w:rPr>
          <w:b/>
          <w:bCs/>
          <w:sz w:val="22"/>
          <w:szCs w:val="22"/>
          <w:lang w:val="sr-Latn-RS"/>
        </w:rPr>
        <w:t>Farmakokinetički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podaci </w:t>
      </w:r>
    </w:p>
    <w:p w14:paraId="40BD7B74" w14:textId="77777777" w:rsidR="00B229DB" w:rsidRPr="006565C6" w:rsidRDefault="00B229DB" w:rsidP="00E435B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83A4274" w14:textId="52B2B674" w:rsidR="00B229DB" w:rsidRPr="006565C6" w:rsidRDefault="00B229DB" w:rsidP="00E435BE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Bioraspoloživost</w:t>
      </w:r>
      <w:proofErr w:type="spellEnd"/>
      <w:r w:rsidRPr="006565C6">
        <w:rPr>
          <w:sz w:val="22"/>
          <w:szCs w:val="22"/>
          <w:lang w:val="sr-Latn-RS"/>
        </w:rPr>
        <w:t xml:space="preserve"> je, </w:t>
      </w:r>
      <w:r w:rsidR="00DC2526" w:rsidRPr="006565C6">
        <w:rPr>
          <w:sz w:val="22"/>
          <w:szCs w:val="22"/>
          <w:lang w:val="sr-Latn-RS"/>
        </w:rPr>
        <w:t xml:space="preserve">posmatrana </w:t>
      </w:r>
      <w:r w:rsidRPr="006565C6">
        <w:rPr>
          <w:sz w:val="22"/>
          <w:szCs w:val="22"/>
          <w:lang w:val="sr-Latn-RS"/>
        </w:rPr>
        <w:t xml:space="preserve">kao </w:t>
      </w:r>
      <w:proofErr w:type="spellStart"/>
      <w:r w:rsidRPr="006565C6">
        <w:rPr>
          <w:sz w:val="22"/>
          <w:szCs w:val="22"/>
          <w:lang w:val="sr-Latn-RS"/>
        </w:rPr>
        <w:t>Cmax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 te svi drugi </w:t>
      </w:r>
      <w:proofErr w:type="spellStart"/>
      <w:r w:rsidRPr="006565C6">
        <w:rPr>
          <w:sz w:val="22"/>
          <w:szCs w:val="22"/>
          <w:lang w:val="sr-Latn-RS"/>
        </w:rPr>
        <w:t>farmakokinetički</w:t>
      </w:r>
      <w:proofErr w:type="spellEnd"/>
      <w:r w:rsidRPr="006565C6">
        <w:rPr>
          <w:sz w:val="22"/>
          <w:szCs w:val="22"/>
          <w:lang w:val="sr-Latn-RS"/>
        </w:rPr>
        <w:t xml:space="preserve"> parametri određivani za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, nakon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100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u obliku oralnog rastvora bila slična u poređenju sa 100 mg filmom obloženom tabletom (drugi oblik sa </w:t>
      </w:r>
      <w:proofErr w:type="spellStart"/>
      <w:r w:rsidRPr="006565C6">
        <w:rPr>
          <w:sz w:val="22"/>
          <w:szCs w:val="22"/>
          <w:lang w:val="sr-Latn-RS"/>
        </w:rPr>
        <w:t>trenutnim</w:t>
      </w:r>
      <w:r w:rsidR="00DC2526" w:rsidRPr="006565C6">
        <w:rPr>
          <w:sz w:val="22"/>
          <w:szCs w:val="22"/>
          <w:lang w:val="sr-Latn-RS"/>
        </w:rPr>
        <w:t>oslobadjanjem</w:t>
      </w:r>
      <w:proofErr w:type="spellEnd"/>
      <w:r w:rsidR="00DC2526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). </w:t>
      </w:r>
      <w:r w:rsidR="00DC2526" w:rsidRPr="006565C6">
        <w:rPr>
          <w:sz w:val="22"/>
          <w:szCs w:val="22"/>
          <w:lang w:val="sr-Latn-RS"/>
        </w:rPr>
        <w:t xml:space="preserve">Zbog </w:t>
      </w:r>
      <w:r w:rsidRPr="006565C6">
        <w:rPr>
          <w:sz w:val="22"/>
          <w:szCs w:val="22"/>
          <w:lang w:val="sr-Latn-RS"/>
        </w:rPr>
        <w:t xml:space="preserve">toga su informacije navedene ispod, a koje </w:t>
      </w:r>
      <w:r w:rsidR="00DC2526" w:rsidRPr="006565C6">
        <w:rPr>
          <w:sz w:val="22"/>
          <w:szCs w:val="22"/>
          <w:lang w:val="sr-Latn-RS"/>
        </w:rPr>
        <w:t xml:space="preserve">su zasnovane </w:t>
      </w:r>
      <w:r w:rsidRPr="006565C6">
        <w:rPr>
          <w:sz w:val="22"/>
          <w:szCs w:val="22"/>
          <w:lang w:val="sr-Latn-RS"/>
        </w:rPr>
        <w:t xml:space="preserve">na ispitivanjima sa filmom obloženim tabletama, takođe </w:t>
      </w:r>
      <w:proofErr w:type="spellStart"/>
      <w:r w:rsidRPr="006565C6">
        <w:rPr>
          <w:sz w:val="22"/>
          <w:szCs w:val="22"/>
          <w:lang w:val="sr-Latn-RS"/>
        </w:rPr>
        <w:t>primjenjive</w:t>
      </w:r>
      <w:proofErr w:type="spellEnd"/>
      <w:r w:rsidRPr="006565C6">
        <w:rPr>
          <w:sz w:val="22"/>
          <w:szCs w:val="22"/>
          <w:lang w:val="sr-Latn-RS"/>
        </w:rPr>
        <w:t xml:space="preserve"> i za oralni rastvor. </w:t>
      </w:r>
    </w:p>
    <w:p w14:paraId="7E143141" w14:textId="77777777" w:rsidR="00B229DB" w:rsidRPr="006565C6" w:rsidRDefault="00B229DB" w:rsidP="006162E9">
      <w:pPr>
        <w:pStyle w:val="Default"/>
        <w:jc w:val="both"/>
        <w:rPr>
          <w:i/>
          <w:iCs/>
          <w:sz w:val="22"/>
          <w:szCs w:val="22"/>
          <w:lang w:val="sr-Latn-RS"/>
        </w:rPr>
      </w:pPr>
    </w:p>
    <w:p w14:paraId="67B29800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Apsorpcija </w:t>
      </w:r>
    </w:p>
    <w:p w14:paraId="497E2EE9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Nakon oralne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se apsorbuje brzo i potpuno. Srednja apsolutna </w:t>
      </w:r>
      <w:proofErr w:type="spellStart"/>
      <w:r w:rsidRPr="006565C6">
        <w:rPr>
          <w:sz w:val="22"/>
          <w:szCs w:val="22"/>
          <w:lang w:val="sr-Latn-RS"/>
        </w:rPr>
        <w:t>bioraspoloživost</w:t>
      </w:r>
      <w:proofErr w:type="spellEnd"/>
      <w:r w:rsidRPr="006565C6">
        <w:rPr>
          <w:sz w:val="22"/>
          <w:szCs w:val="22"/>
          <w:lang w:val="sr-Latn-RS"/>
        </w:rPr>
        <w:t xml:space="preserve"> nakon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jedne doze (</w:t>
      </w:r>
      <w:proofErr w:type="spellStart"/>
      <w:r w:rsidRPr="006565C6">
        <w:rPr>
          <w:sz w:val="22"/>
          <w:szCs w:val="22"/>
          <w:lang w:val="sr-Latn-RS"/>
        </w:rPr>
        <w:t>natašte</w:t>
      </w:r>
      <w:proofErr w:type="spellEnd"/>
      <w:r w:rsidRPr="006565C6">
        <w:rPr>
          <w:sz w:val="22"/>
          <w:szCs w:val="22"/>
          <w:lang w:val="sr-Latn-RS"/>
        </w:rPr>
        <w:t xml:space="preserve">) jest oko 32% zbog opsežnog metabolizma prvoga prolaza. Maksimalne serumske koncentracije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tipično se zapažaju otprilike oko 1,25 sati nakon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filmom obloženih tableta. Povećanja </w:t>
      </w:r>
      <w:proofErr w:type="spellStart"/>
      <w:r w:rsidRPr="006565C6">
        <w:rPr>
          <w:sz w:val="22"/>
          <w:szCs w:val="22"/>
          <w:lang w:val="sr-Latn-RS"/>
        </w:rPr>
        <w:t>vrijednosti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Cmax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, koja su proporcionalna dozi, zapažena su nakon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filmom obloženih tableta u rasponu oralnih terapijskih doza. </w:t>
      </w:r>
    </w:p>
    <w:p w14:paraId="08DA849A" w14:textId="60469242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Ispitivanje višekratnih doza (svakih 6 sati), s dozama u rasponu od 75 do 175 mg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prim</w:t>
      </w:r>
      <w:r w:rsidR="00A7762F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>jenjenog</w:t>
      </w:r>
      <w:proofErr w:type="spellEnd"/>
      <w:r w:rsidRPr="006565C6">
        <w:rPr>
          <w:sz w:val="22"/>
          <w:szCs w:val="22"/>
          <w:lang w:val="sr-Latn-RS"/>
        </w:rPr>
        <w:t xml:space="preserve"> u obliku filmom obloženih tableta, pokazalo je</w:t>
      </w:r>
      <w:r w:rsidR="00DC2526" w:rsidRPr="006565C6">
        <w:rPr>
          <w:sz w:val="22"/>
          <w:szCs w:val="22"/>
          <w:lang w:val="sr-Latn-RS"/>
        </w:rPr>
        <w:t xml:space="preserve"> </w:t>
      </w:r>
      <w:proofErr w:type="spellStart"/>
      <w:r w:rsidR="00DC2526" w:rsidRPr="006565C6">
        <w:rPr>
          <w:sz w:val="22"/>
          <w:szCs w:val="22"/>
          <w:lang w:val="sr-Latn-RS"/>
        </w:rPr>
        <w:t>opsjeg</w:t>
      </w:r>
      <w:proofErr w:type="spellEnd"/>
      <w:r w:rsidR="00DC2526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akumulacije između 1,4 i 1,7 za </w:t>
      </w:r>
      <w:r w:rsidRPr="006565C6">
        <w:rPr>
          <w:color w:val="auto"/>
          <w:sz w:val="22"/>
          <w:szCs w:val="22"/>
          <w:lang w:val="sr-Latn-RS"/>
        </w:rPr>
        <w:t>ishodišnu</w:t>
      </w:r>
      <w:r w:rsidRPr="006565C6">
        <w:rPr>
          <w:sz w:val="22"/>
          <w:szCs w:val="22"/>
          <w:lang w:val="sr-Latn-RS"/>
        </w:rPr>
        <w:t xml:space="preserve"> aktivnu supstancu, </w:t>
      </w:r>
      <w:r w:rsidR="00DC2526" w:rsidRPr="006565C6">
        <w:rPr>
          <w:sz w:val="22"/>
          <w:szCs w:val="22"/>
          <w:lang w:val="sr-Latn-RS"/>
        </w:rPr>
        <w:t xml:space="preserve">kao i </w:t>
      </w:r>
      <w:r w:rsidRPr="006565C6">
        <w:rPr>
          <w:sz w:val="22"/>
          <w:szCs w:val="22"/>
          <w:lang w:val="sr-Latn-RS"/>
        </w:rPr>
        <w:t xml:space="preserve">između 1,7 i 2,0 za glavni </w:t>
      </w:r>
      <w:proofErr w:type="spellStart"/>
      <w:r w:rsidRPr="006565C6">
        <w:rPr>
          <w:sz w:val="22"/>
          <w:szCs w:val="22"/>
          <w:lang w:val="sr-Latn-RS"/>
        </w:rPr>
        <w:t>metabolit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>-O-</w:t>
      </w:r>
      <w:proofErr w:type="spellStart"/>
      <w:r w:rsidRPr="006565C6">
        <w:rPr>
          <w:sz w:val="22"/>
          <w:szCs w:val="22"/>
          <w:lang w:val="sr-Latn-RS"/>
        </w:rPr>
        <w:t>glukuronid</w:t>
      </w:r>
      <w:proofErr w:type="spellEnd"/>
      <w:r w:rsidRPr="006565C6">
        <w:rPr>
          <w:sz w:val="22"/>
          <w:szCs w:val="22"/>
          <w:lang w:val="sr-Latn-RS"/>
        </w:rPr>
        <w:t xml:space="preserve">, što je prvenstveno određeno intervalom doziranja i prividnim </w:t>
      </w:r>
      <w:proofErr w:type="spellStart"/>
      <w:r w:rsidRPr="006565C6">
        <w:rPr>
          <w:sz w:val="22"/>
          <w:szCs w:val="22"/>
          <w:lang w:val="sr-Latn-RS"/>
        </w:rPr>
        <w:t>poluvijekom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i njegovog </w:t>
      </w:r>
      <w:proofErr w:type="spellStart"/>
      <w:r w:rsidRPr="006565C6">
        <w:rPr>
          <w:sz w:val="22"/>
          <w:szCs w:val="22"/>
          <w:lang w:val="sr-Latn-RS"/>
        </w:rPr>
        <w:t>metabolita</w:t>
      </w:r>
      <w:proofErr w:type="spellEnd"/>
      <w:r w:rsidRPr="006565C6">
        <w:rPr>
          <w:sz w:val="22"/>
          <w:szCs w:val="22"/>
          <w:lang w:val="sr-Latn-RS"/>
        </w:rPr>
        <w:t xml:space="preserve">. Stanje dinamičke ravnoteže koncentracija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u serumu postignuto je drugog dana režima </w:t>
      </w:r>
      <w:proofErr w:type="spellStart"/>
      <w:r w:rsidRPr="006565C6">
        <w:rPr>
          <w:sz w:val="22"/>
          <w:szCs w:val="22"/>
          <w:lang w:val="sr-Latn-RS"/>
        </w:rPr>
        <w:t>liječenja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</w:p>
    <w:p w14:paraId="421DC743" w14:textId="77777777" w:rsidR="00B229DB" w:rsidRPr="006565C6" w:rsidRDefault="00B229DB" w:rsidP="006162E9">
      <w:pPr>
        <w:pStyle w:val="Default"/>
        <w:jc w:val="both"/>
        <w:rPr>
          <w:i/>
          <w:iCs/>
          <w:sz w:val="22"/>
          <w:szCs w:val="22"/>
          <w:lang w:val="sr-Latn-RS"/>
        </w:rPr>
      </w:pPr>
    </w:p>
    <w:p w14:paraId="0B721B7A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Efekat hrane </w:t>
      </w:r>
    </w:p>
    <w:p w14:paraId="3394CB66" w14:textId="35B4A030" w:rsidR="00B229DB" w:rsidRPr="006565C6" w:rsidRDefault="00B229DB" w:rsidP="006162E9">
      <w:pPr>
        <w:spacing w:line="0" w:lineRule="atLeas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Vrijednosti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Cmax</w:t>
      </w:r>
      <w:proofErr w:type="spellEnd"/>
      <w:r w:rsidRPr="006565C6">
        <w:rPr>
          <w:sz w:val="22"/>
          <w:szCs w:val="22"/>
          <w:lang w:val="sr-Latn-RS"/>
        </w:rPr>
        <w:t xml:space="preserve"> porasle su za 25%, odnosno 16%, kada su filmom obložene tablete </w:t>
      </w:r>
      <w:proofErr w:type="spellStart"/>
      <w:r w:rsidRPr="006565C6">
        <w:rPr>
          <w:sz w:val="22"/>
          <w:szCs w:val="22"/>
          <w:lang w:val="sr-Latn-RS"/>
        </w:rPr>
        <w:t>primijenjene</w:t>
      </w:r>
      <w:proofErr w:type="spellEnd"/>
      <w:r w:rsidRPr="006565C6">
        <w:rPr>
          <w:sz w:val="22"/>
          <w:szCs w:val="22"/>
          <w:lang w:val="sr-Latn-RS"/>
        </w:rPr>
        <w:t xml:space="preserve"> nakon </w:t>
      </w:r>
      <w:proofErr w:type="spellStart"/>
      <w:r w:rsidRPr="006565C6">
        <w:rPr>
          <w:sz w:val="22"/>
          <w:szCs w:val="22"/>
          <w:lang w:val="sr-Latn-RS"/>
        </w:rPr>
        <w:t>visokokaloričnog</w:t>
      </w:r>
      <w:proofErr w:type="spellEnd"/>
      <w:r w:rsidRPr="006565C6">
        <w:rPr>
          <w:sz w:val="22"/>
          <w:szCs w:val="22"/>
          <w:lang w:val="sr-Latn-RS"/>
        </w:rPr>
        <w:t xml:space="preserve"> doručka s visokim sadržajem masti. U tim je uslovima </w:t>
      </w:r>
      <w:proofErr w:type="spellStart"/>
      <w:r w:rsidRPr="006565C6">
        <w:rPr>
          <w:sz w:val="22"/>
          <w:szCs w:val="22"/>
          <w:lang w:val="sr-Latn-RS"/>
        </w:rPr>
        <w:t>vrijeme</w:t>
      </w:r>
      <w:proofErr w:type="spellEnd"/>
      <w:r w:rsidRPr="006565C6">
        <w:rPr>
          <w:sz w:val="22"/>
          <w:szCs w:val="22"/>
          <w:lang w:val="sr-Latn-RS"/>
        </w:rPr>
        <w:t xml:space="preserve"> do maksimalne koncentracije u plazmi odgođeno za 1,5 sat. Na </w:t>
      </w:r>
      <w:r w:rsidR="00DC2526" w:rsidRPr="006565C6">
        <w:rPr>
          <w:sz w:val="22"/>
          <w:szCs w:val="22"/>
          <w:lang w:val="sr-Latn-RS"/>
        </w:rPr>
        <w:t xml:space="preserve">osnovu </w:t>
      </w:r>
      <w:r w:rsidRPr="006565C6">
        <w:rPr>
          <w:sz w:val="22"/>
          <w:szCs w:val="22"/>
          <w:lang w:val="sr-Latn-RS"/>
        </w:rPr>
        <w:t xml:space="preserve">podataka o </w:t>
      </w:r>
      <w:r w:rsidR="00DC2526" w:rsidRPr="006565C6">
        <w:rPr>
          <w:sz w:val="22"/>
          <w:szCs w:val="22"/>
          <w:lang w:val="sr-Latn-RS"/>
        </w:rPr>
        <w:t xml:space="preserve">efikasnosti </w:t>
      </w:r>
      <w:r w:rsidRPr="006565C6">
        <w:rPr>
          <w:sz w:val="22"/>
          <w:szCs w:val="22"/>
          <w:lang w:val="sr-Latn-RS"/>
        </w:rPr>
        <w:t>koji su dobi</w:t>
      </w:r>
      <w:r w:rsidR="00DC2526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>eni u ranim t</w:t>
      </w:r>
      <w:r w:rsidR="00DC2526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čkama određivanja tokom ispitivanja faze II/III, čini se da efekat hrane nije klinički značajan.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oralni rastvor može se davati s</w:t>
      </w:r>
      <w:r w:rsidR="0054632C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hranom ili bez nje.</w:t>
      </w:r>
    </w:p>
    <w:p w14:paraId="6E4BC4BE" w14:textId="77777777" w:rsidR="00B229DB" w:rsidRPr="006565C6" w:rsidRDefault="00B229DB" w:rsidP="006162E9">
      <w:pPr>
        <w:pStyle w:val="Default"/>
        <w:jc w:val="both"/>
        <w:rPr>
          <w:i/>
          <w:iCs/>
          <w:sz w:val="22"/>
          <w:szCs w:val="22"/>
          <w:lang w:val="sr-Latn-RS"/>
        </w:rPr>
      </w:pPr>
    </w:p>
    <w:p w14:paraId="6BC7B22B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Distribucija </w:t>
      </w:r>
    </w:p>
    <w:p w14:paraId="670B1348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se široko </w:t>
      </w:r>
      <w:proofErr w:type="spellStart"/>
      <w:r w:rsidRPr="006565C6">
        <w:rPr>
          <w:sz w:val="22"/>
          <w:szCs w:val="22"/>
          <w:lang w:val="sr-Latn-RS"/>
        </w:rPr>
        <w:t>raspodjeljuje</w:t>
      </w:r>
      <w:proofErr w:type="spellEnd"/>
      <w:r w:rsidRPr="006565C6">
        <w:rPr>
          <w:sz w:val="22"/>
          <w:szCs w:val="22"/>
          <w:lang w:val="sr-Latn-RS"/>
        </w:rPr>
        <w:t xml:space="preserve"> po </w:t>
      </w:r>
      <w:proofErr w:type="spellStart"/>
      <w:r w:rsidRPr="006565C6">
        <w:rPr>
          <w:sz w:val="22"/>
          <w:szCs w:val="22"/>
          <w:lang w:val="sr-Latn-RS"/>
        </w:rPr>
        <w:t>tijelu</w:t>
      </w:r>
      <w:proofErr w:type="spellEnd"/>
      <w:r w:rsidRPr="006565C6">
        <w:rPr>
          <w:sz w:val="22"/>
          <w:szCs w:val="22"/>
          <w:lang w:val="sr-Latn-RS"/>
        </w:rPr>
        <w:t xml:space="preserve">. Nakon </w:t>
      </w:r>
      <w:proofErr w:type="spellStart"/>
      <w:r w:rsidRPr="006565C6">
        <w:rPr>
          <w:sz w:val="22"/>
          <w:szCs w:val="22"/>
          <w:lang w:val="sr-Latn-RS"/>
        </w:rPr>
        <w:t>intravenske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volumen </w:t>
      </w:r>
      <w:proofErr w:type="spellStart"/>
      <w:r w:rsidRPr="006565C6">
        <w:rPr>
          <w:sz w:val="22"/>
          <w:szCs w:val="22"/>
          <w:lang w:val="sr-Latn-RS"/>
        </w:rPr>
        <w:t>raspodjele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Vz</w:t>
      </w:r>
      <w:proofErr w:type="spellEnd"/>
      <w:r w:rsidRPr="006565C6">
        <w:rPr>
          <w:sz w:val="22"/>
          <w:szCs w:val="22"/>
          <w:lang w:val="sr-Latn-RS"/>
        </w:rPr>
        <w:t xml:space="preserve">) za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je 540 +/- 98 l. Vezanje na proteine plazme je malo, a iznosi približno 20% uglavnom vezano za albumin. </w:t>
      </w:r>
    </w:p>
    <w:p w14:paraId="2EEF8E25" w14:textId="77777777" w:rsidR="00B229DB" w:rsidRPr="006565C6" w:rsidRDefault="00B229DB" w:rsidP="006162E9">
      <w:pPr>
        <w:pStyle w:val="Default"/>
        <w:jc w:val="both"/>
        <w:rPr>
          <w:i/>
          <w:iCs/>
          <w:sz w:val="22"/>
          <w:szCs w:val="22"/>
          <w:lang w:val="sr-Latn-RS"/>
        </w:rPr>
      </w:pPr>
    </w:p>
    <w:p w14:paraId="372CE4E1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i/>
          <w:iCs/>
          <w:sz w:val="22"/>
          <w:szCs w:val="22"/>
          <w:lang w:val="sr-Latn-RS"/>
        </w:rPr>
        <w:t>Biotransformacija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</w:t>
      </w:r>
    </w:p>
    <w:p w14:paraId="5055517F" w14:textId="7B7AF1FE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Metaboliše</w:t>
      </w:r>
      <w:proofErr w:type="spellEnd"/>
      <w:r w:rsidRPr="006565C6">
        <w:rPr>
          <w:sz w:val="22"/>
          <w:szCs w:val="22"/>
          <w:lang w:val="sr-Latn-RS"/>
        </w:rPr>
        <w:t xml:space="preserve"> se oko 97% ishodišnog spoja. Glavni put metabolizma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je konjugacija s </w:t>
      </w:r>
      <w:proofErr w:type="spellStart"/>
      <w:r w:rsidRPr="006565C6">
        <w:rPr>
          <w:sz w:val="22"/>
          <w:szCs w:val="22"/>
          <w:lang w:val="sr-Latn-RS"/>
        </w:rPr>
        <w:t>glukuronskom</w:t>
      </w:r>
      <w:proofErr w:type="spellEnd"/>
      <w:r w:rsidRPr="006565C6">
        <w:rPr>
          <w:sz w:val="22"/>
          <w:szCs w:val="22"/>
          <w:lang w:val="sr-Latn-RS"/>
        </w:rPr>
        <w:t xml:space="preserve"> kiselinom da bi se stvorili </w:t>
      </w:r>
      <w:proofErr w:type="spellStart"/>
      <w:r w:rsidRPr="006565C6">
        <w:rPr>
          <w:sz w:val="22"/>
          <w:szCs w:val="22"/>
          <w:lang w:val="sr-Latn-RS"/>
        </w:rPr>
        <w:t>glukuronidi</w:t>
      </w:r>
      <w:proofErr w:type="spellEnd"/>
      <w:r w:rsidRPr="006565C6">
        <w:rPr>
          <w:sz w:val="22"/>
          <w:szCs w:val="22"/>
          <w:lang w:val="sr-Latn-RS"/>
        </w:rPr>
        <w:t xml:space="preserve">. Nakon oralne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oko 70% doze izlučuje </w:t>
      </w:r>
      <w:r w:rsidR="0054632C" w:rsidRPr="006565C6">
        <w:rPr>
          <w:sz w:val="22"/>
          <w:szCs w:val="22"/>
          <w:lang w:val="sr-Latn-RS"/>
        </w:rPr>
        <w:t xml:space="preserve"> se </w:t>
      </w:r>
      <w:r w:rsidRPr="006565C6">
        <w:rPr>
          <w:sz w:val="22"/>
          <w:szCs w:val="22"/>
          <w:lang w:val="sr-Latn-RS"/>
        </w:rPr>
        <w:t xml:space="preserve">u mokraći u </w:t>
      </w:r>
      <w:proofErr w:type="spellStart"/>
      <w:r w:rsidRPr="006565C6">
        <w:rPr>
          <w:sz w:val="22"/>
          <w:szCs w:val="22"/>
          <w:lang w:val="sr-Latn-RS"/>
        </w:rPr>
        <w:t>konjug</w:t>
      </w:r>
      <w:r w:rsidR="0054632C" w:rsidRPr="006565C6">
        <w:rPr>
          <w:sz w:val="22"/>
          <w:szCs w:val="22"/>
          <w:lang w:val="sr-Latn-RS"/>
        </w:rPr>
        <w:t>ovanim</w:t>
      </w:r>
      <w:proofErr w:type="spellEnd"/>
      <w:r w:rsidRPr="006565C6">
        <w:rPr>
          <w:sz w:val="22"/>
          <w:szCs w:val="22"/>
          <w:lang w:val="sr-Latn-RS"/>
        </w:rPr>
        <w:t xml:space="preserve"> oblicima (55% </w:t>
      </w:r>
      <w:proofErr w:type="spellStart"/>
      <w:r w:rsidRPr="006565C6">
        <w:rPr>
          <w:sz w:val="22"/>
          <w:szCs w:val="22"/>
          <w:lang w:val="sr-Latn-RS"/>
        </w:rPr>
        <w:t>glukuronida</w:t>
      </w:r>
      <w:proofErr w:type="spellEnd"/>
      <w:r w:rsidRPr="006565C6">
        <w:rPr>
          <w:sz w:val="22"/>
          <w:szCs w:val="22"/>
          <w:lang w:val="sr-Latn-RS"/>
        </w:rPr>
        <w:t xml:space="preserve"> i 15% sulfata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). </w:t>
      </w:r>
      <w:proofErr w:type="spellStart"/>
      <w:r w:rsidRPr="006565C6">
        <w:rPr>
          <w:sz w:val="22"/>
          <w:szCs w:val="22"/>
          <w:lang w:val="sr-Latn-RS"/>
        </w:rPr>
        <w:t>Uridin-difosfat-glukuronil-transferaza</w:t>
      </w:r>
      <w:proofErr w:type="spellEnd"/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UGT</w:t>
      </w:r>
      <w:proofErr w:type="spellEnd"/>
      <w:r w:rsidRPr="006565C6">
        <w:rPr>
          <w:sz w:val="22"/>
          <w:szCs w:val="22"/>
          <w:lang w:val="sr-Latn-RS"/>
        </w:rPr>
        <w:t xml:space="preserve">) je primarni enzim uključen u </w:t>
      </w:r>
      <w:proofErr w:type="spellStart"/>
      <w:r w:rsidRPr="006565C6">
        <w:rPr>
          <w:sz w:val="22"/>
          <w:szCs w:val="22"/>
          <w:lang w:val="sr-Latn-RS"/>
        </w:rPr>
        <w:t>glukuronidaciju</w:t>
      </w:r>
      <w:proofErr w:type="spellEnd"/>
      <w:r w:rsidRPr="006565C6">
        <w:rPr>
          <w:sz w:val="22"/>
          <w:szCs w:val="22"/>
          <w:lang w:val="sr-Latn-RS"/>
        </w:rPr>
        <w:t xml:space="preserve"> (većinom </w:t>
      </w:r>
      <w:proofErr w:type="spellStart"/>
      <w:r w:rsidRPr="006565C6">
        <w:rPr>
          <w:sz w:val="22"/>
          <w:szCs w:val="22"/>
          <w:lang w:val="sr-Latn-RS"/>
        </w:rPr>
        <w:t>izomeri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UGT1A6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UGT1A9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UGT2B7</w:t>
      </w:r>
      <w:proofErr w:type="spellEnd"/>
      <w:r w:rsidRPr="006565C6">
        <w:rPr>
          <w:sz w:val="22"/>
          <w:szCs w:val="22"/>
          <w:lang w:val="sr-Latn-RS"/>
        </w:rPr>
        <w:t xml:space="preserve">). Ukupno se 3% aktivne supstance izluči u mokraću u obliku </w:t>
      </w:r>
      <w:proofErr w:type="spellStart"/>
      <w:r w:rsidRPr="006565C6">
        <w:rPr>
          <w:sz w:val="22"/>
          <w:szCs w:val="22"/>
          <w:lang w:val="sr-Latn-RS"/>
        </w:rPr>
        <w:t>nepromijenjene</w:t>
      </w:r>
      <w:proofErr w:type="spellEnd"/>
      <w:r w:rsidRPr="006565C6">
        <w:rPr>
          <w:sz w:val="22"/>
          <w:szCs w:val="22"/>
          <w:lang w:val="sr-Latn-RS"/>
        </w:rPr>
        <w:t xml:space="preserve"> aktivne supstance.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se dodatno </w:t>
      </w:r>
      <w:proofErr w:type="spellStart"/>
      <w:r w:rsidRPr="006565C6">
        <w:rPr>
          <w:sz w:val="22"/>
          <w:szCs w:val="22"/>
          <w:lang w:val="sr-Latn-RS"/>
        </w:rPr>
        <w:t>metaboli</w:t>
      </w:r>
      <w:r w:rsidR="0054632C" w:rsidRPr="006565C6">
        <w:rPr>
          <w:sz w:val="22"/>
          <w:szCs w:val="22"/>
          <w:lang w:val="sr-Latn-RS"/>
        </w:rPr>
        <w:t>še</w:t>
      </w:r>
      <w:proofErr w:type="spellEnd"/>
      <w:r w:rsidR="0054632C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pomoću </w:t>
      </w:r>
      <w:proofErr w:type="spellStart"/>
      <w:r w:rsidRPr="006565C6">
        <w:rPr>
          <w:sz w:val="22"/>
          <w:szCs w:val="22"/>
          <w:lang w:val="sr-Latn-RS"/>
        </w:rPr>
        <w:t>CYP2C9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CYP2C19</w:t>
      </w:r>
      <w:proofErr w:type="spellEnd"/>
      <w:r w:rsidRPr="006565C6">
        <w:rPr>
          <w:sz w:val="22"/>
          <w:szCs w:val="22"/>
          <w:lang w:val="sr-Latn-RS"/>
        </w:rPr>
        <w:t xml:space="preserve"> u N-</w:t>
      </w:r>
      <w:proofErr w:type="spellStart"/>
      <w:r w:rsidRPr="006565C6">
        <w:rPr>
          <w:sz w:val="22"/>
          <w:szCs w:val="22"/>
          <w:lang w:val="sr-Latn-RS"/>
        </w:rPr>
        <w:t>dezmetiltapentadol</w:t>
      </w:r>
      <w:proofErr w:type="spellEnd"/>
      <w:r w:rsidRPr="006565C6">
        <w:rPr>
          <w:sz w:val="22"/>
          <w:szCs w:val="22"/>
          <w:lang w:val="sr-Latn-RS"/>
        </w:rPr>
        <w:t xml:space="preserve"> (13%), te pomoću </w:t>
      </w:r>
      <w:proofErr w:type="spellStart"/>
      <w:r w:rsidRPr="006565C6">
        <w:rPr>
          <w:sz w:val="22"/>
          <w:szCs w:val="22"/>
          <w:lang w:val="sr-Latn-RS"/>
        </w:rPr>
        <w:t>CYP2D6</w:t>
      </w:r>
      <w:proofErr w:type="spellEnd"/>
      <w:r w:rsidRPr="006565C6">
        <w:rPr>
          <w:sz w:val="22"/>
          <w:szCs w:val="22"/>
          <w:lang w:val="sr-Latn-RS"/>
        </w:rPr>
        <w:t xml:space="preserve"> u </w:t>
      </w:r>
      <w:proofErr w:type="spellStart"/>
      <w:r w:rsidRPr="006565C6">
        <w:rPr>
          <w:sz w:val="22"/>
          <w:szCs w:val="22"/>
          <w:lang w:val="sr-Latn-RS"/>
        </w:rPr>
        <w:t>hidroksi-tapentadol</w:t>
      </w:r>
      <w:proofErr w:type="spellEnd"/>
      <w:r w:rsidRPr="006565C6">
        <w:rPr>
          <w:sz w:val="22"/>
          <w:szCs w:val="22"/>
          <w:lang w:val="sr-Latn-RS"/>
        </w:rPr>
        <w:t xml:space="preserve"> (2%), koji se dalje </w:t>
      </w:r>
      <w:proofErr w:type="spellStart"/>
      <w:r w:rsidRPr="006565C6">
        <w:rPr>
          <w:sz w:val="22"/>
          <w:szCs w:val="22"/>
          <w:lang w:val="sr-Latn-RS"/>
        </w:rPr>
        <w:t>metabolišu</w:t>
      </w:r>
      <w:proofErr w:type="spellEnd"/>
      <w:r w:rsidRPr="006565C6">
        <w:rPr>
          <w:sz w:val="22"/>
          <w:szCs w:val="22"/>
          <w:lang w:val="sr-Latn-RS"/>
        </w:rPr>
        <w:t xml:space="preserve"> konjugacijom. Zbog toga je metabolizam aktivne supstance posredstvom sistema </w:t>
      </w:r>
      <w:proofErr w:type="spellStart"/>
      <w:r w:rsidRPr="006565C6">
        <w:rPr>
          <w:sz w:val="22"/>
          <w:szCs w:val="22"/>
          <w:lang w:val="sr-Latn-RS"/>
        </w:rPr>
        <w:t>citokroma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P450</w:t>
      </w:r>
      <w:proofErr w:type="spellEnd"/>
      <w:r w:rsidRPr="006565C6">
        <w:rPr>
          <w:sz w:val="22"/>
          <w:szCs w:val="22"/>
          <w:lang w:val="sr-Latn-RS"/>
        </w:rPr>
        <w:t xml:space="preserve"> manje važan nego </w:t>
      </w:r>
      <w:proofErr w:type="spellStart"/>
      <w:r w:rsidRPr="006565C6">
        <w:rPr>
          <w:sz w:val="22"/>
          <w:szCs w:val="22"/>
          <w:lang w:val="sr-Latn-RS"/>
        </w:rPr>
        <w:t>glukuronidacija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</w:p>
    <w:p w14:paraId="74245318" w14:textId="36A29921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Ni jedan od </w:t>
      </w:r>
      <w:proofErr w:type="spellStart"/>
      <w:r w:rsidRPr="006565C6">
        <w:rPr>
          <w:sz w:val="22"/>
          <w:szCs w:val="22"/>
          <w:lang w:val="sr-Latn-RS"/>
        </w:rPr>
        <w:t>metabolita</w:t>
      </w:r>
      <w:proofErr w:type="spellEnd"/>
      <w:r w:rsidRPr="006565C6">
        <w:rPr>
          <w:sz w:val="22"/>
          <w:szCs w:val="22"/>
          <w:lang w:val="sr-Latn-RS"/>
        </w:rPr>
        <w:t xml:space="preserve"> ne doprinosi analgetskom </w:t>
      </w:r>
      <w:proofErr w:type="spellStart"/>
      <w:r w:rsidRPr="006565C6">
        <w:rPr>
          <w:sz w:val="22"/>
          <w:szCs w:val="22"/>
          <w:lang w:val="sr-Latn-RS"/>
        </w:rPr>
        <w:t>djelovanju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</w:p>
    <w:p w14:paraId="3094B761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</w:p>
    <w:p w14:paraId="544BE139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Eliminacija </w:t>
      </w:r>
    </w:p>
    <w:p w14:paraId="7E0C3181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i njegovi </w:t>
      </w:r>
      <w:proofErr w:type="spellStart"/>
      <w:r w:rsidRPr="006565C6">
        <w:rPr>
          <w:sz w:val="22"/>
          <w:szCs w:val="22"/>
          <w:lang w:val="sr-Latn-RS"/>
        </w:rPr>
        <w:t>metaboliti</w:t>
      </w:r>
      <w:proofErr w:type="spellEnd"/>
      <w:r w:rsidRPr="006565C6">
        <w:rPr>
          <w:sz w:val="22"/>
          <w:szCs w:val="22"/>
          <w:lang w:val="sr-Latn-RS"/>
        </w:rPr>
        <w:t xml:space="preserve"> izlučuju se gotovo isključivo (99%) putem bubrega. Ukupni </w:t>
      </w:r>
      <w:proofErr w:type="spellStart"/>
      <w:r w:rsidRPr="006565C6">
        <w:rPr>
          <w:sz w:val="22"/>
          <w:szCs w:val="22"/>
          <w:lang w:val="sr-Latn-RS"/>
        </w:rPr>
        <w:t>klirens</w:t>
      </w:r>
      <w:proofErr w:type="spellEnd"/>
      <w:r w:rsidRPr="006565C6">
        <w:rPr>
          <w:sz w:val="22"/>
          <w:szCs w:val="22"/>
          <w:lang w:val="sr-Latn-RS"/>
        </w:rPr>
        <w:t xml:space="preserve"> nakon </w:t>
      </w:r>
      <w:proofErr w:type="spellStart"/>
      <w:r w:rsidRPr="006565C6">
        <w:rPr>
          <w:sz w:val="22"/>
          <w:szCs w:val="22"/>
          <w:lang w:val="sr-Latn-RS"/>
        </w:rPr>
        <w:t>intravenske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je 1530 +/- 177 ml/min. </w:t>
      </w:r>
    </w:p>
    <w:p w14:paraId="34D40DFC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</w:p>
    <w:p w14:paraId="46295A95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Posebne populacije </w:t>
      </w:r>
    </w:p>
    <w:p w14:paraId="3B84DE65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Stariji bolesnici </w:t>
      </w:r>
    </w:p>
    <w:p w14:paraId="7354A17B" w14:textId="77777777" w:rsidR="00B229DB" w:rsidRPr="006565C6" w:rsidRDefault="00B229DB" w:rsidP="006162E9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Srednja izloženost (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) </w:t>
      </w:r>
      <w:proofErr w:type="spellStart"/>
      <w:r w:rsidRPr="006565C6">
        <w:rPr>
          <w:sz w:val="22"/>
          <w:szCs w:val="22"/>
          <w:lang w:val="sr-Latn-RS"/>
        </w:rPr>
        <w:t>tapentadolu</w:t>
      </w:r>
      <w:proofErr w:type="spellEnd"/>
      <w:r w:rsidRPr="006565C6">
        <w:rPr>
          <w:sz w:val="22"/>
          <w:szCs w:val="22"/>
          <w:lang w:val="sr-Latn-RS"/>
        </w:rPr>
        <w:t xml:space="preserve"> bila je slična u ispitivanju sa starijim ispitanicima (u dobi od 65 – 78 godina) u poređenju sa mladim odraslim osobama (u dobi od 19 – 43 godine), kod čega je 16% niža srednja </w:t>
      </w:r>
      <w:proofErr w:type="spellStart"/>
      <w:r w:rsidRPr="006565C6">
        <w:rPr>
          <w:sz w:val="22"/>
          <w:szCs w:val="22"/>
          <w:lang w:val="sr-Latn-RS"/>
        </w:rPr>
        <w:t>vrijednost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Cmax</w:t>
      </w:r>
      <w:proofErr w:type="spellEnd"/>
      <w:r w:rsidRPr="006565C6">
        <w:rPr>
          <w:sz w:val="22"/>
          <w:szCs w:val="22"/>
          <w:lang w:val="sr-Latn-RS"/>
        </w:rPr>
        <w:t xml:space="preserve"> zapažena u grupi starijih ispitanika u poređenju sa mladim odraslim ispitanicima. </w:t>
      </w:r>
    </w:p>
    <w:p w14:paraId="10C3CEE4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</w:p>
    <w:p w14:paraId="42E4C730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Oštećenje funkcije bubrega </w:t>
      </w:r>
    </w:p>
    <w:p w14:paraId="5DBA456B" w14:textId="6DD73A9D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Vrijednosti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Cmax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bile su uporedive </w:t>
      </w:r>
      <w:r w:rsidR="0054632C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ispitanika s različitim </w:t>
      </w:r>
      <w:r w:rsidR="0054632C" w:rsidRPr="006565C6">
        <w:rPr>
          <w:sz w:val="22"/>
          <w:szCs w:val="22"/>
          <w:lang w:val="sr-Latn-RS"/>
        </w:rPr>
        <w:t xml:space="preserve">stepenima </w:t>
      </w:r>
      <w:r w:rsidRPr="006565C6">
        <w:rPr>
          <w:sz w:val="22"/>
          <w:szCs w:val="22"/>
          <w:lang w:val="sr-Latn-RS"/>
        </w:rPr>
        <w:t>funkcije bubrega (od normalne funkcije do teškog oštećenja). Za razliku od toga, kod sve većeg oštećenja funkcije bubrega zapažena je sve veća izloženost (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)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>-O-</w:t>
      </w:r>
      <w:proofErr w:type="spellStart"/>
      <w:r w:rsidRPr="006565C6">
        <w:rPr>
          <w:sz w:val="22"/>
          <w:szCs w:val="22"/>
          <w:lang w:val="sr-Latn-RS"/>
        </w:rPr>
        <w:t>glukuronidu</w:t>
      </w:r>
      <w:proofErr w:type="spellEnd"/>
      <w:r w:rsidRPr="006565C6">
        <w:rPr>
          <w:sz w:val="22"/>
          <w:szCs w:val="22"/>
          <w:lang w:val="sr-Latn-RS"/>
        </w:rPr>
        <w:t xml:space="preserve">. U </w:t>
      </w:r>
      <w:proofErr w:type="spellStart"/>
      <w:r w:rsidR="0054632C" w:rsidRPr="006565C6">
        <w:rPr>
          <w:sz w:val="22"/>
          <w:szCs w:val="22"/>
          <w:lang w:val="sr-Latn-RS"/>
        </w:rPr>
        <w:t>poredjenju</w:t>
      </w:r>
      <w:proofErr w:type="spellEnd"/>
      <w:r w:rsidR="0054632C" w:rsidRPr="006565C6">
        <w:rPr>
          <w:sz w:val="22"/>
          <w:szCs w:val="22"/>
          <w:lang w:val="sr-Latn-RS"/>
        </w:rPr>
        <w:t xml:space="preserve"> sa </w:t>
      </w:r>
      <w:r w:rsidRPr="006565C6">
        <w:rPr>
          <w:sz w:val="22"/>
          <w:szCs w:val="22"/>
          <w:lang w:val="sr-Latn-RS"/>
        </w:rPr>
        <w:t xml:space="preserve">normalnom funkcijom bubrega, </w:t>
      </w:r>
      <w:r w:rsidR="0054632C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ispitanika s blagim, </w:t>
      </w:r>
      <w:proofErr w:type="spellStart"/>
      <w:r w:rsidRPr="006565C6">
        <w:rPr>
          <w:sz w:val="22"/>
          <w:szCs w:val="22"/>
          <w:lang w:val="sr-Latn-RS"/>
        </w:rPr>
        <w:t>umjerenim</w:t>
      </w:r>
      <w:proofErr w:type="spellEnd"/>
      <w:r w:rsidRPr="006565C6">
        <w:rPr>
          <w:sz w:val="22"/>
          <w:szCs w:val="22"/>
          <w:lang w:val="sr-Latn-RS"/>
        </w:rPr>
        <w:t xml:space="preserve"> i teškim oštećenjem funkcije bubrega, 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>-O-</w:t>
      </w:r>
      <w:proofErr w:type="spellStart"/>
      <w:r w:rsidRPr="006565C6">
        <w:rPr>
          <w:sz w:val="22"/>
          <w:szCs w:val="22"/>
          <w:lang w:val="sr-Latn-RS"/>
        </w:rPr>
        <w:t>glukuronida</w:t>
      </w:r>
      <w:proofErr w:type="spellEnd"/>
      <w:r w:rsidRPr="006565C6">
        <w:rPr>
          <w:sz w:val="22"/>
          <w:szCs w:val="22"/>
          <w:lang w:val="sr-Latn-RS"/>
        </w:rPr>
        <w:t xml:space="preserve"> je 1,5-struko, 2,5-struko, odnosno 5,5-struko viši. </w:t>
      </w:r>
    </w:p>
    <w:p w14:paraId="4E05F090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</w:p>
    <w:p w14:paraId="54EAA438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Oštećenje funkcije jetre </w:t>
      </w:r>
    </w:p>
    <w:p w14:paraId="48AAE55D" w14:textId="4B64BFCE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Primjena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rezultovala je većom izloženošću i serumskim nivoima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u ispitanika sa oštećenom funkcijom jetre, u poređenju sa ispitanicima sa normalnom funkcijom jetre. </w:t>
      </w:r>
      <w:r w:rsidR="0054632C" w:rsidRPr="006565C6">
        <w:rPr>
          <w:sz w:val="22"/>
          <w:szCs w:val="22"/>
          <w:lang w:val="sr-Latn-RS"/>
        </w:rPr>
        <w:t xml:space="preserve">Odnos </w:t>
      </w:r>
      <w:proofErr w:type="spellStart"/>
      <w:r w:rsidRPr="006565C6">
        <w:rPr>
          <w:sz w:val="22"/>
          <w:szCs w:val="22"/>
          <w:lang w:val="sr-Latn-RS"/>
        </w:rPr>
        <w:t>farmakokinetičkih</w:t>
      </w:r>
      <w:proofErr w:type="spellEnd"/>
      <w:r w:rsidRPr="006565C6">
        <w:rPr>
          <w:sz w:val="22"/>
          <w:szCs w:val="22"/>
          <w:lang w:val="sr-Latn-RS"/>
        </w:rPr>
        <w:t xml:space="preserve"> parametara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za grupe sa blagim i </w:t>
      </w:r>
      <w:proofErr w:type="spellStart"/>
      <w:r w:rsidRPr="006565C6">
        <w:rPr>
          <w:sz w:val="22"/>
          <w:szCs w:val="22"/>
          <w:lang w:val="sr-Latn-RS"/>
        </w:rPr>
        <w:t>umjerenim</w:t>
      </w:r>
      <w:proofErr w:type="spellEnd"/>
      <w:r w:rsidRPr="006565C6">
        <w:rPr>
          <w:sz w:val="22"/>
          <w:szCs w:val="22"/>
          <w:lang w:val="sr-Latn-RS"/>
        </w:rPr>
        <w:t xml:space="preserve"> oštećenjem funkcije jetre, u poređenju sa grupom ispitanika sa normalnom funkcijom jetre, bio je 1,7 odnosno 4,2 za 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; 1,4 odnosno 2,5 za </w:t>
      </w:r>
      <w:proofErr w:type="spellStart"/>
      <w:r w:rsidRPr="006565C6">
        <w:rPr>
          <w:sz w:val="22"/>
          <w:szCs w:val="22"/>
          <w:lang w:val="sr-Latn-RS"/>
        </w:rPr>
        <w:t>Cmax</w:t>
      </w:r>
      <w:proofErr w:type="spellEnd"/>
      <w:r w:rsidRPr="006565C6">
        <w:rPr>
          <w:sz w:val="22"/>
          <w:szCs w:val="22"/>
          <w:lang w:val="sr-Latn-RS"/>
        </w:rPr>
        <w:t xml:space="preserve">; te 1,2 odnosno 1,4 za </w:t>
      </w:r>
      <w:proofErr w:type="spellStart"/>
      <w:r w:rsidRPr="006565C6">
        <w:rPr>
          <w:sz w:val="22"/>
          <w:szCs w:val="22"/>
          <w:lang w:val="sr-Latn-RS"/>
        </w:rPr>
        <w:t>t½</w:t>
      </w:r>
      <w:proofErr w:type="spellEnd"/>
      <w:r w:rsidRPr="006565C6">
        <w:rPr>
          <w:sz w:val="22"/>
          <w:szCs w:val="22"/>
          <w:lang w:val="sr-Latn-RS"/>
        </w:rPr>
        <w:t xml:space="preserve">. Brzina nastanka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>-O-</w:t>
      </w:r>
      <w:proofErr w:type="spellStart"/>
      <w:r w:rsidRPr="006565C6">
        <w:rPr>
          <w:sz w:val="22"/>
          <w:szCs w:val="22"/>
          <w:lang w:val="sr-Latn-RS"/>
        </w:rPr>
        <w:t>glukuronida</w:t>
      </w:r>
      <w:proofErr w:type="spellEnd"/>
      <w:r w:rsidRPr="006565C6">
        <w:rPr>
          <w:sz w:val="22"/>
          <w:szCs w:val="22"/>
          <w:lang w:val="sr-Latn-RS"/>
        </w:rPr>
        <w:t xml:space="preserve"> bila je manja </w:t>
      </w:r>
      <w:r w:rsidR="0054632C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ispitanika sa povećanim oštećenjem funkcije jetre. </w:t>
      </w:r>
    </w:p>
    <w:p w14:paraId="5F2E05A3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</w:p>
    <w:p w14:paraId="039B2ACA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i/>
          <w:iCs/>
          <w:sz w:val="22"/>
          <w:szCs w:val="22"/>
          <w:lang w:val="sr-Latn-RS"/>
        </w:rPr>
        <w:t>Farmakokinetički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odnosi </w:t>
      </w:r>
    </w:p>
    <w:p w14:paraId="72C5426C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se većinom </w:t>
      </w:r>
      <w:proofErr w:type="spellStart"/>
      <w:r w:rsidRPr="006565C6">
        <w:rPr>
          <w:sz w:val="22"/>
          <w:szCs w:val="22"/>
          <w:lang w:val="sr-Latn-RS"/>
        </w:rPr>
        <w:t>metaboliše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glukuronidacijom</w:t>
      </w:r>
      <w:proofErr w:type="spellEnd"/>
      <w:r w:rsidRPr="006565C6">
        <w:rPr>
          <w:sz w:val="22"/>
          <w:szCs w:val="22"/>
          <w:lang w:val="sr-Latn-RS"/>
        </w:rPr>
        <w:t xml:space="preserve">, a samo se mala količina </w:t>
      </w:r>
      <w:proofErr w:type="spellStart"/>
      <w:r w:rsidRPr="006565C6">
        <w:rPr>
          <w:sz w:val="22"/>
          <w:szCs w:val="22"/>
          <w:lang w:val="sr-Latn-RS"/>
        </w:rPr>
        <w:t>metaboliše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oksidativnim</w:t>
      </w:r>
      <w:proofErr w:type="spellEnd"/>
      <w:r w:rsidRPr="006565C6">
        <w:rPr>
          <w:sz w:val="22"/>
          <w:szCs w:val="22"/>
          <w:lang w:val="sr-Latn-RS"/>
        </w:rPr>
        <w:t xml:space="preserve"> putevima. </w:t>
      </w:r>
    </w:p>
    <w:p w14:paraId="14922E89" w14:textId="6CCBD178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S obzirom na to da je </w:t>
      </w:r>
      <w:proofErr w:type="spellStart"/>
      <w:r w:rsidRPr="006565C6">
        <w:rPr>
          <w:sz w:val="22"/>
          <w:szCs w:val="22"/>
          <w:lang w:val="sr-Latn-RS"/>
        </w:rPr>
        <w:t>glukuronidacija</w:t>
      </w:r>
      <w:proofErr w:type="spellEnd"/>
      <w:r w:rsidRPr="006565C6">
        <w:rPr>
          <w:sz w:val="22"/>
          <w:szCs w:val="22"/>
          <w:lang w:val="sr-Latn-RS"/>
        </w:rPr>
        <w:t xml:space="preserve"> sistem velikog kapaciteta/malog afiniteta, koji se ne zasićuje lako čak ni </w:t>
      </w:r>
      <w:r w:rsidR="0054632C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 xml:space="preserve">bolesti, te budući da su terapijske koncentracije aktivnih supstanci generalno daleko ispod koncentracija koje su potrebne za potencijalnu inhibiciju </w:t>
      </w:r>
      <w:proofErr w:type="spellStart"/>
      <w:r w:rsidRPr="006565C6">
        <w:rPr>
          <w:sz w:val="22"/>
          <w:szCs w:val="22"/>
          <w:lang w:val="sr-Latn-RS"/>
        </w:rPr>
        <w:t>glukuronidacije</w:t>
      </w:r>
      <w:proofErr w:type="spellEnd"/>
      <w:r w:rsidRPr="006565C6">
        <w:rPr>
          <w:sz w:val="22"/>
          <w:szCs w:val="22"/>
          <w:lang w:val="sr-Latn-RS"/>
        </w:rPr>
        <w:t xml:space="preserve">, mala je </w:t>
      </w:r>
      <w:proofErr w:type="spellStart"/>
      <w:r w:rsidRPr="006565C6">
        <w:rPr>
          <w:sz w:val="22"/>
          <w:szCs w:val="22"/>
          <w:lang w:val="sr-Latn-RS"/>
        </w:rPr>
        <w:t>vjerovatnoća</w:t>
      </w:r>
      <w:proofErr w:type="spellEnd"/>
      <w:r w:rsidRPr="006565C6">
        <w:rPr>
          <w:sz w:val="22"/>
          <w:szCs w:val="22"/>
          <w:lang w:val="sr-Latn-RS"/>
        </w:rPr>
        <w:t xml:space="preserve"> da će nastupiti neke klinički značajne interakcije uzrokovane </w:t>
      </w:r>
      <w:proofErr w:type="spellStart"/>
      <w:r w:rsidRPr="006565C6">
        <w:rPr>
          <w:sz w:val="22"/>
          <w:szCs w:val="22"/>
          <w:lang w:val="sr-Latn-RS"/>
        </w:rPr>
        <w:t>glukuronidacijom</w:t>
      </w:r>
      <w:proofErr w:type="spellEnd"/>
      <w:r w:rsidRPr="006565C6">
        <w:rPr>
          <w:sz w:val="22"/>
          <w:szCs w:val="22"/>
          <w:lang w:val="sr-Latn-RS"/>
        </w:rPr>
        <w:t xml:space="preserve">. U nizu ispitivanja interakcija između </w:t>
      </w:r>
      <w:proofErr w:type="spellStart"/>
      <w:r w:rsidR="00021F43" w:rsidRPr="006565C6">
        <w:rPr>
          <w:sz w:val="22"/>
          <w:szCs w:val="22"/>
          <w:lang w:val="sr-Latn-RS"/>
        </w:rPr>
        <w:t>ljekova</w:t>
      </w:r>
      <w:proofErr w:type="spellEnd"/>
      <w:r w:rsidRPr="006565C6">
        <w:rPr>
          <w:sz w:val="22"/>
          <w:szCs w:val="22"/>
          <w:lang w:val="sr-Latn-RS"/>
        </w:rPr>
        <w:t xml:space="preserve">, u kojima su korišteni </w:t>
      </w:r>
      <w:proofErr w:type="spellStart"/>
      <w:r w:rsidRPr="006565C6">
        <w:rPr>
          <w:sz w:val="22"/>
          <w:szCs w:val="22"/>
          <w:lang w:val="sr-Latn-RS"/>
        </w:rPr>
        <w:t>paracetamol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naproksen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acetilsalicilatna</w:t>
      </w:r>
      <w:proofErr w:type="spellEnd"/>
      <w:r w:rsidRPr="006565C6">
        <w:rPr>
          <w:sz w:val="22"/>
          <w:szCs w:val="22"/>
          <w:lang w:val="sr-Latn-RS"/>
        </w:rPr>
        <w:t xml:space="preserve"> kiselina i </w:t>
      </w:r>
      <w:proofErr w:type="spellStart"/>
      <w:r w:rsidRPr="006565C6">
        <w:rPr>
          <w:sz w:val="22"/>
          <w:szCs w:val="22"/>
          <w:lang w:val="sr-Latn-RS"/>
        </w:rPr>
        <w:t>probenecid</w:t>
      </w:r>
      <w:proofErr w:type="spellEnd"/>
      <w:r w:rsidRPr="006565C6">
        <w:rPr>
          <w:sz w:val="22"/>
          <w:szCs w:val="22"/>
          <w:lang w:val="sr-Latn-RS"/>
        </w:rPr>
        <w:t xml:space="preserve">, istraživan je mogući uticaj tih aktivnih supstanci na </w:t>
      </w:r>
      <w:proofErr w:type="spellStart"/>
      <w:r w:rsidRPr="006565C6">
        <w:rPr>
          <w:sz w:val="22"/>
          <w:szCs w:val="22"/>
          <w:lang w:val="sr-Latn-RS"/>
        </w:rPr>
        <w:t>glukuronidaciju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. Ispitivanja sa </w:t>
      </w:r>
      <w:r w:rsidR="0054632C" w:rsidRPr="006565C6">
        <w:rPr>
          <w:sz w:val="22"/>
          <w:szCs w:val="22"/>
          <w:lang w:val="sr-Latn-RS"/>
        </w:rPr>
        <w:t xml:space="preserve">eksperimentalnim </w:t>
      </w:r>
      <w:r w:rsidRPr="006565C6">
        <w:rPr>
          <w:sz w:val="22"/>
          <w:szCs w:val="22"/>
          <w:lang w:val="sr-Latn-RS"/>
        </w:rPr>
        <w:t xml:space="preserve">aktivnim supstancama </w:t>
      </w:r>
      <w:proofErr w:type="spellStart"/>
      <w:r w:rsidRPr="006565C6">
        <w:rPr>
          <w:sz w:val="22"/>
          <w:szCs w:val="22"/>
          <w:lang w:val="sr-Latn-RS"/>
        </w:rPr>
        <w:t>naproksenom</w:t>
      </w:r>
      <w:proofErr w:type="spellEnd"/>
      <w:r w:rsidRPr="006565C6">
        <w:rPr>
          <w:sz w:val="22"/>
          <w:szCs w:val="22"/>
          <w:lang w:val="sr-Latn-RS"/>
        </w:rPr>
        <w:t xml:space="preserve"> (500 mg dva puta na dan tokom 2 dana) i </w:t>
      </w:r>
      <w:proofErr w:type="spellStart"/>
      <w:r w:rsidRPr="006565C6">
        <w:rPr>
          <w:sz w:val="22"/>
          <w:szCs w:val="22"/>
          <w:lang w:val="sr-Latn-RS"/>
        </w:rPr>
        <w:t>probenecidom</w:t>
      </w:r>
      <w:proofErr w:type="spellEnd"/>
      <w:r w:rsidRPr="006565C6">
        <w:rPr>
          <w:sz w:val="22"/>
          <w:szCs w:val="22"/>
          <w:lang w:val="sr-Latn-RS"/>
        </w:rPr>
        <w:t xml:space="preserve"> (500 mg dva puta na dan tokom 2 dana) pokazala su da je došlo do povećanja </w:t>
      </w:r>
      <w:proofErr w:type="spellStart"/>
      <w:r w:rsidRPr="006565C6">
        <w:rPr>
          <w:sz w:val="22"/>
          <w:szCs w:val="22"/>
          <w:lang w:val="sr-Latn-RS"/>
        </w:rPr>
        <w:t>AUC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vrijednosti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za 17% odnosno 57%. Sveukupno uzevši, u tim ispitivanjima nisu zapaženi klinički značajni učinci na serumske koncentracije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</w:p>
    <w:p w14:paraId="470FF6A4" w14:textId="7D5C4938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lastRenderedPageBreak/>
        <w:t xml:space="preserve">Nadalje, provedena su ispitivanja interakcija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s </w:t>
      </w:r>
      <w:proofErr w:type="spellStart"/>
      <w:r w:rsidRPr="006565C6">
        <w:rPr>
          <w:sz w:val="22"/>
          <w:szCs w:val="22"/>
          <w:lang w:val="sr-Latn-RS"/>
        </w:rPr>
        <w:t>metoklopramidom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omeprazolom</w:t>
      </w:r>
      <w:proofErr w:type="spellEnd"/>
      <w:r w:rsidRPr="006565C6">
        <w:rPr>
          <w:sz w:val="22"/>
          <w:szCs w:val="22"/>
          <w:lang w:val="sr-Latn-RS"/>
        </w:rPr>
        <w:t>, kako bi se istražio mogući ut</w:t>
      </w:r>
      <w:r w:rsidR="0054632C" w:rsidRPr="006565C6">
        <w:rPr>
          <w:sz w:val="22"/>
          <w:szCs w:val="22"/>
          <w:lang w:val="sr-Latn-RS"/>
        </w:rPr>
        <w:t>icaj</w:t>
      </w:r>
      <w:r w:rsidRPr="006565C6">
        <w:rPr>
          <w:sz w:val="22"/>
          <w:szCs w:val="22"/>
          <w:lang w:val="sr-Latn-RS"/>
        </w:rPr>
        <w:t xml:space="preserve"> tih </w:t>
      </w:r>
      <w:r w:rsidR="0054632C" w:rsidRPr="006565C6">
        <w:rPr>
          <w:sz w:val="22"/>
          <w:szCs w:val="22"/>
          <w:lang w:val="sr-Latn-RS"/>
        </w:rPr>
        <w:t xml:space="preserve">aktivnih supstanci </w:t>
      </w:r>
      <w:r w:rsidRPr="006565C6">
        <w:rPr>
          <w:sz w:val="22"/>
          <w:szCs w:val="22"/>
          <w:lang w:val="sr-Latn-RS"/>
        </w:rPr>
        <w:t xml:space="preserve">na apsorpciju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>. Ta su ispitivanja tako</w:t>
      </w:r>
      <w:r w:rsidR="000607B1" w:rsidRPr="006565C6">
        <w:rPr>
          <w:sz w:val="22"/>
          <w:szCs w:val="22"/>
          <w:lang w:val="sr-Latn-RS"/>
        </w:rPr>
        <w:t>đe</w:t>
      </w:r>
      <w:r w:rsidRPr="006565C6">
        <w:rPr>
          <w:sz w:val="22"/>
          <w:szCs w:val="22"/>
          <w:lang w:val="sr-Latn-RS"/>
        </w:rPr>
        <w:t xml:space="preserve"> pokazala da nema klinički značajnih efekata na serumske koncentracije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</w:p>
    <w:p w14:paraId="4A75C63F" w14:textId="6FE7BEF2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In </w:t>
      </w:r>
      <w:proofErr w:type="spellStart"/>
      <w:r w:rsidRPr="006565C6">
        <w:rPr>
          <w:i/>
          <w:iCs/>
          <w:sz w:val="22"/>
          <w:szCs w:val="22"/>
          <w:lang w:val="sr-Latn-RS"/>
        </w:rPr>
        <w:t>vitro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ispitivanja nisu otkrila nikakav potencijal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za inhibiciju ili indukciju enzima </w:t>
      </w:r>
      <w:proofErr w:type="spellStart"/>
      <w:r w:rsidRPr="006565C6">
        <w:rPr>
          <w:sz w:val="22"/>
          <w:szCs w:val="22"/>
          <w:lang w:val="sr-Latn-RS"/>
        </w:rPr>
        <w:t>citokroma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P450</w:t>
      </w:r>
      <w:proofErr w:type="spellEnd"/>
      <w:r w:rsidRPr="006565C6">
        <w:rPr>
          <w:sz w:val="22"/>
          <w:szCs w:val="22"/>
          <w:lang w:val="sr-Latn-RS"/>
        </w:rPr>
        <w:t xml:space="preserve">. </w:t>
      </w:r>
      <w:r w:rsidR="0054632C" w:rsidRPr="006565C6">
        <w:rPr>
          <w:sz w:val="22"/>
          <w:szCs w:val="22"/>
          <w:lang w:val="sr-Latn-RS"/>
        </w:rPr>
        <w:t xml:space="preserve">Zbog </w:t>
      </w:r>
      <w:r w:rsidRPr="006565C6">
        <w:rPr>
          <w:sz w:val="22"/>
          <w:szCs w:val="22"/>
          <w:lang w:val="sr-Latn-RS"/>
        </w:rPr>
        <w:t xml:space="preserve">toga, nije </w:t>
      </w:r>
      <w:proofErr w:type="spellStart"/>
      <w:r w:rsidRPr="006565C6">
        <w:rPr>
          <w:sz w:val="22"/>
          <w:szCs w:val="22"/>
          <w:lang w:val="sr-Latn-RS"/>
        </w:rPr>
        <w:t>vjerovatno</w:t>
      </w:r>
      <w:proofErr w:type="spellEnd"/>
      <w:r w:rsidRPr="006565C6">
        <w:rPr>
          <w:sz w:val="22"/>
          <w:szCs w:val="22"/>
          <w:lang w:val="sr-Latn-RS"/>
        </w:rPr>
        <w:t xml:space="preserve"> da će posredstvom s</w:t>
      </w:r>
      <w:r w:rsidR="0054632C" w:rsidRPr="006565C6">
        <w:rPr>
          <w:sz w:val="22"/>
          <w:szCs w:val="22"/>
          <w:lang w:val="sr-Latn-RS"/>
        </w:rPr>
        <w:t>i</w:t>
      </w:r>
      <w:r w:rsidRPr="006565C6">
        <w:rPr>
          <w:sz w:val="22"/>
          <w:szCs w:val="22"/>
          <w:lang w:val="sr-Latn-RS"/>
        </w:rPr>
        <w:t>st</w:t>
      </w:r>
      <w:r w:rsidR="0054632C" w:rsidRPr="006565C6">
        <w:rPr>
          <w:sz w:val="22"/>
          <w:szCs w:val="22"/>
          <w:lang w:val="sr-Latn-RS"/>
        </w:rPr>
        <w:t>ema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citokroma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P450</w:t>
      </w:r>
      <w:proofErr w:type="spellEnd"/>
      <w:r w:rsidRPr="006565C6">
        <w:rPr>
          <w:sz w:val="22"/>
          <w:szCs w:val="22"/>
          <w:lang w:val="sr-Latn-RS"/>
        </w:rPr>
        <w:t xml:space="preserve"> nastupiti klinički značajne interakcije. </w:t>
      </w:r>
    </w:p>
    <w:p w14:paraId="23434278" w14:textId="3D30DB29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Vezanje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54632C" w:rsidRPr="006565C6">
        <w:rPr>
          <w:sz w:val="22"/>
          <w:szCs w:val="22"/>
          <w:lang w:val="sr-Latn-RS"/>
        </w:rPr>
        <w:t xml:space="preserve">za </w:t>
      </w:r>
      <w:r w:rsidRPr="006565C6">
        <w:rPr>
          <w:sz w:val="22"/>
          <w:szCs w:val="22"/>
          <w:lang w:val="sr-Latn-RS"/>
        </w:rPr>
        <w:t xml:space="preserve">proteine plazme je nisko (oko 20%). Zbog toga je mala </w:t>
      </w:r>
      <w:proofErr w:type="spellStart"/>
      <w:r w:rsidRPr="006565C6">
        <w:rPr>
          <w:sz w:val="22"/>
          <w:szCs w:val="22"/>
          <w:lang w:val="sr-Latn-RS"/>
        </w:rPr>
        <w:t>vjerovatnoća</w:t>
      </w:r>
      <w:proofErr w:type="spellEnd"/>
      <w:r w:rsidRPr="006565C6">
        <w:rPr>
          <w:sz w:val="22"/>
          <w:szCs w:val="22"/>
          <w:lang w:val="sr-Latn-RS"/>
        </w:rPr>
        <w:t xml:space="preserve"> da će doći do </w:t>
      </w:r>
      <w:proofErr w:type="spellStart"/>
      <w:r w:rsidRPr="006565C6">
        <w:rPr>
          <w:sz w:val="22"/>
          <w:szCs w:val="22"/>
          <w:lang w:val="sr-Latn-RS"/>
        </w:rPr>
        <w:t>farmakokinetičkih</w:t>
      </w:r>
      <w:proofErr w:type="spellEnd"/>
      <w:r w:rsidRPr="006565C6">
        <w:rPr>
          <w:sz w:val="22"/>
          <w:szCs w:val="22"/>
          <w:lang w:val="sr-Latn-RS"/>
        </w:rPr>
        <w:t xml:space="preserve"> interakcija između </w:t>
      </w:r>
      <w:proofErr w:type="spellStart"/>
      <w:r w:rsidR="00021F43" w:rsidRPr="006565C6">
        <w:rPr>
          <w:sz w:val="22"/>
          <w:szCs w:val="22"/>
          <w:lang w:val="sr-Latn-RS"/>
        </w:rPr>
        <w:t>ljekova</w:t>
      </w:r>
      <w:proofErr w:type="spellEnd"/>
      <w:r w:rsidR="00F07E26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 xml:space="preserve">istiskivanjem sa </w:t>
      </w:r>
      <w:proofErr w:type="spellStart"/>
      <w:r w:rsidRPr="006565C6">
        <w:rPr>
          <w:sz w:val="22"/>
          <w:szCs w:val="22"/>
          <w:lang w:val="sr-Latn-RS"/>
        </w:rPr>
        <w:t>mjesta</w:t>
      </w:r>
      <w:proofErr w:type="spellEnd"/>
      <w:r w:rsidRPr="006565C6">
        <w:rPr>
          <w:sz w:val="22"/>
          <w:szCs w:val="22"/>
          <w:lang w:val="sr-Latn-RS"/>
        </w:rPr>
        <w:t xml:space="preserve"> vezanja </w:t>
      </w:r>
      <w:r w:rsidR="0054632C" w:rsidRPr="006565C6">
        <w:rPr>
          <w:sz w:val="22"/>
          <w:szCs w:val="22"/>
          <w:lang w:val="sr-Latn-RS"/>
        </w:rPr>
        <w:t xml:space="preserve">za </w:t>
      </w:r>
      <w:r w:rsidRPr="006565C6">
        <w:rPr>
          <w:sz w:val="22"/>
          <w:szCs w:val="22"/>
          <w:lang w:val="sr-Latn-RS"/>
        </w:rPr>
        <w:t>protein</w:t>
      </w:r>
      <w:r w:rsidR="0054632C" w:rsidRPr="006565C6">
        <w:rPr>
          <w:sz w:val="22"/>
          <w:szCs w:val="22"/>
          <w:lang w:val="sr-Latn-RS"/>
        </w:rPr>
        <w:t>e</w:t>
      </w:r>
      <w:r w:rsidRPr="006565C6">
        <w:rPr>
          <w:sz w:val="22"/>
          <w:szCs w:val="22"/>
          <w:lang w:val="sr-Latn-RS"/>
        </w:rPr>
        <w:t xml:space="preserve"> </w:t>
      </w:r>
    </w:p>
    <w:p w14:paraId="6659B86E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</w:p>
    <w:p w14:paraId="1B052EB4" w14:textId="77777777" w:rsidR="00B229DB" w:rsidRPr="006565C6" w:rsidRDefault="00B229DB" w:rsidP="002227AC">
      <w:pPr>
        <w:pStyle w:val="Default"/>
        <w:jc w:val="both"/>
        <w:rPr>
          <w:b/>
          <w:bCs/>
          <w:i/>
          <w:iCs/>
          <w:sz w:val="22"/>
          <w:szCs w:val="22"/>
          <w:lang w:val="sr-Latn-RS"/>
        </w:rPr>
      </w:pPr>
      <w:r w:rsidRPr="006565C6">
        <w:rPr>
          <w:b/>
          <w:bCs/>
          <w:i/>
          <w:iCs/>
          <w:sz w:val="22"/>
          <w:szCs w:val="22"/>
          <w:lang w:val="sr-Latn-RS"/>
        </w:rPr>
        <w:t xml:space="preserve">Pedijatrijska populacija </w:t>
      </w:r>
    </w:p>
    <w:p w14:paraId="634BCFAB" w14:textId="77777777" w:rsidR="00437F6B" w:rsidRPr="006565C6" w:rsidRDefault="00437F6B" w:rsidP="002227AC">
      <w:pPr>
        <w:pStyle w:val="Default"/>
        <w:jc w:val="both"/>
        <w:rPr>
          <w:sz w:val="22"/>
          <w:szCs w:val="22"/>
          <w:lang w:val="sr-Latn-RS"/>
        </w:rPr>
      </w:pPr>
    </w:p>
    <w:p w14:paraId="30DD6198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Apsorpcija </w:t>
      </w:r>
    </w:p>
    <w:p w14:paraId="37F5D285" w14:textId="6811C747" w:rsidR="00B229DB" w:rsidRPr="006565C6" w:rsidRDefault="0054632C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</w:t>
      </w:r>
      <w:r w:rsidR="00B229DB" w:rsidRPr="006565C6">
        <w:rPr>
          <w:sz w:val="22"/>
          <w:szCs w:val="22"/>
          <w:lang w:val="sr-Latn-RS"/>
        </w:rPr>
        <w:t xml:space="preserve">pedijatrijske populacije su </w:t>
      </w:r>
      <w:proofErr w:type="spellStart"/>
      <w:r w:rsidR="00B229DB" w:rsidRPr="006565C6">
        <w:rPr>
          <w:sz w:val="22"/>
          <w:szCs w:val="22"/>
          <w:lang w:val="sr-Latn-RS"/>
        </w:rPr>
        <w:t>zabilježene</w:t>
      </w:r>
      <w:proofErr w:type="spellEnd"/>
      <w:r w:rsidR="00B229DB" w:rsidRPr="006565C6">
        <w:rPr>
          <w:sz w:val="22"/>
          <w:szCs w:val="22"/>
          <w:lang w:val="sr-Latn-RS"/>
        </w:rPr>
        <w:t xml:space="preserve"> maksimalne koncentracije u serumu u </w:t>
      </w:r>
      <w:proofErr w:type="spellStart"/>
      <w:r w:rsidR="00B229DB" w:rsidRPr="006565C6">
        <w:rPr>
          <w:sz w:val="22"/>
          <w:szCs w:val="22"/>
          <w:lang w:val="sr-Latn-RS"/>
        </w:rPr>
        <w:t>vrijeme</w:t>
      </w:r>
      <w:proofErr w:type="spellEnd"/>
      <w:r w:rsidR="00B229DB" w:rsidRPr="006565C6">
        <w:rPr>
          <w:sz w:val="22"/>
          <w:szCs w:val="22"/>
          <w:lang w:val="sr-Latn-RS"/>
        </w:rPr>
        <w:t xml:space="preserve"> slično kao u odraslih, bez </w:t>
      </w:r>
      <w:proofErr w:type="spellStart"/>
      <w:r w:rsidR="00B229DB" w:rsidRPr="006565C6">
        <w:rPr>
          <w:sz w:val="22"/>
          <w:szCs w:val="22"/>
          <w:lang w:val="sr-Latn-RS"/>
        </w:rPr>
        <w:t>promjena</w:t>
      </w:r>
      <w:proofErr w:type="spellEnd"/>
      <w:r w:rsidR="00B229DB" w:rsidRPr="006565C6">
        <w:rPr>
          <w:sz w:val="22"/>
          <w:szCs w:val="22"/>
          <w:lang w:val="sr-Latn-RS"/>
        </w:rPr>
        <w:t xml:space="preserve"> s obzirom na</w:t>
      </w:r>
      <w:r w:rsidR="00F07E26"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>starosnu dob</w:t>
      </w:r>
      <w:r w:rsidR="00B229DB" w:rsidRPr="006565C6">
        <w:rPr>
          <w:sz w:val="22"/>
          <w:szCs w:val="22"/>
          <w:lang w:val="sr-Latn-RS"/>
        </w:rPr>
        <w:t xml:space="preserve">. </w:t>
      </w:r>
    </w:p>
    <w:p w14:paraId="6C9A0B09" w14:textId="77777777" w:rsidR="00B229DB" w:rsidRPr="006565C6" w:rsidRDefault="00B229DB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Efekat hrane </w:t>
      </w:r>
    </w:p>
    <w:p w14:paraId="6CA6467D" w14:textId="7AF9762A" w:rsidR="00B229DB" w:rsidRPr="006565C6" w:rsidRDefault="0054632C" w:rsidP="002227AC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</w:t>
      </w:r>
      <w:proofErr w:type="spellStart"/>
      <w:r w:rsidR="00B229DB" w:rsidRPr="006565C6">
        <w:rPr>
          <w:sz w:val="22"/>
          <w:szCs w:val="22"/>
          <w:lang w:val="sr-Latn-RS"/>
        </w:rPr>
        <w:t>djece</w:t>
      </w:r>
      <w:proofErr w:type="spellEnd"/>
      <w:r w:rsidR="00B229DB" w:rsidRPr="006565C6">
        <w:rPr>
          <w:sz w:val="22"/>
          <w:szCs w:val="22"/>
          <w:lang w:val="sr-Latn-RS"/>
        </w:rPr>
        <w:t xml:space="preserve"> i adolescenata nije provedeno specifično ispitivanje efekta hrane. U fazi III ispitivanja provedenog </w:t>
      </w:r>
      <w:r w:rsidRPr="006565C6">
        <w:rPr>
          <w:sz w:val="22"/>
          <w:szCs w:val="22"/>
          <w:lang w:val="sr-Latn-RS"/>
        </w:rPr>
        <w:t xml:space="preserve">kod </w:t>
      </w:r>
      <w:proofErr w:type="spellStart"/>
      <w:r w:rsidR="00B229DB" w:rsidRPr="006565C6">
        <w:rPr>
          <w:sz w:val="22"/>
          <w:szCs w:val="22"/>
          <w:lang w:val="sr-Latn-RS"/>
        </w:rPr>
        <w:t>djece</w:t>
      </w:r>
      <w:proofErr w:type="spellEnd"/>
      <w:r w:rsidR="00B229DB" w:rsidRPr="006565C6">
        <w:rPr>
          <w:sz w:val="22"/>
          <w:szCs w:val="22"/>
          <w:lang w:val="sr-Latn-RS"/>
        </w:rPr>
        <w:t xml:space="preserve"> i adolescenata, </w:t>
      </w:r>
      <w:proofErr w:type="spellStart"/>
      <w:r w:rsidR="00B229DB" w:rsidRPr="006565C6">
        <w:rPr>
          <w:sz w:val="22"/>
          <w:szCs w:val="22"/>
          <w:lang w:val="sr-Latn-RS"/>
        </w:rPr>
        <w:t>tapentadol</w:t>
      </w:r>
      <w:proofErr w:type="spellEnd"/>
      <w:r w:rsidR="00B229DB" w:rsidRPr="006565C6">
        <w:rPr>
          <w:sz w:val="22"/>
          <w:szCs w:val="22"/>
          <w:lang w:val="sr-Latn-RS"/>
        </w:rPr>
        <w:t xml:space="preserve"> oralni rastvor je </w:t>
      </w:r>
      <w:proofErr w:type="spellStart"/>
      <w:r w:rsidRPr="006565C6">
        <w:rPr>
          <w:sz w:val="22"/>
          <w:szCs w:val="22"/>
          <w:lang w:val="sr-Latn-RS"/>
        </w:rPr>
        <w:t>primjenjivana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="00B229DB" w:rsidRPr="006565C6">
        <w:rPr>
          <w:sz w:val="22"/>
          <w:szCs w:val="22"/>
          <w:lang w:val="sr-Latn-RS"/>
        </w:rPr>
        <w:t>bez obzira na unos hrane. Prema dobi</w:t>
      </w:r>
      <w:r w:rsidRPr="006565C6">
        <w:rPr>
          <w:sz w:val="22"/>
          <w:szCs w:val="22"/>
          <w:lang w:val="sr-Latn-RS"/>
        </w:rPr>
        <w:t>j</w:t>
      </w:r>
      <w:r w:rsidR="00B229DB" w:rsidRPr="006565C6">
        <w:rPr>
          <w:sz w:val="22"/>
          <w:szCs w:val="22"/>
          <w:lang w:val="sr-Latn-RS"/>
        </w:rPr>
        <w:t xml:space="preserve">enim podacima o efikasnosti u fazi III ispitivanja </w:t>
      </w:r>
      <w:r w:rsidR="00056C6E" w:rsidRPr="006565C6">
        <w:rPr>
          <w:sz w:val="22"/>
          <w:szCs w:val="22"/>
          <w:lang w:val="sr-Latn-RS"/>
        </w:rPr>
        <w:t xml:space="preserve">kod </w:t>
      </w:r>
      <w:proofErr w:type="spellStart"/>
      <w:r w:rsidR="00B229DB" w:rsidRPr="006565C6">
        <w:rPr>
          <w:sz w:val="22"/>
          <w:szCs w:val="22"/>
          <w:lang w:val="sr-Latn-RS"/>
        </w:rPr>
        <w:t>djece</w:t>
      </w:r>
      <w:proofErr w:type="spellEnd"/>
      <w:r w:rsidR="00B229DB" w:rsidRPr="006565C6">
        <w:rPr>
          <w:sz w:val="22"/>
          <w:szCs w:val="22"/>
          <w:lang w:val="sr-Latn-RS"/>
        </w:rPr>
        <w:t xml:space="preserve"> i adolescenata, efekat hrane nije od kliničkog značaja. </w:t>
      </w:r>
      <w:proofErr w:type="spellStart"/>
      <w:r w:rsidR="00B229DB" w:rsidRPr="006565C6">
        <w:rPr>
          <w:sz w:val="22"/>
          <w:szCs w:val="22"/>
          <w:lang w:val="sr-Latn-RS"/>
        </w:rPr>
        <w:t>PALEXIA</w:t>
      </w:r>
      <w:proofErr w:type="spellEnd"/>
      <w:r w:rsidR="00B229DB" w:rsidRPr="006565C6">
        <w:rPr>
          <w:sz w:val="22"/>
          <w:szCs w:val="22"/>
          <w:lang w:val="sr-Latn-RS"/>
        </w:rPr>
        <w:t xml:space="preserve"> se može uzeti sa ili bez hrane. </w:t>
      </w:r>
    </w:p>
    <w:p w14:paraId="41EB0ABE" w14:textId="77777777" w:rsidR="00B229DB" w:rsidRPr="006565C6" w:rsidRDefault="00B229DB" w:rsidP="00F07E26">
      <w:pPr>
        <w:pStyle w:val="Default"/>
        <w:jc w:val="both"/>
        <w:rPr>
          <w:sz w:val="22"/>
          <w:szCs w:val="22"/>
          <w:lang w:val="sr-Latn-RS"/>
        </w:rPr>
      </w:pPr>
    </w:p>
    <w:p w14:paraId="7107F310" w14:textId="77777777" w:rsidR="00B229DB" w:rsidRPr="006565C6" w:rsidRDefault="00B229DB" w:rsidP="00F07E26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Distribucija </w:t>
      </w:r>
    </w:p>
    <w:p w14:paraId="5904970F" w14:textId="5F23803A" w:rsidR="00B229DB" w:rsidRPr="006565C6" w:rsidRDefault="00B229DB" w:rsidP="00F07E26">
      <w:pPr>
        <w:spacing w:line="0" w:lineRule="atLeas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Volumen distribucije po starosnoj grupi u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nakon oralne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i dobi</w:t>
      </w:r>
      <w:r w:rsidR="00056C6E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 xml:space="preserve">en prema </w:t>
      </w:r>
      <w:proofErr w:type="spellStart"/>
      <w:r w:rsidRPr="006565C6">
        <w:rPr>
          <w:sz w:val="22"/>
          <w:szCs w:val="22"/>
          <w:lang w:val="sr-Latn-RS"/>
        </w:rPr>
        <w:t>populacijskom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farmakokinetičkom</w:t>
      </w:r>
      <w:proofErr w:type="spellEnd"/>
      <w:r w:rsidRPr="006565C6">
        <w:rPr>
          <w:sz w:val="22"/>
          <w:szCs w:val="22"/>
          <w:lang w:val="sr-Latn-RS"/>
        </w:rPr>
        <w:t xml:space="preserve"> modelu (Pop PK) prikazan je u sljedećoj tablici:</w:t>
      </w:r>
    </w:p>
    <w:p w14:paraId="20240A2B" w14:textId="77777777" w:rsidR="00B229DB" w:rsidRPr="006565C6" w:rsidRDefault="00B229DB" w:rsidP="00F07E26">
      <w:pPr>
        <w:spacing w:line="0" w:lineRule="atLeast"/>
        <w:jc w:val="both"/>
        <w:rPr>
          <w:sz w:val="22"/>
          <w:szCs w:val="22"/>
          <w:lang w:val="sr-Latn-RS"/>
        </w:rPr>
      </w:pPr>
    </w:p>
    <w:p w14:paraId="21A6E6CB" w14:textId="77777777" w:rsidR="00B229DB" w:rsidRPr="006565C6" w:rsidRDefault="00B229DB" w:rsidP="00F07E26">
      <w:pPr>
        <w:spacing w:line="0" w:lineRule="atLeast"/>
        <w:jc w:val="both"/>
        <w:rPr>
          <w:i/>
          <w:sz w:val="22"/>
          <w:szCs w:val="22"/>
          <w:lang w:val="sr-Latn-RS"/>
        </w:rPr>
      </w:pP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665"/>
      </w:tblGrid>
      <w:tr w:rsidR="00B229DB" w:rsidRPr="006565C6" w14:paraId="6EFBC631" w14:textId="77777777" w:rsidTr="00992F33">
        <w:tc>
          <w:tcPr>
            <w:tcW w:w="1725" w:type="dxa"/>
          </w:tcPr>
          <w:p w14:paraId="1AF0C50D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Starosna grupa </w:t>
            </w:r>
          </w:p>
        </w:tc>
        <w:tc>
          <w:tcPr>
            <w:tcW w:w="2665" w:type="dxa"/>
          </w:tcPr>
          <w:p w14:paraId="21C44C41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Prividni volumen distribucije (V/F) nakon oralne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primjene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(L) </w:t>
            </w:r>
          </w:p>
          <w:p w14:paraId="02AE2CDD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srednja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vrijednost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+/- SE </w:t>
            </w:r>
          </w:p>
        </w:tc>
      </w:tr>
      <w:tr w:rsidR="00B229DB" w:rsidRPr="006565C6" w14:paraId="2BE86C3A" w14:textId="77777777" w:rsidTr="00992F33">
        <w:tc>
          <w:tcPr>
            <w:tcW w:w="1725" w:type="dxa"/>
          </w:tcPr>
          <w:p w14:paraId="4BEF3093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12 do manje od 18 godina </w:t>
            </w:r>
          </w:p>
        </w:tc>
        <w:tc>
          <w:tcPr>
            <w:tcW w:w="2665" w:type="dxa"/>
          </w:tcPr>
          <w:p w14:paraId="32276207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923 +/- 36 </w:t>
            </w:r>
          </w:p>
        </w:tc>
      </w:tr>
      <w:tr w:rsidR="00B229DB" w:rsidRPr="006565C6" w14:paraId="479A06F8" w14:textId="77777777" w:rsidTr="00992F33">
        <w:tc>
          <w:tcPr>
            <w:tcW w:w="1725" w:type="dxa"/>
          </w:tcPr>
          <w:p w14:paraId="0E8CC411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6 do manje od 12 godina </w:t>
            </w:r>
          </w:p>
        </w:tc>
        <w:tc>
          <w:tcPr>
            <w:tcW w:w="2665" w:type="dxa"/>
          </w:tcPr>
          <w:p w14:paraId="494A6F3B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534 +/- 25 </w:t>
            </w:r>
          </w:p>
        </w:tc>
      </w:tr>
      <w:tr w:rsidR="00B229DB" w:rsidRPr="006565C6" w14:paraId="53F34857" w14:textId="77777777" w:rsidTr="00992F33">
        <w:tc>
          <w:tcPr>
            <w:tcW w:w="1725" w:type="dxa"/>
          </w:tcPr>
          <w:p w14:paraId="7B0A3E71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 do manje od 6 godina </w:t>
            </w:r>
          </w:p>
        </w:tc>
        <w:tc>
          <w:tcPr>
            <w:tcW w:w="2665" w:type="dxa"/>
          </w:tcPr>
          <w:p w14:paraId="530A79E6" w14:textId="77777777" w:rsidR="00B229DB" w:rsidRPr="006565C6" w:rsidRDefault="00B229DB" w:rsidP="00F07E26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276 +/- 17 </w:t>
            </w:r>
          </w:p>
        </w:tc>
      </w:tr>
    </w:tbl>
    <w:p w14:paraId="0C512456" w14:textId="1167AA12" w:rsidR="00B229DB" w:rsidRPr="006565C6" w:rsidRDefault="00B229DB" w:rsidP="00F07E26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Parametri na </w:t>
      </w:r>
      <w:r w:rsidR="00056C6E" w:rsidRPr="006565C6">
        <w:rPr>
          <w:sz w:val="22"/>
          <w:szCs w:val="22"/>
          <w:lang w:val="sr-Latn-RS"/>
        </w:rPr>
        <w:t xml:space="preserve">osnovu </w:t>
      </w:r>
      <w:r w:rsidRPr="006565C6">
        <w:rPr>
          <w:sz w:val="22"/>
          <w:szCs w:val="22"/>
          <w:lang w:val="sr-Latn-RS"/>
        </w:rPr>
        <w:t>novog kombin</w:t>
      </w:r>
      <w:r w:rsidR="00056C6E" w:rsidRPr="006565C6">
        <w:rPr>
          <w:sz w:val="22"/>
          <w:szCs w:val="22"/>
          <w:lang w:val="sr-Latn-RS"/>
        </w:rPr>
        <w:t xml:space="preserve">ovanog </w:t>
      </w:r>
      <w:r w:rsidRPr="006565C6">
        <w:rPr>
          <w:sz w:val="22"/>
          <w:szCs w:val="22"/>
          <w:lang w:val="sr-Latn-RS"/>
        </w:rPr>
        <w:t xml:space="preserve">modela </w:t>
      </w:r>
    </w:p>
    <w:p w14:paraId="060DD84F" w14:textId="77777777" w:rsidR="00437F6B" w:rsidRPr="006565C6" w:rsidRDefault="00437F6B" w:rsidP="002F0A02">
      <w:pPr>
        <w:pStyle w:val="Default"/>
        <w:jc w:val="both"/>
        <w:rPr>
          <w:sz w:val="22"/>
          <w:szCs w:val="22"/>
          <w:lang w:val="sr-Latn-RS"/>
        </w:rPr>
      </w:pPr>
    </w:p>
    <w:p w14:paraId="1FEBA8D9" w14:textId="77777777" w:rsidR="00B229DB" w:rsidRPr="006565C6" w:rsidRDefault="00B229DB" w:rsidP="002F0A02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i/>
          <w:iCs/>
          <w:sz w:val="22"/>
          <w:szCs w:val="22"/>
          <w:lang w:val="sr-Latn-RS"/>
        </w:rPr>
        <w:t>Biotransformacija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</w:t>
      </w:r>
    </w:p>
    <w:p w14:paraId="2EB949C0" w14:textId="24056F15" w:rsidR="00B229DB" w:rsidRPr="006565C6" w:rsidRDefault="00056C6E" w:rsidP="002F0A02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Kod </w:t>
      </w:r>
      <w:r w:rsidR="00B229DB" w:rsidRPr="006565C6">
        <w:rPr>
          <w:sz w:val="22"/>
          <w:szCs w:val="22"/>
          <w:lang w:val="sr-Latn-RS"/>
        </w:rPr>
        <w:t xml:space="preserve">ljudi </w:t>
      </w:r>
      <w:r w:rsidRPr="006565C6">
        <w:rPr>
          <w:sz w:val="22"/>
          <w:szCs w:val="22"/>
          <w:lang w:val="sr-Latn-RS"/>
        </w:rPr>
        <w:t xml:space="preserve">starosti </w:t>
      </w:r>
      <w:r w:rsidR="00B229DB" w:rsidRPr="006565C6">
        <w:rPr>
          <w:sz w:val="22"/>
          <w:szCs w:val="22"/>
          <w:lang w:val="sr-Latn-RS"/>
        </w:rPr>
        <w:t xml:space="preserve">od 5 </w:t>
      </w:r>
      <w:proofErr w:type="spellStart"/>
      <w:r w:rsidR="00B229DB" w:rsidRPr="006565C6">
        <w:rPr>
          <w:sz w:val="22"/>
          <w:szCs w:val="22"/>
          <w:lang w:val="sr-Latn-RS"/>
        </w:rPr>
        <w:t>mjeseci</w:t>
      </w:r>
      <w:proofErr w:type="spellEnd"/>
      <w:r w:rsidR="00B229DB" w:rsidRPr="006565C6">
        <w:rPr>
          <w:sz w:val="22"/>
          <w:szCs w:val="22"/>
          <w:lang w:val="sr-Latn-RS"/>
        </w:rPr>
        <w:t xml:space="preserve"> ili više metabolizam </w:t>
      </w:r>
      <w:proofErr w:type="spellStart"/>
      <w:r w:rsidR="00B229DB"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je</w:t>
      </w:r>
      <w:r w:rsidR="00B229DB" w:rsidRPr="006565C6">
        <w:rPr>
          <w:sz w:val="22"/>
          <w:szCs w:val="22"/>
          <w:lang w:val="sr-Latn-RS"/>
        </w:rPr>
        <w:t xml:space="preserve"> opsežan. </w:t>
      </w:r>
    </w:p>
    <w:p w14:paraId="01D74536" w14:textId="77777777" w:rsidR="00437F6B" w:rsidRPr="006565C6" w:rsidRDefault="00437F6B" w:rsidP="002F0A02">
      <w:pPr>
        <w:pStyle w:val="Default"/>
        <w:jc w:val="both"/>
        <w:rPr>
          <w:sz w:val="22"/>
          <w:szCs w:val="22"/>
          <w:lang w:val="sr-Latn-RS"/>
        </w:rPr>
      </w:pPr>
    </w:p>
    <w:p w14:paraId="154F1814" w14:textId="77777777" w:rsidR="00B229DB" w:rsidRPr="006565C6" w:rsidRDefault="00B229DB" w:rsidP="002F0A02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Eliminacija </w:t>
      </w:r>
    </w:p>
    <w:p w14:paraId="165B7C21" w14:textId="061F6F66" w:rsidR="00B229DB" w:rsidRPr="006565C6" w:rsidRDefault="00B229DB" w:rsidP="002F0A02">
      <w:pPr>
        <w:spacing w:line="0" w:lineRule="atLeast"/>
        <w:jc w:val="both"/>
        <w:rPr>
          <w:i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Pedijatrijski </w:t>
      </w:r>
      <w:proofErr w:type="spellStart"/>
      <w:r w:rsidRPr="006565C6">
        <w:rPr>
          <w:sz w:val="22"/>
          <w:szCs w:val="22"/>
          <w:lang w:val="sr-Latn-RS"/>
        </w:rPr>
        <w:t>klirens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tapentadola</w:t>
      </w:r>
      <w:proofErr w:type="spellEnd"/>
      <w:r w:rsidRPr="006565C6">
        <w:rPr>
          <w:sz w:val="22"/>
          <w:szCs w:val="22"/>
          <w:lang w:val="sr-Latn-RS"/>
        </w:rPr>
        <w:t xml:space="preserve"> nakon oralne </w:t>
      </w:r>
      <w:proofErr w:type="spellStart"/>
      <w:r w:rsidRPr="006565C6">
        <w:rPr>
          <w:sz w:val="22"/>
          <w:szCs w:val="22"/>
          <w:lang w:val="sr-Latn-RS"/>
        </w:rPr>
        <w:t>primjene</w:t>
      </w:r>
      <w:proofErr w:type="spellEnd"/>
      <w:r w:rsidRPr="006565C6">
        <w:rPr>
          <w:sz w:val="22"/>
          <w:szCs w:val="22"/>
          <w:lang w:val="sr-Latn-RS"/>
        </w:rPr>
        <w:t xml:space="preserve"> i dobi</w:t>
      </w:r>
      <w:r w:rsidR="00056C6E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 xml:space="preserve">en prema </w:t>
      </w:r>
      <w:proofErr w:type="spellStart"/>
      <w:r w:rsidRPr="006565C6">
        <w:rPr>
          <w:sz w:val="22"/>
          <w:szCs w:val="22"/>
          <w:lang w:val="sr-Latn-RS"/>
        </w:rPr>
        <w:t>PoP</w:t>
      </w:r>
      <w:proofErr w:type="spellEnd"/>
      <w:r w:rsidRPr="006565C6">
        <w:rPr>
          <w:sz w:val="22"/>
          <w:szCs w:val="22"/>
          <w:lang w:val="sr-Latn-RS"/>
        </w:rPr>
        <w:t xml:space="preserve"> PK modelu za različite starosne grupe prikazan je u sljedećoj tab</w:t>
      </w:r>
      <w:r w:rsidR="00056C6E" w:rsidRPr="006565C6">
        <w:rPr>
          <w:sz w:val="22"/>
          <w:szCs w:val="22"/>
          <w:lang w:val="sr-Latn-RS"/>
        </w:rPr>
        <w:t>eli</w:t>
      </w:r>
      <w:r w:rsidRPr="006565C6">
        <w:rPr>
          <w:sz w:val="22"/>
          <w:szCs w:val="22"/>
          <w:lang w:val="sr-Latn-RS"/>
        </w:rPr>
        <w:t>:</w:t>
      </w:r>
    </w:p>
    <w:p w14:paraId="4EB5AEB1" w14:textId="77777777" w:rsidR="00B229DB" w:rsidRPr="006565C6" w:rsidRDefault="00B229DB" w:rsidP="002F0A02">
      <w:pPr>
        <w:spacing w:line="0" w:lineRule="atLeast"/>
        <w:jc w:val="both"/>
        <w:rPr>
          <w:i/>
          <w:sz w:val="22"/>
          <w:szCs w:val="22"/>
          <w:lang w:val="sr-Latn-RS"/>
        </w:rPr>
      </w:pPr>
    </w:p>
    <w:p w14:paraId="2AFB98B0" w14:textId="77777777" w:rsidR="00B229DB" w:rsidRPr="006565C6" w:rsidRDefault="00B229DB" w:rsidP="002F0A02">
      <w:pPr>
        <w:spacing w:line="0" w:lineRule="atLeast"/>
        <w:jc w:val="both"/>
        <w:rPr>
          <w:i/>
          <w:sz w:val="22"/>
          <w:szCs w:val="22"/>
          <w:lang w:val="sr-Latn-RS"/>
        </w:rPr>
      </w:pP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2602"/>
      </w:tblGrid>
      <w:tr w:rsidR="00B229DB" w:rsidRPr="006565C6" w14:paraId="38954727" w14:textId="77777777" w:rsidTr="00992F33">
        <w:tc>
          <w:tcPr>
            <w:tcW w:w="2071" w:type="dxa"/>
          </w:tcPr>
          <w:p w14:paraId="111D705B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Starosna grupa </w:t>
            </w:r>
          </w:p>
        </w:tc>
        <w:tc>
          <w:tcPr>
            <w:tcW w:w="2602" w:type="dxa"/>
          </w:tcPr>
          <w:p w14:paraId="316C136C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Prividni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klirens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tapentadola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(CL/F) nakon oralne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primjene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</w:p>
          <w:p w14:paraId="1A31F133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(L/h) </w:t>
            </w:r>
          </w:p>
          <w:p w14:paraId="08FEF8A3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srednja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vrijednost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+/- </w:t>
            </w:r>
            <w:proofErr w:type="spellStart"/>
            <w:r w:rsidRPr="006565C6">
              <w:rPr>
                <w:sz w:val="22"/>
                <w:szCs w:val="22"/>
                <w:lang w:val="sr-Latn-RS"/>
              </w:rPr>
              <w:t>SD</w:t>
            </w:r>
            <w:proofErr w:type="spellEnd"/>
            <w:r w:rsidRPr="006565C6">
              <w:rPr>
                <w:sz w:val="22"/>
                <w:szCs w:val="22"/>
                <w:lang w:val="sr-Latn-RS"/>
              </w:rPr>
              <w:t xml:space="preserve"> </w:t>
            </w:r>
          </w:p>
        </w:tc>
      </w:tr>
      <w:tr w:rsidR="00B229DB" w:rsidRPr="006565C6" w14:paraId="07CD1632" w14:textId="77777777" w:rsidTr="00992F33">
        <w:tc>
          <w:tcPr>
            <w:tcW w:w="2071" w:type="dxa"/>
          </w:tcPr>
          <w:p w14:paraId="51D77703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12 do manje od 18 godina </w:t>
            </w:r>
          </w:p>
        </w:tc>
        <w:tc>
          <w:tcPr>
            <w:tcW w:w="2602" w:type="dxa"/>
          </w:tcPr>
          <w:p w14:paraId="51FD91BE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212 +/- 7 </w:t>
            </w:r>
          </w:p>
        </w:tc>
      </w:tr>
      <w:tr w:rsidR="00B229DB" w:rsidRPr="006565C6" w14:paraId="3B0F3F57" w14:textId="77777777" w:rsidTr="00992F33">
        <w:tc>
          <w:tcPr>
            <w:tcW w:w="2071" w:type="dxa"/>
          </w:tcPr>
          <w:p w14:paraId="61D92C6B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do manje od 12 godina </w:t>
            </w:r>
          </w:p>
        </w:tc>
        <w:tc>
          <w:tcPr>
            <w:tcW w:w="2602" w:type="dxa"/>
          </w:tcPr>
          <w:p w14:paraId="6389DDCF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149 +/- 7 </w:t>
            </w:r>
          </w:p>
        </w:tc>
      </w:tr>
      <w:tr w:rsidR="00B229DB" w:rsidRPr="006565C6" w14:paraId="4EB442DB" w14:textId="77777777" w:rsidTr="00992F33">
        <w:tc>
          <w:tcPr>
            <w:tcW w:w="2071" w:type="dxa"/>
          </w:tcPr>
          <w:p w14:paraId="52FDD115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2 do manje od 6 godina </w:t>
            </w:r>
          </w:p>
        </w:tc>
        <w:tc>
          <w:tcPr>
            <w:tcW w:w="2602" w:type="dxa"/>
          </w:tcPr>
          <w:p w14:paraId="6E4B02B8" w14:textId="77777777" w:rsidR="00B229DB" w:rsidRPr="006565C6" w:rsidRDefault="00B229DB" w:rsidP="002F0A02">
            <w:pPr>
              <w:pStyle w:val="Default"/>
              <w:jc w:val="both"/>
              <w:rPr>
                <w:sz w:val="22"/>
                <w:szCs w:val="22"/>
                <w:lang w:val="sr-Latn-RS"/>
              </w:rPr>
            </w:pPr>
            <w:r w:rsidRPr="006565C6">
              <w:rPr>
                <w:sz w:val="22"/>
                <w:szCs w:val="22"/>
                <w:lang w:val="sr-Latn-RS"/>
              </w:rPr>
              <w:t xml:space="preserve">80 +/- 5 </w:t>
            </w:r>
          </w:p>
        </w:tc>
      </w:tr>
    </w:tbl>
    <w:p w14:paraId="60D58609" w14:textId="61E8EB46" w:rsidR="00B229DB" w:rsidRPr="006565C6" w:rsidRDefault="00B229DB" w:rsidP="002F0A02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Parametri na </w:t>
      </w:r>
      <w:r w:rsidR="00056C6E" w:rsidRPr="006565C6">
        <w:rPr>
          <w:sz w:val="22"/>
          <w:szCs w:val="22"/>
          <w:lang w:val="sr-Latn-RS"/>
        </w:rPr>
        <w:t xml:space="preserve">osnovu </w:t>
      </w:r>
      <w:r w:rsidRPr="006565C6">
        <w:rPr>
          <w:sz w:val="22"/>
          <w:szCs w:val="22"/>
          <w:lang w:val="sr-Latn-RS"/>
        </w:rPr>
        <w:t xml:space="preserve">novog kombinovanog modela </w:t>
      </w:r>
    </w:p>
    <w:p w14:paraId="32E1F1C8" w14:textId="77777777" w:rsidR="00437F6B" w:rsidRPr="006565C6" w:rsidRDefault="00437F6B" w:rsidP="002F0A02">
      <w:pPr>
        <w:pStyle w:val="Default"/>
        <w:jc w:val="both"/>
        <w:rPr>
          <w:sz w:val="22"/>
          <w:szCs w:val="22"/>
          <w:lang w:val="sr-Latn-RS"/>
        </w:rPr>
      </w:pPr>
    </w:p>
    <w:p w14:paraId="7A83EB4C" w14:textId="77777777" w:rsidR="00B229DB" w:rsidRPr="006565C6" w:rsidRDefault="00B229DB" w:rsidP="002F0A02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Posebne populacije </w:t>
      </w:r>
    </w:p>
    <w:p w14:paraId="31E6AF42" w14:textId="77777777" w:rsidR="00B229DB" w:rsidRPr="006565C6" w:rsidRDefault="00B229DB" w:rsidP="002F0A02">
      <w:pPr>
        <w:pStyle w:val="Default"/>
        <w:jc w:val="both"/>
        <w:rPr>
          <w:sz w:val="22"/>
          <w:szCs w:val="22"/>
          <w:lang w:val="sr-Latn-RS"/>
        </w:rPr>
      </w:pPr>
      <w:r w:rsidRPr="006565C6">
        <w:rPr>
          <w:i/>
          <w:iCs/>
          <w:sz w:val="22"/>
          <w:szCs w:val="22"/>
          <w:lang w:val="sr-Latn-RS"/>
        </w:rPr>
        <w:t xml:space="preserve">Oštećenje funkcije bubrega i jetre </w:t>
      </w:r>
    </w:p>
    <w:p w14:paraId="79DE3923" w14:textId="3F96D12B" w:rsidR="00B229DB" w:rsidRPr="006565C6" w:rsidRDefault="00B229DB" w:rsidP="002F0A02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 nije ispitana </w:t>
      </w:r>
      <w:r w:rsidR="00056C6E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i adolescenata s</w:t>
      </w:r>
      <w:r w:rsidR="00056C6E" w:rsidRPr="006565C6">
        <w:rPr>
          <w:sz w:val="22"/>
          <w:szCs w:val="22"/>
          <w:lang w:val="sr-Latn-RS"/>
        </w:rPr>
        <w:t>a</w:t>
      </w:r>
      <w:r w:rsidRPr="006565C6">
        <w:rPr>
          <w:sz w:val="22"/>
          <w:szCs w:val="22"/>
          <w:lang w:val="sr-Latn-RS"/>
        </w:rPr>
        <w:t xml:space="preserve"> oštećenjem funkcije bubrega i jetre. </w:t>
      </w:r>
    </w:p>
    <w:p w14:paraId="73D2CBF0" w14:textId="77777777" w:rsidR="00A85A16" w:rsidRPr="006565C6" w:rsidRDefault="00A85A16" w:rsidP="002F0A02">
      <w:pPr>
        <w:pStyle w:val="Default"/>
        <w:jc w:val="both"/>
        <w:rPr>
          <w:sz w:val="22"/>
          <w:szCs w:val="22"/>
          <w:lang w:val="sr-Latn-RS"/>
        </w:rPr>
      </w:pPr>
    </w:p>
    <w:p w14:paraId="5D42DC77" w14:textId="77777777" w:rsidR="00B229DB" w:rsidRPr="006565C6" w:rsidRDefault="00B229DB" w:rsidP="002F0A02">
      <w:pPr>
        <w:pStyle w:val="Defaul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i/>
          <w:iCs/>
          <w:sz w:val="22"/>
          <w:szCs w:val="22"/>
          <w:lang w:val="sr-Latn-RS"/>
        </w:rPr>
        <w:t>Farmakokinetički</w:t>
      </w:r>
      <w:proofErr w:type="spellEnd"/>
      <w:r w:rsidRPr="006565C6">
        <w:rPr>
          <w:i/>
          <w:iCs/>
          <w:sz w:val="22"/>
          <w:szCs w:val="22"/>
          <w:lang w:val="sr-Latn-RS"/>
        </w:rPr>
        <w:t xml:space="preserve"> odnosi </w:t>
      </w:r>
    </w:p>
    <w:p w14:paraId="691098AB" w14:textId="17E33850" w:rsidR="00B229DB" w:rsidRPr="006565C6" w:rsidRDefault="00B229DB" w:rsidP="002F0A02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Specifična ispitivanja interakcija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prema </w:t>
      </w:r>
      <w:proofErr w:type="spellStart"/>
      <w:r w:rsidRPr="006565C6">
        <w:rPr>
          <w:sz w:val="22"/>
          <w:szCs w:val="22"/>
          <w:lang w:val="sr-Latn-RS"/>
        </w:rPr>
        <w:t>lijeku</w:t>
      </w:r>
      <w:proofErr w:type="spellEnd"/>
      <w:r w:rsidRPr="006565C6">
        <w:rPr>
          <w:sz w:val="22"/>
          <w:szCs w:val="22"/>
          <w:lang w:val="sr-Latn-RS"/>
        </w:rPr>
        <w:t xml:space="preserve"> nisu </w:t>
      </w:r>
      <w:r w:rsidR="00056C6E" w:rsidRPr="006565C6">
        <w:rPr>
          <w:sz w:val="22"/>
          <w:szCs w:val="22"/>
          <w:lang w:val="sr-Latn-RS"/>
        </w:rPr>
        <w:t>s</w:t>
      </w:r>
      <w:r w:rsidRPr="006565C6">
        <w:rPr>
          <w:sz w:val="22"/>
          <w:szCs w:val="22"/>
          <w:lang w:val="sr-Latn-RS"/>
        </w:rPr>
        <w:t xml:space="preserve">provedena </w:t>
      </w:r>
      <w:r w:rsidR="00056C6E" w:rsidRPr="006565C6">
        <w:rPr>
          <w:sz w:val="22"/>
          <w:szCs w:val="22"/>
          <w:lang w:val="sr-Latn-RS"/>
        </w:rPr>
        <w:t xml:space="preserve">kod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i adolescenata.</w:t>
      </w:r>
    </w:p>
    <w:p w14:paraId="368E3E6F" w14:textId="77777777" w:rsidR="008D7D26" w:rsidRPr="006565C6" w:rsidRDefault="008D7D26" w:rsidP="002F0A02">
      <w:pPr>
        <w:spacing w:line="0" w:lineRule="atLeast"/>
        <w:jc w:val="both"/>
        <w:rPr>
          <w:sz w:val="22"/>
          <w:szCs w:val="22"/>
          <w:lang w:val="sr-Latn-RS"/>
        </w:rPr>
      </w:pPr>
    </w:p>
    <w:p w14:paraId="6DA36EC2" w14:textId="77777777" w:rsidR="0072020E" w:rsidRPr="006565C6" w:rsidRDefault="0072020E" w:rsidP="002F0A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5.3.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proofErr w:type="spellStart"/>
      <w:r w:rsidRPr="006565C6">
        <w:rPr>
          <w:b/>
          <w:bCs/>
          <w:sz w:val="22"/>
          <w:szCs w:val="22"/>
          <w:lang w:val="sr-Latn-RS"/>
        </w:rPr>
        <w:t>Pretklinički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podaci o </w:t>
      </w:r>
      <w:proofErr w:type="spellStart"/>
      <w:r w:rsidRPr="006565C6">
        <w:rPr>
          <w:b/>
          <w:bCs/>
          <w:sz w:val="22"/>
          <w:szCs w:val="22"/>
          <w:lang w:val="sr-Latn-RS"/>
        </w:rPr>
        <w:t>bezbjednosti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</w:t>
      </w:r>
    </w:p>
    <w:p w14:paraId="6DA36EC3" w14:textId="77777777" w:rsidR="00836B35" w:rsidRPr="006565C6" w:rsidRDefault="00836B35" w:rsidP="002F0A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58C0109" w14:textId="77777777" w:rsidR="0010240D" w:rsidRPr="006565C6" w:rsidRDefault="0010240D" w:rsidP="002F0A02">
      <w:pPr>
        <w:spacing w:line="249" w:lineRule="auto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se nije pokazao </w:t>
      </w:r>
      <w:proofErr w:type="spellStart"/>
      <w:r w:rsidRPr="006565C6">
        <w:rPr>
          <w:sz w:val="22"/>
          <w:szCs w:val="22"/>
          <w:lang w:val="sr-Latn-RS"/>
        </w:rPr>
        <w:t>genotoksičnim</w:t>
      </w:r>
      <w:proofErr w:type="spellEnd"/>
      <w:r w:rsidRPr="006565C6">
        <w:rPr>
          <w:sz w:val="22"/>
          <w:szCs w:val="22"/>
          <w:lang w:val="sr-Latn-RS"/>
        </w:rPr>
        <w:t xml:space="preserve"> u </w:t>
      </w:r>
      <w:proofErr w:type="spellStart"/>
      <w:r w:rsidRPr="006565C6">
        <w:rPr>
          <w:sz w:val="22"/>
          <w:szCs w:val="22"/>
          <w:lang w:val="sr-Latn-RS"/>
        </w:rPr>
        <w:t>Amesovom</w:t>
      </w:r>
      <w:proofErr w:type="spellEnd"/>
      <w:r w:rsidRPr="006565C6">
        <w:rPr>
          <w:sz w:val="22"/>
          <w:szCs w:val="22"/>
          <w:lang w:val="sr-Latn-RS"/>
        </w:rPr>
        <w:t xml:space="preserve"> testu na bakterijama. Kada je rađen </w:t>
      </w:r>
      <w:r w:rsidRPr="006565C6">
        <w:rPr>
          <w:i/>
          <w:sz w:val="22"/>
          <w:szCs w:val="22"/>
          <w:lang w:val="sr-Latn-RS"/>
        </w:rPr>
        <w:t xml:space="preserve">in </w:t>
      </w:r>
      <w:proofErr w:type="spellStart"/>
      <w:r w:rsidRPr="006565C6">
        <w:rPr>
          <w:i/>
          <w:sz w:val="22"/>
          <w:szCs w:val="22"/>
          <w:lang w:val="sr-Latn-RS"/>
        </w:rPr>
        <w:t>vitro</w:t>
      </w:r>
      <w:proofErr w:type="spellEnd"/>
      <w:r w:rsidRPr="006565C6">
        <w:rPr>
          <w:sz w:val="22"/>
          <w:szCs w:val="22"/>
          <w:lang w:val="sr-Latn-RS"/>
        </w:rPr>
        <w:t xml:space="preserve"> test </w:t>
      </w:r>
      <w:proofErr w:type="spellStart"/>
      <w:r w:rsidRPr="006565C6">
        <w:rPr>
          <w:sz w:val="22"/>
          <w:szCs w:val="22"/>
          <w:lang w:val="sr-Latn-RS"/>
        </w:rPr>
        <w:t>hromozomskih</w:t>
      </w:r>
      <w:proofErr w:type="spellEnd"/>
      <w:r w:rsidRPr="006565C6">
        <w:rPr>
          <w:sz w:val="22"/>
          <w:szCs w:val="22"/>
          <w:lang w:val="sr-Latn-RS"/>
        </w:rPr>
        <w:t xml:space="preserve"> aberacija dobijeni su dvoznačni rezultati, ali kada je test ponovljen, rezultati su bili jasno negativni.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nije bio </w:t>
      </w:r>
      <w:proofErr w:type="spellStart"/>
      <w:r w:rsidRPr="006565C6">
        <w:rPr>
          <w:sz w:val="22"/>
          <w:szCs w:val="22"/>
          <w:lang w:val="sr-Latn-RS"/>
        </w:rPr>
        <w:t>genotoksičan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r w:rsidRPr="006565C6">
        <w:rPr>
          <w:i/>
          <w:sz w:val="22"/>
          <w:szCs w:val="22"/>
          <w:lang w:val="sr-Latn-RS"/>
        </w:rPr>
        <w:t xml:space="preserve">in </w:t>
      </w:r>
      <w:proofErr w:type="spellStart"/>
      <w:r w:rsidRPr="006565C6">
        <w:rPr>
          <w:i/>
          <w:sz w:val="22"/>
          <w:szCs w:val="22"/>
          <w:lang w:val="sr-Latn-RS"/>
        </w:rPr>
        <w:t>vivo</w:t>
      </w:r>
      <w:proofErr w:type="spellEnd"/>
      <w:r w:rsidRPr="006565C6">
        <w:rPr>
          <w:sz w:val="22"/>
          <w:szCs w:val="22"/>
          <w:lang w:val="sr-Latn-RS"/>
        </w:rPr>
        <w:t xml:space="preserve">, kada su korišćena dva parametra praćenja </w:t>
      </w:r>
      <w:proofErr w:type="spellStart"/>
      <w:r w:rsidRPr="006565C6">
        <w:rPr>
          <w:sz w:val="22"/>
          <w:szCs w:val="22"/>
          <w:lang w:val="sr-Latn-RS"/>
        </w:rPr>
        <w:t>hromozomskih</w:t>
      </w:r>
      <w:proofErr w:type="spellEnd"/>
      <w:r w:rsidRPr="006565C6">
        <w:rPr>
          <w:sz w:val="22"/>
          <w:szCs w:val="22"/>
          <w:lang w:val="sr-Latn-RS"/>
        </w:rPr>
        <w:t xml:space="preserve"> aberacija i neplanske sinteze </w:t>
      </w:r>
      <w:proofErr w:type="spellStart"/>
      <w:r w:rsidRPr="006565C6">
        <w:rPr>
          <w:sz w:val="22"/>
          <w:szCs w:val="22"/>
          <w:lang w:val="sr-Latn-RS"/>
        </w:rPr>
        <w:t>DNK</w:t>
      </w:r>
      <w:proofErr w:type="spellEnd"/>
      <w:r w:rsidRPr="006565C6">
        <w:rPr>
          <w:sz w:val="22"/>
          <w:szCs w:val="22"/>
          <w:lang w:val="sr-Latn-RS"/>
        </w:rPr>
        <w:t xml:space="preserve">, i kada je testiran pri maksimalnoj podnošljivoj dozi. Dugotrajna ispitivanja na životinjama nisu identifikovala potencijalni </w:t>
      </w:r>
      <w:proofErr w:type="spellStart"/>
      <w:r w:rsidRPr="006565C6">
        <w:rPr>
          <w:sz w:val="22"/>
          <w:szCs w:val="22"/>
          <w:lang w:val="sr-Latn-RS"/>
        </w:rPr>
        <w:t>karcinogeni</w:t>
      </w:r>
      <w:proofErr w:type="spellEnd"/>
      <w:r w:rsidRPr="006565C6">
        <w:rPr>
          <w:sz w:val="22"/>
          <w:szCs w:val="22"/>
          <w:lang w:val="sr-Latn-RS"/>
        </w:rPr>
        <w:t xml:space="preserve"> rizik relevantan za ljude.</w:t>
      </w:r>
    </w:p>
    <w:p w14:paraId="6180D353" w14:textId="77777777" w:rsidR="0010240D" w:rsidRPr="006565C6" w:rsidRDefault="0010240D" w:rsidP="000819DC">
      <w:pPr>
        <w:spacing w:line="249" w:lineRule="auto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nije uticao na fertilitet mužjaka ili ženki pacova, ali je pri višim dozama </w:t>
      </w:r>
      <w:proofErr w:type="spellStart"/>
      <w:r w:rsidRPr="006565C6">
        <w:rPr>
          <w:sz w:val="22"/>
          <w:szCs w:val="22"/>
          <w:lang w:val="sr-Latn-RS"/>
        </w:rPr>
        <w:t>zabilježeno</w:t>
      </w:r>
      <w:proofErr w:type="spellEnd"/>
      <w:r w:rsidRPr="006565C6">
        <w:rPr>
          <w:sz w:val="22"/>
          <w:szCs w:val="22"/>
          <w:lang w:val="sr-Latn-RS"/>
        </w:rPr>
        <w:t xml:space="preserve"> smanjeno </w:t>
      </w:r>
      <w:r w:rsidRPr="006565C6">
        <w:rPr>
          <w:i/>
          <w:sz w:val="22"/>
          <w:szCs w:val="22"/>
          <w:lang w:val="sr-Latn-RS"/>
        </w:rPr>
        <w:t xml:space="preserve">in </w:t>
      </w:r>
      <w:proofErr w:type="spellStart"/>
      <w:r w:rsidRPr="006565C6">
        <w:rPr>
          <w:i/>
          <w:sz w:val="22"/>
          <w:szCs w:val="22"/>
          <w:lang w:val="sr-Latn-RS"/>
        </w:rPr>
        <w:t>utero</w:t>
      </w:r>
      <w:proofErr w:type="spellEnd"/>
      <w:r w:rsidRPr="006565C6">
        <w:rPr>
          <w:sz w:val="22"/>
          <w:szCs w:val="22"/>
          <w:lang w:val="sr-Latn-RS"/>
        </w:rPr>
        <w:t xml:space="preserve"> preživljavanje. Nije poznato da li je ovo posredovano dejstvom na ženke ili mužjake.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nije pokazao </w:t>
      </w:r>
      <w:proofErr w:type="spellStart"/>
      <w:r w:rsidRPr="006565C6">
        <w:rPr>
          <w:sz w:val="22"/>
          <w:szCs w:val="22"/>
          <w:lang w:val="sr-Latn-RS"/>
        </w:rPr>
        <w:t>teratogena</w:t>
      </w:r>
      <w:proofErr w:type="spellEnd"/>
      <w:r w:rsidRPr="006565C6">
        <w:rPr>
          <w:sz w:val="22"/>
          <w:szCs w:val="22"/>
          <w:lang w:val="sr-Latn-RS"/>
        </w:rPr>
        <w:t xml:space="preserve"> dejstva kod pacova i kunića nakon </w:t>
      </w:r>
      <w:proofErr w:type="spellStart"/>
      <w:r w:rsidRPr="006565C6">
        <w:rPr>
          <w:sz w:val="22"/>
          <w:szCs w:val="22"/>
          <w:lang w:val="sr-Latn-RS"/>
        </w:rPr>
        <w:t>intravenske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supkutane</w:t>
      </w:r>
      <w:proofErr w:type="spellEnd"/>
      <w:r w:rsidRPr="006565C6">
        <w:rPr>
          <w:sz w:val="22"/>
          <w:szCs w:val="22"/>
          <w:lang w:val="sr-Latn-RS"/>
        </w:rPr>
        <w:t xml:space="preserve"> izloženosti. Međutim, usporeni razvoj i </w:t>
      </w:r>
      <w:proofErr w:type="spellStart"/>
      <w:r w:rsidRPr="006565C6">
        <w:rPr>
          <w:sz w:val="22"/>
          <w:szCs w:val="22"/>
          <w:lang w:val="sr-Latn-RS"/>
        </w:rPr>
        <w:t>embriotoksičnost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zabilježeni</w:t>
      </w:r>
      <w:proofErr w:type="spellEnd"/>
      <w:r w:rsidRPr="006565C6">
        <w:rPr>
          <w:sz w:val="22"/>
          <w:szCs w:val="22"/>
          <w:lang w:val="sr-Latn-RS"/>
        </w:rPr>
        <w:t xml:space="preserve"> su poslije davanja doza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 koje su rezultirale </w:t>
      </w:r>
      <w:proofErr w:type="spellStart"/>
      <w:r w:rsidRPr="006565C6">
        <w:rPr>
          <w:sz w:val="22"/>
          <w:szCs w:val="22"/>
          <w:lang w:val="sr-Latn-RS"/>
        </w:rPr>
        <w:t>prekomjernim</w:t>
      </w:r>
      <w:proofErr w:type="spellEnd"/>
      <w:r w:rsidRPr="006565C6">
        <w:rPr>
          <w:sz w:val="22"/>
          <w:szCs w:val="22"/>
          <w:lang w:val="sr-Latn-RS"/>
        </w:rPr>
        <w:t xml:space="preserve"> farmakološkim dejstvom (</w:t>
      </w:r>
      <w:proofErr w:type="spellStart"/>
      <w:r w:rsidRPr="006565C6">
        <w:rPr>
          <w:sz w:val="22"/>
          <w:szCs w:val="22"/>
          <w:lang w:val="sr-Latn-RS"/>
        </w:rPr>
        <w:t>CNS</w:t>
      </w:r>
      <w:proofErr w:type="spellEnd"/>
      <w:r w:rsidRPr="006565C6">
        <w:rPr>
          <w:sz w:val="22"/>
          <w:szCs w:val="22"/>
          <w:lang w:val="sr-Latn-RS"/>
        </w:rPr>
        <w:t xml:space="preserve"> efekti posredovani µ-</w:t>
      </w:r>
      <w:proofErr w:type="spellStart"/>
      <w:r w:rsidRPr="006565C6">
        <w:rPr>
          <w:sz w:val="22"/>
          <w:szCs w:val="22"/>
          <w:lang w:val="sr-Latn-RS"/>
        </w:rPr>
        <w:t>opioidnim</w:t>
      </w:r>
      <w:proofErr w:type="spellEnd"/>
      <w:r w:rsidRPr="006565C6">
        <w:rPr>
          <w:sz w:val="22"/>
          <w:szCs w:val="22"/>
          <w:lang w:val="sr-Latn-RS"/>
        </w:rPr>
        <w:t xml:space="preserve"> receptorima, povezani sa </w:t>
      </w:r>
      <w:proofErr w:type="spellStart"/>
      <w:r w:rsidRPr="006565C6">
        <w:rPr>
          <w:sz w:val="22"/>
          <w:szCs w:val="22"/>
          <w:lang w:val="sr-Latn-RS"/>
        </w:rPr>
        <w:t>primjenom</w:t>
      </w:r>
      <w:proofErr w:type="spellEnd"/>
      <w:r w:rsidRPr="006565C6">
        <w:rPr>
          <w:sz w:val="22"/>
          <w:szCs w:val="22"/>
          <w:lang w:val="sr-Latn-RS"/>
        </w:rPr>
        <w:t xml:space="preserve"> doza većih od terapijskih). Poslije </w:t>
      </w:r>
      <w:proofErr w:type="spellStart"/>
      <w:r w:rsidRPr="006565C6">
        <w:rPr>
          <w:sz w:val="22"/>
          <w:szCs w:val="22"/>
          <w:lang w:val="sr-Latn-RS"/>
        </w:rPr>
        <w:t>intravenskog</w:t>
      </w:r>
      <w:proofErr w:type="spellEnd"/>
      <w:r w:rsidRPr="006565C6">
        <w:rPr>
          <w:sz w:val="22"/>
          <w:szCs w:val="22"/>
          <w:lang w:val="sr-Latn-RS"/>
        </w:rPr>
        <w:t xml:space="preserve"> doziranja kod pacova, </w:t>
      </w:r>
      <w:proofErr w:type="spellStart"/>
      <w:r w:rsidRPr="006565C6">
        <w:rPr>
          <w:sz w:val="22"/>
          <w:szCs w:val="22"/>
          <w:lang w:val="sr-Latn-RS"/>
        </w:rPr>
        <w:t>zabilježeno</w:t>
      </w:r>
      <w:proofErr w:type="spellEnd"/>
      <w:r w:rsidRPr="006565C6">
        <w:rPr>
          <w:sz w:val="22"/>
          <w:szCs w:val="22"/>
          <w:lang w:val="sr-Latn-RS"/>
        </w:rPr>
        <w:t xml:space="preserve"> je smanjeno </w:t>
      </w:r>
      <w:r w:rsidRPr="006565C6">
        <w:rPr>
          <w:i/>
          <w:sz w:val="22"/>
          <w:szCs w:val="22"/>
          <w:lang w:val="sr-Latn-RS"/>
        </w:rPr>
        <w:t xml:space="preserve">in </w:t>
      </w:r>
      <w:proofErr w:type="spellStart"/>
      <w:r w:rsidRPr="006565C6">
        <w:rPr>
          <w:i/>
          <w:sz w:val="22"/>
          <w:szCs w:val="22"/>
          <w:lang w:val="sr-Latn-RS"/>
        </w:rPr>
        <w:t>utero</w:t>
      </w:r>
      <w:proofErr w:type="spellEnd"/>
      <w:r w:rsidRPr="006565C6">
        <w:rPr>
          <w:sz w:val="22"/>
          <w:szCs w:val="22"/>
          <w:lang w:val="sr-Latn-RS"/>
        </w:rPr>
        <w:t xml:space="preserve"> preživljavanje. Kod pacova,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je doveo do povećanog mortaliteta </w:t>
      </w:r>
      <w:proofErr w:type="spellStart"/>
      <w:r w:rsidRPr="006565C6">
        <w:rPr>
          <w:sz w:val="22"/>
          <w:szCs w:val="22"/>
          <w:lang w:val="sr-Latn-RS"/>
        </w:rPr>
        <w:t>F1</w:t>
      </w:r>
      <w:proofErr w:type="spellEnd"/>
      <w:r w:rsidRPr="006565C6">
        <w:rPr>
          <w:sz w:val="22"/>
          <w:szCs w:val="22"/>
          <w:lang w:val="sr-Latn-RS"/>
        </w:rPr>
        <w:t xml:space="preserve"> mladunaca koji su bili direktno izloženi preko majčinog </w:t>
      </w:r>
      <w:proofErr w:type="spellStart"/>
      <w:r w:rsidRPr="006565C6">
        <w:rPr>
          <w:sz w:val="22"/>
          <w:szCs w:val="22"/>
          <w:lang w:val="sr-Latn-RS"/>
        </w:rPr>
        <w:t>mlijeka</w:t>
      </w:r>
      <w:proofErr w:type="spellEnd"/>
      <w:r w:rsidRPr="006565C6">
        <w:rPr>
          <w:sz w:val="22"/>
          <w:szCs w:val="22"/>
          <w:lang w:val="sr-Latn-RS"/>
        </w:rPr>
        <w:t xml:space="preserve"> između 1. i 4. </w:t>
      </w:r>
      <w:proofErr w:type="spellStart"/>
      <w:r w:rsidRPr="006565C6">
        <w:rPr>
          <w:sz w:val="22"/>
          <w:szCs w:val="22"/>
          <w:lang w:val="sr-Latn-RS"/>
        </w:rPr>
        <w:t>postporođajnog</w:t>
      </w:r>
      <w:proofErr w:type="spellEnd"/>
      <w:r w:rsidRPr="006565C6">
        <w:rPr>
          <w:sz w:val="22"/>
          <w:szCs w:val="22"/>
          <w:lang w:val="sr-Latn-RS"/>
        </w:rPr>
        <w:t xml:space="preserve"> dana i to već pri dozama koje za majku nisu bile toksične. Nije bilo dejstava na </w:t>
      </w:r>
      <w:proofErr w:type="spellStart"/>
      <w:r w:rsidRPr="006565C6">
        <w:rPr>
          <w:sz w:val="22"/>
          <w:szCs w:val="22"/>
          <w:lang w:val="sr-Latn-RS"/>
        </w:rPr>
        <w:t>neurobihevioralne</w:t>
      </w:r>
      <w:proofErr w:type="spellEnd"/>
      <w:r w:rsidRPr="006565C6">
        <w:rPr>
          <w:sz w:val="22"/>
          <w:szCs w:val="22"/>
          <w:lang w:val="sr-Latn-RS"/>
        </w:rPr>
        <w:t xml:space="preserve"> parametre.</w:t>
      </w:r>
    </w:p>
    <w:p w14:paraId="2638066C" w14:textId="77777777" w:rsidR="0010240D" w:rsidRPr="006565C6" w:rsidRDefault="0010240D" w:rsidP="000819DC">
      <w:pPr>
        <w:spacing w:line="249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Izlučivanje u majčino </w:t>
      </w:r>
      <w:proofErr w:type="spellStart"/>
      <w:r w:rsidRPr="006565C6">
        <w:rPr>
          <w:sz w:val="22"/>
          <w:szCs w:val="22"/>
          <w:lang w:val="sr-Latn-RS"/>
        </w:rPr>
        <w:t>mlijeko</w:t>
      </w:r>
      <w:proofErr w:type="spellEnd"/>
      <w:r w:rsidRPr="006565C6">
        <w:rPr>
          <w:sz w:val="22"/>
          <w:szCs w:val="22"/>
          <w:lang w:val="sr-Latn-RS"/>
        </w:rPr>
        <w:t xml:space="preserve"> ispitivano je kod onih mladunaca pacova čije su majke primale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. Mladunci su bili </w:t>
      </w:r>
      <w:proofErr w:type="spellStart"/>
      <w:r w:rsidRPr="006565C6">
        <w:rPr>
          <w:sz w:val="22"/>
          <w:szCs w:val="22"/>
          <w:lang w:val="sr-Latn-RS"/>
        </w:rPr>
        <w:t>dozno</w:t>
      </w:r>
      <w:proofErr w:type="spellEnd"/>
      <w:r w:rsidRPr="006565C6">
        <w:rPr>
          <w:sz w:val="22"/>
          <w:szCs w:val="22"/>
          <w:lang w:val="sr-Latn-RS"/>
        </w:rPr>
        <w:t xml:space="preserve">-zavisno izloženi </w:t>
      </w:r>
      <w:proofErr w:type="spellStart"/>
      <w:r w:rsidRPr="006565C6">
        <w:rPr>
          <w:sz w:val="22"/>
          <w:szCs w:val="22"/>
          <w:lang w:val="sr-Latn-RS"/>
        </w:rPr>
        <w:t>tapentadolu</w:t>
      </w:r>
      <w:proofErr w:type="spellEnd"/>
      <w:r w:rsidRPr="006565C6">
        <w:rPr>
          <w:sz w:val="22"/>
          <w:szCs w:val="22"/>
          <w:lang w:val="sr-Latn-RS"/>
        </w:rPr>
        <w:t xml:space="preserve"> i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O-</w:t>
      </w:r>
      <w:proofErr w:type="spellStart"/>
      <w:r w:rsidRPr="006565C6">
        <w:rPr>
          <w:sz w:val="22"/>
          <w:szCs w:val="22"/>
          <w:lang w:val="sr-Latn-RS"/>
        </w:rPr>
        <w:t>glukuronidu</w:t>
      </w:r>
      <w:proofErr w:type="spellEnd"/>
      <w:r w:rsidRPr="006565C6">
        <w:rPr>
          <w:sz w:val="22"/>
          <w:szCs w:val="22"/>
          <w:lang w:val="sr-Latn-RS"/>
        </w:rPr>
        <w:t xml:space="preserve">. Zaključeno je da se </w:t>
      </w:r>
      <w:proofErr w:type="spellStart"/>
      <w:r w:rsidRPr="006565C6">
        <w:rPr>
          <w:sz w:val="22"/>
          <w:szCs w:val="22"/>
          <w:lang w:val="sr-Latn-RS"/>
        </w:rPr>
        <w:t>tapentadol</w:t>
      </w:r>
      <w:proofErr w:type="spellEnd"/>
      <w:r w:rsidRPr="006565C6">
        <w:rPr>
          <w:sz w:val="22"/>
          <w:szCs w:val="22"/>
          <w:lang w:val="sr-Latn-RS"/>
        </w:rPr>
        <w:t xml:space="preserve"> izlučuje u </w:t>
      </w:r>
      <w:proofErr w:type="spellStart"/>
      <w:r w:rsidRPr="006565C6">
        <w:rPr>
          <w:sz w:val="22"/>
          <w:szCs w:val="22"/>
          <w:lang w:val="sr-Latn-RS"/>
        </w:rPr>
        <w:t>mlijeko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4E5B2CF5" w14:textId="77777777" w:rsidR="0010240D" w:rsidRPr="006565C6" w:rsidRDefault="0010240D" w:rsidP="000819DC">
      <w:pPr>
        <w:spacing w:line="249" w:lineRule="auto"/>
        <w:jc w:val="both"/>
        <w:rPr>
          <w:sz w:val="22"/>
          <w:szCs w:val="22"/>
          <w:lang w:val="sr-Latn-RS"/>
        </w:rPr>
      </w:pPr>
    </w:p>
    <w:p w14:paraId="2836C718" w14:textId="098D34FF" w:rsidR="00056C6E" w:rsidRPr="006565C6" w:rsidRDefault="0010240D" w:rsidP="00056C6E">
      <w:pPr>
        <w:spacing w:line="249" w:lineRule="auto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Mladunčad štakora bila je izložena </w:t>
      </w:r>
      <w:proofErr w:type="spellStart"/>
      <w:r w:rsidRPr="006565C6">
        <w:rPr>
          <w:sz w:val="22"/>
          <w:szCs w:val="22"/>
          <w:lang w:val="sr-Latn-RS"/>
        </w:rPr>
        <w:t>lijeku</w:t>
      </w:r>
      <w:proofErr w:type="spellEnd"/>
      <w:r w:rsidRPr="006565C6">
        <w:rPr>
          <w:sz w:val="22"/>
          <w:szCs w:val="22"/>
          <w:lang w:val="sr-Latn-RS"/>
        </w:rPr>
        <w:t xml:space="preserve"> od 6. do 90. dana od okota, što odgovara razdoblju razvoja od ranog </w:t>
      </w:r>
      <w:proofErr w:type="spellStart"/>
      <w:r w:rsidRPr="006565C6">
        <w:rPr>
          <w:sz w:val="22"/>
          <w:szCs w:val="22"/>
          <w:lang w:val="sr-Latn-RS"/>
        </w:rPr>
        <w:t>djetinjstva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djetinjstva</w:t>
      </w:r>
      <w:proofErr w:type="spellEnd"/>
      <w:r w:rsidRPr="006565C6">
        <w:rPr>
          <w:sz w:val="22"/>
          <w:szCs w:val="22"/>
          <w:lang w:val="sr-Latn-RS"/>
        </w:rPr>
        <w:t xml:space="preserve"> i adolescencije </w:t>
      </w:r>
      <w:r w:rsidR="00056C6E" w:rsidRPr="006565C6">
        <w:rPr>
          <w:sz w:val="22"/>
          <w:szCs w:val="22"/>
          <w:lang w:val="sr-Latn-RS"/>
        </w:rPr>
        <w:t xml:space="preserve">kod </w:t>
      </w:r>
      <w:r w:rsidRPr="006565C6">
        <w:rPr>
          <w:sz w:val="22"/>
          <w:szCs w:val="22"/>
          <w:lang w:val="sr-Latn-RS"/>
        </w:rPr>
        <w:t>ljudi. U prva 3 dana dobi</w:t>
      </w:r>
      <w:r w:rsidR="00056C6E" w:rsidRPr="006565C6">
        <w:rPr>
          <w:sz w:val="22"/>
          <w:szCs w:val="22"/>
          <w:lang w:val="sr-Latn-RS"/>
        </w:rPr>
        <w:t>j</w:t>
      </w:r>
      <w:r w:rsidRPr="006565C6">
        <w:rPr>
          <w:sz w:val="22"/>
          <w:szCs w:val="22"/>
          <w:lang w:val="sr-Latn-RS"/>
        </w:rPr>
        <w:t xml:space="preserve">anja </w:t>
      </w:r>
      <w:proofErr w:type="spellStart"/>
      <w:r w:rsidRPr="006565C6">
        <w:rPr>
          <w:sz w:val="22"/>
          <w:szCs w:val="22"/>
          <w:lang w:val="sr-Latn-RS"/>
        </w:rPr>
        <w:t>lijeka</w:t>
      </w:r>
      <w:proofErr w:type="spellEnd"/>
      <w:r w:rsidRPr="006565C6">
        <w:rPr>
          <w:sz w:val="22"/>
          <w:szCs w:val="22"/>
          <w:lang w:val="sr-Latn-RS"/>
        </w:rPr>
        <w:t xml:space="preserve">, </w:t>
      </w:r>
      <w:proofErr w:type="spellStart"/>
      <w:r w:rsidRPr="006565C6">
        <w:rPr>
          <w:sz w:val="22"/>
          <w:szCs w:val="22"/>
          <w:lang w:val="sr-Latn-RS"/>
        </w:rPr>
        <w:t>zabilježena</w:t>
      </w:r>
      <w:proofErr w:type="spellEnd"/>
      <w:r w:rsidRPr="006565C6">
        <w:rPr>
          <w:sz w:val="22"/>
          <w:szCs w:val="22"/>
          <w:lang w:val="sr-Latn-RS"/>
        </w:rPr>
        <w:t xml:space="preserve"> je</w:t>
      </w:r>
      <w:r w:rsidR="00056C6E" w:rsidRPr="006565C6">
        <w:rPr>
          <w:sz w:val="22"/>
          <w:szCs w:val="22"/>
          <w:lang w:val="sr-Latn-RS"/>
        </w:rPr>
        <w:t xml:space="preserve"> numerički viša </w:t>
      </w:r>
      <w:proofErr w:type="spellStart"/>
      <w:r w:rsidR="00056C6E" w:rsidRPr="006565C6">
        <w:rPr>
          <w:sz w:val="22"/>
          <w:szCs w:val="22"/>
          <w:lang w:val="sr-Latn-RS"/>
        </w:rPr>
        <w:t>incidencija</w:t>
      </w:r>
      <w:proofErr w:type="spellEnd"/>
      <w:r w:rsidR="00056C6E" w:rsidRPr="006565C6">
        <w:rPr>
          <w:sz w:val="22"/>
          <w:szCs w:val="22"/>
          <w:lang w:val="sr-Latn-RS"/>
        </w:rPr>
        <w:t xml:space="preserve"> mortaliteta u dozama ≥ 25 mg/kg/dan uz izloženost plazme </w:t>
      </w:r>
      <w:proofErr w:type="spellStart"/>
      <w:r w:rsidR="00056C6E" w:rsidRPr="006565C6">
        <w:rPr>
          <w:sz w:val="22"/>
          <w:szCs w:val="22"/>
          <w:lang w:val="sr-Latn-RS"/>
        </w:rPr>
        <w:t>tapentadolu</w:t>
      </w:r>
      <w:proofErr w:type="spellEnd"/>
      <w:r w:rsidR="00056C6E" w:rsidRPr="006565C6">
        <w:rPr>
          <w:sz w:val="22"/>
          <w:szCs w:val="22"/>
          <w:lang w:val="sr-Latn-RS"/>
        </w:rPr>
        <w:t xml:space="preserve"> na nivou </w:t>
      </w:r>
      <w:proofErr w:type="spellStart"/>
      <w:r w:rsidR="00056C6E" w:rsidRPr="006565C6">
        <w:rPr>
          <w:sz w:val="22"/>
          <w:szCs w:val="22"/>
          <w:lang w:val="sr-Latn-RS"/>
        </w:rPr>
        <w:t>LOAEL</w:t>
      </w:r>
      <w:proofErr w:type="spellEnd"/>
      <w:r w:rsidR="00056C6E" w:rsidRPr="006565C6">
        <w:rPr>
          <w:sz w:val="22"/>
          <w:szCs w:val="22"/>
          <w:lang w:val="sr-Latn-RS"/>
        </w:rPr>
        <w:t xml:space="preserve"> (najniža doza kod koje je uočen štetni efekat) što je uporedivo sa </w:t>
      </w:r>
      <w:proofErr w:type="spellStart"/>
      <w:r w:rsidR="00056C6E" w:rsidRPr="006565C6">
        <w:rPr>
          <w:sz w:val="22"/>
          <w:szCs w:val="22"/>
          <w:lang w:val="sr-Latn-RS"/>
        </w:rPr>
        <w:t>predviđenom</w:t>
      </w:r>
      <w:proofErr w:type="spellEnd"/>
      <w:r w:rsidR="00056C6E" w:rsidRPr="006565C6">
        <w:rPr>
          <w:sz w:val="22"/>
          <w:szCs w:val="22"/>
          <w:lang w:val="sr-Latn-RS"/>
        </w:rPr>
        <w:t xml:space="preserve"> kliničkom izloženosti plazme </w:t>
      </w:r>
      <w:r w:rsidR="00890767" w:rsidRPr="006565C6">
        <w:rPr>
          <w:sz w:val="22"/>
          <w:szCs w:val="22"/>
          <w:lang w:val="sr-Latn-RS"/>
        </w:rPr>
        <w:t xml:space="preserve">kod </w:t>
      </w:r>
      <w:proofErr w:type="spellStart"/>
      <w:r w:rsidR="00056C6E" w:rsidRPr="006565C6">
        <w:rPr>
          <w:sz w:val="22"/>
          <w:szCs w:val="22"/>
          <w:lang w:val="sr-Latn-RS"/>
        </w:rPr>
        <w:t>djece</w:t>
      </w:r>
      <w:proofErr w:type="spellEnd"/>
      <w:r w:rsidR="00056C6E" w:rsidRPr="006565C6">
        <w:rPr>
          <w:sz w:val="22"/>
          <w:szCs w:val="22"/>
          <w:lang w:val="sr-Latn-RS"/>
        </w:rPr>
        <w:t xml:space="preserve">. </w:t>
      </w:r>
      <w:proofErr w:type="spellStart"/>
      <w:r w:rsidR="00056C6E" w:rsidRPr="006565C6">
        <w:rPr>
          <w:sz w:val="22"/>
          <w:szCs w:val="22"/>
          <w:lang w:val="sr-Latn-RS"/>
        </w:rPr>
        <w:t>Podnošljivost</w:t>
      </w:r>
      <w:proofErr w:type="spellEnd"/>
      <w:r w:rsidR="00056C6E" w:rsidRPr="006565C6">
        <w:rPr>
          <w:sz w:val="22"/>
          <w:szCs w:val="22"/>
          <w:lang w:val="sr-Latn-RS"/>
        </w:rPr>
        <w:t xml:space="preserve"> </w:t>
      </w:r>
      <w:proofErr w:type="spellStart"/>
      <w:r w:rsidR="00056C6E" w:rsidRPr="006565C6">
        <w:rPr>
          <w:sz w:val="22"/>
          <w:szCs w:val="22"/>
          <w:lang w:val="sr-Latn-RS"/>
        </w:rPr>
        <w:t>tapentadola</w:t>
      </w:r>
      <w:proofErr w:type="spellEnd"/>
      <w:r w:rsidR="00056C6E" w:rsidRPr="006565C6">
        <w:rPr>
          <w:sz w:val="22"/>
          <w:szCs w:val="22"/>
          <w:lang w:val="sr-Latn-RS"/>
        </w:rPr>
        <w:t xml:space="preserve"> bila je dobra kod mladunaca starijih od 10 dana. U vezi sa tretmanom nije bilo povezanih kliničkih znakova, efekata na </w:t>
      </w:r>
      <w:proofErr w:type="spellStart"/>
      <w:r w:rsidR="00056C6E" w:rsidRPr="006565C6">
        <w:rPr>
          <w:sz w:val="22"/>
          <w:szCs w:val="22"/>
          <w:lang w:val="sr-Latn-RS"/>
        </w:rPr>
        <w:t>tjelesnu</w:t>
      </w:r>
      <w:proofErr w:type="spellEnd"/>
      <w:r w:rsidR="00056C6E" w:rsidRPr="006565C6">
        <w:rPr>
          <w:sz w:val="22"/>
          <w:szCs w:val="22"/>
          <w:lang w:val="sr-Latn-RS"/>
        </w:rPr>
        <w:t xml:space="preserve"> težinu, uzimanje hrane, razdoblje prije odbijanja od </w:t>
      </w:r>
      <w:proofErr w:type="spellStart"/>
      <w:r w:rsidR="00056C6E" w:rsidRPr="006565C6">
        <w:rPr>
          <w:sz w:val="22"/>
          <w:szCs w:val="22"/>
          <w:lang w:val="sr-Latn-RS"/>
        </w:rPr>
        <w:t>sisanja</w:t>
      </w:r>
      <w:proofErr w:type="spellEnd"/>
      <w:r w:rsidR="00056C6E" w:rsidRPr="006565C6">
        <w:rPr>
          <w:sz w:val="22"/>
          <w:szCs w:val="22"/>
          <w:lang w:val="sr-Latn-RS"/>
        </w:rPr>
        <w:t xml:space="preserve"> ili reproduktivni razvoj, rast dugih kostiju, motoričku aktivnosti, ponašanje ili učenje i pamćenje. Težine organa </w:t>
      </w:r>
      <w:r w:rsidR="00890767" w:rsidRPr="006565C6">
        <w:rPr>
          <w:sz w:val="22"/>
          <w:szCs w:val="22"/>
          <w:lang w:val="sr-Latn-RS"/>
        </w:rPr>
        <w:t xml:space="preserve">kao i </w:t>
      </w:r>
      <w:r w:rsidR="00056C6E" w:rsidRPr="006565C6">
        <w:rPr>
          <w:sz w:val="22"/>
          <w:szCs w:val="22"/>
          <w:lang w:val="sr-Latn-RS"/>
        </w:rPr>
        <w:t xml:space="preserve">makroskopska ili mikroskopska </w:t>
      </w:r>
      <w:proofErr w:type="spellStart"/>
      <w:r w:rsidR="00056C6E" w:rsidRPr="006565C6">
        <w:rPr>
          <w:sz w:val="22"/>
          <w:szCs w:val="22"/>
          <w:lang w:val="sr-Latn-RS"/>
        </w:rPr>
        <w:t>procjena</w:t>
      </w:r>
      <w:proofErr w:type="spellEnd"/>
      <w:r w:rsidR="00056C6E" w:rsidRPr="006565C6">
        <w:rPr>
          <w:sz w:val="22"/>
          <w:szCs w:val="22"/>
          <w:lang w:val="sr-Latn-RS"/>
        </w:rPr>
        <w:t xml:space="preserve"> nisu pokazale nikakve </w:t>
      </w:r>
      <w:proofErr w:type="spellStart"/>
      <w:r w:rsidR="00056C6E" w:rsidRPr="006565C6">
        <w:rPr>
          <w:sz w:val="22"/>
          <w:szCs w:val="22"/>
          <w:lang w:val="sr-Latn-RS"/>
        </w:rPr>
        <w:t>promjene</w:t>
      </w:r>
      <w:proofErr w:type="spellEnd"/>
      <w:r w:rsidR="00056C6E" w:rsidRPr="006565C6">
        <w:rPr>
          <w:sz w:val="22"/>
          <w:szCs w:val="22"/>
          <w:lang w:val="sr-Latn-RS"/>
        </w:rPr>
        <w:t xml:space="preserve"> povezane s tretmanom. </w:t>
      </w:r>
      <w:proofErr w:type="spellStart"/>
      <w:r w:rsidR="00056C6E" w:rsidRPr="006565C6">
        <w:rPr>
          <w:sz w:val="22"/>
          <w:szCs w:val="22"/>
          <w:lang w:val="sr-Latn-RS"/>
        </w:rPr>
        <w:t>Tapentadol</w:t>
      </w:r>
      <w:proofErr w:type="spellEnd"/>
      <w:r w:rsidR="00056C6E" w:rsidRPr="006565C6">
        <w:rPr>
          <w:sz w:val="22"/>
          <w:szCs w:val="22"/>
          <w:lang w:val="sr-Latn-RS"/>
        </w:rPr>
        <w:t xml:space="preserve"> nije uticao na polni razvoj, parenje ili pokazatelje trudnoće u ispitivanih životinja.</w:t>
      </w:r>
    </w:p>
    <w:p w14:paraId="5880AAAD" w14:textId="054BBC1A" w:rsidR="00056C6E" w:rsidRDefault="00056C6E" w:rsidP="00056C6E">
      <w:pPr>
        <w:spacing w:line="249" w:lineRule="auto"/>
        <w:jc w:val="both"/>
        <w:rPr>
          <w:b/>
          <w:bCs/>
          <w:sz w:val="22"/>
          <w:szCs w:val="22"/>
          <w:lang w:val="sr-Latn-RS"/>
        </w:rPr>
      </w:pPr>
    </w:p>
    <w:p w14:paraId="457BEB37" w14:textId="77777777" w:rsidR="006565C6" w:rsidRPr="006565C6" w:rsidRDefault="006565C6" w:rsidP="00056C6E">
      <w:pPr>
        <w:spacing w:line="249" w:lineRule="auto"/>
        <w:jc w:val="both"/>
        <w:rPr>
          <w:b/>
          <w:bCs/>
          <w:sz w:val="22"/>
          <w:szCs w:val="22"/>
          <w:lang w:val="sr-Latn-RS"/>
        </w:rPr>
      </w:pPr>
    </w:p>
    <w:p w14:paraId="6DA36EC5" w14:textId="77777777" w:rsidR="0072020E" w:rsidRPr="006565C6" w:rsidRDefault="0072020E" w:rsidP="0082596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6.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FARMACEUTSKI PODACI</w:t>
      </w:r>
    </w:p>
    <w:p w14:paraId="6DA36EC6" w14:textId="77777777" w:rsidR="00836B35" w:rsidRPr="006565C6" w:rsidRDefault="00836B35" w:rsidP="0082596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7961A8E" w14:textId="77777777" w:rsidR="0070288E" w:rsidRPr="006565C6" w:rsidRDefault="0072020E" w:rsidP="00992F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6.1.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Lista pomoćnih supstanci</w:t>
      </w:r>
      <w:r w:rsidR="002E0135" w:rsidRPr="006565C6">
        <w:rPr>
          <w:b/>
          <w:bCs/>
          <w:sz w:val="22"/>
          <w:szCs w:val="22"/>
          <w:lang w:val="sr-Latn-RS"/>
        </w:rPr>
        <w:t xml:space="preserve"> (</w:t>
      </w:r>
      <w:proofErr w:type="spellStart"/>
      <w:r w:rsidR="002E0135" w:rsidRPr="006565C6">
        <w:rPr>
          <w:b/>
          <w:bCs/>
          <w:sz w:val="22"/>
          <w:szCs w:val="22"/>
          <w:lang w:val="sr-Latn-RS"/>
        </w:rPr>
        <w:t>ekscipijenasa</w:t>
      </w:r>
      <w:proofErr w:type="spellEnd"/>
      <w:r w:rsidR="002E0135" w:rsidRPr="006565C6">
        <w:rPr>
          <w:b/>
          <w:bCs/>
          <w:sz w:val="22"/>
          <w:szCs w:val="22"/>
          <w:lang w:val="sr-Latn-RS"/>
        </w:rPr>
        <w:t>)</w:t>
      </w:r>
    </w:p>
    <w:p w14:paraId="0B86E132" w14:textId="77777777" w:rsidR="0070288E" w:rsidRPr="006565C6" w:rsidRDefault="0070288E" w:rsidP="00A273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85FAEA8" w14:textId="268488A3" w:rsidR="0070288E" w:rsidRPr="006565C6" w:rsidRDefault="0070288E" w:rsidP="00A273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Limunska kiselina, </w:t>
      </w:r>
      <w:proofErr w:type="spellStart"/>
      <w:r w:rsidRPr="006565C6">
        <w:rPr>
          <w:sz w:val="22"/>
          <w:szCs w:val="22"/>
          <w:lang w:val="sr-Latn-RS"/>
        </w:rPr>
        <w:t>monohidrat</w:t>
      </w:r>
      <w:proofErr w:type="spellEnd"/>
    </w:p>
    <w:p w14:paraId="2E9AA1BC" w14:textId="1596AD6D" w:rsidR="00C900A2" w:rsidRPr="006565C6" w:rsidRDefault="00C900A2" w:rsidP="00056C6E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Natrijum </w:t>
      </w:r>
      <w:proofErr w:type="spellStart"/>
      <w:r w:rsidRPr="006565C6">
        <w:rPr>
          <w:sz w:val="22"/>
          <w:szCs w:val="22"/>
          <w:lang w:val="sr-Latn-RS"/>
        </w:rPr>
        <w:t>benzoat</w:t>
      </w:r>
      <w:proofErr w:type="spellEnd"/>
    </w:p>
    <w:p w14:paraId="29BC110A" w14:textId="3F68B2A8" w:rsidR="0070288E" w:rsidRPr="006565C6" w:rsidRDefault="0070288E" w:rsidP="00056C6E">
      <w:pPr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Sukraloza</w:t>
      </w:r>
      <w:proofErr w:type="spellEnd"/>
    </w:p>
    <w:p w14:paraId="2EE67457" w14:textId="77777777" w:rsidR="0070288E" w:rsidRPr="006565C6" w:rsidRDefault="0070288E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Aroma maline (Sadrži aromatične sastojke i približno 2 mg </w:t>
      </w:r>
      <w:proofErr w:type="spellStart"/>
      <w:r w:rsidRPr="006565C6">
        <w:rPr>
          <w:sz w:val="22"/>
          <w:szCs w:val="22"/>
          <w:lang w:val="sr-Latn-RS"/>
        </w:rPr>
        <w:t>propilen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glikola</w:t>
      </w:r>
      <w:proofErr w:type="spellEnd"/>
      <w:r w:rsidRPr="006565C6">
        <w:rPr>
          <w:sz w:val="22"/>
          <w:szCs w:val="22"/>
          <w:lang w:val="sr-Latn-RS"/>
        </w:rPr>
        <w:t>)</w:t>
      </w:r>
    </w:p>
    <w:p w14:paraId="5A0A00ED" w14:textId="77777777" w:rsidR="0070288E" w:rsidRPr="006565C6" w:rsidRDefault="0070288E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Natrijum hidroksid</w:t>
      </w:r>
    </w:p>
    <w:p w14:paraId="4CD25D56" w14:textId="778E4B56" w:rsidR="0070288E" w:rsidRPr="006565C6" w:rsidRDefault="00DE66A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V</w:t>
      </w:r>
      <w:r w:rsidR="0070288E" w:rsidRPr="006565C6">
        <w:rPr>
          <w:sz w:val="22"/>
          <w:szCs w:val="22"/>
          <w:lang w:val="sr-Latn-RS"/>
        </w:rPr>
        <w:t>oda</w:t>
      </w:r>
      <w:r w:rsidRPr="006565C6">
        <w:rPr>
          <w:sz w:val="22"/>
          <w:szCs w:val="22"/>
          <w:lang w:val="sr-Latn-RS"/>
        </w:rPr>
        <w:t>, prečišćena</w:t>
      </w:r>
    </w:p>
    <w:p w14:paraId="6DA36EC8" w14:textId="3D5392E5" w:rsidR="0072020E" w:rsidRPr="006565C6" w:rsidRDefault="0072020E" w:rsidP="00825968">
      <w:pPr>
        <w:tabs>
          <w:tab w:val="left" w:pos="1050"/>
        </w:tabs>
        <w:jc w:val="both"/>
        <w:rPr>
          <w:bCs/>
          <w:sz w:val="22"/>
          <w:szCs w:val="22"/>
          <w:lang w:val="sr-Latn-RS"/>
        </w:rPr>
      </w:pPr>
    </w:p>
    <w:p w14:paraId="1BDD1295" w14:textId="77777777" w:rsidR="00360CB6" w:rsidRPr="006565C6" w:rsidRDefault="00360CB6" w:rsidP="00825968">
      <w:pPr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>6.2. Inkompatibilnost</w:t>
      </w:r>
    </w:p>
    <w:p w14:paraId="0B1E985B" w14:textId="77777777" w:rsidR="00360CB6" w:rsidRPr="006565C6" w:rsidRDefault="00360CB6" w:rsidP="00825968">
      <w:pPr>
        <w:jc w:val="both"/>
        <w:rPr>
          <w:b/>
          <w:bCs/>
          <w:sz w:val="22"/>
          <w:szCs w:val="22"/>
          <w:lang w:val="sr-Latn-RS"/>
        </w:rPr>
      </w:pPr>
    </w:p>
    <w:p w14:paraId="2FC78458" w14:textId="77777777" w:rsidR="00360CB6" w:rsidRPr="006565C6" w:rsidRDefault="00360CB6" w:rsidP="00825968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Nije </w:t>
      </w:r>
      <w:proofErr w:type="spellStart"/>
      <w:r w:rsidRPr="006565C6">
        <w:rPr>
          <w:sz w:val="22"/>
          <w:szCs w:val="22"/>
          <w:lang w:val="sr-Latn-RS"/>
        </w:rPr>
        <w:t>primjenljivo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142D0108" w14:textId="77777777" w:rsidR="00360CB6" w:rsidRPr="006565C6" w:rsidRDefault="00360CB6" w:rsidP="00825968">
      <w:pPr>
        <w:jc w:val="both"/>
        <w:rPr>
          <w:sz w:val="22"/>
          <w:szCs w:val="22"/>
          <w:lang w:val="sr-Latn-RS"/>
        </w:rPr>
      </w:pPr>
    </w:p>
    <w:p w14:paraId="1D8D5A50" w14:textId="77777777" w:rsidR="00360CB6" w:rsidRPr="006565C6" w:rsidRDefault="00360CB6" w:rsidP="00825968">
      <w:pPr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>6.3. Rok upotrebe</w:t>
      </w:r>
    </w:p>
    <w:p w14:paraId="52CE70B3" w14:textId="77777777" w:rsidR="00360CB6" w:rsidRPr="006565C6" w:rsidRDefault="00360CB6" w:rsidP="00825968">
      <w:pPr>
        <w:jc w:val="both"/>
        <w:rPr>
          <w:sz w:val="22"/>
          <w:szCs w:val="22"/>
          <w:lang w:val="sr-Latn-RS"/>
        </w:rPr>
      </w:pPr>
    </w:p>
    <w:p w14:paraId="54C6615C" w14:textId="70EF4EAA" w:rsidR="00360CB6" w:rsidRPr="006565C6" w:rsidRDefault="00A041A9" w:rsidP="00825968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36 </w:t>
      </w:r>
      <w:proofErr w:type="spellStart"/>
      <w:r w:rsidRPr="006565C6">
        <w:rPr>
          <w:sz w:val="22"/>
          <w:szCs w:val="22"/>
          <w:lang w:val="sr-Latn-RS"/>
        </w:rPr>
        <w:t>mjeseci</w:t>
      </w:r>
      <w:proofErr w:type="spellEnd"/>
    </w:p>
    <w:p w14:paraId="5991FA8F" w14:textId="77777777" w:rsidR="00360CB6" w:rsidRPr="006565C6" w:rsidRDefault="00360CB6" w:rsidP="00825968">
      <w:pPr>
        <w:jc w:val="both"/>
        <w:rPr>
          <w:sz w:val="22"/>
          <w:szCs w:val="22"/>
          <w:lang w:val="sr-Latn-RS"/>
        </w:rPr>
      </w:pPr>
    </w:p>
    <w:p w14:paraId="50462E9E" w14:textId="77777777" w:rsidR="00360CB6" w:rsidRPr="006565C6" w:rsidRDefault="00360CB6" w:rsidP="00825968">
      <w:pPr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6.4. Posebne </w:t>
      </w:r>
      <w:proofErr w:type="spellStart"/>
      <w:r w:rsidRPr="006565C6">
        <w:rPr>
          <w:b/>
          <w:bCs/>
          <w:sz w:val="22"/>
          <w:szCs w:val="22"/>
          <w:lang w:val="sr-Latn-RS"/>
        </w:rPr>
        <w:t>mjere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opreza pri čuvanju </w:t>
      </w:r>
      <w:proofErr w:type="spellStart"/>
      <w:r w:rsidRPr="006565C6">
        <w:rPr>
          <w:b/>
          <w:bCs/>
          <w:sz w:val="22"/>
          <w:szCs w:val="22"/>
          <w:lang w:val="sr-Latn-RS"/>
        </w:rPr>
        <w:t>lijeka</w:t>
      </w:r>
      <w:proofErr w:type="spellEnd"/>
    </w:p>
    <w:p w14:paraId="2F77481A" w14:textId="77777777" w:rsidR="00360CB6" w:rsidRPr="006565C6" w:rsidRDefault="00360CB6" w:rsidP="00825968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0E15EC15" w14:textId="77777777" w:rsidR="00360CB6" w:rsidRPr="006565C6" w:rsidRDefault="00360CB6" w:rsidP="00825968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Čuvati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van pogleda i domašaja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>!</w:t>
      </w:r>
    </w:p>
    <w:p w14:paraId="7A0EA4E9" w14:textId="77777777" w:rsidR="00360CB6" w:rsidRPr="006565C6" w:rsidRDefault="00360CB6" w:rsidP="00D1050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ED98332" w14:textId="32770B58" w:rsidR="00360CB6" w:rsidRPr="006565C6" w:rsidRDefault="00375AC7" w:rsidP="00D10504">
      <w:pPr>
        <w:jc w:val="both"/>
        <w:rPr>
          <w:noProof/>
          <w:sz w:val="22"/>
          <w:szCs w:val="22"/>
          <w:lang w:val="sr-Latn-RS"/>
        </w:rPr>
      </w:pPr>
      <w:r w:rsidRPr="006565C6">
        <w:rPr>
          <w:noProof/>
          <w:sz w:val="22"/>
          <w:szCs w:val="22"/>
          <w:lang w:val="sr-Latn-RS"/>
        </w:rPr>
        <w:t>Lijek ne zaht</w:t>
      </w:r>
      <w:r w:rsidR="00267D32" w:rsidRPr="006565C6">
        <w:rPr>
          <w:noProof/>
          <w:sz w:val="22"/>
          <w:szCs w:val="22"/>
          <w:lang w:val="sr-Latn-RS"/>
        </w:rPr>
        <w:t>ij</w:t>
      </w:r>
      <w:r w:rsidRPr="006565C6">
        <w:rPr>
          <w:noProof/>
          <w:sz w:val="22"/>
          <w:szCs w:val="22"/>
          <w:lang w:val="sr-Latn-RS"/>
        </w:rPr>
        <w:t>eva pos</w:t>
      </w:r>
      <w:r w:rsidR="00267D32" w:rsidRPr="006565C6">
        <w:rPr>
          <w:noProof/>
          <w:sz w:val="22"/>
          <w:szCs w:val="22"/>
          <w:lang w:val="sr-Latn-RS"/>
        </w:rPr>
        <w:t>ebne uslove čuvanja.</w:t>
      </w:r>
    </w:p>
    <w:p w14:paraId="198AD515" w14:textId="77777777" w:rsidR="00360CB6" w:rsidRPr="006565C6" w:rsidRDefault="00360CB6" w:rsidP="00D10504">
      <w:pPr>
        <w:jc w:val="both"/>
        <w:rPr>
          <w:sz w:val="22"/>
          <w:szCs w:val="22"/>
          <w:lang w:val="sr-Latn-RS"/>
        </w:rPr>
      </w:pPr>
    </w:p>
    <w:p w14:paraId="7E1D37C7" w14:textId="77777777" w:rsidR="00360CB6" w:rsidRPr="006565C6" w:rsidRDefault="00360CB6" w:rsidP="00D10504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Nakon otvaranja </w:t>
      </w:r>
      <w:proofErr w:type="spellStart"/>
      <w:r w:rsidRPr="006565C6">
        <w:rPr>
          <w:sz w:val="22"/>
          <w:szCs w:val="22"/>
          <w:lang w:val="sr-Latn-RS"/>
        </w:rPr>
        <w:t>upotrijebiti</w:t>
      </w:r>
      <w:proofErr w:type="spellEnd"/>
      <w:r w:rsidRPr="006565C6">
        <w:rPr>
          <w:sz w:val="22"/>
          <w:szCs w:val="22"/>
          <w:lang w:val="sr-Latn-RS"/>
        </w:rPr>
        <w:t xml:space="preserve"> u roku od 6 </w:t>
      </w:r>
      <w:proofErr w:type="spellStart"/>
      <w:r w:rsidRPr="006565C6">
        <w:rPr>
          <w:sz w:val="22"/>
          <w:szCs w:val="22"/>
          <w:lang w:val="sr-Latn-RS"/>
        </w:rPr>
        <w:t>nedjelja</w:t>
      </w:r>
      <w:proofErr w:type="spellEnd"/>
      <w:r w:rsidRPr="006565C6">
        <w:rPr>
          <w:sz w:val="22"/>
          <w:szCs w:val="22"/>
          <w:lang w:val="sr-Latn-RS"/>
        </w:rPr>
        <w:t>.</w:t>
      </w:r>
    </w:p>
    <w:p w14:paraId="41F1D37D" w14:textId="77777777" w:rsidR="00360CB6" w:rsidRPr="006565C6" w:rsidRDefault="00360CB6" w:rsidP="00D10504">
      <w:pPr>
        <w:jc w:val="both"/>
        <w:rPr>
          <w:sz w:val="22"/>
          <w:szCs w:val="22"/>
          <w:lang w:val="sr-Latn-RS"/>
        </w:rPr>
      </w:pPr>
    </w:p>
    <w:p w14:paraId="754B4889" w14:textId="77777777" w:rsidR="00360CB6" w:rsidRPr="006565C6" w:rsidRDefault="00360CB6" w:rsidP="00D10504">
      <w:pPr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6.5. Vrsta i sadržaj pakovanja </w:t>
      </w:r>
    </w:p>
    <w:p w14:paraId="642A9FB6" w14:textId="77777777" w:rsidR="00360CB6" w:rsidRPr="006565C6" w:rsidRDefault="00360CB6" w:rsidP="00D10504">
      <w:pPr>
        <w:spacing w:line="255" w:lineRule="auto"/>
        <w:jc w:val="both"/>
        <w:rPr>
          <w:i/>
          <w:sz w:val="22"/>
          <w:szCs w:val="22"/>
          <w:lang w:val="sr-Latn-RS"/>
        </w:rPr>
      </w:pPr>
    </w:p>
    <w:p w14:paraId="523DF157" w14:textId="35CBD5C7" w:rsidR="00360CB6" w:rsidRPr="006565C6" w:rsidRDefault="00360CB6" w:rsidP="005D4AF3">
      <w:pPr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Polietilenske</w:t>
      </w:r>
      <w:proofErr w:type="spellEnd"/>
      <w:r w:rsidRPr="006565C6">
        <w:rPr>
          <w:sz w:val="22"/>
          <w:szCs w:val="22"/>
          <w:lang w:val="sr-Latn-RS"/>
        </w:rPr>
        <w:t xml:space="preserve"> bočice visoke gust</w:t>
      </w:r>
      <w:r w:rsidR="00C900A2" w:rsidRPr="006565C6">
        <w:rPr>
          <w:sz w:val="22"/>
          <w:szCs w:val="22"/>
          <w:lang w:val="sr-Latn-RS"/>
        </w:rPr>
        <w:t>ine</w:t>
      </w:r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HDPE</w:t>
      </w:r>
      <w:proofErr w:type="spellEnd"/>
      <w:r w:rsidRPr="006565C6">
        <w:rPr>
          <w:sz w:val="22"/>
          <w:szCs w:val="22"/>
          <w:lang w:val="sr-Latn-RS"/>
        </w:rPr>
        <w:t xml:space="preserve">) zapečaćene aluminijskom folijom i zatvorene sa sigurnosnim zatvaračem za zaštitu od </w:t>
      </w:r>
      <w:proofErr w:type="spellStart"/>
      <w:r w:rsidRPr="006565C6">
        <w:rPr>
          <w:sz w:val="22"/>
          <w:szCs w:val="22"/>
          <w:lang w:val="sr-Latn-RS"/>
        </w:rPr>
        <w:t>djece</w:t>
      </w:r>
      <w:proofErr w:type="spellEnd"/>
      <w:r w:rsidRPr="006565C6">
        <w:rPr>
          <w:sz w:val="22"/>
          <w:szCs w:val="22"/>
          <w:lang w:val="sr-Latn-RS"/>
        </w:rPr>
        <w:t xml:space="preserve"> od </w:t>
      </w:r>
      <w:proofErr w:type="spellStart"/>
      <w:r w:rsidRPr="006565C6">
        <w:rPr>
          <w:sz w:val="22"/>
          <w:szCs w:val="22"/>
          <w:lang w:val="sr-Latn-RS"/>
        </w:rPr>
        <w:t>polietilena</w:t>
      </w:r>
      <w:proofErr w:type="spellEnd"/>
      <w:r w:rsidRPr="006565C6">
        <w:rPr>
          <w:sz w:val="22"/>
          <w:szCs w:val="22"/>
          <w:lang w:val="sr-Latn-RS"/>
        </w:rPr>
        <w:t xml:space="preserve"> visoke gus</w:t>
      </w:r>
      <w:r w:rsidR="00C900A2" w:rsidRPr="006565C6">
        <w:rPr>
          <w:sz w:val="22"/>
          <w:szCs w:val="22"/>
          <w:lang w:val="sr-Latn-RS"/>
        </w:rPr>
        <w:t>tine</w:t>
      </w:r>
      <w:r w:rsidRPr="006565C6">
        <w:rPr>
          <w:sz w:val="22"/>
          <w:szCs w:val="22"/>
          <w:lang w:val="sr-Latn-RS"/>
        </w:rPr>
        <w:t xml:space="preserve"> (</w:t>
      </w:r>
      <w:proofErr w:type="spellStart"/>
      <w:r w:rsidRPr="006565C6">
        <w:rPr>
          <w:sz w:val="22"/>
          <w:szCs w:val="22"/>
          <w:lang w:val="sr-Latn-RS"/>
        </w:rPr>
        <w:t>HDPE</w:t>
      </w:r>
      <w:proofErr w:type="spellEnd"/>
      <w:r w:rsidRPr="006565C6">
        <w:rPr>
          <w:sz w:val="22"/>
          <w:szCs w:val="22"/>
          <w:lang w:val="sr-Latn-RS"/>
        </w:rPr>
        <w:t xml:space="preserve">) / </w:t>
      </w:r>
      <w:proofErr w:type="spellStart"/>
      <w:r w:rsidRPr="006565C6">
        <w:rPr>
          <w:sz w:val="22"/>
          <w:szCs w:val="22"/>
          <w:lang w:val="sr-Latn-RS"/>
        </w:rPr>
        <w:t>polipropilena</w:t>
      </w:r>
      <w:proofErr w:type="spellEnd"/>
      <w:r w:rsidRPr="006565C6">
        <w:rPr>
          <w:sz w:val="22"/>
          <w:szCs w:val="22"/>
          <w:lang w:val="sr-Latn-RS"/>
        </w:rPr>
        <w:t xml:space="preserve"> (PP).</w:t>
      </w:r>
    </w:p>
    <w:p w14:paraId="2D6089D9" w14:textId="77777777" w:rsidR="00360CB6" w:rsidRPr="006565C6" w:rsidRDefault="00360CB6" w:rsidP="005D4AF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Uz svaku bočicu oralnog rastvora priložena je pipeta za doziranje i nastavak spojen na pipetu za doziranje.</w:t>
      </w:r>
    </w:p>
    <w:p w14:paraId="6B950B3E" w14:textId="77777777" w:rsidR="00360CB6" w:rsidRPr="006565C6" w:rsidRDefault="00360CB6" w:rsidP="005D4AF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Skala pipete za doziranje od ukupno 5 ml </w:t>
      </w:r>
      <w:proofErr w:type="spellStart"/>
      <w:r w:rsidRPr="006565C6">
        <w:rPr>
          <w:sz w:val="22"/>
          <w:szCs w:val="22"/>
          <w:lang w:val="sr-Latn-RS"/>
        </w:rPr>
        <w:t>podijeljena</w:t>
      </w:r>
      <w:proofErr w:type="spellEnd"/>
      <w:r w:rsidRPr="006565C6">
        <w:rPr>
          <w:sz w:val="22"/>
          <w:szCs w:val="22"/>
          <w:lang w:val="sr-Latn-RS"/>
        </w:rPr>
        <w:t xml:space="preserve"> je na intervale od 0,1 ml. Dodatno, desna skala pokazuje pojedinačne doze za odrasle.</w:t>
      </w:r>
    </w:p>
    <w:p w14:paraId="4FDD3951" w14:textId="77777777" w:rsidR="00360CB6" w:rsidRPr="006565C6" w:rsidRDefault="00360CB6" w:rsidP="005D4AF3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Bočice od 100 ml i 200 ml</w:t>
      </w:r>
    </w:p>
    <w:p w14:paraId="74ECB290" w14:textId="77777777" w:rsidR="00360CB6" w:rsidRPr="006565C6" w:rsidRDefault="00360CB6" w:rsidP="00B60F5E">
      <w:pPr>
        <w:jc w:val="both"/>
        <w:rPr>
          <w:sz w:val="22"/>
          <w:szCs w:val="22"/>
          <w:lang w:val="sr-Latn-RS"/>
        </w:rPr>
      </w:pPr>
    </w:p>
    <w:p w14:paraId="378B2BDC" w14:textId="77777777" w:rsidR="00360CB6" w:rsidRPr="006565C6" w:rsidRDefault="00360CB6" w:rsidP="00B60F5E">
      <w:pPr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6.6. Posebne </w:t>
      </w:r>
      <w:proofErr w:type="spellStart"/>
      <w:r w:rsidRPr="006565C6">
        <w:rPr>
          <w:b/>
          <w:bCs/>
          <w:sz w:val="22"/>
          <w:szCs w:val="22"/>
          <w:lang w:val="sr-Latn-RS"/>
        </w:rPr>
        <w:t>mjere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opreza pri odlaganju materijala koji treba odbaciti nakon </w:t>
      </w:r>
      <w:proofErr w:type="spellStart"/>
      <w:r w:rsidRPr="006565C6">
        <w:rPr>
          <w:b/>
          <w:bCs/>
          <w:sz w:val="22"/>
          <w:szCs w:val="22"/>
          <w:lang w:val="sr-Latn-RS"/>
        </w:rPr>
        <w:t>primjene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6565C6">
        <w:rPr>
          <w:b/>
          <w:bCs/>
          <w:sz w:val="22"/>
          <w:szCs w:val="22"/>
          <w:lang w:val="sr-Latn-RS"/>
        </w:rPr>
        <w:t>lijeka</w:t>
      </w:r>
      <w:proofErr w:type="spellEnd"/>
      <w:r w:rsidRPr="006565C6">
        <w:rPr>
          <w:b/>
          <w:bCs/>
          <w:sz w:val="22"/>
          <w:szCs w:val="22"/>
          <w:lang w:val="sr-Latn-RS"/>
        </w:rPr>
        <w:t xml:space="preserve"> (i druga uputstva za rukovanje </w:t>
      </w:r>
      <w:proofErr w:type="spellStart"/>
      <w:r w:rsidRPr="006565C6">
        <w:rPr>
          <w:b/>
          <w:bCs/>
          <w:sz w:val="22"/>
          <w:szCs w:val="22"/>
          <w:lang w:val="sr-Latn-RS"/>
        </w:rPr>
        <w:t>lijekom</w:t>
      </w:r>
      <w:proofErr w:type="spellEnd"/>
      <w:r w:rsidRPr="006565C6">
        <w:rPr>
          <w:b/>
          <w:bCs/>
          <w:sz w:val="22"/>
          <w:szCs w:val="22"/>
          <w:lang w:val="sr-Latn-RS"/>
        </w:rPr>
        <w:t>)</w:t>
      </w:r>
    </w:p>
    <w:p w14:paraId="711E5FF9" w14:textId="77777777" w:rsidR="00360CB6" w:rsidRPr="006565C6" w:rsidRDefault="00360CB6" w:rsidP="00B60F5E">
      <w:pPr>
        <w:jc w:val="both"/>
        <w:rPr>
          <w:sz w:val="22"/>
          <w:szCs w:val="22"/>
          <w:lang w:val="sr-Latn-RS"/>
        </w:rPr>
      </w:pPr>
    </w:p>
    <w:p w14:paraId="3554D77B" w14:textId="7C9A2561" w:rsidR="00360CB6" w:rsidRPr="006565C6" w:rsidRDefault="00360CB6" w:rsidP="00B60F5E">
      <w:pPr>
        <w:spacing w:line="0" w:lineRule="atLeast"/>
        <w:jc w:val="both"/>
        <w:rPr>
          <w:sz w:val="22"/>
          <w:szCs w:val="22"/>
          <w:lang w:val="sr-Latn-RS"/>
        </w:rPr>
      </w:pPr>
      <w:proofErr w:type="spellStart"/>
      <w:r w:rsidRPr="006565C6">
        <w:rPr>
          <w:sz w:val="22"/>
          <w:szCs w:val="22"/>
          <w:lang w:val="sr-Latn-RS"/>
        </w:rPr>
        <w:t>Neupotr</w:t>
      </w:r>
      <w:r w:rsidR="005D4AF3">
        <w:rPr>
          <w:sz w:val="22"/>
          <w:szCs w:val="22"/>
          <w:lang w:val="sr-Latn-RS"/>
        </w:rPr>
        <w:t>ij</w:t>
      </w:r>
      <w:r w:rsidRPr="006565C6">
        <w:rPr>
          <w:sz w:val="22"/>
          <w:szCs w:val="22"/>
          <w:lang w:val="sr-Latn-RS"/>
        </w:rPr>
        <w:t>ebljeni</w:t>
      </w:r>
      <w:proofErr w:type="spellEnd"/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lijek</w:t>
      </w:r>
      <w:proofErr w:type="spellEnd"/>
      <w:r w:rsidRPr="006565C6">
        <w:rPr>
          <w:sz w:val="22"/>
          <w:szCs w:val="22"/>
          <w:lang w:val="sr-Latn-RS"/>
        </w:rPr>
        <w:t xml:space="preserve"> se uništava u skladu sa važećim propisima.</w:t>
      </w:r>
    </w:p>
    <w:p w14:paraId="6DA36ED3" w14:textId="25ED035B" w:rsidR="0072020E" w:rsidRDefault="0072020E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0A69134" w14:textId="77777777" w:rsidR="006565C6" w:rsidRPr="006565C6" w:rsidRDefault="006565C6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D4" w14:textId="77777777" w:rsidR="00F8570A" w:rsidRPr="006565C6" w:rsidRDefault="0072020E" w:rsidP="00B60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7.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NOSILAC DOZVOLE</w:t>
      </w:r>
      <w:r w:rsidR="00483928" w:rsidRPr="006565C6">
        <w:rPr>
          <w:b/>
          <w:bCs/>
          <w:sz w:val="22"/>
          <w:szCs w:val="22"/>
          <w:lang w:val="sr-Latn-RS"/>
        </w:rPr>
        <w:t xml:space="preserve"> </w:t>
      </w:r>
    </w:p>
    <w:p w14:paraId="6DA36ED5" w14:textId="77777777" w:rsidR="00C61BE0" w:rsidRPr="006565C6" w:rsidRDefault="00C61BE0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333E1DB" w14:textId="6BB11265" w:rsidR="000E2DAB" w:rsidRPr="006565C6" w:rsidRDefault="000E2DAB" w:rsidP="00B60F5E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Hemofarm </w:t>
      </w:r>
      <w:proofErr w:type="spellStart"/>
      <w:r w:rsidRPr="006565C6">
        <w:rPr>
          <w:sz w:val="22"/>
          <w:szCs w:val="22"/>
          <w:lang w:val="sr-Latn-RS"/>
        </w:rPr>
        <w:t>A</w:t>
      </w:r>
      <w:r w:rsidR="006821DF">
        <w:rPr>
          <w:sz w:val="22"/>
          <w:szCs w:val="22"/>
          <w:lang w:val="sr-Latn-RS"/>
        </w:rPr>
        <w:t>.</w:t>
      </w:r>
      <w:r w:rsidRPr="006565C6">
        <w:rPr>
          <w:sz w:val="22"/>
          <w:szCs w:val="22"/>
          <w:lang w:val="sr-Latn-RS"/>
        </w:rPr>
        <w:t>D</w:t>
      </w:r>
      <w:proofErr w:type="spellEnd"/>
      <w:r w:rsidR="006821DF">
        <w:rPr>
          <w:sz w:val="22"/>
          <w:szCs w:val="22"/>
          <w:lang w:val="sr-Latn-RS"/>
        </w:rPr>
        <w:t>.</w:t>
      </w:r>
      <w:r w:rsidRPr="006565C6">
        <w:rPr>
          <w:sz w:val="22"/>
          <w:szCs w:val="22"/>
          <w:lang w:val="sr-Latn-RS"/>
        </w:rPr>
        <w:t xml:space="preserve"> Vršac </w:t>
      </w:r>
      <w:proofErr w:type="spellStart"/>
      <w:r w:rsidRPr="006565C6">
        <w:rPr>
          <w:sz w:val="22"/>
          <w:szCs w:val="22"/>
          <w:lang w:val="sr-Latn-RS"/>
        </w:rPr>
        <w:t>P</w:t>
      </w:r>
      <w:r w:rsidR="006821DF">
        <w:rPr>
          <w:sz w:val="22"/>
          <w:szCs w:val="22"/>
          <w:lang w:val="sr-Latn-RS"/>
        </w:rPr>
        <w:t>.</w:t>
      </w:r>
      <w:r w:rsidRPr="006565C6">
        <w:rPr>
          <w:sz w:val="22"/>
          <w:szCs w:val="22"/>
          <w:lang w:val="sr-Latn-RS"/>
        </w:rPr>
        <w:t>J</w:t>
      </w:r>
      <w:proofErr w:type="spellEnd"/>
      <w:r w:rsidR="006821DF">
        <w:rPr>
          <w:sz w:val="22"/>
          <w:szCs w:val="22"/>
          <w:lang w:val="sr-Latn-RS"/>
        </w:rPr>
        <w:t>.</w:t>
      </w:r>
      <w:r w:rsidRPr="006565C6">
        <w:rPr>
          <w:sz w:val="22"/>
          <w:szCs w:val="22"/>
          <w:lang w:val="sr-Latn-RS"/>
        </w:rPr>
        <w:t xml:space="preserve"> Podgorica</w:t>
      </w:r>
    </w:p>
    <w:p w14:paraId="686C6373" w14:textId="3E03C52B" w:rsidR="000E2DAB" w:rsidRPr="006565C6" w:rsidRDefault="000E2DAB" w:rsidP="00B60F5E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8 marta </w:t>
      </w:r>
      <w:proofErr w:type="spellStart"/>
      <w:r w:rsidRPr="006565C6">
        <w:rPr>
          <w:sz w:val="22"/>
          <w:szCs w:val="22"/>
          <w:lang w:val="sr-Latn-RS"/>
        </w:rPr>
        <w:t>55A</w:t>
      </w:r>
      <w:proofErr w:type="spellEnd"/>
      <w:r w:rsidRPr="006565C6">
        <w:rPr>
          <w:sz w:val="22"/>
          <w:szCs w:val="22"/>
          <w:lang w:val="sr-Latn-RS"/>
        </w:rPr>
        <w:t>, Podgorica, Crna Gora</w:t>
      </w:r>
    </w:p>
    <w:p w14:paraId="6DA36ED6" w14:textId="18159DEE" w:rsidR="00C37FD7" w:rsidRDefault="00C37FD7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0587FF7" w14:textId="77777777" w:rsidR="006565C6" w:rsidRPr="006565C6" w:rsidRDefault="006565C6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D7" w14:textId="1831530D" w:rsidR="0072020E" w:rsidRPr="006565C6" w:rsidRDefault="0072020E" w:rsidP="00B60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8.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>BROJ DOZVOLE</w:t>
      </w:r>
      <w:r w:rsidR="008A6D43" w:rsidRPr="006565C6">
        <w:rPr>
          <w:b/>
          <w:bCs/>
          <w:sz w:val="22"/>
          <w:szCs w:val="22"/>
          <w:lang w:val="sr-Latn-RS"/>
        </w:rPr>
        <w:t xml:space="preserve"> ZA STAVLJANJE </w:t>
      </w:r>
      <w:proofErr w:type="spellStart"/>
      <w:r w:rsidR="008A6D43" w:rsidRPr="006565C6">
        <w:rPr>
          <w:b/>
          <w:bCs/>
          <w:sz w:val="22"/>
          <w:szCs w:val="22"/>
          <w:lang w:val="sr-Latn-RS"/>
        </w:rPr>
        <w:t>LIJEKA</w:t>
      </w:r>
      <w:proofErr w:type="spellEnd"/>
      <w:r w:rsidR="008A6D43" w:rsidRPr="006565C6">
        <w:rPr>
          <w:b/>
          <w:bCs/>
          <w:sz w:val="22"/>
          <w:szCs w:val="22"/>
          <w:lang w:val="sr-Latn-RS"/>
        </w:rPr>
        <w:t xml:space="preserve"> U PROMET</w:t>
      </w:r>
    </w:p>
    <w:p w14:paraId="374BE9AC" w14:textId="3385E1CA" w:rsidR="006565C6" w:rsidRPr="006565C6" w:rsidRDefault="006565C6" w:rsidP="00B60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F18CAD8" w14:textId="01CDA1D3" w:rsidR="006565C6" w:rsidRPr="006565C6" w:rsidRDefault="006565C6" w:rsidP="006565C6">
      <w:pPr>
        <w:spacing w:line="221" w:lineRule="auto"/>
        <w:ind w:right="2799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§</w:t>
      </w:r>
      <w:r w:rsidRPr="006565C6">
        <w:rPr>
          <w:color w:val="FF0000"/>
          <w:sz w:val="22"/>
          <w:szCs w:val="22"/>
          <w:lang w:val="sr-Latn-RS"/>
        </w:rPr>
        <w:t>▲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, 20 mg/ml, oralni rastvor, boca, </w:t>
      </w:r>
      <w:proofErr w:type="spellStart"/>
      <w:r w:rsidRPr="006565C6">
        <w:rPr>
          <w:sz w:val="22"/>
          <w:szCs w:val="22"/>
          <w:lang w:val="sr-Latn-RS"/>
        </w:rPr>
        <w:t>1x10</w:t>
      </w:r>
      <w:r w:rsidR="009D41DC">
        <w:rPr>
          <w:sz w:val="22"/>
          <w:szCs w:val="22"/>
          <w:lang w:val="sr-Latn-RS"/>
        </w:rPr>
        <w:t>0</w:t>
      </w:r>
      <w:proofErr w:type="spellEnd"/>
      <w:r w:rsidR="005D4AF3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/>
        </w:rPr>
        <w:t>ml:</w:t>
      </w:r>
    </w:p>
    <w:p w14:paraId="207782E1" w14:textId="15880AF3" w:rsidR="006565C6" w:rsidRPr="006565C6" w:rsidRDefault="006565C6" w:rsidP="006565C6">
      <w:pPr>
        <w:spacing w:line="221" w:lineRule="auto"/>
        <w:ind w:right="2799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 xml:space="preserve"> </w:t>
      </w:r>
      <w:r w:rsidRPr="006565C6">
        <w:rPr>
          <w:sz w:val="22"/>
          <w:szCs w:val="22"/>
          <w:lang w:val="sr-Latn-RS" w:eastAsia="sr-Latn-ME"/>
        </w:rPr>
        <w:t>2030/24/3100 - 1118</w:t>
      </w:r>
    </w:p>
    <w:p w14:paraId="01E865E3" w14:textId="7ED476F7" w:rsidR="006565C6" w:rsidRPr="006565C6" w:rsidRDefault="006565C6" w:rsidP="006565C6">
      <w:pPr>
        <w:spacing w:line="221" w:lineRule="auto"/>
        <w:ind w:right="2799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§</w:t>
      </w:r>
      <w:r w:rsidRPr="006565C6">
        <w:rPr>
          <w:color w:val="FF0000"/>
          <w:sz w:val="22"/>
          <w:szCs w:val="22"/>
          <w:lang w:val="sr-Latn-RS"/>
        </w:rPr>
        <w:t>▲</w:t>
      </w:r>
      <w:r w:rsidRPr="006565C6">
        <w:rPr>
          <w:sz w:val="22"/>
          <w:szCs w:val="22"/>
          <w:lang w:val="sr-Latn-RS"/>
        </w:rPr>
        <w:t xml:space="preserve"> </w:t>
      </w:r>
      <w:proofErr w:type="spellStart"/>
      <w:r w:rsidRPr="006565C6">
        <w:rPr>
          <w:sz w:val="22"/>
          <w:szCs w:val="22"/>
          <w:lang w:val="sr-Latn-RS"/>
        </w:rPr>
        <w:t>Palexia</w:t>
      </w:r>
      <w:proofErr w:type="spellEnd"/>
      <w:r w:rsidRPr="006565C6">
        <w:rPr>
          <w:sz w:val="22"/>
          <w:szCs w:val="22"/>
          <w:lang w:val="sr-Latn-RS"/>
        </w:rPr>
        <w:t xml:space="preserve">, 20 mg/ml, oralni rastvor, boca, </w:t>
      </w:r>
      <w:proofErr w:type="spellStart"/>
      <w:r w:rsidRPr="006565C6">
        <w:rPr>
          <w:sz w:val="22"/>
          <w:szCs w:val="22"/>
          <w:lang w:val="sr-Latn-RS"/>
        </w:rPr>
        <w:t>1x200</w:t>
      </w:r>
      <w:proofErr w:type="spellEnd"/>
      <w:r w:rsidRPr="006565C6">
        <w:rPr>
          <w:sz w:val="22"/>
          <w:szCs w:val="22"/>
          <w:lang w:val="sr-Latn-RS"/>
        </w:rPr>
        <w:t xml:space="preserve"> ml:</w:t>
      </w:r>
    </w:p>
    <w:p w14:paraId="37E4DC17" w14:textId="638CC8DA" w:rsidR="006565C6" w:rsidRPr="006565C6" w:rsidRDefault="006565C6" w:rsidP="006565C6">
      <w:pPr>
        <w:spacing w:line="221" w:lineRule="auto"/>
        <w:ind w:right="2799"/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 w:eastAsia="sr-Latn-ME"/>
        </w:rPr>
        <w:t>2030/24/3101 - 1119</w:t>
      </w:r>
    </w:p>
    <w:p w14:paraId="3233DE65" w14:textId="77777777" w:rsidR="006565C6" w:rsidRPr="006565C6" w:rsidRDefault="006565C6" w:rsidP="00B60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DA36ED9" w14:textId="1ABECBA1" w:rsidR="00F45F77" w:rsidRPr="006565C6" w:rsidRDefault="00F45F77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DA" w14:textId="2AEC311B" w:rsidR="0072020E" w:rsidRPr="006565C6" w:rsidRDefault="0072020E" w:rsidP="00B60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9.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Pr="006565C6">
        <w:rPr>
          <w:b/>
          <w:bCs/>
          <w:sz w:val="22"/>
          <w:szCs w:val="22"/>
          <w:lang w:val="sr-Latn-RS"/>
        </w:rPr>
        <w:t xml:space="preserve">DATUM </w:t>
      </w:r>
      <w:r w:rsidR="00C05DF8" w:rsidRPr="006565C6">
        <w:rPr>
          <w:b/>
          <w:bCs/>
          <w:sz w:val="22"/>
          <w:szCs w:val="22"/>
          <w:lang w:val="sr-Latn-RS"/>
        </w:rPr>
        <w:t xml:space="preserve">PRVE </w:t>
      </w:r>
      <w:r w:rsidR="008A6D43" w:rsidRPr="006565C6">
        <w:rPr>
          <w:b/>
          <w:bCs/>
          <w:sz w:val="22"/>
          <w:szCs w:val="22"/>
          <w:lang w:val="sr-Latn-RS"/>
        </w:rPr>
        <w:t>DOZVOLE</w:t>
      </w:r>
      <w:r w:rsidR="00C05DF8" w:rsidRPr="006565C6">
        <w:rPr>
          <w:b/>
          <w:bCs/>
          <w:sz w:val="22"/>
          <w:szCs w:val="22"/>
          <w:lang w:val="sr-Latn-RS"/>
        </w:rPr>
        <w:t>/OBNOVE DOZVOLE</w:t>
      </w:r>
      <w:r w:rsidR="008A6D43" w:rsidRPr="006565C6">
        <w:rPr>
          <w:b/>
          <w:bCs/>
          <w:sz w:val="22"/>
          <w:szCs w:val="22"/>
          <w:lang w:val="sr-Latn-RS"/>
        </w:rPr>
        <w:t xml:space="preserve"> ZA STAVLJANJE </w:t>
      </w:r>
      <w:proofErr w:type="spellStart"/>
      <w:r w:rsidR="008A6D43" w:rsidRPr="006565C6">
        <w:rPr>
          <w:b/>
          <w:bCs/>
          <w:sz w:val="22"/>
          <w:szCs w:val="22"/>
          <w:lang w:val="sr-Latn-RS"/>
        </w:rPr>
        <w:t>LIJEKA</w:t>
      </w:r>
      <w:proofErr w:type="spellEnd"/>
      <w:r w:rsidR="008A6D43" w:rsidRPr="006565C6">
        <w:rPr>
          <w:b/>
          <w:bCs/>
          <w:sz w:val="22"/>
          <w:szCs w:val="22"/>
          <w:lang w:val="sr-Latn-RS"/>
        </w:rPr>
        <w:t xml:space="preserve"> U PROMET</w:t>
      </w:r>
    </w:p>
    <w:p w14:paraId="42249221" w14:textId="0A58BA39" w:rsidR="006565C6" w:rsidRPr="006565C6" w:rsidRDefault="006565C6" w:rsidP="00B60F5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8ECC7CB" w14:textId="2333D65F" w:rsidR="006565C6" w:rsidRPr="006565C6" w:rsidRDefault="006565C6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6565C6">
        <w:rPr>
          <w:bCs/>
          <w:sz w:val="22"/>
          <w:szCs w:val="22"/>
          <w:lang w:val="sr-Latn-RS"/>
        </w:rPr>
        <w:t>10.06.2024. godine</w:t>
      </w:r>
    </w:p>
    <w:p w14:paraId="6DA36EDB" w14:textId="3DB1C070" w:rsidR="0072020E" w:rsidRDefault="0072020E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DC" w14:textId="2D3DCEEC" w:rsidR="00836B35" w:rsidRPr="006565C6" w:rsidRDefault="00836B35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DD" w14:textId="77777777" w:rsidR="003F6A59" w:rsidRPr="006565C6" w:rsidRDefault="0072020E" w:rsidP="00B60F5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6565C6">
        <w:rPr>
          <w:b/>
          <w:bCs/>
          <w:sz w:val="22"/>
          <w:szCs w:val="22"/>
          <w:lang w:val="sr-Latn-RS"/>
        </w:rPr>
        <w:t xml:space="preserve">10. </w:t>
      </w:r>
      <w:r w:rsidR="00480FB1" w:rsidRPr="006565C6">
        <w:rPr>
          <w:b/>
          <w:bCs/>
          <w:sz w:val="22"/>
          <w:szCs w:val="22"/>
          <w:lang w:val="sr-Latn-RS"/>
        </w:rPr>
        <w:tab/>
      </w:r>
      <w:r w:rsidR="002846DB" w:rsidRPr="006565C6">
        <w:rPr>
          <w:b/>
          <w:bCs/>
          <w:sz w:val="22"/>
          <w:szCs w:val="22"/>
          <w:lang w:val="sr-Latn-RS"/>
        </w:rPr>
        <w:t>D</w:t>
      </w:r>
      <w:r w:rsidR="00EC2532" w:rsidRPr="006565C6">
        <w:rPr>
          <w:b/>
          <w:bCs/>
          <w:sz w:val="22"/>
          <w:szCs w:val="22"/>
          <w:lang w:val="sr-Latn-RS"/>
        </w:rPr>
        <w:t xml:space="preserve">ATUM REVIZIJE TEKSTA </w:t>
      </w:r>
    </w:p>
    <w:p w14:paraId="6DA36EDE" w14:textId="77777777" w:rsidR="003F6A59" w:rsidRPr="006565C6" w:rsidRDefault="003F6A59" w:rsidP="00B60F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DA36EE6" w14:textId="1BF1858E" w:rsidR="003F6A59" w:rsidRPr="006565C6" w:rsidRDefault="006565C6" w:rsidP="00B60F5E">
      <w:pPr>
        <w:jc w:val="both"/>
        <w:rPr>
          <w:sz w:val="22"/>
          <w:szCs w:val="22"/>
          <w:lang w:val="sr-Latn-RS"/>
        </w:rPr>
      </w:pPr>
      <w:r w:rsidRPr="006565C6">
        <w:rPr>
          <w:sz w:val="22"/>
          <w:szCs w:val="22"/>
          <w:lang w:val="sr-Latn-RS"/>
        </w:rPr>
        <w:t>Jun</w:t>
      </w:r>
      <w:r w:rsidR="00326B50" w:rsidRPr="006565C6">
        <w:rPr>
          <w:sz w:val="22"/>
          <w:szCs w:val="22"/>
          <w:lang w:val="sr-Latn-RS"/>
        </w:rPr>
        <w:t>, 2024.</w:t>
      </w:r>
      <w:r w:rsidR="005D4AF3">
        <w:rPr>
          <w:sz w:val="22"/>
          <w:szCs w:val="22"/>
          <w:lang w:val="sr-Latn-RS"/>
        </w:rPr>
        <w:t xml:space="preserve"> godine</w:t>
      </w:r>
      <w:bookmarkStart w:id="0" w:name="_GoBack"/>
      <w:bookmarkEnd w:id="0"/>
    </w:p>
    <w:sectPr w:rsidR="003F6A59" w:rsidRPr="006565C6" w:rsidSect="006565C6">
      <w:footerReference w:type="default" r:id="rId15"/>
      <w:pgSz w:w="11909" w:h="16834" w:code="9"/>
      <w:pgMar w:top="1134" w:right="1419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FC73C" w14:textId="77777777" w:rsidR="0020229F" w:rsidRDefault="0020229F">
      <w:r>
        <w:separator/>
      </w:r>
    </w:p>
  </w:endnote>
  <w:endnote w:type="continuationSeparator" w:id="0">
    <w:p w14:paraId="49231B79" w14:textId="77777777" w:rsidR="0020229F" w:rsidRDefault="0020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36EEF" w14:textId="4769C4DD" w:rsidR="00316A5B" w:rsidRPr="00B23F69" w:rsidRDefault="00316A5B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D4AF3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D4AF3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28D62" w14:textId="77777777" w:rsidR="0020229F" w:rsidRDefault="0020229F">
      <w:r>
        <w:separator/>
      </w:r>
    </w:p>
  </w:footnote>
  <w:footnote w:type="continuationSeparator" w:id="0">
    <w:p w14:paraId="5367103F" w14:textId="77777777" w:rsidR="0020229F" w:rsidRDefault="0020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4E1999"/>
    <w:multiLevelType w:val="hybridMultilevel"/>
    <w:tmpl w:val="799CB4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F5BF5"/>
    <w:multiLevelType w:val="hybridMultilevel"/>
    <w:tmpl w:val="225A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6A13"/>
    <w:rsid w:val="000176CA"/>
    <w:rsid w:val="00021F43"/>
    <w:rsid w:val="00033469"/>
    <w:rsid w:val="00036FA0"/>
    <w:rsid w:val="0003793F"/>
    <w:rsid w:val="00045130"/>
    <w:rsid w:val="00056C6E"/>
    <w:rsid w:val="00057E35"/>
    <w:rsid w:val="000607B1"/>
    <w:rsid w:val="00067D1C"/>
    <w:rsid w:val="00075E28"/>
    <w:rsid w:val="00076726"/>
    <w:rsid w:val="00080303"/>
    <w:rsid w:val="000819DC"/>
    <w:rsid w:val="00083D02"/>
    <w:rsid w:val="000852B7"/>
    <w:rsid w:val="0009284A"/>
    <w:rsid w:val="00097DD2"/>
    <w:rsid w:val="000A3F58"/>
    <w:rsid w:val="000A5187"/>
    <w:rsid w:val="000C00D9"/>
    <w:rsid w:val="000D2343"/>
    <w:rsid w:val="000D3449"/>
    <w:rsid w:val="000D425A"/>
    <w:rsid w:val="000D60A4"/>
    <w:rsid w:val="000D60CC"/>
    <w:rsid w:val="000E1F7E"/>
    <w:rsid w:val="000E2084"/>
    <w:rsid w:val="000E2DAB"/>
    <w:rsid w:val="000E6F55"/>
    <w:rsid w:val="000F6264"/>
    <w:rsid w:val="000F77FA"/>
    <w:rsid w:val="0010240D"/>
    <w:rsid w:val="00103480"/>
    <w:rsid w:val="00107BF7"/>
    <w:rsid w:val="00126F53"/>
    <w:rsid w:val="0014766D"/>
    <w:rsid w:val="00147AD5"/>
    <w:rsid w:val="001529B6"/>
    <w:rsid w:val="001536CC"/>
    <w:rsid w:val="00173674"/>
    <w:rsid w:val="00175C6F"/>
    <w:rsid w:val="00195C74"/>
    <w:rsid w:val="001A3FBA"/>
    <w:rsid w:val="001A5518"/>
    <w:rsid w:val="001B1C6A"/>
    <w:rsid w:val="001B417D"/>
    <w:rsid w:val="001C1263"/>
    <w:rsid w:val="001C1417"/>
    <w:rsid w:val="001C1504"/>
    <w:rsid w:val="001E390B"/>
    <w:rsid w:val="001F42FB"/>
    <w:rsid w:val="001F719A"/>
    <w:rsid w:val="0020229F"/>
    <w:rsid w:val="002031B3"/>
    <w:rsid w:val="0020381D"/>
    <w:rsid w:val="00215931"/>
    <w:rsid w:val="0021703A"/>
    <w:rsid w:val="002214B3"/>
    <w:rsid w:val="002227AC"/>
    <w:rsid w:val="00224C91"/>
    <w:rsid w:val="00226D8A"/>
    <w:rsid w:val="00227BDB"/>
    <w:rsid w:val="00234CB1"/>
    <w:rsid w:val="002352F8"/>
    <w:rsid w:val="002455BB"/>
    <w:rsid w:val="002510A5"/>
    <w:rsid w:val="00254A0A"/>
    <w:rsid w:val="00266046"/>
    <w:rsid w:val="00267D32"/>
    <w:rsid w:val="002846DB"/>
    <w:rsid w:val="00284CCD"/>
    <w:rsid w:val="00293A14"/>
    <w:rsid w:val="002955D9"/>
    <w:rsid w:val="002C6637"/>
    <w:rsid w:val="002C700D"/>
    <w:rsid w:val="002D549F"/>
    <w:rsid w:val="002E0135"/>
    <w:rsid w:val="002E37A5"/>
    <w:rsid w:val="002F0A02"/>
    <w:rsid w:val="003022B2"/>
    <w:rsid w:val="00310F03"/>
    <w:rsid w:val="00316A5B"/>
    <w:rsid w:val="003247D2"/>
    <w:rsid w:val="00326B50"/>
    <w:rsid w:val="003445C1"/>
    <w:rsid w:val="0035102E"/>
    <w:rsid w:val="00355B61"/>
    <w:rsid w:val="00360CB6"/>
    <w:rsid w:val="00362686"/>
    <w:rsid w:val="003679DA"/>
    <w:rsid w:val="00371510"/>
    <w:rsid w:val="00375AC7"/>
    <w:rsid w:val="00396DFD"/>
    <w:rsid w:val="003A1483"/>
    <w:rsid w:val="003A7059"/>
    <w:rsid w:val="003B7A36"/>
    <w:rsid w:val="003C17AB"/>
    <w:rsid w:val="003C3AFB"/>
    <w:rsid w:val="003C3E2A"/>
    <w:rsid w:val="003C7823"/>
    <w:rsid w:val="003E1DCC"/>
    <w:rsid w:val="003F11A1"/>
    <w:rsid w:val="003F6A59"/>
    <w:rsid w:val="003F6A74"/>
    <w:rsid w:val="004065C8"/>
    <w:rsid w:val="004109FA"/>
    <w:rsid w:val="00411B4B"/>
    <w:rsid w:val="00415BEE"/>
    <w:rsid w:val="00424CD0"/>
    <w:rsid w:val="004254E9"/>
    <w:rsid w:val="00427F85"/>
    <w:rsid w:val="004313F5"/>
    <w:rsid w:val="00435A5D"/>
    <w:rsid w:val="00436F42"/>
    <w:rsid w:val="004378B4"/>
    <w:rsid w:val="00437F6B"/>
    <w:rsid w:val="004432A0"/>
    <w:rsid w:val="00451314"/>
    <w:rsid w:val="004514B9"/>
    <w:rsid w:val="00452E9D"/>
    <w:rsid w:val="004534C7"/>
    <w:rsid w:val="004635CF"/>
    <w:rsid w:val="004671AA"/>
    <w:rsid w:val="00471DF8"/>
    <w:rsid w:val="00480BD8"/>
    <w:rsid w:val="00480FB1"/>
    <w:rsid w:val="00483928"/>
    <w:rsid w:val="004C2FE1"/>
    <w:rsid w:val="004C331F"/>
    <w:rsid w:val="004C5635"/>
    <w:rsid w:val="004D6103"/>
    <w:rsid w:val="004E3BCE"/>
    <w:rsid w:val="004E70AD"/>
    <w:rsid w:val="004F0E97"/>
    <w:rsid w:val="004F17E2"/>
    <w:rsid w:val="00500B6C"/>
    <w:rsid w:val="00501DD1"/>
    <w:rsid w:val="00515C21"/>
    <w:rsid w:val="00522460"/>
    <w:rsid w:val="00530BD7"/>
    <w:rsid w:val="005369BC"/>
    <w:rsid w:val="00545CD2"/>
    <w:rsid w:val="0054632C"/>
    <w:rsid w:val="005476F3"/>
    <w:rsid w:val="00557985"/>
    <w:rsid w:val="00565FD1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0331"/>
    <w:rsid w:val="005D4AF3"/>
    <w:rsid w:val="005E2E0B"/>
    <w:rsid w:val="005E67AD"/>
    <w:rsid w:val="005E7A7D"/>
    <w:rsid w:val="00602457"/>
    <w:rsid w:val="006162E9"/>
    <w:rsid w:val="00616A92"/>
    <w:rsid w:val="0062477F"/>
    <w:rsid w:val="00625DAA"/>
    <w:rsid w:val="006423EE"/>
    <w:rsid w:val="00644FC3"/>
    <w:rsid w:val="00646BD1"/>
    <w:rsid w:val="006561C2"/>
    <w:rsid w:val="006565C6"/>
    <w:rsid w:val="00671CB3"/>
    <w:rsid w:val="00674BAF"/>
    <w:rsid w:val="006821DF"/>
    <w:rsid w:val="00682200"/>
    <w:rsid w:val="00692BF6"/>
    <w:rsid w:val="006A1351"/>
    <w:rsid w:val="006A1497"/>
    <w:rsid w:val="006B0BD1"/>
    <w:rsid w:val="006B5404"/>
    <w:rsid w:val="006C2ABA"/>
    <w:rsid w:val="006D20A5"/>
    <w:rsid w:val="006D37BF"/>
    <w:rsid w:val="006D5933"/>
    <w:rsid w:val="006F724C"/>
    <w:rsid w:val="0070288E"/>
    <w:rsid w:val="00702E22"/>
    <w:rsid w:val="00710319"/>
    <w:rsid w:val="0072020E"/>
    <w:rsid w:val="00720473"/>
    <w:rsid w:val="00735315"/>
    <w:rsid w:val="00742703"/>
    <w:rsid w:val="00754902"/>
    <w:rsid w:val="00786071"/>
    <w:rsid w:val="0079188C"/>
    <w:rsid w:val="007A2272"/>
    <w:rsid w:val="007A3ECB"/>
    <w:rsid w:val="007D7BB3"/>
    <w:rsid w:val="007E31E9"/>
    <w:rsid w:val="00801669"/>
    <w:rsid w:val="00805A35"/>
    <w:rsid w:val="00824AB9"/>
    <w:rsid w:val="00825968"/>
    <w:rsid w:val="00835139"/>
    <w:rsid w:val="00836B35"/>
    <w:rsid w:val="00843BDE"/>
    <w:rsid w:val="00857714"/>
    <w:rsid w:val="008713AF"/>
    <w:rsid w:val="00875368"/>
    <w:rsid w:val="0087588C"/>
    <w:rsid w:val="00880EA1"/>
    <w:rsid w:val="00890767"/>
    <w:rsid w:val="008927F3"/>
    <w:rsid w:val="0089705C"/>
    <w:rsid w:val="008A6D43"/>
    <w:rsid w:val="008B491E"/>
    <w:rsid w:val="008B495D"/>
    <w:rsid w:val="008C1A28"/>
    <w:rsid w:val="008C2E98"/>
    <w:rsid w:val="008D7D26"/>
    <w:rsid w:val="008E49BD"/>
    <w:rsid w:val="008E53E9"/>
    <w:rsid w:val="008E5771"/>
    <w:rsid w:val="008F4ACF"/>
    <w:rsid w:val="008F695A"/>
    <w:rsid w:val="00904257"/>
    <w:rsid w:val="0090672F"/>
    <w:rsid w:val="00920128"/>
    <w:rsid w:val="00924166"/>
    <w:rsid w:val="00924600"/>
    <w:rsid w:val="00937ADA"/>
    <w:rsid w:val="00940592"/>
    <w:rsid w:val="00940B9B"/>
    <w:rsid w:val="00953573"/>
    <w:rsid w:val="0095676E"/>
    <w:rsid w:val="00956983"/>
    <w:rsid w:val="009615D7"/>
    <w:rsid w:val="00961B55"/>
    <w:rsid w:val="00963CF0"/>
    <w:rsid w:val="00964BB1"/>
    <w:rsid w:val="009717C3"/>
    <w:rsid w:val="00972F4E"/>
    <w:rsid w:val="009775D9"/>
    <w:rsid w:val="00992F33"/>
    <w:rsid w:val="00997175"/>
    <w:rsid w:val="009A1847"/>
    <w:rsid w:val="009A24C9"/>
    <w:rsid w:val="009B062A"/>
    <w:rsid w:val="009B78B3"/>
    <w:rsid w:val="009D41DC"/>
    <w:rsid w:val="009E2979"/>
    <w:rsid w:val="009E7C6F"/>
    <w:rsid w:val="009F1793"/>
    <w:rsid w:val="009F2D23"/>
    <w:rsid w:val="00A01A0F"/>
    <w:rsid w:val="00A01D69"/>
    <w:rsid w:val="00A02335"/>
    <w:rsid w:val="00A026C3"/>
    <w:rsid w:val="00A0389F"/>
    <w:rsid w:val="00A041A9"/>
    <w:rsid w:val="00A273F2"/>
    <w:rsid w:val="00A46C9A"/>
    <w:rsid w:val="00A619F3"/>
    <w:rsid w:val="00A62A73"/>
    <w:rsid w:val="00A63EBB"/>
    <w:rsid w:val="00A7762F"/>
    <w:rsid w:val="00A84E93"/>
    <w:rsid w:val="00A85A16"/>
    <w:rsid w:val="00A87FF6"/>
    <w:rsid w:val="00A90B44"/>
    <w:rsid w:val="00A97468"/>
    <w:rsid w:val="00AA0A3B"/>
    <w:rsid w:val="00AA2677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13D78"/>
    <w:rsid w:val="00B208DB"/>
    <w:rsid w:val="00B229DB"/>
    <w:rsid w:val="00B23F69"/>
    <w:rsid w:val="00B60619"/>
    <w:rsid w:val="00B60F5E"/>
    <w:rsid w:val="00B66A70"/>
    <w:rsid w:val="00B67366"/>
    <w:rsid w:val="00B7174D"/>
    <w:rsid w:val="00B80EE1"/>
    <w:rsid w:val="00B81D07"/>
    <w:rsid w:val="00B84135"/>
    <w:rsid w:val="00BA1CD5"/>
    <w:rsid w:val="00BB4379"/>
    <w:rsid w:val="00BB7F9D"/>
    <w:rsid w:val="00BD2530"/>
    <w:rsid w:val="00BE358D"/>
    <w:rsid w:val="00BF2037"/>
    <w:rsid w:val="00BF7193"/>
    <w:rsid w:val="00BF78BD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6B6D"/>
    <w:rsid w:val="00C6707E"/>
    <w:rsid w:val="00C70B0E"/>
    <w:rsid w:val="00C73C45"/>
    <w:rsid w:val="00C773CA"/>
    <w:rsid w:val="00C83785"/>
    <w:rsid w:val="00C900A2"/>
    <w:rsid w:val="00C94C0D"/>
    <w:rsid w:val="00CA1FEB"/>
    <w:rsid w:val="00CD4F25"/>
    <w:rsid w:val="00CD4F85"/>
    <w:rsid w:val="00CD6F02"/>
    <w:rsid w:val="00CE246D"/>
    <w:rsid w:val="00CE546B"/>
    <w:rsid w:val="00CF07A0"/>
    <w:rsid w:val="00CF3E03"/>
    <w:rsid w:val="00D0082A"/>
    <w:rsid w:val="00D10504"/>
    <w:rsid w:val="00D205D4"/>
    <w:rsid w:val="00D21455"/>
    <w:rsid w:val="00D342BE"/>
    <w:rsid w:val="00D37E99"/>
    <w:rsid w:val="00D407FE"/>
    <w:rsid w:val="00D43673"/>
    <w:rsid w:val="00D47634"/>
    <w:rsid w:val="00D53FD6"/>
    <w:rsid w:val="00D602C9"/>
    <w:rsid w:val="00D655E7"/>
    <w:rsid w:val="00D709B3"/>
    <w:rsid w:val="00D74CD2"/>
    <w:rsid w:val="00D851EC"/>
    <w:rsid w:val="00D979FF"/>
    <w:rsid w:val="00DA2ED6"/>
    <w:rsid w:val="00DB1834"/>
    <w:rsid w:val="00DB1D55"/>
    <w:rsid w:val="00DB76B8"/>
    <w:rsid w:val="00DC2526"/>
    <w:rsid w:val="00DC2EA1"/>
    <w:rsid w:val="00DD6AAF"/>
    <w:rsid w:val="00DE3F5C"/>
    <w:rsid w:val="00DE66A3"/>
    <w:rsid w:val="00DF1D20"/>
    <w:rsid w:val="00E01731"/>
    <w:rsid w:val="00E21324"/>
    <w:rsid w:val="00E246B9"/>
    <w:rsid w:val="00E24DD7"/>
    <w:rsid w:val="00E25B2C"/>
    <w:rsid w:val="00E31FEA"/>
    <w:rsid w:val="00E3485A"/>
    <w:rsid w:val="00E4037B"/>
    <w:rsid w:val="00E435BE"/>
    <w:rsid w:val="00E45169"/>
    <w:rsid w:val="00E47787"/>
    <w:rsid w:val="00E51C30"/>
    <w:rsid w:val="00E64180"/>
    <w:rsid w:val="00E65C22"/>
    <w:rsid w:val="00E7235D"/>
    <w:rsid w:val="00E74AEE"/>
    <w:rsid w:val="00E8049E"/>
    <w:rsid w:val="00E868E5"/>
    <w:rsid w:val="00E9237A"/>
    <w:rsid w:val="00E939FA"/>
    <w:rsid w:val="00EA2E5F"/>
    <w:rsid w:val="00EA5765"/>
    <w:rsid w:val="00EC2532"/>
    <w:rsid w:val="00EC3985"/>
    <w:rsid w:val="00ED5137"/>
    <w:rsid w:val="00ED7812"/>
    <w:rsid w:val="00EF3B86"/>
    <w:rsid w:val="00EF6FD6"/>
    <w:rsid w:val="00F07E26"/>
    <w:rsid w:val="00F317E9"/>
    <w:rsid w:val="00F34554"/>
    <w:rsid w:val="00F35B68"/>
    <w:rsid w:val="00F45F77"/>
    <w:rsid w:val="00F5167F"/>
    <w:rsid w:val="00F52258"/>
    <w:rsid w:val="00F80119"/>
    <w:rsid w:val="00F822AF"/>
    <w:rsid w:val="00F8570A"/>
    <w:rsid w:val="00F85F2C"/>
    <w:rsid w:val="00F90351"/>
    <w:rsid w:val="00F91C7B"/>
    <w:rsid w:val="00FD1935"/>
    <w:rsid w:val="00FE22A2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36E71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Default">
    <w:name w:val="Default"/>
    <w:rsid w:val="001C150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D979F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205D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205D4"/>
  </w:style>
  <w:style w:type="character" w:customStyle="1" w:styleId="eop">
    <w:name w:val="eop"/>
    <w:basedOn w:val="DefaultParagraphFont"/>
    <w:rsid w:val="00D205D4"/>
  </w:style>
  <w:style w:type="paragraph" w:styleId="Revision">
    <w:name w:val="Revision"/>
    <w:hidden/>
    <w:uiPriority w:val="99"/>
    <w:semiHidden/>
    <w:rsid w:val="00293A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F0F6-2195-4411-ADA4-2052CF302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ED27-0241-478E-96F4-861B9574C1C1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A0C23ABB-CCD8-4134-A4BD-09B9C235B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B373C-830A-441C-9E0F-0C7F2FC1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15</Pages>
  <Words>6428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42983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57</cp:revision>
  <cp:lastPrinted>2023-02-09T08:16:00Z</cp:lastPrinted>
  <dcterms:created xsi:type="dcterms:W3CDTF">2024-05-23T06:19:00Z</dcterms:created>
  <dcterms:modified xsi:type="dcterms:W3CDTF">2024-06-12T10:00:00Z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0x01010000CEC0C4CFFCC54BA0CD6CC845158AA8</vt:lpwstr>
  </property>
</Properties>
</file>