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552AB1" w14:textId="77777777" w:rsidR="006941F5" w:rsidRPr="00B41EE8" w:rsidRDefault="006941F5" w:rsidP="00923865">
      <w:pPr>
        <w:rPr>
          <w:lang w:val="sr-Latn-RS"/>
        </w:rPr>
      </w:pPr>
    </w:p>
    <w:p w14:paraId="3353AEE1" w14:textId="77777777" w:rsidR="006941F5" w:rsidRPr="006941F5" w:rsidRDefault="006941F5" w:rsidP="00923865">
      <w:pPr>
        <w:jc w:val="center"/>
        <w:rPr>
          <w:b/>
          <w:bCs/>
          <w:iCs/>
          <w:szCs w:val="22"/>
          <w:u w:val="single"/>
          <w:lang w:val="pl-PL"/>
        </w:rPr>
      </w:pPr>
      <w:r w:rsidRPr="006941F5">
        <w:rPr>
          <w:b/>
          <w:bCs/>
          <w:iCs/>
          <w:szCs w:val="22"/>
          <w:u w:val="single"/>
          <w:lang w:val="pl-PL"/>
        </w:rPr>
        <w:t>SAŽETAK KARAKTERISTIKA L</w:t>
      </w:r>
      <w:r w:rsidR="00422278">
        <w:rPr>
          <w:b/>
          <w:bCs/>
          <w:iCs/>
          <w:szCs w:val="22"/>
          <w:u w:val="single"/>
          <w:lang w:val="pl-PL"/>
        </w:rPr>
        <w:t>IJ</w:t>
      </w:r>
      <w:r w:rsidRPr="006941F5">
        <w:rPr>
          <w:b/>
          <w:bCs/>
          <w:iCs/>
          <w:szCs w:val="22"/>
          <w:u w:val="single"/>
          <w:lang w:val="pl-PL"/>
        </w:rPr>
        <w:t>EKA</w:t>
      </w:r>
    </w:p>
    <w:p w14:paraId="2C68BAC4" w14:textId="77777777" w:rsidR="006941F5" w:rsidRPr="006941F5" w:rsidRDefault="006941F5" w:rsidP="00923865">
      <w:pPr>
        <w:rPr>
          <w:szCs w:val="22"/>
          <w:lang w:val="pl-PL"/>
        </w:rPr>
      </w:pPr>
      <w:r w:rsidRPr="006941F5">
        <w:rPr>
          <w:szCs w:val="22"/>
          <w:lang w:val="pl-PL"/>
        </w:rPr>
        <w:t xml:space="preserve"> </w:t>
      </w:r>
    </w:p>
    <w:p w14:paraId="48D1C08D" w14:textId="77777777" w:rsidR="006941F5" w:rsidRPr="006941F5" w:rsidRDefault="006941F5" w:rsidP="00923865">
      <w:pPr>
        <w:rPr>
          <w:szCs w:val="22"/>
          <w:lang w:val="pl-PL"/>
        </w:rPr>
      </w:pPr>
    </w:p>
    <w:p w14:paraId="31D4C8C6" w14:textId="77777777" w:rsidR="006941F5" w:rsidRPr="006941F5" w:rsidRDefault="006941F5" w:rsidP="00C018CA">
      <w:pPr>
        <w:rPr>
          <w:lang w:val="pl-PL"/>
        </w:rPr>
      </w:pPr>
    </w:p>
    <w:p w14:paraId="4B272ED1" w14:textId="77777777" w:rsidR="006941F5" w:rsidRPr="00652B33" w:rsidRDefault="006941F5" w:rsidP="00950794">
      <w:pPr>
        <w:pStyle w:val="NASLOV123"/>
        <w:jc w:val="both"/>
        <w:rPr>
          <w:lang w:val="sr-Latn-CS"/>
        </w:rPr>
      </w:pPr>
      <w:r w:rsidRPr="006941F5">
        <w:rPr>
          <w:lang w:val="pl-PL"/>
        </w:rPr>
        <w:t xml:space="preserve">1. </w:t>
      </w:r>
      <w:r w:rsidR="00422278">
        <w:rPr>
          <w:lang w:val="pl-PL"/>
        </w:rPr>
        <w:t>NAZIV</w:t>
      </w:r>
      <w:r w:rsidRPr="006941F5">
        <w:rPr>
          <w:lang w:val="pl-PL"/>
        </w:rPr>
        <w:t xml:space="preserve"> L</w:t>
      </w:r>
      <w:r w:rsidR="00422278">
        <w:rPr>
          <w:lang w:val="pl-PL"/>
        </w:rPr>
        <w:t>IJ</w:t>
      </w:r>
      <w:r w:rsidRPr="006941F5">
        <w:rPr>
          <w:lang w:val="pl-PL"/>
        </w:rPr>
        <w:t>EKA</w:t>
      </w:r>
    </w:p>
    <w:p w14:paraId="393BEE6E" w14:textId="524F7A88" w:rsidR="006941F5" w:rsidRPr="00652B33" w:rsidRDefault="006941F5">
      <w:pPr>
        <w:rPr>
          <w:bCs/>
          <w:szCs w:val="22"/>
          <w:lang w:val="sr-Latn-CS"/>
        </w:rPr>
      </w:pPr>
      <w:r w:rsidRPr="00652B33">
        <w:rPr>
          <w:szCs w:val="22"/>
          <w:lang w:val="sl-SI"/>
        </w:rPr>
        <w:t>OHB12, 2 500</w:t>
      </w:r>
      <w:r>
        <w:rPr>
          <w:szCs w:val="22"/>
          <w:lang w:val="sl-SI"/>
        </w:rPr>
        <w:t xml:space="preserve"> </w:t>
      </w:r>
      <w:r w:rsidRPr="00652B33">
        <w:rPr>
          <w:szCs w:val="22"/>
          <w:lang w:val="sl-SI"/>
        </w:rPr>
        <w:t>mikrograma/2 m</w:t>
      </w:r>
      <w:r w:rsidR="00422278">
        <w:rPr>
          <w:szCs w:val="22"/>
          <w:lang w:val="sl-SI"/>
        </w:rPr>
        <w:t>l</w:t>
      </w:r>
      <w:r w:rsidRPr="00652B33">
        <w:rPr>
          <w:szCs w:val="22"/>
          <w:lang w:val="sl-SI"/>
        </w:rPr>
        <w:t>, rastvor za injekciju</w:t>
      </w:r>
      <w:r w:rsidRPr="00652B33">
        <w:rPr>
          <w:bCs/>
          <w:szCs w:val="22"/>
          <w:lang w:val="sr-Latn-CS"/>
        </w:rPr>
        <w:t xml:space="preserve"> </w:t>
      </w:r>
    </w:p>
    <w:p w14:paraId="4B36B805" w14:textId="72EB6931" w:rsidR="006941F5" w:rsidRDefault="006941F5">
      <w:pPr>
        <w:spacing w:before="120"/>
        <w:rPr>
          <w:szCs w:val="22"/>
          <w:lang w:val="sl-SI"/>
        </w:rPr>
      </w:pPr>
      <w:r w:rsidRPr="006941F5">
        <w:rPr>
          <w:szCs w:val="22"/>
          <w:lang w:val="sv-SE"/>
        </w:rPr>
        <w:t xml:space="preserve">INN: </w:t>
      </w:r>
      <w:r w:rsidRPr="00652B33">
        <w:rPr>
          <w:szCs w:val="22"/>
          <w:lang w:val="sl-SI"/>
        </w:rPr>
        <w:t>hidroksokobalamin</w:t>
      </w:r>
    </w:p>
    <w:p w14:paraId="4C2F69E5" w14:textId="77777777" w:rsidR="00537943" w:rsidRPr="006941F5" w:rsidRDefault="00537943">
      <w:pPr>
        <w:spacing w:before="120"/>
        <w:rPr>
          <w:szCs w:val="22"/>
          <w:lang w:val="sv-SE"/>
        </w:rPr>
      </w:pPr>
    </w:p>
    <w:p w14:paraId="0D3E6B4A" w14:textId="77777777" w:rsidR="006941F5" w:rsidRPr="006941F5" w:rsidRDefault="006941F5" w:rsidP="00950794">
      <w:pPr>
        <w:pStyle w:val="NASLOV123"/>
        <w:jc w:val="both"/>
        <w:rPr>
          <w:lang w:val="sv-SE"/>
        </w:rPr>
      </w:pPr>
      <w:r w:rsidRPr="006941F5">
        <w:rPr>
          <w:lang w:val="sv-SE"/>
        </w:rPr>
        <w:t>2. KVALITATIVNI I KVANTITATIVNI SASTAV</w:t>
      </w:r>
    </w:p>
    <w:p w14:paraId="2EA6B6B2" w14:textId="77777777" w:rsidR="006941F5" w:rsidRPr="00652B33" w:rsidRDefault="00422278">
      <w:pPr>
        <w:pStyle w:val="Header"/>
        <w:tabs>
          <w:tab w:val="clear" w:pos="4536"/>
          <w:tab w:val="clear" w:pos="9072"/>
          <w:tab w:val="left" w:pos="284"/>
        </w:tabs>
        <w:rPr>
          <w:szCs w:val="22"/>
          <w:lang w:val="sr-Latn-CS"/>
        </w:rPr>
      </w:pPr>
      <w:r>
        <w:rPr>
          <w:szCs w:val="22"/>
          <w:lang w:val="sr-Latn-CS"/>
        </w:rPr>
        <w:t>2 ml</w:t>
      </w:r>
      <w:r w:rsidR="00DC3CF3">
        <w:rPr>
          <w:szCs w:val="22"/>
          <w:lang w:val="sr-Latn-CS"/>
        </w:rPr>
        <w:t xml:space="preserve"> </w:t>
      </w:r>
      <w:r w:rsidR="006941F5" w:rsidRPr="00652B33">
        <w:rPr>
          <w:szCs w:val="22"/>
          <w:lang w:val="sr-Latn-CS"/>
        </w:rPr>
        <w:t>rastvora za injekciju sadrži 2500 mikrograma hidroksokobalamina, u obliku hidroksokobalamin</w:t>
      </w:r>
      <w:r>
        <w:rPr>
          <w:szCs w:val="22"/>
          <w:lang w:val="sr-Latn-CS"/>
        </w:rPr>
        <w:t xml:space="preserve"> </w:t>
      </w:r>
      <w:r w:rsidR="006941F5" w:rsidRPr="00652B33">
        <w:rPr>
          <w:szCs w:val="22"/>
          <w:lang w:val="sr-Latn-CS"/>
        </w:rPr>
        <w:t>acetata.</w:t>
      </w:r>
    </w:p>
    <w:p w14:paraId="4CBBA913" w14:textId="77777777" w:rsidR="006941F5" w:rsidRPr="00652B33" w:rsidRDefault="006941F5" w:rsidP="00950794">
      <w:pPr>
        <w:pStyle w:val="Header"/>
        <w:tabs>
          <w:tab w:val="clear" w:pos="4536"/>
          <w:tab w:val="clear" w:pos="9072"/>
          <w:tab w:val="left" w:pos="284"/>
        </w:tabs>
        <w:spacing w:before="120"/>
        <w:rPr>
          <w:szCs w:val="22"/>
          <w:lang w:val="sr-Latn-CS"/>
        </w:rPr>
      </w:pPr>
      <w:r w:rsidRPr="00652B33">
        <w:rPr>
          <w:szCs w:val="22"/>
          <w:lang w:val="sr-Latn-CS"/>
        </w:rPr>
        <w:t>L</w:t>
      </w:r>
      <w:r w:rsidR="00422278">
        <w:rPr>
          <w:szCs w:val="22"/>
          <w:lang w:val="sr-Latn-CS"/>
        </w:rPr>
        <w:t>ij</w:t>
      </w:r>
      <w:r w:rsidRPr="00652B33">
        <w:rPr>
          <w:szCs w:val="22"/>
          <w:lang w:val="sr-Latn-CS"/>
        </w:rPr>
        <w:t>ek OHB12 sadrži pomoćne supstance sa potvrđenim dejstvom: metilparahidroksibenzoat (E218) i propilparahidroksibenzoat (E216).</w:t>
      </w:r>
    </w:p>
    <w:p w14:paraId="565212A5" w14:textId="77777777" w:rsidR="00EB0A01" w:rsidRDefault="00EB0A01" w:rsidP="00950794">
      <w:pPr>
        <w:tabs>
          <w:tab w:val="clear" w:pos="284"/>
        </w:tabs>
        <w:rPr>
          <w:szCs w:val="22"/>
          <w:lang w:val="sr-Latn-CS"/>
        </w:rPr>
      </w:pPr>
    </w:p>
    <w:p w14:paraId="25A22E7E" w14:textId="7CDFA82C" w:rsidR="00EB0A01" w:rsidRDefault="00EB0A01" w:rsidP="00950794">
      <w:pPr>
        <w:tabs>
          <w:tab w:val="clear" w:pos="284"/>
        </w:tabs>
        <w:rPr>
          <w:szCs w:val="22"/>
          <w:lang w:val="sr-Latn-CS"/>
        </w:rPr>
      </w:pPr>
      <w:r w:rsidRPr="00EB0A01">
        <w:rPr>
          <w:szCs w:val="22"/>
          <w:lang w:val="sr-Latn-CS"/>
        </w:rPr>
        <w:t>Za spisak svih ekscipijenasa, pogledati dio 6.1.</w:t>
      </w:r>
    </w:p>
    <w:p w14:paraId="2B438896" w14:textId="77777777" w:rsidR="00537943" w:rsidRPr="00EB0A01" w:rsidRDefault="00537943" w:rsidP="00EB0A01">
      <w:pPr>
        <w:tabs>
          <w:tab w:val="clear" w:pos="284"/>
        </w:tabs>
        <w:jc w:val="left"/>
        <w:rPr>
          <w:szCs w:val="22"/>
          <w:lang w:val="sr-Latn-CS"/>
        </w:rPr>
      </w:pPr>
    </w:p>
    <w:p w14:paraId="59DE567D" w14:textId="77777777" w:rsidR="006941F5" w:rsidRPr="00537943" w:rsidRDefault="006941F5" w:rsidP="00950794">
      <w:pPr>
        <w:pStyle w:val="NASLOV123"/>
        <w:jc w:val="both"/>
        <w:rPr>
          <w:lang w:val="pl-PL"/>
        </w:rPr>
      </w:pPr>
      <w:r w:rsidRPr="006941F5">
        <w:rPr>
          <w:lang w:val="pl-PL"/>
        </w:rPr>
        <w:t>3</w:t>
      </w:r>
      <w:r w:rsidRPr="00537943">
        <w:rPr>
          <w:lang w:val="pl-PL"/>
        </w:rPr>
        <w:t>. FARMACEUTSKI OBLIK</w:t>
      </w:r>
    </w:p>
    <w:p w14:paraId="41A8D486" w14:textId="77777777" w:rsidR="006941F5" w:rsidRPr="00537943" w:rsidRDefault="006941F5" w:rsidP="00950794">
      <w:pPr>
        <w:pStyle w:val="Header"/>
        <w:tabs>
          <w:tab w:val="clear" w:pos="4536"/>
          <w:tab w:val="clear" w:pos="9072"/>
          <w:tab w:val="left" w:pos="284"/>
        </w:tabs>
        <w:rPr>
          <w:szCs w:val="22"/>
          <w:lang w:val="pl-PL"/>
        </w:rPr>
      </w:pPr>
      <w:r w:rsidRPr="00537943">
        <w:rPr>
          <w:szCs w:val="22"/>
          <w:lang w:val="pl-PL"/>
        </w:rPr>
        <w:t>Rastvor za injekciju.</w:t>
      </w:r>
    </w:p>
    <w:p w14:paraId="04EDEDBA" w14:textId="313F649A" w:rsidR="006941F5" w:rsidRPr="00950794" w:rsidRDefault="006941F5" w:rsidP="00B3394B">
      <w:pPr>
        <w:rPr>
          <w:szCs w:val="22"/>
          <w:lang w:val="pl-PL"/>
        </w:rPr>
      </w:pPr>
      <w:r w:rsidRPr="00950794">
        <w:rPr>
          <w:szCs w:val="22"/>
          <w:lang w:val="pl-PL"/>
        </w:rPr>
        <w:t>Bistar rastvor crvene boje.</w:t>
      </w:r>
    </w:p>
    <w:p w14:paraId="68033917" w14:textId="589141CD" w:rsidR="00537943" w:rsidRDefault="00537943" w:rsidP="00B3394B">
      <w:pPr>
        <w:rPr>
          <w:szCs w:val="22"/>
          <w:lang w:val="pl-PL"/>
        </w:rPr>
      </w:pPr>
    </w:p>
    <w:p w14:paraId="57962DE3" w14:textId="77777777" w:rsidR="00B3394B" w:rsidRPr="006941F5" w:rsidRDefault="00B3394B" w:rsidP="00B3394B">
      <w:pPr>
        <w:rPr>
          <w:szCs w:val="22"/>
          <w:lang w:val="pl-PL"/>
        </w:rPr>
      </w:pPr>
    </w:p>
    <w:p w14:paraId="36C5B244" w14:textId="77777777" w:rsidR="006941F5" w:rsidRPr="006941F5" w:rsidRDefault="006941F5" w:rsidP="00950794">
      <w:pPr>
        <w:pStyle w:val="NASLOV123"/>
        <w:spacing w:before="0" w:after="0"/>
        <w:rPr>
          <w:lang w:val="pl-PL"/>
        </w:rPr>
      </w:pPr>
      <w:r w:rsidRPr="006941F5">
        <w:rPr>
          <w:lang w:val="pl-PL"/>
        </w:rPr>
        <w:t>4. KLINIČKI PODACI</w:t>
      </w:r>
    </w:p>
    <w:p w14:paraId="5954AF4C" w14:textId="77777777" w:rsidR="006941F5" w:rsidRPr="006941F5" w:rsidRDefault="006941F5" w:rsidP="00B3394B">
      <w:pPr>
        <w:spacing w:before="240" w:after="240"/>
        <w:rPr>
          <w:b/>
          <w:bCs/>
          <w:szCs w:val="22"/>
          <w:lang w:val="pl-PL"/>
        </w:rPr>
      </w:pPr>
      <w:r w:rsidRPr="006941F5">
        <w:rPr>
          <w:b/>
          <w:bCs/>
          <w:szCs w:val="22"/>
          <w:lang w:val="pl-PL"/>
        </w:rPr>
        <w:t>4.1. Terapijske indikacije</w:t>
      </w:r>
    </w:p>
    <w:p w14:paraId="20D5D339" w14:textId="77777777" w:rsidR="006941F5" w:rsidRPr="00652B33" w:rsidRDefault="006941F5" w:rsidP="00950794">
      <w:pPr>
        <w:numPr>
          <w:ilvl w:val="0"/>
          <w:numId w:val="4"/>
        </w:numPr>
        <w:tabs>
          <w:tab w:val="clear" w:pos="284"/>
        </w:tabs>
        <w:spacing w:before="120"/>
        <w:ind w:left="714" w:hanging="357"/>
        <w:rPr>
          <w:szCs w:val="22"/>
          <w:lang w:val="sl-SI"/>
        </w:rPr>
      </w:pPr>
      <w:r w:rsidRPr="00652B33">
        <w:rPr>
          <w:szCs w:val="22"/>
          <w:lang w:val="sl-SI"/>
        </w:rPr>
        <w:t>Perniciozna anemija,</w:t>
      </w:r>
    </w:p>
    <w:p w14:paraId="4614F8AA" w14:textId="77777777" w:rsidR="006941F5" w:rsidRPr="00652B33" w:rsidRDefault="00FD61B6" w:rsidP="00950794">
      <w:pPr>
        <w:numPr>
          <w:ilvl w:val="0"/>
          <w:numId w:val="4"/>
        </w:numPr>
        <w:tabs>
          <w:tab w:val="clear" w:pos="284"/>
        </w:tabs>
        <w:rPr>
          <w:szCs w:val="22"/>
          <w:lang w:val="sl-SI"/>
        </w:rPr>
      </w:pPr>
      <w:r>
        <w:rPr>
          <w:szCs w:val="22"/>
          <w:lang w:val="sl-SI"/>
        </w:rPr>
        <w:t>P</w:t>
      </w:r>
      <w:r w:rsidR="006941F5" w:rsidRPr="00652B33">
        <w:rPr>
          <w:szCs w:val="22"/>
          <w:lang w:val="sl-SI"/>
        </w:rPr>
        <w:t>rofilaksa i l</w:t>
      </w:r>
      <w:r w:rsidR="00422278">
        <w:rPr>
          <w:szCs w:val="22"/>
          <w:lang w:val="sl-SI"/>
        </w:rPr>
        <w:t>ij</w:t>
      </w:r>
      <w:r w:rsidR="006941F5" w:rsidRPr="00652B33">
        <w:rPr>
          <w:szCs w:val="22"/>
          <w:lang w:val="sl-SI"/>
        </w:rPr>
        <w:t>ečenje drugih makrocitnih anemija usl</w:t>
      </w:r>
      <w:r w:rsidR="00422278">
        <w:rPr>
          <w:szCs w:val="22"/>
          <w:lang w:val="sl-SI"/>
        </w:rPr>
        <w:t>j</w:t>
      </w:r>
      <w:r w:rsidR="006941F5" w:rsidRPr="00652B33">
        <w:rPr>
          <w:szCs w:val="22"/>
          <w:lang w:val="sl-SI"/>
        </w:rPr>
        <w:t>ed nedostatka vitamina B12,</w:t>
      </w:r>
    </w:p>
    <w:p w14:paraId="2D946C1F" w14:textId="77777777" w:rsidR="006941F5" w:rsidRPr="00652B33" w:rsidRDefault="00FD61B6" w:rsidP="00950794">
      <w:pPr>
        <w:numPr>
          <w:ilvl w:val="0"/>
          <w:numId w:val="4"/>
        </w:numPr>
        <w:tabs>
          <w:tab w:val="clear" w:pos="284"/>
        </w:tabs>
        <w:rPr>
          <w:szCs w:val="22"/>
          <w:lang w:val="sl-SI"/>
        </w:rPr>
      </w:pPr>
      <w:r>
        <w:rPr>
          <w:szCs w:val="22"/>
          <w:lang w:val="sl-SI"/>
        </w:rPr>
        <w:t>P</w:t>
      </w:r>
      <w:r w:rsidR="006941F5" w:rsidRPr="00652B33">
        <w:rPr>
          <w:szCs w:val="22"/>
          <w:lang w:val="sl-SI"/>
        </w:rPr>
        <w:t>ušačka ambliopija i Leberova optička atrofija.</w:t>
      </w:r>
    </w:p>
    <w:p w14:paraId="3204BD5A" w14:textId="77777777" w:rsidR="006941F5" w:rsidRPr="00FD61B6" w:rsidRDefault="006941F5" w:rsidP="00B3394B">
      <w:pPr>
        <w:spacing w:before="240" w:after="240"/>
        <w:rPr>
          <w:b/>
          <w:bCs/>
          <w:noProof/>
          <w:szCs w:val="22"/>
          <w:lang w:val="fr-FR"/>
        </w:rPr>
      </w:pPr>
      <w:r w:rsidRPr="00FD61B6">
        <w:rPr>
          <w:b/>
          <w:bCs/>
          <w:noProof/>
          <w:szCs w:val="22"/>
          <w:lang w:val="fr-FR"/>
        </w:rPr>
        <w:t>4.2. Doziranje i način prim</w:t>
      </w:r>
      <w:r w:rsidR="00422278">
        <w:rPr>
          <w:b/>
          <w:bCs/>
          <w:noProof/>
          <w:szCs w:val="22"/>
          <w:lang w:val="fr-FR"/>
        </w:rPr>
        <w:t>j</w:t>
      </w:r>
      <w:r w:rsidRPr="00FD61B6">
        <w:rPr>
          <w:b/>
          <w:bCs/>
          <w:noProof/>
          <w:szCs w:val="22"/>
          <w:lang w:val="fr-FR"/>
        </w:rPr>
        <w:t>ene</w:t>
      </w:r>
    </w:p>
    <w:p w14:paraId="7AE0E23C" w14:textId="4AAD3A3E" w:rsidR="006941F5" w:rsidRDefault="006941F5" w:rsidP="00B3394B">
      <w:pPr>
        <w:spacing w:before="120"/>
        <w:rPr>
          <w:i/>
          <w:szCs w:val="22"/>
          <w:u w:val="single"/>
          <w:lang w:val="sl-SI"/>
        </w:rPr>
      </w:pPr>
      <w:r w:rsidRPr="00950794">
        <w:rPr>
          <w:i/>
          <w:szCs w:val="22"/>
          <w:u w:val="single"/>
          <w:lang w:val="sl-SI"/>
        </w:rPr>
        <w:t>Odrasli i d</w:t>
      </w:r>
      <w:r w:rsidR="00422278" w:rsidRPr="00950794">
        <w:rPr>
          <w:i/>
          <w:szCs w:val="22"/>
          <w:u w:val="single"/>
          <w:lang w:val="sl-SI"/>
        </w:rPr>
        <w:t>j</w:t>
      </w:r>
      <w:r w:rsidRPr="00950794">
        <w:rPr>
          <w:i/>
          <w:szCs w:val="22"/>
          <w:u w:val="single"/>
          <w:lang w:val="sl-SI"/>
        </w:rPr>
        <w:t>eca</w:t>
      </w:r>
    </w:p>
    <w:p w14:paraId="72A029C6" w14:textId="77777777" w:rsidR="00B3394B" w:rsidRPr="00950794" w:rsidRDefault="00B3394B" w:rsidP="00B3394B">
      <w:pPr>
        <w:spacing w:before="120"/>
        <w:rPr>
          <w:i/>
          <w:szCs w:val="22"/>
          <w:u w:val="single"/>
          <w:lang w:val="sl-SI"/>
        </w:rPr>
      </w:pPr>
    </w:p>
    <w:p w14:paraId="20540F03" w14:textId="77777777" w:rsidR="006941F5" w:rsidRPr="00652B33" w:rsidRDefault="006941F5">
      <w:pPr>
        <w:rPr>
          <w:szCs w:val="22"/>
          <w:lang w:val="sl-SI"/>
        </w:rPr>
      </w:pPr>
      <w:r w:rsidRPr="00652B33">
        <w:rPr>
          <w:i/>
          <w:szCs w:val="22"/>
          <w:lang w:val="sl-SI"/>
        </w:rPr>
        <w:t>Perniciozna anemija i druge makrocitne anemije bez neuroloških komplikacija:</w:t>
      </w:r>
    </w:p>
    <w:p w14:paraId="53D09944" w14:textId="77777777" w:rsidR="006941F5" w:rsidRPr="00652B33" w:rsidRDefault="006941F5">
      <w:pPr>
        <w:rPr>
          <w:szCs w:val="22"/>
          <w:lang w:val="sl-SI"/>
        </w:rPr>
      </w:pPr>
      <w:r w:rsidRPr="00652B33">
        <w:rPr>
          <w:szCs w:val="22"/>
          <w:lang w:val="sl-SI"/>
        </w:rPr>
        <w:t>Početna doza: 250 mikrograma - 1 mg intramuskularno, svakog drugog dana tokom 1 ili 2 ned</w:t>
      </w:r>
      <w:r w:rsidR="00422278">
        <w:rPr>
          <w:szCs w:val="22"/>
          <w:lang w:val="sl-SI"/>
        </w:rPr>
        <w:t>j</w:t>
      </w:r>
      <w:r w:rsidRPr="00652B33">
        <w:rPr>
          <w:szCs w:val="22"/>
          <w:lang w:val="sl-SI"/>
        </w:rPr>
        <w:t xml:space="preserve">elje, a zatim </w:t>
      </w:r>
      <w:r w:rsidR="0085565C">
        <w:rPr>
          <w:szCs w:val="22"/>
          <w:lang w:val="sl-SI"/>
        </w:rPr>
        <w:t xml:space="preserve">doza od </w:t>
      </w:r>
      <w:r w:rsidRPr="006841EF">
        <w:rPr>
          <w:szCs w:val="22"/>
          <w:lang w:val="sl-SI"/>
        </w:rPr>
        <w:t>250 mikrograma ned</w:t>
      </w:r>
      <w:r w:rsidR="00422278">
        <w:rPr>
          <w:szCs w:val="22"/>
          <w:lang w:val="sl-SI"/>
        </w:rPr>
        <w:t>j</w:t>
      </w:r>
      <w:r w:rsidRPr="006841EF">
        <w:rPr>
          <w:szCs w:val="22"/>
          <w:lang w:val="sl-SI"/>
        </w:rPr>
        <w:t>eljno do normalizacije krvne slike.</w:t>
      </w:r>
      <w:r w:rsidRPr="00652B33">
        <w:rPr>
          <w:szCs w:val="22"/>
          <w:lang w:val="sl-SI"/>
        </w:rPr>
        <w:t xml:space="preserve"> </w:t>
      </w:r>
    </w:p>
    <w:p w14:paraId="0494A1DE" w14:textId="77777777" w:rsidR="006941F5" w:rsidRPr="00652B33" w:rsidRDefault="006941F5">
      <w:pPr>
        <w:rPr>
          <w:szCs w:val="22"/>
          <w:lang w:val="sl-SI"/>
        </w:rPr>
      </w:pPr>
      <w:r w:rsidRPr="00652B33">
        <w:rPr>
          <w:szCs w:val="22"/>
          <w:lang w:val="sl-SI"/>
        </w:rPr>
        <w:t>Doza održavanja: 1 mg na svaka 2 ili 3 m</w:t>
      </w:r>
      <w:r w:rsidR="00422278">
        <w:rPr>
          <w:szCs w:val="22"/>
          <w:lang w:val="sl-SI"/>
        </w:rPr>
        <w:t>j</w:t>
      </w:r>
      <w:r w:rsidRPr="00652B33">
        <w:rPr>
          <w:szCs w:val="22"/>
          <w:lang w:val="sl-SI"/>
        </w:rPr>
        <w:t xml:space="preserve">eseca. </w:t>
      </w:r>
    </w:p>
    <w:p w14:paraId="55128528" w14:textId="77777777" w:rsidR="006941F5" w:rsidRPr="00652B33" w:rsidRDefault="006941F5">
      <w:pPr>
        <w:spacing w:before="120"/>
        <w:rPr>
          <w:i/>
          <w:szCs w:val="22"/>
          <w:lang w:val="sl-SI"/>
        </w:rPr>
      </w:pPr>
      <w:r w:rsidRPr="00652B33">
        <w:rPr>
          <w:i/>
          <w:szCs w:val="22"/>
          <w:lang w:val="sl-SI"/>
        </w:rPr>
        <w:t>Perniciozna anemija i druge makrocitne anemije sa neurološkim komplikacijama:</w:t>
      </w:r>
    </w:p>
    <w:p w14:paraId="428B429F" w14:textId="77777777" w:rsidR="006941F5" w:rsidRPr="00652B33" w:rsidRDefault="006941F5">
      <w:pPr>
        <w:rPr>
          <w:szCs w:val="22"/>
          <w:lang w:val="sl-SI"/>
        </w:rPr>
      </w:pPr>
      <w:r w:rsidRPr="00652B33">
        <w:rPr>
          <w:szCs w:val="22"/>
          <w:lang w:val="sl-SI"/>
        </w:rPr>
        <w:t>Početna doza: 1 mg svakog drugog dana, dok se ne postigne poboljšanje.</w:t>
      </w:r>
    </w:p>
    <w:p w14:paraId="7387A799" w14:textId="77777777" w:rsidR="006941F5" w:rsidRPr="00652B33" w:rsidRDefault="006841EF">
      <w:pPr>
        <w:rPr>
          <w:szCs w:val="22"/>
          <w:lang w:val="sl-SI"/>
        </w:rPr>
      </w:pPr>
      <w:r>
        <w:rPr>
          <w:szCs w:val="22"/>
          <w:lang w:val="sl-SI"/>
        </w:rPr>
        <w:t>Doza održavanja: 1 mg</w:t>
      </w:r>
      <w:r w:rsidR="006941F5" w:rsidRPr="00652B33">
        <w:rPr>
          <w:szCs w:val="22"/>
          <w:lang w:val="sl-SI"/>
        </w:rPr>
        <w:t xml:space="preserve"> na svaka 2 m</w:t>
      </w:r>
      <w:r w:rsidR="00422278">
        <w:rPr>
          <w:szCs w:val="22"/>
          <w:lang w:val="sl-SI"/>
        </w:rPr>
        <w:t>j</w:t>
      </w:r>
      <w:r w:rsidR="006941F5" w:rsidRPr="00652B33">
        <w:rPr>
          <w:szCs w:val="22"/>
          <w:lang w:val="sl-SI"/>
        </w:rPr>
        <w:t>eseca.</w:t>
      </w:r>
    </w:p>
    <w:p w14:paraId="3635909E" w14:textId="77777777" w:rsidR="006941F5" w:rsidRPr="00652B33" w:rsidRDefault="006941F5">
      <w:pPr>
        <w:spacing w:before="120"/>
        <w:rPr>
          <w:i/>
          <w:szCs w:val="22"/>
          <w:lang w:val="sl-SI"/>
        </w:rPr>
      </w:pPr>
      <w:r w:rsidRPr="00652B33">
        <w:rPr>
          <w:i/>
          <w:szCs w:val="22"/>
          <w:lang w:val="sl-SI"/>
        </w:rPr>
        <w:t>Profilaksa makrocitne anemije usl</w:t>
      </w:r>
      <w:r w:rsidR="00422278">
        <w:rPr>
          <w:i/>
          <w:szCs w:val="22"/>
          <w:lang w:val="sl-SI"/>
        </w:rPr>
        <w:t>j</w:t>
      </w:r>
      <w:r w:rsidRPr="00652B33">
        <w:rPr>
          <w:i/>
          <w:szCs w:val="22"/>
          <w:lang w:val="sl-SI"/>
        </w:rPr>
        <w:t>ed nedostatka vitamina B12 (kao posl</w:t>
      </w:r>
      <w:r w:rsidR="00422278">
        <w:rPr>
          <w:i/>
          <w:szCs w:val="22"/>
          <w:lang w:val="sl-SI"/>
        </w:rPr>
        <w:t>j</w:t>
      </w:r>
      <w:r w:rsidRPr="00652B33">
        <w:rPr>
          <w:i/>
          <w:szCs w:val="22"/>
          <w:lang w:val="sl-SI"/>
        </w:rPr>
        <w:t xml:space="preserve">edice gastrektomije, </w:t>
      </w:r>
      <w:r w:rsidR="00E30AF5">
        <w:rPr>
          <w:i/>
          <w:szCs w:val="22"/>
          <w:lang w:val="sl-SI"/>
        </w:rPr>
        <w:t xml:space="preserve">resekcije ileuma, </w:t>
      </w:r>
      <w:r w:rsidRPr="00652B33">
        <w:rPr>
          <w:i/>
          <w:szCs w:val="22"/>
          <w:lang w:val="sl-SI"/>
        </w:rPr>
        <w:t>nekih malapsorpcionih sindroma ili vegetarijanskog načina ishrane):</w:t>
      </w:r>
    </w:p>
    <w:p w14:paraId="3FF9D6F0" w14:textId="77777777" w:rsidR="006941F5" w:rsidRPr="00652B33" w:rsidRDefault="0085565C">
      <w:pPr>
        <w:rPr>
          <w:szCs w:val="22"/>
          <w:lang w:val="sl-SI"/>
        </w:rPr>
      </w:pPr>
      <w:r>
        <w:rPr>
          <w:szCs w:val="22"/>
          <w:lang w:val="sl-SI"/>
        </w:rPr>
        <w:t xml:space="preserve">Doza od </w:t>
      </w:r>
      <w:r w:rsidR="006941F5" w:rsidRPr="00652B33">
        <w:rPr>
          <w:szCs w:val="22"/>
          <w:lang w:val="sl-SI"/>
        </w:rPr>
        <w:t>1 mg na svaka 2-3 m</w:t>
      </w:r>
      <w:r w:rsidR="00422278">
        <w:rPr>
          <w:szCs w:val="22"/>
          <w:lang w:val="sl-SI"/>
        </w:rPr>
        <w:t>j</w:t>
      </w:r>
      <w:r w:rsidR="006941F5" w:rsidRPr="00652B33">
        <w:rPr>
          <w:szCs w:val="22"/>
          <w:lang w:val="sl-SI"/>
        </w:rPr>
        <w:t>eseca.</w:t>
      </w:r>
    </w:p>
    <w:p w14:paraId="6EB79159" w14:textId="77777777" w:rsidR="006941F5" w:rsidRPr="00652B33" w:rsidRDefault="006941F5">
      <w:pPr>
        <w:spacing w:before="120"/>
        <w:rPr>
          <w:i/>
          <w:szCs w:val="22"/>
          <w:lang w:val="sl-SI"/>
        </w:rPr>
      </w:pPr>
      <w:r w:rsidRPr="00652B33">
        <w:rPr>
          <w:i/>
          <w:szCs w:val="22"/>
          <w:lang w:val="sl-SI"/>
        </w:rPr>
        <w:t>Pušačka ambliopija i Leberova optička atrofija:</w:t>
      </w:r>
    </w:p>
    <w:p w14:paraId="134FED35" w14:textId="77777777" w:rsidR="006941F5" w:rsidRPr="00652B33" w:rsidRDefault="006941F5">
      <w:pPr>
        <w:rPr>
          <w:szCs w:val="22"/>
          <w:lang w:val="sl-SI"/>
        </w:rPr>
      </w:pPr>
      <w:r w:rsidRPr="00652B33">
        <w:rPr>
          <w:szCs w:val="22"/>
          <w:lang w:val="sl-SI"/>
        </w:rPr>
        <w:t>Početna doza: 1 mg dnevno tokom dv</w:t>
      </w:r>
      <w:r w:rsidR="00422278">
        <w:rPr>
          <w:szCs w:val="22"/>
          <w:lang w:val="sl-SI"/>
        </w:rPr>
        <w:t>ij</w:t>
      </w:r>
      <w:r w:rsidRPr="00652B33">
        <w:rPr>
          <w:szCs w:val="22"/>
          <w:lang w:val="sl-SI"/>
        </w:rPr>
        <w:t>e ned</w:t>
      </w:r>
      <w:r w:rsidR="00422278">
        <w:rPr>
          <w:szCs w:val="22"/>
          <w:lang w:val="sl-SI"/>
        </w:rPr>
        <w:t>j</w:t>
      </w:r>
      <w:r w:rsidRPr="00652B33">
        <w:rPr>
          <w:szCs w:val="22"/>
          <w:lang w:val="sl-SI"/>
        </w:rPr>
        <w:t>elje, a zatim 1 mg dva puta ned</w:t>
      </w:r>
      <w:r w:rsidR="00422278">
        <w:rPr>
          <w:szCs w:val="22"/>
          <w:lang w:val="sl-SI"/>
        </w:rPr>
        <w:t>j</w:t>
      </w:r>
      <w:r w:rsidRPr="00652B33">
        <w:rPr>
          <w:szCs w:val="22"/>
          <w:lang w:val="sl-SI"/>
        </w:rPr>
        <w:t xml:space="preserve">eljno, dok se ne postigne poboljšanje. </w:t>
      </w:r>
    </w:p>
    <w:p w14:paraId="7C4BD70D" w14:textId="77777777" w:rsidR="006941F5" w:rsidRDefault="006941F5">
      <w:pPr>
        <w:rPr>
          <w:szCs w:val="22"/>
          <w:lang w:val="sl-SI"/>
        </w:rPr>
      </w:pPr>
      <w:r w:rsidRPr="00652B33">
        <w:rPr>
          <w:szCs w:val="22"/>
          <w:lang w:val="sl-SI"/>
        </w:rPr>
        <w:t>Doza održavanja: 1 mg na svakih m</w:t>
      </w:r>
      <w:r w:rsidR="00422278">
        <w:rPr>
          <w:szCs w:val="22"/>
          <w:lang w:val="sl-SI"/>
        </w:rPr>
        <w:t>j</w:t>
      </w:r>
      <w:r w:rsidRPr="00652B33">
        <w:rPr>
          <w:szCs w:val="22"/>
          <w:lang w:val="sl-SI"/>
        </w:rPr>
        <w:t>esec</w:t>
      </w:r>
      <w:r w:rsidR="00E30AF5">
        <w:rPr>
          <w:szCs w:val="22"/>
          <w:lang w:val="sl-SI"/>
        </w:rPr>
        <w:t xml:space="preserve"> dana</w:t>
      </w:r>
      <w:r w:rsidRPr="00652B33">
        <w:rPr>
          <w:szCs w:val="22"/>
          <w:lang w:val="sl-SI"/>
        </w:rPr>
        <w:t>.</w:t>
      </w:r>
    </w:p>
    <w:p w14:paraId="048614E6" w14:textId="77777777" w:rsidR="00CE54AA" w:rsidRDefault="00CE54AA">
      <w:pPr>
        <w:rPr>
          <w:szCs w:val="22"/>
          <w:lang w:val="sl-SI"/>
        </w:rPr>
      </w:pPr>
    </w:p>
    <w:p w14:paraId="26DC62BE" w14:textId="77777777" w:rsidR="00CE54AA" w:rsidRDefault="00CE54AA">
      <w:pPr>
        <w:rPr>
          <w:szCs w:val="22"/>
          <w:u w:val="single"/>
          <w:lang w:val="sr-Latn-RS"/>
        </w:rPr>
      </w:pPr>
      <w:r w:rsidRPr="00CE54AA">
        <w:rPr>
          <w:szCs w:val="22"/>
          <w:u w:val="single"/>
          <w:lang w:val="sl-SI"/>
        </w:rPr>
        <w:lastRenderedPageBreak/>
        <w:t>Na</w:t>
      </w:r>
      <w:r w:rsidRPr="00CE54AA">
        <w:rPr>
          <w:szCs w:val="22"/>
          <w:u w:val="single"/>
          <w:lang w:val="sr-Latn-RS"/>
        </w:rPr>
        <w:t>čin prim</w:t>
      </w:r>
      <w:r w:rsidR="00422278">
        <w:rPr>
          <w:szCs w:val="22"/>
          <w:u w:val="single"/>
          <w:lang w:val="sr-Latn-RS"/>
        </w:rPr>
        <w:t>j</w:t>
      </w:r>
      <w:r w:rsidRPr="00CE54AA">
        <w:rPr>
          <w:szCs w:val="22"/>
          <w:u w:val="single"/>
          <w:lang w:val="sr-Latn-RS"/>
        </w:rPr>
        <w:t>ene</w:t>
      </w:r>
    </w:p>
    <w:p w14:paraId="6FC4ECC9" w14:textId="03AC6AC6" w:rsidR="00CE54AA" w:rsidRDefault="00CE54AA">
      <w:pPr>
        <w:rPr>
          <w:szCs w:val="22"/>
          <w:lang w:val="sr-Latn-RS"/>
        </w:rPr>
      </w:pPr>
      <w:r>
        <w:rPr>
          <w:szCs w:val="22"/>
          <w:lang w:val="sr-Latn-RS"/>
        </w:rPr>
        <w:t>Intramuskularna upotreba.</w:t>
      </w:r>
    </w:p>
    <w:p w14:paraId="0888DF63" w14:textId="77777777" w:rsidR="00B3394B" w:rsidRPr="00CE54AA" w:rsidRDefault="00B3394B">
      <w:pPr>
        <w:rPr>
          <w:szCs w:val="22"/>
          <w:lang w:val="sr-Latn-RS"/>
        </w:rPr>
      </w:pPr>
    </w:p>
    <w:p w14:paraId="70BCCC15" w14:textId="77777777" w:rsidR="006941F5" w:rsidRPr="006941F5" w:rsidRDefault="006941F5" w:rsidP="00950794">
      <w:pPr>
        <w:rPr>
          <w:b/>
          <w:bCs/>
          <w:szCs w:val="22"/>
          <w:lang w:val="sl-SI"/>
        </w:rPr>
      </w:pPr>
      <w:r w:rsidRPr="006941F5">
        <w:rPr>
          <w:b/>
          <w:bCs/>
          <w:szCs w:val="22"/>
          <w:lang w:val="sl-SI"/>
        </w:rPr>
        <w:t>4.3. Kontraindikacije</w:t>
      </w:r>
    </w:p>
    <w:p w14:paraId="15EE4595" w14:textId="77777777" w:rsidR="006941F5" w:rsidRDefault="006941F5" w:rsidP="00B3394B">
      <w:pPr>
        <w:numPr>
          <w:ilvl w:val="0"/>
          <w:numId w:val="5"/>
        </w:numPr>
        <w:rPr>
          <w:lang w:val="pl-PL"/>
        </w:rPr>
      </w:pPr>
      <w:r w:rsidRPr="006941F5">
        <w:rPr>
          <w:lang w:val="pl-PL"/>
        </w:rPr>
        <w:t>Preos</w:t>
      </w:r>
      <w:r w:rsidR="00422278">
        <w:rPr>
          <w:lang w:val="pl-PL"/>
        </w:rPr>
        <w:t>j</w:t>
      </w:r>
      <w:r w:rsidRPr="006941F5">
        <w:rPr>
          <w:lang w:val="pl-PL"/>
        </w:rPr>
        <w:t xml:space="preserve">etljivost na </w:t>
      </w:r>
      <w:r w:rsidRPr="00652B33">
        <w:rPr>
          <w:szCs w:val="22"/>
          <w:lang w:val="sr-Latn-CS"/>
        </w:rPr>
        <w:t xml:space="preserve">hidroksokobalamin ili </w:t>
      </w:r>
      <w:r w:rsidR="00FE6B90">
        <w:rPr>
          <w:szCs w:val="22"/>
          <w:lang w:val="sr-Latn-CS"/>
        </w:rPr>
        <w:t xml:space="preserve">na </w:t>
      </w:r>
      <w:r w:rsidRPr="006941F5">
        <w:rPr>
          <w:lang w:val="pl-PL"/>
        </w:rPr>
        <w:t xml:space="preserve">bilo koju od pomoćnih supstanci </w:t>
      </w:r>
      <w:r w:rsidR="00FE6B90">
        <w:rPr>
          <w:lang w:val="pl-PL"/>
        </w:rPr>
        <w:t xml:space="preserve">navedenih u </w:t>
      </w:r>
      <w:r w:rsidR="00422278">
        <w:rPr>
          <w:lang w:val="pl-PL"/>
        </w:rPr>
        <w:t>dijelu</w:t>
      </w:r>
      <w:r w:rsidRPr="006941F5">
        <w:rPr>
          <w:lang w:val="pl-PL"/>
        </w:rPr>
        <w:t xml:space="preserve"> 6.1).</w:t>
      </w:r>
    </w:p>
    <w:p w14:paraId="70F013A8" w14:textId="06FBB34B" w:rsidR="00E30AF5" w:rsidRDefault="00E30AF5">
      <w:pPr>
        <w:numPr>
          <w:ilvl w:val="0"/>
          <w:numId w:val="5"/>
        </w:numPr>
        <w:rPr>
          <w:lang w:val="pl-PL"/>
        </w:rPr>
      </w:pPr>
      <w:r>
        <w:rPr>
          <w:lang w:val="pl-PL"/>
        </w:rPr>
        <w:t>Hidroksokobalamin ne treba prim</w:t>
      </w:r>
      <w:r w:rsidR="00422278">
        <w:rPr>
          <w:lang w:val="pl-PL"/>
        </w:rPr>
        <w:t>j</w:t>
      </w:r>
      <w:r>
        <w:rPr>
          <w:lang w:val="pl-PL"/>
        </w:rPr>
        <w:t>enjivati za l</w:t>
      </w:r>
      <w:r w:rsidR="00422278">
        <w:rPr>
          <w:lang w:val="pl-PL"/>
        </w:rPr>
        <w:t>ij</w:t>
      </w:r>
      <w:r>
        <w:rPr>
          <w:lang w:val="pl-PL"/>
        </w:rPr>
        <w:t xml:space="preserve">ečenje megaloblastne anemije u trudnoći, </w:t>
      </w:r>
      <w:bookmarkStart w:id="0" w:name="_Hlk80273734"/>
      <w:r>
        <w:rPr>
          <w:lang w:val="pl-PL"/>
        </w:rPr>
        <w:t>osim ako se ne dokaže deficit vitamina B12</w:t>
      </w:r>
      <w:bookmarkEnd w:id="0"/>
      <w:r>
        <w:rPr>
          <w:lang w:val="pl-PL"/>
        </w:rPr>
        <w:t>.</w:t>
      </w:r>
    </w:p>
    <w:p w14:paraId="0119FE8B" w14:textId="77777777" w:rsidR="00B3394B" w:rsidRPr="006941F5" w:rsidRDefault="00B3394B" w:rsidP="00950794">
      <w:pPr>
        <w:ind w:left="720"/>
        <w:rPr>
          <w:lang w:val="pl-PL"/>
        </w:rPr>
      </w:pPr>
    </w:p>
    <w:p w14:paraId="452F0C84" w14:textId="77777777" w:rsidR="006941F5" w:rsidRPr="006941F5" w:rsidRDefault="006941F5" w:rsidP="00950794">
      <w:pPr>
        <w:rPr>
          <w:b/>
          <w:bCs/>
          <w:szCs w:val="22"/>
          <w:lang w:val="pl-PL"/>
        </w:rPr>
      </w:pPr>
      <w:r w:rsidRPr="006941F5">
        <w:rPr>
          <w:b/>
          <w:bCs/>
          <w:szCs w:val="22"/>
          <w:lang w:val="pl-PL"/>
        </w:rPr>
        <w:t>4.4. Posebna upozorenja i m</w:t>
      </w:r>
      <w:r w:rsidR="00422278">
        <w:rPr>
          <w:b/>
          <w:bCs/>
          <w:szCs w:val="22"/>
          <w:lang w:val="pl-PL"/>
        </w:rPr>
        <w:t>j</w:t>
      </w:r>
      <w:r w:rsidRPr="006941F5">
        <w:rPr>
          <w:b/>
          <w:bCs/>
          <w:szCs w:val="22"/>
          <w:lang w:val="pl-PL"/>
        </w:rPr>
        <w:t>ere opreza pri upotrebi l</w:t>
      </w:r>
      <w:r w:rsidR="00422278">
        <w:rPr>
          <w:b/>
          <w:bCs/>
          <w:szCs w:val="22"/>
          <w:lang w:val="pl-PL"/>
        </w:rPr>
        <w:t>ij</w:t>
      </w:r>
      <w:r w:rsidRPr="006941F5">
        <w:rPr>
          <w:b/>
          <w:bCs/>
          <w:szCs w:val="22"/>
          <w:lang w:val="pl-PL"/>
        </w:rPr>
        <w:t>eka</w:t>
      </w:r>
    </w:p>
    <w:p w14:paraId="390000CA" w14:textId="77777777" w:rsidR="006941F5" w:rsidRPr="00652B33" w:rsidRDefault="003268B3" w:rsidP="00950794">
      <w:pPr>
        <w:pStyle w:val="BodyText"/>
        <w:jc w:val="both"/>
        <w:rPr>
          <w:szCs w:val="22"/>
        </w:rPr>
      </w:pPr>
      <w:r>
        <w:rPr>
          <w:szCs w:val="22"/>
          <w:lang w:val="sr-Latn-CS"/>
        </w:rPr>
        <w:t>Prethodno na</w:t>
      </w:r>
      <w:r w:rsidR="00E30AF5">
        <w:rPr>
          <w:szCs w:val="22"/>
          <w:lang w:val="sr-Latn-CS"/>
        </w:rPr>
        <w:t xml:space="preserve">vedene doze dovoljne su u većini slučajeva, ali se preporučuje </w:t>
      </w:r>
      <w:r w:rsidR="006941F5" w:rsidRPr="00652B33">
        <w:rPr>
          <w:szCs w:val="22"/>
        </w:rPr>
        <w:t xml:space="preserve">redovna kontrola krvne slike. </w:t>
      </w:r>
    </w:p>
    <w:p w14:paraId="502B213F" w14:textId="77777777" w:rsidR="006941F5" w:rsidRPr="00652B33" w:rsidRDefault="006941F5" w:rsidP="00950794">
      <w:pPr>
        <w:pStyle w:val="BodyText"/>
        <w:jc w:val="both"/>
        <w:rPr>
          <w:szCs w:val="22"/>
          <w:lang w:val="sr-Latn-CS"/>
        </w:rPr>
      </w:pPr>
      <w:r w:rsidRPr="00652B33">
        <w:rPr>
          <w:szCs w:val="22"/>
        </w:rPr>
        <w:t>Ako ne dođe do poboljšanja megaloblastne anemije, treba ispitati metabolizam folata.</w:t>
      </w:r>
      <w:r w:rsidRPr="00652B33">
        <w:rPr>
          <w:szCs w:val="22"/>
          <w:lang w:val="sr-Latn-CS"/>
        </w:rPr>
        <w:t xml:space="preserve"> </w:t>
      </w:r>
    </w:p>
    <w:p w14:paraId="21A73BE4" w14:textId="77777777" w:rsidR="00E30AF5" w:rsidRPr="00652B33" w:rsidRDefault="006941F5" w:rsidP="00950794">
      <w:pPr>
        <w:pStyle w:val="BodyText"/>
        <w:jc w:val="both"/>
        <w:rPr>
          <w:bCs/>
          <w:szCs w:val="22"/>
          <w:lang w:val="sr-Cyrl-CS"/>
        </w:rPr>
      </w:pPr>
      <w:r w:rsidRPr="00652B33">
        <w:rPr>
          <w:szCs w:val="22"/>
        </w:rPr>
        <w:t xml:space="preserve">Doze </w:t>
      </w:r>
      <w:r w:rsidRPr="00652B33">
        <w:rPr>
          <w:color w:val="000000"/>
          <w:szCs w:val="22"/>
        </w:rPr>
        <w:t>hidroksokobalamina</w:t>
      </w:r>
      <w:r w:rsidRPr="00652B33">
        <w:rPr>
          <w:szCs w:val="22"/>
        </w:rPr>
        <w:t xml:space="preserve"> veće od 10</w:t>
      </w:r>
      <w:r w:rsidR="006841EF">
        <w:rPr>
          <w:szCs w:val="22"/>
        </w:rPr>
        <w:t xml:space="preserve"> </w:t>
      </w:r>
      <w:r w:rsidRPr="00652B33">
        <w:rPr>
          <w:szCs w:val="22"/>
        </w:rPr>
        <w:t>mikrograma dnevno</w:t>
      </w:r>
      <w:r w:rsidR="00FE4B6C">
        <w:rPr>
          <w:szCs w:val="22"/>
        </w:rPr>
        <w:t>,</w:t>
      </w:r>
      <w:r w:rsidRPr="00652B33">
        <w:rPr>
          <w:szCs w:val="22"/>
        </w:rPr>
        <w:t xml:space="preserve"> mogu da dovedu do hematološkog odgovora kod pacijenata sa nedostatkom folata.</w:t>
      </w:r>
      <w:r w:rsidR="00FE4B6C">
        <w:rPr>
          <w:szCs w:val="22"/>
        </w:rPr>
        <w:t xml:space="preserve"> </w:t>
      </w:r>
      <w:r w:rsidRPr="00652B33">
        <w:rPr>
          <w:szCs w:val="22"/>
        </w:rPr>
        <w:t>Nasumična i prim</w:t>
      </w:r>
      <w:r w:rsidR="00422278">
        <w:rPr>
          <w:szCs w:val="22"/>
        </w:rPr>
        <w:t>j</w:t>
      </w:r>
      <w:r w:rsidRPr="00652B33">
        <w:rPr>
          <w:szCs w:val="22"/>
        </w:rPr>
        <w:t>ena bez praviln</w:t>
      </w:r>
      <w:r w:rsidR="006841EF">
        <w:rPr>
          <w:szCs w:val="22"/>
        </w:rPr>
        <w:t>o postavljene dijagnoze može da maskira tačnu dijagnozu.</w:t>
      </w:r>
      <w:r w:rsidR="00FE4B6C">
        <w:rPr>
          <w:szCs w:val="22"/>
        </w:rPr>
        <w:t xml:space="preserve"> </w:t>
      </w:r>
      <w:r w:rsidR="00E30AF5" w:rsidRPr="00E30AF5">
        <w:rPr>
          <w:bCs/>
          <w:szCs w:val="22"/>
          <w:lang w:val="sr-Latn-RS"/>
        </w:rPr>
        <w:t>Treba redovno kontrolisati hematološki i neurološki status, kako bi se pratila usp</w:t>
      </w:r>
      <w:r w:rsidR="009371A1">
        <w:rPr>
          <w:bCs/>
          <w:szCs w:val="22"/>
          <w:lang w:val="sr-Latn-RS"/>
        </w:rPr>
        <w:t>j</w:t>
      </w:r>
      <w:r w:rsidR="00E30AF5" w:rsidRPr="00E30AF5">
        <w:rPr>
          <w:bCs/>
          <w:szCs w:val="22"/>
          <w:lang w:val="sr-Latn-RS"/>
        </w:rPr>
        <w:t>ešnost terapije</w:t>
      </w:r>
      <w:r w:rsidR="00E30AF5">
        <w:rPr>
          <w:bCs/>
          <w:szCs w:val="22"/>
          <w:lang w:val="sr-Latn-RS"/>
        </w:rPr>
        <w:t>.</w:t>
      </w:r>
    </w:p>
    <w:p w14:paraId="27B150AD" w14:textId="454AEE3B" w:rsidR="00E30AF5" w:rsidRPr="00652B33" w:rsidRDefault="006941F5" w:rsidP="00B3394B">
      <w:pPr>
        <w:pStyle w:val="BodyText"/>
        <w:spacing w:before="120"/>
        <w:jc w:val="both"/>
        <w:rPr>
          <w:bCs/>
          <w:szCs w:val="22"/>
          <w:lang w:val="sr-Latn-CS"/>
        </w:rPr>
      </w:pPr>
      <w:r w:rsidRPr="00652B33">
        <w:rPr>
          <w:bCs/>
          <w:szCs w:val="22"/>
        </w:rPr>
        <w:t>Prijavljeni su slučajevi srčanih aritmija usl</w:t>
      </w:r>
      <w:r w:rsidR="009371A1">
        <w:rPr>
          <w:bCs/>
          <w:szCs w:val="22"/>
        </w:rPr>
        <w:t>j</w:t>
      </w:r>
      <w:r w:rsidRPr="00652B33">
        <w:rPr>
          <w:bCs/>
          <w:szCs w:val="22"/>
        </w:rPr>
        <w:t>ed hipokal</w:t>
      </w:r>
      <w:r w:rsidR="00B3394B">
        <w:rPr>
          <w:bCs/>
          <w:szCs w:val="22"/>
        </w:rPr>
        <w:t>ij</w:t>
      </w:r>
      <w:r w:rsidRPr="00652B33">
        <w:rPr>
          <w:bCs/>
          <w:szCs w:val="22"/>
        </w:rPr>
        <w:t xml:space="preserve">emije na početku terapije hidroksokobalaminom. Zbog toga je u ovom periodu </w:t>
      </w:r>
      <w:r w:rsidRPr="00652B33">
        <w:rPr>
          <w:bCs/>
          <w:szCs w:val="22"/>
          <w:lang w:val="sr-Latn-CS"/>
        </w:rPr>
        <w:t>neophodno</w:t>
      </w:r>
      <w:r w:rsidRPr="00652B33">
        <w:rPr>
          <w:bCs/>
          <w:szCs w:val="22"/>
          <w:lang w:val="sr-Cyrl-CS"/>
        </w:rPr>
        <w:t xml:space="preserve"> kontrolisati koncentraciju kalijuma u serumu.</w:t>
      </w:r>
      <w:r w:rsidR="00FE4B6C">
        <w:rPr>
          <w:bCs/>
          <w:szCs w:val="22"/>
          <w:lang w:val="sr-Latn-RS"/>
        </w:rPr>
        <w:t xml:space="preserve"> </w:t>
      </w:r>
      <w:r w:rsidR="00E30AF5" w:rsidRPr="00E30AF5">
        <w:rPr>
          <w:bCs/>
          <w:szCs w:val="22"/>
          <w:lang w:val="sr-Latn-RS"/>
        </w:rPr>
        <w:t>U toku prvih nekoliko ned</w:t>
      </w:r>
      <w:r w:rsidR="009371A1">
        <w:rPr>
          <w:bCs/>
          <w:szCs w:val="22"/>
          <w:lang w:val="sr-Latn-RS"/>
        </w:rPr>
        <w:t>j</w:t>
      </w:r>
      <w:r w:rsidR="00E30AF5" w:rsidRPr="00E30AF5">
        <w:rPr>
          <w:bCs/>
          <w:szCs w:val="22"/>
          <w:lang w:val="sr-Latn-RS"/>
        </w:rPr>
        <w:t>elja prim</w:t>
      </w:r>
      <w:r w:rsidR="009371A1">
        <w:rPr>
          <w:bCs/>
          <w:szCs w:val="22"/>
          <w:lang w:val="sr-Latn-RS"/>
        </w:rPr>
        <w:t>j</w:t>
      </w:r>
      <w:r w:rsidR="00E30AF5" w:rsidRPr="00E30AF5">
        <w:rPr>
          <w:bCs/>
          <w:szCs w:val="22"/>
          <w:lang w:val="sr-Latn-RS"/>
        </w:rPr>
        <w:t>ene l</w:t>
      </w:r>
      <w:r w:rsidR="009371A1">
        <w:rPr>
          <w:bCs/>
          <w:szCs w:val="22"/>
          <w:lang w:val="sr-Latn-RS"/>
        </w:rPr>
        <w:t>ij</w:t>
      </w:r>
      <w:r w:rsidR="00E30AF5" w:rsidRPr="00E30AF5">
        <w:rPr>
          <w:bCs/>
          <w:szCs w:val="22"/>
          <w:lang w:val="sr-Latn-RS"/>
        </w:rPr>
        <w:t>eka kod megaloblastne anemije, treba kontrolisati broj trombocita, jer može doći do pojave reaktivne trombocitoze.</w:t>
      </w:r>
    </w:p>
    <w:p w14:paraId="5870D530" w14:textId="77777777" w:rsidR="006941F5" w:rsidRPr="00652B33" w:rsidRDefault="006941F5">
      <w:pPr>
        <w:pStyle w:val="Header"/>
        <w:tabs>
          <w:tab w:val="clear" w:pos="4536"/>
          <w:tab w:val="clear" w:pos="9072"/>
          <w:tab w:val="left" w:pos="284"/>
        </w:tabs>
        <w:spacing w:before="120"/>
        <w:rPr>
          <w:lang w:val="sr-Latn-CS"/>
        </w:rPr>
      </w:pPr>
      <w:r w:rsidRPr="00652B33">
        <w:rPr>
          <w:lang w:val="sr-Latn-CS"/>
        </w:rPr>
        <w:t>L</w:t>
      </w:r>
      <w:r w:rsidR="009371A1">
        <w:rPr>
          <w:lang w:val="sr-Latn-CS"/>
        </w:rPr>
        <w:t>ij</w:t>
      </w:r>
      <w:r w:rsidRPr="00652B33">
        <w:rPr>
          <w:lang w:val="sr-Latn-CS"/>
        </w:rPr>
        <w:t>ek</w:t>
      </w:r>
      <w:r w:rsidRPr="006941F5">
        <w:rPr>
          <w:lang w:val="sr-Latn-CS"/>
        </w:rPr>
        <w:t xml:space="preserve"> </w:t>
      </w:r>
      <w:r w:rsidRPr="00652B33">
        <w:rPr>
          <w:lang w:val="sr-Latn-CS"/>
        </w:rPr>
        <w:t>može izazvati alergijske reakcije, čak i odložene, a izuzetno i bronhospazam, jer sadrži pomoćne supstance metilparahidroksibenzoat (E218) i propilparahidroksibenzoat (E216).</w:t>
      </w:r>
    </w:p>
    <w:p w14:paraId="7BAF7231" w14:textId="77777777" w:rsidR="006941F5" w:rsidRPr="006941F5" w:rsidRDefault="006941F5">
      <w:pPr>
        <w:spacing w:before="120"/>
        <w:rPr>
          <w:szCs w:val="22"/>
          <w:lang w:val="pl-PL"/>
        </w:rPr>
      </w:pPr>
      <w:r w:rsidRPr="00652B33">
        <w:rPr>
          <w:szCs w:val="22"/>
          <w:lang w:val="sr-Latn-CS"/>
        </w:rPr>
        <w:t>Ovaj l</w:t>
      </w:r>
      <w:r w:rsidR="009371A1">
        <w:rPr>
          <w:szCs w:val="22"/>
          <w:lang w:val="sr-Latn-CS"/>
        </w:rPr>
        <w:t>ij</w:t>
      </w:r>
      <w:r w:rsidRPr="00652B33">
        <w:rPr>
          <w:szCs w:val="22"/>
          <w:lang w:val="sr-Latn-CS"/>
        </w:rPr>
        <w:t>ek sadrži manje od 1 mmol (23 mg) natrijuma po dozi, tj. suštinski je bez natrijuma.</w:t>
      </w:r>
    </w:p>
    <w:p w14:paraId="14BCC740" w14:textId="77777777" w:rsidR="006941F5" w:rsidRPr="006941F5" w:rsidRDefault="006941F5">
      <w:pPr>
        <w:spacing w:before="240" w:after="240"/>
        <w:rPr>
          <w:b/>
          <w:bCs/>
          <w:szCs w:val="22"/>
          <w:lang w:val="pl-PL"/>
        </w:rPr>
      </w:pPr>
      <w:r w:rsidRPr="006941F5">
        <w:rPr>
          <w:b/>
          <w:bCs/>
          <w:szCs w:val="22"/>
          <w:lang w:val="pl-PL"/>
        </w:rPr>
        <w:t>4.5. Interakcije sa drugim l</w:t>
      </w:r>
      <w:r w:rsidR="009371A1">
        <w:rPr>
          <w:b/>
          <w:bCs/>
          <w:szCs w:val="22"/>
          <w:lang w:val="pl-PL"/>
        </w:rPr>
        <w:t>j</w:t>
      </w:r>
      <w:r w:rsidRPr="006941F5">
        <w:rPr>
          <w:b/>
          <w:bCs/>
          <w:szCs w:val="22"/>
          <w:lang w:val="pl-PL"/>
        </w:rPr>
        <w:t>ekovima i druge vrste interakcija</w:t>
      </w:r>
    </w:p>
    <w:p w14:paraId="2934A90F" w14:textId="77777777" w:rsidR="006941F5" w:rsidRPr="00652B33" w:rsidRDefault="006941F5">
      <w:pPr>
        <w:rPr>
          <w:i/>
          <w:szCs w:val="22"/>
          <w:lang w:val="sl-SI"/>
        </w:rPr>
      </w:pPr>
      <w:r w:rsidRPr="00652B33">
        <w:rPr>
          <w:i/>
          <w:szCs w:val="22"/>
          <w:lang w:val="sl-SI"/>
        </w:rPr>
        <w:t xml:space="preserve">Hloramfenikol </w:t>
      </w:r>
    </w:p>
    <w:p w14:paraId="644670E0" w14:textId="77777777" w:rsidR="006941F5" w:rsidRPr="00652B33" w:rsidRDefault="006941F5">
      <w:pPr>
        <w:rPr>
          <w:i/>
          <w:szCs w:val="22"/>
          <w:lang w:val="sl-SI"/>
        </w:rPr>
      </w:pPr>
      <w:r w:rsidRPr="00652B33">
        <w:rPr>
          <w:szCs w:val="22"/>
          <w:lang w:val="sl-SI"/>
        </w:rPr>
        <w:t>Parenteralno prim</w:t>
      </w:r>
      <w:r w:rsidR="009371A1">
        <w:rPr>
          <w:szCs w:val="22"/>
          <w:lang w:val="sl-SI"/>
        </w:rPr>
        <w:t>ij</w:t>
      </w:r>
      <w:r w:rsidRPr="00652B33">
        <w:rPr>
          <w:szCs w:val="22"/>
          <w:lang w:val="sl-SI"/>
        </w:rPr>
        <w:t xml:space="preserve">enjen hloramfenikol može umanjiti dejstvo </w:t>
      </w:r>
      <w:r w:rsidRPr="00652B33">
        <w:rPr>
          <w:bCs/>
          <w:color w:val="000000"/>
          <w:szCs w:val="22"/>
          <w:lang w:val="sr-Cyrl-CS"/>
        </w:rPr>
        <w:t>hidroks</w:t>
      </w:r>
      <w:r w:rsidRPr="00652B33">
        <w:rPr>
          <w:bCs/>
          <w:color w:val="000000"/>
          <w:szCs w:val="22"/>
          <w:lang w:val="sl-SI"/>
        </w:rPr>
        <w:t>o</w:t>
      </w:r>
      <w:r w:rsidRPr="00652B33">
        <w:rPr>
          <w:bCs/>
          <w:color w:val="000000"/>
          <w:szCs w:val="22"/>
          <w:lang w:val="sr-Cyrl-CS"/>
        </w:rPr>
        <w:t>kobalamin</w:t>
      </w:r>
      <w:r w:rsidRPr="00652B33">
        <w:rPr>
          <w:bCs/>
          <w:color w:val="000000"/>
          <w:szCs w:val="22"/>
          <w:lang w:val="sr-Latn-CS"/>
        </w:rPr>
        <w:t>a kod anemije</w:t>
      </w:r>
      <w:r w:rsidRPr="00652B33">
        <w:rPr>
          <w:bCs/>
          <w:color w:val="000000"/>
          <w:szCs w:val="22"/>
          <w:lang w:val="sr-Cyrl-CS"/>
        </w:rPr>
        <w:t>.</w:t>
      </w:r>
    </w:p>
    <w:p w14:paraId="7D6525B3" w14:textId="77777777" w:rsidR="006941F5" w:rsidRPr="00652B33" w:rsidRDefault="006941F5">
      <w:pPr>
        <w:spacing w:before="120"/>
        <w:rPr>
          <w:szCs w:val="22"/>
          <w:lang w:val="sl-SI"/>
        </w:rPr>
      </w:pPr>
      <w:r w:rsidRPr="00652B33">
        <w:rPr>
          <w:i/>
          <w:szCs w:val="22"/>
          <w:lang w:val="sl-SI"/>
        </w:rPr>
        <w:t>Oralni kontraceptivi</w:t>
      </w:r>
    </w:p>
    <w:p w14:paraId="2C644C8C" w14:textId="77777777" w:rsidR="006941F5" w:rsidRPr="00652B33" w:rsidRDefault="006941F5">
      <w:pPr>
        <w:rPr>
          <w:szCs w:val="22"/>
          <w:lang w:val="sl-SI"/>
        </w:rPr>
      </w:pPr>
      <w:r w:rsidRPr="00652B33">
        <w:rPr>
          <w:szCs w:val="22"/>
          <w:lang w:val="sl-SI"/>
        </w:rPr>
        <w:t xml:space="preserve">Oralni kontraceptivi mogu da smanje koncentraciju </w:t>
      </w:r>
      <w:r w:rsidRPr="00652B33">
        <w:rPr>
          <w:bCs/>
          <w:color w:val="000000"/>
          <w:szCs w:val="22"/>
          <w:lang w:val="sr-Cyrl-CS"/>
        </w:rPr>
        <w:t>hidroks</w:t>
      </w:r>
      <w:r w:rsidRPr="00652B33">
        <w:rPr>
          <w:bCs/>
          <w:color w:val="000000"/>
          <w:szCs w:val="22"/>
          <w:lang w:val="fr-FR"/>
        </w:rPr>
        <w:t>o</w:t>
      </w:r>
      <w:r w:rsidRPr="00652B33">
        <w:rPr>
          <w:bCs/>
          <w:color w:val="000000"/>
          <w:szCs w:val="22"/>
          <w:lang w:val="sr-Cyrl-CS"/>
        </w:rPr>
        <w:t>kobalamina</w:t>
      </w:r>
      <w:r w:rsidRPr="00652B33">
        <w:rPr>
          <w:bCs/>
          <w:szCs w:val="22"/>
          <w:lang w:val="sl-SI"/>
        </w:rPr>
        <w:t xml:space="preserve"> </w:t>
      </w:r>
      <w:r w:rsidRPr="00652B33">
        <w:rPr>
          <w:szCs w:val="22"/>
          <w:lang w:val="sl-SI"/>
        </w:rPr>
        <w:t>u serumu.</w:t>
      </w:r>
    </w:p>
    <w:p w14:paraId="1ED96EE7" w14:textId="77777777" w:rsidR="006941F5" w:rsidRPr="00652B33" w:rsidRDefault="006941F5">
      <w:pPr>
        <w:pStyle w:val="Footer"/>
        <w:spacing w:before="120"/>
        <w:rPr>
          <w:szCs w:val="22"/>
          <w:lang w:val="sl-SI"/>
        </w:rPr>
      </w:pPr>
      <w:r w:rsidRPr="00652B33">
        <w:rPr>
          <w:szCs w:val="22"/>
          <w:lang w:val="sl-SI"/>
        </w:rPr>
        <w:t>Malo je v</w:t>
      </w:r>
      <w:r w:rsidR="009371A1">
        <w:rPr>
          <w:szCs w:val="22"/>
          <w:lang w:val="sl-SI"/>
        </w:rPr>
        <w:t>j</w:t>
      </w:r>
      <w:r w:rsidRPr="00652B33">
        <w:rPr>
          <w:szCs w:val="22"/>
          <w:lang w:val="sl-SI"/>
        </w:rPr>
        <w:t>erovatno da navedene interakcije imaju klinički značaj</w:t>
      </w:r>
      <w:r w:rsidR="006841EF">
        <w:rPr>
          <w:szCs w:val="22"/>
          <w:lang w:val="sl-SI"/>
        </w:rPr>
        <w:t>,</w:t>
      </w:r>
      <w:r w:rsidRPr="00652B33">
        <w:rPr>
          <w:szCs w:val="22"/>
          <w:lang w:val="sl-SI"/>
        </w:rPr>
        <w:t xml:space="preserve"> ali </w:t>
      </w:r>
      <w:r w:rsidR="006841EF" w:rsidRPr="00652B33">
        <w:rPr>
          <w:szCs w:val="22"/>
          <w:lang w:val="sl-SI"/>
        </w:rPr>
        <w:t xml:space="preserve">ih </w:t>
      </w:r>
      <w:r w:rsidRPr="00652B33">
        <w:rPr>
          <w:szCs w:val="22"/>
          <w:lang w:val="sl-SI"/>
        </w:rPr>
        <w:t>treba uzeti u obzir kada se m</w:t>
      </w:r>
      <w:r w:rsidR="009371A1">
        <w:rPr>
          <w:szCs w:val="22"/>
          <w:lang w:val="sl-SI"/>
        </w:rPr>
        <w:t>j</w:t>
      </w:r>
      <w:r w:rsidRPr="00652B33">
        <w:rPr>
          <w:szCs w:val="22"/>
          <w:lang w:val="sl-SI"/>
        </w:rPr>
        <w:t>ere koncentracije u krvi.</w:t>
      </w:r>
    </w:p>
    <w:p w14:paraId="168057CE" w14:textId="30042502" w:rsidR="006941F5" w:rsidRDefault="006941F5" w:rsidP="00950794">
      <w:pPr>
        <w:pStyle w:val="Footer"/>
        <w:rPr>
          <w:lang w:val="sl-SI"/>
        </w:rPr>
      </w:pPr>
      <w:r w:rsidRPr="00652B33">
        <w:rPr>
          <w:lang w:val="sl-SI"/>
        </w:rPr>
        <w:t>Antimetaboliti i većina antibiotika utiču na rezultate dijagnostičkih testova za određivanje vitamina B12 mikrobnim tehnikama.</w:t>
      </w:r>
    </w:p>
    <w:p w14:paraId="2A0C7939" w14:textId="77777777" w:rsidR="00B3394B" w:rsidRPr="006941F5" w:rsidRDefault="00B3394B" w:rsidP="00950794">
      <w:pPr>
        <w:pStyle w:val="Footer"/>
        <w:rPr>
          <w:lang w:val="sl-SI"/>
        </w:rPr>
      </w:pPr>
    </w:p>
    <w:p w14:paraId="54B5430A" w14:textId="77777777" w:rsidR="006941F5" w:rsidRPr="006941F5" w:rsidRDefault="006941F5" w:rsidP="00950794">
      <w:pPr>
        <w:rPr>
          <w:b/>
          <w:bCs/>
          <w:szCs w:val="22"/>
          <w:lang w:val="pl-PL"/>
        </w:rPr>
      </w:pPr>
      <w:r w:rsidRPr="006941F5">
        <w:rPr>
          <w:b/>
          <w:bCs/>
          <w:szCs w:val="22"/>
          <w:lang w:val="pl-PL"/>
        </w:rPr>
        <w:t>4.6. Plodnost, trudnoća i dojenje</w:t>
      </w:r>
    </w:p>
    <w:p w14:paraId="48D9C23B" w14:textId="77777777" w:rsidR="00E30AF5" w:rsidRPr="00E30AF5" w:rsidRDefault="00E30AF5" w:rsidP="00B3394B">
      <w:pPr>
        <w:rPr>
          <w:color w:val="000000"/>
          <w:szCs w:val="22"/>
          <w:u w:val="single"/>
          <w:lang w:val="sl-SI"/>
        </w:rPr>
      </w:pPr>
      <w:r w:rsidRPr="00E30AF5">
        <w:rPr>
          <w:color w:val="000000"/>
          <w:szCs w:val="22"/>
          <w:u w:val="single"/>
          <w:lang w:val="sl-SI"/>
        </w:rPr>
        <w:t xml:space="preserve">Trudnoća </w:t>
      </w:r>
    </w:p>
    <w:p w14:paraId="64FD24FA" w14:textId="77777777" w:rsidR="006941F5" w:rsidRDefault="006941F5">
      <w:pPr>
        <w:rPr>
          <w:szCs w:val="22"/>
          <w:lang w:val="sl-SI"/>
        </w:rPr>
      </w:pPr>
      <w:r w:rsidRPr="00652B33">
        <w:rPr>
          <w:color w:val="000000"/>
          <w:szCs w:val="22"/>
          <w:lang w:val="sl-SI"/>
        </w:rPr>
        <w:t xml:space="preserve">Hidroksokobalamin </w:t>
      </w:r>
      <w:r w:rsidRPr="00652B33">
        <w:rPr>
          <w:szCs w:val="22"/>
          <w:lang w:val="sl-SI"/>
        </w:rPr>
        <w:t xml:space="preserve">ne treba </w:t>
      </w:r>
      <w:r w:rsidR="005F22B7">
        <w:rPr>
          <w:szCs w:val="22"/>
          <w:lang w:val="sl-SI"/>
        </w:rPr>
        <w:t>prim</w:t>
      </w:r>
      <w:r w:rsidR="009371A1">
        <w:rPr>
          <w:szCs w:val="22"/>
          <w:lang w:val="sl-SI"/>
        </w:rPr>
        <w:t>j</w:t>
      </w:r>
      <w:r w:rsidR="005F22B7">
        <w:rPr>
          <w:szCs w:val="22"/>
          <w:lang w:val="sl-SI"/>
        </w:rPr>
        <w:t xml:space="preserve">enjivati u terapiji </w:t>
      </w:r>
      <w:r w:rsidRPr="00652B33">
        <w:rPr>
          <w:szCs w:val="22"/>
          <w:lang w:val="sl-SI"/>
        </w:rPr>
        <w:t>megaloblastne anemije u trudnoći</w:t>
      </w:r>
      <w:r w:rsidR="00E30AF5">
        <w:rPr>
          <w:szCs w:val="22"/>
          <w:lang w:val="sl-SI"/>
        </w:rPr>
        <w:t xml:space="preserve">, </w:t>
      </w:r>
      <w:r w:rsidR="00E30AF5">
        <w:rPr>
          <w:lang w:val="pl-PL"/>
        </w:rPr>
        <w:t>osim ako se ne dokaže deficit vitamina B12</w:t>
      </w:r>
      <w:r w:rsidRPr="00652B33">
        <w:rPr>
          <w:szCs w:val="22"/>
          <w:lang w:val="sl-SI"/>
        </w:rPr>
        <w:t xml:space="preserve">. </w:t>
      </w:r>
    </w:p>
    <w:p w14:paraId="5E8078F7" w14:textId="77777777" w:rsidR="00FE4B6C" w:rsidRDefault="00FE4B6C">
      <w:pPr>
        <w:rPr>
          <w:szCs w:val="22"/>
          <w:lang w:val="sl-SI"/>
        </w:rPr>
      </w:pPr>
    </w:p>
    <w:p w14:paraId="01AD7606" w14:textId="77777777" w:rsidR="00E30AF5" w:rsidRPr="00E30AF5" w:rsidRDefault="00E30AF5">
      <w:pPr>
        <w:rPr>
          <w:szCs w:val="22"/>
          <w:u w:val="single"/>
          <w:lang w:val="sl-SI"/>
        </w:rPr>
      </w:pPr>
      <w:r w:rsidRPr="00E30AF5">
        <w:rPr>
          <w:szCs w:val="22"/>
          <w:u w:val="single"/>
          <w:lang w:val="sl-SI"/>
        </w:rPr>
        <w:t xml:space="preserve">Dojenje </w:t>
      </w:r>
    </w:p>
    <w:p w14:paraId="769572EF" w14:textId="77777777" w:rsidR="006941F5" w:rsidRDefault="006941F5">
      <w:pPr>
        <w:rPr>
          <w:szCs w:val="22"/>
          <w:lang w:val="sl-SI"/>
        </w:rPr>
      </w:pPr>
      <w:r w:rsidRPr="00652B33">
        <w:rPr>
          <w:szCs w:val="22"/>
          <w:lang w:val="sl-SI"/>
        </w:rPr>
        <w:t>Hidroksokobalamin prelazi u ml</w:t>
      </w:r>
      <w:r w:rsidR="009371A1">
        <w:rPr>
          <w:szCs w:val="22"/>
          <w:lang w:val="sl-SI"/>
        </w:rPr>
        <w:t>ij</w:t>
      </w:r>
      <w:r w:rsidRPr="00652B33">
        <w:rPr>
          <w:szCs w:val="22"/>
          <w:lang w:val="sl-SI"/>
        </w:rPr>
        <w:t>eko dojilja, ali je malo v</w:t>
      </w:r>
      <w:r w:rsidR="009371A1">
        <w:rPr>
          <w:szCs w:val="22"/>
          <w:lang w:val="sl-SI"/>
        </w:rPr>
        <w:t>j</w:t>
      </w:r>
      <w:r w:rsidRPr="00652B33">
        <w:rPr>
          <w:szCs w:val="22"/>
          <w:lang w:val="sl-SI"/>
        </w:rPr>
        <w:t>erovatno da može naškoditi odojčetu.</w:t>
      </w:r>
      <w:r w:rsidR="00E30AF5">
        <w:rPr>
          <w:szCs w:val="22"/>
          <w:lang w:val="sl-SI"/>
        </w:rPr>
        <w:t xml:space="preserve"> </w:t>
      </w:r>
      <w:r w:rsidR="00E30AF5" w:rsidRPr="00E30AF5">
        <w:rPr>
          <w:szCs w:val="22"/>
          <w:lang w:val="sl-SI"/>
        </w:rPr>
        <w:t>Može biti od koristi, ako i kod majke i kod odojčeta postoji deficit vitamina B12.</w:t>
      </w:r>
    </w:p>
    <w:p w14:paraId="5E6721DA" w14:textId="77777777" w:rsidR="00FE4B6C" w:rsidRDefault="00FE4B6C">
      <w:pPr>
        <w:rPr>
          <w:szCs w:val="22"/>
          <w:lang w:val="sl-SI"/>
        </w:rPr>
      </w:pPr>
    </w:p>
    <w:p w14:paraId="358A8FAC" w14:textId="77777777" w:rsidR="00E30AF5" w:rsidRPr="00E30AF5" w:rsidRDefault="00E30AF5">
      <w:pPr>
        <w:rPr>
          <w:szCs w:val="22"/>
          <w:u w:val="single"/>
          <w:lang w:val="sl-SI"/>
        </w:rPr>
      </w:pPr>
      <w:r w:rsidRPr="00E30AF5">
        <w:rPr>
          <w:szCs w:val="22"/>
          <w:u w:val="single"/>
          <w:lang w:val="sl-SI"/>
        </w:rPr>
        <w:t>Plodnost</w:t>
      </w:r>
    </w:p>
    <w:p w14:paraId="1FB68D68" w14:textId="7534E7B7" w:rsidR="00E30AF5" w:rsidRDefault="00E30AF5">
      <w:pPr>
        <w:rPr>
          <w:szCs w:val="22"/>
          <w:lang w:val="sl-SI"/>
        </w:rPr>
      </w:pPr>
      <w:r>
        <w:rPr>
          <w:szCs w:val="22"/>
          <w:lang w:val="sl-SI"/>
        </w:rPr>
        <w:t>Nema dostupnih podataka.</w:t>
      </w:r>
    </w:p>
    <w:p w14:paraId="09AA5178" w14:textId="77777777" w:rsidR="00B3394B" w:rsidRPr="00652B33" w:rsidRDefault="00B3394B">
      <w:pPr>
        <w:rPr>
          <w:szCs w:val="22"/>
          <w:lang w:val="sl-SI"/>
        </w:rPr>
      </w:pPr>
    </w:p>
    <w:p w14:paraId="27A76C94" w14:textId="742A05A1" w:rsidR="00B3394B" w:rsidRPr="00950794" w:rsidRDefault="006941F5" w:rsidP="00950794">
      <w:pPr>
        <w:rPr>
          <w:b/>
          <w:bCs/>
          <w:spacing w:val="-8"/>
          <w:szCs w:val="22"/>
          <w:lang w:val="sr-Latn-CS"/>
        </w:rPr>
      </w:pPr>
      <w:r w:rsidRPr="006941F5">
        <w:rPr>
          <w:b/>
          <w:bCs/>
          <w:spacing w:val="-8"/>
          <w:szCs w:val="22"/>
          <w:lang w:val="pl-PL"/>
        </w:rPr>
        <w:t xml:space="preserve">4.7. </w:t>
      </w:r>
      <w:r w:rsidRPr="00652B33">
        <w:rPr>
          <w:b/>
          <w:bCs/>
          <w:spacing w:val="-8"/>
          <w:szCs w:val="22"/>
          <w:lang w:val="sr-Latn-CS"/>
        </w:rPr>
        <w:t>Uticaj l</w:t>
      </w:r>
      <w:r w:rsidR="009371A1">
        <w:rPr>
          <w:b/>
          <w:bCs/>
          <w:spacing w:val="-8"/>
          <w:szCs w:val="22"/>
          <w:lang w:val="sr-Latn-CS"/>
        </w:rPr>
        <w:t>ij</w:t>
      </w:r>
      <w:r w:rsidRPr="00652B33">
        <w:rPr>
          <w:b/>
          <w:bCs/>
          <w:spacing w:val="-8"/>
          <w:szCs w:val="22"/>
          <w:lang w:val="sr-Latn-CS"/>
        </w:rPr>
        <w:t>eka na sposobnost upravljanja vozilima i rukovanja mašinama</w:t>
      </w:r>
    </w:p>
    <w:p w14:paraId="0924D2AF" w14:textId="6E2EEB79" w:rsidR="006941F5" w:rsidRDefault="00E30AF5" w:rsidP="00B3394B">
      <w:pPr>
        <w:rPr>
          <w:szCs w:val="22"/>
          <w:lang w:val="it-IT"/>
        </w:rPr>
      </w:pPr>
      <w:r>
        <w:rPr>
          <w:szCs w:val="22"/>
          <w:lang w:val="it-IT"/>
        </w:rPr>
        <w:t>N</w:t>
      </w:r>
      <w:r w:rsidR="00B32A83">
        <w:rPr>
          <w:szCs w:val="22"/>
          <w:lang w:val="it-IT"/>
        </w:rPr>
        <w:t>ema dostupnih podataka o uticaju ovog l</w:t>
      </w:r>
      <w:r w:rsidR="009371A1">
        <w:rPr>
          <w:szCs w:val="22"/>
          <w:lang w:val="it-IT"/>
        </w:rPr>
        <w:t>ij</w:t>
      </w:r>
      <w:r w:rsidR="00B32A83">
        <w:rPr>
          <w:szCs w:val="22"/>
          <w:lang w:val="it-IT"/>
        </w:rPr>
        <w:t>eka na sposobnost upravljanja vozilima ili rukovanja mašinama</w:t>
      </w:r>
      <w:r>
        <w:rPr>
          <w:szCs w:val="22"/>
          <w:lang w:val="it-IT"/>
        </w:rPr>
        <w:t>.</w:t>
      </w:r>
    </w:p>
    <w:p w14:paraId="190C636A" w14:textId="77777777" w:rsidR="00B3394B" w:rsidRPr="00652B33" w:rsidRDefault="00B3394B" w:rsidP="00B3394B">
      <w:pPr>
        <w:rPr>
          <w:szCs w:val="22"/>
          <w:lang w:val="sl-SI"/>
        </w:rPr>
      </w:pPr>
    </w:p>
    <w:p w14:paraId="64B33433" w14:textId="77777777" w:rsidR="006941F5" w:rsidRPr="006941F5" w:rsidRDefault="006941F5" w:rsidP="00950794">
      <w:pPr>
        <w:rPr>
          <w:b/>
          <w:bCs/>
          <w:szCs w:val="22"/>
          <w:lang w:val="it-IT"/>
        </w:rPr>
      </w:pPr>
      <w:r w:rsidRPr="006941F5">
        <w:rPr>
          <w:b/>
          <w:bCs/>
          <w:szCs w:val="22"/>
          <w:lang w:val="it-IT"/>
        </w:rPr>
        <w:t>4.8. Neželjena dejstva</w:t>
      </w:r>
    </w:p>
    <w:p w14:paraId="49E6844F" w14:textId="77777777" w:rsidR="006941F5" w:rsidRDefault="006941F5" w:rsidP="00B3394B">
      <w:pPr>
        <w:autoSpaceDE w:val="0"/>
        <w:autoSpaceDN w:val="0"/>
        <w:adjustRightInd w:val="0"/>
        <w:rPr>
          <w:bCs/>
          <w:szCs w:val="22"/>
          <w:lang w:val="sl-SI"/>
        </w:rPr>
      </w:pPr>
      <w:r w:rsidRPr="00652B33">
        <w:rPr>
          <w:bCs/>
          <w:szCs w:val="22"/>
          <w:lang w:val="sl-SI"/>
        </w:rPr>
        <w:t>Ne postoje raspoložive kliničke studije na osnovu kojih bi se mogla odrediti učestalost neželjenih dejstava. Iz tog razloga su sva navedena neželjena dejstva klasifikovana pod „nepoznata učestalost”.</w:t>
      </w:r>
    </w:p>
    <w:p w14:paraId="2B6EA73D" w14:textId="77777777" w:rsidR="00E40C39" w:rsidRDefault="00E40C39">
      <w:pPr>
        <w:autoSpaceDE w:val="0"/>
        <w:autoSpaceDN w:val="0"/>
        <w:adjustRightInd w:val="0"/>
        <w:rPr>
          <w:bCs/>
          <w:szCs w:val="22"/>
          <w:lang w:val="sl-SI"/>
        </w:rPr>
      </w:pPr>
      <w:r>
        <w:rPr>
          <w:bCs/>
          <w:szCs w:val="22"/>
          <w:lang w:val="sl-SI"/>
        </w:rPr>
        <w:t>Sl</w:t>
      </w:r>
      <w:r w:rsidR="009371A1">
        <w:rPr>
          <w:bCs/>
          <w:szCs w:val="22"/>
          <w:lang w:val="sl-SI"/>
        </w:rPr>
        <w:t>j</w:t>
      </w:r>
      <w:r>
        <w:rPr>
          <w:bCs/>
          <w:szCs w:val="22"/>
          <w:lang w:val="sl-SI"/>
        </w:rPr>
        <w:t>edeća neželjena dejstva su prijavljena i raspoređena po sistemima organa.</w:t>
      </w:r>
    </w:p>
    <w:p w14:paraId="4F128F26" w14:textId="77777777" w:rsidR="00FE4B6C" w:rsidRDefault="00FE4B6C" w:rsidP="00C018CA">
      <w:pPr>
        <w:autoSpaceDE w:val="0"/>
        <w:autoSpaceDN w:val="0"/>
        <w:adjustRightInd w:val="0"/>
        <w:rPr>
          <w:bCs/>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3"/>
        <w:gridCol w:w="1755"/>
        <w:gridCol w:w="4661"/>
      </w:tblGrid>
      <w:tr w:rsidR="005C644E" w:rsidRPr="007A69CB" w14:paraId="61CD0964" w14:textId="77777777" w:rsidTr="007A69CB">
        <w:tc>
          <w:tcPr>
            <w:tcW w:w="3285" w:type="dxa"/>
            <w:shd w:val="clear" w:color="auto" w:fill="auto"/>
            <w:vAlign w:val="center"/>
          </w:tcPr>
          <w:p w14:paraId="160A834B" w14:textId="77777777" w:rsidR="005C644E" w:rsidRPr="007A69CB" w:rsidRDefault="005C644E" w:rsidP="00950794">
            <w:pPr>
              <w:autoSpaceDE w:val="0"/>
              <w:autoSpaceDN w:val="0"/>
              <w:adjustRightInd w:val="0"/>
              <w:jc w:val="center"/>
              <w:rPr>
                <w:bCs/>
                <w:szCs w:val="22"/>
                <w:lang w:val="sl-SI"/>
              </w:rPr>
            </w:pPr>
            <w:r w:rsidRPr="007A69CB">
              <w:rPr>
                <w:bCs/>
                <w:szCs w:val="22"/>
                <w:lang w:val="sl-SI"/>
              </w:rPr>
              <w:t>Klasa sistema organa</w:t>
            </w:r>
          </w:p>
        </w:tc>
        <w:tc>
          <w:tcPr>
            <w:tcW w:w="1785" w:type="dxa"/>
            <w:shd w:val="clear" w:color="auto" w:fill="auto"/>
            <w:vAlign w:val="center"/>
          </w:tcPr>
          <w:p w14:paraId="2C5B8999" w14:textId="77777777" w:rsidR="005C644E" w:rsidRPr="007A69CB" w:rsidRDefault="005C644E" w:rsidP="00950794">
            <w:pPr>
              <w:autoSpaceDE w:val="0"/>
              <w:autoSpaceDN w:val="0"/>
              <w:adjustRightInd w:val="0"/>
              <w:jc w:val="center"/>
              <w:rPr>
                <w:bCs/>
                <w:szCs w:val="22"/>
                <w:lang w:val="sl-SI"/>
              </w:rPr>
            </w:pPr>
            <w:r w:rsidRPr="007A69CB">
              <w:rPr>
                <w:bCs/>
                <w:szCs w:val="22"/>
                <w:lang w:val="sl-SI"/>
              </w:rPr>
              <w:t>Učestalost</w:t>
            </w:r>
          </w:p>
        </w:tc>
        <w:tc>
          <w:tcPr>
            <w:tcW w:w="4785" w:type="dxa"/>
            <w:shd w:val="clear" w:color="auto" w:fill="auto"/>
            <w:vAlign w:val="center"/>
          </w:tcPr>
          <w:p w14:paraId="4EBA72A5" w14:textId="77777777" w:rsidR="005C644E" w:rsidRPr="007A69CB" w:rsidRDefault="005C644E" w:rsidP="00950794">
            <w:pPr>
              <w:autoSpaceDE w:val="0"/>
              <w:autoSpaceDN w:val="0"/>
              <w:adjustRightInd w:val="0"/>
              <w:jc w:val="center"/>
              <w:rPr>
                <w:bCs/>
                <w:szCs w:val="22"/>
                <w:lang w:val="sl-SI"/>
              </w:rPr>
            </w:pPr>
            <w:r w:rsidRPr="007A69CB">
              <w:rPr>
                <w:bCs/>
                <w:szCs w:val="22"/>
                <w:lang w:val="sl-SI"/>
              </w:rPr>
              <w:t>Neželjeno dejstvo</w:t>
            </w:r>
          </w:p>
        </w:tc>
      </w:tr>
      <w:tr w:rsidR="005C644E" w:rsidRPr="007A69CB" w14:paraId="532D5D3F" w14:textId="77777777" w:rsidTr="007A69CB">
        <w:tc>
          <w:tcPr>
            <w:tcW w:w="3285" w:type="dxa"/>
            <w:shd w:val="clear" w:color="auto" w:fill="auto"/>
            <w:vAlign w:val="center"/>
          </w:tcPr>
          <w:p w14:paraId="11EE3F49" w14:textId="77777777" w:rsidR="005C644E" w:rsidRPr="007A69CB" w:rsidRDefault="005C644E" w:rsidP="00950794">
            <w:pPr>
              <w:autoSpaceDE w:val="0"/>
              <w:autoSpaceDN w:val="0"/>
              <w:adjustRightInd w:val="0"/>
              <w:spacing w:before="120"/>
              <w:jc w:val="left"/>
              <w:rPr>
                <w:bCs/>
                <w:iCs/>
                <w:szCs w:val="22"/>
                <w:lang w:val="sl-SI"/>
              </w:rPr>
            </w:pPr>
            <w:r w:rsidRPr="007A69CB">
              <w:rPr>
                <w:bCs/>
                <w:iCs/>
                <w:szCs w:val="22"/>
                <w:lang w:val="sl-SI"/>
              </w:rPr>
              <w:t>Poremećaji krvi i limfnog sistema</w:t>
            </w:r>
          </w:p>
        </w:tc>
        <w:tc>
          <w:tcPr>
            <w:tcW w:w="1785" w:type="dxa"/>
            <w:shd w:val="clear" w:color="auto" w:fill="auto"/>
            <w:vAlign w:val="center"/>
          </w:tcPr>
          <w:p w14:paraId="7BFE93F4" w14:textId="77777777" w:rsidR="005C644E" w:rsidRPr="007A69CB" w:rsidRDefault="005C644E" w:rsidP="00950794">
            <w:pPr>
              <w:autoSpaceDE w:val="0"/>
              <w:autoSpaceDN w:val="0"/>
              <w:adjustRightInd w:val="0"/>
              <w:jc w:val="left"/>
              <w:rPr>
                <w:bCs/>
                <w:szCs w:val="22"/>
                <w:lang w:val="sl-SI"/>
              </w:rPr>
            </w:pPr>
            <w:r w:rsidRPr="007A69CB">
              <w:rPr>
                <w:bCs/>
                <w:szCs w:val="22"/>
                <w:lang w:val="sl-SI"/>
              </w:rPr>
              <w:t>Nepoznata</w:t>
            </w:r>
          </w:p>
        </w:tc>
        <w:tc>
          <w:tcPr>
            <w:tcW w:w="4785" w:type="dxa"/>
            <w:shd w:val="clear" w:color="auto" w:fill="auto"/>
            <w:vAlign w:val="center"/>
          </w:tcPr>
          <w:p w14:paraId="707EFFEF" w14:textId="77777777" w:rsidR="005C644E" w:rsidRPr="007A69CB" w:rsidRDefault="005C644E" w:rsidP="00950794">
            <w:pPr>
              <w:autoSpaceDE w:val="0"/>
              <w:autoSpaceDN w:val="0"/>
              <w:adjustRightInd w:val="0"/>
              <w:jc w:val="left"/>
              <w:rPr>
                <w:bCs/>
                <w:szCs w:val="22"/>
                <w:lang w:val="sl-SI"/>
              </w:rPr>
            </w:pPr>
            <w:r w:rsidRPr="007A69CB">
              <w:rPr>
                <w:bCs/>
                <w:szCs w:val="22"/>
                <w:lang w:val="sl-SI"/>
              </w:rPr>
              <w:t>Reaktivna trombocitoza tokom prvih nekoliko ned</w:t>
            </w:r>
            <w:r w:rsidR="009371A1">
              <w:rPr>
                <w:bCs/>
                <w:szCs w:val="22"/>
                <w:lang w:val="sl-SI"/>
              </w:rPr>
              <w:t>j</w:t>
            </w:r>
            <w:r w:rsidRPr="007A69CB">
              <w:rPr>
                <w:bCs/>
                <w:szCs w:val="22"/>
                <w:lang w:val="sl-SI"/>
              </w:rPr>
              <w:t>elja terapije kod pacijenata sa megaloblastnom anemijom.</w:t>
            </w:r>
          </w:p>
        </w:tc>
      </w:tr>
      <w:tr w:rsidR="005C644E" w:rsidRPr="007A69CB" w14:paraId="22CB6985" w14:textId="77777777" w:rsidTr="007A69CB">
        <w:tc>
          <w:tcPr>
            <w:tcW w:w="3285" w:type="dxa"/>
            <w:shd w:val="clear" w:color="auto" w:fill="auto"/>
            <w:vAlign w:val="center"/>
          </w:tcPr>
          <w:p w14:paraId="0E5F299C" w14:textId="77777777" w:rsidR="005C644E" w:rsidRPr="007A69CB" w:rsidRDefault="005C644E" w:rsidP="00950794">
            <w:pPr>
              <w:autoSpaceDE w:val="0"/>
              <w:autoSpaceDN w:val="0"/>
              <w:adjustRightInd w:val="0"/>
              <w:spacing w:before="120"/>
              <w:jc w:val="left"/>
              <w:rPr>
                <w:bCs/>
                <w:iCs/>
                <w:szCs w:val="22"/>
                <w:lang w:val="sl-SI"/>
              </w:rPr>
            </w:pPr>
            <w:r w:rsidRPr="007A69CB">
              <w:rPr>
                <w:bCs/>
                <w:iCs/>
                <w:szCs w:val="22"/>
                <w:lang w:val="sl-SI"/>
              </w:rPr>
              <w:t>Poremećaji imunskog sistema</w:t>
            </w:r>
          </w:p>
        </w:tc>
        <w:tc>
          <w:tcPr>
            <w:tcW w:w="1785" w:type="dxa"/>
            <w:shd w:val="clear" w:color="auto" w:fill="auto"/>
            <w:vAlign w:val="center"/>
          </w:tcPr>
          <w:p w14:paraId="73CBF27A" w14:textId="77777777" w:rsidR="005C644E" w:rsidRPr="007A69CB" w:rsidRDefault="005C644E" w:rsidP="00950794">
            <w:pPr>
              <w:autoSpaceDE w:val="0"/>
              <w:autoSpaceDN w:val="0"/>
              <w:adjustRightInd w:val="0"/>
              <w:jc w:val="left"/>
              <w:rPr>
                <w:bCs/>
                <w:szCs w:val="22"/>
                <w:lang w:val="sl-SI"/>
              </w:rPr>
            </w:pPr>
            <w:r w:rsidRPr="007A69CB">
              <w:rPr>
                <w:bCs/>
                <w:szCs w:val="22"/>
                <w:lang w:val="sl-SI"/>
              </w:rPr>
              <w:t>Nepoznata</w:t>
            </w:r>
          </w:p>
        </w:tc>
        <w:tc>
          <w:tcPr>
            <w:tcW w:w="4785" w:type="dxa"/>
            <w:shd w:val="clear" w:color="auto" w:fill="auto"/>
            <w:vAlign w:val="center"/>
          </w:tcPr>
          <w:p w14:paraId="722223FC" w14:textId="77777777" w:rsidR="005C644E" w:rsidRPr="007A69CB" w:rsidRDefault="005C644E" w:rsidP="00950794">
            <w:pPr>
              <w:autoSpaceDE w:val="0"/>
              <w:autoSpaceDN w:val="0"/>
              <w:adjustRightInd w:val="0"/>
              <w:jc w:val="left"/>
              <w:rPr>
                <w:bCs/>
                <w:szCs w:val="22"/>
                <w:lang w:val="sl-SI"/>
              </w:rPr>
            </w:pPr>
            <w:r w:rsidRPr="007A69CB">
              <w:rPr>
                <w:bCs/>
                <w:szCs w:val="22"/>
                <w:lang w:val="sl-SI"/>
              </w:rPr>
              <w:t>Reakcije preos</w:t>
            </w:r>
            <w:r w:rsidR="009371A1">
              <w:rPr>
                <w:bCs/>
                <w:szCs w:val="22"/>
                <w:lang w:val="sl-SI"/>
              </w:rPr>
              <w:t>j</w:t>
            </w:r>
            <w:r w:rsidRPr="007A69CB">
              <w:rPr>
                <w:bCs/>
                <w:szCs w:val="22"/>
                <w:lang w:val="sl-SI"/>
              </w:rPr>
              <w:t>etljivosti uključujući osip, svrab, egzantem. Tokom terapije hidroksokobalaminom može doći do stvaranja antit</w:t>
            </w:r>
            <w:r w:rsidR="009371A1">
              <w:rPr>
                <w:bCs/>
                <w:szCs w:val="22"/>
                <w:lang w:val="sl-SI"/>
              </w:rPr>
              <w:t>ij</w:t>
            </w:r>
            <w:r w:rsidRPr="007A69CB">
              <w:rPr>
                <w:bCs/>
                <w:szCs w:val="22"/>
                <w:lang w:val="sl-SI"/>
              </w:rPr>
              <w:t>ela na kompleks hidroksokobalamin-transkobalamin II. Anafilaksa.</w:t>
            </w:r>
          </w:p>
        </w:tc>
      </w:tr>
      <w:tr w:rsidR="005C644E" w:rsidRPr="007A69CB" w14:paraId="2DA196C8" w14:textId="77777777" w:rsidTr="007A69CB">
        <w:tc>
          <w:tcPr>
            <w:tcW w:w="3285" w:type="dxa"/>
            <w:shd w:val="clear" w:color="auto" w:fill="auto"/>
            <w:vAlign w:val="center"/>
          </w:tcPr>
          <w:p w14:paraId="709BC73D" w14:textId="77777777" w:rsidR="005C644E" w:rsidRPr="007A69CB" w:rsidRDefault="001C48E8" w:rsidP="00950794">
            <w:pPr>
              <w:autoSpaceDE w:val="0"/>
              <w:autoSpaceDN w:val="0"/>
              <w:adjustRightInd w:val="0"/>
              <w:spacing w:before="120"/>
              <w:jc w:val="left"/>
              <w:rPr>
                <w:bCs/>
                <w:iCs/>
                <w:szCs w:val="22"/>
                <w:lang w:val="sl-SI"/>
              </w:rPr>
            </w:pPr>
            <w:r w:rsidRPr="007A69CB">
              <w:rPr>
                <w:bCs/>
                <w:iCs/>
                <w:szCs w:val="22"/>
                <w:lang w:val="sl-SI"/>
              </w:rPr>
              <w:t>Poremećaji metabolizma i ishrane</w:t>
            </w:r>
          </w:p>
        </w:tc>
        <w:tc>
          <w:tcPr>
            <w:tcW w:w="1785" w:type="dxa"/>
            <w:shd w:val="clear" w:color="auto" w:fill="auto"/>
            <w:vAlign w:val="center"/>
          </w:tcPr>
          <w:p w14:paraId="23376AA5" w14:textId="77777777" w:rsidR="005C644E" w:rsidRPr="007A69CB" w:rsidRDefault="005C644E" w:rsidP="00950794">
            <w:pPr>
              <w:autoSpaceDE w:val="0"/>
              <w:autoSpaceDN w:val="0"/>
              <w:adjustRightInd w:val="0"/>
              <w:jc w:val="left"/>
              <w:rPr>
                <w:bCs/>
                <w:szCs w:val="22"/>
                <w:lang w:val="sl-SI"/>
              </w:rPr>
            </w:pPr>
            <w:r w:rsidRPr="007A69CB">
              <w:rPr>
                <w:bCs/>
                <w:szCs w:val="22"/>
                <w:lang w:val="sl-SI"/>
              </w:rPr>
              <w:t>Nepoznata</w:t>
            </w:r>
          </w:p>
        </w:tc>
        <w:tc>
          <w:tcPr>
            <w:tcW w:w="4785" w:type="dxa"/>
            <w:shd w:val="clear" w:color="auto" w:fill="auto"/>
            <w:vAlign w:val="center"/>
          </w:tcPr>
          <w:p w14:paraId="2002FC9B" w14:textId="66B7DF84" w:rsidR="005C644E" w:rsidRPr="007A69CB" w:rsidRDefault="001C48E8" w:rsidP="00950794">
            <w:pPr>
              <w:autoSpaceDE w:val="0"/>
              <w:autoSpaceDN w:val="0"/>
              <w:adjustRightInd w:val="0"/>
              <w:jc w:val="left"/>
              <w:rPr>
                <w:bCs/>
                <w:szCs w:val="22"/>
                <w:lang w:val="sl-SI"/>
              </w:rPr>
            </w:pPr>
            <w:r w:rsidRPr="007A69CB">
              <w:rPr>
                <w:bCs/>
                <w:szCs w:val="22"/>
                <w:lang w:val="sl-SI"/>
              </w:rPr>
              <w:t>Hipokal</w:t>
            </w:r>
            <w:r w:rsidR="00B3394B">
              <w:rPr>
                <w:bCs/>
                <w:szCs w:val="22"/>
                <w:lang w:val="sl-SI"/>
              </w:rPr>
              <w:t>ij</w:t>
            </w:r>
            <w:r w:rsidRPr="007A69CB">
              <w:rPr>
                <w:bCs/>
                <w:szCs w:val="22"/>
                <w:lang w:val="sl-SI"/>
              </w:rPr>
              <w:t>emija na početku terapije.</w:t>
            </w:r>
          </w:p>
        </w:tc>
      </w:tr>
      <w:tr w:rsidR="005C644E" w:rsidRPr="007A69CB" w14:paraId="53EE2E99" w14:textId="77777777" w:rsidTr="007A69CB">
        <w:tc>
          <w:tcPr>
            <w:tcW w:w="3285" w:type="dxa"/>
            <w:shd w:val="clear" w:color="auto" w:fill="auto"/>
            <w:vAlign w:val="center"/>
          </w:tcPr>
          <w:p w14:paraId="2B2253A5" w14:textId="77777777" w:rsidR="005C644E" w:rsidRPr="007A69CB" w:rsidRDefault="001C48E8" w:rsidP="00950794">
            <w:pPr>
              <w:autoSpaceDE w:val="0"/>
              <w:autoSpaceDN w:val="0"/>
              <w:adjustRightInd w:val="0"/>
              <w:spacing w:before="120"/>
              <w:jc w:val="left"/>
              <w:rPr>
                <w:bCs/>
                <w:szCs w:val="22"/>
                <w:lang w:val="sl-SI"/>
              </w:rPr>
            </w:pPr>
            <w:r w:rsidRPr="007A69CB">
              <w:rPr>
                <w:bCs/>
                <w:iCs/>
                <w:szCs w:val="22"/>
                <w:lang w:val="sl-SI"/>
              </w:rPr>
              <w:t>Poremećaji nervnog sistema</w:t>
            </w:r>
          </w:p>
        </w:tc>
        <w:tc>
          <w:tcPr>
            <w:tcW w:w="1785" w:type="dxa"/>
            <w:shd w:val="clear" w:color="auto" w:fill="auto"/>
            <w:vAlign w:val="center"/>
          </w:tcPr>
          <w:p w14:paraId="5EEFA460" w14:textId="77777777" w:rsidR="005C644E" w:rsidRPr="007A69CB" w:rsidRDefault="005C644E" w:rsidP="00950794">
            <w:pPr>
              <w:autoSpaceDE w:val="0"/>
              <w:autoSpaceDN w:val="0"/>
              <w:adjustRightInd w:val="0"/>
              <w:jc w:val="left"/>
              <w:rPr>
                <w:bCs/>
                <w:szCs w:val="22"/>
                <w:lang w:val="sl-SI"/>
              </w:rPr>
            </w:pPr>
            <w:r w:rsidRPr="007A69CB">
              <w:rPr>
                <w:bCs/>
                <w:szCs w:val="22"/>
                <w:lang w:val="sl-SI"/>
              </w:rPr>
              <w:t>Nepoznata</w:t>
            </w:r>
          </w:p>
        </w:tc>
        <w:tc>
          <w:tcPr>
            <w:tcW w:w="4785" w:type="dxa"/>
            <w:shd w:val="clear" w:color="auto" w:fill="auto"/>
            <w:vAlign w:val="center"/>
          </w:tcPr>
          <w:p w14:paraId="2A81E300" w14:textId="77777777" w:rsidR="005C644E" w:rsidRPr="007A69CB" w:rsidRDefault="001C48E8" w:rsidP="00950794">
            <w:pPr>
              <w:autoSpaceDE w:val="0"/>
              <w:autoSpaceDN w:val="0"/>
              <w:adjustRightInd w:val="0"/>
              <w:jc w:val="left"/>
              <w:rPr>
                <w:bCs/>
                <w:szCs w:val="22"/>
                <w:lang w:val="sl-SI"/>
              </w:rPr>
            </w:pPr>
            <w:r w:rsidRPr="007A69CB">
              <w:rPr>
                <w:bCs/>
                <w:szCs w:val="22"/>
                <w:lang w:val="sl-SI"/>
              </w:rPr>
              <w:t>Glavobolja, parestezija, tremor.</w:t>
            </w:r>
          </w:p>
        </w:tc>
      </w:tr>
      <w:tr w:rsidR="005C644E" w:rsidRPr="007A69CB" w14:paraId="61AA5798" w14:textId="77777777" w:rsidTr="007A69CB">
        <w:tc>
          <w:tcPr>
            <w:tcW w:w="3285" w:type="dxa"/>
            <w:shd w:val="clear" w:color="auto" w:fill="auto"/>
            <w:vAlign w:val="center"/>
          </w:tcPr>
          <w:p w14:paraId="737E74E0" w14:textId="77777777" w:rsidR="005C644E" w:rsidRPr="007A69CB" w:rsidRDefault="001C48E8" w:rsidP="00950794">
            <w:pPr>
              <w:autoSpaceDE w:val="0"/>
              <w:autoSpaceDN w:val="0"/>
              <w:adjustRightInd w:val="0"/>
              <w:spacing w:before="120"/>
              <w:jc w:val="left"/>
              <w:rPr>
                <w:bCs/>
                <w:szCs w:val="22"/>
                <w:lang w:val="sl-SI"/>
              </w:rPr>
            </w:pPr>
            <w:r w:rsidRPr="007A69CB">
              <w:rPr>
                <w:bCs/>
                <w:iCs/>
                <w:szCs w:val="22"/>
                <w:lang w:val="sl-SI"/>
              </w:rPr>
              <w:t>Kardiološki poremećaji</w:t>
            </w:r>
          </w:p>
        </w:tc>
        <w:tc>
          <w:tcPr>
            <w:tcW w:w="1785" w:type="dxa"/>
            <w:shd w:val="clear" w:color="auto" w:fill="auto"/>
            <w:vAlign w:val="center"/>
          </w:tcPr>
          <w:p w14:paraId="5556B8A6" w14:textId="77777777" w:rsidR="005C644E" w:rsidRPr="007A69CB" w:rsidRDefault="005C644E" w:rsidP="00950794">
            <w:pPr>
              <w:autoSpaceDE w:val="0"/>
              <w:autoSpaceDN w:val="0"/>
              <w:adjustRightInd w:val="0"/>
              <w:jc w:val="left"/>
              <w:rPr>
                <w:bCs/>
                <w:szCs w:val="22"/>
                <w:lang w:val="sl-SI"/>
              </w:rPr>
            </w:pPr>
            <w:r w:rsidRPr="007A69CB">
              <w:rPr>
                <w:bCs/>
                <w:szCs w:val="22"/>
                <w:lang w:val="sl-SI"/>
              </w:rPr>
              <w:t>Nepoznata</w:t>
            </w:r>
          </w:p>
        </w:tc>
        <w:tc>
          <w:tcPr>
            <w:tcW w:w="4785" w:type="dxa"/>
            <w:shd w:val="clear" w:color="auto" w:fill="auto"/>
            <w:vAlign w:val="center"/>
          </w:tcPr>
          <w:p w14:paraId="7AF69B22" w14:textId="306D2581" w:rsidR="005C644E" w:rsidRPr="007A69CB" w:rsidRDefault="001C48E8" w:rsidP="00950794">
            <w:pPr>
              <w:autoSpaceDE w:val="0"/>
              <w:autoSpaceDN w:val="0"/>
              <w:adjustRightInd w:val="0"/>
              <w:jc w:val="left"/>
              <w:rPr>
                <w:bCs/>
                <w:szCs w:val="22"/>
                <w:lang w:val="sl-SI"/>
              </w:rPr>
            </w:pPr>
            <w:r w:rsidRPr="007A69CB">
              <w:rPr>
                <w:bCs/>
                <w:szCs w:val="22"/>
                <w:lang w:val="sl-SI"/>
              </w:rPr>
              <w:t>Aritmije usl</w:t>
            </w:r>
            <w:r w:rsidR="009371A1">
              <w:rPr>
                <w:bCs/>
                <w:szCs w:val="22"/>
                <w:lang w:val="sl-SI"/>
              </w:rPr>
              <w:t>j</w:t>
            </w:r>
            <w:r w:rsidRPr="007A69CB">
              <w:rPr>
                <w:bCs/>
                <w:szCs w:val="22"/>
                <w:lang w:val="sl-SI"/>
              </w:rPr>
              <w:t>ed hipokal</w:t>
            </w:r>
            <w:r w:rsidR="00B3394B">
              <w:rPr>
                <w:bCs/>
                <w:szCs w:val="22"/>
                <w:lang w:val="sl-SI"/>
              </w:rPr>
              <w:t>ij</w:t>
            </w:r>
            <w:r w:rsidRPr="007A69CB">
              <w:rPr>
                <w:bCs/>
                <w:szCs w:val="22"/>
                <w:lang w:val="sl-SI"/>
              </w:rPr>
              <w:t>emije.</w:t>
            </w:r>
          </w:p>
        </w:tc>
      </w:tr>
      <w:tr w:rsidR="005C644E" w:rsidRPr="007A69CB" w14:paraId="77A26A6F" w14:textId="77777777" w:rsidTr="007A69CB">
        <w:tc>
          <w:tcPr>
            <w:tcW w:w="3285" w:type="dxa"/>
            <w:shd w:val="clear" w:color="auto" w:fill="auto"/>
            <w:vAlign w:val="center"/>
          </w:tcPr>
          <w:p w14:paraId="5EEF3FF4" w14:textId="77777777" w:rsidR="005C644E" w:rsidRPr="007A69CB" w:rsidRDefault="001C48E8" w:rsidP="00950794">
            <w:pPr>
              <w:autoSpaceDE w:val="0"/>
              <w:autoSpaceDN w:val="0"/>
              <w:adjustRightInd w:val="0"/>
              <w:spacing w:before="120"/>
              <w:jc w:val="left"/>
              <w:rPr>
                <w:bCs/>
                <w:iCs/>
                <w:szCs w:val="22"/>
                <w:lang w:val="sl-SI"/>
              </w:rPr>
            </w:pPr>
            <w:r w:rsidRPr="007A69CB">
              <w:rPr>
                <w:bCs/>
                <w:iCs/>
                <w:szCs w:val="22"/>
                <w:lang w:val="sl-SI"/>
              </w:rPr>
              <w:t>Gastrointestinalni poremećaji</w:t>
            </w:r>
          </w:p>
        </w:tc>
        <w:tc>
          <w:tcPr>
            <w:tcW w:w="1785" w:type="dxa"/>
            <w:shd w:val="clear" w:color="auto" w:fill="auto"/>
            <w:vAlign w:val="center"/>
          </w:tcPr>
          <w:p w14:paraId="1B755666" w14:textId="77777777" w:rsidR="005C644E" w:rsidRPr="007A69CB" w:rsidRDefault="005C644E" w:rsidP="00950794">
            <w:pPr>
              <w:autoSpaceDE w:val="0"/>
              <w:autoSpaceDN w:val="0"/>
              <w:adjustRightInd w:val="0"/>
              <w:jc w:val="left"/>
              <w:rPr>
                <w:bCs/>
                <w:szCs w:val="22"/>
                <w:lang w:val="sl-SI"/>
              </w:rPr>
            </w:pPr>
            <w:r w:rsidRPr="007A69CB">
              <w:rPr>
                <w:bCs/>
                <w:szCs w:val="22"/>
                <w:lang w:val="sl-SI"/>
              </w:rPr>
              <w:t>Nepoznata</w:t>
            </w:r>
          </w:p>
        </w:tc>
        <w:tc>
          <w:tcPr>
            <w:tcW w:w="4785" w:type="dxa"/>
            <w:shd w:val="clear" w:color="auto" w:fill="auto"/>
            <w:vAlign w:val="center"/>
          </w:tcPr>
          <w:p w14:paraId="7F8049F6" w14:textId="77777777" w:rsidR="005C644E" w:rsidRPr="007A69CB" w:rsidRDefault="001C48E8" w:rsidP="00950794">
            <w:pPr>
              <w:autoSpaceDE w:val="0"/>
              <w:autoSpaceDN w:val="0"/>
              <w:adjustRightInd w:val="0"/>
              <w:jc w:val="left"/>
              <w:rPr>
                <w:bCs/>
                <w:szCs w:val="22"/>
                <w:lang w:val="sl-SI"/>
              </w:rPr>
            </w:pPr>
            <w:r w:rsidRPr="007A69CB">
              <w:rPr>
                <w:bCs/>
                <w:szCs w:val="22"/>
                <w:lang w:val="sl-SI"/>
              </w:rPr>
              <w:t>Mučnina, povraćanje, dijareja.</w:t>
            </w:r>
          </w:p>
        </w:tc>
      </w:tr>
      <w:tr w:rsidR="005C644E" w:rsidRPr="007A69CB" w14:paraId="130E4588" w14:textId="77777777" w:rsidTr="007A69CB">
        <w:tc>
          <w:tcPr>
            <w:tcW w:w="3285" w:type="dxa"/>
            <w:shd w:val="clear" w:color="auto" w:fill="auto"/>
            <w:vAlign w:val="center"/>
          </w:tcPr>
          <w:p w14:paraId="2CDA1F22" w14:textId="77777777" w:rsidR="005C644E" w:rsidRPr="007A69CB" w:rsidRDefault="001C48E8" w:rsidP="00B3394B">
            <w:pPr>
              <w:autoSpaceDE w:val="0"/>
              <w:autoSpaceDN w:val="0"/>
              <w:adjustRightInd w:val="0"/>
              <w:spacing w:before="120"/>
              <w:jc w:val="left"/>
              <w:rPr>
                <w:bCs/>
                <w:iCs/>
                <w:szCs w:val="22"/>
                <w:lang w:val="sl-SI"/>
              </w:rPr>
            </w:pPr>
            <w:r w:rsidRPr="007A69CB">
              <w:rPr>
                <w:bCs/>
                <w:iCs/>
                <w:szCs w:val="22"/>
                <w:lang w:val="sl-SI"/>
              </w:rPr>
              <w:t>Opšti poremećaji i reakcije na m</w:t>
            </w:r>
            <w:r w:rsidR="009371A1">
              <w:rPr>
                <w:bCs/>
                <w:iCs/>
                <w:szCs w:val="22"/>
                <w:lang w:val="sl-SI"/>
              </w:rPr>
              <w:t>j</w:t>
            </w:r>
            <w:r w:rsidRPr="007A69CB">
              <w:rPr>
                <w:bCs/>
                <w:iCs/>
                <w:szCs w:val="22"/>
                <w:lang w:val="sl-SI"/>
              </w:rPr>
              <w:t>estu prim</w:t>
            </w:r>
            <w:r w:rsidR="009371A1">
              <w:rPr>
                <w:bCs/>
                <w:iCs/>
                <w:szCs w:val="22"/>
                <w:lang w:val="sl-SI"/>
              </w:rPr>
              <w:t>j</w:t>
            </w:r>
            <w:r w:rsidRPr="007A69CB">
              <w:rPr>
                <w:bCs/>
                <w:iCs/>
                <w:szCs w:val="22"/>
                <w:lang w:val="sl-SI"/>
              </w:rPr>
              <w:t>ene</w:t>
            </w:r>
          </w:p>
        </w:tc>
        <w:tc>
          <w:tcPr>
            <w:tcW w:w="1785" w:type="dxa"/>
            <w:shd w:val="clear" w:color="auto" w:fill="auto"/>
            <w:vAlign w:val="center"/>
          </w:tcPr>
          <w:p w14:paraId="46E92A1A" w14:textId="77777777" w:rsidR="005C644E" w:rsidRPr="007A69CB" w:rsidRDefault="005C644E" w:rsidP="00950794">
            <w:pPr>
              <w:autoSpaceDE w:val="0"/>
              <w:autoSpaceDN w:val="0"/>
              <w:adjustRightInd w:val="0"/>
              <w:jc w:val="left"/>
              <w:rPr>
                <w:bCs/>
                <w:szCs w:val="22"/>
                <w:lang w:val="sl-SI"/>
              </w:rPr>
            </w:pPr>
            <w:r w:rsidRPr="007A69CB">
              <w:rPr>
                <w:bCs/>
                <w:szCs w:val="22"/>
                <w:lang w:val="sl-SI"/>
              </w:rPr>
              <w:t>Nepoznata</w:t>
            </w:r>
          </w:p>
        </w:tc>
        <w:tc>
          <w:tcPr>
            <w:tcW w:w="4785" w:type="dxa"/>
            <w:shd w:val="clear" w:color="auto" w:fill="auto"/>
            <w:vAlign w:val="center"/>
          </w:tcPr>
          <w:p w14:paraId="7A00FD9C" w14:textId="77777777" w:rsidR="005C644E" w:rsidRPr="007A69CB" w:rsidRDefault="00766D78" w:rsidP="00950794">
            <w:pPr>
              <w:autoSpaceDE w:val="0"/>
              <w:autoSpaceDN w:val="0"/>
              <w:adjustRightInd w:val="0"/>
              <w:jc w:val="left"/>
              <w:rPr>
                <w:bCs/>
                <w:szCs w:val="22"/>
                <w:lang w:val="sl-SI"/>
              </w:rPr>
            </w:pPr>
            <w:r w:rsidRPr="007A69CB">
              <w:rPr>
                <w:bCs/>
                <w:szCs w:val="22"/>
                <w:lang w:val="sl-SI"/>
              </w:rPr>
              <w:t>Groznica</w:t>
            </w:r>
            <w:r w:rsidR="00C3411F">
              <w:rPr>
                <w:bCs/>
                <w:szCs w:val="22"/>
                <w:lang w:val="sl-SI"/>
              </w:rPr>
              <w:t xml:space="preserve"> (povišena t</w:t>
            </w:r>
            <w:r w:rsidR="009371A1">
              <w:rPr>
                <w:bCs/>
                <w:szCs w:val="22"/>
                <w:lang w:val="sl-SI"/>
              </w:rPr>
              <w:t>j</w:t>
            </w:r>
            <w:r w:rsidR="00C3411F">
              <w:rPr>
                <w:bCs/>
                <w:szCs w:val="22"/>
                <w:lang w:val="sl-SI"/>
              </w:rPr>
              <w:t>elesna temperatura)</w:t>
            </w:r>
            <w:r w:rsidRPr="007A69CB">
              <w:rPr>
                <w:bCs/>
                <w:szCs w:val="22"/>
                <w:lang w:val="sl-SI"/>
              </w:rPr>
              <w:t>, drhtavica, naleti crvenila, vrtoglavica, malaksalost, bol, reakcije na m</w:t>
            </w:r>
            <w:r w:rsidR="009371A1">
              <w:rPr>
                <w:bCs/>
                <w:szCs w:val="22"/>
                <w:lang w:val="sl-SI"/>
              </w:rPr>
              <w:t>j</w:t>
            </w:r>
            <w:r w:rsidRPr="007A69CB">
              <w:rPr>
                <w:bCs/>
                <w:szCs w:val="22"/>
                <w:lang w:val="sl-SI"/>
              </w:rPr>
              <w:t>estu prim</w:t>
            </w:r>
            <w:r w:rsidR="009371A1">
              <w:rPr>
                <w:bCs/>
                <w:szCs w:val="22"/>
                <w:lang w:val="sl-SI"/>
              </w:rPr>
              <w:t>j</w:t>
            </w:r>
            <w:r w:rsidRPr="007A69CB">
              <w:rPr>
                <w:bCs/>
                <w:szCs w:val="22"/>
                <w:lang w:val="sl-SI"/>
              </w:rPr>
              <w:t>ene injekcije, uključujući bol, eritem, svrab, induraciju i otok na m</w:t>
            </w:r>
            <w:r w:rsidR="009371A1">
              <w:rPr>
                <w:bCs/>
                <w:szCs w:val="22"/>
                <w:lang w:val="sl-SI"/>
              </w:rPr>
              <w:t>j</w:t>
            </w:r>
            <w:r w:rsidRPr="007A69CB">
              <w:rPr>
                <w:bCs/>
                <w:szCs w:val="22"/>
                <w:lang w:val="sl-SI"/>
              </w:rPr>
              <w:t>estu prim</w:t>
            </w:r>
            <w:r w:rsidR="009371A1">
              <w:rPr>
                <w:bCs/>
                <w:szCs w:val="22"/>
                <w:lang w:val="sl-SI"/>
              </w:rPr>
              <w:t>j</w:t>
            </w:r>
            <w:r w:rsidRPr="007A69CB">
              <w:rPr>
                <w:bCs/>
                <w:szCs w:val="22"/>
                <w:lang w:val="sl-SI"/>
              </w:rPr>
              <w:t>ene.</w:t>
            </w:r>
          </w:p>
        </w:tc>
      </w:tr>
      <w:tr w:rsidR="005C644E" w:rsidRPr="007A69CB" w14:paraId="1D934360" w14:textId="77777777" w:rsidTr="007A69CB">
        <w:tc>
          <w:tcPr>
            <w:tcW w:w="3285" w:type="dxa"/>
            <w:shd w:val="clear" w:color="auto" w:fill="auto"/>
            <w:vAlign w:val="center"/>
          </w:tcPr>
          <w:p w14:paraId="258E2FA0" w14:textId="77777777" w:rsidR="005C644E" w:rsidRPr="007A69CB" w:rsidRDefault="00766D78" w:rsidP="00950794">
            <w:pPr>
              <w:autoSpaceDE w:val="0"/>
              <w:autoSpaceDN w:val="0"/>
              <w:adjustRightInd w:val="0"/>
              <w:spacing w:before="120"/>
              <w:jc w:val="left"/>
              <w:rPr>
                <w:bCs/>
                <w:iCs/>
                <w:szCs w:val="22"/>
                <w:lang w:val="sl-SI"/>
              </w:rPr>
            </w:pPr>
            <w:r w:rsidRPr="007A69CB">
              <w:rPr>
                <w:bCs/>
                <w:iCs/>
                <w:szCs w:val="22"/>
                <w:lang w:val="sl-SI"/>
              </w:rPr>
              <w:t>Poremećaji kože i potkožnog tkiva</w:t>
            </w:r>
          </w:p>
        </w:tc>
        <w:tc>
          <w:tcPr>
            <w:tcW w:w="1785" w:type="dxa"/>
            <w:shd w:val="clear" w:color="auto" w:fill="auto"/>
            <w:vAlign w:val="center"/>
          </w:tcPr>
          <w:p w14:paraId="5AC5CFF6" w14:textId="77777777" w:rsidR="005C644E" w:rsidRPr="007A69CB" w:rsidRDefault="005C644E" w:rsidP="00950794">
            <w:pPr>
              <w:autoSpaceDE w:val="0"/>
              <w:autoSpaceDN w:val="0"/>
              <w:adjustRightInd w:val="0"/>
              <w:jc w:val="left"/>
              <w:rPr>
                <w:bCs/>
                <w:szCs w:val="22"/>
                <w:lang w:val="sl-SI"/>
              </w:rPr>
            </w:pPr>
            <w:r w:rsidRPr="007A69CB">
              <w:rPr>
                <w:bCs/>
                <w:szCs w:val="22"/>
                <w:lang w:val="sl-SI"/>
              </w:rPr>
              <w:t>Nepoznata</w:t>
            </w:r>
          </w:p>
        </w:tc>
        <w:tc>
          <w:tcPr>
            <w:tcW w:w="4785" w:type="dxa"/>
            <w:shd w:val="clear" w:color="auto" w:fill="auto"/>
            <w:vAlign w:val="center"/>
          </w:tcPr>
          <w:p w14:paraId="71C7EB1A" w14:textId="77777777" w:rsidR="005C644E" w:rsidRPr="007A69CB" w:rsidRDefault="00766D78" w:rsidP="00950794">
            <w:pPr>
              <w:autoSpaceDE w:val="0"/>
              <w:autoSpaceDN w:val="0"/>
              <w:adjustRightInd w:val="0"/>
              <w:jc w:val="left"/>
              <w:rPr>
                <w:bCs/>
                <w:szCs w:val="22"/>
                <w:lang w:val="sl-SI"/>
              </w:rPr>
            </w:pPr>
            <w:r w:rsidRPr="007A69CB">
              <w:rPr>
                <w:bCs/>
                <w:szCs w:val="22"/>
                <w:lang w:val="sl-SI"/>
              </w:rPr>
              <w:t>Akneiformne i bulozne erupcije.</w:t>
            </w:r>
          </w:p>
        </w:tc>
      </w:tr>
      <w:tr w:rsidR="005C644E" w:rsidRPr="007A69CB" w14:paraId="13D8776F" w14:textId="77777777" w:rsidTr="007A69CB">
        <w:tc>
          <w:tcPr>
            <w:tcW w:w="3285" w:type="dxa"/>
            <w:shd w:val="clear" w:color="auto" w:fill="auto"/>
            <w:vAlign w:val="center"/>
          </w:tcPr>
          <w:p w14:paraId="358C8853" w14:textId="77777777" w:rsidR="005C644E" w:rsidRPr="007A69CB" w:rsidRDefault="00766D78" w:rsidP="00B3394B">
            <w:pPr>
              <w:autoSpaceDE w:val="0"/>
              <w:autoSpaceDN w:val="0"/>
              <w:adjustRightInd w:val="0"/>
              <w:spacing w:before="120"/>
              <w:jc w:val="left"/>
              <w:rPr>
                <w:bCs/>
                <w:iCs/>
                <w:szCs w:val="22"/>
                <w:lang w:val="sl-SI"/>
              </w:rPr>
            </w:pPr>
            <w:r w:rsidRPr="007A69CB">
              <w:rPr>
                <w:bCs/>
                <w:iCs/>
                <w:szCs w:val="22"/>
                <w:lang w:val="sl-SI"/>
              </w:rPr>
              <w:t>Poremećaji bubrega i urinarnog sistema</w:t>
            </w:r>
          </w:p>
        </w:tc>
        <w:tc>
          <w:tcPr>
            <w:tcW w:w="1785" w:type="dxa"/>
            <w:shd w:val="clear" w:color="auto" w:fill="auto"/>
            <w:vAlign w:val="center"/>
          </w:tcPr>
          <w:p w14:paraId="6B56B8CF" w14:textId="77777777" w:rsidR="005C644E" w:rsidRPr="007A69CB" w:rsidRDefault="005C644E" w:rsidP="00950794">
            <w:pPr>
              <w:autoSpaceDE w:val="0"/>
              <w:autoSpaceDN w:val="0"/>
              <w:adjustRightInd w:val="0"/>
              <w:jc w:val="left"/>
              <w:rPr>
                <w:bCs/>
                <w:szCs w:val="22"/>
                <w:lang w:val="sl-SI"/>
              </w:rPr>
            </w:pPr>
            <w:r w:rsidRPr="007A69CB">
              <w:rPr>
                <w:bCs/>
                <w:szCs w:val="22"/>
                <w:lang w:val="sl-SI"/>
              </w:rPr>
              <w:t>Nepoznata</w:t>
            </w:r>
          </w:p>
        </w:tc>
        <w:tc>
          <w:tcPr>
            <w:tcW w:w="4785" w:type="dxa"/>
            <w:shd w:val="clear" w:color="auto" w:fill="auto"/>
            <w:vAlign w:val="center"/>
          </w:tcPr>
          <w:p w14:paraId="78FCC32C" w14:textId="77777777" w:rsidR="005C644E" w:rsidRPr="007A69CB" w:rsidRDefault="00766D78" w:rsidP="00950794">
            <w:pPr>
              <w:autoSpaceDE w:val="0"/>
              <w:autoSpaceDN w:val="0"/>
              <w:adjustRightInd w:val="0"/>
              <w:jc w:val="left"/>
              <w:rPr>
                <w:noProof/>
                <w:szCs w:val="22"/>
                <w:u w:val="single"/>
                <w:lang w:val="hr-HR"/>
              </w:rPr>
            </w:pPr>
            <w:r w:rsidRPr="007A69CB">
              <w:rPr>
                <w:bCs/>
                <w:szCs w:val="22"/>
                <w:lang w:val="sl-SI"/>
              </w:rPr>
              <w:t>Hromaturija.</w:t>
            </w:r>
          </w:p>
        </w:tc>
      </w:tr>
    </w:tbl>
    <w:p w14:paraId="726A87F5" w14:textId="77777777" w:rsidR="00FE4B6C" w:rsidRPr="00652B33" w:rsidRDefault="00FE4B6C" w:rsidP="00C018CA">
      <w:pPr>
        <w:autoSpaceDE w:val="0"/>
        <w:autoSpaceDN w:val="0"/>
        <w:adjustRightInd w:val="0"/>
        <w:rPr>
          <w:bCs/>
          <w:szCs w:val="22"/>
          <w:lang w:val="sl-SI"/>
        </w:rPr>
      </w:pPr>
    </w:p>
    <w:p w14:paraId="7BEEA967" w14:textId="77777777" w:rsidR="00541382" w:rsidRPr="00541382" w:rsidRDefault="00541382" w:rsidP="00950794">
      <w:pPr>
        <w:tabs>
          <w:tab w:val="clear" w:pos="284"/>
        </w:tabs>
        <w:spacing w:after="200" w:line="276" w:lineRule="auto"/>
        <w:rPr>
          <w:rFonts w:eastAsia="Calibri"/>
          <w:szCs w:val="22"/>
          <w:u w:val="single"/>
          <w:lang w:val="sr-Latn-RS"/>
        </w:rPr>
      </w:pPr>
      <w:r w:rsidRPr="00541382">
        <w:rPr>
          <w:rFonts w:eastAsia="Calibri"/>
          <w:szCs w:val="22"/>
          <w:u w:val="single"/>
          <w:lang w:val="sr-Latn-RS"/>
        </w:rPr>
        <w:t>Prijavljivanje sumnji na neželjena dejstva</w:t>
      </w:r>
    </w:p>
    <w:p w14:paraId="0DE5C7BC" w14:textId="77777777" w:rsidR="00541382" w:rsidRPr="00541382" w:rsidRDefault="00541382" w:rsidP="00B3394B">
      <w:pPr>
        <w:tabs>
          <w:tab w:val="clear" w:pos="284"/>
        </w:tabs>
        <w:spacing w:after="200"/>
        <w:rPr>
          <w:rFonts w:eastAsia="Calibri"/>
          <w:szCs w:val="22"/>
          <w:lang w:val="sr-Latn-RS"/>
        </w:rPr>
      </w:pPr>
      <w:r w:rsidRPr="00541382">
        <w:rPr>
          <w:rFonts w:eastAsia="Calibri"/>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432C3FC1" w14:textId="77777777" w:rsidR="00541382" w:rsidRPr="00541382" w:rsidRDefault="00541382">
      <w:pPr>
        <w:tabs>
          <w:tab w:val="clear" w:pos="284"/>
        </w:tabs>
        <w:rPr>
          <w:rFonts w:eastAsia="Calibri"/>
          <w:szCs w:val="22"/>
          <w:lang w:val="sr-Latn-RS"/>
        </w:rPr>
      </w:pPr>
      <w:r w:rsidRPr="00541382">
        <w:rPr>
          <w:rFonts w:eastAsia="Calibri"/>
          <w:szCs w:val="22"/>
          <w:lang w:val="sr-Latn-RS"/>
        </w:rPr>
        <w:t xml:space="preserve">Institut za ljekove i medicinska sredstva </w:t>
      </w:r>
    </w:p>
    <w:p w14:paraId="13969B65" w14:textId="77777777" w:rsidR="00541382" w:rsidRPr="00541382" w:rsidRDefault="00541382">
      <w:pPr>
        <w:tabs>
          <w:tab w:val="clear" w:pos="284"/>
        </w:tabs>
        <w:rPr>
          <w:rFonts w:eastAsia="Calibri"/>
          <w:szCs w:val="22"/>
          <w:lang w:val="sr-Latn-RS"/>
        </w:rPr>
      </w:pPr>
      <w:r w:rsidRPr="00541382">
        <w:rPr>
          <w:rFonts w:eastAsia="Calibri"/>
          <w:szCs w:val="22"/>
          <w:lang w:val="sr-Latn-RS"/>
        </w:rPr>
        <w:t>Odjeljenje za farmakovigilancu</w:t>
      </w:r>
    </w:p>
    <w:p w14:paraId="13D421B9" w14:textId="77777777" w:rsidR="00541382" w:rsidRPr="00541382" w:rsidRDefault="00541382">
      <w:pPr>
        <w:tabs>
          <w:tab w:val="clear" w:pos="284"/>
        </w:tabs>
        <w:rPr>
          <w:rFonts w:eastAsia="Calibri"/>
          <w:szCs w:val="22"/>
          <w:lang w:val="sr-Latn-RS"/>
        </w:rPr>
      </w:pPr>
      <w:r w:rsidRPr="00541382">
        <w:rPr>
          <w:rFonts w:eastAsia="Calibri"/>
          <w:szCs w:val="22"/>
          <w:lang w:val="sr-Latn-RS"/>
        </w:rPr>
        <w:t>Bulevar Ivana Crnojevića 64a, 81000 Podgorica</w:t>
      </w:r>
    </w:p>
    <w:p w14:paraId="4C1E7A3E" w14:textId="77777777" w:rsidR="00541382" w:rsidRPr="00541382" w:rsidRDefault="00541382" w:rsidP="00950794">
      <w:pPr>
        <w:tabs>
          <w:tab w:val="clear" w:pos="284"/>
        </w:tabs>
        <w:rPr>
          <w:rFonts w:eastAsia="Calibri"/>
          <w:szCs w:val="22"/>
          <w:lang w:val="sr-Latn-RS"/>
        </w:rPr>
      </w:pPr>
    </w:p>
    <w:p w14:paraId="484473AA" w14:textId="77777777" w:rsidR="00541382" w:rsidRPr="00541382" w:rsidRDefault="00541382" w:rsidP="00B3394B">
      <w:pPr>
        <w:tabs>
          <w:tab w:val="clear" w:pos="284"/>
        </w:tabs>
        <w:rPr>
          <w:rFonts w:eastAsia="Calibri"/>
          <w:szCs w:val="22"/>
          <w:lang w:val="sr-Latn-RS"/>
        </w:rPr>
      </w:pPr>
      <w:r w:rsidRPr="00541382">
        <w:rPr>
          <w:rFonts w:eastAsia="Calibri"/>
          <w:szCs w:val="22"/>
          <w:lang w:val="sr-Latn-RS"/>
        </w:rPr>
        <w:t>tel: +382 (0) 20 310 280</w:t>
      </w:r>
    </w:p>
    <w:p w14:paraId="0516241E" w14:textId="77777777" w:rsidR="00541382" w:rsidRPr="00541382" w:rsidRDefault="00541382">
      <w:pPr>
        <w:tabs>
          <w:tab w:val="clear" w:pos="284"/>
          <w:tab w:val="left" w:pos="6720"/>
        </w:tabs>
        <w:rPr>
          <w:rFonts w:eastAsia="Calibri"/>
          <w:szCs w:val="22"/>
          <w:lang w:val="sr-Latn-RS"/>
        </w:rPr>
      </w:pPr>
      <w:r w:rsidRPr="00541382">
        <w:rPr>
          <w:rFonts w:eastAsia="Calibri"/>
          <w:szCs w:val="22"/>
          <w:lang w:val="sr-Latn-RS"/>
        </w:rPr>
        <w:t>fax: +382 (0) 20 310 581</w:t>
      </w:r>
      <w:r w:rsidRPr="00541382">
        <w:rPr>
          <w:rFonts w:eastAsia="Calibri"/>
          <w:szCs w:val="22"/>
          <w:lang w:val="sr-Latn-RS"/>
        </w:rPr>
        <w:tab/>
      </w:r>
    </w:p>
    <w:p w14:paraId="3D7440D4" w14:textId="77777777" w:rsidR="00541382" w:rsidRPr="00541382" w:rsidRDefault="0011015E">
      <w:pPr>
        <w:tabs>
          <w:tab w:val="clear" w:pos="284"/>
        </w:tabs>
        <w:rPr>
          <w:rFonts w:eastAsia="Calibri"/>
          <w:szCs w:val="22"/>
          <w:lang w:val="sr-Latn-RS"/>
        </w:rPr>
      </w:pPr>
      <w:hyperlink r:id="rId7" w:history="1">
        <w:r w:rsidR="00541382" w:rsidRPr="00541382">
          <w:rPr>
            <w:rFonts w:eastAsia="Calibri"/>
            <w:color w:val="0563C1"/>
            <w:szCs w:val="22"/>
            <w:u w:val="single"/>
            <w:lang w:val="sr-Latn-RS"/>
          </w:rPr>
          <w:t>www.cinmed.me</w:t>
        </w:r>
      </w:hyperlink>
    </w:p>
    <w:p w14:paraId="2FE7EC1E" w14:textId="77777777" w:rsidR="00541382" w:rsidRPr="00541382" w:rsidRDefault="0011015E">
      <w:pPr>
        <w:tabs>
          <w:tab w:val="clear" w:pos="284"/>
        </w:tabs>
        <w:rPr>
          <w:rFonts w:eastAsia="Calibri"/>
          <w:color w:val="0000FF"/>
          <w:szCs w:val="22"/>
          <w:u w:val="single"/>
          <w:lang w:val="sr-Latn-RS"/>
        </w:rPr>
      </w:pPr>
      <w:hyperlink r:id="rId8" w:history="1">
        <w:r w:rsidR="00541382" w:rsidRPr="00541382">
          <w:rPr>
            <w:rFonts w:eastAsia="Calibri"/>
            <w:color w:val="0563C1"/>
            <w:szCs w:val="22"/>
            <w:u w:val="single"/>
            <w:lang w:val="sr-Latn-RS"/>
          </w:rPr>
          <w:t>nezeljenadejstva@cinmed.me</w:t>
        </w:r>
      </w:hyperlink>
    </w:p>
    <w:p w14:paraId="6F5A1256" w14:textId="77777777" w:rsidR="00541382" w:rsidRPr="00541382" w:rsidRDefault="00541382">
      <w:pPr>
        <w:tabs>
          <w:tab w:val="clear" w:pos="284"/>
        </w:tabs>
        <w:rPr>
          <w:rFonts w:eastAsia="Calibri"/>
          <w:szCs w:val="22"/>
          <w:lang w:val="sr-Latn-RS"/>
        </w:rPr>
      </w:pPr>
      <w:r w:rsidRPr="00541382">
        <w:rPr>
          <w:rFonts w:eastAsia="Calibri"/>
          <w:szCs w:val="22"/>
          <w:lang w:val="sr-Latn-RS"/>
        </w:rPr>
        <w:t>putem IS zdravstvene zaštite</w:t>
      </w:r>
    </w:p>
    <w:p w14:paraId="6D7E6C78" w14:textId="77777777" w:rsidR="00541382" w:rsidRPr="00541382" w:rsidRDefault="00541382">
      <w:pPr>
        <w:tabs>
          <w:tab w:val="clear" w:pos="284"/>
        </w:tabs>
        <w:rPr>
          <w:rFonts w:eastAsia="Calibri"/>
          <w:szCs w:val="22"/>
          <w:lang w:val="sr-Latn-RS"/>
        </w:rPr>
      </w:pPr>
      <w:r w:rsidRPr="00541382">
        <w:rPr>
          <w:rFonts w:eastAsia="Calibri"/>
          <w:szCs w:val="22"/>
          <w:lang w:val="sr-Latn-RS"/>
        </w:rPr>
        <w:t>QR kod za online prijavu sumnje na neželjeno dejstvo lijeka:</w:t>
      </w:r>
    </w:p>
    <w:p w14:paraId="261421EB" w14:textId="77777777" w:rsidR="00541382" w:rsidRPr="00541382" w:rsidRDefault="00541382">
      <w:pPr>
        <w:tabs>
          <w:tab w:val="clear" w:pos="284"/>
        </w:tabs>
        <w:rPr>
          <w:rFonts w:eastAsia="Calibri"/>
          <w:szCs w:val="22"/>
          <w:lang w:val="sr-Latn-RS"/>
        </w:rPr>
      </w:pPr>
    </w:p>
    <w:p w14:paraId="6D66049E" w14:textId="4E6324CB" w:rsidR="00541382" w:rsidRDefault="00AA45CD">
      <w:pPr>
        <w:tabs>
          <w:tab w:val="clear" w:pos="284"/>
        </w:tabs>
        <w:jc w:val="left"/>
        <w:rPr>
          <w:rFonts w:eastAsia="Calibri"/>
          <w:szCs w:val="22"/>
          <w:lang w:val="sr-Latn-RS"/>
        </w:rPr>
      </w:pPr>
      <w:r w:rsidRPr="00541382">
        <w:rPr>
          <w:noProof/>
          <w:sz w:val="24"/>
        </w:rPr>
        <w:drawing>
          <wp:inline distT="0" distB="0" distL="0" distR="0" wp14:anchorId="02AEB458" wp14:editId="5CCB7201">
            <wp:extent cx="970915" cy="970915"/>
            <wp:effectExtent l="0" t="0" r="0" b="0"/>
            <wp:docPr id="1" name="Picture 2" descr="https://cinmed.me/wp-content/uploads/2022/11/Online-prijava-NDL-QR-code-300x30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0915" cy="970915"/>
                    </a:xfrm>
                    <a:prstGeom prst="rect">
                      <a:avLst/>
                    </a:prstGeom>
                    <a:noFill/>
                    <a:ln>
                      <a:noFill/>
                    </a:ln>
                  </pic:spPr>
                </pic:pic>
              </a:graphicData>
            </a:graphic>
          </wp:inline>
        </w:drawing>
      </w:r>
    </w:p>
    <w:p w14:paraId="4C87650C" w14:textId="77777777" w:rsidR="00B3394B" w:rsidRPr="00541382" w:rsidRDefault="00B3394B">
      <w:pPr>
        <w:tabs>
          <w:tab w:val="clear" w:pos="284"/>
        </w:tabs>
        <w:jc w:val="left"/>
        <w:rPr>
          <w:rFonts w:eastAsia="Calibri"/>
          <w:szCs w:val="22"/>
          <w:lang w:val="sr-Latn-RS"/>
        </w:rPr>
      </w:pPr>
    </w:p>
    <w:p w14:paraId="7DCC0FD7" w14:textId="77777777" w:rsidR="006941F5" w:rsidRPr="003E2B8A" w:rsidRDefault="006941F5" w:rsidP="00950794">
      <w:pPr>
        <w:rPr>
          <w:b/>
          <w:bCs/>
          <w:szCs w:val="22"/>
          <w:lang w:val="sr-Latn-CS"/>
        </w:rPr>
      </w:pPr>
      <w:r w:rsidRPr="003E2B8A">
        <w:rPr>
          <w:b/>
          <w:bCs/>
          <w:szCs w:val="22"/>
          <w:lang w:val="sr-Latn-CS"/>
        </w:rPr>
        <w:t>4.9. Predoziranje</w:t>
      </w:r>
    </w:p>
    <w:p w14:paraId="1888A16C" w14:textId="40E7F9D4" w:rsidR="006941F5" w:rsidRDefault="006941F5" w:rsidP="00B3394B">
      <w:pPr>
        <w:rPr>
          <w:szCs w:val="22"/>
          <w:lang w:val="sl-SI"/>
        </w:rPr>
      </w:pPr>
      <w:r w:rsidRPr="00652B33">
        <w:rPr>
          <w:szCs w:val="22"/>
          <w:lang w:val="sl-SI"/>
        </w:rPr>
        <w:t>U slučaju predoziranja terapija uglavnom nije potrebna.</w:t>
      </w:r>
    </w:p>
    <w:p w14:paraId="1E682145" w14:textId="73E9079E" w:rsidR="00537943" w:rsidRDefault="00537943" w:rsidP="00B3394B">
      <w:pPr>
        <w:rPr>
          <w:szCs w:val="22"/>
          <w:lang w:val="sr-Latn-CS"/>
        </w:rPr>
      </w:pPr>
    </w:p>
    <w:p w14:paraId="4DD634A1" w14:textId="77777777" w:rsidR="00B3394B" w:rsidRPr="003E2B8A" w:rsidRDefault="00B3394B" w:rsidP="00B3394B">
      <w:pPr>
        <w:rPr>
          <w:szCs w:val="22"/>
          <w:lang w:val="sr-Latn-CS"/>
        </w:rPr>
      </w:pPr>
    </w:p>
    <w:p w14:paraId="4CA55884" w14:textId="77777777" w:rsidR="006941F5" w:rsidRPr="006941F5" w:rsidRDefault="006941F5" w:rsidP="00950794">
      <w:pPr>
        <w:pStyle w:val="NASLOV123"/>
        <w:spacing w:before="0" w:after="0"/>
        <w:jc w:val="both"/>
        <w:rPr>
          <w:lang w:val="pl-PL"/>
        </w:rPr>
      </w:pPr>
      <w:r w:rsidRPr="006941F5">
        <w:rPr>
          <w:lang w:val="pl-PL"/>
        </w:rPr>
        <w:t>5. FARMAKOLOŠKI PODACI</w:t>
      </w:r>
    </w:p>
    <w:p w14:paraId="7E41A733" w14:textId="77777777" w:rsidR="006941F5" w:rsidRPr="006941F5" w:rsidRDefault="006941F5" w:rsidP="00B3394B">
      <w:pPr>
        <w:rPr>
          <w:b/>
          <w:bCs/>
          <w:szCs w:val="22"/>
          <w:lang w:val="pl-PL"/>
        </w:rPr>
      </w:pPr>
      <w:r w:rsidRPr="006941F5">
        <w:rPr>
          <w:b/>
          <w:bCs/>
          <w:szCs w:val="22"/>
          <w:lang w:val="pl-PL"/>
        </w:rPr>
        <w:lastRenderedPageBreak/>
        <w:t>5.1. Farmakodinamski podaci</w:t>
      </w:r>
    </w:p>
    <w:p w14:paraId="37B85B45" w14:textId="77777777" w:rsidR="006941F5" w:rsidRPr="009371A1" w:rsidRDefault="006941F5" w:rsidP="00B3394B">
      <w:pPr>
        <w:rPr>
          <w:szCs w:val="22"/>
          <w:lang w:val="pl-PL"/>
        </w:rPr>
      </w:pPr>
      <w:r w:rsidRPr="009371A1">
        <w:rPr>
          <w:szCs w:val="22"/>
          <w:lang w:val="pl-PL"/>
        </w:rPr>
        <w:t xml:space="preserve">Farmakoterapijska grupa: Antianemici; </w:t>
      </w:r>
      <w:r w:rsidRPr="009371A1">
        <w:rPr>
          <w:szCs w:val="22"/>
          <w:lang w:val="fr-FR"/>
        </w:rPr>
        <w:t>V</w:t>
      </w:r>
      <w:r w:rsidRPr="009371A1">
        <w:rPr>
          <w:szCs w:val="22"/>
          <w:lang w:val="sr-Cyrl-CS"/>
        </w:rPr>
        <w:t>itamin B12</w:t>
      </w:r>
      <w:r w:rsidRPr="009371A1">
        <w:rPr>
          <w:szCs w:val="22"/>
          <w:lang w:val="pl-PL"/>
        </w:rPr>
        <w:t xml:space="preserve"> (cijanokobalamin) i analozi</w:t>
      </w:r>
    </w:p>
    <w:p w14:paraId="369236C4" w14:textId="77777777" w:rsidR="006941F5" w:rsidRPr="009371A1" w:rsidRDefault="006941F5" w:rsidP="00B3394B">
      <w:pPr>
        <w:spacing w:before="120"/>
        <w:rPr>
          <w:szCs w:val="22"/>
          <w:lang w:val="pl-PL"/>
        </w:rPr>
      </w:pPr>
      <w:r w:rsidRPr="00950794">
        <w:rPr>
          <w:b/>
          <w:szCs w:val="22"/>
          <w:lang w:val="pl-PL"/>
        </w:rPr>
        <w:t xml:space="preserve">ATC </w:t>
      </w:r>
      <w:r w:rsidR="009371A1" w:rsidRPr="00950794">
        <w:rPr>
          <w:b/>
          <w:szCs w:val="22"/>
          <w:lang w:val="pl-PL"/>
        </w:rPr>
        <w:t>kod</w:t>
      </w:r>
      <w:r w:rsidRPr="009371A1">
        <w:rPr>
          <w:szCs w:val="22"/>
          <w:lang w:val="pl-PL"/>
        </w:rPr>
        <w:t xml:space="preserve">: </w:t>
      </w:r>
      <w:r w:rsidRPr="009371A1">
        <w:rPr>
          <w:szCs w:val="22"/>
          <w:lang w:val="sr-Cyrl-CS"/>
        </w:rPr>
        <w:t>B03BA03</w:t>
      </w:r>
    </w:p>
    <w:p w14:paraId="224BC8BC" w14:textId="27B60CD8" w:rsidR="006941F5" w:rsidRPr="006941F5" w:rsidRDefault="006941F5">
      <w:pPr>
        <w:pStyle w:val="BodyTextIndent"/>
        <w:spacing w:before="120" w:after="0"/>
        <w:ind w:left="0"/>
        <w:rPr>
          <w:szCs w:val="22"/>
          <w:lang w:val="pl-PL"/>
        </w:rPr>
      </w:pPr>
      <w:r w:rsidRPr="006941F5">
        <w:rPr>
          <w:color w:val="000000"/>
          <w:szCs w:val="22"/>
          <w:lang w:val="pl-PL"/>
        </w:rPr>
        <w:t>Hidroksokobalamin</w:t>
      </w:r>
      <w:r w:rsidRPr="006941F5">
        <w:rPr>
          <w:szCs w:val="22"/>
          <w:lang w:val="pl-PL"/>
        </w:rPr>
        <w:t xml:space="preserve"> se upotrebljava za l</w:t>
      </w:r>
      <w:r w:rsidR="009371A1">
        <w:rPr>
          <w:szCs w:val="22"/>
          <w:lang w:val="pl-PL"/>
        </w:rPr>
        <w:t>ij</w:t>
      </w:r>
      <w:r w:rsidRPr="006941F5">
        <w:rPr>
          <w:szCs w:val="22"/>
          <w:lang w:val="pl-PL"/>
        </w:rPr>
        <w:t>ečenje i prevenciju deficita vitamina B12. Dnevne potrebe za vitaminom B12 kod odraslih su oko 1 - 2 mikrograma i ta količina je prisutna u normalnoj dnevnoj ishrani. Međuti</w:t>
      </w:r>
      <w:r w:rsidR="003E2B8A">
        <w:rPr>
          <w:szCs w:val="22"/>
          <w:lang w:val="pl-PL"/>
        </w:rPr>
        <w:t xml:space="preserve">m, s obzirom da se vitamin B12 </w:t>
      </w:r>
      <w:r w:rsidRPr="006941F5">
        <w:rPr>
          <w:szCs w:val="22"/>
          <w:lang w:val="pl-PL"/>
        </w:rPr>
        <w:t>nalazi samo u proizvodima životinjskog por</w:t>
      </w:r>
      <w:r w:rsidR="009371A1">
        <w:rPr>
          <w:szCs w:val="22"/>
          <w:lang w:val="pl-PL"/>
        </w:rPr>
        <w:t>ij</w:t>
      </w:r>
      <w:r w:rsidRPr="006941F5">
        <w:rPr>
          <w:szCs w:val="22"/>
          <w:lang w:val="pl-PL"/>
        </w:rPr>
        <w:t xml:space="preserve">ekla, ali ne i u povrću, </w:t>
      </w:r>
      <w:r w:rsidR="003E2B8A" w:rsidRPr="003E2B8A">
        <w:rPr>
          <w:szCs w:val="22"/>
          <w:lang w:val="pl-PL"/>
        </w:rPr>
        <w:t>vegetarijansk</w:t>
      </w:r>
      <w:r w:rsidRPr="003E2B8A">
        <w:rPr>
          <w:szCs w:val="22"/>
          <w:lang w:val="pl-PL"/>
        </w:rPr>
        <w:t>im</w:t>
      </w:r>
      <w:r w:rsidRPr="006941F5">
        <w:rPr>
          <w:szCs w:val="22"/>
          <w:lang w:val="pl-PL"/>
        </w:rPr>
        <w:t xml:space="preserve"> ili veganskim načinom ishrane, u kojima ni</w:t>
      </w:r>
      <w:r w:rsidR="00B3394B">
        <w:rPr>
          <w:szCs w:val="22"/>
          <w:lang w:val="pl-PL"/>
        </w:rPr>
        <w:t>je</w:t>
      </w:r>
      <w:r w:rsidRPr="006941F5">
        <w:rPr>
          <w:szCs w:val="22"/>
          <w:lang w:val="pl-PL"/>
        </w:rPr>
        <w:t>su zastupljeni ml</w:t>
      </w:r>
      <w:r w:rsidR="009371A1">
        <w:rPr>
          <w:szCs w:val="22"/>
          <w:lang w:val="pl-PL"/>
        </w:rPr>
        <w:t>ij</w:t>
      </w:r>
      <w:r w:rsidRPr="006941F5">
        <w:rPr>
          <w:szCs w:val="22"/>
          <w:lang w:val="pl-PL"/>
        </w:rPr>
        <w:t>ečni proizvodi, se ne obezb</w:t>
      </w:r>
      <w:r w:rsidR="009371A1">
        <w:rPr>
          <w:szCs w:val="22"/>
          <w:lang w:val="pl-PL"/>
        </w:rPr>
        <w:t>j</w:t>
      </w:r>
      <w:r w:rsidRPr="006941F5">
        <w:rPr>
          <w:szCs w:val="22"/>
          <w:lang w:val="pl-PL"/>
        </w:rPr>
        <w:t>eđuju dovoljne količine ovog vitamina, iako deficit godinama ne mora biti uočljiv.</w:t>
      </w:r>
    </w:p>
    <w:p w14:paraId="50608B5E" w14:textId="77777777" w:rsidR="006941F5" w:rsidRPr="006941F5" w:rsidRDefault="006941F5">
      <w:pPr>
        <w:pStyle w:val="BodyTextIndent"/>
        <w:spacing w:before="120" w:after="0"/>
        <w:ind w:left="0"/>
        <w:rPr>
          <w:szCs w:val="22"/>
          <w:lang w:val="pl-PL"/>
        </w:rPr>
      </w:pPr>
      <w:r w:rsidRPr="006941F5">
        <w:rPr>
          <w:szCs w:val="22"/>
          <w:lang w:val="pl-PL"/>
        </w:rPr>
        <w:t xml:space="preserve">Deficit vitamina B12 se češće javlja kod pacijenata sa sindromima malapsorpcije ili metaboličkim poremećajima, megaloblastozom indukovanom azot-suboksidom ili nakon gastrektomije ili obimne resekcije ileuma. </w:t>
      </w:r>
      <w:r w:rsidR="005235BE">
        <w:rPr>
          <w:szCs w:val="22"/>
          <w:lang w:val="pl-PL"/>
        </w:rPr>
        <w:t>Deficit d</w:t>
      </w:r>
      <w:r w:rsidRPr="006941F5">
        <w:rPr>
          <w:szCs w:val="22"/>
          <w:lang w:val="pl-PL"/>
        </w:rPr>
        <w:t>ovodi do pojave megaloblastne anemije, demijelinizacije i drugih neuroloških oštećenja.</w:t>
      </w:r>
    </w:p>
    <w:p w14:paraId="22CF8265" w14:textId="38C81708" w:rsidR="006941F5" w:rsidRPr="006941F5" w:rsidRDefault="006941F5">
      <w:pPr>
        <w:pStyle w:val="BodyTextIndent"/>
        <w:spacing w:before="120" w:after="0"/>
        <w:ind w:left="0"/>
        <w:rPr>
          <w:szCs w:val="22"/>
          <w:lang w:val="pl-PL"/>
        </w:rPr>
      </w:pPr>
      <w:r w:rsidRPr="006941F5">
        <w:rPr>
          <w:szCs w:val="22"/>
          <w:lang w:val="pl-PL"/>
        </w:rPr>
        <w:t>Nakon oralne prim</w:t>
      </w:r>
      <w:r w:rsidR="009371A1">
        <w:rPr>
          <w:szCs w:val="22"/>
          <w:lang w:val="pl-PL"/>
        </w:rPr>
        <w:t>j</w:t>
      </w:r>
      <w:r w:rsidRPr="006941F5">
        <w:rPr>
          <w:szCs w:val="22"/>
          <w:lang w:val="pl-PL"/>
        </w:rPr>
        <w:t>ene vitamin B12 se vezuje za intri</w:t>
      </w:r>
      <w:r w:rsidR="00634C82">
        <w:rPr>
          <w:szCs w:val="22"/>
          <w:lang w:val="pl-PL"/>
        </w:rPr>
        <w:t>n</w:t>
      </w:r>
      <w:r w:rsidRPr="006941F5">
        <w:rPr>
          <w:szCs w:val="22"/>
          <w:lang w:val="pl-PL"/>
        </w:rPr>
        <w:t>zični faktor glikoprotein koji sekretuje gastrična mukoza, i na taj način aktivno resorbuje iz gastrointestinalnog trakta. Određena vrsta anemije, poznata kao perniciozna anemija, se javlja kod pacijenata koji nemaju intri</w:t>
      </w:r>
      <w:r w:rsidR="00634C82">
        <w:rPr>
          <w:szCs w:val="22"/>
          <w:lang w:val="pl-PL"/>
        </w:rPr>
        <w:t>n</w:t>
      </w:r>
      <w:r w:rsidRPr="006941F5">
        <w:rPr>
          <w:szCs w:val="22"/>
          <w:lang w:val="pl-PL"/>
        </w:rPr>
        <w:t>zič</w:t>
      </w:r>
      <w:r w:rsidR="00B3394B">
        <w:rPr>
          <w:szCs w:val="22"/>
          <w:lang w:val="pl-PL"/>
        </w:rPr>
        <w:t>n</w:t>
      </w:r>
      <w:r w:rsidRPr="006941F5">
        <w:rPr>
          <w:szCs w:val="22"/>
          <w:lang w:val="pl-PL"/>
        </w:rPr>
        <w:t>i faktor. Resorpija je poremećena i kod pacijenata sa bolestima ili malformacijama cr</w:t>
      </w:r>
      <w:r w:rsidR="009371A1">
        <w:rPr>
          <w:szCs w:val="22"/>
          <w:lang w:val="pl-PL"/>
        </w:rPr>
        <w:t>ij</w:t>
      </w:r>
      <w:r w:rsidRPr="006941F5">
        <w:rPr>
          <w:szCs w:val="22"/>
          <w:lang w:val="pl-PL"/>
        </w:rPr>
        <w:t>eva.</w:t>
      </w:r>
    </w:p>
    <w:p w14:paraId="2FB39FD8" w14:textId="77777777" w:rsidR="000B2F45" w:rsidRDefault="006941F5" w:rsidP="00950794">
      <w:pPr>
        <w:pStyle w:val="BodyTextIndent"/>
        <w:spacing w:after="0"/>
        <w:ind w:left="0"/>
        <w:rPr>
          <w:szCs w:val="22"/>
          <w:lang w:val="pl-PL"/>
        </w:rPr>
      </w:pPr>
      <w:r w:rsidRPr="006941F5">
        <w:rPr>
          <w:szCs w:val="22"/>
          <w:lang w:val="pl-PL"/>
        </w:rPr>
        <w:t>Terapija hidroksokobalaminom uglavnom dovodi do brzog poboljšanja hematoloških parametara i kliničkog odgovora. Ipak, do poboljšanja neuroloških simptoma može doći nešto sporije.</w:t>
      </w:r>
    </w:p>
    <w:p w14:paraId="0DCA3017" w14:textId="6E32D8CA" w:rsidR="006941F5" w:rsidRPr="006941F5" w:rsidRDefault="006941F5" w:rsidP="00950794">
      <w:pPr>
        <w:pStyle w:val="BodyTextIndent"/>
        <w:spacing w:after="0"/>
        <w:ind w:left="0"/>
        <w:rPr>
          <w:szCs w:val="22"/>
          <w:lang w:val="pl-PL"/>
        </w:rPr>
      </w:pPr>
      <w:r w:rsidRPr="006941F5">
        <w:rPr>
          <w:szCs w:val="22"/>
          <w:lang w:val="pl-PL"/>
        </w:rPr>
        <w:t xml:space="preserve"> </w:t>
      </w:r>
    </w:p>
    <w:p w14:paraId="20A39C34" w14:textId="28FCAA45" w:rsidR="006941F5" w:rsidRDefault="006941F5" w:rsidP="00950794">
      <w:pPr>
        <w:rPr>
          <w:b/>
          <w:bCs/>
          <w:szCs w:val="22"/>
          <w:lang w:val="pl-PL"/>
        </w:rPr>
      </w:pPr>
      <w:r w:rsidRPr="006941F5">
        <w:rPr>
          <w:b/>
          <w:bCs/>
          <w:szCs w:val="22"/>
          <w:lang w:val="pl-PL"/>
        </w:rPr>
        <w:t>5.2. Farmakokinetički podaci</w:t>
      </w:r>
    </w:p>
    <w:p w14:paraId="001CEF63" w14:textId="3348A66C" w:rsidR="000B2F45" w:rsidRPr="00950794" w:rsidRDefault="000B2F45" w:rsidP="00950794">
      <w:pPr>
        <w:rPr>
          <w:bCs/>
          <w:szCs w:val="22"/>
          <w:lang w:val="pl-PL"/>
        </w:rPr>
      </w:pPr>
      <w:r w:rsidRPr="00950794">
        <w:rPr>
          <w:bCs/>
          <w:szCs w:val="22"/>
          <w:lang w:val="pl-PL"/>
        </w:rPr>
        <w:t>Distribucija</w:t>
      </w:r>
    </w:p>
    <w:p w14:paraId="1C2057C7" w14:textId="77777777" w:rsidR="000B2F45" w:rsidRDefault="006941F5" w:rsidP="000B2F45">
      <w:pPr>
        <w:shd w:val="clear" w:color="auto" w:fill="FFFFFF"/>
        <w:rPr>
          <w:szCs w:val="22"/>
          <w:lang w:val="pl-PL"/>
        </w:rPr>
      </w:pPr>
      <w:r w:rsidRPr="006941F5">
        <w:rPr>
          <w:szCs w:val="22"/>
          <w:lang w:val="pl-PL"/>
        </w:rPr>
        <w:t>Hidroksokobalamin se u visokom procentu vezuje za proteine plazme (transkobalamine); transkobalamin II je uključen u brzi transport kobalamina do tkiva.</w:t>
      </w:r>
    </w:p>
    <w:p w14:paraId="2E2BD47B" w14:textId="77777777" w:rsidR="000B2F45" w:rsidRDefault="000B2F45" w:rsidP="000B2F45">
      <w:pPr>
        <w:shd w:val="clear" w:color="auto" w:fill="FFFFFF"/>
        <w:rPr>
          <w:szCs w:val="22"/>
          <w:lang w:val="pl-PL"/>
        </w:rPr>
      </w:pPr>
    </w:p>
    <w:p w14:paraId="743898AB" w14:textId="5BA77EB1" w:rsidR="000B2F45" w:rsidRDefault="000B2F45" w:rsidP="000B2F45">
      <w:pPr>
        <w:shd w:val="clear" w:color="auto" w:fill="FFFFFF"/>
        <w:rPr>
          <w:szCs w:val="22"/>
          <w:lang w:val="pl-PL"/>
        </w:rPr>
      </w:pPr>
      <w:r>
        <w:rPr>
          <w:szCs w:val="22"/>
          <w:lang w:val="pl-PL"/>
        </w:rPr>
        <w:t>Eliminacija</w:t>
      </w:r>
    </w:p>
    <w:p w14:paraId="3FAC330F" w14:textId="6F287082" w:rsidR="006941F5" w:rsidRDefault="006941F5" w:rsidP="000B2F45">
      <w:pPr>
        <w:shd w:val="clear" w:color="auto" w:fill="FFFFFF"/>
        <w:rPr>
          <w:szCs w:val="22"/>
          <w:lang w:val="sl-SI"/>
        </w:rPr>
      </w:pPr>
      <w:r w:rsidRPr="006941F5">
        <w:rPr>
          <w:szCs w:val="22"/>
          <w:lang w:val="pl-PL"/>
        </w:rPr>
        <w:t xml:space="preserve">Deponuje </w:t>
      </w:r>
      <w:r w:rsidR="003E2B8A">
        <w:rPr>
          <w:szCs w:val="22"/>
          <w:lang w:val="pl-PL"/>
        </w:rPr>
        <w:t>se u jetri, izlučuje putem žuči</w:t>
      </w:r>
      <w:r w:rsidRPr="006941F5">
        <w:rPr>
          <w:szCs w:val="22"/>
          <w:lang w:val="pl-PL"/>
        </w:rPr>
        <w:t xml:space="preserve"> i podl</w:t>
      </w:r>
      <w:r w:rsidR="000B2F45">
        <w:rPr>
          <w:szCs w:val="22"/>
          <w:lang w:val="pl-PL"/>
        </w:rPr>
        <w:t>ij</w:t>
      </w:r>
      <w:r w:rsidRPr="006941F5">
        <w:rPr>
          <w:szCs w:val="22"/>
          <w:lang w:val="pl-PL"/>
        </w:rPr>
        <w:t>eže ekstenzivnoj enterohepatičkoj recirkulaciji. D</w:t>
      </w:r>
      <w:r w:rsidR="009371A1">
        <w:rPr>
          <w:szCs w:val="22"/>
          <w:lang w:val="pl-PL"/>
        </w:rPr>
        <w:t>i</w:t>
      </w:r>
      <w:r w:rsidRPr="006941F5">
        <w:rPr>
          <w:szCs w:val="22"/>
          <w:lang w:val="pl-PL"/>
        </w:rPr>
        <w:t>o doze se izlučuje urinom, najviše u prvih osam sati. Prolazi kroz placentu i distribuira se u majčino ml</w:t>
      </w:r>
      <w:r w:rsidR="009371A1">
        <w:rPr>
          <w:szCs w:val="22"/>
          <w:lang w:val="pl-PL"/>
        </w:rPr>
        <w:t>ij</w:t>
      </w:r>
      <w:r w:rsidRPr="006941F5">
        <w:rPr>
          <w:szCs w:val="22"/>
          <w:lang w:val="pl-PL"/>
        </w:rPr>
        <w:t>eko.</w:t>
      </w:r>
      <w:r w:rsidRPr="006941F5">
        <w:rPr>
          <w:color w:val="000000"/>
          <w:szCs w:val="22"/>
          <w:lang w:val="pl-PL"/>
        </w:rPr>
        <w:t xml:space="preserve"> </w:t>
      </w:r>
      <w:r w:rsidRPr="00652B33">
        <w:rPr>
          <w:color w:val="000000"/>
          <w:szCs w:val="22"/>
          <w:lang w:val="sr-Latn-CS"/>
        </w:rPr>
        <w:t>Iskoristljivost hidroksokobalamina je bolja nego cijanokobalamina; b</w:t>
      </w:r>
      <w:r w:rsidRPr="00652B33">
        <w:rPr>
          <w:color w:val="000000"/>
          <w:szCs w:val="22"/>
          <w:lang w:val="sl-SI"/>
        </w:rPr>
        <w:t>iološk</w:t>
      </w:r>
      <w:r w:rsidRPr="00652B33">
        <w:rPr>
          <w:szCs w:val="22"/>
          <w:lang w:val="sl-SI"/>
        </w:rPr>
        <w:t>a raspoloživost h</w:t>
      </w:r>
      <w:r w:rsidRPr="00652B33">
        <w:rPr>
          <w:color w:val="000000"/>
          <w:szCs w:val="22"/>
          <w:lang w:val="sl-SI"/>
        </w:rPr>
        <w:t>idroksokobalamina</w:t>
      </w:r>
      <w:r w:rsidRPr="00652B33">
        <w:rPr>
          <w:szCs w:val="22"/>
          <w:lang w:val="sl-SI"/>
        </w:rPr>
        <w:t xml:space="preserve"> je 90% nakon doze od 100 mikr</w:t>
      </w:r>
      <w:r w:rsidR="003E2B8A">
        <w:rPr>
          <w:szCs w:val="22"/>
          <w:lang w:val="sl-SI"/>
        </w:rPr>
        <w:t xml:space="preserve">ograma i 30% nakon doze od 1000 </w:t>
      </w:r>
      <w:r w:rsidRPr="00652B33">
        <w:rPr>
          <w:szCs w:val="22"/>
          <w:lang w:val="sl-SI"/>
        </w:rPr>
        <w:t>mikrograma, što se smatra dovoljnim za potrebe organizma u periodu od 2 do 10 m</w:t>
      </w:r>
      <w:r w:rsidR="009371A1">
        <w:rPr>
          <w:szCs w:val="22"/>
          <w:lang w:val="sl-SI"/>
        </w:rPr>
        <w:t>j</w:t>
      </w:r>
      <w:r w:rsidRPr="00652B33">
        <w:rPr>
          <w:szCs w:val="22"/>
          <w:lang w:val="sl-SI"/>
        </w:rPr>
        <w:t xml:space="preserve">eseci. </w:t>
      </w:r>
    </w:p>
    <w:p w14:paraId="050AC07C" w14:textId="77777777" w:rsidR="000B2F45" w:rsidRPr="006941F5" w:rsidRDefault="000B2F45" w:rsidP="000B2F45">
      <w:pPr>
        <w:shd w:val="clear" w:color="auto" w:fill="FFFFFF"/>
        <w:rPr>
          <w:szCs w:val="22"/>
          <w:lang w:val="pl-PL"/>
        </w:rPr>
      </w:pPr>
    </w:p>
    <w:p w14:paraId="4C2F9AD1" w14:textId="77777777" w:rsidR="006941F5" w:rsidRPr="006941F5" w:rsidRDefault="006941F5" w:rsidP="00950794">
      <w:pPr>
        <w:rPr>
          <w:szCs w:val="22"/>
          <w:lang w:val="pl-PL"/>
        </w:rPr>
      </w:pPr>
      <w:r w:rsidRPr="006941F5">
        <w:rPr>
          <w:b/>
          <w:bCs/>
          <w:szCs w:val="22"/>
          <w:lang w:val="pl-PL"/>
        </w:rPr>
        <w:t>5.3. Pretklinički podaci o bezb</w:t>
      </w:r>
      <w:r w:rsidR="009371A1">
        <w:rPr>
          <w:b/>
          <w:bCs/>
          <w:szCs w:val="22"/>
          <w:lang w:val="pl-PL"/>
        </w:rPr>
        <w:t>j</w:t>
      </w:r>
      <w:r w:rsidRPr="006941F5">
        <w:rPr>
          <w:b/>
          <w:bCs/>
          <w:szCs w:val="22"/>
          <w:lang w:val="pl-PL"/>
        </w:rPr>
        <w:t xml:space="preserve">ednosti </w:t>
      </w:r>
    </w:p>
    <w:p w14:paraId="595331FF" w14:textId="7A1156E1" w:rsidR="006941F5" w:rsidRDefault="006941F5" w:rsidP="000B2F45">
      <w:pPr>
        <w:rPr>
          <w:color w:val="000000"/>
          <w:szCs w:val="22"/>
          <w:lang w:val="sl-SI"/>
        </w:rPr>
      </w:pPr>
      <w:r w:rsidRPr="00652B33">
        <w:rPr>
          <w:szCs w:val="22"/>
          <w:lang w:val="sl-SI"/>
        </w:rPr>
        <w:t>Nema dodatnih informacija relevantnih za l</w:t>
      </w:r>
      <w:r w:rsidR="009371A1">
        <w:rPr>
          <w:szCs w:val="22"/>
          <w:lang w:val="sl-SI"/>
        </w:rPr>
        <w:t>j</w:t>
      </w:r>
      <w:r w:rsidRPr="00652B33">
        <w:rPr>
          <w:szCs w:val="22"/>
          <w:lang w:val="sl-SI"/>
        </w:rPr>
        <w:t>ekare</w:t>
      </w:r>
      <w:r w:rsidRPr="00652B33">
        <w:rPr>
          <w:color w:val="000000"/>
          <w:szCs w:val="22"/>
          <w:lang w:val="sl-SI"/>
        </w:rPr>
        <w:t>.</w:t>
      </w:r>
    </w:p>
    <w:p w14:paraId="063EE217" w14:textId="5E3748C6" w:rsidR="00537943" w:rsidRDefault="00537943" w:rsidP="000B2F45">
      <w:pPr>
        <w:rPr>
          <w:szCs w:val="22"/>
          <w:lang w:val="pl-PL"/>
        </w:rPr>
      </w:pPr>
    </w:p>
    <w:p w14:paraId="09EFCA9F" w14:textId="77777777" w:rsidR="000B2F45" w:rsidRPr="006941F5" w:rsidRDefault="000B2F45" w:rsidP="000B2F45">
      <w:pPr>
        <w:rPr>
          <w:szCs w:val="22"/>
          <w:lang w:val="pl-PL"/>
        </w:rPr>
      </w:pPr>
    </w:p>
    <w:p w14:paraId="67B1D6F4" w14:textId="10C77F95" w:rsidR="006941F5" w:rsidRDefault="006941F5" w:rsidP="00950794">
      <w:pPr>
        <w:pStyle w:val="NASLOV123"/>
        <w:spacing w:before="0" w:after="0"/>
        <w:jc w:val="both"/>
        <w:rPr>
          <w:lang w:val="pl-PL"/>
        </w:rPr>
      </w:pPr>
      <w:r w:rsidRPr="006941F5">
        <w:rPr>
          <w:lang w:val="pl-PL"/>
        </w:rPr>
        <w:t>6. FARMACEUTSKI PODACI</w:t>
      </w:r>
    </w:p>
    <w:p w14:paraId="50763BFD" w14:textId="77777777" w:rsidR="000B2F45" w:rsidRPr="006941F5" w:rsidRDefault="000B2F45" w:rsidP="00950794">
      <w:pPr>
        <w:pStyle w:val="NASLOV123"/>
        <w:spacing w:before="0" w:after="0"/>
        <w:jc w:val="both"/>
        <w:rPr>
          <w:lang w:val="pl-PL"/>
        </w:rPr>
      </w:pPr>
    </w:p>
    <w:p w14:paraId="2C904E3F" w14:textId="77777777" w:rsidR="006941F5" w:rsidRPr="00652B33" w:rsidRDefault="006941F5">
      <w:pPr>
        <w:rPr>
          <w:b/>
          <w:bCs/>
          <w:szCs w:val="22"/>
          <w:lang w:val="sr-Latn-CS"/>
        </w:rPr>
      </w:pPr>
      <w:r w:rsidRPr="006941F5">
        <w:rPr>
          <w:b/>
          <w:bCs/>
          <w:szCs w:val="22"/>
          <w:lang w:val="pl-PL"/>
        </w:rPr>
        <w:t>6.1. Lista pomo</w:t>
      </w:r>
      <w:r w:rsidRPr="00652B33">
        <w:rPr>
          <w:b/>
          <w:bCs/>
          <w:szCs w:val="22"/>
          <w:lang w:val="sr-Latn-CS"/>
        </w:rPr>
        <w:t>ćnih supstanci</w:t>
      </w:r>
      <w:r w:rsidR="009371A1">
        <w:rPr>
          <w:b/>
          <w:bCs/>
          <w:szCs w:val="22"/>
          <w:lang w:val="sr-Latn-CS"/>
        </w:rPr>
        <w:t xml:space="preserve"> (ekscipijenasa)</w:t>
      </w:r>
    </w:p>
    <w:p w14:paraId="3716872D" w14:textId="77777777" w:rsidR="006941F5" w:rsidRPr="00652B33" w:rsidRDefault="006941F5" w:rsidP="00950794">
      <w:pPr>
        <w:pStyle w:val="Header"/>
        <w:tabs>
          <w:tab w:val="clear" w:pos="4536"/>
          <w:tab w:val="clear" w:pos="9072"/>
          <w:tab w:val="left" w:pos="284"/>
        </w:tabs>
        <w:spacing w:before="120"/>
        <w:rPr>
          <w:szCs w:val="22"/>
          <w:lang w:val="sr-Latn-CS"/>
        </w:rPr>
      </w:pPr>
      <w:r w:rsidRPr="006941F5">
        <w:rPr>
          <w:szCs w:val="22"/>
          <w:lang w:val="pl-PL"/>
        </w:rPr>
        <w:t>M</w:t>
      </w:r>
      <w:r w:rsidRPr="00652B33">
        <w:rPr>
          <w:szCs w:val="22"/>
          <w:lang w:val="sr-Latn-CS"/>
        </w:rPr>
        <w:t>etilparahidroksibenzoat (E218);</w:t>
      </w:r>
    </w:p>
    <w:p w14:paraId="764C9D57" w14:textId="7D712CED" w:rsidR="006941F5" w:rsidRPr="00652B33" w:rsidRDefault="00537943" w:rsidP="00950794">
      <w:pPr>
        <w:pStyle w:val="Header"/>
        <w:tabs>
          <w:tab w:val="clear" w:pos="4536"/>
          <w:tab w:val="clear" w:pos="9072"/>
          <w:tab w:val="left" w:pos="284"/>
        </w:tabs>
        <w:rPr>
          <w:szCs w:val="22"/>
          <w:lang w:val="sr-Latn-CS"/>
        </w:rPr>
      </w:pPr>
      <w:r>
        <w:rPr>
          <w:szCs w:val="22"/>
          <w:lang w:val="sr-Latn-CS"/>
        </w:rPr>
        <w:t>p</w:t>
      </w:r>
      <w:r w:rsidR="006941F5" w:rsidRPr="00652B33">
        <w:rPr>
          <w:szCs w:val="22"/>
          <w:lang w:val="sr-Latn-CS"/>
        </w:rPr>
        <w:t>ropilparahidroksibenzoat (E216);</w:t>
      </w:r>
    </w:p>
    <w:p w14:paraId="743D0432" w14:textId="79D56A1E" w:rsidR="006941F5" w:rsidRPr="00652B33" w:rsidRDefault="00537943" w:rsidP="00950794">
      <w:pPr>
        <w:pStyle w:val="Header"/>
        <w:tabs>
          <w:tab w:val="clear" w:pos="4536"/>
          <w:tab w:val="clear" w:pos="9072"/>
          <w:tab w:val="left" w:pos="284"/>
        </w:tabs>
        <w:rPr>
          <w:szCs w:val="22"/>
          <w:lang w:val="sr-Latn-CS"/>
        </w:rPr>
      </w:pPr>
      <w:r>
        <w:rPr>
          <w:szCs w:val="22"/>
          <w:lang w:val="sr-Latn-CS"/>
        </w:rPr>
        <w:t>n</w:t>
      </w:r>
      <w:r w:rsidR="006941F5" w:rsidRPr="00652B33">
        <w:rPr>
          <w:szCs w:val="22"/>
          <w:lang w:val="sr-Latn-CS"/>
        </w:rPr>
        <w:t>atrijum</w:t>
      </w:r>
      <w:r w:rsidR="009371A1">
        <w:rPr>
          <w:szCs w:val="22"/>
          <w:lang w:val="sr-Latn-CS"/>
        </w:rPr>
        <w:t xml:space="preserve"> </w:t>
      </w:r>
      <w:r w:rsidR="006941F5" w:rsidRPr="00652B33">
        <w:rPr>
          <w:szCs w:val="22"/>
          <w:lang w:val="sr-Latn-CS"/>
        </w:rPr>
        <w:t>acetat, bezvodni;</w:t>
      </w:r>
    </w:p>
    <w:p w14:paraId="63D6DA16" w14:textId="0B550201" w:rsidR="006941F5" w:rsidRPr="00652B33" w:rsidRDefault="00537943" w:rsidP="00950794">
      <w:pPr>
        <w:pStyle w:val="Header"/>
        <w:tabs>
          <w:tab w:val="clear" w:pos="4536"/>
          <w:tab w:val="clear" w:pos="9072"/>
          <w:tab w:val="left" w:pos="284"/>
        </w:tabs>
        <w:rPr>
          <w:szCs w:val="22"/>
          <w:lang w:val="sr-Latn-CS"/>
        </w:rPr>
      </w:pPr>
      <w:r>
        <w:rPr>
          <w:szCs w:val="22"/>
          <w:lang w:val="sr-Latn-CS"/>
        </w:rPr>
        <w:t>s</w:t>
      </w:r>
      <w:r w:rsidR="006941F5" w:rsidRPr="00652B33">
        <w:rPr>
          <w:szCs w:val="22"/>
          <w:lang w:val="sr-Latn-CS"/>
        </w:rPr>
        <w:t>irćetna kiselina, glacijalna;</w:t>
      </w:r>
    </w:p>
    <w:p w14:paraId="44797BCC" w14:textId="573A92A4" w:rsidR="006941F5" w:rsidRPr="00652B33" w:rsidRDefault="00537943" w:rsidP="00950794">
      <w:pPr>
        <w:pStyle w:val="Header"/>
        <w:tabs>
          <w:tab w:val="clear" w:pos="4536"/>
          <w:tab w:val="clear" w:pos="9072"/>
          <w:tab w:val="left" w:pos="284"/>
        </w:tabs>
        <w:rPr>
          <w:szCs w:val="22"/>
          <w:lang w:val="sr-Latn-CS"/>
        </w:rPr>
      </w:pPr>
      <w:r>
        <w:rPr>
          <w:szCs w:val="22"/>
          <w:lang w:val="sr-Latn-CS"/>
        </w:rPr>
        <w:t>n</w:t>
      </w:r>
      <w:r w:rsidR="006941F5" w:rsidRPr="00652B33">
        <w:rPr>
          <w:szCs w:val="22"/>
          <w:lang w:val="sr-Latn-CS"/>
        </w:rPr>
        <w:t>atrijum</w:t>
      </w:r>
      <w:r w:rsidR="009371A1">
        <w:rPr>
          <w:szCs w:val="22"/>
          <w:lang w:val="sr-Latn-CS"/>
        </w:rPr>
        <w:t xml:space="preserve"> </w:t>
      </w:r>
      <w:r w:rsidR="006941F5" w:rsidRPr="00652B33">
        <w:rPr>
          <w:szCs w:val="22"/>
          <w:lang w:val="sr-Latn-CS"/>
        </w:rPr>
        <w:t>hlorid;</w:t>
      </w:r>
    </w:p>
    <w:p w14:paraId="038F19FA" w14:textId="7D1872D8" w:rsidR="006941F5" w:rsidRPr="00652B33" w:rsidRDefault="00537943">
      <w:pPr>
        <w:rPr>
          <w:szCs w:val="22"/>
          <w:lang w:val="sr-Latn-CS"/>
        </w:rPr>
      </w:pPr>
      <w:r>
        <w:rPr>
          <w:szCs w:val="22"/>
          <w:lang w:val="sr-Latn-CS"/>
        </w:rPr>
        <w:t>v</w:t>
      </w:r>
      <w:r w:rsidR="006941F5" w:rsidRPr="00652B33">
        <w:rPr>
          <w:szCs w:val="22"/>
          <w:lang w:val="sr-Latn-CS"/>
        </w:rPr>
        <w:t>oda za injekcije.</w:t>
      </w:r>
    </w:p>
    <w:p w14:paraId="23E44FA2" w14:textId="77777777" w:rsidR="006941F5" w:rsidRPr="003E2B8A" w:rsidRDefault="006941F5">
      <w:pPr>
        <w:spacing w:before="240" w:after="240"/>
        <w:rPr>
          <w:b/>
          <w:bCs/>
          <w:szCs w:val="22"/>
          <w:lang w:val="sr-Latn-CS"/>
        </w:rPr>
      </w:pPr>
      <w:r w:rsidRPr="003E2B8A">
        <w:rPr>
          <w:b/>
          <w:bCs/>
          <w:szCs w:val="22"/>
          <w:lang w:val="sr-Latn-CS"/>
        </w:rPr>
        <w:t>6.2. Inkompatibilnost</w:t>
      </w:r>
      <w:r w:rsidR="009371A1">
        <w:rPr>
          <w:b/>
          <w:bCs/>
          <w:szCs w:val="22"/>
          <w:lang w:val="sr-Latn-CS"/>
        </w:rPr>
        <w:t>i</w:t>
      </w:r>
    </w:p>
    <w:p w14:paraId="08CFBC18" w14:textId="77777777" w:rsidR="006941F5" w:rsidRPr="003E2B8A" w:rsidRDefault="006941F5">
      <w:pPr>
        <w:rPr>
          <w:szCs w:val="22"/>
          <w:lang w:val="sr-Latn-CS"/>
        </w:rPr>
      </w:pPr>
      <w:r w:rsidRPr="003E2B8A">
        <w:rPr>
          <w:szCs w:val="22"/>
          <w:lang w:val="sr-Latn-CS"/>
        </w:rPr>
        <w:t>Nije prim</w:t>
      </w:r>
      <w:r w:rsidR="009371A1">
        <w:rPr>
          <w:szCs w:val="22"/>
          <w:lang w:val="sr-Latn-CS"/>
        </w:rPr>
        <w:t>j</w:t>
      </w:r>
      <w:r w:rsidRPr="003E2B8A">
        <w:rPr>
          <w:szCs w:val="22"/>
          <w:lang w:val="sr-Latn-CS"/>
        </w:rPr>
        <w:t>enljivo.</w:t>
      </w:r>
    </w:p>
    <w:p w14:paraId="246F87B6" w14:textId="77777777" w:rsidR="006941F5" w:rsidRPr="003E2B8A" w:rsidRDefault="006941F5">
      <w:pPr>
        <w:spacing w:before="240" w:after="240"/>
        <w:rPr>
          <w:b/>
          <w:bCs/>
          <w:szCs w:val="22"/>
          <w:lang w:val="sr-Latn-CS"/>
        </w:rPr>
      </w:pPr>
      <w:r w:rsidRPr="003E2B8A">
        <w:rPr>
          <w:b/>
          <w:bCs/>
          <w:szCs w:val="22"/>
          <w:lang w:val="sr-Latn-CS"/>
        </w:rPr>
        <w:t>6.3. Rok upotrebe</w:t>
      </w:r>
    </w:p>
    <w:p w14:paraId="65B62449" w14:textId="77777777" w:rsidR="006941F5" w:rsidRPr="003E2B8A" w:rsidRDefault="006941F5">
      <w:pPr>
        <w:rPr>
          <w:szCs w:val="22"/>
          <w:lang w:val="sr-Latn-CS"/>
        </w:rPr>
      </w:pPr>
      <w:r w:rsidRPr="003E2B8A">
        <w:rPr>
          <w:szCs w:val="22"/>
          <w:lang w:val="sr-Latn-CS"/>
        </w:rPr>
        <w:t>4 godine</w:t>
      </w:r>
    </w:p>
    <w:p w14:paraId="179AF630" w14:textId="77777777" w:rsidR="006941F5" w:rsidRPr="003E2B8A" w:rsidRDefault="006941F5">
      <w:pPr>
        <w:spacing w:before="240" w:after="240"/>
        <w:rPr>
          <w:b/>
          <w:bCs/>
          <w:szCs w:val="22"/>
          <w:lang w:val="sr-Latn-CS"/>
        </w:rPr>
      </w:pPr>
      <w:r w:rsidRPr="003E2B8A">
        <w:rPr>
          <w:b/>
          <w:bCs/>
          <w:szCs w:val="22"/>
          <w:lang w:val="sr-Latn-CS"/>
        </w:rPr>
        <w:t>6.4. Posebne m</w:t>
      </w:r>
      <w:r w:rsidR="009371A1">
        <w:rPr>
          <w:b/>
          <w:bCs/>
          <w:szCs w:val="22"/>
          <w:lang w:val="sr-Latn-CS"/>
        </w:rPr>
        <w:t>j</w:t>
      </w:r>
      <w:r w:rsidRPr="003E2B8A">
        <w:rPr>
          <w:b/>
          <w:bCs/>
          <w:szCs w:val="22"/>
          <w:lang w:val="sr-Latn-CS"/>
        </w:rPr>
        <w:t>ere opreza pri čuvanju</w:t>
      </w:r>
      <w:r w:rsidR="009371A1">
        <w:rPr>
          <w:b/>
          <w:bCs/>
          <w:szCs w:val="22"/>
          <w:lang w:val="sr-Latn-CS"/>
        </w:rPr>
        <w:t xml:space="preserve"> lijeka</w:t>
      </w:r>
    </w:p>
    <w:p w14:paraId="2EE357F8" w14:textId="77777777" w:rsidR="006941F5" w:rsidRPr="003E2B8A" w:rsidRDefault="006941F5">
      <w:pPr>
        <w:rPr>
          <w:szCs w:val="22"/>
          <w:lang w:val="sr-Latn-CS"/>
        </w:rPr>
      </w:pPr>
      <w:r w:rsidRPr="003E2B8A">
        <w:rPr>
          <w:szCs w:val="22"/>
          <w:lang w:val="sr-Latn-CS"/>
        </w:rPr>
        <w:lastRenderedPageBreak/>
        <w:t>Čuvati u originalnom pakovanju, radi zaštite od sv</w:t>
      </w:r>
      <w:r w:rsidR="009371A1">
        <w:rPr>
          <w:szCs w:val="22"/>
          <w:lang w:val="sr-Latn-CS"/>
        </w:rPr>
        <w:t>j</w:t>
      </w:r>
      <w:r w:rsidRPr="003E2B8A">
        <w:rPr>
          <w:szCs w:val="22"/>
          <w:lang w:val="sr-Latn-CS"/>
        </w:rPr>
        <w:t>etlosti.</w:t>
      </w:r>
    </w:p>
    <w:p w14:paraId="62B29856" w14:textId="77777777" w:rsidR="006941F5" w:rsidRPr="003E2B8A" w:rsidRDefault="006941F5">
      <w:pPr>
        <w:spacing w:before="240" w:after="240"/>
        <w:rPr>
          <w:b/>
          <w:bCs/>
          <w:szCs w:val="22"/>
          <w:lang w:val="sr-Latn-CS"/>
        </w:rPr>
      </w:pPr>
      <w:r w:rsidRPr="00652B33">
        <w:rPr>
          <w:b/>
          <w:bCs/>
          <w:szCs w:val="22"/>
          <w:lang w:val="sr-Latn-CS"/>
        </w:rPr>
        <w:t>6.5. Priroda i sadržaj pakovanja</w:t>
      </w:r>
    </w:p>
    <w:p w14:paraId="788B13E0" w14:textId="77777777" w:rsidR="006941F5" w:rsidRPr="003E2B8A" w:rsidRDefault="006941F5">
      <w:pPr>
        <w:rPr>
          <w:szCs w:val="22"/>
          <w:lang w:val="sr-Latn-CS"/>
        </w:rPr>
      </w:pPr>
      <w:r w:rsidRPr="003E2B8A">
        <w:rPr>
          <w:szCs w:val="22"/>
          <w:lang w:val="sr-Latn-CS"/>
        </w:rPr>
        <w:t xml:space="preserve">Unutrašnje pakovanje je ampula od bezbojnog, neutralnog stakla hidrolitičke </w:t>
      </w:r>
      <w:r w:rsidR="00EF65D4">
        <w:rPr>
          <w:szCs w:val="22"/>
          <w:lang w:val="sr-Latn-CS"/>
        </w:rPr>
        <w:t>otpornosti tip I</w:t>
      </w:r>
      <w:r w:rsidRPr="003E2B8A">
        <w:rPr>
          <w:szCs w:val="22"/>
          <w:lang w:val="sr-Latn-CS"/>
        </w:rPr>
        <w:t xml:space="preserve">, sa </w:t>
      </w:r>
      <w:r w:rsidRPr="00652B33">
        <w:rPr>
          <w:szCs w:val="22"/>
          <w:lang w:val="sr-Latn-CS"/>
        </w:rPr>
        <w:t>2</w:t>
      </w:r>
      <w:r w:rsidRPr="003E2B8A">
        <w:rPr>
          <w:szCs w:val="22"/>
          <w:lang w:val="sr-Latn-CS"/>
        </w:rPr>
        <w:t xml:space="preserve"> m</w:t>
      </w:r>
      <w:r w:rsidR="009371A1">
        <w:rPr>
          <w:szCs w:val="22"/>
          <w:lang w:val="sr-Latn-CS"/>
        </w:rPr>
        <w:t>l</w:t>
      </w:r>
      <w:r w:rsidRPr="003E2B8A">
        <w:rPr>
          <w:szCs w:val="22"/>
          <w:lang w:val="sr-Latn-CS"/>
        </w:rPr>
        <w:t xml:space="preserve"> rastvora za injekciju.</w:t>
      </w:r>
    </w:p>
    <w:p w14:paraId="0A866327" w14:textId="77777777" w:rsidR="006941F5" w:rsidRPr="003E2B8A" w:rsidRDefault="006941F5">
      <w:pPr>
        <w:rPr>
          <w:szCs w:val="22"/>
          <w:lang w:val="sr-Latn-CS"/>
        </w:rPr>
      </w:pPr>
      <w:r w:rsidRPr="003E2B8A">
        <w:rPr>
          <w:szCs w:val="22"/>
          <w:lang w:val="sr-Latn-CS"/>
        </w:rPr>
        <w:t>Spoljnje pakovanje je složiva kartonska kutija u kojoj se nalazi 1 blister sa 5 ampula</w:t>
      </w:r>
      <w:r w:rsidR="00EF65D4">
        <w:rPr>
          <w:szCs w:val="22"/>
          <w:lang w:val="sr-Latn-CS"/>
        </w:rPr>
        <w:t xml:space="preserve"> (ukupno 5 ampula)</w:t>
      </w:r>
      <w:r w:rsidRPr="003E2B8A">
        <w:rPr>
          <w:szCs w:val="22"/>
          <w:lang w:val="sr-Latn-CS"/>
        </w:rPr>
        <w:t xml:space="preserve"> i Uputstvo za l</w:t>
      </w:r>
      <w:r w:rsidR="009371A1">
        <w:rPr>
          <w:szCs w:val="22"/>
          <w:lang w:val="sr-Latn-CS"/>
        </w:rPr>
        <w:t>ij</w:t>
      </w:r>
      <w:r w:rsidRPr="003E2B8A">
        <w:rPr>
          <w:szCs w:val="22"/>
          <w:lang w:val="sr-Latn-CS"/>
        </w:rPr>
        <w:t>ek.</w:t>
      </w:r>
    </w:p>
    <w:p w14:paraId="60967C7F" w14:textId="77777777" w:rsidR="006941F5" w:rsidRPr="00652B33" w:rsidRDefault="006941F5">
      <w:pPr>
        <w:spacing w:before="240" w:after="240"/>
        <w:rPr>
          <w:b/>
          <w:bCs/>
          <w:szCs w:val="22"/>
          <w:lang w:val="sr-Latn-CS"/>
        </w:rPr>
      </w:pPr>
      <w:r w:rsidRPr="003E2B8A">
        <w:rPr>
          <w:b/>
          <w:bCs/>
          <w:szCs w:val="22"/>
          <w:lang w:val="sr-Latn-CS"/>
        </w:rPr>
        <w:t>6.6. Posebne m</w:t>
      </w:r>
      <w:r w:rsidR="009371A1">
        <w:rPr>
          <w:b/>
          <w:bCs/>
          <w:szCs w:val="22"/>
          <w:lang w:val="sr-Latn-CS"/>
        </w:rPr>
        <w:t>j</w:t>
      </w:r>
      <w:r w:rsidRPr="003E2B8A">
        <w:rPr>
          <w:b/>
          <w:bCs/>
          <w:szCs w:val="22"/>
          <w:lang w:val="sr-Latn-CS"/>
        </w:rPr>
        <w:t>ere opreza pri odlaganju materijala koji treba odbaciti nakon prim</w:t>
      </w:r>
      <w:r w:rsidR="009371A1">
        <w:rPr>
          <w:b/>
          <w:bCs/>
          <w:szCs w:val="22"/>
          <w:lang w:val="sr-Latn-CS"/>
        </w:rPr>
        <w:t>j</w:t>
      </w:r>
      <w:r w:rsidRPr="003E2B8A">
        <w:rPr>
          <w:b/>
          <w:bCs/>
          <w:szCs w:val="22"/>
          <w:lang w:val="sr-Latn-CS"/>
        </w:rPr>
        <w:t>ene l</w:t>
      </w:r>
      <w:r w:rsidR="00EB0A01">
        <w:rPr>
          <w:b/>
          <w:bCs/>
          <w:szCs w:val="22"/>
          <w:lang w:val="sr-Latn-CS"/>
        </w:rPr>
        <w:t>ij</w:t>
      </w:r>
      <w:r w:rsidRPr="003E2B8A">
        <w:rPr>
          <w:b/>
          <w:bCs/>
          <w:szCs w:val="22"/>
          <w:lang w:val="sr-Latn-CS"/>
        </w:rPr>
        <w:t xml:space="preserve">eka </w:t>
      </w:r>
      <w:r w:rsidRPr="00652B33">
        <w:rPr>
          <w:b/>
          <w:bCs/>
          <w:szCs w:val="22"/>
          <w:lang w:val="sr-Latn-CS"/>
        </w:rPr>
        <w:t>(i druga uputstva za rukovanje l</w:t>
      </w:r>
      <w:r w:rsidR="00EB0A01">
        <w:rPr>
          <w:b/>
          <w:bCs/>
          <w:szCs w:val="22"/>
          <w:lang w:val="sr-Latn-CS"/>
        </w:rPr>
        <w:t>ij</w:t>
      </w:r>
      <w:r w:rsidRPr="00652B33">
        <w:rPr>
          <w:b/>
          <w:bCs/>
          <w:szCs w:val="22"/>
          <w:lang w:val="sr-Latn-CS"/>
        </w:rPr>
        <w:t>ekom)</w:t>
      </w:r>
    </w:p>
    <w:p w14:paraId="68391481" w14:textId="5200358B" w:rsidR="00537943" w:rsidRDefault="00B129DE" w:rsidP="00950794">
      <w:pPr>
        <w:rPr>
          <w:szCs w:val="22"/>
          <w:lang w:val="it-IT"/>
        </w:rPr>
      </w:pPr>
      <w:r>
        <w:rPr>
          <w:szCs w:val="22"/>
          <w:lang w:val="it-IT"/>
        </w:rPr>
        <w:t>Svu neiskorišćenu količinu l</w:t>
      </w:r>
      <w:r w:rsidR="00EB0A01">
        <w:rPr>
          <w:szCs w:val="22"/>
          <w:lang w:val="it-IT"/>
        </w:rPr>
        <w:t>ij</w:t>
      </w:r>
      <w:r>
        <w:rPr>
          <w:szCs w:val="22"/>
          <w:lang w:val="it-IT"/>
        </w:rPr>
        <w:t>eka ili otpadnog materijala nakon njegove upotrebe treba ukloniti u skladu sa važećim propisima.</w:t>
      </w:r>
    </w:p>
    <w:p w14:paraId="6D12F10E" w14:textId="77777777" w:rsidR="00537943" w:rsidRPr="004710BD" w:rsidRDefault="00537943" w:rsidP="00950794">
      <w:pPr>
        <w:rPr>
          <w:szCs w:val="22"/>
          <w:lang w:val="it-IT"/>
        </w:rPr>
      </w:pPr>
    </w:p>
    <w:p w14:paraId="2A020664" w14:textId="77777777" w:rsidR="006941F5" w:rsidRPr="003E2B8A" w:rsidRDefault="006941F5" w:rsidP="00950794">
      <w:pPr>
        <w:pStyle w:val="NASLOV123"/>
        <w:jc w:val="both"/>
        <w:rPr>
          <w:lang w:val="sr-Latn-CS"/>
        </w:rPr>
      </w:pPr>
      <w:r w:rsidRPr="003E2B8A">
        <w:rPr>
          <w:lang w:val="sr-Latn-CS"/>
        </w:rPr>
        <w:t xml:space="preserve">7. NOSILAC DOZVOLE </w:t>
      </w:r>
    </w:p>
    <w:p w14:paraId="2ABC0033" w14:textId="74C957CB" w:rsidR="00B129DE" w:rsidRDefault="00EB0A01">
      <w:pPr>
        <w:pStyle w:val="Header"/>
        <w:tabs>
          <w:tab w:val="left" w:pos="284"/>
        </w:tabs>
        <w:rPr>
          <w:bCs/>
          <w:szCs w:val="22"/>
          <w:lang w:val="sl-SI"/>
        </w:rPr>
      </w:pPr>
      <w:r>
        <w:rPr>
          <w:bCs/>
          <w:szCs w:val="22"/>
          <w:lang w:val="sl-SI"/>
        </w:rPr>
        <w:t>GLK pharma d.o.o. Podgorica, ul. Svetozara Markovića, br. 46, 81000 Podgorica, Crna Gora</w:t>
      </w:r>
    </w:p>
    <w:p w14:paraId="6B39FE1B" w14:textId="77777777" w:rsidR="00537943" w:rsidRPr="00EB0A01" w:rsidRDefault="00537943">
      <w:pPr>
        <w:pStyle w:val="Header"/>
        <w:tabs>
          <w:tab w:val="left" w:pos="284"/>
        </w:tabs>
        <w:rPr>
          <w:bCs/>
          <w:szCs w:val="22"/>
          <w:lang w:val="sl-SI"/>
        </w:rPr>
      </w:pPr>
    </w:p>
    <w:p w14:paraId="09605E27" w14:textId="77777777" w:rsidR="006941F5" w:rsidRPr="00652B33" w:rsidRDefault="006941F5" w:rsidP="00950794">
      <w:pPr>
        <w:pStyle w:val="NASLOV123"/>
        <w:jc w:val="both"/>
        <w:rPr>
          <w:lang w:val="sr-Latn-CS"/>
        </w:rPr>
      </w:pPr>
      <w:r w:rsidRPr="003E2B8A">
        <w:rPr>
          <w:lang w:val="sr-Latn-CS"/>
        </w:rPr>
        <w:t>8. BROJ</w:t>
      </w:r>
      <w:r w:rsidR="00401AB6">
        <w:rPr>
          <w:lang w:val="sr-Latn-CS"/>
        </w:rPr>
        <w:t xml:space="preserve"> </w:t>
      </w:r>
      <w:r w:rsidRPr="003E2B8A">
        <w:rPr>
          <w:lang w:val="sr-Latn-CS"/>
        </w:rPr>
        <w:t xml:space="preserve"> DOZVOLE ZA STAVLJANJE L</w:t>
      </w:r>
      <w:r w:rsidR="00EB0A01">
        <w:rPr>
          <w:lang w:val="sr-Latn-CS"/>
        </w:rPr>
        <w:t>IJ</w:t>
      </w:r>
      <w:r w:rsidRPr="003E2B8A">
        <w:rPr>
          <w:lang w:val="sr-Latn-CS"/>
        </w:rPr>
        <w:t>EKA U PROMET</w:t>
      </w:r>
    </w:p>
    <w:p w14:paraId="5108A56E" w14:textId="4F76DAD1" w:rsidR="00EB0A01" w:rsidRDefault="00537943" w:rsidP="00950794">
      <w:pPr>
        <w:pStyle w:val="NASLOV123"/>
        <w:spacing w:after="0"/>
        <w:jc w:val="both"/>
        <w:rPr>
          <w:b w:val="0"/>
          <w:lang w:val="sr-Latn-CS"/>
        </w:rPr>
      </w:pPr>
      <w:r w:rsidRPr="00950794">
        <w:rPr>
          <w:b w:val="0"/>
          <w:lang w:val="sr-Latn-CS"/>
        </w:rPr>
        <w:t>2030/13/523 - 1117</w:t>
      </w:r>
    </w:p>
    <w:p w14:paraId="70A89551" w14:textId="77777777" w:rsidR="00236A53" w:rsidRDefault="00236A53" w:rsidP="00236A53">
      <w:pPr>
        <w:pStyle w:val="NASLOV123"/>
        <w:spacing w:before="0"/>
        <w:jc w:val="both"/>
        <w:rPr>
          <w:lang w:val="sr-Latn-CS"/>
        </w:rPr>
      </w:pPr>
      <w:bookmarkStart w:id="1" w:name="_GoBack"/>
      <w:bookmarkEnd w:id="1"/>
    </w:p>
    <w:p w14:paraId="53BF4DB1" w14:textId="0B6D06BF" w:rsidR="006941F5" w:rsidRPr="006941F5" w:rsidRDefault="006941F5" w:rsidP="00236A53">
      <w:pPr>
        <w:pStyle w:val="NASLOV123"/>
        <w:spacing w:before="0"/>
        <w:jc w:val="both"/>
        <w:rPr>
          <w:lang w:val="sr-Latn-CS"/>
        </w:rPr>
      </w:pPr>
      <w:r w:rsidRPr="006941F5">
        <w:rPr>
          <w:lang w:val="sr-Latn-CS"/>
        </w:rPr>
        <w:t>9. DATUM PRVE DOZVOLE</w:t>
      </w:r>
      <w:r w:rsidR="00EB0A01">
        <w:rPr>
          <w:lang w:val="sr-Latn-CS"/>
        </w:rPr>
        <w:t>/</w:t>
      </w:r>
      <w:r w:rsidRPr="006941F5">
        <w:rPr>
          <w:lang w:val="sr-Latn-CS"/>
        </w:rPr>
        <w:t>OBNOVE DOZVOLE ZA STAVLJANJE L</w:t>
      </w:r>
      <w:r w:rsidR="00EB0A01">
        <w:rPr>
          <w:lang w:val="sr-Latn-CS"/>
        </w:rPr>
        <w:t>IJ</w:t>
      </w:r>
      <w:r w:rsidRPr="006941F5">
        <w:rPr>
          <w:lang w:val="sr-Latn-CS"/>
        </w:rPr>
        <w:t>EKA U PROMET</w:t>
      </w:r>
    </w:p>
    <w:p w14:paraId="6D146C3E" w14:textId="5DB030F2" w:rsidR="00EB0A01" w:rsidRDefault="00537943" w:rsidP="00950794">
      <w:pPr>
        <w:pStyle w:val="NASLOV123"/>
        <w:spacing w:after="0"/>
        <w:jc w:val="both"/>
        <w:rPr>
          <w:b w:val="0"/>
        </w:rPr>
      </w:pPr>
      <w:r w:rsidRPr="00950794">
        <w:rPr>
          <w:b w:val="0"/>
        </w:rPr>
        <w:t>30.08.2013. godine</w:t>
      </w:r>
    </w:p>
    <w:p w14:paraId="4B529638" w14:textId="77777777" w:rsidR="00537943" w:rsidRPr="00950794" w:rsidRDefault="00537943" w:rsidP="00950794">
      <w:pPr>
        <w:pStyle w:val="NASLOV123"/>
        <w:spacing w:before="0" w:after="0"/>
        <w:jc w:val="both"/>
        <w:rPr>
          <w:b w:val="0"/>
        </w:rPr>
      </w:pPr>
    </w:p>
    <w:p w14:paraId="43898AC6" w14:textId="77777777" w:rsidR="006941F5" w:rsidRPr="00652B33" w:rsidRDefault="006941F5" w:rsidP="00950794">
      <w:pPr>
        <w:pStyle w:val="NASLOV123"/>
        <w:jc w:val="both"/>
      </w:pPr>
      <w:r w:rsidRPr="00652B33">
        <w:t>10. DATUM REVIZIJE TEKSTA</w:t>
      </w:r>
    </w:p>
    <w:p w14:paraId="0E9D9856" w14:textId="4579BAA7" w:rsidR="008B1552" w:rsidRDefault="00236A53">
      <w:pPr>
        <w:rPr>
          <w:szCs w:val="22"/>
          <w:lang w:val="sr-Latn-CS"/>
        </w:rPr>
      </w:pPr>
      <w:r>
        <w:rPr>
          <w:szCs w:val="22"/>
          <w:lang w:val="sr-Latn-CS"/>
        </w:rPr>
        <w:t>Jun</w:t>
      </w:r>
      <w:r w:rsidR="00537943">
        <w:rPr>
          <w:szCs w:val="22"/>
          <w:lang w:val="sr-Latn-CS"/>
        </w:rPr>
        <w:t>, 2024. godine</w:t>
      </w:r>
    </w:p>
    <w:p w14:paraId="4EE9DCE1" w14:textId="77777777" w:rsidR="008B1552" w:rsidRDefault="008B1552" w:rsidP="008B1552">
      <w:pPr>
        <w:rPr>
          <w:szCs w:val="22"/>
          <w:lang w:val="sr-Latn-CS"/>
        </w:rPr>
      </w:pPr>
    </w:p>
    <w:p w14:paraId="7CCB8212" w14:textId="77777777" w:rsidR="008B1552" w:rsidRDefault="008B1552" w:rsidP="008B1552">
      <w:pPr>
        <w:rPr>
          <w:szCs w:val="22"/>
          <w:lang w:val="sr-Latn-CS"/>
        </w:rPr>
      </w:pPr>
    </w:p>
    <w:p w14:paraId="2649E0AE" w14:textId="77777777" w:rsidR="006941F5" w:rsidRPr="00652B33" w:rsidRDefault="006941F5" w:rsidP="00923865">
      <w:pPr>
        <w:rPr>
          <w:bCs/>
          <w:szCs w:val="22"/>
        </w:rPr>
      </w:pPr>
    </w:p>
    <w:sectPr w:rsidR="006941F5" w:rsidRPr="00652B33" w:rsidSect="00687018">
      <w:headerReference w:type="even" r:id="rId11"/>
      <w:footerReference w:type="even" r:id="rId12"/>
      <w:footerReference w:type="default" r:id="rId13"/>
      <w:headerReference w:type="first" r:id="rId14"/>
      <w:pgSz w:w="11907" w:h="16840" w:code="9"/>
      <w:pgMar w:top="905" w:right="1134" w:bottom="1701" w:left="1134" w:header="357" w:footer="80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502CAB" w14:textId="77777777" w:rsidR="0011015E" w:rsidRDefault="0011015E">
      <w:r>
        <w:separator/>
      </w:r>
    </w:p>
  </w:endnote>
  <w:endnote w:type="continuationSeparator" w:id="0">
    <w:p w14:paraId="437C10F2" w14:textId="77777777" w:rsidR="0011015E" w:rsidRDefault="0011015E">
      <w:r>
        <w:continuationSeparator/>
      </w:r>
    </w:p>
  </w:endnote>
  <w:endnote w:type="continuationNotice" w:id="1">
    <w:p w14:paraId="490987FC" w14:textId="77777777" w:rsidR="0011015E" w:rsidRDefault="001101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1)">
    <w:altName w:val="Times New Roman"/>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777">
    <w:altName w:val="Tahom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FDA66" w14:textId="77777777" w:rsidR="006941F5" w:rsidRDefault="006941F5"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1A8633" w14:textId="77777777" w:rsidR="006941F5" w:rsidRDefault="006941F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8519A" w14:textId="7AB91685" w:rsidR="006941F5" w:rsidRDefault="006941F5" w:rsidP="00CE09F3">
    <w:pPr>
      <w:pStyle w:val="Footer"/>
      <w:tabs>
        <w:tab w:val="left" w:pos="5448"/>
      </w:tabs>
      <w:spacing w:before="360"/>
      <w:jc w:val="center"/>
    </w:pPr>
    <w:r w:rsidRPr="005A4234">
      <w:rPr>
        <w:sz w:val="18"/>
        <w:szCs w:val="18"/>
      </w:rPr>
      <w:fldChar w:fldCharType="begin"/>
    </w:r>
    <w:r w:rsidRPr="005A4234">
      <w:rPr>
        <w:sz w:val="18"/>
        <w:szCs w:val="18"/>
      </w:rPr>
      <w:instrText xml:space="preserve"> PAGE </w:instrText>
    </w:r>
    <w:r w:rsidRPr="005A4234">
      <w:rPr>
        <w:sz w:val="18"/>
        <w:szCs w:val="18"/>
      </w:rPr>
      <w:fldChar w:fldCharType="separate"/>
    </w:r>
    <w:r w:rsidR="00236A53">
      <w:rPr>
        <w:noProof/>
        <w:sz w:val="18"/>
        <w:szCs w:val="18"/>
      </w:rPr>
      <w:t>5</w:t>
    </w:r>
    <w:r w:rsidRPr="005A4234">
      <w:rPr>
        <w:sz w:val="18"/>
        <w:szCs w:val="18"/>
      </w:rPr>
      <w:fldChar w:fldCharType="end"/>
    </w:r>
    <w:r w:rsidRPr="005A4234">
      <w:rPr>
        <w:sz w:val="18"/>
        <w:szCs w:val="18"/>
      </w:rPr>
      <w:t xml:space="preserve"> od </w:t>
    </w:r>
    <w:r w:rsidRPr="005A4234">
      <w:rPr>
        <w:sz w:val="18"/>
        <w:szCs w:val="18"/>
      </w:rPr>
      <w:fldChar w:fldCharType="begin"/>
    </w:r>
    <w:r w:rsidRPr="005A4234">
      <w:rPr>
        <w:sz w:val="18"/>
        <w:szCs w:val="18"/>
      </w:rPr>
      <w:instrText xml:space="preserve"> NUMPAGES  </w:instrText>
    </w:r>
    <w:r w:rsidRPr="005A4234">
      <w:rPr>
        <w:sz w:val="18"/>
        <w:szCs w:val="18"/>
      </w:rPr>
      <w:fldChar w:fldCharType="separate"/>
    </w:r>
    <w:r w:rsidR="00236A53">
      <w:rPr>
        <w:noProof/>
        <w:sz w:val="18"/>
        <w:szCs w:val="18"/>
      </w:rPr>
      <w:t>5</w:t>
    </w:r>
    <w:r w:rsidRPr="005A4234">
      <w:rPr>
        <w:sz w:val="18"/>
        <w:szCs w:val="18"/>
      </w:rPr>
      <w:fldChar w:fldCharType="end"/>
    </w:r>
  </w:p>
  <w:p w14:paraId="3A2F5B62" w14:textId="77777777" w:rsidR="006941F5" w:rsidRPr="00C536C2" w:rsidRDefault="006941F5" w:rsidP="00C53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C2047D" w14:textId="77777777" w:rsidR="0011015E" w:rsidRDefault="0011015E">
      <w:r>
        <w:separator/>
      </w:r>
    </w:p>
  </w:footnote>
  <w:footnote w:type="continuationSeparator" w:id="0">
    <w:p w14:paraId="6F5F39D3" w14:textId="77777777" w:rsidR="0011015E" w:rsidRDefault="0011015E">
      <w:r>
        <w:continuationSeparator/>
      </w:r>
    </w:p>
  </w:footnote>
  <w:footnote w:type="continuationNotice" w:id="1">
    <w:p w14:paraId="5EE9734D" w14:textId="77777777" w:rsidR="0011015E" w:rsidRDefault="0011015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CF270" w14:textId="390A71D6" w:rsidR="00950794" w:rsidRDefault="00950794">
    <w:pPr>
      <w:pStyle w:val="Header"/>
    </w:pPr>
    <w:r>
      <w:rPr>
        <w:noProof/>
      </w:rPr>
      <mc:AlternateContent>
        <mc:Choice Requires="wps">
          <w:drawing>
            <wp:anchor distT="0" distB="0" distL="0" distR="0" simplePos="0" relativeHeight="251659264" behindDoc="0" locked="0" layoutInCell="1" allowOverlap="1" wp14:anchorId="60BDEB3E" wp14:editId="025778C9">
              <wp:simplePos x="635" y="635"/>
              <wp:positionH relativeFrom="page">
                <wp:align>right</wp:align>
              </wp:positionH>
              <wp:positionV relativeFrom="page">
                <wp:align>top</wp:align>
              </wp:positionV>
              <wp:extent cx="1190625" cy="361315"/>
              <wp:effectExtent l="0" t="0" r="0" b="635"/>
              <wp:wrapNone/>
              <wp:docPr id="1348931058" name="Text Box 2" descr="Interno_Internal">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190625" cy="361315"/>
                      </a:xfrm>
                      <a:prstGeom prst="rect">
                        <a:avLst/>
                      </a:prstGeom>
                      <a:noFill/>
                      <a:ln>
                        <a:noFill/>
                      </a:ln>
                    </wps:spPr>
                    <wps:txbx>
                      <w:txbxContent>
                        <w:p w14:paraId="37D6BA7E" w14:textId="43BD5388" w:rsidR="00950794" w:rsidRPr="00950794" w:rsidRDefault="00950794" w:rsidP="00950794">
                          <w:pPr>
                            <w:rPr>
                              <w:rFonts w:ascii="Calibri" w:eastAsia="Calibri" w:hAnsi="Calibri" w:cs="Calibri"/>
                              <w:noProof/>
                              <w:color w:val="008000"/>
                              <w:szCs w:val="22"/>
                            </w:rPr>
                          </w:pPr>
                          <w:r w:rsidRPr="00950794">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0BDEB3E" id="_x0000_t202" coordsize="21600,21600" o:spt="202" path="m,l,21600r21600,l21600,xe">
              <v:stroke joinstyle="miter"/>
              <v:path gradientshapeok="t" o:connecttype="rect"/>
            </v:shapetype>
            <v:shape id="Text Box 2" o:spid="_x0000_s1026" type="#_x0000_t202" alt="Interno_Internal" style="position:absolute;left:0;text-align:left;margin-left:42.55pt;margin-top:0;width:93.75pt;height:28.4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" filled="f" stroked="f">
              <v:fill o:detectmouseclick="t"/>
              <v:textbox style="mso-fit-shape-to-text:t" inset="0,15pt,20pt,0">
                <w:txbxContent>
                  <w:p w14:paraId="37D6BA7E" w14:textId="43BD5388" w:rsidR="00950794" w:rsidRPr="00950794" w:rsidRDefault="00950794" w:rsidP="00950794">
                    <w:pPr>
                      <w:rPr>
                        <w:rFonts w:ascii="Calibri" w:eastAsia="Calibri" w:hAnsi="Calibri" w:cs="Calibri"/>
                        <w:noProof/>
                        <w:color w:val="008000"/>
                        <w:szCs w:val="22"/>
                      </w:rPr>
                    </w:pPr>
                    <w:r w:rsidRPr="00950794">
                      <w:rPr>
                        <w:rFonts w:ascii="Calibri" w:eastAsia="Calibri" w:hAnsi="Calibri" w:cs="Calibri"/>
                        <w:noProof/>
                        <w:color w:val="008000"/>
                        <w:szCs w:val="22"/>
                      </w:rPr>
                      <w:t>Interno_Internal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213A2" w14:textId="0E811FD9" w:rsidR="00950794" w:rsidRDefault="00950794">
    <w:pPr>
      <w:pStyle w:val="Header"/>
    </w:pPr>
    <w:r>
      <w:rPr>
        <w:noProof/>
      </w:rPr>
      <mc:AlternateContent>
        <mc:Choice Requires="wps">
          <w:drawing>
            <wp:anchor distT="0" distB="0" distL="0" distR="0" simplePos="0" relativeHeight="251658240" behindDoc="0" locked="0" layoutInCell="1" allowOverlap="1" wp14:anchorId="0AAF8726" wp14:editId="5D964AA6">
              <wp:simplePos x="635" y="635"/>
              <wp:positionH relativeFrom="page">
                <wp:align>right</wp:align>
              </wp:positionH>
              <wp:positionV relativeFrom="page">
                <wp:align>top</wp:align>
              </wp:positionV>
              <wp:extent cx="1190625" cy="361315"/>
              <wp:effectExtent l="0" t="0" r="0" b="635"/>
              <wp:wrapNone/>
              <wp:docPr id="375657362" name="Text Box 1" descr="Interno_Internal">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190625" cy="361315"/>
                      </a:xfrm>
                      <a:prstGeom prst="rect">
                        <a:avLst/>
                      </a:prstGeom>
                      <a:noFill/>
                      <a:ln>
                        <a:noFill/>
                      </a:ln>
                    </wps:spPr>
                    <wps:txbx>
                      <w:txbxContent>
                        <w:p w14:paraId="0326DC2F" w14:textId="04D9AF80" w:rsidR="00950794" w:rsidRPr="00950794" w:rsidRDefault="00950794" w:rsidP="00950794">
                          <w:pPr>
                            <w:rPr>
                              <w:rFonts w:ascii="Calibri" w:eastAsia="Calibri" w:hAnsi="Calibri" w:cs="Calibri"/>
                              <w:noProof/>
                              <w:color w:val="008000"/>
                              <w:szCs w:val="22"/>
                            </w:rPr>
                          </w:pPr>
                          <w:r w:rsidRPr="00950794">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AAF8726" id="_x0000_t202" coordsize="21600,21600" o:spt="202" path="m,l,21600r21600,l21600,xe">
              <v:stroke joinstyle="miter"/>
              <v:path gradientshapeok="t" o:connecttype="rect"/>
            </v:shapetype>
            <v:shape id="Text Box 1" o:spid="_x0000_s1027" type="#_x0000_t202" alt="Interno_Internal" style="position:absolute;left:0;text-align:left;margin-left:42.55pt;margin-top:0;width:93.75pt;height:28.4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" filled="f" stroked="f">
              <v:fill o:detectmouseclick="t"/>
              <v:textbox style="mso-fit-shape-to-text:t" inset="0,15pt,20pt,0">
                <w:txbxContent>
                  <w:p w14:paraId="0326DC2F" w14:textId="04D9AF80" w:rsidR="00950794" w:rsidRPr="00950794" w:rsidRDefault="00950794" w:rsidP="00950794">
                    <w:pPr>
                      <w:rPr>
                        <w:rFonts w:ascii="Calibri" w:eastAsia="Calibri" w:hAnsi="Calibri" w:cs="Calibri"/>
                        <w:noProof/>
                        <w:color w:val="008000"/>
                        <w:szCs w:val="22"/>
                      </w:rPr>
                    </w:pPr>
                    <w:r w:rsidRPr="00950794">
                      <w:rPr>
                        <w:rFonts w:ascii="Calibri" w:eastAsia="Calibri" w:hAnsi="Calibri" w:cs="Calibri"/>
                        <w:noProof/>
                        <w:color w:val="008000"/>
                        <w:szCs w:val="22"/>
                      </w:rPr>
                      <w:t>Interno_Internal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AF93"/>
    <w:multiLevelType w:val="singleLevel"/>
    <w:tmpl w:val="5AD292E4"/>
    <w:lvl w:ilvl="0">
      <w:start w:val="7"/>
      <w:numFmt w:val="decimal"/>
      <w:lvlText w:val="%1."/>
      <w:lvlJc w:val="left"/>
      <w:pPr>
        <w:tabs>
          <w:tab w:val="num" w:pos="576"/>
        </w:tabs>
      </w:pPr>
      <w:rPr>
        <w:rFonts w:cs="Times New Roman"/>
        <w:b/>
        <w:bCs/>
        <w:i w:val="0"/>
        <w:color w:val="auto"/>
        <w:sz w:val="22"/>
        <w:szCs w:val="22"/>
      </w:rPr>
    </w:lvl>
  </w:abstractNum>
  <w:abstractNum w:abstractNumId="1" w15:restartNumberingAfterBreak="0">
    <w:nsid w:val="1CC0183C"/>
    <w:multiLevelType w:val="multilevel"/>
    <w:tmpl w:val="BD06391A"/>
    <w:lvl w:ilvl="0">
      <w:start w:val="6"/>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1CC56CBC"/>
    <w:multiLevelType w:val="hybridMultilevel"/>
    <w:tmpl w:val="CA78F1FE"/>
    <w:lvl w:ilvl="0" w:tplc="FE50DFF8">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651E0B"/>
    <w:multiLevelType w:val="hybridMultilevel"/>
    <w:tmpl w:val="F1AAC5DA"/>
    <w:lvl w:ilvl="0" w:tplc="FE50DFF8">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6FE32F3"/>
    <w:multiLevelType w:val="multilevel"/>
    <w:tmpl w:val="BDE0B4C6"/>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1"/>
  </w:num>
  <w:num w:numId="2">
    <w:abstractNumId w:val="0"/>
    <w:lvlOverride w:ilvl="0">
      <w:startOverride w:val="7"/>
    </w:lvlOverride>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17801"/>
    <w:rsid w:val="000205E2"/>
    <w:rsid w:val="00050599"/>
    <w:rsid w:val="0005798D"/>
    <w:rsid w:val="00064273"/>
    <w:rsid w:val="00083BE0"/>
    <w:rsid w:val="00095FB6"/>
    <w:rsid w:val="0009758B"/>
    <w:rsid w:val="000A0F4A"/>
    <w:rsid w:val="000A214D"/>
    <w:rsid w:val="000B2F45"/>
    <w:rsid w:val="000D5631"/>
    <w:rsid w:val="000E75C0"/>
    <w:rsid w:val="0011015E"/>
    <w:rsid w:val="00141639"/>
    <w:rsid w:val="0014180A"/>
    <w:rsid w:val="001632BF"/>
    <w:rsid w:val="00173D18"/>
    <w:rsid w:val="00175772"/>
    <w:rsid w:val="00175A7E"/>
    <w:rsid w:val="001849C7"/>
    <w:rsid w:val="00185C1F"/>
    <w:rsid w:val="0018601D"/>
    <w:rsid w:val="00187A64"/>
    <w:rsid w:val="001B1BB4"/>
    <w:rsid w:val="001B706A"/>
    <w:rsid w:val="001C48E8"/>
    <w:rsid w:val="001C5E05"/>
    <w:rsid w:val="001C61AC"/>
    <w:rsid w:val="001C72A5"/>
    <w:rsid w:val="001D10C9"/>
    <w:rsid w:val="001D7DE7"/>
    <w:rsid w:val="001E0A07"/>
    <w:rsid w:val="001E3E69"/>
    <w:rsid w:val="001E6145"/>
    <w:rsid w:val="001F1F7F"/>
    <w:rsid w:val="001F2D4E"/>
    <w:rsid w:val="001F39B6"/>
    <w:rsid w:val="0020722C"/>
    <w:rsid w:val="0022190D"/>
    <w:rsid w:val="0022218E"/>
    <w:rsid w:val="0022223A"/>
    <w:rsid w:val="00236A53"/>
    <w:rsid w:val="0024132F"/>
    <w:rsid w:val="00242DCD"/>
    <w:rsid w:val="00247C5C"/>
    <w:rsid w:val="0027337E"/>
    <w:rsid w:val="00273BE0"/>
    <w:rsid w:val="00291922"/>
    <w:rsid w:val="002A6460"/>
    <w:rsid w:val="002B6F6A"/>
    <w:rsid w:val="002C0FBF"/>
    <w:rsid w:val="002F5E2F"/>
    <w:rsid w:val="00316FC0"/>
    <w:rsid w:val="003268B3"/>
    <w:rsid w:val="00330F04"/>
    <w:rsid w:val="003452C0"/>
    <w:rsid w:val="00383195"/>
    <w:rsid w:val="003A2DF8"/>
    <w:rsid w:val="003B2082"/>
    <w:rsid w:val="003B4963"/>
    <w:rsid w:val="003C18A4"/>
    <w:rsid w:val="003D1DE0"/>
    <w:rsid w:val="003E2B8A"/>
    <w:rsid w:val="003E3EC7"/>
    <w:rsid w:val="00401AB6"/>
    <w:rsid w:val="004123CD"/>
    <w:rsid w:val="00422278"/>
    <w:rsid w:val="004234ED"/>
    <w:rsid w:val="0042592D"/>
    <w:rsid w:val="00427D41"/>
    <w:rsid w:val="004533BC"/>
    <w:rsid w:val="00462C33"/>
    <w:rsid w:val="004700BD"/>
    <w:rsid w:val="00492248"/>
    <w:rsid w:val="00497648"/>
    <w:rsid w:val="004B5A11"/>
    <w:rsid w:val="004B7A50"/>
    <w:rsid w:val="004D230F"/>
    <w:rsid w:val="00503974"/>
    <w:rsid w:val="0052230B"/>
    <w:rsid w:val="005235BE"/>
    <w:rsid w:val="00525A8A"/>
    <w:rsid w:val="005276F0"/>
    <w:rsid w:val="00530909"/>
    <w:rsid w:val="00537943"/>
    <w:rsid w:val="00541382"/>
    <w:rsid w:val="00541E8D"/>
    <w:rsid w:val="0055619C"/>
    <w:rsid w:val="00573B68"/>
    <w:rsid w:val="00587350"/>
    <w:rsid w:val="005A4234"/>
    <w:rsid w:val="005B3388"/>
    <w:rsid w:val="005C3F73"/>
    <w:rsid w:val="005C644E"/>
    <w:rsid w:val="005C7891"/>
    <w:rsid w:val="005F22B7"/>
    <w:rsid w:val="00603302"/>
    <w:rsid w:val="00604E4F"/>
    <w:rsid w:val="006054EE"/>
    <w:rsid w:val="006118B6"/>
    <w:rsid w:val="0062407D"/>
    <w:rsid w:val="006270C0"/>
    <w:rsid w:val="00630195"/>
    <w:rsid w:val="00634C82"/>
    <w:rsid w:val="00652B33"/>
    <w:rsid w:val="006559AF"/>
    <w:rsid w:val="00660ED5"/>
    <w:rsid w:val="00664628"/>
    <w:rsid w:val="00670AFE"/>
    <w:rsid w:val="006841EF"/>
    <w:rsid w:val="00687018"/>
    <w:rsid w:val="00693874"/>
    <w:rsid w:val="00693F46"/>
    <w:rsid w:val="006941F5"/>
    <w:rsid w:val="006B32F0"/>
    <w:rsid w:val="006F158F"/>
    <w:rsid w:val="006F2356"/>
    <w:rsid w:val="007038FC"/>
    <w:rsid w:val="0073734A"/>
    <w:rsid w:val="00764648"/>
    <w:rsid w:val="00766D78"/>
    <w:rsid w:val="007672F3"/>
    <w:rsid w:val="007701B2"/>
    <w:rsid w:val="00791BC2"/>
    <w:rsid w:val="007A69CB"/>
    <w:rsid w:val="007B16C4"/>
    <w:rsid w:val="007C2D7E"/>
    <w:rsid w:val="007D17FD"/>
    <w:rsid w:val="007D48C5"/>
    <w:rsid w:val="007E06F0"/>
    <w:rsid w:val="00802DFC"/>
    <w:rsid w:val="00814781"/>
    <w:rsid w:val="00816461"/>
    <w:rsid w:val="00834DBB"/>
    <w:rsid w:val="00840D01"/>
    <w:rsid w:val="00842FFB"/>
    <w:rsid w:val="0085565C"/>
    <w:rsid w:val="008619F6"/>
    <w:rsid w:val="0086351A"/>
    <w:rsid w:val="00874B61"/>
    <w:rsid w:val="00886503"/>
    <w:rsid w:val="0089213C"/>
    <w:rsid w:val="008A48B7"/>
    <w:rsid w:val="008B1552"/>
    <w:rsid w:val="008B3EB5"/>
    <w:rsid w:val="008C5809"/>
    <w:rsid w:val="008D78C9"/>
    <w:rsid w:val="008E0FC9"/>
    <w:rsid w:val="00913684"/>
    <w:rsid w:val="00923865"/>
    <w:rsid w:val="0092749D"/>
    <w:rsid w:val="0093016E"/>
    <w:rsid w:val="00934B4D"/>
    <w:rsid w:val="009371A1"/>
    <w:rsid w:val="00950794"/>
    <w:rsid w:val="00955C75"/>
    <w:rsid w:val="00962B3A"/>
    <w:rsid w:val="009677DF"/>
    <w:rsid w:val="0097677D"/>
    <w:rsid w:val="00985BD2"/>
    <w:rsid w:val="00994403"/>
    <w:rsid w:val="009946F8"/>
    <w:rsid w:val="00996E6B"/>
    <w:rsid w:val="009A1D64"/>
    <w:rsid w:val="009B1292"/>
    <w:rsid w:val="009B1D42"/>
    <w:rsid w:val="009B2430"/>
    <w:rsid w:val="009B338B"/>
    <w:rsid w:val="009B58AD"/>
    <w:rsid w:val="009B7935"/>
    <w:rsid w:val="009C7BA2"/>
    <w:rsid w:val="009D1161"/>
    <w:rsid w:val="009D667B"/>
    <w:rsid w:val="009F4449"/>
    <w:rsid w:val="00A02252"/>
    <w:rsid w:val="00A127F1"/>
    <w:rsid w:val="00A27130"/>
    <w:rsid w:val="00A7147C"/>
    <w:rsid w:val="00A7660B"/>
    <w:rsid w:val="00A86897"/>
    <w:rsid w:val="00A95733"/>
    <w:rsid w:val="00AA45CD"/>
    <w:rsid w:val="00AB5465"/>
    <w:rsid w:val="00AD4359"/>
    <w:rsid w:val="00B129DE"/>
    <w:rsid w:val="00B26FAC"/>
    <w:rsid w:val="00B31AA2"/>
    <w:rsid w:val="00B32A83"/>
    <w:rsid w:val="00B3394B"/>
    <w:rsid w:val="00B4087F"/>
    <w:rsid w:val="00B41EE8"/>
    <w:rsid w:val="00B6722A"/>
    <w:rsid w:val="00B74C0B"/>
    <w:rsid w:val="00B8400D"/>
    <w:rsid w:val="00B93A37"/>
    <w:rsid w:val="00BA1819"/>
    <w:rsid w:val="00BA373B"/>
    <w:rsid w:val="00BA5A22"/>
    <w:rsid w:val="00BB55E5"/>
    <w:rsid w:val="00BB73BC"/>
    <w:rsid w:val="00BD725A"/>
    <w:rsid w:val="00BE67D8"/>
    <w:rsid w:val="00BF2138"/>
    <w:rsid w:val="00BF3750"/>
    <w:rsid w:val="00C018CA"/>
    <w:rsid w:val="00C06244"/>
    <w:rsid w:val="00C202B6"/>
    <w:rsid w:val="00C3411F"/>
    <w:rsid w:val="00C536C2"/>
    <w:rsid w:val="00C55F47"/>
    <w:rsid w:val="00C56E2E"/>
    <w:rsid w:val="00C64A31"/>
    <w:rsid w:val="00C73DA2"/>
    <w:rsid w:val="00C82E8B"/>
    <w:rsid w:val="00C8503B"/>
    <w:rsid w:val="00C969D2"/>
    <w:rsid w:val="00CC4C88"/>
    <w:rsid w:val="00CC6843"/>
    <w:rsid w:val="00CD0A71"/>
    <w:rsid w:val="00CD0B1F"/>
    <w:rsid w:val="00CD3F96"/>
    <w:rsid w:val="00CE09F3"/>
    <w:rsid w:val="00CE54AA"/>
    <w:rsid w:val="00CE76DA"/>
    <w:rsid w:val="00D11E94"/>
    <w:rsid w:val="00D30389"/>
    <w:rsid w:val="00D31B16"/>
    <w:rsid w:val="00D337F6"/>
    <w:rsid w:val="00D507F0"/>
    <w:rsid w:val="00D52CDB"/>
    <w:rsid w:val="00D61710"/>
    <w:rsid w:val="00D6611E"/>
    <w:rsid w:val="00D85F37"/>
    <w:rsid w:val="00D90A6B"/>
    <w:rsid w:val="00DB4534"/>
    <w:rsid w:val="00DC3CF3"/>
    <w:rsid w:val="00DD2A82"/>
    <w:rsid w:val="00DD74AB"/>
    <w:rsid w:val="00DE6CBF"/>
    <w:rsid w:val="00DF46E4"/>
    <w:rsid w:val="00E04856"/>
    <w:rsid w:val="00E30AF5"/>
    <w:rsid w:val="00E36514"/>
    <w:rsid w:val="00E40C39"/>
    <w:rsid w:val="00E50CD3"/>
    <w:rsid w:val="00E56089"/>
    <w:rsid w:val="00E57AE1"/>
    <w:rsid w:val="00E87BE1"/>
    <w:rsid w:val="00E95318"/>
    <w:rsid w:val="00EA020F"/>
    <w:rsid w:val="00EA1F85"/>
    <w:rsid w:val="00EA75FF"/>
    <w:rsid w:val="00EB0A01"/>
    <w:rsid w:val="00ED4585"/>
    <w:rsid w:val="00ED735F"/>
    <w:rsid w:val="00EF65D4"/>
    <w:rsid w:val="00EF7F5A"/>
    <w:rsid w:val="00F035DE"/>
    <w:rsid w:val="00F37BC1"/>
    <w:rsid w:val="00F42610"/>
    <w:rsid w:val="00F5775F"/>
    <w:rsid w:val="00F63F24"/>
    <w:rsid w:val="00FD61B6"/>
    <w:rsid w:val="00FE4B6C"/>
    <w:rsid w:val="00FE5BB2"/>
    <w:rsid w:val="00FE6B90"/>
    <w:rsid w:val="00FF0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2B06BF"/>
  <w15:chartTrackingRefBased/>
  <w15:docId w15:val="{ECE6C7CB-363C-4FCA-A5CB-D2B0E8E2A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link w:val="Heading1Char"/>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qFormat/>
    <w:rsid w:val="00175A7E"/>
    <w:pPr>
      <w:keepNext/>
      <w:jc w:val="center"/>
      <w:outlineLvl w:val="1"/>
    </w:pPr>
    <w:rPr>
      <w:rFonts w:ascii="Arial" w:hAnsi="Arial" w:cs="Arial"/>
      <w:i/>
      <w:iCs/>
      <w:color w:val="999999"/>
      <w:sz w:val="18"/>
    </w:rPr>
  </w:style>
  <w:style w:type="paragraph" w:styleId="Heading3">
    <w:name w:val="heading 3"/>
    <w:basedOn w:val="Normal"/>
    <w:next w:val="Normal"/>
    <w:link w:val="Heading3Char"/>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hAnsi="Cambria" w:cs="Times New Roman"/>
      <w:b/>
      <w:bCs/>
      <w:kern w:val="32"/>
      <w:sz w:val="32"/>
      <w:szCs w:val="32"/>
    </w:rPr>
  </w:style>
  <w:style w:type="character" w:customStyle="1" w:styleId="Heading2Char">
    <w:name w:val="Heading 2 Char"/>
    <w:link w:val="Heading2"/>
    <w:semiHidden/>
    <w:locked/>
    <w:rPr>
      <w:rFonts w:ascii="Cambria" w:hAnsi="Cambria" w:cs="Times New Roman"/>
      <w:b/>
      <w:bCs/>
      <w:i/>
      <w:iCs/>
      <w:sz w:val="28"/>
      <w:szCs w:val="28"/>
    </w:rPr>
  </w:style>
  <w:style w:type="character" w:customStyle="1" w:styleId="Heading3Char">
    <w:name w:val="Heading 3 Char"/>
    <w:link w:val="Heading3"/>
    <w:semiHidden/>
    <w:locked/>
    <w:rPr>
      <w:rFonts w:ascii="Cambria" w:hAnsi="Cambria" w:cs="Times New Roman"/>
      <w:b/>
      <w:bCs/>
      <w:sz w:val="26"/>
      <w:szCs w:val="26"/>
    </w:rPr>
  </w:style>
  <w:style w:type="character" w:customStyle="1" w:styleId="Heading4Char">
    <w:name w:val="Heading 4 Char"/>
    <w:link w:val="Heading4"/>
    <w:semiHidden/>
    <w:locked/>
    <w:rPr>
      <w:rFonts w:ascii="Calibri" w:hAnsi="Calibri" w:cs="Times New Roman"/>
      <w:b/>
      <w:bCs/>
      <w:sz w:val="28"/>
      <w:szCs w:val="28"/>
    </w:rPr>
  </w:style>
  <w:style w:type="paragraph" w:styleId="BalloonText">
    <w:name w:val="Balloon Text"/>
    <w:basedOn w:val="Normal"/>
    <w:link w:val="BalloonTextChar"/>
    <w:semiHidden/>
    <w:rsid w:val="003B2082"/>
    <w:rPr>
      <w:rFonts w:ascii="Tahoma" w:hAnsi="Tahoma" w:cs="Tahoma"/>
      <w:sz w:val="16"/>
      <w:szCs w:val="16"/>
    </w:rPr>
  </w:style>
  <w:style w:type="character" w:customStyle="1" w:styleId="BalloonTextChar">
    <w:name w:val="Balloon Text Char"/>
    <w:link w:val="BalloonText"/>
    <w:semiHidden/>
    <w:locked/>
    <w:rPr>
      <w:rFonts w:cs="Times New Roman"/>
      <w:sz w:val="2"/>
    </w:rPr>
  </w:style>
  <w:style w:type="paragraph" w:styleId="Header">
    <w:name w:val="header"/>
    <w:aliases w:val="Header Char1,Header Char Char,Header Char1 Char Char,Header Char Char Char Char,Char Char Char Char Char,Char Char1 Char Char,Char Char Char,Header Char1 Char Char Char Char,Header Char Char Char Char Char Char,Char Char1,Char Char Char Char Ch"/>
    <w:basedOn w:val="Normal"/>
    <w:link w:val="HeaderChar"/>
    <w:rsid w:val="00175A7E"/>
    <w:pPr>
      <w:tabs>
        <w:tab w:val="clear" w:pos="284"/>
        <w:tab w:val="center" w:pos="4536"/>
        <w:tab w:val="right" w:pos="9072"/>
      </w:tabs>
    </w:pPr>
  </w:style>
  <w:style w:type="character" w:customStyle="1" w:styleId="HeaderChar">
    <w:name w:val="Header Char"/>
    <w:aliases w:val="Header Char1 Char,Header Char Char Char,Header Char1 Char Char Char,Header Char Char Char Char Char,Char Char Char Char Char Char,Char Char1 Char Char Char,Char Char Char Char,Header Char1 Char Char Char Char Char,Char Char1 Char"/>
    <w:link w:val="Header"/>
    <w:locked/>
    <w:rsid w:val="00C018CA"/>
    <w:rPr>
      <w:rFonts w:cs="Times New Roman"/>
      <w:sz w:val="24"/>
    </w:rPr>
  </w:style>
  <w:style w:type="paragraph" w:styleId="Footer">
    <w:name w:val="footer"/>
    <w:basedOn w:val="Normal"/>
    <w:link w:val="FooterChar"/>
    <w:rsid w:val="00175A7E"/>
    <w:pPr>
      <w:tabs>
        <w:tab w:val="clear" w:pos="284"/>
        <w:tab w:val="center" w:pos="4536"/>
        <w:tab w:val="right" w:pos="9072"/>
      </w:tabs>
    </w:pPr>
  </w:style>
  <w:style w:type="character" w:customStyle="1" w:styleId="FooterChar">
    <w:name w:val="Footer Char"/>
    <w:link w:val="Footer"/>
    <w:locked/>
    <w:rsid w:val="00C536C2"/>
    <w:rPr>
      <w:rFonts w:ascii="Humanist777" w:hAnsi="Humanist777" w:cs="Times New Roman"/>
      <w:sz w:val="24"/>
      <w:szCs w:val="24"/>
    </w:rPr>
  </w:style>
  <w:style w:type="character" w:styleId="PageNumber">
    <w:name w:val="page number"/>
    <w:rsid w:val="00175A7E"/>
    <w:rPr>
      <w:rFonts w:cs="Times New Roman"/>
    </w:rPr>
  </w:style>
  <w:style w:type="character" w:styleId="CommentReference">
    <w:name w:val="annotation reference"/>
    <w:rsid w:val="003B2082"/>
    <w:rPr>
      <w:rFonts w:cs="Times New Roman"/>
      <w:sz w:val="16"/>
    </w:rPr>
  </w:style>
  <w:style w:type="paragraph" w:styleId="CommentText">
    <w:name w:val="annotation text"/>
    <w:basedOn w:val="Normal"/>
    <w:link w:val="CommentTextChar"/>
    <w:semiHidden/>
    <w:rsid w:val="003B2082"/>
    <w:rPr>
      <w:sz w:val="20"/>
      <w:szCs w:val="20"/>
    </w:rPr>
  </w:style>
  <w:style w:type="character" w:customStyle="1" w:styleId="CommentTextChar">
    <w:name w:val="Comment Text Char"/>
    <w:link w:val="CommentText"/>
    <w:semiHidden/>
    <w:locked/>
    <w:rPr>
      <w:rFonts w:cs="Times New Roman"/>
      <w:sz w:val="20"/>
      <w:szCs w:val="20"/>
    </w:rPr>
  </w:style>
  <w:style w:type="paragraph" w:styleId="CommentSubject">
    <w:name w:val="annotation subject"/>
    <w:basedOn w:val="CommentText"/>
    <w:next w:val="CommentText"/>
    <w:link w:val="CommentSubjectChar"/>
    <w:semiHidden/>
    <w:rsid w:val="003B2082"/>
    <w:rPr>
      <w:b/>
      <w:bCs/>
    </w:rPr>
  </w:style>
  <w:style w:type="character" w:customStyle="1" w:styleId="CommentSubjectChar">
    <w:name w:val="Comment Subject Char"/>
    <w:link w:val="CommentSubject"/>
    <w:semiHidden/>
    <w:locked/>
    <w:rPr>
      <w:rFonts w:cs="Times New Roman"/>
      <w:b/>
      <w:bCs/>
      <w:sz w:val="20"/>
      <w:szCs w:val="20"/>
    </w:rPr>
  </w:style>
  <w:style w:type="paragraph" w:customStyle="1" w:styleId="NASLOV123">
    <w:name w:val="NASLOV 123"/>
    <w:basedOn w:val="Normal"/>
    <w:rsid w:val="00923865"/>
    <w:pPr>
      <w:spacing w:before="200" w:after="200"/>
      <w:jc w:val="left"/>
    </w:pPr>
    <w:rPr>
      <w:b/>
      <w:szCs w:val="22"/>
    </w:rPr>
  </w:style>
  <w:style w:type="paragraph" w:styleId="BodyText">
    <w:name w:val="Body Text"/>
    <w:basedOn w:val="Normal"/>
    <w:link w:val="BodyTextChar"/>
    <w:rsid w:val="00C018CA"/>
    <w:pPr>
      <w:tabs>
        <w:tab w:val="clear" w:pos="284"/>
      </w:tabs>
      <w:jc w:val="left"/>
    </w:pPr>
    <w:rPr>
      <w:szCs w:val="20"/>
      <w:lang w:val="sl-SI"/>
    </w:rPr>
  </w:style>
  <w:style w:type="character" w:customStyle="1" w:styleId="BodyTextChar">
    <w:name w:val="Body Text Char"/>
    <w:link w:val="BodyText"/>
    <w:locked/>
    <w:rsid w:val="00C018CA"/>
    <w:rPr>
      <w:rFonts w:cs="Times New Roman"/>
      <w:sz w:val="22"/>
      <w:lang w:val="sl-SI" w:eastAsia="x-none"/>
    </w:rPr>
  </w:style>
  <w:style w:type="paragraph" w:styleId="BodyTextIndent">
    <w:name w:val="Body Text Indent"/>
    <w:basedOn w:val="Normal"/>
    <w:link w:val="BodyTextIndentChar"/>
    <w:rsid w:val="00C018CA"/>
    <w:pPr>
      <w:spacing w:after="120"/>
      <w:ind w:left="283"/>
    </w:pPr>
  </w:style>
  <w:style w:type="character" w:customStyle="1" w:styleId="BodyTextIndentChar">
    <w:name w:val="Body Text Indent Char"/>
    <w:link w:val="BodyTextIndent"/>
    <w:locked/>
    <w:rsid w:val="00C018CA"/>
    <w:rPr>
      <w:rFonts w:cs="Times New Roman"/>
      <w:sz w:val="24"/>
      <w:szCs w:val="24"/>
    </w:rPr>
  </w:style>
  <w:style w:type="paragraph" w:styleId="Revision">
    <w:name w:val="Revision"/>
    <w:hidden/>
    <w:uiPriority w:val="99"/>
    <w:semiHidden/>
    <w:rsid w:val="00FD61B6"/>
    <w:rPr>
      <w:sz w:val="22"/>
      <w:szCs w:val="24"/>
    </w:rPr>
  </w:style>
  <w:style w:type="table" w:styleId="TableGrid">
    <w:name w:val="Table Grid"/>
    <w:basedOn w:val="TableNormal"/>
    <w:locked/>
    <w:rsid w:val="005C6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primaryreporting.who-umc.org/M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1500</Words>
  <Characters>8553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10033</CharactersWithSpaces>
  <SharedDoc>false</SharedDoc>
  <HLinks>
    <vt:vector size="18" baseType="variant">
      <vt:variant>
        <vt:i4>6881316</vt:i4>
      </vt:variant>
      <vt:variant>
        <vt:i4>6</vt:i4>
      </vt:variant>
      <vt:variant>
        <vt:i4>0</vt:i4>
      </vt:variant>
      <vt:variant>
        <vt:i4>5</vt:i4>
      </vt:variant>
      <vt:variant>
        <vt:lpwstr>https://primaryreporting.who-umc.org/ME</vt:lpwstr>
      </vt:variant>
      <vt:variant>
        <vt:lpwstr/>
      </vt:variant>
      <vt:variant>
        <vt:i4>3342355</vt:i4>
      </vt:variant>
      <vt:variant>
        <vt:i4>3</vt:i4>
      </vt:variant>
      <vt:variant>
        <vt:i4>0</vt:i4>
      </vt:variant>
      <vt:variant>
        <vt:i4>5</vt:i4>
      </vt:variant>
      <vt:variant>
        <vt:lpwstr>mailto:nezeljenadejstva@cinmed.me</vt:lpwstr>
      </vt:variant>
      <vt:variant>
        <vt:lpwstr/>
      </vt:variant>
      <vt:variant>
        <vt:i4>524381</vt:i4>
      </vt:variant>
      <vt:variant>
        <vt:i4>0</vt:i4>
      </vt:variant>
      <vt:variant>
        <vt:i4>0</vt:i4>
      </vt:variant>
      <vt:variant>
        <vt:i4>5</vt:i4>
      </vt:variant>
      <vt:variant>
        <vt:lpwstr>http://www.cinmed.me/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dc:description/>
  <cp:lastModifiedBy>Aleksandra Minić</cp:lastModifiedBy>
  <cp:revision>6</cp:revision>
  <cp:lastPrinted>2022-08-04T07:08:00Z</cp:lastPrinted>
  <dcterms:created xsi:type="dcterms:W3CDTF">2024-05-24T07:56:00Z</dcterms:created>
  <dcterms:modified xsi:type="dcterms:W3CDTF">2024-06-13T10:25:00Z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16641392,50670df2,5810a3ab</vt:lpwstr>
  </property>
  <property fmtid="{D5CDD505-2E9C-101B-9397-08002B2CF9AE}" pid="3" name="ClassificationContentMarkingHeaderFontProps">
    <vt:lpwstr>#008000,11,Calibri</vt:lpwstr>
  </property>
  <property fmtid="{D5CDD505-2E9C-101B-9397-08002B2CF9AE}" pid="4" name="ClassificationContentMarkingHeaderText">
    <vt:lpwstr>Interno_Internal</vt:lpwstr>
  </property>
  <property fmtid="{D5CDD505-2E9C-101B-9397-08002B2CF9AE}" pid="5" name="MSIP_Label_80e91ba7-203e-4ac0-a045-4c37ad0b383b_Enabled">
    <vt:lpwstr>true</vt:lpwstr>
  </property>
  <property fmtid="{D5CDD505-2E9C-101B-9397-08002B2CF9AE}" pid="6" name="MSIP_Label_80e91ba7-203e-4ac0-a045-4c37ad0b383b_SetDate">
    <vt:lpwstr>2024-05-28T12:37:11Z</vt:lpwstr>
  </property>
  <property fmtid="{D5CDD505-2E9C-101B-9397-08002B2CF9AE}" pid="7" name="MSIP_Label_80e91ba7-203e-4ac0-a045-4c37ad0b383b_Method">
    <vt:lpwstr>Standard</vt:lpwstr>
  </property>
  <property fmtid="{D5CDD505-2E9C-101B-9397-08002B2CF9AE}" pid="8" name="MSIP_Label_80e91ba7-203e-4ac0-a045-4c37ad0b383b_Name">
    <vt:lpwstr>Interno_Internal</vt:lpwstr>
  </property>
  <property fmtid="{D5CDD505-2E9C-101B-9397-08002B2CF9AE}" pid="9" name="MSIP_Label_80e91ba7-203e-4ac0-a045-4c37ad0b383b_SiteId">
    <vt:lpwstr>61d5927c-a4d9-4b92-8821-c13225cc56bc</vt:lpwstr>
  </property>
  <property fmtid="{D5CDD505-2E9C-101B-9397-08002B2CF9AE}" pid="10" name="MSIP_Label_80e91ba7-203e-4ac0-a045-4c37ad0b383b_ActionId">
    <vt:lpwstr>bcc408c9-a171-4a9b-b3d9-62e64aa5ecfe</vt:lpwstr>
  </property>
  <property fmtid="{D5CDD505-2E9C-101B-9397-08002B2CF9AE}" pid="11" name="MSIP_Label_80e91ba7-203e-4ac0-a045-4c37ad0b383b_ContentBits">
    <vt:lpwstr>1</vt:lpwstr>
  </property>
</Properties>
</file>