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62535" w14:textId="77777777" w:rsidR="009E2CF8" w:rsidRDefault="009E2CF8">
      <w:pPr>
        <w:jc w:val="center"/>
        <w:rPr>
          <w:rFonts w:ascii="Times" w:hAnsi="Times"/>
          <w:b/>
          <w:bCs/>
          <w:iCs/>
          <w:szCs w:val="22"/>
          <w:u w:val="single"/>
        </w:rPr>
      </w:pPr>
    </w:p>
    <w:p w14:paraId="713A1BE8" w14:textId="48FD0C85" w:rsidR="00CE09F3" w:rsidRPr="000F694A" w:rsidRDefault="00FC4847">
      <w:pPr>
        <w:jc w:val="center"/>
        <w:rPr>
          <w:rFonts w:ascii="Times" w:hAnsi="Times"/>
          <w:b/>
          <w:bCs/>
          <w:iCs/>
          <w:szCs w:val="22"/>
          <w:u w:val="single"/>
        </w:rPr>
      </w:pPr>
      <w:r w:rsidRPr="000F694A">
        <w:rPr>
          <w:rFonts w:ascii="Times" w:hAnsi="Times"/>
          <w:b/>
          <w:bCs/>
          <w:iCs/>
          <w:szCs w:val="22"/>
          <w:u w:val="single"/>
        </w:rPr>
        <w:t xml:space="preserve">SAŽETAK KARAKTERISTIKA </w:t>
      </w:r>
      <w:r w:rsidR="00AC562A" w:rsidRPr="000F694A">
        <w:rPr>
          <w:rFonts w:ascii="Times" w:hAnsi="Times"/>
          <w:b/>
          <w:bCs/>
          <w:iCs/>
          <w:szCs w:val="22"/>
          <w:u w:val="single"/>
        </w:rPr>
        <w:t>LIJEK</w:t>
      </w:r>
      <w:r w:rsidRPr="000F694A">
        <w:rPr>
          <w:rFonts w:ascii="Times" w:hAnsi="Times"/>
          <w:b/>
          <w:bCs/>
          <w:iCs/>
          <w:szCs w:val="22"/>
          <w:u w:val="single"/>
        </w:rPr>
        <w:t>A</w:t>
      </w:r>
    </w:p>
    <w:p w14:paraId="5D4D8B17" w14:textId="77777777" w:rsidR="00CE09F3" w:rsidRPr="000F694A" w:rsidRDefault="00CE09F3">
      <w:pPr>
        <w:rPr>
          <w:rFonts w:ascii="Times" w:hAnsi="Times"/>
          <w:b/>
          <w:bCs/>
          <w:szCs w:val="22"/>
        </w:rPr>
      </w:pPr>
    </w:p>
    <w:p w14:paraId="02DDDC48" w14:textId="77777777" w:rsidR="00AD0415" w:rsidRPr="000F694A" w:rsidRDefault="00AD0415" w:rsidP="000F694A">
      <w:pPr>
        <w:pStyle w:val="Header"/>
        <w:tabs>
          <w:tab w:val="clear" w:pos="4536"/>
          <w:tab w:val="clear" w:pos="9072"/>
        </w:tabs>
        <w:rPr>
          <w:rFonts w:ascii="Times" w:hAnsi="Times"/>
          <w:b/>
          <w:bCs/>
          <w:szCs w:val="22"/>
        </w:rPr>
      </w:pPr>
    </w:p>
    <w:p w14:paraId="1458715A" w14:textId="1D31FF36" w:rsidR="00F3137E" w:rsidRPr="00B22D20" w:rsidRDefault="00F3137E" w:rsidP="00C25676">
      <w:pPr>
        <w:pStyle w:val="Header"/>
        <w:tabs>
          <w:tab w:val="clear" w:pos="4536"/>
          <w:tab w:val="clear" w:pos="9072"/>
        </w:tabs>
        <w:rPr>
          <w:b/>
          <w:bCs/>
          <w:szCs w:val="22"/>
        </w:rPr>
      </w:pPr>
      <w:r w:rsidRPr="000F694A">
        <w:rPr>
          <w:rFonts w:ascii="Times" w:hAnsi="Times"/>
          <w:b/>
          <w:bCs/>
          <w:szCs w:val="22"/>
        </w:rPr>
        <w:t>1</w:t>
      </w:r>
      <w:r w:rsidRPr="00B22D20">
        <w:rPr>
          <w:b/>
          <w:bCs/>
          <w:szCs w:val="22"/>
        </w:rPr>
        <w:t xml:space="preserve">. IME </w:t>
      </w:r>
      <w:r w:rsidR="00AC562A" w:rsidRPr="00B22D20">
        <w:rPr>
          <w:b/>
          <w:bCs/>
          <w:szCs w:val="22"/>
        </w:rPr>
        <w:t>LIJEK</w:t>
      </w:r>
      <w:r w:rsidRPr="00B22D20">
        <w:rPr>
          <w:b/>
          <w:bCs/>
          <w:szCs w:val="22"/>
        </w:rPr>
        <w:t>A</w:t>
      </w:r>
    </w:p>
    <w:p w14:paraId="1AF018AC" w14:textId="77777777" w:rsidR="00381CAE" w:rsidRPr="00B22D20" w:rsidRDefault="00381CAE">
      <w:pPr>
        <w:pStyle w:val="Header"/>
        <w:tabs>
          <w:tab w:val="clear" w:pos="4536"/>
          <w:tab w:val="clear" w:pos="9072"/>
        </w:tabs>
        <w:rPr>
          <w:szCs w:val="22"/>
        </w:rPr>
      </w:pPr>
    </w:p>
    <w:p w14:paraId="2D06D05B" w14:textId="62F12AC3" w:rsidR="00381CAE" w:rsidRPr="00B22D20" w:rsidRDefault="00DF0EEC">
      <w:pPr>
        <w:pStyle w:val="Header"/>
        <w:tabs>
          <w:tab w:val="clear" w:pos="4536"/>
          <w:tab w:val="clear" w:pos="9072"/>
        </w:tabs>
        <w:rPr>
          <w:szCs w:val="22"/>
        </w:rPr>
      </w:pPr>
      <w:r w:rsidRPr="00B22D20">
        <w:rPr>
          <w:szCs w:val="22"/>
        </w:rPr>
        <w:t xml:space="preserve">Plavix, 75 mg, film </w:t>
      </w:r>
      <w:r w:rsidR="00AD55F7" w:rsidRPr="00B22D20">
        <w:rPr>
          <w:szCs w:val="22"/>
        </w:rPr>
        <w:t>tableta</w:t>
      </w:r>
    </w:p>
    <w:p w14:paraId="7F5970A8" w14:textId="77777777" w:rsidR="00381CAE" w:rsidRPr="00B22D20" w:rsidRDefault="00381CAE">
      <w:pPr>
        <w:pStyle w:val="Header"/>
        <w:tabs>
          <w:tab w:val="clear" w:pos="4536"/>
          <w:tab w:val="clear" w:pos="9072"/>
          <w:tab w:val="left" w:pos="828"/>
        </w:tabs>
        <w:rPr>
          <w:szCs w:val="22"/>
        </w:rPr>
      </w:pPr>
    </w:p>
    <w:p w14:paraId="6D6EC8CF" w14:textId="07EF388F" w:rsidR="00F3137E" w:rsidRPr="00B22D20" w:rsidRDefault="00F3137E">
      <w:pPr>
        <w:pStyle w:val="Header"/>
        <w:tabs>
          <w:tab w:val="clear" w:pos="4536"/>
          <w:tab w:val="clear" w:pos="9072"/>
          <w:tab w:val="left" w:pos="828"/>
        </w:tabs>
        <w:rPr>
          <w:szCs w:val="22"/>
        </w:rPr>
      </w:pPr>
      <w:r w:rsidRPr="00B22D20">
        <w:rPr>
          <w:szCs w:val="22"/>
        </w:rPr>
        <w:t>INN</w:t>
      </w:r>
      <w:r w:rsidR="007258E1" w:rsidRPr="00B22D20">
        <w:rPr>
          <w:szCs w:val="22"/>
        </w:rPr>
        <w:t xml:space="preserve">: </w:t>
      </w:r>
      <w:r w:rsidRPr="00B22D20">
        <w:rPr>
          <w:szCs w:val="22"/>
        </w:rPr>
        <w:t>klopidogrel</w:t>
      </w:r>
    </w:p>
    <w:p w14:paraId="4E1A98F2" w14:textId="77777777" w:rsidR="00AD0415" w:rsidRPr="00B22D20" w:rsidRDefault="00AD0415">
      <w:pPr>
        <w:pStyle w:val="Header"/>
        <w:tabs>
          <w:tab w:val="clear" w:pos="4536"/>
          <w:tab w:val="clear" w:pos="9072"/>
          <w:tab w:val="left" w:pos="828"/>
        </w:tabs>
        <w:spacing w:before="120"/>
        <w:rPr>
          <w:szCs w:val="22"/>
        </w:rPr>
      </w:pPr>
    </w:p>
    <w:p w14:paraId="6D6A5D8B" w14:textId="77777777" w:rsidR="00F3137E" w:rsidRPr="00B22D20" w:rsidRDefault="00F3137E">
      <w:pPr>
        <w:pStyle w:val="Header"/>
        <w:tabs>
          <w:tab w:val="clear" w:pos="4536"/>
          <w:tab w:val="clear" w:pos="9072"/>
        </w:tabs>
        <w:rPr>
          <w:b/>
          <w:bCs/>
          <w:szCs w:val="22"/>
        </w:rPr>
      </w:pPr>
      <w:r w:rsidRPr="00B22D20">
        <w:rPr>
          <w:b/>
          <w:bCs/>
          <w:szCs w:val="22"/>
        </w:rPr>
        <w:t>2. KVALITATIVNI I KVANTITATIVNI SASTAV</w:t>
      </w:r>
    </w:p>
    <w:p w14:paraId="34DEF753" w14:textId="77777777" w:rsidR="00381CAE" w:rsidRPr="00B22D20" w:rsidRDefault="00381CAE">
      <w:pPr>
        <w:rPr>
          <w:szCs w:val="22"/>
          <w:lang w:val="sr-Latn-CS"/>
        </w:rPr>
      </w:pPr>
    </w:p>
    <w:p w14:paraId="24939156" w14:textId="2543CB67" w:rsidR="00F3137E" w:rsidRPr="00B22D20" w:rsidRDefault="00F3137E">
      <w:pPr>
        <w:rPr>
          <w:szCs w:val="22"/>
          <w:lang w:val="sr-Latn-CS"/>
        </w:rPr>
      </w:pPr>
      <w:r w:rsidRPr="00B22D20">
        <w:rPr>
          <w:szCs w:val="22"/>
          <w:lang w:val="sr-Latn-CS"/>
        </w:rPr>
        <w:t>Jedna film tableta sadrži 75 mg klopidogrela (u obliku klopidogrel</w:t>
      </w:r>
      <w:r w:rsidR="00F54D86" w:rsidRPr="00B22D20">
        <w:rPr>
          <w:szCs w:val="22"/>
          <w:lang w:val="sr-Latn-CS"/>
        </w:rPr>
        <w:t xml:space="preserve"> </w:t>
      </w:r>
      <w:r w:rsidRPr="00B22D20">
        <w:rPr>
          <w:szCs w:val="22"/>
          <w:lang w:val="sr-Latn-CS"/>
        </w:rPr>
        <w:t>hidrogensulfata).</w:t>
      </w:r>
    </w:p>
    <w:p w14:paraId="1B1F4768" w14:textId="77777777" w:rsidR="00381CAE" w:rsidRPr="00B22D20" w:rsidRDefault="00381CAE">
      <w:pPr>
        <w:rPr>
          <w:szCs w:val="22"/>
          <w:u w:val="single"/>
          <w:lang w:val="sr-Latn-CS"/>
        </w:rPr>
      </w:pPr>
    </w:p>
    <w:p w14:paraId="4C3B6330" w14:textId="68C2FAE0" w:rsidR="00280949" w:rsidRPr="00B22D20" w:rsidRDefault="00DF0EEC">
      <w:pPr>
        <w:rPr>
          <w:szCs w:val="22"/>
          <w:u w:val="single"/>
          <w:lang w:val="sr-Latn-CS"/>
        </w:rPr>
      </w:pPr>
      <w:r w:rsidRPr="00B22D20">
        <w:rPr>
          <w:szCs w:val="22"/>
          <w:u w:val="single"/>
          <w:lang w:val="sr-Latn-CS"/>
        </w:rPr>
        <w:t>Pomoćne supstance sa potvrđenim dejstvom</w:t>
      </w:r>
      <w:r w:rsidR="00F3137E" w:rsidRPr="00B22D20">
        <w:rPr>
          <w:szCs w:val="22"/>
          <w:u w:val="single"/>
          <w:lang w:val="sr-Latn-CS"/>
        </w:rPr>
        <w:t xml:space="preserve">: </w:t>
      </w:r>
    </w:p>
    <w:p w14:paraId="1D590533" w14:textId="77777777" w:rsidR="00F3137E" w:rsidRPr="00B22D20" w:rsidRDefault="00280949">
      <w:pPr>
        <w:rPr>
          <w:szCs w:val="22"/>
          <w:lang w:val="sr-Latn-CS"/>
        </w:rPr>
      </w:pPr>
      <w:r w:rsidRPr="00B22D20">
        <w:rPr>
          <w:szCs w:val="22"/>
          <w:lang w:val="sr-Latn-CS"/>
        </w:rPr>
        <w:t>J</w:t>
      </w:r>
      <w:r w:rsidR="00F3137E" w:rsidRPr="00B22D20">
        <w:rPr>
          <w:szCs w:val="22"/>
          <w:lang w:val="sr-Latn-CS"/>
        </w:rPr>
        <w:t xml:space="preserve">edna film tableta sadrži 3 mg laktoze, monohidrat i 3,3 mg </w:t>
      </w:r>
      <w:r w:rsidR="006410D1" w:rsidRPr="00B22D20">
        <w:rPr>
          <w:szCs w:val="22"/>
          <w:lang w:val="sr-Latn-CS"/>
        </w:rPr>
        <w:t xml:space="preserve">ricinusovog ulja, </w:t>
      </w:r>
      <w:r w:rsidR="00F3137E" w:rsidRPr="00B22D20">
        <w:rPr>
          <w:szCs w:val="22"/>
          <w:lang w:val="sr-Latn-CS"/>
        </w:rPr>
        <w:t>hidrogenizovanog.</w:t>
      </w:r>
    </w:p>
    <w:p w14:paraId="05FE7931" w14:textId="77777777" w:rsidR="00381CAE" w:rsidRPr="00B22D20" w:rsidRDefault="00381CAE">
      <w:pPr>
        <w:pStyle w:val="Header"/>
        <w:tabs>
          <w:tab w:val="clear" w:pos="4536"/>
          <w:tab w:val="clear" w:pos="9072"/>
        </w:tabs>
        <w:rPr>
          <w:szCs w:val="22"/>
          <w:lang w:val="sr-Latn-CS"/>
        </w:rPr>
      </w:pPr>
    </w:p>
    <w:p w14:paraId="7B294A6B" w14:textId="1A032711" w:rsidR="00F3137E" w:rsidRPr="00B22D20" w:rsidRDefault="00280949">
      <w:pPr>
        <w:pStyle w:val="Header"/>
        <w:tabs>
          <w:tab w:val="clear" w:pos="4536"/>
          <w:tab w:val="clear" w:pos="9072"/>
        </w:tabs>
        <w:rPr>
          <w:szCs w:val="22"/>
          <w:lang w:val="sr-Latn-CS"/>
        </w:rPr>
      </w:pPr>
      <w:r w:rsidRPr="00B22D20">
        <w:rPr>
          <w:szCs w:val="22"/>
          <w:lang w:val="sr-Latn-CS"/>
        </w:rPr>
        <w:t>Za</w:t>
      </w:r>
      <w:r w:rsidR="00F3137E" w:rsidRPr="00B22D20">
        <w:rPr>
          <w:szCs w:val="22"/>
          <w:lang w:val="sr-Latn-CS"/>
        </w:rPr>
        <w:t xml:space="preserve"> </w:t>
      </w:r>
      <w:r w:rsidR="00AC562A" w:rsidRPr="00B22D20">
        <w:rPr>
          <w:szCs w:val="22"/>
          <w:lang w:val="sr-Latn-CS"/>
        </w:rPr>
        <w:t xml:space="preserve">spisak svih </w:t>
      </w:r>
      <w:r w:rsidR="00E62151" w:rsidRPr="00B22D20">
        <w:rPr>
          <w:szCs w:val="22"/>
          <w:lang w:val="sr-Latn-CS"/>
        </w:rPr>
        <w:t>pomoćnih supstanci</w:t>
      </w:r>
      <w:r w:rsidR="00AC562A" w:rsidRPr="00B22D20">
        <w:rPr>
          <w:szCs w:val="22"/>
          <w:lang w:val="sr-Latn-CS"/>
        </w:rPr>
        <w:t>, pogledati dio 6.1.</w:t>
      </w:r>
    </w:p>
    <w:p w14:paraId="7A18E35A" w14:textId="77777777" w:rsidR="006410D1" w:rsidRPr="00B22D20" w:rsidRDefault="006410D1">
      <w:pPr>
        <w:pStyle w:val="Header"/>
        <w:tabs>
          <w:tab w:val="clear" w:pos="4536"/>
          <w:tab w:val="clear" w:pos="9072"/>
        </w:tabs>
        <w:spacing w:after="120"/>
        <w:rPr>
          <w:b/>
          <w:bCs/>
          <w:szCs w:val="22"/>
        </w:rPr>
      </w:pPr>
    </w:p>
    <w:p w14:paraId="27D6F6E6" w14:textId="77777777" w:rsidR="00F3137E" w:rsidRPr="00B22D20" w:rsidRDefault="00F3137E">
      <w:pPr>
        <w:pStyle w:val="Header"/>
        <w:tabs>
          <w:tab w:val="clear" w:pos="4536"/>
          <w:tab w:val="clear" w:pos="9072"/>
        </w:tabs>
        <w:rPr>
          <w:b/>
          <w:bCs/>
          <w:szCs w:val="22"/>
        </w:rPr>
      </w:pPr>
      <w:r w:rsidRPr="00B22D20">
        <w:rPr>
          <w:b/>
          <w:bCs/>
          <w:szCs w:val="22"/>
        </w:rPr>
        <w:t>3. FARMACEUTSKI OBLIK</w:t>
      </w:r>
    </w:p>
    <w:p w14:paraId="4648D3C9" w14:textId="77777777" w:rsidR="00381CAE" w:rsidRPr="00B22D20" w:rsidRDefault="00381CAE">
      <w:pPr>
        <w:rPr>
          <w:szCs w:val="22"/>
          <w:lang w:val="sr-Latn-CS"/>
        </w:rPr>
      </w:pPr>
    </w:p>
    <w:p w14:paraId="7CCA8B20" w14:textId="0E7C0141" w:rsidR="00F3137E" w:rsidRPr="00B22D20" w:rsidRDefault="00F3137E">
      <w:pPr>
        <w:rPr>
          <w:szCs w:val="22"/>
          <w:lang w:val="sr-Latn-CS"/>
        </w:rPr>
      </w:pPr>
      <w:r w:rsidRPr="00B22D20">
        <w:rPr>
          <w:szCs w:val="22"/>
          <w:lang w:val="sr-Latn-CS"/>
        </w:rPr>
        <w:t>Film tableta.</w:t>
      </w:r>
    </w:p>
    <w:p w14:paraId="3835C7A0" w14:textId="77777777" w:rsidR="00381CAE" w:rsidRPr="00B22D20" w:rsidRDefault="00381CAE">
      <w:pPr>
        <w:pStyle w:val="Header"/>
        <w:tabs>
          <w:tab w:val="clear" w:pos="4536"/>
          <w:tab w:val="clear" w:pos="9072"/>
        </w:tabs>
        <w:rPr>
          <w:szCs w:val="22"/>
          <w:lang w:val="sr-Latn-CS"/>
        </w:rPr>
      </w:pPr>
    </w:p>
    <w:p w14:paraId="014845F6" w14:textId="72F19032" w:rsidR="00F3137E" w:rsidRPr="00B22D20" w:rsidRDefault="00F3137E">
      <w:pPr>
        <w:pStyle w:val="Header"/>
        <w:tabs>
          <w:tab w:val="clear" w:pos="4536"/>
          <w:tab w:val="clear" w:pos="9072"/>
        </w:tabs>
        <w:rPr>
          <w:szCs w:val="22"/>
          <w:lang w:val="sr-Latn-CS"/>
        </w:rPr>
      </w:pPr>
      <w:r w:rsidRPr="00B22D20">
        <w:rPr>
          <w:szCs w:val="22"/>
          <w:lang w:val="sr-Latn-CS"/>
        </w:rPr>
        <w:t>Okrugle, bikonveksne film tablete, ružičaste boje, koje na jednoj strani imaju utisnut broj „75“, a na drugoj strani „1171“.</w:t>
      </w:r>
    </w:p>
    <w:p w14:paraId="4CB0A13E" w14:textId="77777777" w:rsidR="008E5931" w:rsidRPr="00B22D20" w:rsidRDefault="008E5931">
      <w:pPr>
        <w:pStyle w:val="Header"/>
        <w:tabs>
          <w:tab w:val="clear" w:pos="4536"/>
          <w:tab w:val="clear" w:pos="9072"/>
        </w:tabs>
        <w:spacing w:before="120"/>
        <w:rPr>
          <w:b/>
          <w:bCs/>
          <w:szCs w:val="22"/>
        </w:rPr>
      </w:pPr>
    </w:p>
    <w:p w14:paraId="2F26AE2D" w14:textId="77777777" w:rsidR="00F3137E" w:rsidRPr="00B22D20" w:rsidRDefault="00F3137E">
      <w:pPr>
        <w:pStyle w:val="Header"/>
        <w:tabs>
          <w:tab w:val="clear" w:pos="4536"/>
          <w:tab w:val="clear" w:pos="9072"/>
        </w:tabs>
        <w:rPr>
          <w:b/>
          <w:bCs/>
          <w:szCs w:val="22"/>
        </w:rPr>
      </w:pPr>
      <w:r w:rsidRPr="00B22D20">
        <w:rPr>
          <w:b/>
          <w:bCs/>
          <w:szCs w:val="22"/>
        </w:rPr>
        <w:t>4. KLINIČKI PODACI</w:t>
      </w:r>
    </w:p>
    <w:p w14:paraId="79F4D3CE" w14:textId="77777777" w:rsidR="00AD0415" w:rsidRPr="00B22D20" w:rsidRDefault="00AD0415">
      <w:pPr>
        <w:pStyle w:val="Header"/>
        <w:tabs>
          <w:tab w:val="clear" w:pos="4536"/>
          <w:tab w:val="clear" w:pos="9072"/>
        </w:tabs>
        <w:rPr>
          <w:b/>
          <w:bCs/>
          <w:szCs w:val="22"/>
        </w:rPr>
      </w:pPr>
    </w:p>
    <w:p w14:paraId="406E6F69" w14:textId="286BFFC2" w:rsidR="00F3137E" w:rsidRPr="00B22D20" w:rsidRDefault="00F3137E">
      <w:pPr>
        <w:pStyle w:val="Header"/>
        <w:tabs>
          <w:tab w:val="clear" w:pos="4536"/>
          <w:tab w:val="clear" w:pos="9072"/>
        </w:tabs>
        <w:rPr>
          <w:b/>
          <w:bCs/>
          <w:szCs w:val="22"/>
        </w:rPr>
      </w:pPr>
      <w:r w:rsidRPr="00B22D20">
        <w:rPr>
          <w:b/>
          <w:bCs/>
          <w:szCs w:val="22"/>
        </w:rPr>
        <w:t>4.1. Terapijske indikacije</w:t>
      </w:r>
    </w:p>
    <w:p w14:paraId="523F83DA" w14:textId="77777777" w:rsidR="00691296" w:rsidRPr="00B22D20" w:rsidRDefault="00691296">
      <w:pPr>
        <w:pStyle w:val="Header"/>
        <w:tabs>
          <w:tab w:val="clear" w:pos="4536"/>
          <w:tab w:val="clear" w:pos="9072"/>
        </w:tabs>
        <w:rPr>
          <w:b/>
          <w:bCs/>
          <w:szCs w:val="22"/>
        </w:rPr>
      </w:pPr>
    </w:p>
    <w:p w14:paraId="4347F339" w14:textId="481750E9" w:rsidR="00184CA8" w:rsidRPr="00B22D20" w:rsidRDefault="00F3137E">
      <w:pPr>
        <w:rPr>
          <w:i/>
          <w:szCs w:val="22"/>
          <w:lang w:val="sr-Latn-CS"/>
        </w:rPr>
      </w:pPr>
      <w:r w:rsidRPr="00B22D20">
        <w:rPr>
          <w:i/>
          <w:szCs w:val="22"/>
          <w:lang w:val="sr-Latn-CS"/>
        </w:rPr>
        <w:t>Sekundarna prevencija aterotrombotskih događaja</w:t>
      </w:r>
    </w:p>
    <w:p w14:paraId="3AD2A064" w14:textId="77777777" w:rsidR="00381CAE" w:rsidRPr="00B22D20" w:rsidRDefault="00381CAE">
      <w:pPr>
        <w:rPr>
          <w:szCs w:val="22"/>
          <w:lang w:val="sr-Latn-CS"/>
        </w:rPr>
      </w:pPr>
    </w:p>
    <w:p w14:paraId="21F9219E" w14:textId="0238098A" w:rsidR="00F3137E" w:rsidRPr="00B22D20" w:rsidRDefault="00F3137E">
      <w:pPr>
        <w:rPr>
          <w:szCs w:val="22"/>
          <w:lang w:val="sr-Latn-CS"/>
        </w:rPr>
      </w:pPr>
      <w:r w:rsidRPr="00B22D20">
        <w:rPr>
          <w:szCs w:val="22"/>
          <w:lang w:val="sr-Latn-CS"/>
        </w:rPr>
        <w:t>Klopidogrel je indikovan kod:</w:t>
      </w:r>
    </w:p>
    <w:p w14:paraId="6D8B7673" w14:textId="4B2C3CC4" w:rsidR="00F3137E" w:rsidRPr="00B22D20" w:rsidRDefault="00F3137E" w:rsidP="00B22D20">
      <w:pPr>
        <w:numPr>
          <w:ilvl w:val="0"/>
          <w:numId w:val="16"/>
        </w:numPr>
        <w:tabs>
          <w:tab w:val="clear" w:pos="284"/>
          <w:tab w:val="clear" w:pos="720"/>
          <w:tab w:val="num" w:pos="180"/>
        </w:tabs>
        <w:spacing w:before="120"/>
        <w:ind w:left="180" w:hanging="180"/>
        <w:rPr>
          <w:szCs w:val="22"/>
          <w:lang w:val="sr-Latn-CS"/>
        </w:rPr>
      </w:pPr>
      <w:r w:rsidRPr="00B22D20">
        <w:rPr>
          <w:szCs w:val="22"/>
          <w:lang w:val="sr-Latn-CS"/>
        </w:rPr>
        <w:t xml:space="preserve">odraslih pacijenata koji su </w:t>
      </w:r>
      <w:r w:rsidR="00DF0EEC" w:rsidRPr="00B22D20">
        <w:rPr>
          <w:szCs w:val="22"/>
          <w:lang w:val="sr-Latn-CS"/>
        </w:rPr>
        <w:t>pretrp</w:t>
      </w:r>
      <w:r w:rsidR="00F05C4D" w:rsidRPr="00B22D20">
        <w:rPr>
          <w:szCs w:val="22"/>
          <w:lang w:val="sr-Latn-CS"/>
        </w:rPr>
        <w:t>j</w:t>
      </w:r>
      <w:r w:rsidR="00DF0EEC" w:rsidRPr="00B22D20">
        <w:rPr>
          <w:szCs w:val="22"/>
          <w:lang w:val="sr-Latn-CS"/>
        </w:rPr>
        <w:t>eli</w:t>
      </w:r>
      <w:r w:rsidRPr="00B22D20">
        <w:rPr>
          <w:szCs w:val="22"/>
          <w:lang w:val="sr-Latn-CS"/>
        </w:rPr>
        <w:t xml:space="preserve"> infarkt miokarda (u rasponu od nekoliko dana do najviše 35 dana</w:t>
      </w:r>
      <w:r w:rsidR="007378A7" w:rsidRPr="00B22D20">
        <w:rPr>
          <w:szCs w:val="22"/>
          <w:lang w:val="sr-Latn-CS"/>
        </w:rPr>
        <w:t>)</w:t>
      </w:r>
      <w:r w:rsidR="00870B8C" w:rsidRPr="00B22D20">
        <w:rPr>
          <w:szCs w:val="22"/>
          <w:lang w:val="sr-Latn-CS"/>
        </w:rPr>
        <w:t xml:space="preserve"> </w:t>
      </w:r>
      <w:r w:rsidRPr="00B22D20">
        <w:rPr>
          <w:szCs w:val="22"/>
          <w:lang w:val="sr-Latn-CS"/>
        </w:rPr>
        <w:t>ishemijski moždani udar (u rasponu od 7 dana do najviše 6 m</w:t>
      </w:r>
      <w:r w:rsidR="00C81935" w:rsidRPr="00B22D20">
        <w:rPr>
          <w:szCs w:val="22"/>
          <w:lang w:val="sr-Latn-CS"/>
        </w:rPr>
        <w:t>j</w:t>
      </w:r>
      <w:r w:rsidRPr="00B22D20">
        <w:rPr>
          <w:szCs w:val="22"/>
          <w:lang w:val="sr-Latn-CS"/>
        </w:rPr>
        <w:t>eseci</w:t>
      </w:r>
      <w:r w:rsidR="00F92F20" w:rsidRPr="00B22D20">
        <w:rPr>
          <w:szCs w:val="22"/>
          <w:lang w:val="sr-Latn-CS"/>
        </w:rPr>
        <w:t xml:space="preserve"> </w:t>
      </w:r>
      <w:r w:rsidRPr="00B22D20">
        <w:rPr>
          <w:szCs w:val="22"/>
          <w:lang w:val="sr-Latn-CS"/>
        </w:rPr>
        <w:t>) ili kod pacijenata kod kojih je potvrđena bolest perifernih arterija.</w:t>
      </w:r>
    </w:p>
    <w:p w14:paraId="1A4C01A1" w14:textId="77777777" w:rsidR="00F3137E" w:rsidRPr="00B22D20" w:rsidRDefault="00F3137E" w:rsidP="00B22D20">
      <w:pPr>
        <w:numPr>
          <w:ilvl w:val="0"/>
          <w:numId w:val="16"/>
        </w:numPr>
        <w:tabs>
          <w:tab w:val="clear" w:pos="284"/>
          <w:tab w:val="clear" w:pos="720"/>
          <w:tab w:val="num" w:pos="180"/>
        </w:tabs>
        <w:spacing w:before="120"/>
        <w:ind w:left="180" w:hanging="180"/>
        <w:rPr>
          <w:szCs w:val="22"/>
          <w:lang w:val="sr-Latn-CS"/>
        </w:rPr>
      </w:pPr>
      <w:r w:rsidRPr="00B22D20">
        <w:rPr>
          <w:szCs w:val="22"/>
          <w:lang w:val="sr-Latn-CS"/>
        </w:rPr>
        <w:t>odraslih pacijenata koji boluju od akutnog koronarnog sindroma:</w:t>
      </w:r>
    </w:p>
    <w:p w14:paraId="70E74E09" w14:textId="7B241646" w:rsidR="00F3137E" w:rsidRPr="00B22D20" w:rsidRDefault="00F3137E">
      <w:pPr>
        <w:numPr>
          <w:ilvl w:val="0"/>
          <w:numId w:val="22"/>
        </w:numPr>
        <w:tabs>
          <w:tab w:val="clear" w:pos="284"/>
        </w:tabs>
        <w:rPr>
          <w:szCs w:val="22"/>
          <w:lang w:val="sr-Latn-CS"/>
        </w:rPr>
      </w:pPr>
      <w:r w:rsidRPr="00B22D20">
        <w:rPr>
          <w:szCs w:val="22"/>
          <w:lang w:val="sr-Latn-CS"/>
        </w:rPr>
        <w:t>akutni koronarni sindrom bez elevacije ST segmenta (nestabilna angina ili infarkt miokarda bez Q zupca), uključujući i pacijente koji se podvrgavaju ugradnji stenta nakon perkutane koronarne intervencije u kombinaciji sa acetilsalicilnom kiselinom (AS</w:t>
      </w:r>
      <w:r w:rsidR="009E11A2" w:rsidRPr="00B22D20">
        <w:rPr>
          <w:szCs w:val="22"/>
          <w:lang w:val="sr-Latn-CS"/>
        </w:rPr>
        <w:t>K</w:t>
      </w:r>
      <w:r w:rsidRPr="00B22D20">
        <w:rPr>
          <w:szCs w:val="22"/>
          <w:lang w:val="sr-Latn-CS"/>
        </w:rPr>
        <w:t>).</w:t>
      </w:r>
    </w:p>
    <w:p w14:paraId="74A99339" w14:textId="450A9E2D" w:rsidR="00F3137E" w:rsidRPr="00B22D20" w:rsidRDefault="00F3137E">
      <w:pPr>
        <w:numPr>
          <w:ilvl w:val="0"/>
          <w:numId w:val="22"/>
        </w:numPr>
        <w:rPr>
          <w:rFonts w:eastAsia="TimesNewRoman"/>
          <w:szCs w:val="22"/>
          <w:lang w:val="sr-Latn-CS"/>
        </w:rPr>
      </w:pPr>
      <w:r w:rsidRPr="00B22D20">
        <w:rPr>
          <w:szCs w:val="22"/>
          <w:lang w:val="sr-Latn-CS"/>
        </w:rPr>
        <w:t xml:space="preserve">akutni infarkt miokarda sa elevacijom ST segmenta u kombinaciji sa </w:t>
      </w:r>
      <w:r w:rsidR="00F92F20" w:rsidRPr="00B22D20">
        <w:rPr>
          <w:szCs w:val="22"/>
          <w:lang w:val="sr-Latn-CS"/>
        </w:rPr>
        <w:t>AS</w:t>
      </w:r>
      <w:r w:rsidR="009E11A2" w:rsidRPr="00B22D20">
        <w:rPr>
          <w:szCs w:val="22"/>
          <w:lang w:val="sr-Latn-CS"/>
        </w:rPr>
        <w:t>K</w:t>
      </w:r>
      <w:r w:rsidRPr="00B22D20">
        <w:rPr>
          <w:rFonts w:eastAsia="TimesNewRoman"/>
          <w:szCs w:val="22"/>
          <w:lang w:val="sr-Latn-CS"/>
        </w:rPr>
        <w:t xml:space="preserve"> </w:t>
      </w:r>
      <w:r w:rsidRPr="00B22D20">
        <w:rPr>
          <w:rFonts w:eastAsia="TimesNewRoman"/>
          <w:szCs w:val="22"/>
          <w:lang w:val="de-DE"/>
        </w:rPr>
        <w:t>kod</w:t>
      </w:r>
      <w:r w:rsidRPr="00B22D20">
        <w:rPr>
          <w:rFonts w:eastAsia="TimesNewRoman"/>
          <w:szCs w:val="22"/>
          <w:lang w:val="sr-Latn-CS"/>
        </w:rPr>
        <w:t xml:space="preserve"> </w:t>
      </w:r>
      <w:r w:rsidRPr="00B22D20">
        <w:rPr>
          <w:rFonts w:eastAsia="TimesNewRoman"/>
          <w:szCs w:val="22"/>
          <w:lang w:val="de-DE"/>
        </w:rPr>
        <w:t>pacijenata</w:t>
      </w:r>
      <w:r w:rsidR="00C26ECD" w:rsidRPr="00B22D20">
        <w:rPr>
          <w:rFonts w:eastAsia="TimesNewRoman"/>
          <w:szCs w:val="22"/>
          <w:lang w:val="sr-Latn-CS"/>
        </w:rPr>
        <w:t xml:space="preserve"> </w:t>
      </w:r>
      <w:r w:rsidR="00623570" w:rsidRPr="00B22D20">
        <w:rPr>
          <w:rFonts w:eastAsia="TimesNewRoman"/>
          <w:szCs w:val="22"/>
          <w:lang w:val="sr-Latn-CS"/>
        </w:rPr>
        <w:t xml:space="preserve">koji su podvrgnuti perkutanoj koronarnoj intervenciji (uključujući pacijente koji su podvrgnuti postavljanju stenta) ili pacijenata </w:t>
      </w:r>
      <w:r w:rsidR="00C26ECD" w:rsidRPr="00B22D20">
        <w:rPr>
          <w:rFonts w:eastAsia="TimesNewRoman"/>
          <w:szCs w:val="22"/>
          <w:lang w:val="sr-Latn-CS"/>
        </w:rPr>
        <w:t>kod kojih je primijenjena medikamentozna terapija, a koji su</w:t>
      </w:r>
      <w:r w:rsidR="000A51CE" w:rsidRPr="00B22D20">
        <w:rPr>
          <w:rFonts w:eastAsia="TimesNewRoman"/>
          <w:szCs w:val="22"/>
          <w:lang w:val="de-DE"/>
        </w:rPr>
        <w:t xml:space="preserve"> pogodni za prim</w:t>
      </w:r>
      <w:r w:rsidR="00C81935" w:rsidRPr="00B22D20">
        <w:rPr>
          <w:rFonts w:eastAsia="TimesNewRoman"/>
          <w:szCs w:val="22"/>
          <w:lang w:val="de-DE"/>
        </w:rPr>
        <w:t>j</w:t>
      </w:r>
      <w:r w:rsidR="000A51CE" w:rsidRPr="00B22D20">
        <w:rPr>
          <w:rFonts w:eastAsia="TimesNewRoman"/>
          <w:szCs w:val="22"/>
          <w:lang w:val="de-DE"/>
        </w:rPr>
        <w:t>enu</w:t>
      </w:r>
      <w:r w:rsidRPr="00B22D20">
        <w:rPr>
          <w:rFonts w:eastAsia="TimesNewRoman"/>
          <w:szCs w:val="22"/>
          <w:lang w:val="sr-Latn-CS"/>
        </w:rPr>
        <w:t xml:space="preserve"> </w:t>
      </w:r>
      <w:r w:rsidRPr="00B22D20">
        <w:rPr>
          <w:rFonts w:eastAsia="TimesNewRoman"/>
          <w:szCs w:val="22"/>
          <w:lang w:val="de-DE"/>
        </w:rPr>
        <w:t>tromboliti</w:t>
      </w:r>
      <w:r w:rsidRPr="00B22D20">
        <w:rPr>
          <w:rFonts w:eastAsia="TimesNewRoman"/>
          <w:szCs w:val="22"/>
          <w:lang w:val="sr-Latn-CS"/>
        </w:rPr>
        <w:t>č</w:t>
      </w:r>
      <w:r w:rsidR="000A51CE" w:rsidRPr="00B22D20">
        <w:rPr>
          <w:rFonts w:eastAsia="TimesNewRoman"/>
          <w:szCs w:val="22"/>
          <w:lang w:val="de-DE"/>
        </w:rPr>
        <w:t>ke</w:t>
      </w:r>
      <w:r w:rsidR="00623570" w:rsidRPr="00B22D20">
        <w:rPr>
          <w:rFonts w:eastAsia="TimesNewRoman"/>
          <w:szCs w:val="22"/>
          <w:lang w:val="de-DE"/>
        </w:rPr>
        <w:t>/ fibrinolitičke</w:t>
      </w:r>
      <w:r w:rsidRPr="00B22D20">
        <w:rPr>
          <w:rFonts w:eastAsia="TimesNewRoman"/>
          <w:szCs w:val="22"/>
          <w:lang w:val="sr-Latn-CS"/>
        </w:rPr>
        <w:t xml:space="preserve"> </w:t>
      </w:r>
      <w:r w:rsidR="000A51CE" w:rsidRPr="00B22D20">
        <w:rPr>
          <w:rFonts w:eastAsia="TimesNewRoman"/>
          <w:szCs w:val="22"/>
          <w:lang w:val="de-DE"/>
        </w:rPr>
        <w:t>terapije</w:t>
      </w:r>
      <w:r w:rsidRPr="00B22D20">
        <w:rPr>
          <w:rFonts w:eastAsia="TimesNewRoman"/>
          <w:szCs w:val="22"/>
          <w:lang w:val="sr-Latn-CS"/>
        </w:rPr>
        <w:t>.</w:t>
      </w:r>
    </w:p>
    <w:p w14:paraId="3C76BF0E" w14:textId="7D45D728" w:rsidR="00691296" w:rsidRPr="00B22D20" w:rsidRDefault="00BC04FF">
      <w:pPr>
        <w:tabs>
          <w:tab w:val="clear" w:pos="284"/>
        </w:tabs>
        <w:spacing w:before="120"/>
        <w:rPr>
          <w:i/>
          <w:szCs w:val="22"/>
          <w:lang w:val="sr-Latn-CS"/>
        </w:rPr>
      </w:pPr>
      <w:r w:rsidRPr="00B22D20">
        <w:rPr>
          <w:i/>
          <w:szCs w:val="22"/>
          <w:lang w:val="sr-Latn-CS"/>
        </w:rPr>
        <w:t xml:space="preserve">Kod pacijenata koji imaju </w:t>
      </w:r>
      <w:r w:rsidR="00AF045F" w:rsidRPr="00B22D20">
        <w:rPr>
          <w:i/>
          <w:szCs w:val="22"/>
          <w:lang w:val="sr-Latn-CS"/>
        </w:rPr>
        <w:t xml:space="preserve">umjeren do visokorizičan </w:t>
      </w:r>
      <w:r w:rsidRPr="00B22D20">
        <w:rPr>
          <w:i/>
          <w:szCs w:val="22"/>
          <w:lang w:val="sr-Latn-CS"/>
        </w:rPr>
        <w:t>tranzitorn</w:t>
      </w:r>
      <w:r w:rsidR="007378A7" w:rsidRPr="00B22D20">
        <w:rPr>
          <w:i/>
          <w:szCs w:val="22"/>
          <w:lang w:val="sr-Latn-CS"/>
        </w:rPr>
        <w:t>i</w:t>
      </w:r>
      <w:r w:rsidRPr="00B22D20">
        <w:rPr>
          <w:i/>
          <w:szCs w:val="22"/>
          <w:lang w:val="sr-Latn-CS"/>
        </w:rPr>
        <w:t xml:space="preserve"> ishemi</w:t>
      </w:r>
      <w:r w:rsidR="007378A7" w:rsidRPr="00B22D20">
        <w:rPr>
          <w:i/>
          <w:szCs w:val="22"/>
          <w:lang w:val="sr-Latn-CS"/>
        </w:rPr>
        <w:t>jski</w:t>
      </w:r>
      <w:r w:rsidRPr="00B22D20">
        <w:rPr>
          <w:i/>
          <w:szCs w:val="22"/>
          <w:lang w:val="sr-Latn-CS"/>
        </w:rPr>
        <w:t xml:space="preserve"> </w:t>
      </w:r>
      <w:r w:rsidR="00DD2CEA" w:rsidRPr="00B22D20">
        <w:rPr>
          <w:i/>
          <w:szCs w:val="22"/>
          <w:lang w:val="sr-Latn-CS"/>
        </w:rPr>
        <w:t>napad</w:t>
      </w:r>
      <w:r w:rsidRPr="00B22D20">
        <w:rPr>
          <w:i/>
          <w:szCs w:val="22"/>
          <w:lang w:val="sr-Latn-CS"/>
        </w:rPr>
        <w:t xml:space="preserve"> (TIA) ili manj</w:t>
      </w:r>
      <w:r w:rsidR="007378A7" w:rsidRPr="00B22D20">
        <w:rPr>
          <w:i/>
          <w:szCs w:val="22"/>
          <w:lang w:val="sr-Latn-CS"/>
        </w:rPr>
        <w:t>i</w:t>
      </w:r>
      <w:r w:rsidRPr="00B22D20">
        <w:rPr>
          <w:i/>
          <w:szCs w:val="22"/>
          <w:lang w:val="sr-Latn-CS"/>
        </w:rPr>
        <w:t xml:space="preserve"> ishemijsk</w:t>
      </w:r>
      <w:r w:rsidR="007378A7" w:rsidRPr="00B22D20">
        <w:rPr>
          <w:i/>
          <w:szCs w:val="22"/>
          <w:lang w:val="sr-Latn-CS"/>
        </w:rPr>
        <w:t>i</w:t>
      </w:r>
      <w:r w:rsidRPr="00B22D20">
        <w:rPr>
          <w:i/>
          <w:szCs w:val="22"/>
          <w:lang w:val="sr-Latn-CS"/>
        </w:rPr>
        <w:t xml:space="preserve"> moždan</w:t>
      </w:r>
      <w:r w:rsidR="007378A7" w:rsidRPr="00B22D20">
        <w:rPr>
          <w:i/>
          <w:szCs w:val="22"/>
          <w:lang w:val="sr-Latn-CS"/>
        </w:rPr>
        <w:t>i</w:t>
      </w:r>
      <w:r w:rsidRPr="00B22D20">
        <w:rPr>
          <w:i/>
          <w:szCs w:val="22"/>
          <w:lang w:val="sr-Latn-CS"/>
        </w:rPr>
        <w:t xml:space="preserve"> udar (IMU)</w:t>
      </w:r>
    </w:p>
    <w:p w14:paraId="09911E08" w14:textId="77777777" w:rsidR="00BC04FF" w:rsidRPr="00B22D20" w:rsidRDefault="00BC04FF">
      <w:pPr>
        <w:rPr>
          <w:szCs w:val="22"/>
          <w:lang w:val="sr-Latn-CS"/>
        </w:rPr>
      </w:pPr>
      <w:r w:rsidRPr="00B22D20">
        <w:rPr>
          <w:szCs w:val="22"/>
          <w:lang w:val="sr-Latn-CS"/>
        </w:rPr>
        <w:t>Klopidogrel u kombinaciji sa acetilsalicilnom kiselinom (ASK) je indikovan kod:</w:t>
      </w:r>
    </w:p>
    <w:p w14:paraId="6B9D08AE" w14:textId="50D0C3FE" w:rsidR="00204BDE" w:rsidRDefault="00BC04FF">
      <w:pPr>
        <w:pStyle w:val="ListParagraph"/>
        <w:numPr>
          <w:ilvl w:val="0"/>
          <w:numId w:val="26"/>
        </w:numPr>
        <w:rPr>
          <w:szCs w:val="22"/>
          <w:lang w:val="sr-Latn-CS"/>
        </w:rPr>
      </w:pPr>
      <w:r w:rsidRPr="00B22D20">
        <w:rPr>
          <w:szCs w:val="22"/>
          <w:lang w:val="sr-Latn-CS"/>
        </w:rPr>
        <w:t xml:space="preserve">odraslih pacijenata koji imaju </w:t>
      </w:r>
      <w:r w:rsidR="001C0A8E" w:rsidRPr="00B22D20">
        <w:rPr>
          <w:szCs w:val="22"/>
          <w:lang w:val="sr-Latn-CS"/>
        </w:rPr>
        <w:t xml:space="preserve">umjeren do visokorizičan </w:t>
      </w:r>
      <w:r w:rsidRPr="00B22D20">
        <w:rPr>
          <w:szCs w:val="22"/>
          <w:lang w:val="sr-Latn-CS"/>
        </w:rPr>
        <w:t>TIA</w:t>
      </w:r>
      <w:r w:rsidR="00943DC2" w:rsidRPr="00B22D20">
        <w:rPr>
          <w:szCs w:val="22"/>
          <w:lang w:val="sr-Latn-CS"/>
        </w:rPr>
        <w:t xml:space="preserve"> </w:t>
      </w:r>
      <w:r w:rsidRPr="00B22D20">
        <w:rPr>
          <w:szCs w:val="22"/>
          <w:lang w:val="sr-Latn-CS"/>
        </w:rPr>
        <w:t>(ABCD2</w:t>
      </w:r>
      <w:r w:rsidRPr="00B22D20">
        <w:rPr>
          <w:szCs w:val="22"/>
          <w:vertAlign w:val="superscript"/>
          <w:lang w:val="sr-Latn-CS"/>
        </w:rPr>
        <w:t>1</w:t>
      </w:r>
      <w:r w:rsidRPr="00B22D20">
        <w:rPr>
          <w:szCs w:val="22"/>
          <w:lang w:val="sr-Latn-CS"/>
        </w:rPr>
        <w:t>skor ≥</w:t>
      </w:r>
      <w:r w:rsidR="00943DC2" w:rsidRPr="00B22D20">
        <w:rPr>
          <w:szCs w:val="22"/>
          <w:lang w:val="sr-Latn-CS"/>
        </w:rPr>
        <w:t xml:space="preserve"> </w:t>
      </w:r>
      <w:r w:rsidRPr="00B22D20">
        <w:rPr>
          <w:szCs w:val="22"/>
          <w:lang w:val="sr-Latn-CS"/>
        </w:rPr>
        <w:t>4) ili manj</w:t>
      </w:r>
      <w:r w:rsidR="00943DC2" w:rsidRPr="00B22D20">
        <w:rPr>
          <w:szCs w:val="22"/>
          <w:lang w:val="sr-Latn-CS"/>
        </w:rPr>
        <w:t>i</w:t>
      </w:r>
      <w:r w:rsidRPr="00B22D20">
        <w:rPr>
          <w:szCs w:val="22"/>
          <w:lang w:val="sr-Latn-CS"/>
        </w:rPr>
        <w:t xml:space="preserve"> IMU (NIHSS</w:t>
      </w:r>
      <w:r w:rsidRPr="00B22D20">
        <w:rPr>
          <w:szCs w:val="22"/>
          <w:vertAlign w:val="superscript"/>
          <w:lang w:val="sr-Latn-CS"/>
        </w:rPr>
        <w:t>2</w:t>
      </w:r>
      <w:r w:rsidRPr="00B22D20">
        <w:rPr>
          <w:szCs w:val="22"/>
          <w:lang w:val="sr-Latn-CS"/>
        </w:rPr>
        <w:t xml:space="preserve"> ≤</w:t>
      </w:r>
      <w:r w:rsidR="00CB4C09" w:rsidRPr="00B22D20">
        <w:rPr>
          <w:szCs w:val="22"/>
          <w:lang w:val="sr-Latn-CS"/>
        </w:rPr>
        <w:t xml:space="preserve"> </w:t>
      </w:r>
      <w:r w:rsidRPr="00B22D20">
        <w:rPr>
          <w:szCs w:val="22"/>
          <w:lang w:val="sr-Latn-CS"/>
        </w:rPr>
        <w:t xml:space="preserve">3) u okviru 24 časa od nastanka tih događaja, bilo </w:t>
      </w:r>
      <w:r w:rsidR="001C0A8E" w:rsidRPr="00B22D20">
        <w:rPr>
          <w:szCs w:val="22"/>
          <w:lang w:val="sr-Latn-CS"/>
        </w:rPr>
        <w:t>da se rad</w:t>
      </w:r>
      <w:r w:rsidR="00691296" w:rsidRPr="00B22D20">
        <w:rPr>
          <w:szCs w:val="22"/>
          <w:lang w:val="sr-Latn-CS"/>
        </w:rPr>
        <w:t>i</w:t>
      </w:r>
      <w:r w:rsidR="001C0A8E" w:rsidRPr="00B22D20">
        <w:rPr>
          <w:szCs w:val="22"/>
          <w:lang w:val="sr-Latn-CS"/>
        </w:rPr>
        <w:t xml:space="preserve"> o </w:t>
      </w:r>
      <w:r w:rsidRPr="00B22D20">
        <w:rPr>
          <w:szCs w:val="22"/>
          <w:lang w:val="sr-Latn-CS"/>
        </w:rPr>
        <w:t xml:space="preserve">TIA </w:t>
      </w:r>
      <w:r w:rsidR="001C0A8E" w:rsidRPr="00B22D20">
        <w:rPr>
          <w:szCs w:val="22"/>
          <w:lang w:val="sr-Latn-CS"/>
        </w:rPr>
        <w:t>ili</w:t>
      </w:r>
      <w:r w:rsidRPr="00B22D20">
        <w:rPr>
          <w:szCs w:val="22"/>
          <w:lang w:val="sr-Latn-CS"/>
        </w:rPr>
        <w:t xml:space="preserve"> IMU.</w:t>
      </w:r>
    </w:p>
    <w:p w14:paraId="73FBC35C" w14:textId="55C9A4F5" w:rsidR="00C25676" w:rsidRDefault="00C25676">
      <w:pPr>
        <w:tabs>
          <w:tab w:val="clear" w:pos="284"/>
        </w:tabs>
        <w:jc w:val="left"/>
        <w:rPr>
          <w:szCs w:val="22"/>
          <w:lang w:val="sr-Latn-CS"/>
        </w:rPr>
      </w:pPr>
      <w:r>
        <w:rPr>
          <w:szCs w:val="22"/>
          <w:lang w:val="sr-Latn-CS"/>
        </w:rPr>
        <w:br w:type="page"/>
      </w:r>
    </w:p>
    <w:p w14:paraId="3B2CB513" w14:textId="22E03764" w:rsidR="00C25676" w:rsidRPr="00B22D20" w:rsidRDefault="00F3137E" w:rsidP="00B22D20">
      <w:pPr>
        <w:tabs>
          <w:tab w:val="clear" w:pos="284"/>
        </w:tabs>
        <w:spacing w:before="120" w:line="276" w:lineRule="auto"/>
        <w:rPr>
          <w:i/>
          <w:szCs w:val="22"/>
          <w:lang w:val="sr-Latn-CS"/>
        </w:rPr>
      </w:pPr>
      <w:r w:rsidRPr="00B22D20">
        <w:rPr>
          <w:i/>
          <w:szCs w:val="22"/>
          <w:lang w:val="sr-Latn-CS"/>
        </w:rPr>
        <w:lastRenderedPageBreak/>
        <w:t>Prevencija aterotrombotskih i tromboembolijskih događaja u atrijalnoj fibrilaciji</w:t>
      </w:r>
    </w:p>
    <w:p w14:paraId="7C7CC82B" w14:textId="14E8FDAB" w:rsidR="00F3137E" w:rsidRPr="00B22D20" w:rsidRDefault="00F3137E">
      <w:pPr>
        <w:tabs>
          <w:tab w:val="clear" w:pos="284"/>
        </w:tabs>
        <w:rPr>
          <w:szCs w:val="22"/>
          <w:lang w:val="sr-Latn-CS"/>
        </w:rPr>
      </w:pPr>
      <w:r w:rsidRPr="00B22D20">
        <w:rPr>
          <w:szCs w:val="22"/>
          <w:lang w:val="sr-Latn-CS"/>
        </w:rPr>
        <w:t>Kod odraslih pacijenata sa atrijalnom fibrilacijom (AF) koji imaju najmanje jedan faktor rizika za nastanak vaskularnih događaja, koji ni</w:t>
      </w:r>
      <w:r w:rsidR="00D04CA5" w:rsidRPr="00B22D20">
        <w:rPr>
          <w:szCs w:val="22"/>
          <w:lang w:val="sr-Latn-CS"/>
        </w:rPr>
        <w:t>je</w:t>
      </w:r>
      <w:r w:rsidRPr="00B22D20">
        <w:rPr>
          <w:szCs w:val="22"/>
          <w:lang w:val="sr-Latn-CS"/>
        </w:rPr>
        <w:t xml:space="preserve">su podobni za terapiju antagonistima vitamina K (AVK) i koji imaju nizak rizik </w:t>
      </w:r>
      <w:r w:rsidR="00943DC2" w:rsidRPr="00B22D20">
        <w:rPr>
          <w:szCs w:val="22"/>
          <w:lang w:val="sr-Latn-CS"/>
        </w:rPr>
        <w:t>od</w:t>
      </w:r>
      <w:r w:rsidRPr="00B22D20">
        <w:rPr>
          <w:szCs w:val="22"/>
          <w:lang w:val="sr-Latn-CS"/>
        </w:rPr>
        <w:t xml:space="preserve"> nastank</w:t>
      </w:r>
      <w:r w:rsidR="00943DC2" w:rsidRPr="00B22D20">
        <w:rPr>
          <w:szCs w:val="22"/>
          <w:lang w:val="sr-Latn-CS"/>
        </w:rPr>
        <w:t>a</w:t>
      </w:r>
      <w:r w:rsidRPr="00B22D20">
        <w:rPr>
          <w:szCs w:val="22"/>
          <w:lang w:val="sr-Latn-CS"/>
        </w:rPr>
        <w:t xml:space="preserve"> krvarenja, klopidogrel je indikovan u kombinaciji sa </w:t>
      </w:r>
      <w:r w:rsidR="00465370" w:rsidRPr="00B22D20">
        <w:rPr>
          <w:szCs w:val="22"/>
          <w:lang w:val="sr-Latn-CS"/>
        </w:rPr>
        <w:t>AS</w:t>
      </w:r>
      <w:r w:rsidR="009E11A2" w:rsidRPr="00B22D20">
        <w:rPr>
          <w:szCs w:val="22"/>
          <w:lang w:val="sr-Latn-CS"/>
        </w:rPr>
        <w:t>K</w:t>
      </w:r>
      <w:r w:rsidRPr="00B22D20">
        <w:rPr>
          <w:szCs w:val="22"/>
          <w:lang w:val="sr-Latn-CS"/>
        </w:rPr>
        <w:t>, za prevenciju aterotrombot</w:t>
      </w:r>
      <w:r w:rsidR="000A51CE" w:rsidRPr="00B22D20">
        <w:rPr>
          <w:szCs w:val="22"/>
          <w:lang w:val="sr-Latn-CS"/>
        </w:rPr>
        <w:t>ičk</w:t>
      </w:r>
      <w:r w:rsidRPr="00B22D20">
        <w:rPr>
          <w:szCs w:val="22"/>
          <w:lang w:val="sr-Latn-CS"/>
        </w:rPr>
        <w:t>ih i tromboembolijskih događaja, uključujući i moždani udar.</w:t>
      </w:r>
    </w:p>
    <w:p w14:paraId="196293C1" w14:textId="5E938A2A" w:rsidR="00173523" w:rsidRPr="00B22D20" w:rsidRDefault="00F3137E">
      <w:pPr>
        <w:pStyle w:val="Header"/>
        <w:tabs>
          <w:tab w:val="clear" w:pos="4536"/>
          <w:tab w:val="clear" w:pos="9072"/>
        </w:tabs>
        <w:spacing w:before="120" w:after="120"/>
        <w:rPr>
          <w:szCs w:val="22"/>
          <w:lang w:val="sr-Latn-CS"/>
        </w:rPr>
      </w:pPr>
      <w:r w:rsidRPr="00B22D20">
        <w:rPr>
          <w:szCs w:val="22"/>
          <w:lang w:val="sr-Latn-CS"/>
        </w:rPr>
        <w:t xml:space="preserve">Za dodatne informacije pogledajte </w:t>
      </w:r>
      <w:r w:rsidR="00D04CA5" w:rsidRPr="00B22D20">
        <w:rPr>
          <w:szCs w:val="22"/>
          <w:lang w:val="sr-Latn-CS"/>
        </w:rPr>
        <w:t>dio</w:t>
      </w:r>
      <w:r w:rsidRPr="00B22D20">
        <w:rPr>
          <w:szCs w:val="22"/>
          <w:lang w:val="sr-Latn-CS"/>
        </w:rPr>
        <w:t xml:space="preserve"> 5.1.</w:t>
      </w:r>
    </w:p>
    <w:p w14:paraId="0348ED62" w14:textId="4216A947" w:rsidR="00173523" w:rsidRPr="00B22D20" w:rsidRDefault="00173523">
      <w:pPr>
        <w:pStyle w:val="Header"/>
        <w:rPr>
          <w:i/>
          <w:iCs/>
          <w:szCs w:val="22"/>
        </w:rPr>
      </w:pPr>
      <w:r w:rsidRPr="00B22D20">
        <w:rPr>
          <w:i/>
          <w:iCs/>
          <w:szCs w:val="22"/>
          <w:vertAlign w:val="superscript"/>
        </w:rPr>
        <w:t xml:space="preserve">1 </w:t>
      </w:r>
      <w:r w:rsidR="00B5690D" w:rsidRPr="00B22D20">
        <w:rPr>
          <w:i/>
          <w:iCs/>
          <w:szCs w:val="22"/>
        </w:rPr>
        <w:t>s</w:t>
      </w:r>
      <w:r w:rsidR="002237C1" w:rsidRPr="00B22D20">
        <w:rPr>
          <w:i/>
          <w:iCs/>
          <w:szCs w:val="22"/>
        </w:rPr>
        <w:t>tarost, krvni pritisak, klinička slika, trajanje i dijagnoza šećerne bolesti</w:t>
      </w:r>
    </w:p>
    <w:p w14:paraId="6955037D" w14:textId="16CA6394" w:rsidR="00691296" w:rsidRPr="00B22D20" w:rsidRDefault="00173523">
      <w:pPr>
        <w:pStyle w:val="Header"/>
        <w:tabs>
          <w:tab w:val="clear" w:pos="4536"/>
          <w:tab w:val="clear" w:pos="9072"/>
        </w:tabs>
        <w:rPr>
          <w:i/>
          <w:iCs/>
          <w:szCs w:val="22"/>
        </w:rPr>
      </w:pPr>
      <w:r w:rsidRPr="00B22D20">
        <w:rPr>
          <w:i/>
          <w:iCs/>
          <w:szCs w:val="22"/>
          <w:vertAlign w:val="superscript"/>
        </w:rPr>
        <w:t xml:space="preserve">2 </w:t>
      </w:r>
      <w:r w:rsidR="002237C1" w:rsidRPr="00B22D20">
        <w:rPr>
          <w:i/>
          <w:iCs/>
          <w:szCs w:val="22"/>
        </w:rPr>
        <w:t>Skala za moždani udar Nacionalnog instituta za zdravlje</w:t>
      </w:r>
    </w:p>
    <w:p w14:paraId="509ACA3E" w14:textId="77777777" w:rsidR="00692733" w:rsidRPr="00B22D20" w:rsidRDefault="00692733">
      <w:pPr>
        <w:pStyle w:val="Header"/>
        <w:tabs>
          <w:tab w:val="clear" w:pos="4536"/>
          <w:tab w:val="clear" w:pos="9072"/>
        </w:tabs>
        <w:rPr>
          <w:b/>
          <w:bCs/>
          <w:szCs w:val="22"/>
        </w:rPr>
      </w:pPr>
    </w:p>
    <w:p w14:paraId="5AB5BDE2" w14:textId="6914735E" w:rsidR="00F3137E" w:rsidRPr="00B22D20" w:rsidRDefault="00F3137E">
      <w:pPr>
        <w:pStyle w:val="Header"/>
        <w:tabs>
          <w:tab w:val="clear" w:pos="4536"/>
          <w:tab w:val="clear" w:pos="9072"/>
        </w:tabs>
        <w:rPr>
          <w:b/>
          <w:bCs/>
          <w:szCs w:val="22"/>
        </w:rPr>
      </w:pPr>
      <w:r w:rsidRPr="00B22D20">
        <w:rPr>
          <w:b/>
          <w:bCs/>
          <w:szCs w:val="22"/>
        </w:rPr>
        <w:t>4.2. Doziranje i način prim</w:t>
      </w:r>
      <w:r w:rsidR="00AC562A" w:rsidRPr="00B22D20">
        <w:rPr>
          <w:b/>
          <w:bCs/>
          <w:szCs w:val="22"/>
        </w:rPr>
        <w:t>j</w:t>
      </w:r>
      <w:r w:rsidRPr="00B22D20">
        <w:rPr>
          <w:b/>
          <w:bCs/>
          <w:szCs w:val="22"/>
        </w:rPr>
        <w:t>ene</w:t>
      </w:r>
    </w:p>
    <w:p w14:paraId="09426E6E" w14:textId="77777777" w:rsidR="00F3137E" w:rsidRPr="00B22D20" w:rsidRDefault="00F3137E">
      <w:pPr>
        <w:tabs>
          <w:tab w:val="clear" w:pos="284"/>
        </w:tabs>
        <w:spacing w:before="120"/>
        <w:rPr>
          <w:szCs w:val="22"/>
          <w:u w:val="single"/>
          <w:lang w:val="sr-Latn-CS"/>
        </w:rPr>
      </w:pPr>
      <w:r w:rsidRPr="00B22D20">
        <w:rPr>
          <w:szCs w:val="22"/>
          <w:u w:val="single"/>
          <w:lang w:val="sr-Latn-CS"/>
        </w:rPr>
        <w:t>Doziranje</w:t>
      </w:r>
    </w:p>
    <w:p w14:paraId="549337F1" w14:textId="77777777" w:rsidR="00F3137E" w:rsidRPr="00B22D20" w:rsidRDefault="00F3137E" w:rsidP="00B22D20">
      <w:pPr>
        <w:numPr>
          <w:ilvl w:val="0"/>
          <w:numId w:val="18"/>
        </w:numPr>
        <w:tabs>
          <w:tab w:val="clear" w:pos="284"/>
          <w:tab w:val="clear" w:pos="720"/>
          <w:tab w:val="num" w:pos="180"/>
        </w:tabs>
        <w:spacing w:before="120"/>
        <w:ind w:left="187" w:hanging="187"/>
        <w:rPr>
          <w:szCs w:val="22"/>
          <w:lang w:val="sr-Latn-CS"/>
        </w:rPr>
      </w:pPr>
      <w:r w:rsidRPr="00B22D20">
        <w:rPr>
          <w:szCs w:val="22"/>
          <w:lang w:val="sr-Latn-CS"/>
        </w:rPr>
        <w:t>Odrasli i stariji pacijenti</w:t>
      </w:r>
    </w:p>
    <w:p w14:paraId="2ED60B6B" w14:textId="77777777" w:rsidR="00F3137E" w:rsidRPr="00B22D20" w:rsidRDefault="00F3137E">
      <w:pPr>
        <w:tabs>
          <w:tab w:val="num" w:pos="720"/>
        </w:tabs>
        <w:spacing w:before="120"/>
        <w:ind w:left="187"/>
        <w:rPr>
          <w:szCs w:val="22"/>
          <w:lang w:val="sr-Latn-CS"/>
        </w:rPr>
      </w:pPr>
      <w:r w:rsidRPr="00B22D20">
        <w:rPr>
          <w:szCs w:val="22"/>
          <w:lang w:val="sr-Latn-CS"/>
        </w:rPr>
        <w:t xml:space="preserve">Klopidogrel </w:t>
      </w:r>
      <w:r w:rsidRPr="00B22D20">
        <w:rPr>
          <w:rFonts w:eastAsia="TimesNewRoman"/>
          <w:szCs w:val="22"/>
        </w:rPr>
        <w:t>se</w:t>
      </w:r>
      <w:r w:rsidRPr="00B22D20">
        <w:rPr>
          <w:rFonts w:eastAsia="TimesNewRoman"/>
          <w:szCs w:val="22"/>
          <w:lang w:val="sr-Latn-CS"/>
        </w:rPr>
        <w:t xml:space="preserve"> </w:t>
      </w:r>
      <w:r w:rsidRPr="00B22D20">
        <w:rPr>
          <w:rFonts w:eastAsia="TimesNewRoman"/>
          <w:szCs w:val="22"/>
        </w:rPr>
        <w:t>daje</w:t>
      </w:r>
      <w:r w:rsidRPr="00B22D20">
        <w:rPr>
          <w:rFonts w:eastAsia="TimesNewRoman"/>
          <w:szCs w:val="22"/>
          <w:lang w:val="sr-Latn-CS"/>
        </w:rPr>
        <w:t xml:space="preserve"> </w:t>
      </w:r>
      <w:r w:rsidRPr="00B22D20">
        <w:rPr>
          <w:rFonts w:eastAsia="TimesNewRoman"/>
          <w:szCs w:val="22"/>
        </w:rPr>
        <w:t>u</w:t>
      </w:r>
      <w:r w:rsidRPr="00B22D20">
        <w:rPr>
          <w:rFonts w:eastAsia="TimesNewRoman"/>
          <w:szCs w:val="22"/>
          <w:lang w:val="sr-Latn-CS"/>
        </w:rPr>
        <w:t xml:space="preserve"> </w:t>
      </w:r>
      <w:r w:rsidRPr="00B22D20">
        <w:rPr>
          <w:rFonts w:eastAsia="TimesNewRoman"/>
          <w:szCs w:val="22"/>
        </w:rPr>
        <w:t>obliku</w:t>
      </w:r>
      <w:r w:rsidRPr="00B22D20">
        <w:rPr>
          <w:rFonts w:eastAsia="TimesNewRoman"/>
          <w:szCs w:val="22"/>
          <w:lang w:val="sr-Latn-CS"/>
        </w:rPr>
        <w:t xml:space="preserve"> </w:t>
      </w:r>
      <w:r w:rsidRPr="00B22D20">
        <w:rPr>
          <w:rFonts w:eastAsia="TimesNewRoman"/>
          <w:szCs w:val="22"/>
        </w:rPr>
        <w:t>jednokratne</w:t>
      </w:r>
      <w:r w:rsidRPr="00B22D20">
        <w:rPr>
          <w:rFonts w:eastAsia="TimesNewRoman"/>
          <w:szCs w:val="22"/>
          <w:lang w:val="sr-Latn-CS"/>
        </w:rPr>
        <w:t xml:space="preserve"> </w:t>
      </w:r>
      <w:r w:rsidRPr="00B22D20">
        <w:rPr>
          <w:rFonts w:eastAsia="TimesNewRoman"/>
          <w:szCs w:val="22"/>
        </w:rPr>
        <w:t>dnevne</w:t>
      </w:r>
      <w:r w:rsidRPr="00B22D20">
        <w:rPr>
          <w:rFonts w:eastAsia="TimesNewRoman"/>
          <w:szCs w:val="22"/>
          <w:lang w:val="sr-Latn-CS"/>
        </w:rPr>
        <w:t xml:space="preserve"> </w:t>
      </w:r>
      <w:r w:rsidRPr="00B22D20">
        <w:rPr>
          <w:rFonts w:eastAsia="TimesNewRoman"/>
          <w:szCs w:val="22"/>
        </w:rPr>
        <w:t>doze</w:t>
      </w:r>
      <w:r w:rsidRPr="00B22D20">
        <w:rPr>
          <w:rFonts w:eastAsia="TimesNewRoman"/>
          <w:szCs w:val="22"/>
          <w:lang w:val="sr-Latn-CS"/>
        </w:rPr>
        <w:t xml:space="preserve"> </w:t>
      </w:r>
      <w:r w:rsidRPr="00B22D20">
        <w:rPr>
          <w:rFonts w:eastAsia="TimesNewRoman"/>
          <w:szCs w:val="22"/>
        </w:rPr>
        <w:t>od</w:t>
      </w:r>
      <w:r w:rsidRPr="00B22D20">
        <w:rPr>
          <w:rFonts w:eastAsia="TimesNewRoman"/>
          <w:szCs w:val="22"/>
          <w:lang w:val="sr-Latn-CS"/>
        </w:rPr>
        <w:t xml:space="preserve"> </w:t>
      </w:r>
      <w:r w:rsidR="00D6291F" w:rsidRPr="00B22D20">
        <w:rPr>
          <w:szCs w:val="22"/>
          <w:lang w:val="sr-Latn-CS"/>
        </w:rPr>
        <w:t>75 mg</w:t>
      </w:r>
      <w:r w:rsidRPr="00B22D20">
        <w:rPr>
          <w:szCs w:val="22"/>
          <w:lang w:val="sr-Latn-CS"/>
        </w:rPr>
        <w:t>.</w:t>
      </w:r>
    </w:p>
    <w:p w14:paraId="6480CCCE" w14:textId="77777777" w:rsidR="00F3137E" w:rsidRPr="00B22D20" w:rsidRDefault="00F3137E">
      <w:pPr>
        <w:tabs>
          <w:tab w:val="num" w:pos="720"/>
        </w:tabs>
        <w:spacing w:before="120"/>
        <w:ind w:left="187"/>
        <w:rPr>
          <w:szCs w:val="22"/>
          <w:lang w:val="sr-Latn-CS"/>
        </w:rPr>
      </w:pPr>
      <w:r w:rsidRPr="00B22D20">
        <w:rPr>
          <w:szCs w:val="22"/>
          <w:lang w:val="sr-Latn-CS"/>
        </w:rPr>
        <w:t>Kod pacijenata sa akutnim koronarnim sindromom:</w:t>
      </w:r>
    </w:p>
    <w:p w14:paraId="3C3DD8DF" w14:textId="2669783D" w:rsidR="00F3137E" w:rsidRPr="00B22D20" w:rsidRDefault="00041306">
      <w:pPr>
        <w:pStyle w:val="ListParagraph"/>
        <w:numPr>
          <w:ilvl w:val="0"/>
          <w:numId w:val="23"/>
        </w:numPr>
        <w:tabs>
          <w:tab w:val="clear" w:pos="284"/>
        </w:tabs>
        <w:ind w:left="426" w:hanging="426"/>
        <w:rPr>
          <w:szCs w:val="22"/>
          <w:lang w:val="sr-Latn-CS"/>
        </w:rPr>
      </w:pPr>
      <w:r w:rsidRPr="00B22D20">
        <w:rPr>
          <w:szCs w:val="22"/>
          <w:lang w:val="sr-Latn-CS"/>
        </w:rPr>
        <w:t>A</w:t>
      </w:r>
      <w:r w:rsidR="00F3137E" w:rsidRPr="00B22D20">
        <w:rPr>
          <w:szCs w:val="22"/>
          <w:lang w:val="sr-Latn-CS"/>
        </w:rPr>
        <w:t>kutni koronarni sindrom bez elevacije ST segmenta (nestabilna angina ili infarkt miokarda bez Q zupca): terapiju klopidogrelom treba inicijalno započeti jednokratnom udarnom dozom od 300 mg</w:t>
      </w:r>
      <w:r w:rsidR="00D15C97" w:rsidRPr="00B22D20">
        <w:rPr>
          <w:szCs w:val="22"/>
          <w:lang w:val="sr-Latn-CS"/>
        </w:rPr>
        <w:t xml:space="preserve"> ili 600 mg. Udarna doza od 600 mg može se razmotriti kod pacijenata mlađih od 75 godina kada se nam</w:t>
      </w:r>
      <w:r w:rsidR="00D04CA5" w:rsidRPr="00B22D20">
        <w:rPr>
          <w:szCs w:val="22"/>
          <w:lang w:val="sr-Latn-CS"/>
        </w:rPr>
        <w:t>j</w:t>
      </w:r>
      <w:r w:rsidR="00D15C97" w:rsidRPr="00B22D20">
        <w:rPr>
          <w:szCs w:val="22"/>
          <w:lang w:val="sr-Latn-CS"/>
        </w:rPr>
        <w:t>erava perkutana koronarna intervencija (vid</w:t>
      </w:r>
      <w:r w:rsidR="002D3F26" w:rsidRPr="00B22D20">
        <w:rPr>
          <w:szCs w:val="22"/>
          <w:lang w:val="sr-Latn-CS"/>
        </w:rPr>
        <w:t>j</w:t>
      </w:r>
      <w:r w:rsidR="00D15C97" w:rsidRPr="00B22D20">
        <w:rPr>
          <w:szCs w:val="22"/>
          <w:lang w:val="sr-Latn-CS"/>
        </w:rPr>
        <w:t xml:space="preserve">eti </w:t>
      </w:r>
      <w:r w:rsidR="00D04CA5" w:rsidRPr="00B22D20">
        <w:rPr>
          <w:szCs w:val="22"/>
          <w:lang w:val="sr-Latn-CS"/>
        </w:rPr>
        <w:t>dio</w:t>
      </w:r>
      <w:r w:rsidR="00D15C97" w:rsidRPr="00B22D20">
        <w:rPr>
          <w:szCs w:val="22"/>
          <w:lang w:val="sr-Latn-CS"/>
        </w:rPr>
        <w:t xml:space="preserve"> 4.4). Terapiju klopidogrelom treba</w:t>
      </w:r>
      <w:r w:rsidR="00F3137E" w:rsidRPr="00B22D20">
        <w:rPr>
          <w:szCs w:val="22"/>
          <w:lang w:val="sr-Latn-CS"/>
        </w:rPr>
        <w:t xml:space="preserve"> nastaviti jednokratnom dnevnom dozom od 75 mg (u kombinaciji sa acetilsalicilnom kiselinom (</w:t>
      </w:r>
      <w:r w:rsidR="00465370" w:rsidRPr="00B22D20">
        <w:rPr>
          <w:szCs w:val="22"/>
          <w:lang w:val="sr-Latn-CS"/>
        </w:rPr>
        <w:t>AS</w:t>
      </w:r>
      <w:r w:rsidR="001F4E4C" w:rsidRPr="00B22D20">
        <w:rPr>
          <w:szCs w:val="22"/>
          <w:lang w:val="sr-Latn-CS"/>
        </w:rPr>
        <w:t>K</w:t>
      </w:r>
      <w:r w:rsidR="00F3137E" w:rsidRPr="00B22D20">
        <w:rPr>
          <w:szCs w:val="22"/>
          <w:lang w:val="sr-Latn-CS"/>
        </w:rPr>
        <w:t xml:space="preserve">) u dnevnoj dozi od 75 mg do 325 mg). S obzirom na to da su više doze </w:t>
      </w:r>
      <w:r w:rsidR="00465370" w:rsidRPr="00B22D20">
        <w:rPr>
          <w:szCs w:val="22"/>
          <w:lang w:val="sr-Latn-CS"/>
        </w:rPr>
        <w:t>AS</w:t>
      </w:r>
      <w:r w:rsidR="001F4E4C" w:rsidRPr="00B22D20">
        <w:rPr>
          <w:szCs w:val="22"/>
          <w:lang w:val="sr-Latn-CS"/>
        </w:rPr>
        <w:t>K</w:t>
      </w:r>
      <w:r w:rsidR="00F3137E" w:rsidRPr="00B22D20">
        <w:rPr>
          <w:szCs w:val="22"/>
          <w:lang w:val="sr-Latn-CS"/>
        </w:rPr>
        <w:t xml:space="preserve"> bile povezane sa povećanim rizikom od krvarenja, preporučuje se da doza </w:t>
      </w:r>
      <w:r w:rsidR="00465370" w:rsidRPr="00B22D20">
        <w:rPr>
          <w:szCs w:val="22"/>
          <w:lang w:val="sr-Latn-CS"/>
        </w:rPr>
        <w:t>AS</w:t>
      </w:r>
      <w:r w:rsidR="001F4E4C" w:rsidRPr="00B22D20">
        <w:rPr>
          <w:szCs w:val="22"/>
          <w:lang w:val="sr-Latn-CS"/>
        </w:rPr>
        <w:t>K</w:t>
      </w:r>
      <w:r w:rsidR="00F3137E" w:rsidRPr="00B22D20">
        <w:rPr>
          <w:szCs w:val="22"/>
          <w:lang w:val="sr-Latn-CS"/>
        </w:rPr>
        <w:t xml:space="preserve"> ne bude veća od 100 mg. Optimalno trajanje l</w:t>
      </w:r>
      <w:r w:rsidR="00DD2CEA" w:rsidRPr="00B22D20">
        <w:rPr>
          <w:szCs w:val="22"/>
          <w:lang w:val="sr-Latn-CS"/>
        </w:rPr>
        <w:t>i</w:t>
      </w:r>
      <w:r w:rsidR="00D77814" w:rsidRPr="00B22D20">
        <w:rPr>
          <w:szCs w:val="22"/>
          <w:lang w:val="sr-Latn-CS"/>
        </w:rPr>
        <w:t>j</w:t>
      </w:r>
      <w:r w:rsidR="00F3137E" w:rsidRPr="00B22D20">
        <w:rPr>
          <w:szCs w:val="22"/>
          <w:lang w:val="sr-Latn-CS"/>
        </w:rPr>
        <w:t>ečenja još nije formalno utvrđeno. Rezultati kliničkih ispitivanja podržavaju trajanje terapije do 12 m</w:t>
      </w:r>
      <w:r w:rsidR="00D77814" w:rsidRPr="00B22D20">
        <w:rPr>
          <w:szCs w:val="22"/>
          <w:lang w:val="sr-Latn-CS"/>
        </w:rPr>
        <w:t>j</w:t>
      </w:r>
      <w:r w:rsidR="00F3137E" w:rsidRPr="00B22D20">
        <w:rPr>
          <w:szCs w:val="22"/>
          <w:lang w:val="sr-Latn-CS"/>
        </w:rPr>
        <w:t xml:space="preserve">eseci, a najveći </w:t>
      </w:r>
      <w:r w:rsidR="007806AB" w:rsidRPr="00B22D20">
        <w:rPr>
          <w:szCs w:val="22"/>
          <w:lang w:val="sr-Latn-CS"/>
        </w:rPr>
        <w:t>efekat</w:t>
      </w:r>
      <w:r w:rsidR="00F3137E" w:rsidRPr="00B22D20">
        <w:rPr>
          <w:szCs w:val="22"/>
          <w:lang w:val="sr-Latn-CS"/>
        </w:rPr>
        <w:t xml:space="preserve"> zab</w:t>
      </w:r>
      <w:r w:rsidR="00D77814" w:rsidRPr="00B22D20">
        <w:rPr>
          <w:szCs w:val="22"/>
          <w:lang w:val="sr-Latn-CS"/>
        </w:rPr>
        <w:t>ilj</w:t>
      </w:r>
      <w:r w:rsidR="00F3137E" w:rsidRPr="00B22D20">
        <w:rPr>
          <w:szCs w:val="22"/>
          <w:lang w:val="sr-Latn-CS"/>
        </w:rPr>
        <w:t>ežen je u trećem m</w:t>
      </w:r>
      <w:r w:rsidR="00D77814" w:rsidRPr="00B22D20">
        <w:rPr>
          <w:szCs w:val="22"/>
          <w:lang w:val="sr-Latn-CS"/>
        </w:rPr>
        <w:t>j</w:t>
      </w:r>
      <w:r w:rsidR="00F3137E" w:rsidRPr="00B22D20">
        <w:rPr>
          <w:szCs w:val="22"/>
          <w:lang w:val="sr-Latn-CS"/>
        </w:rPr>
        <w:t>esecu l</w:t>
      </w:r>
      <w:r w:rsidR="00DD2CEA" w:rsidRPr="00B22D20">
        <w:rPr>
          <w:szCs w:val="22"/>
          <w:lang w:val="sr-Latn-CS"/>
        </w:rPr>
        <w:t>i</w:t>
      </w:r>
      <w:r w:rsidR="00D77814" w:rsidRPr="00B22D20">
        <w:rPr>
          <w:szCs w:val="22"/>
          <w:lang w:val="sr-Latn-CS"/>
        </w:rPr>
        <w:t>j</w:t>
      </w:r>
      <w:r w:rsidR="00F3137E" w:rsidRPr="00B22D20">
        <w:rPr>
          <w:szCs w:val="22"/>
          <w:lang w:val="sr-Latn-CS"/>
        </w:rPr>
        <w:t>ečenja (vid</w:t>
      </w:r>
      <w:r w:rsidR="00D77814" w:rsidRPr="00B22D20">
        <w:rPr>
          <w:szCs w:val="22"/>
          <w:lang w:val="sr-Latn-CS"/>
        </w:rPr>
        <w:t>j</w:t>
      </w:r>
      <w:r w:rsidR="00F3137E" w:rsidRPr="00B22D20">
        <w:rPr>
          <w:szCs w:val="22"/>
          <w:lang w:val="sr-Latn-CS"/>
        </w:rPr>
        <w:t xml:space="preserve">eti </w:t>
      </w:r>
      <w:r w:rsidR="006F25AC" w:rsidRPr="00B22D20">
        <w:rPr>
          <w:szCs w:val="22"/>
          <w:lang w:val="sr-Latn-CS"/>
        </w:rPr>
        <w:t>dio</w:t>
      </w:r>
      <w:r w:rsidR="00F3137E" w:rsidRPr="00B22D20">
        <w:rPr>
          <w:szCs w:val="22"/>
          <w:lang w:val="sr-Latn-CS"/>
        </w:rPr>
        <w:t xml:space="preserve"> 5.1).</w:t>
      </w:r>
    </w:p>
    <w:p w14:paraId="3E2A6B2B" w14:textId="77777777" w:rsidR="00364192" w:rsidRPr="00B22D20" w:rsidRDefault="00041306">
      <w:pPr>
        <w:pStyle w:val="ListParagraph"/>
        <w:numPr>
          <w:ilvl w:val="0"/>
          <w:numId w:val="23"/>
        </w:numPr>
        <w:tabs>
          <w:tab w:val="clear" w:pos="284"/>
        </w:tabs>
        <w:ind w:left="426" w:hanging="426"/>
        <w:rPr>
          <w:szCs w:val="22"/>
          <w:lang w:val="sr-Latn-CS"/>
        </w:rPr>
      </w:pPr>
      <w:r w:rsidRPr="00B22D20">
        <w:rPr>
          <w:szCs w:val="22"/>
          <w:lang w:val="sr-Latn-CS"/>
        </w:rPr>
        <w:t>A</w:t>
      </w:r>
      <w:r w:rsidR="00F3137E" w:rsidRPr="00B22D20">
        <w:rPr>
          <w:szCs w:val="22"/>
          <w:lang w:val="sr-Latn-CS"/>
        </w:rPr>
        <w:t xml:space="preserve">kutni infarkt miokarda sa elevacijom ST segmenta: </w:t>
      </w:r>
    </w:p>
    <w:p w14:paraId="61CE00D4" w14:textId="3C0B05B5" w:rsidR="00F81414" w:rsidRPr="00B22D20" w:rsidRDefault="00364192">
      <w:pPr>
        <w:pStyle w:val="ListParagraph"/>
        <w:numPr>
          <w:ilvl w:val="1"/>
          <w:numId w:val="23"/>
        </w:numPr>
        <w:tabs>
          <w:tab w:val="clear" w:pos="284"/>
        </w:tabs>
        <w:rPr>
          <w:szCs w:val="22"/>
          <w:lang w:val="sr-Latn-CS"/>
        </w:rPr>
      </w:pPr>
      <w:r w:rsidRPr="00B22D20">
        <w:rPr>
          <w:szCs w:val="22"/>
          <w:lang w:val="sr-Latn-CS"/>
        </w:rPr>
        <w:t xml:space="preserve">Kod lječenih pacijenata koji su predviđeni za trombolitičku/ fibrinolitičku terapiju, </w:t>
      </w:r>
      <w:r w:rsidR="00F3137E" w:rsidRPr="00B22D20">
        <w:rPr>
          <w:szCs w:val="22"/>
          <w:lang w:val="sr-Latn-CS"/>
        </w:rPr>
        <w:t xml:space="preserve">terapiju klopidogrelom treba započeti udarnom dozom od 300 mg u kombinaciji sa </w:t>
      </w:r>
      <w:r w:rsidR="00465370" w:rsidRPr="00B22D20">
        <w:rPr>
          <w:szCs w:val="22"/>
          <w:lang w:val="sr-Latn-CS"/>
        </w:rPr>
        <w:t>AS</w:t>
      </w:r>
      <w:r w:rsidR="001F4E4C" w:rsidRPr="00B22D20">
        <w:rPr>
          <w:szCs w:val="22"/>
          <w:lang w:val="sr-Latn-CS"/>
        </w:rPr>
        <w:t>K</w:t>
      </w:r>
      <w:r w:rsidR="00F3137E" w:rsidRPr="00B22D20">
        <w:rPr>
          <w:szCs w:val="22"/>
          <w:lang w:val="sr-Latn-CS"/>
        </w:rPr>
        <w:t xml:space="preserve">, sa ili bez trombolitičke terapije i nastaviti jednokratnom dnevnom dozom od 75 mg. Kod </w:t>
      </w:r>
      <w:r w:rsidR="002D3F26" w:rsidRPr="00B22D20">
        <w:rPr>
          <w:szCs w:val="22"/>
          <w:lang w:val="sr-Latn-CS"/>
        </w:rPr>
        <w:t>l</w:t>
      </w:r>
      <w:r w:rsidR="00DD2CEA" w:rsidRPr="00B22D20">
        <w:rPr>
          <w:szCs w:val="22"/>
          <w:lang w:val="sr-Latn-CS"/>
        </w:rPr>
        <w:t>i</w:t>
      </w:r>
      <w:r w:rsidR="002D3F26" w:rsidRPr="00B22D20">
        <w:rPr>
          <w:szCs w:val="22"/>
          <w:lang w:val="sr-Latn-CS"/>
        </w:rPr>
        <w:t xml:space="preserve">ječenih </w:t>
      </w:r>
      <w:r w:rsidR="00F3137E" w:rsidRPr="00B22D20">
        <w:rPr>
          <w:szCs w:val="22"/>
          <w:lang w:val="sr-Latn-CS"/>
        </w:rPr>
        <w:t>pacijenata starijih od 75 godina, terapiju klopidogrelom treba započeti bez udarne doze. Kombinovanu terapiju treba započeti što je pr</w:t>
      </w:r>
      <w:r w:rsidR="00D77814" w:rsidRPr="00B22D20">
        <w:rPr>
          <w:szCs w:val="22"/>
          <w:lang w:val="sr-Latn-CS"/>
        </w:rPr>
        <w:t>ij</w:t>
      </w:r>
      <w:r w:rsidR="00F3137E" w:rsidRPr="00B22D20">
        <w:rPr>
          <w:szCs w:val="22"/>
          <w:lang w:val="sr-Latn-CS"/>
        </w:rPr>
        <w:t>e moguće nakon pojave simptoma i nastaviti je u periodu od najmanje četiri ned</w:t>
      </w:r>
      <w:r w:rsidR="00D77814" w:rsidRPr="00B22D20">
        <w:rPr>
          <w:szCs w:val="22"/>
          <w:lang w:val="sr-Latn-CS"/>
        </w:rPr>
        <w:t>j</w:t>
      </w:r>
      <w:r w:rsidR="00F3137E" w:rsidRPr="00B22D20">
        <w:rPr>
          <w:szCs w:val="22"/>
          <w:lang w:val="sr-Latn-CS"/>
        </w:rPr>
        <w:t xml:space="preserve">elje. Korisni efekti terapije kombinacijom klopidogrela i </w:t>
      </w:r>
      <w:r w:rsidR="00465370" w:rsidRPr="00B22D20">
        <w:rPr>
          <w:szCs w:val="22"/>
          <w:lang w:val="sr-Latn-CS"/>
        </w:rPr>
        <w:t>AS</w:t>
      </w:r>
      <w:r w:rsidR="009E11A2" w:rsidRPr="00B22D20">
        <w:rPr>
          <w:szCs w:val="22"/>
          <w:lang w:val="sr-Latn-CS"/>
        </w:rPr>
        <w:t>K</w:t>
      </w:r>
      <w:r w:rsidR="00F3137E" w:rsidRPr="00B22D20">
        <w:rPr>
          <w:szCs w:val="22"/>
          <w:lang w:val="sr-Latn-CS"/>
        </w:rPr>
        <w:t>, u trajanju dužem od četiri ned</w:t>
      </w:r>
      <w:r w:rsidR="00D77814" w:rsidRPr="00B22D20">
        <w:rPr>
          <w:szCs w:val="22"/>
          <w:lang w:val="sr-Latn-CS"/>
        </w:rPr>
        <w:t>j</w:t>
      </w:r>
      <w:r w:rsidR="00F3137E" w:rsidRPr="00B22D20">
        <w:rPr>
          <w:szCs w:val="22"/>
          <w:lang w:val="sr-Latn-CS"/>
        </w:rPr>
        <w:t>elje, pod ovim okolnostima ni</w:t>
      </w:r>
      <w:r w:rsidR="006F25AC" w:rsidRPr="00B22D20">
        <w:rPr>
          <w:szCs w:val="22"/>
          <w:lang w:val="sr-Latn-CS"/>
        </w:rPr>
        <w:t>je</w:t>
      </w:r>
      <w:r w:rsidR="00F3137E" w:rsidRPr="00B22D20">
        <w:rPr>
          <w:szCs w:val="22"/>
          <w:lang w:val="sr-Latn-CS"/>
        </w:rPr>
        <w:t>su ispitivani (vid</w:t>
      </w:r>
      <w:r w:rsidR="00D77814" w:rsidRPr="00B22D20">
        <w:rPr>
          <w:szCs w:val="22"/>
          <w:lang w:val="sr-Latn-CS"/>
        </w:rPr>
        <w:t>j</w:t>
      </w:r>
      <w:r w:rsidR="00F3137E" w:rsidRPr="00B22D20">
        <w:rPr>
          <w:szCs w:val="22"/>
          <w:lang w:val="sr-Latn-CS"/>
        </w:rPr>
        <w:t xml:space="preserve">eti </w:t>
      </w:r>
      <w:r w:rsidR="006F25AC" w:rsidRPr="00B22D20">
        <w:rPr>
          <w:szCs w:val="22"/>
          <w:lang w:val="sr-Latn-CS"/>
        </w:rPr>
        <w:t>dio</w:t>
      </w:r>
      <w:r w:rsidR="00F3137E" w:rsidRPr="00B22D20">
        <w:rPr>
          <w:szCs w:val="22"/>
          <w:lang w:val="sr-Latn-CS"/>
        </w:rPr>
        <w:t xml:space="preserve"> 5.1).</w:t>
      </w:r>
    </w:p>
    <w:p w14:paraId="6F8BFFAE" w14:textId="7996B0B3" w:rsidR="00364192" w:rsidRPr="00C25676" w:rsidRDefault="00364192" w:rsidP="00B22D20">
      <w:pPr>
        <w:pStyle w:val="ListParagraph"/>
        <w:numPr>
          <w:ilvl w:val="1"/>
          <w:numId w:val="23"/>
        </w:numPr>
        <w:tabs>
          <w:tab w:val="clear" w:pos="284"/>
        </w:tabs>
        <w:rPr>
          <w:szCs w:val="22"/>
          <w:lang w:val="sr-Latn-CS"/>
        </w:rPr>
      </w:pPr>
      <w:r w:rsidRPr="00B22D20">
        <w:rPr>
          <w:szCs w:val="22"/>
          <w:lang w:val="sr-Latn-CS"/>
        </w:rPr>
        <w:t>Kada</w:t>
      </w:r>
      <w:r w:rsidRPr="00C25676">
        <w:rPr>
          <w:szCs w:val="22"/>
          <w:lang w:val="sr-Latn-CS"/>
        </w:rPr>
        <w:t xml:space="preserve"> je predviđena perkutana koronarna intervencija (PKI):</w:t>
      </w:r>
    </w:p>
    <w:p w14:paraId="68DCB5F6" w14:textId="6A50EEF7" w:rsidR="00364192" w:rsidRPr="00C25676" w:rsidRDefault="00364192" w:rsidP="00B22D20">
      <w:pPr>
        <w:pStyle w:val="ListParagraph"/>
        <w:numPr>
          <w:ilvl w:val="2"/>
          <w:numId w:val="23"/>
        </w:numPr>
        <w:tabs>
          <w:tab w:val="clear" w:pos="284"/>
        </w:tabs>
        <w:rPr>
          <w:szCs w:val="22"/>
          <w:lang w:val="sr-Latn-CS"/>
        </w:rPr>
      </w:pPr>
      <w:r w:rsidRPr="00C25676">
        <w:rPr>
          <w:szCs w:val="22"/>
          <w:lang w:val="sr-Latn-CS"/>
        </w:rPr>
        <w:t xml:space="preserve">primjenu klopidogrela treba započeti udarnom dozom (UD) od 600 mg kod pacijenata koji će biti podvrgnuti primarnoj PKI i kod pacijenata koji će biti podvrgnuti PKI nakon više od 24 časa od primene fibrinolitičke terapije. Kod pacijenata starijih od 75 godina UD od 600 mg treba primenjivati sa oprezom (vidjeti </w:t>
      </w:r>
      <w:r w:rsidR="00C25676">
        <w:rPr>
          <w:szCs w:val="22"/>
          <w:lang w:val="sr-Latn-CS"/>
        </w:rPr>
        <w:t>dio</w:t>
      </w:r>
      <w:r w:rsidR="00C25676" w:rsidRPr="00C25676">
        <w:rPr>
          <w:szCs w:val="22"/>
          <w:lang w:val="sr-Latn-CS"/>
        </w:rPr>
        <w:t xml:space="preserve"> </w:t>
      </w:r>
      <w:r w:rsidRPr="00C25676">
        <w:rPr>
          <w:szCs w:val="22"/>
          <w:lang w:val="sr-Latn-CS"/>
        </w:rPr>
        <w:t>4.4).</w:t>
      </w:r>
    </w:p>
    <w:p w14:paraId="763D9307" w14:textId="77777777" w:rsidR="00364192" w:rsidRPr="00C25676" w:rsidRDefault="00364192" w:rsidP="00B22D20">
      <w:pPr>
        <w:pStyle w:val="ListParagraph"/>
        <w:numPr>
          <w:ilvl w:val="2"/>
          <w:numId w:val="23"/>
        </w:numPr>
        <w:tabs>
          <w:tab w:val="clear" w:pos="284"/>
        </w:tabs>
        <w:rPr>
          <w:szCs w:val="22"/>
          <w:lang w:val="sr-Latn-CS"/>
        </w:rPr>
      </w:pPr>
      <w:r w:rsidRPr="00C25676">
        <w:rPr>
          <w:szCs w:val="22"/>
          <w:lang w:val="sr-Latn-CS"/>
        </w:rPr>
        <w:t>klopidogrel u udarnoj dozi od 300 mg treba dati pacijentima koji će biti podvrgnuti PKI u roku od 24 sata od primanja fibrinolitičke terapije.</w:t>
      </w:r>
    </w:p>
    <w:p w14:paraId="28AD9ADF" w14:textId="3DEC5DC3" w:rsidR="00364192" w:rsidRPr="00C25676" w:rsidRDefault="00364192" w:rsidP="00B22D20">
      <w:pPr>
        <w:pStyle w:val="ListParagraph"/>
        <w:tabs>
          <w:tab w:val="clear" w:pos="284"/>
        </w:tabs>
        <w:ind w:left="1267"/>
        <w:rPr>
          <w:szCs w:val="22"/>
          <w:lang w:val="sr-Latn-CS"/>
        </w:rPr>
      </w:pPr>
      <w:r w:rsidRPr="00C25676">
        <w:rPr>
          <w:szCs w:val="22"/>
          <w:lang w:val="sr-Latn-CS"/>
        </w:rPr>
        <w:t>Terapiju klopidogrel</w:t>
      </w:r>
      <w:r w:rsidRPr="00B22D20">
        <w:rPr>
          <w:szCs w:val="22"/>
        </w:rPr>
        <w:t>om</w:t>
      </w:r>
      <w:r w:rsidRPr="00C25676">
        <w:rPr>
          <w:szCs w:val="22"/>
          <w:lang w:val="sr-Latn-CS"/>
        </w:rPr>
        <w:t xml:space="preserve"> treba nastaviti sa dozom od 75 mg jednom dnevno sa ASK od 75 mg do 100 mg dnevno. Kombinovanu terapiju treba započeti što je ranije moguće nakon pojave simptoma i nastaviti do 12 mjeseci (vidjeti </w:t>
      </w:r>
      <w:r w:rsidR="00C25676">
        <w:rPr>
          <w:szCs w:val="22"/>
          <w:lang w:val="sr-Latn-CS"/>
        </w:rPr>
        <w:t>dio</w:t>
      </w:r>
      <w:r w:rsidR="00C25676" w:rsidRPr="00C25676">
        <w:rPr>
          <w:szCs w:val="22"/>
          <w:lang w:val="sr-Latn-CS"/>
        </w:rPr>
        <w:t xml:space="preserve"> </w:t>
      </w:r>
      <w:r w:rsidRPr="00C25676">
        <w:rPr>
          <w:szCs w:val="22"/>
          <w:lang w:val="sr-Latn-CS"/>
        </w:rPr>
        <w:t>5.1).</w:t>
      </w:r>
    </w:p>
    <w:p w14:paraId="392C788C" w14:textId="58CFF4AA" w:rsidR="008B7115" w:rsidRPr="00B22D20" w:rsidRDefault="008B7115" w:rsidP="00C25676">
      <w:pPr>
        <w:spacing w:before="120"/>
        <w:rPr>
          <w:szCs w:val="22"/>
          <w:lang w:val="sr-Latn-CS"/>
        </w:rPr>
      </w:pPr>
      <w:bookmarkStart w:id="0" w:name="_Hlk63190007"/>
      <w:r w:rsidRPr="00B22D20">
        <w:rPr>
          <w:szCs w:val="22"/>
          <w:lang w:val="sr-Latn-CS"/>
        </w:rPr>
        <w:t xml:space="preserve">Odrasli pacijenti koji imaju </w:t>
      </w:r>
      <w:r w:rsidR="00314A41" w:rsidRPr="00B22D20">
        <w:rPr>
          <w:szCs w:val="22"/>
          <w:lang w:val="sr-Latn-CS"/>
        </w:rPr>
        <w:t xml:space="preserve">umjeren do visokorizičan </w:t>
      </w:r>
      <w:bookmarkEnd w:id="0"/>
      <w:r w:rsidRPr="00B22D20">
        <w:rPr>
          <w:szCs w:val="22"/>
          <w:lang w:val="sr-Latn-CS"/>
        </w:rPr>
        <w:t>TIA ili manj</w:t>
      </w:r>
      <w:r w:rsidR="00943DC2" w:rsidRPr="00B22D20">
        <w:rPr>
          <w:szCs w:val="22"/>
          <w:lang w:val="sr-Latn-CS"/>
        </w:rPr>
        <w:t>i</w:t>
      </w:r>
      <w:r w:rsidRPr="00B22D20">
        <w:rPr>
          <w:szCs w:val="22"/>
          <w:lang w:val="sr-Latn-CS"/>
        </w:rPr>
        <w:t xml:space="preserve"> </w:t>
      </w:r>
      <w:r w:rsidR="00314A41" w:rsidRPr="00B22D20">
        <w:rPr>
          <w:szCs w:val="22"/>
          <w:lang w:val="sr-Latn-CS"/>
        </w:rPr>
        <w:t>(</w:t>
      </w:r>
      <w:r w:rsidR="00314A41" w:rsidRPr="00B22D20">
        <w:rPr>
          <w:i/>
          <w:szCs w:val="22"/>
          <w:lang w:val="sr-Latn-CS"/>
        </w:rPr>
        <w:t>minor</w:t>
      </w:r>
      <w:r w:rsidR="00314A41" w:rsidRPr="00B22D20">
        <w:rPr>
          <w:szCs w:val="22"/>
          <w:lang w:val="sr-Latn-CS"/>
        </w:rPr>
        <w:t xml:space="preserve">) </w:t>
      </w:r>
      <w:r w:rsidRPr="00B22D20">
        <w:rPr>
          <w:szCs w:val="22"/>
          <w:lang w:val="sr-Latn-CS"/>
        </w:rPr>
        <w:t>IMU:</w:t>
      </w:r>
    </w:p>
    <w:p w14:paraId="7A195DA2" w14:textId="13E83A54" w:rsidR="008B7115" w:rsidRPr="00B22D20" w:rsidRDefault="008B7115">
      <w:pPr>
        <w:rPr>
          <w:szCs w:val="22"/>
          <w:lang w:val="sr-Latn-CS"/>
        </w:rPr>
      </w:pPr>
      <w:r w:rsidRPr="00B22D20">
        <w:rPr>
          <w:szCs w:val="22"/>
          <w:lang w:val="sr-Latn-CS"/>
        </w:rPr>
        <w:t xml:space="preserve">Odrasli pacijenti koji imaju </w:t>
      </w:r>
      <w:r w:rsidR="00314A41" w:rsidRPr="00B22D20">
        <w:rPr>
          <w:szCs w:val="22"/>
          <w:lang w:val="sr-Latn-CS"/>
        </w:rPr>
        <w:t xml:space="preserve">umjeren do visikorizičan </w:t>
      </w:r>
      <w:r w:rsidRPr="00B22D20">
        <w:rPr>
          <w:szCs w:val="22"/>
          <w:lang w:val="sr-Latn-CS"/>
        </w:rPr>
        <w:t>TIA (ABCD2 skor ≥</w:t>
      </w:r>
      <w:r w:rsidR="00314A41" w:rsidRPr="00B22D20">
        <w:rPr>
          <w:szCs w:val="22"/>
          <w:lang w:val="sr-Latn-CS"/>
        </w:rPr>
        <w:t xml:space="preserve"> </w:t>
      </w:r>
      <w:r w:rsidRPr="00B22D20">
        <w:rPr>
          <w:szCs w:val="22"/>
          <w:lang w:val="sr-Latn-CS"/>
        </w:rPr>
        <w:t>4) ili manj</w:t>
      </w:r>
      <w:r w:rsidR="00DC535F" w:rsidRPr="00B22D20">
        <w:rPr>
          <w:szCs w:val="22"/>
          <w:lang w:val="sr-Latn-CS"/>
        </w:rPr>
        <w:t>i</w:t>
      </w:r>
      <w:r w:rsidRPr="00B22D20">
        <w:rPr>
          <w:szCs w:val="22"/>
          <w:lang w:val="sr-Latn-CS"/>
        </w:rPr>
        <w:t xml:space="preserve"> IMU (NIHSS ≤</w:t>
      </w:r>
      <w:r w:rsidR="00314A41" w:rsidRPr="00B22D20">
        <w:rPr>
          <w:szCs w:val="22"/>
          <w:lang w:val="sr-Latn-CS"/>
        </w:rPr>
        <w:t xml:space="preserve"> </w:t>
      </w:r>
      <w:r w:rsidRPr="00B22D20">
        <w:rPr>
          <w:szCs w:val="22"/>
          <w:lang w:val="sr-Latn-CS"/>
        </w:rPr>
        <w:t>3) terapiju treba da započnu udarnom dozom klopidogrela od 300 mg u roku od 24 časa od nastanka događaja i nastave sa jednokratnom dnevnom dozom od 75 mg klopidogrela u kombinaciji sa ASK (75</w:t>
      </w:r>
      <w:r w:rsidR="004E613E">
        <w:rPr>
          <w:szCs w:val="22"/>
          <w:lang w:val="sr-Latn-CS"/>
        </w:rPr>
        <w:t xml:space="preserve"> </w:t>
      </w:r>
      <w:r w:rsidRPr="00B22D20">
        <w:rPr>
          <w:szCs w:val="22"/>
          <w:lang w:val="sr-Latn-CS"/>
        </w:rPr>
        <w:t>mg</w:t>
      </w:r>
      <w:r w:rsidR="00E12BAE" w:rsidRPr="00B22D20">
        <w:rPr>
          <w:szCs w:val="22"/>
          <w:lang w:val="sr-Latn-CS"/>
        </w:rPr>
        <w:t xml:space="preserve"> </w:t>
      </w:r>
      <w:r w:rsidRPr="00B22D20">
        <w:rPr>
          <w:szCs w:val="22"/>
          <w:lang w:val="sr-Latn-CS"/>
        </w:rPr>
        <w:t>-</w:t>
      </w:r>
      <w:r w:rsidR="00E12BAE" w:rsidRPr="00B22D20">
        <w:rPr>
          <w:szCs w:val="22"/>
          <w:lang w:val="sr-Latn-CS"/>
        </w:rPr>
        <w:t xml:space="preserve"> </w:t>
      </w:r>
      <w:r w:rsidR="006F25AC" w:rsidRPr="00B22D20">
        <w:rPr>
          <w:szCs w:val="22"/>
          <w:lang w:val="sr-Latn-CS"/>
        </w:rPr>
        <w:t>100</w:t>
      </w:r>
      <w:r w:rsidRPr="00B22D20">
        <w:rPr>
          <w:szCs w:val="22"/>
          <w:lang w:val="sr-Latn-CS"/>
        </w:rPr>
        <w:t xml:space="preserve"> mg jednom dnevno) narednih 21 dan a nakon toga terapiju treba nastaviti sa pojedinačnom antiagregac</w:t>
      </w:r>
      <w:r w:rsidR="006F25AC" w:rsidRPr="00B22D20">
        <w:rPr>
          <w:szCs w:val="22"/>
          <w:lang w:val="sr-Latn-CS"/>
        </w:rPr>
        <w:t>ionom</w:t>
      </w:r>
      <w:r w:rsidRPr="00B22D20">
        <w:rPr>
          <w:szCs w:val="22"/>
          <w:lang w:val="sr-Latn-CS"/>
        </w:rPr>
        <w:t xml:space="preserve"> terapijom. </w:t>
      </w:r>
    </w:p>
    <w:p w14:paraId="75DE6B94" w14:textId="5E7D81F2" w:rsidR="00F3137E" w:rsidRPr="00B22D20" w:rsidRDefault="00F3137E">
      <w:pPr>
        <w:spacing w:before="120"/>
        <w:rPr>
          <w:szCs w:val="22"/>
          <w:lang w:val="sr-Latn-CS"/>
        </w:rPr>
      </w:pPr>
      <w:r w:rsidRPr="00B22D20">
        <w:rPr>
          <w:szCs w:val="22"/>
          <w:lang w:val="sr-Latn-CS"/>
        </w:rPr>
        <w:t>Kod pacijenata sa atrijalnom fibrilacijom, klopidogrel treba prim</w:t>
      </w:r>
      <w:r w:rsidR="00D77814" w:rsidRPr="00B22D20">
        <w:rPr>
          <w:szCs w:val="22"/>
          <w:lang w:val="sr-Latn-CS"/>
        </w:rPr>
        <w:t>ij</w:t>
      </w:r>
      <w:r w:rsidRPr="00B22D20">
        <w:rPr>
          <w:szCs w:val="22"/>
          <w:lang w:val="sr-Latn-CS"/>
        </w:rPr>
        <w:t xml:space="preserve">eniti u pojedinačnoj dnevnoj dozi od 75 mg. Terapiju </w:t>
      </w:r>
      <w:r w:rsidR="00465370" w:rsidRPr="00B22D20">
        <w:rPr>
          <w:szCs w:val="22"/>
          <w:lang w:val="sr-Latn-CS"/>
        </w:rPr>
        <w:t>AS</w:t>
      </w:r>
      <w:r w:rsidR="001F4E4C" w:rsidRPr="00B22D20">
        <w:rPr>
          <w:szCs w:val="22"/>
          <w:lang w:val="sr-Latn-CS"/>
        </w:rPr>
        <w:t>K</w:t>
      </w:r>
      <w:r w:rsidRPr="00B22D20">
        <w:rPr>
          <w:szCs w:val="22"/>
          <w:lang w:val="sr-Latn-CS"/>
        </w:rPr>
        <w:t xml:space="preserve"> (75-100 mg dnevno) treba započeti i nastaviti u kombinaciji sa klopidogrelom (vid</w:t>
      </w:r>
      <w:r w:rsidR="00D77814" w:rsidRPr="00B22D20">
        <w:rPr>
          <w:szCs w:val="22"/>
          <w:lang w:val="sr-Latn-CS"/>
        </w:rPr>
        <w:t>j</w:t>
      </w:r>
      <w:r w:rsidRPr="00B22D20">
        <w:rPr>
          <w:szCs w:val="22"/>
          <w:lang w:val="sr-Latn-CS"/>
        </w:rPr>
        <w:t xml:space="preserve">eti </w:t>
      </w:r>
      <w:r w:rsidR="006F25AC" w:rsidRPr="00B22D20">
        <w:rPr>
          <w:szCs w:val="22"/>
          <w:lang w:val="sr-Latn-CS"/>
        </w:rPr>
        <w:t>dio</w:t>
      </w:r>
      <w:r w:rsidRPr="00B22D20">
        <w:rPr>
          <w:szCs w:val="22"/>
          <w:lang w:val="sr-Latn-CS"/>
        </w:rPr>
        <w:t xml:space="preserve"> 5.1)</w:t>
      </w:r>
    </w:p>
    <w:p w14:paraId="70D21655" w14:textId="77777777" w:rsidR="00F3137E" w:rsidRPr="00B22D20" w:rsidRDefault="00F3137E">
      <w:pPr>
        <w:tabs>
          <w:tab w:val="clear" w:pos="284"/>
        </w:tabs>
        <w:autoSpaceDE w:val="0"/>
        <w:autoSpaceDN w:val="0"/>
        <w:adjustRightInd w:val="0"/>
        <w:spacing w:before="120"/>
        <w:rPr>
          <w:rFonts w:eastAsia="TimesNewRoman"/>
          <w:szCs w:val="22"/>
        </w:rPr>
      </w:pPr>
      <w:r w:rsidRPr="00B22D20">
        <w:rPr>
          <w:rFonts w:eastAsia="TimesNewRoman"/>
          <w:szCs w:val="22"/>
        </w:rPr>
        <w:lastRenderedPageBreak/>
        <w:t>Ukoliko se propusti doza:</w:t>
      </w:r>
    </w:p>
    <w:p w14:paraId="59AE2B5F" w14:textId="14141673" w:rsidR="004E613E" w:rsidRPr="00B22D20" w:rsidRDefault="00F3137E" w:rsidP="00B22D20">
      <w:pPr>
        <w:numPr>
          <w:ilvl w:val="0"/>
          <w:numId w:val="6"/>
        </w:numPr>
        <w:tabs>
          <w:tab w:val="clear" w:pos="284"/>
          <w:tab w:val="clear" w:pos="720"/>
          <w:tab w:val="num" w:pos="399"/>
        </w:tabs>
        <w:ind w:left="399" w:hanging="399"/>
        <w:rPr>
          <w:szCs w:val="22"/>
          <w:lang w:val="sr-Latn-CS"/>
        </w:rPr>
      </w:pPr>
      <w:r w:rsidRPr="00B22D20">
        <w:rPr>
          <w:szCs w:val="22"/>
          <w:lang w:val="sr-Latn-CS"/>
        </w:rPr>
        <w:t xml:space="preserve">Ako je proteklo manje od 12 sati nakon uobičajenog termina uzimanja </w:t>
      </w:r>
      <w:r w:rsidR="00AC562A" w:rsidRPr="00B22D20">
        <w:rPr>
          <w:szCs w:val="22"/>
          <w:lang w:val="sr-Latn-CS"/>
        </w:rPr>
        <w:t>lijek</w:t>
      </w:r>
      <w:r w:rsidRPr="00B22D20">
        <w:rPr>
          <w:szCs w:val="22"/>
          <w:lang w:val="sr-Latn-CS"/>
        </w:rPr>
        <w:t>a: pacijent treba</w:t>
      </w:r>
      <w:r w:rsidR="001E6299" w:rsidRPr="00B22D20">
        <w:rPr>
          <w:szCs w:val="22"/>
          <w:lang w:val="sr-Latn-CS"/>
        </w:rPr>
        <w:t xml:space="preserve"> odmah da uzme</w:t>
      </w:r>
      <w:r w:rsidRPr="00B22D20">
        <w:rPr>
          <w:szCs w:val="22"/>
          <w:lang w:val="sr-Latn-CS"/>
        </w:rPr>
        <w:t xml:space="preserve"> </w:t>
      </w:r>
      <w:r w:rsidR="00AC562A" w:rsidRPr="00B22D20">
        <w:rPr>
          <w:szCs w:val="22"/>
          <w:lang w:val="sr-Latn-CS"/>
        </w:rPr>
        <w:t>lijek</w:t>
      </w:r>
      <w:r w:rsidRPr="00B22D20">
        <w:rPr>
          <w:szCs w:val="22"/>
          <w:lang w:val="sr-Latn-CS"/>
        </w:rPr>
        <w:t>, a sl</w:t>
      </w:r>
      <w:r w:rsidR="00D77814" w:rsidRPr="00B22D20">
        <w:rPr>
          <w:szCs w:val="22"/>
          <w:lang w:val="sr-Latn-CS"/>
        </w:rPr>
        <w:t>j</w:t>
      </w:r>
      <w:r w:rsidRPr="00B22D20">
        <w:rPr>
          <w:szCs w:val="22"/>
          <w:lang w:val="sr-Latn-CS"/>
        </w:rPr>
        <w:t>edeću dozu treba da uzme prema uobičajenom rasporedu.</w:t>
      </w:r>
    </w:p>
    <w:p w14:paraId="277706A3" w14:textId="36620CA3" w:rsidR="00885E6E" w:rsidRDefault="00F3137E" w:rsidP="00B22D20">
      <w:pPr>
        <w:numPr>
          <w:ilvl w:val="0"/>
          <w:numId w:val="6"/>
        </w:numPr>
        <w:tabs>
          <w:tab w:val="clear" w:pos="284"/>
          <w:tab w:val="clear" w:pos="720"/>
          <w:tab w:val="num" w:pos="399"/>
        </w:tabs>
        <w:ind w:left="399" w:hanging="399"/>
        <w:rPr>
          <w:szCs w:val="22"/>
          <w:u w:val="single"/>
          <w:lang w:val="sr-Latn-CS"/>
        </w:rPr>
      </w:pPr>
      <w:r w:rsidRPr="00B22D20">
        <w:rPr>
          <w:szCs w:val="22"/>
          <w:lang w:val="sr-Latn-CS"/>
        </w:rPr>
        <w:t>Ako je proteklo više od 12 sati: pacijent treba sl</w:t>
      </w:r>
      <w:r w:rsidR="00D77814" w:rsidRPr="00B22D20">
        <w:rPr>
          <w:szCs w:val="22"/>
          <w:lang w:val="sr-Latn-CS"/>
        </w:rPr>
        <w:t>j</w:t>
      </w:r>
      <w:r w:rsidRPr="00B22D20">
        <w:rPr>
          <w:szCs w:val="22"/>
          <w:lang w:val="sr-Latn-CS"/>
        </w:rPr>
        <w:t xml:space="preserve">edeću dozu da uzme prema uobičajenom rasporedu </w:t>
      </w:r>
      <w:r w:rsidRPr="00B22D20">
        <w:rPr>
          <w:rFonts w:eastAsia="TimesNewRoman"/>
          <w:szCs w:val="22"/>
          <w:lang w:val="sr-Latn-CS"/>
        </w:rPr>
        <w:t>(</w:t>
      </w:r>
      <w:r w:rsidRPr="00B22D20">
        <w:rPr>
          <w:rFonts w:eastAsia="TimesNewRoman"/>
          <w:szCs w:val="22"/>
        </w:rPr>
        <w:t>u</w:t>
      </w:r>
      <w:r w:rsidRPr="00B22D20">
        <w:rPr>
          <w:rFonts w:eastAsia="TimesNewRoman"/>
          <w:szCs w:val="22"/>
          <w:lang w:val="sr-Latn-CS"/>
        </w:rPr>
        <w:t xml:space="preserve"> </w:t>
      </w:r>
      <w:r w:rsidRPr="00B22D20">
        <w:rPr>
          <w:rFonts w:eastAsia="TimesNewRoman"/>
          <w:szCs w:val="22"/>
        </w:rPr>
        <w:t>predvi</w:t>
      </w:r>
      <w:r w:rsidRPr="00B22D20">
        <w:rPr>
          <w:rFonts w:eastAsia="TimesNewRoman"/>
          <w:szCs w:val="22"/>
          <w:lang w:val="sr-Latn-CS"/>
        </w:rPr>
        <w:t>đ</w:t>
      </w:r>
      <w:r w:rsidRPr="00B22D20">
        <w:rPr>
          <w:rFonts w:eastAsia="TimesNewRoman"/>
          <w:szCs w:val="22"/>
        </w:rPr>
        <w:t>eno</w:t>
      </w:r>
      <w:r w:rsidRPr="00B22D20">
        <w:rPr>
          <w:rFonts w:eastAsia="TimesNewRoman"/>
          <w:szCs w:val="22"/>
          <w:lang w:val="sr-Latn-CS"/>
        </w:rPr>
        <w:t xml:space="preserve"> </w:t>
      </w:r>
      <w:r w:rsidRPr="00B22D20">
        <w:rPr>
          <w:rFonts w:eastAsia="TimesNewRoman"/>
          <w:szCs w:val="22"/>
        </w:rPr>
        <w:t>vr</w:t>
      </w:r>
      <w:r w:rsidR="00D77814" w:rsidRPr="00B22D20">
        <w:rPr>
          <w:rFonts w:eastAsia="TimesNewRoman"/>
          <w:szCs w:val="22"/>
        </w:rPr>
        <w:t>ij</w:t>
      </w:r>
      <w:r w:rsidRPr="00B22D20">
        <w:rPr>
          <w:rFonts w:eastAsia="TimesNewRoman"/>
          <w:szCs w:val="22"/>
        </w:rPr>
        <w:t>eme</w:t>
      </w:r>
      <w:r w:rsidRPr="00B22D20">
        <w:rPr>
          <w:rFonts w:eastAsia="TimesNewRoman"/>
          <w:szCs w:val="22"/>
          <w:lang w:val="sr-Latn-CS"/>
        </w:rPr>
        <w:t xml:space="preserve"> </w:t>
      </w:r>
      <w:r w:rsidRPr="00B22D20">
        <w:rPr>
          <w:rFonts w:eastAsia="TimesNewRoman"/>
          <w:szCs w:val="22"/>
        </w:rPr>
        <w:t>i</w:t>
      </w:r>
      <w:r w:rsidRPr="00B22D20">
        <w:rPr>
          <w:rFonts w:eastAsia="TimesNewRoman"/>
          <w:szCs w:val="22"/>
          <w:lang w:val="sr-Latn-CS"/>
        </w:rPr>
        <w:t xml:space="preserve"> </w:t>
      </w:r>
      <w:r w:rsidRPr="00B22D20">
        <w:rPr>
          <w:rFonts w:eastAsia="TimesNewRoman"/>
          <w:szCs w:val="22"/>
        </w:rPr>
        <w:t>bez</w:t>
      </w:r>
      <w:r w:rsidRPr="00B22D20">
        <w:rPr>
          <w:rFonts w:eastAsia="TimesNewRoman"/>
          <w:szCs w:val="22"/>
          <w:lang w:val="sr-Latn-CS"/>
        </w:rPr>
        <w:t xml:space="preserve"> </w:t>
      </w:r>
      <w:r w:rsidRPr="00B22D20">
        <w:rPr>
          <w:rFonts w:eastAsia="TimesNewRoman"/>
          <w:szCs w:val="22"/>
        </w:rPr>
        <w:t>dupliranja</w:t>
      </w:r>
      <w:r w:rsidRPr="00B22D20">
        <w:rPr>
          <w:rFonts w:eastAsia="TimesNewRoman"/>
          <w:szCs w:val="22"/>
          <w:lang w:val="sr-Latn-CS"/>
        </w:rPr>
        <w:t xml:space="preserve"> </w:t>
      </w:r>
      <w:r w:rsidRPr="00B22D20">
        <w:rPr>
          <w:rFonts w:eastAsia="TimesNewRoman"/>
          <w:szCs w:val="22"/>
        </w:rPr>
        <w:t>doze</w:t>
      </w:r>
      <w:r w:rsidRPr="00B22D20">
        <w:rPr>
          <w:rFonts w:eastAsia="TimesNewRoman"/>
          <w:szCs w:val="22"/>
          <w:lang w:val="sr-Latn-CS"/>
        </w:rPr>
        <w:t xml:space="preserve"> </w:t>
      </w:r>
      <w:r w:rsidR="00AC562A" w:rsidRPr="00B22D20">
        <w:rPr>
          <w:rFonts w:eastAsia="TimesNewRoman"/>
          <w:szCs w:val="22"/>
        </w:rPr>
        <w:t>lijek</w:t>
      </w:r>
      <w:r w:rsidRPr="00B22D20">
        <w:rPr>
          <w:rFonts w:eastAsia="TimesNewRoman"/>
          <w:szCs w:val="22"/>
        </w:rPr>
        <w:t>a</w:t>
      </w:r>
      <w:r w:rsidRPr="00B22D20">
        <w:rPr>
          <w:rFonts w:eastAsia="TimesNewRoman"/>
          <w:szCs w:val="22"/>
          <w:lang w:val="sr-Latn-CS"/>
        </w:rPr>
        <w:t>)</w:t>
      </w:r>
      <w:r w:rsidR="00691296" w:rsidRPr="00B22D20">
        <w:rPr>
          <w:rFonts w:eastAsia="TimesNewRoman"/>
          <w:szCs w:val="22"/>
          <w:lang w:val="sr-Latn-CS"/>
        </w:rPr>
        <w:t>.</w:t>
      </w:r>
      <w:r w:rsidR="00885E6E" w:rsidRPr="004E613E">
        <w:rPr>
          <w:szCs w:val="22"/>
          <w:u w:val="single"/>
          <w:lang w:val="sr-Latn-CS"/>
        </w:rPr>
        <w:t xml:space="preserve"> </w:t>
      </w:r>
    </w:p>
    <w:p w14:paraId="6A8BA513" w14:textId="77777777" w:rsidR="004E613E" w:rsidRPr="004E613E" w:rsidRDefault="004E613E" w:rsidP="00B22D20">
      <w:pPr>
        <w:tabs>
          <w:tab w:val="clear" w:pos="284"/>
        </w:tabs>
        <w:ind w:left="399"/>
        <w:rPr>
          <w:szCs w:val="22"/>
          <w:u w:val="single"/>
          <w:lang w:val="sr-Latn-CS"/>
        </w:rPr>
      </w:pPr>
    </w:p>
    <w:p w14:paraId="111A754B" w14:textId="37FAB177" w:rsidR="00885E6E" w:rsidRPr="00C25676" w:rsidRDefault="00885E6E" w:rsidP="00B22D20">
      <w:pPr>
        <w:tabs>
          <w:tab w:val="clear" w:pos="284"/>
        </w:tabs>
        <w:spacing w:after="120"/>
        <w:rPr>
          <w:szCs w:val="22"/>
          <w:u w:val="single"/>
          <w:lang w:val="sr-Latn-CS"/>
        </w:rPr>
      </w:pPr>
      <w:r w:rsidRPr="00C25676">
        <w:rPr>
          <w:szCs w:val="22"/>
          <w:u w:val="single"/>
          <w:lang w:val="sr-Latn-CS"/>
        </w:rPr>
        <w:t>Posebne populacije</w:t>
      </w:r>
    </w:p>
    <w:p w14:paraId="3F126DE7" w14:textId="77777777" w:rsidR="00885E6E" w:rsidRPr="00C25676" w:rsidRDefault="00885E6E" w:rsidP="00B22D20">
      <w:pPr>
        <w:numPr>
          <w:ilvl w:val="0"/>
          <w:numId w:val="18"/>
        </w:numPr>
        <w:tabs>
          <w:tab w:val="clear" w:pos="284"/>
          <w:tab w:val="clear" w:pos="720"/>
          <w:tab w:val="num" w:pos="180"/>
        </w:tabs>
        <w:spacing w:before="120"/>
        <w:ind w:left="187" w:hanging="187"/>
        <w:rPr>
          <w:szCs w:val="22"/>
        </w:rPr>
      </w:pPr>
      <w:r w:rsidRPr="00C25676">
        <w:rPr>
          <w:szCs w:val="22"/>
        </w:rPr>
        <w:t>Stariji pacijenti</w:t>
      </w:r>
    </w:p>
    <w:p w14:paraId="410EFE7A" w14:textId="77777777" w:rsidR="00885E6E" w:rsidRPr="00C25676" w:rsidRDefault="00885E6E" w:rsidP="00B22D20">
      <w:pPr>
        <w:ind w:left="180"/>
        <w:rPr>
          <w:szCs w:val="22"/>
          <w:lang w:val="sr-Latn-CS"/>
        </w:rPr>
      </w:pPr>
      <w:r w:rsidRPr="00C25676">
        <w:rPr>
          <w:szCs w:val="22"/>
          <w:lang w:val="sr-Latn-CS"/>
        </w:rPr>
        <w:t>Akutni koronarni sindrom bez elevacije ST segmenta (nestabilna angina ili infarkt miokarda bez Q zupca):</w:t>
      </w:r>
    </w:p>
    <w:p w14:paraId="774553B3" w14:textId="61ADE682" w:rsidR="00885E6E" w:rsidRDefault="00885E6E" w:rsidP="00B22D20">
      <w:pPr>
        <w:pStyle w:val="ListParagraph"/>
        <w:numPr>
          <w:ilvl w:val="0"/>
          <w:numId w:val="28"/>
        </w:numPr>
        <w:rPr>
          <w:szCs w:val="22"/>
          <w:lang w:val="sr-Latn-CS"/>
        </w:rPr>
      </w:pPr>
      <w:r w:rsidRPr="00C25676">
        <w:rPr>
          <w:szCs w:val="22"/>
          <w:lang w:val="sr-Latn-CS"/>
        </w:rPr>
        <w:t xml:space="preserve">Udarna doza od 600 mg se može razmotriti kod pacijenata &lt;75 godina starosti kada je predviđena perkutana koronarna intervencija (vidjeti </w:t>
      </w:r>
      <w:r w:rsidR="004E613E">
        <w:rPr>
          <w:szCs w:val="22"/>
          <w:lang w:val="sr-Latn-CS"/>
        </w:rPr>
        <w:t>dio</w:t>
      </w:r>
      <w:r w:rsidR="004E613E" w:rsidRPr="00C25676">
        <w:rPr>
          <w:szCs w:val="22"/>
          <w:lang w:val="sr-Latn-CS"/>
        </w:rPr>
        <w:t xml:space="preserve"> </w:t>
      </w:r>
      <w:r w:rsidRPr="00C25676">
        <w:rPr>
          <w:szCs w:val="22"/>
          <w:lang w:val="sr-Latn-CS"/>
        </w:rPr>
        <w:t>4.4).</w:t>
      </w:r>
    </w:p>
    <w:p w14:paraId="3ADB1798" w14:textId="77777777" w:rsidR="004E613E" w:rsidRPr="00C25676" w:rsidRDefault="004E613E" w:rsidP="00B22D20">
      <w:pPr>
        <w:pStyle w:val="ListParagraph"/>
        <w:ind w:left="900"/>
        <w:rPr>
          <w:szCs w:val="22"/>
          <w:lang w:val="sr-Latn-CS"/>
        </w:rPr>
      </w:pPr>
    </w:p>
    <w:p w14:paraId="39A901E0" w14:textId="77777777" w:rsidR="00885E6E" w:rsidRPr="00C25676" w:rsidRDefault="00885E6E" w:rsidP="00B22D20">
      <w:pPr>
        <w:ind w:left="180"/>
        <w:rPr>
          <w:szCs w:val="22"/>
          <w:lang w:val="sr-Latn-CS"/>
        </w:rPr>
      </w:pPr>
      <w:r w:rsidRPr="00C25676">
        <w:rPr>
          <w:szCs w:val="22"/>
          <w:lang w:val="sr-Latn-CS"/>
        </w:rPr>
        <w:t>Akutni infarkt miokarda sa elevacijom ST segmenta:</w:t>
      </w:r>
    </w:p>
    <w:p w14:paraId="23B9ADFE" w14:textId="77777777" w:rsidR="00885E6E" w:rsidRPr="00C25676" w:rsidRDefault="00885E6E" w:rsidP="00B22D20">
      <w:pPr>
        <w:pStyle w:val="ListParagraph"/>
        <w:numPr>
          <w:ilvl w:val="0"/>
          <w:numId w:val="28"/>
        </w:numPr>
        <w:tabs>
          <w:tab w:val="clear" w:pos="284"/>
        </w:tabs>
        <w:spacing w:after="120"/>
        <w:rPr>
          <w:szCs w:val="22"/>
          <w:lang w:val="sr-Latn-CS"/>
        </w:rPr>
      </w:pPr>
      <w:r w:rsidRPr="00C25676">
        <w:rPr>
          <w:szCs w:val="22"/>
          <w:lang w:val="sr-Latn-CS"/>
        </w:rPr>
        <w:t>Kod pacijenata koji su predviđeni za trombolitičku/fibrinolitičku terapiju: kod pacijenata starijih od 75 godina terapiju klopidogrelom treba započeti bez udarne doze.</w:t>
      </w:r>
    </w:p>
    <w:p w14:paraId="2554A4EB" w14:textId="5A0631CC" w:rsidR="00885E6E" w:rsidRPr="00C25676" w:rsidRDefault="00885E6E" w:rsidP="00B22D20">
      <w:pPr>
        <w:tabs>
          <w:tab w:val="clear" w:pos="284"/>
        </w:tabs>
        <w:spacing w:after="120"/>
        <w:ind w:left="144"/>
        <w:rPr>
          <w:szCs w:val="22"/>
          <w:lang w:val="sr-Latn-CS"/>
        </w:rPr>
      </w:pPr>
      <w:r w:rsidRPr="00C25676">
        <w:rPr>
          <w:szCs w:val="22"/>
          <w:lang w:val="sr-Latn-CS"/>
        </w:rPr>
        <w:t>Kod pacijenata koji će biti podvrgnuti primarnoj PKI i kod pacijenata koji će biti podvrgnuti PKI nakon više od 24 sata od primjene fibrinolitičke terapije:</w:t>
      </w:r>
    </w:p>
    <w:p w14:paraId="43983C81" w14:textId="6770F3EC" w:rsidR="00885E6E" w:rsidRPr="00C25676" w:rsidRDefault="00885E6E" w:rsidP="00B22D20">
      <w:pPr>
        <w:pStyle w:val="ListParagraph"/>
        <w:numPr>
          <w:ilvl w:val="0"/>
          <w:numId w:val="28"/>
        </w:numPr>
        <w:tabs>
          <w:tab w:val="clear" w:pos="284"/>
        </w:tabs>
        <w:spacing w:after="120"/>
        <w:rPr>
          <w:szCs w:val="22"/>
          <w:lang w:val="sr-Latn-CS"/>
        </w:rPr>
      </w:pPr>
      <w:r w:rsidRPr="00C25676">
        <w:rPr>
          <w:szCs w:val="22"/>
          <w:lang w:val="sr-Latn-CS"/>
        </w:rPr>
        <w:t xml:space="preserve">Kod pacijenata starijih od 75 godina UD od 600 mg treba davati sa oprezom (vidjeti </w:t>
      </w:r>
      <w:r w:rsidR="004E613E">
        <w:rPr>
          <w:szCs w:val="22"/>
          <w:lang w:val="sr-Latn-CS"/>
        </w:rPr>
        <w:t>dio</w:t>
      </w:r>
      <w:r w:rsidR="004E613E" w:rsidRPr="00C25676">
        <w:rPr>
          <w:szCs w:val="22"/>
          <w:lang w:val="sr-Latn-CS"/>
        </w:rPr>
        <w:t xml:space="preserve"> </w:t>
      </w:r>
      <w:r w:rsidRPr="00C25676">
        <w:rPr>
          <w:szCs w:val="22"/>
          <w:lang w:val="sr-Latn-CS"/>
        </w:rPr>
        <w:t>4.4).</w:t>
      </w:r>
    </w:p>
    <w:p w14:paraId="111745AA" w14:textId="77777777" w:rsidR="00F3137E" w:rsidRPr="00B22D20" w:rsidRDefault="00F3137E" w:rsidP="00C25676">
      <w:pPr>
        <w:numPr>
          <w:ilvl w:val="0"/>
          <w:numId w:val="18"/>
        </w:numPr>
        <w:tabs>
          <w:tab w:val="clear" w:pos="284"/>
          <w:tab w:val="clear" w:pos="720"/>
          <w:tab w:val="num" w:pos="180"/>
        </w:tabs>
        <w:spacing w:before="120"/>
        <w:ind w:left="187" w:hanging="187"/>
        <w:rPr>
          <w:szCs w:val="22"/>
        </w:rPr>
      </w:pPr>
      <w:r w:rsidRPr="00B22D20">
        <w:rPr>
          <w:szCs w:val="22"/>
        </w:rPr>
        <w:t>Pedijatrijska populacija</w:t>
      </w:r>
    </w:p>
    <w:p w14:paraId="44D8402F" w14:textId="0FEF07A5" w:rsidR="00F3137E" w:rsidRPr="00B22D20" w:rsidRDefault="00F3137E">
      <w:pPr>
        <w:ind w:left="180"/>
        <w:rPr>
          <w:szCs w:val="22"/>
          <w:lang w:val="sr-Latn-CS"/>
        </w:rPr>
      </w:pPr>
      <w:r w:rsidRPr="00B22D20">
        <w:rPr>
          <w:szCs w:val="22"/>
          <w:lang w:val="sr-Latn-CS"/>
        </w:rPr>
        <w:t>Klopidogrel se ne prim</w:t>
      </w:r>
      <w:r w:rsidR="00691296" w:rsidRPr="00B22D20">
        <w:rPr>
          <w:szCs w:val="22"/>
          <w:lang w:val="sr-Latn-CS"/>
        </w:rPr>
        <w:t>i</w:t>
      </w:r>
      <w:r w:rsidR="00D77814" w:rsidRPr="00B22D20">
        <w:rPr>
          <w:szCs w:val="22"/>
          <w:lang w:val="sr-Latn-CS"/>
        </w:rPr>
        <w:t>j</w:t>
      </w:r>
      <w:r w:rsidRPr="00B22D20">
        <w:rPr>
          <w:szCs w:val="22"/>
          <w:lang w:val="sr-Latn-CS"/>
        </w:rPr>
        <w:t>enjuje kod d</w:t>
      </w:r>
      <w:r w:rsidR="00D77814" w:rsidRPr="00B22D20">
        <w:rPr>
          <w:szCs w:val="22"/>
          <w:lang w:val="sr-Latn-CS"/>
        </w:rPr>
        <w:t>j</w:t>
      </w:r>
      <w:r w:rsidRPr="00B22D20">
        <w:rPr>
          <w:szCs w:val="22"/>
          <w:lang w:val="sr-Latn-CS"/>
        </w:rPr>
        <w:t>ece zbog nedovol</w:t>
      </w:r>
      <w:r w:rsidR="00F1112D" w:rsidRPr="00B22D20">
        <w:rPr>
          <w:szCs w:val="22"/>
          <w:lang w:val="sr-Latn-CS"/>
        </w:rPr>
        <w:t>jno</w:t>
      </w:r>
      <w:r w:rsidRPr="00B22D20">
        <w:rPr>
          <w:szCs w:val="22"/>
          <w:lang w:val="sr-Latn-CS"/>
        </w:rPr>
        <w:t xml:space="preserve"> podataka o efikasnosti (</w:t>
      </w:r>
      <w:r w:rsidR="00D77814" w:rsidRPr="00B22D20">
        <w:rPr>
          <w:szCs w:val="22"/>
          <w:lang w:val="sr-Latn-CS"/>
        </w:rPr>
        <w:t>vidjet</w:t>
      </w:r>
      <w:r w:rsidRPr="00B22D20">
        <w:rPr>
          <w:szCs w:val="22"/>
          <w:lang w:val="sr-Latn-CS"/>
        </w:rPr>
        <w:t xml:space="preserve">i </w:t>
      </w:r>
      <w:r w:rsidR="006F25AC" w:rsidRPr="00B22D20">
        <w:rPr>
          <w:szCs w:val="22"/>
          <w:lang w:val="sr-Latn-CS"/>
        </w:rPr>
        <w:t>dio</w:t>
      </w:r>
      <w:r w:rsidRPr="00B22D20">
        <w:rPr>
          <w:szCs w:val="22"/>
          <w:lang w:val="sr-Latn-CS"/>
        </w:rPr>
        <w:t xml:space="preserve"> 5.1).</w:t>
      </w:r>
    </w:p>
    <w:p w14:paraId="3723121B" w14:textId="77777777" w:rsidR="00F3137E" w:rsidRPr="00B22D20" w:rsidRDefault="00F3137E" w:rsidP="00B22D20">
      <w:pPr>
        <w:numPr>
          <w:ilvl w:val="0"/>
          <w:numId w:val="18"/>
        </w:numPr>
        <w:tabs>
          <w:tab w:val="clear" w:pos="284"/>
          <w:tab w:val="clear" w:pos="720"/>
          <w:tab w:val="num" w:pos="180"/>
        </w:tabs>
        <w:spacing w:before="120"/>
        <w:ind w:left="187" w:hanging="187"/>
        <w:rPr>
          <w:szCs w:val="22"/>
          <w:lang w:val="sr-Latn-CS"/>
        </w:rPr>
      </w:pPr>
      <w:r w:rsidRPr="00B22D20">
        <w:rPr>
          <w:szCs w:val="22"/>
          <w:lang w:val="sr-Latn-CS"/>
        </w:rPr>
        <w:t>Oštećenje funkcije bubrega</w:t>
      </w:r>
    </w:p>
    <w:p w14:paraId="577A7724" w14:textId="0E0360BC" w:rsidR="00F3137E" w:rsidRPr="00B22D20" w:rsidRDefault="00F3137E">
      <w:pPr>
        <w:ind w:left="180"/>
        <w:rPr>
          <w:szCs w:val="22"/>
          <w:lang w:val="sr-Latn-CS"/>
        </w:rPr>
      </w:pPr>
      <w:r w:rsidRPr="00B22D20">
        <w:rPr>
          <w:szCs w:val="22"/>
          <w:lang w:val="sr-Latn-CS"/>
        </w:rPr>
        <w:t>Terapijsko iskustvo u prim</w:t>
      </w:r>
      <w:r w:rsidR="00D77814" w:rsidRPr="00B22D20">
        <w:rPr>
          <w:szCs w:val="22"/>
          <w:lang w:val="sr-Latn-CS"/>
        </w:rPr>
        <w:t>j</w:t>
      </w:r>
      <w:r w:rsidRPr="00B22D20">
        <w:rPr>
          <w:szCs w:val="22"/>
          <w:lang w:val="sr-Latn-CS"/>
        </w:rPr>
        <w:t xml:space="preserve">eni ovog </w:t>
      </w:r>
      <w:r w:rsidR="00AC562A" w:rsidRPr="00B22D20">
        <w:rPr>
          <w:szCs w:val="22"/>
          <w:lang w:val="sr-Latn-CS"/>
        </w:rPr>
        <w:t>lijek</w:t>
      </w:r>
      <w:r w:rsidRPr="00B22D20">
        <w:rPr>
          <w:szCs w:val="22"/>
          <w:lang w:val="sr-Latn-CS"/>
        </w:rPr>
        <w:t xml:space="preserve">a kod pacijenata sa </w:t>
      </w:r>
      <w:r w:rsidR="006D76E0" w:rsidRPr="00B22D20">
        <w:rPr>
          <w:szCs w:val="22"/>
          <w:lang w:val="sr-Latn-CS"/>
        </w:rPr>
        <w:t>oštećenom</w:t>
      </w:r>
      <w:r w:rsidR="00F1112D" w:rsidRPr="00B22D20">
        <w:rPr>
          <w:szCs w:val="22"/>
          <w:lang w:val="sr-Latn-CS"/>
        </w:rPr>
        <w:t xml:space="preserve"> </w:t>
      </w:r>
      <w:r w:rsidRPr="00B22D20">
        <w:rPr>
          <w:szCs w:val="22"/>
          <w:lang w:val="sr-Latn-CS"/>
        </w:rPr>
        <w:t xml:space="preserve">funkcijom bubrega je </w:t>
      </w:r>
      <w:r w:rsidRPr="00B22D20">
        <w:rPr>
          <w:szCs w:val="22"/>
          <w:lang w:val="sr-Latn-CS" w:eastAsia="ja-JP"/>
        </w:rPr>
        <w:t>ograničeno</w:t>
      </w:r>
      <w:r w:rsidRPr="00B22D20">
        <w:rPr>
          <w:szCs w:val="22"/>
          <w:lang w:val="sr-Latn-CS"/>
        </w:rPr>
        <w:t xml:space="preserve"> (</w:t>
      </w:r>
      <w:r w:rsidR="00D77814" w:rsidRPr="00B22D20">
        <w:rPr>
          <w:szCs w:val="22"/>
          <w:lang w:val="sr-Latn-CS"/>
        </w:rPr>
        <w:t>vidjet</w:t>
      </w:r>
      <w:r w:rsidRPr="00B22D20">
        <w:rPr>
          <w:szCs w:val="22"/>
          <w:lang w:val="sr-Latn-CS"/>
        </w:rPr>
        <w:t xml:space="preserve">i </w:t>
      </w:r>
      <w:r w:rsidR="006F25AC" w:rsidRPr="00B22D20">
        <w:rPr>
          <w:szCs w:val="22"/>
          <w:lang w:val="sr-Latn-CS" w:eastAsia="ja-JP"/>
        </w:rPr>
        <w:t>dio</w:t>
      </w:r>
      <w:r w:rsidRPr="00B22D20">
        <w:rPr>
          <w:szCs w:val="22"/>
          <w:lang w:val="sr-Latn-CS"/>
        </w:rPr>
        <w:t xml:space="preserve"> 4.4).</w:t>
      </w:r>
    </w:p>
    <w:p w14:paraId="1039780C" w14:textId="77777777" w:rsidR="00F3137E" w:rsidRPr="00B22D20" w:rsidRDefault="00F3137E" w:rsidP="00B22D20">
      <w:pPr>
        <w:numPr>
          <w:ilvl w:val="0"/>
          <w:numId w:val="18"/>
        </w:numPr>
        <w:tabs>
          <w:tab w:val="clear" w:pos="284"/>
          <w:tab w:val="clear" w:pos="720"/>
          <w:tab w:val="num" w:pos="180"/>
        </w:tabs>
        <w:spacing w:before="120"/>
        <w:ind w:left="187" w:hanging="187"/>
        <w:rPr>
          <w:szCs w:val="22"/>
          <w:lang w:val="sr-Latn-CS"/>
        </w:rPr>
      </w:pPr>
      <w:r w:rsidRPr="00B22D20">
        <w:rPr>
          <w:szCs w:val="22"/>
          <w:lang w:val="sr-Latn-CS"/>
        </w:rPr>
        <w:t>Oštećenje funkcije jetre</w:t>
      </w:r>
    </w:p>
    <w:p w14:paraId="07BF2148" w14:textId="1FF47D04" w:rsidR="00F3137E" w:rsidRPr="00B22D20" w:rsidRDefault="00F3137E">
      <w:pPr>
        <w:tabs>
          <w:tab w:val="clear" w:pos="284"/>
        </w:tabs>
        <w:autoSpaceDE w:val="0"/>
        <w:autoSpaceDN w:val="0"/>
        <w:adjustRightInd w:val="0"/>
        <w:ind w:left="180" w:right="-20"/>
        <w:rPr>
          <w:szCs w:val="22"/>
          <w:lang w:val="sr-Latn-CS"/>
        </w:rPr>
      </w:pPr>
      <w:r w:rsidRPr="00B22D20">
        <w:rPr>
          <w:szCs w:val="22"/>
          <w:lang w:val="sr-Latn-CS"/>
        </w:rPr>
        <w:t>Terapijsko iskustvo kod pacijenata sa um</w:t>
      </w:r>
      <w:r w:rsidR="00D77814" w:rsidRPr="00B22D20">
        <w:rPr>
          <w:szCs w:val="22"/>
          <w:lang w:val="sr-Latn-CS"/>
        </w:rPr>
        <w:t>j</w:t>
      </w:r>
      <w:r w:rsidRPr="00B22D20">
        <w:rPr>
          <w:szCs w:val="22"/>
          <w:lang w:val="sr-Latn-CS"/>
        </w:rPr>
        <w:t xml:space="preserve">ereno </w:t>
      </w:r>
      <w:r w:rsidR="00F1112D" w:rsidRPr="00B22D20">
        <w:rPr>
          <w:szCs w:val="22"/>
          <w:lang w:val="sr-Latn-CS"/>
        </w:rPr>
        <w:t>o</w:t>
      </w:r>
      <w:r w:rsidR="006D76E0" w:rsidRPr="00B22D20">
        <w:rPr>
          <w:szCs w:val="22"/>
          <w:lang w:val="sr-Latn-CS"/>
        </w:rPr>
        <w:t>štećeno</w:t>
      </w:r>
      <w:r w:rsidR="00F1112D" w:rsidRPr="00B22D20">
        <w:rPr>
          <w:szCs w:val="22"/>
          <w:lang w:val="sr-Latn-CS"/>
        </w:rPr>
        <w:t>m</w:t>
      </w:r>
      <w:r w:rsidRPr="00B22D20">
        <w:rPr>
          <w:szCs w:val="22"/>
          <w:lang w:val="sr-Latn-CS"/>
        </w:rPr>
        <w:t xml:space="preserve"> funkcijom jetre, koji mogu imati hemoragijsku dijatezu je ograničeno (</w:t>
      </w:r>
      <w:r w:rsidR="00D77814" w:rsidRPr="00B22D20">
        <w:rPr>
          <w:szCs w:val="22"/>
          <w:lang w:val="sr-Latn-CS"/>
        </w:rPr>
        <w:t>vidjet</w:t>
      </w:r>
      <w:r w:rsidRPr="00B22D20">
        <w:rPr>
          <w:szCs w:val="22"/>
          <w:lang w:val="sr-Latn-CS"/>
        </w:rPr>
        <w:t xml:space="preserve">i </w:t>
      </w:r>
      <w:r w:rsidR="006F25AC" w:rsidRPr="00B22D20">
        <w:rPr>
          <w:szCs w:val="22"/>
          <w:lang w:val="sr-Latn-CS"/>
        </w:rPr>
        <w:t>dio</w:t>
      </w:r>
      <w:r w:rsidRPr="00B22D20">
        <w:rPr>
          <w:szCs w:val="22"/>
          <w:lang w:val="sr-Latn-CS"/>
        </w:rPr>
        <w:t xml:space="preserve"> 4.4).</w:t>
      </w:r>
    </w:p>
    <w:p w14:paraId="4A6C6E1E" w14:textId="22DE053D" w:rsidR="00F3137E" w:rsidRPr="00B22D20" w:rsidRDefault="00F3137E">
      <w:pPr>
        <w:spacing w:before="120"/>
        <w:rPr>
          <w:szCs w:val="22"/>
          <w:u w:val="single"/>
          <w:lang w:val="sr-Latn-CS"/>
        </w:rPr>
      </w:pPr>
      <w:r w:rsidRPr="00B22D20">
        <w:rPr>
          <w:szCs w:val="22"/>
          <w:u w:val="single"/>
          <w:lang w:val="sr-Latn-CS"/>
        </w:rPr>
        <w:t>Način prim</w:t>
      </w:r>
      <w:r w:rsidR="00AC562A" w:rsidRPr="00B22D20">
        <w:rPr>
          <w:szCs w:val="22"/>
          <w:u w:val="single"/>
          <w:lang w:val="sr-Latn-CS"/>
        </w:rPr>
        <w:t>j</w:t>
      </w:r>
      <w:r w:rsidRPr="00B22D20">
        <w:rPr>
          <w:szCs w:val="22"/>
          <w:u w:val="single"/>
          <w:lang w:val="sr-Latn-CS"/>
        </w:rPr>
        <w:t>ene</w:t>
      </w:r>
    </w:p>
    <w:p w14:paraId="3CC9601F" w14:textId="77777777" w:rsidR="00F3137E" w:rsidRPr="00B22D20" w:rsidRDefault="00F3137E">
      <w:pPr>
        <w:spacing w:before="120"/>
        <w:rPr>
          <w:szCs w:val="22"/>
          <w:lang w:val="sr-Latn-CS"/>
        </w:rPr>
      </w:pPr>
      <w:r w:rsidRPr="00B22D20">
        <w:rPr>
          <w:szCs w:val="22"/>
          <w:lang w:val="sr-Latn-CS"/>
        </w:rPr>
        <w:t>Za oralnu upotrebu.</w:t>
      </w:r>
    </w:p>
    <w:p w14:paraId="14795C55" w14:textId="4EC4B34E" w:rsidR="00F3137E" w:rsidRPr="00B22D20" w:rsidRDefault="00AC562A">
      <w:pPr>
        <w:tabs>
          <w:tab w:val="clear" w:pos="284"/>
        </w:tabs>
        <w:autoSpaceDE w:val="0"/>
        <w:autoSpaceDN w:val="0"/>
        <w:adjustRightInd w:val="0"/>
        <w:ind w:right="-20"/>
        <w:rPr>
          <w:szCs w:val="22"/>
          <w:lang w:val="sr-Latn-CS"/>
        </w:rPr>
      </w:pPr>
      <w:r w:rsidRPr="00B22D20">
        <w:rPr>
          <w:szCs w:val="22"/>
          <w:lang w:val="sr-Latn-CS"/>
        </w:rPr>
        <w:t>Lijek</w:t>
      </w:r>
      <w:r w:rsidR="00F3137E" w:rsidRPr="00B22D20">
        <w:rPr>
          <w:szCs w:val="22"/>
          <w:lang w:val="sr-Latn-CS"/>
        </w:rPr>
        <w:t xml:space="preserve"> se može uzimati uz obrok ili nezavisno od njega.</w:t>
      </w:r>
    </w:p>
    <w:p w14:paraId="0ED7DEE8" w14:textId="77777777" w:rsidR="001E6299" w:rsidRPr="00B22D20" w:rsidRDefault="001E6299">
      <w:pPr>
        <w:pStyle w:val="Header"/>
        <w:tabs>
          <w:tab w:val="clear" w:pos="4536"/>
          <w:tab w:val="clear" w:pos="9072"/>
        </w:tabs>
        <w:rPr>
          <w:b/>
          <w:bCs/>
          <w:szCs w:val="22"/>
        </w:rPr>
      </w:pPr>
    </w:p>
    <w:p w14:paraId="0A8F1C56" w14:textId="77777777" w:rsidR="00F3137E" w:rsidRPr="00B22D20" w:rsidRDefault="00F3137E">
      <w:pPr>
        <w:pStyle w:val="Header"/>
        <w:tabs>
          <w:tab w:val="clear" w:pos="4536"/>
          <w:tab w:val="clear" w:pos="9072"/>
        </w:tabs>
        <w:rPr>
          <w:b/>
          <w:bCs/>
          <w:szCs w:val="22"/>
        </w:rPr>
      </w:pPr>
      <w:r w:rsidRPr="00B22D20">
        <w:rPr>
          <w:b/>
          <w:bCs/>
          <w:szCs w:val="22"/>
        </w:rPr>
        <w:t>4.3. Kontraindikacije</w:t>
      </w:r>
    </w:p>
    <w:p w14:paraId="2F3ECF9B" w14:textId="3E354BDD" w:rsidR="00F3137E" w:rsidRPr="00B22D20" w:rsidRDefault="00F3137E">
      <w:pPr>
        <w:pStyle w:val="ListParagraph"/>
        <w:numPr>
          <w:ilvl w:val="0"/>
          <w:numId w:val="25"/>
        </w:numPr>
        <w:tabs>
          <w:tab w:val="clear" w:pos="284"/>
        </w:tabs>
        <w:spacing w:before="120"/>
        <w:rPr>
          <w:szCs w:val="22"/>
          <w:lang w:val="sr-Latn-CS"/>
        </w:rPr>
      </w:pPr>
      <w:r w:rsidRPr="00B22D20">
        <w:rPr>
          <w:szCs w:val="22"/>
          <w:lang w:val="sr-Latn-CS"/>
        </w:rPr>
        <w:t>Preos</w:t>
      </w:r>
      <w:r w:rsidR="00D77814" w:rsidRPr="00B22D20">
        <w:rPr>
          <w:szCs w:val="22"/>
          <w:lang w:val="sr-Latn-CS"/>
        </w:rPr>
        <w:t>j</w:t>
      </w:r>
      <w:r w:rsidRPr="00B22D20">
        <w:rPr>
          <w:szCs w:val="22"/>
          <w:lang w:val="sr-Latn-CS"/>
        </w:rPr>
        <w:t xml:space="preserve">etljivost na </w:t>
      </w:r>
      <w:r w:rsidR="00F1112D" w:rsidRPr="00B22D20">
        <w:rPr>
          <w:szCs w:val="22"/>
          <w:lang w:val="sr-Latn-CS"/>
        </w:rPr>
        <w:t xml:space="preserve">klopidogrel ili na bilo koju od pomoćnih supstanci navedenih u </w:t>
      </w:r>
      <w:r w:rsidR="006F25AC" w:rsidRPr="00B22D20">
        <w:rPr>
          <w:szCs w:val="22"/>
          <w:lang w:val="sr-Latn-CS"/>
        </w:rPr>
        <w:t>dijelu</w:t>
      </w:r>
      <w:r w:rsidRPr="00B22D20">
        <w:rPr>
          <w:szCs w:val="22"/>
          <w:lang w:val="sr-Latn-CS"/>
        </w:rPr>
        <w:t xml:space="preserve"> 6.1.</w:t>
      </w:r>
    </w:p>
    <w:p w14:paraId="17AF4846" w14:textId="77777777" w:rsidR="00F3137E" w:rsidRPr="00B22D20" w:rsidRDefault="00F3137E">
      <w:pPr>
        <w:pStyle w:val="ListParagraph"/>
        <w:numPr>
          <w:ilvl w:val="0"/>
          <w:numId w:val="25"/>
        </w:numPr>
        <w:tabs>
          <w:tab w:val="clear" w:pos="284"/>
        </w:tabs>
        <w:rPr>
          <w:szCs w:val="22"/>
          <w:lang w:val="sr-Latn-CS"/>
        </w:rPr>
      </w:pPr>
      <w:r w:rsidRPr="00B22D20">
        <w:rPr>
          <w:szCs w:val="22"/>
          <w:lang w:val="sr-Latn-CS"/>
        </w:rPr>
        <w:t>Teško oštećenje funkcije jetre.</w:t>
      </w:r>
    </w:p>
    <w:p w14:paraId="3A746C8A" w14:textId="77777777" w:rsidR="00F3137E" w:rsidRPr="00B22D20" w:rsidRDefault="00F3137E">
      <w:pPr>
        <w:pStyle w:val="Header"/>
        <w:numPr>
          <w:ilvl w:val="0"/>
          <w:numId w:val="25"/>
        </w:numPr>
        <w:tabs>
          <w:tab w:val="clear" w:pos="4536"/>
          <w:tab w:val="clear" w:pos="9072"/>
        </w:tabs>
        <w:rPr>
          <w:szCs w:val="22"/>
          <w:lang w:val="sr-Latn-CS"/>
        </w:rPr>
      </w:pPr>
      <w:r w:rsidRPr="00B22D20">
        <w:rPr>
          <w:szCs w:val="22"/>
          <w:lang w:val="sr-Latn-CS"/>
        </w:rPr>
        <w:t>Aktivna patološka krvarenja, kao što je peptički ulkus ili intrakranijalna krvarenja.</w:t>
      </w:r>
    </w:p>
    <w:p w14:paraId="1F74AC12" w14:textId="77777777" w:rsidR="001E6299" w:rsidRPr="00B22D20" w:rsidRDefault="001E6299">
      <w:pPr>
        <w:pStyle w:val="Header"/>
        <w:tabs>
          <w:tab w:val="clear" w:pos="4536"/>
          <w:tab w:val="clear" w:pos="9072"/>
        </w:tabs>
        <w:rPr>
          <w:b/>
          <w:bCs/>
          <w:szCs w:val="22"/>
        </w:rPr>
      </w:pPr>
    </w:p>
    <w:p w14:paraId="59FA0262" w14:textId="3A7BBF57" w:rsidR="00F3137E" w:rsidRPr="00B22D20" w:rsidRDefault="00F3137E">
      <w:pPr>
        <w:pStyle w:val="Header"/>
        <w:tabs>
          <w:tab w:val="clear" w:pos="4536"/>
          <w:tab w:val="clear" w:pos="9072"/>
        </w:tabs>
        <w:rPr>
          <w:b/>
          <w:bCs/>
          <w:szCs w:val="22"/>
        </w:rPr>
      </w:pPr>
      <w:r w:rsidRPr="00B22D20">
        <w:rPr>
          <w:b/>
          <w:bCs/>
          <w:szCs w:val="22"/>
        </w:rPr>
        <w:t>4.4. Posebna upozorenja i m</w:t>
      </w:r>
      <w:r w:rsidR="00AC562A" w:rsidRPr="00B22D20">
        <w:rPr>
          <w:b/>
          <w:bCs/>
          <w:szCs w:val="22"/>
        </w:rPr>
        <w:t>j</w:t>
      </w:r>
      <w:r w:rsidRPr="00B22D20">
        <w:rPr>
          <w:b/>
          <w:bCs/>
          <w:szCs w:val="22"/>
        </w:rPr>
        <w:t xml:space="preserve">ere opreza pri upotrebi </w:t>
      </w:r>
      <w:r w:rsidR="00AC562A" w:rsidRPr="00B22D20">
        <w:rPr>
          <w:b/>
          <w:bCs/>
          <w:szCs w:val="22"/>
        </w:rPr>
        <w:t>lijek</w:t>
      </w:r>
      <w:r w:rsidRPr="00B22D20">
        <w:rPr>
          <w:b/>
          <w:bCs/>
          <w:szCs w:val="22"/>
        </w:rPr>
        <w:t>a</w:t>
      </w:r>
    </w:p>
    <w:p w14:paraId="42B2A6C8" w14:textId="71F22EBF" w:rsidR="00D97323" w:rsidRPr="00B22D20" w:rsidRDefault="00F3137E">
      <w:pPr>
        <w:spacing w:before="120"/>
        <w:rPr>
          <w:i/>
          <w:szCs w:val="22"/>
          <w:lang w:val="sr-Latn-CS"/>
        </w:rPr>
      </w:pPr>
      <w:r w:rsidRPr="00B22D20">
        <w:rPr>
          <w:i/>
          <w:szCs w:val="22"/>
          <w:lang w:val="sr-Latn-CS"/>
        </w:rPr>
        <w:t>Krvarenje i hematološki poremećaji</w:t>
      </w:r>
    </w:p>
    <w:p w14:paraId="5AB51D46" w14:textId="70A00349" w:rsidR="00F3137E" w:rsidRPr="00B22D20" w:rsidRDefault="00F3137E">
      <w:pPr>
        <w:spacing w:before="120"/>
        <w:rPr>
          <w:szCs w:val="22"/>
          <w:lang w:val="sr-Latn-CS"/>
        </w:rPr>
      </w:pPr>
      <w:r w:rsidRPr="00B22D20">
        <w:rPr>
          <w:szCs w:val="22"/>
          <w:lang w:val="sr-Latn-CS"/>
        </w:rPr>
        <w:t>Čim se, u toku terapije, pojave klinički simptomi koji upućuju na pojavu krvarenja, zbog rizika od krvarenja i hematoloških neželjenih dejstava, bez odlaganja se mora uraditi krvna slika (iskontrolisati broj krvnih ćelija) i/ili preduzeti druga odgovarajuća ispitivanja (</w:t>
      </w:r>
      <w:r w:rsidR="00D77814" w:rsidRPr="00B22D20">
        <w:rPr>
          <w:szCs w:val="22"/>
          <w:lang w:val="sr-Latn-CS"/>
        </w:rPr>
        <w:t>vidjet</w:t>
      </w:r>
      <w:r w:rsidRPr="00B22D20">
        <w:rPr>
          <w:szCs w:val="22"/>
          <w:lang w:val="sr-Latn-CS"/>
        </w:rPr>
        <w:t xml:space="preserve">i </w:t>
      </w:r>
      <w:r w:rsidR="006F25AC" w:rsidRPr="00B22D20">
        <w:rPr>
          <w:szCs w:val="22"/>
          <w:lang w:val="sr-Latn-CS"/>
        </w:rPr>
        <w:t>dio</w:t>
      </w:r>
      <w:r w:rsidRPr="00B22D20">
        <w:rPr>
          <w:szCs w:val="22"/>
          <w:lang w:val="sr-Latn-CS"/>
        </w:rPr>
        <w:t xml:space="preserve"> 4.8). Kao</w:t>
      </w:r>
      <w:r w:rsidR="00D97323" w:rsidRPr="00B22D20">
        <w:rPr>
          <w:szCs w:val="22"/>
          <w:lang w:val="sr-Latn-CS"/>
        </w:rPr>
        <w:t xml:space="preserve"> i kod drugih </w:t>
      </w:r>
      <w:r w:rsidR="00F92F20" w:rsidRPr="00B22D20">
        <w:rPr>
          <w:szCs w:val="22"/>
          <w:lang w:val="sr-Latn-CS"/>
        </w:rPr>
        <w:t>anti</w:t>
      </w:r>
      <w:r w:rsidR="00097959" w:rsidRPr="00B22D20">
        <w:rPr>
          <w:szCs w:val="22"/>
          <w:lang w:val="sr-Latn-CS"/>
        </w:rPr>
        <w:t>agregacio</w:t>
      </w:r>
      <w:r w:rsidR="00F92F20" w:rsidRPr="00B22D20">
        <w:rPr>
          <w:szCs w:val="22"/>
          <w:lang w:val="sr-Latn-CS"/>
        </w:rPr>
        <w:t>ni</w:t>
      </w:r>
      <w:r w:rsidR="00D97323" w:rsidRPr="00B22D20">
        <w:rPr>
          <w:szCs w:val="22"/>
          <w:lang w:val="sr-Latn-CS"/>
        </w:rPr>
        <w:t>h</w:t>
      </w:r>
      <w:r w:rsidR="00F92F20" w:rsidRPr="00B22D20">
        <w:rPr>
          <w:szCs w:val="22"/>
          <w:lang w:val="sr-Latn-CS"/>
        </w:rPr>
        <w:t xml:space="preserve"> </w:t>
      </w:r>
      <w:r w:rsidR="00122D4B" w:rsidRPr="00B22D20">
        <w:rPr>
          <w:szCs w:val="22"/>
          <w:lang w:val="sr-Latn-CS"/>
        </w:rPr>
        <w:t>ljekov</w:t>
      </w:r>
      <w:r w:rsidR="00D97323" w:rsidRPr="00B22D20">
        <w:rPr>
          <w:szCs w:val="22"/>
          <w:lang w:val="sr-Latn-CS"/>
        </w:rPr>
        <w:t xml:space="preserve">a i klopidogrel </w:t>
      </w:r>
      <w:r w:rsidR="003A79CE" w:rsidRPr="00B22D20">
        <w:rPr>
          <w:szCs w:val="22"/>
          <w:lang w:val="sr-Latn-CS"/>
        </w:rPr>
        <w:t xml:space="preserve">se </w:t>
      </w:r>
      <w:r w:rsidRPr="00B22D20">
        <w:rPr>
          <w:szCs w:val="22"/>
          <w:lang w:val="sr-Latn-CS"/>
        </w:rPr>
        <w:t xml:space="preserve">mora oprezno </w:t>
      </w:r>
      <w:r w:rsidR="00D77814" w:rsidRPr="00B22D20">
        <w:rPr>
          <w:szCs w:val="22"/>
          <w:lang w:val="sr-Latn-CS"/>
        </w:rPr>
        <w:t>prim</w:t>
      </w:r>
      <w:r w:rsidR="00793068" w:rsidRPr="00B22D20">
        <w:rPr>
          <w:szCs w:val="22"/>
          <w:lang w:val="sr-Latn-CS"/>
        </w:rPr>
        <w:t>i</w:t>
      </w:r>
      <w:r w:rsidR="00D77814" w:rsidRPr="00B22D20">
        <w:rPr>
          <w:szCs w:val="22"/>
          <w:lang w:val="sr-Latn-CS"/>
        </w:rPr>
        <w:t>jen</w:t>
      </w:r>
      <w:r w:rsidRPr="00B22D20">
        <w:rPr>
          <w:szCs w:val="22"/>
          <w:lang w:val="sr-Latn-CS"/>
        </w:rPr>
        <w:t xml:space="preserve">jivati kod pacijenata koji su pod povećanim rizikom od krvarenja zbog traume, hirurške intervencije ili drugih patoloških stanja, kao i kod pacijenata koji u terapiji dobijaju acetilsalicilnu kiselinu, heparin, inhibitore glikoproteina IIb/IIIa ili nesteroidne antiinflamatorne </w:t>
      </w:r>
      <w:r w:rsidR="00122D4B" w:rsidRPr="00B22D20">
        <w:rPr>
          <w:szCs w:val="22"/>
          <w:lang w:val="sr-Latn-CS"/>
        </w:rPr>
        <w:t>ljekov</w:t>
      </w:r>
      <w:r w:rsidRPr="00B22D20">
        <w:rPr>
          <w:szCs w:val="22"/>
          <w:lang w:val="sr-Latn-CS"/>
        </w:rPr>
        <w:t>e, uključujući Cox-2 inhibitore ili se</w:t>
      </w:r>
      <w:r w:rsidR="00AC562A" w:rsidRPr="00B22D20">
        <w:rPr>
          <w:szCs w:val="22"/>
          <w:lang w:val="sr-Latn-CS"/>
        </w:rPr>
        <w:t>lek</w:t>
      </w:r>
      <w:r w:rsidRPr="00B22D20">
        <w:rPr>
          <w:szCs w:val="22"/>
          <w:lang w:val="sr-Latn-CS"/>
        </w:rPr>
        <w:t>tivne inhibitore ponovnog preuzimanja serotonina (SSRI)</w:t>
      </w:r>
      <w:r w:rsidR="00EC688F" w:rsidRPr="00B22D20">
        <w:rPr>
          <w:szCs w:val="22"/>
          <w:lang w:val="sr-Latn-CS"/>
        </w:rPr>
        <w:t xml:space="preserve"> </w:t>
      </w:r>
      <w:r w:rsidR="00C70369" w:rsidRPr="00B22D20">
        <w:rPr>
          <w:szCs w:val="22"/>
          <w:lang w:val="sr-Latn-CS"/>
        </w:rPr>
        <w:t xml:space="preserve">ili snažne induktore CYP2C19 </w:t>
      </w:r>
      <w:r w:rsidR="00EC688F" w:rsidRPr="00B22D20">
        <w:rPr>
          <w:szCs w:val="22"/>
          <w:lang w:val="sr-Latn-CS"/>
        </w:rPr>
        <w:t xml:space="preserve">ili druge </w:t>
      </w:r>
      <w:r w:rsidR="00AC562A" w:rsidRPr="00B22D20">
        <w:rPr>
          <w:szCs w:val="22"/>
          <w:lang w:val="sr-Latn-CS"/>
        </w:rPr>
        <w:t>ljek</w:t>
      </w:r>
      <w:r w:rsidR="00EC688F" w:rsidRPr="00B22D20">
        <w:rPr>
          <w:szCs w:val="22"/>
          <w:lang w:val="sr-Latn-CS"/>
        </w:rPr>
        <w:t>ove koji su povezani sa povećanim rizikom od krvarenja kao što je pentoksifilin (</w:t>
      </w:r>
      <w:r w:rsidR="00D77814" w:rsidRPr="00B22D20">
        <w:rPr>
          <w:szCs w:val="22"/>
          <w:lang w:val="sr-Latn-CS"/>
        </w:rPr>
        <w:t>vidjet</w:t>
      </w:r>
      <w:r w:rsidR="00EC688F" w:rsidRPr="00B22D20">
        <w:rPr>
          <w:szCs w:val="22"/>
          <w:lang w:val="sr-Latn-CS"/>
        </w:rPr>
        <w:t xml:space="preserve">i </w:t>
      </w:r>
      <w:r w:rsidR="006F25AC" w:rsidRPr="00B22D20">
        <w:rPr>
          <w:szCs w:val="22"/>
          <w:lang w:val="sr-Latn-CS"/>
        </w:rPr>
        <w:t>dio</w:t>
      </w:r>
      <w:r w:rsidR="00EC688F" w:rsidRPr="00B22D20">
        <w:rPr>
          <w:szCs w:val="22"/>
          <w:lang w:val="sr-Latn-CS"/>
        </w:rPr>
        <w:t xml:space="preserve"> 4.5)</w:t>
      </w:r>
      <w:r w:rsidRPr="00B22D20">
        <w:rPr>
          <w:szCs w:val="22"/>
          <w:lang w:val="sr-Latn-CS"/>
        </w:rPr>
        <w:t xml:space="preserve">. </w:t>
      </w:r>
      <w:r w:rsidR="009E2CF8" w:rsidRPr="004F748B">
        <w:rPr>
          <w:rFonts w:ascii="Times" w:hAnsi="Times"/>
          <w:szCs w:val="22"/>
          <w:lang w:val="sr-Latn-CS"/>
        </w:rPr>
        <w:t>Zbog povećanog rizika od krvarenja, trostruka antitrombocitna terapija (klopidogrel + ASA + dipiridamol) za sekundarnu prevenciju moždanog udara se ne preporučuje kod pacijenata sa akutnim non kardioembolijskim ishemijskim moždanim udarom ili TIA (vidjeti dijelove 4.5 i 4.8).</w:t>
      </w:r>
      <w:r w:rsidR="009E2CF8">
        <w:rPr>
          <w:rFonts w:ascii="Times" w:hAnsi="Times"/>
          <w:szCs w:val="22"/>
          <w:lang w:val="sr-Latn-CS"/>
        </w:rPr>
        <w:t xml:space="preserve"> </w:t>
      </w:r>
      <w:r w:rsidRPr="00B22D20">
        <w:rPr>
          <w:szCs w:val="22"/>
          <w:lang w:val="sr-Latn-CS"/>
        </w:rPr>
        <w:t xml:space="preserve">Treba pažljivo pratiti pojavu bilo kakvih znakova krvarenja kod ovih pacijenata, uključujući okultna krvarenja, a </w:t>
      </w:r>
      <w:r w:rsidRPr="00B22D20">
        <w:rPr>
          <w:szCs w:val="22"/>
          <w:lang w:val="sr-Latn-CS"/>
        </w:rPr>
        <w:lastRenderedPageBreak/>
        <w:t>naročito tokom prv</w:t>
      </w:r>
      <w:r w:rsidR="003E0880" w:rsidRPr="00B22D20">
        <w:rPr>
          <w:szCs w:val="22"/>
          <w:lang w:val="sr-Latn-CS"/>
        </w:rPr>
        <w:t>ih</w:t>
      </w:r>
      <w:r w:rsidRPr="00B22D20">
        <w:rPr>
          <w:szCs w:val="22"/>
          <w:lang w:val="sr-Latn-CS"/>
        </w:rPr>
        <w:t xml:space="preserve"> ned</w:t>
      </w:r>
      <w:r w:rsidR="00D77814" w:rsidRPr="00B22D20">
        <w:rPr>
          <w:szCs w:val="22"/>
          <w:lang w:val="sr-Latn-CS"/>
        </w:rPr>
        <w:t>j</w:t>
      </w:r>
      <w:r w:rsidRPr="00B22D20">
        <w:rPr>
          <w:szCs w:val="22"/>
          <w:lang w:val="sr-Latn-CS"/>
        </w:rPr>
        <w:t>elj</w:t>
      </w:r>
      <w:r w:rsidR="003E0880" w:rsidRPr="00B22D20">
        <w:rPr>
          <w:szCs w:val="22"/>
          <w:lang w:val="sr-Latn-CS"/>
        </w:rPr>
        <w:t>a</w:t>
      </w:r>
      <w:r w:rsidRPr="00B22D20">
        <w:rPr>
          <w:szCs w:val="22"/>
          <w:lang w:val="sr-Latn-CS"/>
        </w:rPr>
        <w:t xml:space="preserve"> </w:t>
      </w:r>
      <w:r w:rsidR="00D77814" w:rsidRPr="00B22D20">
        <w:rPr>
          <w:szCs w:val="22"/>
          <w:lang w:val="sr-Latn-CS"/>
        </w:rPr>
        <w:t>primjen</w:t>
      </w:r>
      <w:r w:rsidRPr="00B22D20">
        <w:rPr>
          <w:szCs w:val="22"/>
          <w:lang w:val="sr-Latn-CS"/>
        </w:rPr>
        <w:t xml:space="preserve">e </w:t>
      </w:r>
      <w:r w:rsidR="00AC562A" w:rsidRPr="00B22D20">
        <w:rPr>
          <w:szCs w:val="22"/>
          <w:lang w:val="sr-Latn-CS"/>
        </w:rPr>
        <w:t>lijek</w:t>
      </w:r>
      <w:r w:rsidRPr="00B22D20">
        <w:rPr>
          <w:szCs w:val="22"/>
          <w:lang w:val="sr-Latn-CS"/>
        </w:rPr>
        <w:t>a i/ili posl</w:t>
      </w:r>
      <w:r w:rsidR="000069C1" w:rsidRPr="00B22D20">
        <w:rPr>
          <w:szCs w:val="22"/>
          <w:lang w:val="sr-Latn-CS"/>
        </w:rPr>
        <w:t>ij</w:t>
      </w:r>
      <w:r w:rsidRPr="00B22D20">
        <w:rPr>
          <w:szCs w:val="22"/>
          <w:lang w:val="sr-Latn-CS"/>
        </w:rPr>
        <w:t xml:space="preserve">e invazivne kardiološke </w:t>
      </w:r>
      <w:r w:rsidR="00D97323" w:rsidRPr="00B22D20">
        <w:rPr>
          <w:szCs w:val="22"/>
          <w:lang w:val="sr-Latn-CS"/>
        </w:rPr>
        <w:t xml:space="preserve">intervencije </w:t>
      </w:r>
      <w:r w:rsidRPr="00B22D20">
        <w:rPr>
          <w:szCs w:val="22"/>
          <w:lang w:val="sr-Latn-CS"/>
        </w:rPr>
        <w:t xml:space="preserve">ili operacije. Ne preporučuje se istovremena </w:t>
      </w:r>
      <w:r w:rsidR="00D77814" w:rsidRPr="00B22D20">
        <w:rPr>
          <w:szCs w:val="22"/>
          <w:lang w:val="sr-Latn-CS"/>
        </w:rPr>
        <w:t>primjen</w:t>
      </w:r>
      <w:r w:rsidRPr="00B22D20">
        <w:rPr>
          <w:szCs w:val="22"/>
          <w:lang w:val="sr-Latn-CS"/>
        </w:rPr>
        <w:t>a klopidogrela i</w:t>
      </w:r>
      <w:r w:rsidR="003E0880" w:rsidRPr="00B22D20">
        <w:rPr>
          <w:szCs w:val="22"/>
          <w:lang w:val="sr-Latn-CS"/>
        </w:rPr>
        <w:t xml:space="preserve"> </w:t>
      </w:r>
      <w:r w:rsidRPr="00B22D20">
        <w:rPr>
          <w:szCs w:val="22"/>
          <w:lang w:val="sr-Latn-CS"/>
        </w:rPr>
        <w:t>oralnih antikoagulan</w:t>
      </w:r>
      <w:r w:rsidR="000E59CD" w:rsidRPr="00B22D20">
        <w:rPr>
          <w:szCs w:val="22"/>
          <w:lang w:val="sr-Latn-CS"/>
        </w:rPr>
        <w:t>a</w:t>
      </w:r>
      <w:r w:rsidRPr="00B22D20">
        <w:rPr>
          <w:szCs w:val="22"/>
          <w:lang w:val="sr-Latn-CS"/>
        </w:rPr>
        <w:t>sa jer može doći do povećanja intenziteta krvarenja (</w:t>
      </w:r>
      <w:r w:rsidR="00D77814" w:rsidRPr="00B22D20">
        <w:rPr>
          <w:szCs w:val="22"/>
          <w:lang w:val="sr-Latn-CS"/>
        </w:rPr>
        <w:t>vidjet</w:t>
      </w:r>
      <w:r w:rsidRPr="00B22D20">
        <w:rPr>
          <w:szCs w:val="22"/>
          <w:lang w:val="sr-Latn-CS"/>
        </w:rPr>
        <w:t xml:space="preserve">i </w:t>
      </w:r>
      <w:r w:rsidR="006F25AC" w:rsidRPr="00B22D20">
        <w:rPr>
          <w:szCs w:val="22"/>
          <w:lang w:val="sr-Latn-CS"/>
        </w:rPr>
        <w:t>dio</w:t>
      </w:r>
      <w:r w:rsidRPr="00B22D20">
        <w:rPr>
          <w:szCs w:val="22"/>
          <w:lang w:val="sr-Latn-CS"/>
        </w:rPr>
        <w:t xml:space="preserve"> 4.5).</w:t>
      </w:r>
    </w:p>
    <w:p w14:paraId="7130DF5E" w14:textId="4E866D41" w:rsidR="00F3137E" w:rsidRPr="00B22D20" w:rsidRDefault="00F3137E">
      <w:pPr>
        <w:spacing w:before="120"/>
        <w:rPr>
          <w:szCs w:val="22"/>
          <w:lang w:val="sr-Latn-CS"/>
        </w:rPr>
      </w:pPr>
      <w:r w:rsidRPr="00B22D20">
        <w:rPr>
          <w:szCs w:val="22"/>
          <w:lang w:val="sr-Latn-CS"/>
        </w:rPr>
        <w:t>Ukoliko je kod pacijenta planirana e</w:t>
      </w:r>
      <w:r w:rsidR="00AC562A" w:rsidRPr="00B22D20">
        <w:rPr>
          <w:szCs w:val="22"/>
          <w:lang w:val="sr-Latn-CS"/>
        </w:rPr>
        <w:t>lek</w:t>
      </w:r>
      <w:r w:rsidRPr="00B22D20">
        <w:rPr>
          <w:szCs w:val="22"/>
          <w:lang w:val="sr-Latn-CS"/>
        </w:rPr>
        <w:t>tivna hirurška intervencija,</w:t>
      </w:r>
      <w:r w:rsidR="00AB5A07" w:rsidRPr="00B22D20">
        <w:rPr>
          <w:szCs w:val="22"/>
          <w:lang w:val="sr-Latn-CS"/>
        </w:rPr>
        <w:t xml:space="preserve"> pa</w:t>
      </w:r>
      <w:r w:rsidRPr="00B22D20">
        <w:rPr>
          <w:szCs w:val="22"/>
          <w:lang w:val="sr-Latn-CS"/>
        </w:rPr>
        <w:t xml:space="preserve"> antiagregacioni efekat </w:t>
      </w:r>
      <w:r w:rsidR="00AB5A07" w:rsidRPr="00B22D20">
        <w:rPr>
          <w:szCs w:val="22"/>
          <w:lang w:val="sr-Latn-CS"/>
        </w:rPr>
        <w:t>u tom trenutku</w:t>
      </w:r>
      <w:r w:rsidR="00314A41" w:rsidRPr="00B22D20">
        <w:rPr>
          <w:szCs w:val="22"/>
          <w:lang w:val="sr-Latn-CS"/>
        </w:rPr>
        <w:t xml:space="preserve"> </w:t>
      </w:r>
      <w:r w:rsidRPr="00B22D20">
        <w:rPr>
          <w:szCs w:val="22"/>
          <w:lang w:val="sr-Latn-CS"/>
        </w:rPr>
        <w:t>nije poželjan, upotrebu klopidogrela treba prekinuti 7 dana pr</w:t>
      </w:r>
      <w:r w:rsidR="00D77814" w:rsidRPr="00B22D20">
        <w:rPr>
          <w:szCs w:val="22"/>
          <w:lang w:val="sr-Latn-CS"/>
        </w:rPr>
        <w:t>ij</w:t>
      </w:r>
      <w:r w:rsidRPr="00B22D20">
        <w:rPr>
          <w:szCs w:val="22"/>
          <w:lang w:val="sr-Latn-CS"/>
        </w:rPr>
        <w:t>e intervencije. Pr</w:t>
      </w:r>
      <w:r w:rsidR="00D77814" w:rsidRPr="00B22D20">
        <w:rPr>
          <w:szCs w:val="22"/>
          <w:lang w:val="sr-Latn-CS"/>
        </w:rPr>
        <w:t>ij</w:t>
      </w:r>
      <w:r w:rsidRPr="00B22D20">
        <w:rPr>
          <w:szCs w:val="22"/>
          <w:lang w:val="sr-Latn-CS"/>
        </w:rPr>
        <w:t>e planiranja bilo koje hiru</w:t>
      </w:r>
      <w:r w:rsidR="001D0385" w:rsidRPr="00B22D20">
        <w:rPr>
          <w:szCs w:val="22"/>
          <w:lang w:val="sr-Latn-CS"/>
        </w:rPr>
        <w:t>r</w:t>
      </w:r>
      <w:r w:rsidRPr="00B22D20">
        <w:rPr>
          <w:szCs w:val="22"/>
          <w:lang w:val="sr-Latn-CS"/>
        </w:rPr>
        <w:t>ške intervencije i pr</w:t>
      </w:r>
      <w:r w:rsidR="00D77814" w:rsidRPr="00B22D20">
        <w:rPr>
          <w:szCs w:val="22"/>
          <w:lang w:val="sr-Latn-CS"/>
        </w:rPr>
        <w:t>ij</w:t>
      </w:r>
      <w:r w:rsidRPr="00B22D20">
        <w:rPr>
          <w:szCs w:val="22"/>
          <w:lang w:val="sr-Latn-CS"/>
        </w:rPr>
        <w:t xml:space="preserve">e nego što uzmu bilo koji novi </w:t>
      </w:r>
      <w:r w:rsidR="00AC562A" w:rsidRPr="00B22D20">
        <w:rPr>
          <w:szCs w:val="22"/>
          <w:lang w:val="sr-Latn-CS"/>
        </w:rPr>
        <w:t>lijek</w:t>
      </w:r>
      <w:r w:rsidRPr="00B22D20">
        <w:rPr>
          <w:szCs w:val="22"/>
          <w:lang w:val="sr-Latn-CS"/>
        </w:rPr>
        <w:t>, pacijenti treba da obav</w:t>
      </w:r>
      <w:r w:rsidR="00D77814" w:rsidRPr="00B22D20">
        <w:rPr>
          <w:szCs w:val="22"/>
          <w:lang w:val="sr-Latn-CS"/>
        </w:rPr>
        <w:t>ij</w:t>
      </w:r>
      <w:r w:rsidRPr="00B22D20">
        <w:rPr>
          <w:szCs w:val="22"/>
          <w:lang w:val="sr-Latn-CS"/>
        </w:rPr>
        <w:t xml:space="preserve">este svog </w:t>
      </w:r>
      <w:r w:rsidR="00AC562A" w:rsidRPr="00B22D20">
        <w:rPr>
          <w:szCs w:val="22"/>
          <w:lang w:val="sr-Latn-CS"/>
        </w:rPr>
        <w:t>ljekar</w:t>
      </w:r>
      <w:r w:rsidRPr="00B22D20">
        <w:rPr>
          <w:szCs w:val="22"/>
          <w:lang w:val="sr-Latn-CS"/>
        </w:rPr>
        <w:t>a ili stomatologa da uzimaju klopidogrel. Klopidogrel produžava vr</w:t>
      </w:r>
      <w:r w:rsidR="00D77814" w:rsidRPr="00B22D20">
        <w:rPr>
          <w:szCs w:val="22"/>
          <w:lang w:val="sr-Latn-CS"/>
        </w:rPr>
        <w:t>ij</w:t>
      </w:r>
      <w:r w:rsidRPr="00B22D20">
        <w:rPr>
          <w:szCs w:val="22"/>
          <w:lang w:val="sr-Latn-CS"/>
        </w:rPr>
        <w:t xml:space="preserve">eme krvarenja i mora se oprezno </w:t>
      </w:r>
      <w:r w:rsidR="00D77814" w:rsidRPr="00B22D20">
        <w:rPr>
          <w:szCs w:val="22"/>
          <w:lang w:val="sr-Latn-CS"/>
        </w:rPr>
        <w:t>prim</w:t>
      </w:r>
      <w:r w:rsidR="000E59CD" w:rsidRPr="00B22D20">
        <w:rPr>
          <w:szCs w:val="22"/>
          <w:lang w:val="sr-Latn-CS"/>
        </w:rPr>
        <w:t>i</w:t>
      </w:r>
      <w:r w:rsidR="00D77814" w:rsidRPr="00B22D20">
        <w:rPr>
          <w:szCs w:val="22"/>
          <w:lang w:val="sr-Latn-CS"/>
        </w:rPr>
        <w:t>jen</w:t>
      </w:r>
      <w:r w:rsidRPr="00B22D20">
        <w:rPr>
          <w:szCs w:val="22"/>
          <w:lang w:val="sr-Latn-CS"/>
        </w:rPr>
        <w:t>jivati kod pacijenata sa lezijama koje su sklone krvarenju (posebno gastrointestinaln</w:t>
      </w:r>
      <w:r w:rsidR="00097959" w:rsidRPr="00B22D20">
        <w:rPr>
          <w:szCs w:val="22"/>
          <w:lang w:val="sr-Latn-CS"/>
        </w:rPr>
        <w:t>e</w:t>
      </w:r>
      <w:r w:rsidRPr="00B22D20">
        <w:rPr>
          <w:szCs w:val="22"/>
          <w:lang w:val="sr-Latn-CS"/>
        </w:rPr>
        <w:t xml:space="preserve"> i intraokularn</w:t>
      </w:r>
      <w:r w:rsidR="00097959" w:rsidRPr="00B22D20">
        <w:rPr>
          <w:szCs w:val="22"/>
          <w:lang w:val="sr-Latn-CS"/>
        </w:rPr>
        <w:t>e</w:t>
      </w:r>
      <w:r w:rsidRPr="00B22D20">
        <w:rPr>
          <w:szCs w:val="22"/>
          <w:lang w:val="sr-Latn-CS"/>
        </w:rPr>
        <w:t>).</w:t>
      </w:r>
    </w:p>
    <w:p w14:paraId="7AF60A49" w14:textId="0828C824" w:rsidR="00F3137E" w:rsidRPr="00B22D20" w:rsidRDefault="00F3137E">
      <w:pPr>
        <w:spacing w:before="120"/>
        <w:rPr>
          <w:szCs w:val="22"/>
          <w:lang w:val="sr-Latn-CS"/>
        </w:rPr>
      </w:pPr>
      <w:r w:rsidRPr="00B22D20">
        <w:rPr>
          <w:szCs w:val="22"/>
          <w:lang w:val="sr-Latn-CS"/>
        </w:rPr>
        <w:t>Pacijent</w:t>
      </w:r>
      <w:r w:rsidRPr="00B22D20">
        <w:rPr>
          <w:szCs w:val="22"/>
          <w:lang w:val="sr-Latn-CS" w:eastAsia="ja-JP"/>
        </w:rPr>
        <w:t xml:space="preserve">e koji uzimaju  klopidogrel </w:t>
      </w:r>
      <w:r w:rsidRPr="00B22D20">
        <w:rPr>
          <w:szCs w:val="22"/>
          <w:lang w:val="sr-Latn-CS"/>
        </w:rPr>
        <w:t>(sam ili u kombinaciji sa AS</w:t>
      </w:r>
      <w:r w:rsidR="009E11A2" w:rsidRPr="00B22D20">
        <w:rPr>
          <w:szCs w:val="22"/>
          <w:lang w:val="sr-Latn-CS"/>
        </w:rPr>
        <w:t>K</w:t>
      </w:r>
      <w:r w:rsidRPr="00B22D20">
        <w:rPr>
          <w:szCs w:val="22"/>
          <w:lang w:val="sr-Latn-CS"/>
        </w:rPr>
        <w:t xml:space="preserve">), </w:t>
      </w:r>
      <w:r w:rsidRPr="00B22D20">
        <w:rPr>
          <w:szCs w:val="22"/>
          <w:lang w:val="sr-Latn-CS" w:eastAsia="ja-JP"/>
        </w:rPr>
        <w:t xml:space="preserve">treba upoznati da je potrebno duže </w:t>
      </w:r>
      <w:r w:rsidRPr="00B22D20">
        <w:rPr>
          <w:szCs w:val="22"/>
          <w:lang w:val="sr-Latn-CS"/>
        </w:rPr>
        <w:t xml:space="preserve"> vr</w:t>
      </w:r>
      <w:r w:rsidR="00D77814" w:rsidRPr="00B22D20">
        <w:rPr>
          <w:szCs w:val="22"/>
          <w:lang w:val="sr-Latn-CS"/>
        </w:rPr>
        <w:t>ij</w:t>
      </w:r>
      <w:r w:rsidRPr="00B22D20">
        <w:rPr>
          <w:szCs w:val="22"/>
          <w:lang w:val="sr-Latn-CS"/>
        </w:rPr>
        <w:t>eme za zaustavljanje krvarenja, nego što je uobičajeno i da o svakom neočekivanom krvarenju (u pogledu m</w:t>
      </w:r>
      <w:r w:rsidR="00D77814" w:rsidRPr="00B22D20">
        <w:rPr>
          <w:szCs w:val="22"/>
          <w:lang w:val="sr-Latn-CS"/>
        </w:rPr>
        <w:t>j</w:t>
      </w:r>
      <w:r w:rsidRPr="00B22D20">
        <w:rPr>
          <w:szCs w:val="22"/>
          <w:lang w:val="sr-Latn-CS"/>
        </w:rPr>
        <w:t xml:space="preserve">esta ili trajanja) </w:t>
      </w:r>
      <w:r w:rsidR="00DF458D" w:rsidRPr="00B22D20">
        <w:rPr>
          <w:szCs w:val="22"/>
          <w:lang w:val="sr-Latn-CS"/>
        </w:rPr>
        <w:t>obav</w:t>
      </w:r>
      <w:r w:rsidR="00D77814" w:rsidRPr="00B22D20">
        <w:rPr>
          <w:szCs w:val="22"/>
          <w:lang w:val="sr-Latn-CS"/>
        </w:rPr>
        <w:t>ij</w:t>
      </w:r>
      <w:r w:rsidR="00DF458D" w:rsidRPr="00B22D20">
        <w:rPr>
          <w:szCs w:val="22"/>
          <w:lang w:val="sr-Latn-CS"/>
        </w:rPr>
        <w:t>este svog</w:t>
      </w:r>
      <w:r w:rsidRPr="00B22D20">
        <w:rPr>
          <w:szCs w:val="22"/>
          <w:lang w:val="sr-Latn-CS"/>
        </w:rPr>
        <w:t xml:space="preserve"> </w:t>
      </w:r>
      <w:r w:rsidR="00AC562A" w:rsidRPr="00B22D20">
        <w:rPr>
          <w:szCs w:val="22"/>
          <w:lang w:val="sr-Latn-CS"/>
        </w:rPr>
        <w:t>ljekar</w:t>
      </w:r>
      <w:r w:rsidRPr="00B22D20">
        <w:rPr>
          <w:szCs w:val="22"/>
          <w:lang w:val="sr-Latn-CS"/>
        </w:rPr>
        <w:t>a.</w:t>
      </w:r>
    </w:p>
    <w:p w14:paraId="30F8091C" w14:textId="6BE2B42D" w:rsidR="001A16AC" w:rsidRPr="00B22D20" w:rsidRDefault="00BE7782">
      <w:pPr>
        <w:spacing w:before="120"/>
        <w:rPr>
          <w:szCs w:val="22"/>
          <w:lang w:val="sr-Latn-CS"/>
        </w:rPr>
      </w:pPr>
      <w:r w:rsidRPr="00B22D20">
        <w:rPr>
          <w:szCs w:val="22"/>
          <w:lang w:val="sr-Latn-CS"/>
        </w:rPr>
        <w:t xml:space="preserve">Upotreba udarne doze klopidogrela od 600 mg se ne preporučuje kod pacijenata </w:t>
      </w:r>
      <w:r w:rsidR="001D0385" w:rsidRPr="00B22D20">
        <w:rPr>
          <w:szCs w:val="22"/>
          <w:lang w:val="sr-Latn-CS"/>
        </w:rPr>
        <w:t xml:space="preserve">s akutnim koronarnim sindromom bez elevacije ST-segmenta i </w:t>
      </w:r>
      <w:r w:rsidRPr="00B22D20">
        <w:rPr>
          <w:szCs w:val="22"/>
          <w:lang w:val="sr-Latn-CS"/>
        </w:rPr>
        <w:t>starijih od 75 godina zbog povećanog rizika od krvarenja u ovoj populaciji.</w:t>
      </w:r>
    </w:p>
    <w:p w14:paraId="2BCAEBAF" w14:textId="7223CBA4" w:rsidR="00A5226F" w:rsidRPr="00C25676" w:rsidRDefault="00A5226F" w:rsidP="00B22D20">
      <w:pPr>
        <w:spacing w:before="120"/>
        <w:rPr>
          <w:szCs w:val="22"/>
          <w:lang w:val="sr-Latn-CS"/>
        </w:rPr>
      </w:pPr>
      <w:r w:rsidRPr="00C25676">
        <w:rPr>
          <w:szCs w:val="22"/>
          <w:lang w:val="sr-Latn-CS"/>
        </w:rPr>
        <w:t>Zbog ograničenih kliničkih podataka kod pacijenata starijih od 75 godina sa STEMI PKI i povećanog rizika od krvarenja, prim</w:t>
      </w:r>
      <w:r w:rsidR="006C0C2C" w:rsidRPr="00C25676">
        <w:rPr>
          <w:szCs w:val="22"/>
          <w:lang w:val="sr-Latn-CS"/>
        </w:rPr>
        <w:t>j</w:t>
      </w:r>
      <w:r w:rsidRPr="00C25676">
        <w:rPr>
          <w:szCs w:val="22"/>
          <w:lang w:val="sr-Latn-CS"/>
        </w:rPr>
        <w:t>enu udarne doze klopidogrela od 600 mg treba razmotriti tek nakon što l</w:t>
      </w:r>
      <w:r w:rsidR="006C0C2C" w:rsidRPr="00C25676">
        <w:rPr>
          <w:szCs w:val="22"/>
          <w:lang w:val="sr-Latn-CS"/>
        </w:rPr>
        <w:t>j</w:t>
      </w:r>
      <w:r w:rsidRPr="00C25676">
        <w:rPr>
          <w:szCs w:val="22"/>
          <w:lang w:val="sr-Latn-CS"/>
        </w:rPr>
        <w:t>ekar proc</w:t>
      </w:r>
      <w:r w:rsidR="006C0C2C" w:rsidRPr="00C25676">
        <w:rPr>
          <w:szCs w:val="22"/>
          <w:lang w:val="sr-Latn-CS"/>
        </w:rPr>
        <w:t>ij</w:t>
      </w:r>
      <w:r w:rsidRPr="00C25676">
        <w:rPr>
          <w:szCs w:val="22"/>
          <w:lang w:val="sr-Latn-CS"/>
        </w:rPr>
        <w:t>eni individualni rizik od krvarenja kod pacijenata.</w:t>
      </w:r>
    </w:p>
    <w:p w14:paraId="4BF59D83" w14:textId="77777777" w:rsidR="00F3137E" w:rsidRPr="00B22D20" w:rsidRDefault="00F3137E" w:rsidP="00C25676">
      <w:pPr>
        <w:spacing w:before="120"/>
        <w:rPr>
          <w:i/>
          <w:szCs w:val="22"/>
          <w:lang w:val="sr-Latn-CS"/>
        </w:rPr>
      </w:pPr>
      <w:r w:rsidRPr="00B22D20">
        <w:rPr>
          <w:i/>
          <w:szCs w:val="22"/>
          <w:lang w:val="sr-Latn-CS"/>
        </w:rPr>
        <w:t xml:space="preserve">Trombotička trombocitopenijska purpura (TTP) </w:t>
      </w:r>
    </w:p>
    <w:p w14:paraId="28A88255" w14:textId="5BF1D942" w:rsidR="00F3137E" w:rsidRPr="00B22D20" w:rsidRDefault="00F3137E">
      <w:pPr>
        <w:rPr>
          <w:szCs w:val="22"/>
          <w:lang w:val="sr-Latn-CS"/>
        </w:rPr>
      </w:pPr>
      <w:r w:rsidRPr="00B22D20">
        <w:rPr>
          <w:szCs w:val="22"/>
          <w:lang w:val="sr-Latn-CS"/>
        </w:rPr>
        <w:t>Trombotička</w:t>
      </w:r>
      <w:r w:rsidR="006709EC" w:rsidRPr="00B22D20">
        <w:rPr>
          <w:szCs w:val="22"/>
          <w:lang w:val="sr-Latn-CS"/>
        </w:rPr>
        <w:t xml:space="preserve"> </w:t>
      </w:r>
      <w:r w:rsidRPr="00B22D20">
        <w:rPr>
          <w:szCs w:val="22"/>
          <w:lang w:val="sr-Latn-CS"/>
        </w:rPr>
        <w:t>trombocitopenijska purpura (TTP) je</w:t>
      </w:r>
      <w:r w:rsidR="00925248" w:rsidRPr="00B22D20">
        <w:rPr>
          <w:szCs w:val="22"/>
          <w:lang w:val="sr-Latn-CS"/>
        </w:rPr>
        <w:t xml:space="preserve"> vrlo</w:t>
      </w:r>
      <w:r w:rsidRPr="00B22D20">
        <w:rPr>
          <w:szCs w:val="22"/>
          <w:lang w:val="sr-Latn-CS"/>
        </w:rPr>
        <w:t xml:space="preserve"> r</w:t>
      </w:r>
      <w:r w:rsidR="00D77814" w:rsidRPr="00B22D20">
        <w:rPr>
          <w:szCs w:val="22"/>
          <w:lang w:val="sr-Latn-CS"/>
        </w:rPr>
        <w:t>ij</w:t>
      </w:r>
      <w:r w:rsidRPr="00B22D20">
        <w:rPr>
          <w:szCs w:val="22"/>
          <w:lang w:val="sr-Latn-CS"/>
        </w:rPr>
        <w:t>etko registrovana kod pacijenata koji se l</w:t>
      </w:r>
      <w:r w:rsidR="001D0385" w:rsidRPr="00B22D20">
        <w:rPr>
          <w:szCs w:val="22"/>
          <w:lang w:val="sr-Latn-CS"/>
        </w:rPr>
        <w:t>i</w:t>
      </w:r>
      <w:r w:rsidR="00122D4B" w:rsidRPr="00B22D20">
        <w:rPr>
          <w:szCs w:val="22"/>
          <w:lang w:val="sr-Latn-CS"/>
        </w:rPr>
        <w:t>j</w:t>
      </w:r>
      <w:r w:rsidRPr="00B22D20">
        <w:rPr>
          <w:szCs w:val="22"/>
          <w:lang w:val="sr-Latn-CS"/>
        </w:rPr>
        <w:t>eče klopidogrelom, ponekad posl</w:t>
      </w:r>
      <w:r w:rsidR="00122D4B" w:rsidRPr="00B22D20">
        <w:rPr>
          <w:szCs w:val="22"/>
          <w:lang w:val="sr-Latn-CS"/>
        </w:rPr>
        <w:t>ij</w:t>
      </w:r>
      <w:r w:rsidRPr="00B22D20">
        <w:rPr>
          <w:szCs w:val="22"/>
          <w:lang w:val="sr-Latn-CS"/>
        </w:rPr>
        <w:t xml:space="preserve">e vrlo kratke </w:t>
      </w:r>
      <w:r w:rsidR="00D77814" w:rsidRPr="00B22D20">
        <w:rPr>
          <w:szCs w:val="22"/>
          <w:lang w:val="sr-Latn-CS"/>
        </w:rPr>
        <w:t>primjen</w:t>
      </w:r>
      <w:r w:rsidRPr="00B22D20">
        <w:rPr>
          <w:szCs w:val="22"/>
          <w:lang w:val="sr-Latn-CS"/>
        </w:rPr>
        <w:t>e. Karakteriše se trombocitopenijom i mikroangiopatskom hemolitičkom anemijom, koje su pr</w:t>
      </w:r>
      <w:r w:rsidR="00925248" w:rsidRPr="00B22D20">
        <w:rPr>
          <w:szCs w:val="22"/>
          <w:lang w:val="sr-Latn-CS"/>
        </w:rPr>
        <w:t>a</w:t>
      </w:r>
      <w:r w:rsidRPr="00B22D20">
        <w:rPr>
          <w:szCs w:val="22"/>
          <w:lang w:val="sr-Latn-CS"/>
        </w:rPr>
        <w:t>ćene neurološkim smetnjama, disfunkcijom bubrega ili</w:t>
      </w:r>
      <w:r w:rsidR="009D3FF4" w:rsidRPr="00B22D20">
        <w:rPr>
          <w:szCs w:val="22"/>
          <w:lang w:val="sr-Latn-CS"/>
        </w:rPr>
        <w:t xml:space="preserve"> povišenom t</w:t>
      </w:r>
      <w:r w:rsidR="00122D4B" w:rsidRPr="00B22D20">
        <w:rPr>
          <w:szCs w:val="22"/>
          <w:lang w:val="sr-Latn-CS"/>
        </w:rPr>
        <w:t>j</w:t>
      </w:r>
      <w:r w:rsidR="009D3FF4" w:rsidRPr="00B22D20">
        <w:rPr>
          <w:szCs w:val="22"/>
          <w:lang w:val="sr-Latn-CS"/>
        </w:rPr>
        <w:t>elesnom temperaturom</w:t>
      </w:r>
      <w:r w:rsidRPr="00B22D20">
        <w:rPr>
          <w:szCs w:val="22"/>
          <w:lang w:val="sr-Latn-CS"/>
        </w:rPr>
        <w:t>. TTP je potencijalno fatalno oboljenje i zaht</w:t>
      </w:r>
      <w:r w:rsidR="00961E90" w:rsidRPr="00B22D20">
        <w:rPr>
          <w:szCs w:val="22"/>
          <w:lang w:val="sr-Latn-CS"/>
        </w:rPr>
        <w:t>i</w:t>
      </w:r>
      <w:r w:rsidR="00122D4B" w:rsidRPr="00B22D20">
        <w:rPr>
          <w:szCs w:val="22"/>
          <w:lang w:val="sr-Latn-CS"/>
        </w:rPr>
        <w:t>j</w:t>
      </w:r>
      <w:r w:rsidRPr="00B22D20">
        <w:rPr>
          <w:szCs w:val="22"/>
          <w:lang w:val="sr-Latn-CS"/>
        </w:rPr>
        <w:t>eva hitne m</w:t>
      </w:r>
      <w:r w:rsidR="00122D4B" w:rsidRPr="00B22D20">
        <w:rPr>
          <w:szCs w:val="22"/>
          <w:lang w:val="sr-Latn-CS"/>
        </w:rPr>
        <w:t>j</w:t>
      </w:r>
      <w:r w:rsidRPr="00B22D20">
        <w:rPr>
          <w:szCs w:val="22"/>
          <w:lang w:val="sr-Latn-CS"/>
        </w:rPr>
        <w:t>ere l</w:t>
      </w:r>
      <w:r w:rsidR="001D0385" w:rsidRPr="00B22D20">
        <w:rPr>
          <w:szCs w:val="22"/>
          <w:lang w:val="sr-Latn-CS"/>
        </w:rPr>
        <w:t>i</w:t>
      </w:r>
      <w:r w:rsidR="00122D4B" w:rsidRPr="00B22D20">
        <w:rPr>
          <w:szCs w:val="22"/>
          <w:lang w:val="sr-Latn-CS"/>
        </w:rPr>
        <w:t>j</w:t>
      </w:r>
      <w:r w:rsidRPr="00B22D20">
        <w:rPr>
          <w:szCs w:val="22"/>
          <w:lang w:val="sr-Latn-CS"/>
        </w:rPr>
        <w:t>ečenja, uključujući plazmaferezu.</w:t>
      </w:r>
    </w:p>
    <w:p w14:paraId="639CC541" w14:textId="77777777" w:rsidR="00F3137E" w:rsidRPr="00B22D20" w:rsidRDefault="00F3137E">
      <w:pPr>
        <w:spacing w:before="120"/>
        <w:rPr>
          <w:i/>
          <w:szCs w:val="22"/>
          <w:lang w:val="sr-Latn-CS"/>
        </w:rPr>
      </w:pPr>
      <w:r w:rsidRPr="00B22D20">
        <w:rPr>
          <w:i/>
          <w:szCs w:val="22"/>
          <w:lang w:val="sr-Latn-CS"/>
        </w:rPr>
        <w:t>Stečena hemofilija</w:t>
      </w:r>
    </w:p>
    <w:p w14:paraId="1048284E" w14:textId="7E6C6199" w:rsidR="00F3137E" w:rsidRPr="00B22D20" w:rsidRDefault="00F3137E">
      <w:pPr>
        <w:rPr>
          <w:szCs w:val="22"/>
          <w:lang w:val="hr-HR"/>
        </w:rPr>
      </w:pPr>
      <w:r w:rsidRPr="00B22D20">
        <w:rPr>
          <w:szCs w:val="22"/>
          <w:lang w:val="sr-Latn-CS"/>
        </w:rPr>
        <w:t xml:space="preserve">Pri </w:t>
      </w:r>
      <w:r w:rsidR="00D77814" w:rsidRPr="00B22D20">
        <w:rPr>
          <w:szCs w:val="22"/>
          <w:lang w:val="sr-Latn-CS"/>
        </w:rPr>
        <w:t>primjen</w:t>
      </w:r>
      <w:r w:rsidRPr="00B22D20">
        <w:rPr>
          <w:szCs w:val="22"/>
          <w:lang w:val="sr-Latn-CS"/>
        </w:rPr>
        <w:t>i klopidogrela je zab</w:t>
      </w:r>
      <w:r w:rsidR="00122D4B" w:rsidRPr="00B22D20">
        <w:rPr>
          <w:szCs w:val="22"/>
          <w:lang w:val="sr-Latn-CS"/>
        </w:rPr>
        <w:t>ilj</w:t>
      </w:r>
      <w:r w:rsidRPr="00B22D20">
        <w:rPr>
          <w:szCs w:val="22"/>
          <w:lang w:val="sr-Latn-CS"/>
        </w:rPr>
        <w:t>ežena pojava stečene hemofilije.</w:t>
      </w:r>
      <w:r w:rsidRPr="00B22D20">
        <w:rPr>
          <w:szCs w:val="22"/>
          <w:lang w:val="hr-HR"/>
        </w:rPr>
        <w:t xml:space="preserve"> U slučajevima kada je potvrđeno izolovano produženje aktiviranog parcijalnog tromboplastinskog vremena (</w:t>
      </w:r>
      <w:r w:rsidR="00E64866" w:rsidRPr="00B22D20">
        <w:rPr>
          <w:szCs w:val="22"/>
        </w:rPr>
        <w:t xml:space="preserve">engl. </w:t>
      </w:r>
      <w:proofErr w:type="gramStart"/>
      <w:r w:rsidR="00DF0EEC" w:rsidRPr="00B22D20">
        <w:rPr>
          <w:rFonts w:eastAsia="TimesNewRomanPSMT"/>
          <w:i/>
          <w:szCs w:val="22"/>
        </w:rPr>
        <w:t>activated</w:t>
      </w:r>
      <w:proofErr w:type="gramEnd"/>
      <w:r w:rsidR="00DF0EEC" w:rsidRPr="00B22D20">
        <w:rPr>
          <w:rFonts w:eastAsia="TimesNewRomanPSMT"/>
          <w:i/>
          <w:szCs w:val="22"/>
        </w:rPr>
        <w:t xml:space="preserve"> Partial Thromboplastin</w:t>
      </w:r>
      <w:r w:rsidR="00E64866" w:rsidRPr="00B22D20">
        <w:rPr>
          <w:rFonts w:eastAsia="TimesNewRomanPSMT"/>
          <w:szCs w:val="22"/>
        </w:rPr>
        <w:t xml:space="preserve"> </w:t>
      </w:r>
      <w:r w:rsidR="00DF0EEC" w:rsidRPr="00B22D20">
        <w:rPr>
          <w:rFonts w:eastAsia="TimesNewRomanPSMT"/>
          <w:i/>
          <w:szCs w:val="22"/>
        </w:rPr>
        <w:t>Time, aPTT</w:t>
      </w:r>
      <w:r w:rsidRPr="00B22D20">
        <w:rPr>
          <w:szCs w:val="22"/>
          <w:lang w:val="hr-HR"/>
        </w:rPr>
        <w:t>), sa krvarenjem ili bez njega, treba uzeti u obzir mogućnost stečene hemofilije. Pacijente sa potvrđenom dijagnozom stečene hemofilije moraju l</w:t>
      </w:r>
      <w:r w:rsidR="001D0385" w:rsidRPr="00B22D20">
        <w:rPr>
          <w:szCs w:val="22"/>
          <w:lang w:val="hr-HR"/>
        </w:rPr>
        <w:t>i</w:t>
      </w:r>
      <w:r w:rsidR="00122D4B" w:rsidRPr="00B22D20">
        <w:rPr>
          <w:szCs w:val="22"/>
          <w:lang w:val="hr-HR"/>
        </w:rPr>
        <w:t>j</w:t>
      </w:r>
      <w:r w:rsidRPr="00B22D20">
        <w:rPr>
          <w:szCs w:val="22"/>
          <w:lang w:val="hr-HR"/>
        </w:rPr>
        <w:t xml:space="preserve">ečiti </w:t>
      </w:r>
      <w:r w:rsidR="00AC562A" w:rsidRPr="00B22D20">
        <w:rPr>
          <w:szCs w:val="22"/>
          <w:lang w:val="hr-HR"/>
        </w:rPr>
        <w:t>ljekar</w:t>
      </w:r>
      <w:r w:rsidRPr="00B22D20">
        <w:rPr>
          <w:szCs w:val="22"/>
          <w:lang w:val="hr-HR"/>
        </w:rPr>
        <w:t xml:space="preserve">i specijalisti, a </w:t>
      </w:r>
      <w:r w:rsidR="00D77814" w:rsidRPr="00B22D20">
        <w:rPr>
          <w:szCs w:val="22"/>
          <w:lang w:val="hr-HR"/>
        </w:rPr>
        <w:t>primjen</w:t>
      </w:r>
      <w:r w:rsidRPr="00B22D20">
        <w:rPr>
          <w:szCs w:val="22"/>
          <w:lang w:val="hr-HR"/>
        </w:rPr>
        <w:t>a klopidogrela se mora obustaviti.</w:t>
      </w:r>
    </w:p>
    <w:p w14:paraId="3B3EFC12" w14:textId="07CED265" w:rsidR="00F3137E" w:rsidRPr="00B22D20" w:rsidRDefault="00C3487E">
      <w:pPr>
        <w:spacing w:before="120"/>
        <w:rPr>
          <w:i/>
          <w:szCs w:val="22"/>
          <w:lang w:val="sr-Latn-CS"/>
        </w:rPr>
      </w:pPr>
      <w:r w:rsidRPr="00B22D20">
        <w:rPr>
          <w:i/>
          <w:szCs w:val="22"/>
          <w:lang w:val="sr-Latn-CS"/>
        </w:rPr>
        <w:t>Nedavni</w:t>
      </w:r>
      <w:r w:rsidR="00F3137E" w:rsidRPr="00B22D20">
        <w:rPr>
          <w:i/>
          <w:szCs w:val="22"/>
          <w:lang w:val="sr-Latn-CS"/>
        </w:rPr>
        <w:t xml:space="preserve"> ishemijski moždani udar</w:t>
      </w:r>
    </w:p>
    <w:p w14:paraId="50A8EC13" w14:textId="48B1D322" w:rsidR="00227CBA" w:rsidRPr="00B22D20" w:rsidRDefault="006709EC">
      <w:pPr>
        <w:spacing w:before="120"/>
        <w:rPr>
          <w:szCs w:val="22"/>
          <w:lang w:val="sr-Latn-CS"/>
        </w:rPr>
      </w:pPr>
      <w:r w:rsidRPr="00B22D20">
        <w:rPr>
          <w:szCs w:val="22"/>
          <w:lang w:val="sr-Latn-CS"/>
        </w:rPr>
        <w:t xml:space="preserve">• </w:t>
      </w:r>
      <w:r w:rsidRPr="00B22D20">
        <w:rPr>
          <w:i/>
          <w:iCs/>
          <w:szCs w:val="22"/>
          <w:lang w:val="sr-Latn-CS"/>
        </w:rPr>
        <w:t>Inicijalna terapija</w:t>
      </w:r>
    </w:p>
    <w:p w14:paraId="55E826B2" w14:textId="2319C1CA" w:rsidR="007A418E" w:rsidRPr="00B22D20" w:rsidRDefault="00227CBA">
      <w:pPr>
        <w:pStyle w:val="ListParagraph"/>
        <w:numPr>
          <w:ilvl w:val="0"/>
          <w:numId w:val="27"/>
        </w:numPr>
        <w:spacing w:before="120"/>
        <w:rPr>
          <w:szCs w:val="22"/>
          <w:lang w:val="sr-Latn-CS"/>
        </w:rPr>
      </w:pPr>
      <w:r w:rsidRPr="00B22D20">
        <w:rPr>
          <w:szCs w:val="22"/>
          <w:lang w:val="sr-Latn-CS"/>
        </w:rPr>
        <w:t xml:space="preserve">Kod pacijenata sa </w:t>
      </w:r>
      <w:r w:rsidR="00597727" w:rsidRPr="00B22D20">
        <w:rPr>
          <w:szCs w:val="22"/>
          <w:lang w:val="sr-Latn-CS"/>
        </w:rPr>
        <w:t xml:space="preserve">akutnim blagim </w:t>
      </w:r>
      <w:r w:rsidRPr="00B22D20">
        <w:rPr>
          <w:szCs w:val="22"/>
          <w:lang w:val="sr-Latn-CS"/>
        </w:rPr>
        <w:t xml:space="preserve">IMA ili </w:t>
      </w:r>
      <w:r w:rsidR="006519F6" w:rsidRPr="00B22D20">
        <w:rPr>
          <w:szCs w:val="22"/>
          <w:lang w:val="sr-Latn-CS"/>
        </w:rPr>
        <w:t xml:space="preserve">sa </w:t>
      </w:r>
      <w:r w:rsidR="00314A41" w:rsidRPr="00B22D20">
        <w:rPr>
          <w:szCs w:val="22"/>
          <w:lang w:val="sr-Latn-CS"/>
        </w:rPr>
        <w:t xml:space="preserve">umjerenim do visokorizičnim </w:t>
      </w:r>
      <w:r w:rsidRPr="00B22D20">
        <w:rPr>
          <w:szCs w:val="22"/>
          <w:lang w:val="sr-Latn-CS"/>
        </w:rPr>
        <w:t xml:space="preserve">TIA, potrebno je započeti dualnu </w:t>
      </w:r>
      <w:r w:rsidR="00314A41" w:rsidRPr="00B22D20">
        <w:rPr>
          <w:szCs w:val="22"/>
          <w:lang w:val="sr-Latn-CS"/>
        </w:rPr>
        <w:t>anti</w:t>
      </w:r>
      <w:r w:rsidR="006709EC" w:rsidRPr="00B22D20">
        <w:rPr>
          <w:szCs w:val="22"/>
          <w:lang w:val="sr-Latn-CS"/>
        </w:rPr>
        <w:t xml:space="preserve">agregacionu </w:t>
      </w:r>
      <w:r w:rsidRPr="00B22D20">
        <w:rPr>
          <w:szCs w:val="22"/>
          <w:lang w:val="sr-Latn-CS"/>
        </w:rPr>
        <w:t xml:space="preserve">terapiju (klopidogrel i ASK) najkasnije 24 sata nakon </w:t>
      </w:r>
      <w:r w:rsidR="00597727" w:rsidRPr="00B22D20">
        <w:rPr>
          <w:szCs w:val="22"/>
          <w:lang w:val="sr-Latn-CS"/>
        </w:rPr>
        <w:t xml:space="preserve">nastanka </w:t>
      </w:r>
      <w:r w:rsidRPr="00B22D20">
        <w:rPr>
          <w:szCs w:val="22"/>
          <w:lang w:val="sr-Latn-CS"/>
        </w:rPr>
        <w:t xml:space="preserve">događaja. </w:t>
      </w:r>
    </w:p>
    <w:p w14:paraId="63C179B6" w14:textId="69B3DE18" w:rsidR="00227CBA" w:rsidRPr="00B22D20" w:rsidRDefault="00227CBA">
      <w:pPr>
        <w:pStyle w:val="ListParagraph"/>
        <w:numPr>
          <w:ilvl w:val="0"/>
          <w:numId w:val="27"/>
        </w:numPr>
        <w:spacing w:before="120"/>
        <w:rPr>
          <w:szCs w:val="22"/>
          <w:lang w:val="sr-Latn-CS"/>
        </w:rPr>
      </w:pPr>
      <w:r w:rsidRPr="00B22D20">
        <w:rPr>
          <w:szCs w:val="22"/>
          <w:lang w:val="sr-Latn-CS"/>
        </w:rPr>
        <w:t>Nema podataka o koristi i riziku</w:t>
      </w:r>
      <w:r w:rsidR="00597727" w:rsidRPr="00B22D20">
        <w:rPr>
          <w:szCs w:val="22"/>
          <w:lang w:val="sr-Latn-CS"/>
        </w:rPr>
        <w:t xml:space="preserve"> od primjene</w:t>
      </w:r>
      <w:r w:rsidRPr="00B22D20">
        <w:rPr>
          <w:szCs w:val="22"/>
          <w:lang w:val="sr-Latn-CS"/>
        </w:rPr>
        <w:t xml:space="preserve"> kratkoročne dualne antiagregacione </w:t>
      </w:r>
      <w:r w:rsidR="00597727" w:rsidRPr="00B22D20">
        <w:rPr>
          <w:szCs w:val="22"/>
          <w:lang w:val="sr-Latn-CS"/>
        </w:rPr>
        <w:t>terapije kod pacijenata</w:t>
      </w:r>
      <w:r w:rsidRPr="00B22D20">
        <w:rPr>
          <w:szCs w:val="22"/>
          <w:lang w:val="sr-Latn-CS"/>
        </w:rPr>
        <w:t xml:space="preserve"> s</w:t>
      </w:r>
      <w:r w:rsidR="00597727" w:rsidRPr="00B22D20">
        <w:rPr>
          <w:szCs w:val="22"/>
          <w:lang w:val="sr-Latn-CS"/>
        </w:rPr>
        <w:t xml:space="preserve">a akutnim blagim IMA </w:t>
      </w:r>
      <w:r w:rsidR="006519F6" w:rsidRPr="00B22D20">
        <w:rPr>
          <w:szCs w:val="22"/>
          <w:lang w:val="sr-Latn-CS"/>
        </w:rPr>
        <w:t xml:space="preserve">ili </w:t>
      </w:r>
      <w:r w:rsidR="00314A41" w:rsidRPr="00B22D20">
        <w:rPr>
          <w:szCs w:val="22"/>
          <w:lang w:val="sr-Latn-CS"/>
        </w:rPr>
        <w:t xml:space="preserve">umjerenim do visokorizičnim </w:t>
      </w:r>
      <w:r w:rsidR="00597727" w:rsidRPr="00B22D20">
        <w:rPr>
          <w:szCs w:val="22"/>
          <w:lang w:val="sr-Latn-CS"/>
        </w:rPr>
        <w:t>TIA, sa (netraumatskim) intrakranijalnim krvarenjem u anamnezi.</w:t>
      </w:r>
      <w:r w:rsidRPr="00B22D20">
        <w:rPr>
          <w:szCs w:val="22"/>
          <w:lang w:val="sr-Latn-CS"/>
        </w:rPr>
        <w:t xml:space="preserve"> </w:t>
      </w:r>
    </w:p>
    <w:p w14:paraId="10671C27" w14:textId="666703F2" w:rsidR="00227CBA" w:rsidRPr="00B22D20" w:rsidRDefault="00597727">
      <w:pPr>
        <w:pStyle w:val="ListParagraph"/>
        <w:numPr>
          <w:ilvl w:val="0"/>
          <w:numId w:val="27"/>
        </w:numPr>
        <w:spacing w:before="120"/>
        <w:rPr>
          <w:szCs w:val="22"/>
          <w:lang w:val="sr-Latn-CS"/>
        </w:rPr>
      </w:pPr>
      <w:r w:rsidRPr="00B22D20">
        <w:rPr>
          <w:szCs w:val="22"/>
          <w:lang w:val="sr-Latn-CS"/>
        </w:rPr>
        <w:t xml:space="preserve">Kod pacijenata </w:t>
      </w:r>
      <w:r w:rsidR="006D76E0" w:rsidRPr="00B22D20">
        <w:rPr>
          <w:szCs w:val="22"/>
          <w:lang w:val="sr-Latn-CS"/>
        </w:rPr>
        <w:t xml:space="preserve">sa </w:t>
      </w:r>
      <w:r w:rsidR="006D76E0" w:rsidRPr="00B22D20">
        <w:rPr>
          <w:i/>
          <w:szCs w:val="22"/>
          <w:lang w:val="sr-Latn-CS"/>
        </w:rPr>
        <w:t>non – minor</w:t>
      </w:r>
      <w:r w:rsidR="006D76E0" w:rsidRPr="00B22D20">
        <w:rPr>
          <w:szCs w:val="22"/>
          <w:lang w:val="sr-Latn-CS"/>
        </w:rPr>
        <w:t xml:space="preserve"> ishemijskim moždanim udarom </w:t>
      </w:r>
      <w:r w:rsidRPr="00B22D20">
        <w:rPr>
          <w:szCs w:val="22"/>
          <w:lang w:val="sr-Latn-CS"/>
        </w:rPr>
        <w:t>monoterapiju klopidogrelom treba</w:t>
      </w:r>
      <w:r w:rsidR="00227CBA" w:rsidRPr="00B22D20">
        <w:rPr>
          <w:szCs w:val="22"/>
          <w:lang w:val="sr-Latn-CS"/>
        </w:rPr>
        <w:t xml:space="preserve"> započeti tek nakon prvih 7 dana od </w:t>
      </w:r>
      <w:r w:rsidRPr="00B22D20">
        <w:rPr>
          <w:szCs w:val="22"/>
          <w:lang w:val="sr-Latn-CS"/>
        </w:rPr>
        <w:t xml:space="preserve">nastanka </w:t>
      </w:r>
      <w:r w:rsidR="00227CBA" w:rsidRPr="00B22D20">
        <w:rPr>
          <w:szCs w:val="22"/>
          <w:lang w:val="sr-Latn-CS"/>
        </w:rPr>
        <w:t>događaja.</w:t>
      </w:r>
    </w:p>
    <w:p w14:paraId="5EAFC042" w14:textId="3F6E788C" w:rsidR="00227CBA" w:rsidRPr="00B22D20" w:rsidRDefault="00597727">
      <w:pPr>
        <w:spacing w:before="120"/>
        <w:rPr>
          <w:szCs w:val="22"/>
          <w:lang w:val="sr-Latn-CS"/>
        </w:rPr>
      </w:pPr>
      <w:r w:rsidRPr="00B22D20">
        <w:rPr>
          <w:szCs w:val="22"/>
          <w:lang w:val="sr-Latn-CS"/>
        </w:rPr>
        <w:t xml:space="preserve">• </w:t>
      </w:r>
      <w:r w:rsidRPr="00B22D20">
        <w:rPr>
          <w:i/>
          <w:iCs/>
          <w:szCs w:val="22"/>
          <w:lang w:val="sr-Latn-CS"/>
        </w:rPr>
        <w:t>Pacijenti</w:t>
      </w:r>
      <w:r w:rsidR="00227CBA" w:rsidRPr="00B22D20">
        <w:rPr>
          <w:i/>
          <w:iCs/>
          <w:szCs w:val="22"/>
          <w:lang w:val="sr-Latn-CS"/>
        </w:rPr>
        <w:t xml:space="preserve"> s</w:t>
      </w:r>
      <w:r w:rsidRPr="00B22D20">
        <w:rPr>
          <w:i/>
          <w:iCs/>
          <w:szCs w:val="22"/>
          <w:lang w:val="sr-Latn-CS"/>
        </w:rPr>
        <w:t>a</w:t>
      </w:r>
      <w:r w:rsidR="00227CBA" w:rsidRPr="00B22D20">
        <w:rPr>
          <w:i/>
          <w:iCs/>
          <w:szCs w:val="22"/>
          <w:lang w:val="sr-Latn-CS"/>
        </w:rPr>
        <w:t xml:space="preserve"> non-minor ishemijskim moždanim udarom (NIHSS &gt;</w:t>
      </w:r>
      <w:r w:rsidR="00925248" w:rsidRPr="00B22D20">
        <w:rPr>
          <w:i/>
          <w:iCs/>
          <w:szCs w:val="22"/>
          <w:lang w:val="sr-Latn-CS"/>
        </w:rPr>
        <w:t xml:space="preserve"> </w:t>
      </w:r>
      <w:r w:rsidR="00227CBA" w:rsidRPr="00B22D20">
        <w:rPr>
          <w:i/>
          <w:iCs/>
          <w:szCs w:val="22"/>
          <w:lang w:val="sr-Latn-CS"/>
        </w:rPr>
        <w:t>4)</w:t>
      </w:r>
    </w:p>
    <w:p w14:paraId="3E11032D" w14:textId="702081FC" w:rsidR="00597727" w:rsidRPr="00B22D20" w:rsidRDefault="00597727">
      <w:pPr>
        <w:spacing w:before="120"/>
        <w:rPr>
          <w:szCs w:val="22"/>
          <w:lang w:val="sr-Latn-CS"/>
        </w:rPr>
      </w:pPr>
      <w:r w:rsidRPr="00B22D20">
        <w:rPr>
          <w:szCs w:val="22"/>
          <w:lang w:val="sr-Latn-CS"/>
        </w:rPr>
        <w:t>Zbog nedostatka podataka, upotreba dualne antiagregacione terapije (klopidogrel i ASK) se ne preporučuje (vidjeti dio 4.1).</w:t>
      </w:r>
    </w:p>
    <w:p w14:paraId="2F1D1FDA" w14:textId="7FBE5304" w:rsidR="00227CBA" w:rsidRPr="00B22D20" w:rsidRDefault="00597727">
      <w:pPr>
        <w:spacing w:before="120"/>
        <w:rPr>
          <w:szCs w:val="22"/>
          <w:lang w:val="sr-Latn-CS"/>
        </w:rPr>
      </w:pPr>
      <w:r w:rsidRPr="00B22D20">
        <w:rPr>
          <w:szCs w:val="22"/>
          <w:lang w:val="sr-Latn-CS"/>
        </w:rPr>
        <w:t xml:space="preserve">• </w:t>
      </w:r>
      <w:r w:rsidRPr="00B22D20">
        <w:rPr>
          <w:i/>
          <w:iCs/>
          <w:szCs w:val="22"/>
          <w:lang w:val="sr-Latn-CS"/>
        </w:rPr>
        <w:t>Nedavni blagi</w:t>
      </w:r>
      <w:r w:rsidR="00227CBA" w:rsidRPr="00B22D20">
        <w:rPr>
          <w:i/>
          <w:iCs/>
          <w:szCs w:val="22"/>
          <w:lang w:val="sr-Latn-CS"/>
        </w:rPr>
        <w:t xml:space="preserve"> </w:t>
      </w:r>
      <w:r w:rsidR="006519F6" w:rsidRPr="00B22D20">
        <w:rPr>
          <w:i/>
          <w:iCs/>
          <w:szCs w:val="22"/>
          <w:lang w:val="sr-Latn-CS"/>
        </w:rPr>
        <w:t xml:space="preserve">IMA </w:t>
      </w:r>
      <w:r w:rsidR="00227CBA" w:rsidRPr="00B22D20">
        <w:rPr>
          <w:i/>
          <w:iCs/>
          <w:szCs w:val="22"/>
          <w:lang w:val="sr-Latn-CS"/>
        </w:rPr>
        <w:t xml:space="preserve">ili </w:t>
      </w:r>
      <w:r w:rsidR="0096790D" w:rsidRPr="00B22D20">
        <w:rPr>
          <w:i/>
          <w:iCs/>
          <w:szCs w:val="22"/>
          <w:lang w:val="sr-Latn-CS"/>
        </w:rPr>
        <w:t xml:space="preserve">umjeren do visokorizičan </w:t>
      </w:r>
      <w:r w:rsidR="006519F6" w:rsidRPr="00B22D20">
        <w:rPr>
          <w:i/>
          <w:iCs/>
          <w:szCs w:val="22"/>
          <w:lang w:val="sr-Latn-CS"/>
        </w:rPr>
        <w:t>TIA kod pacijenata</w:t>
      </w:r>
      <w:r w:rsidR="00227CBA" w:rsidRPr="00B22D20">
        <w:rPr>
          <w:i/>
          <w:iCs/>
          <w:szCs w:val="22"/>
          <w:lang w:val="sr-Latn-CS"/>
        </w:rPr>
        <w:t xml:space="preserve"> kod kojih je </w:t>
      </w:r>
      <w:r w:rsidR="006519F6" w:rsidRPr="00B22D20">
        <w:rPr>
          <w:i/>
          <w:iCs/>
          <w:szCs w:val="22"/>
          <w:lang w:val="sr-Latn-CS"/>
        </w:rPr>
        <w:t>indikovana ili planirana intervencija</w:t>
      </w:r>
    </w:p>
    <w:p w14:paraId="3213603B" w14:textId="49750B40" w:rsidR="00227CBA" w:rsidRPr="00B22D20" w:rsidRDefault="00227CBA">
      <w:pPr>
        <w:rPr>
          <w:szCs w:val="22"/>
          <w:lang w:val="sr-Latn-CS"/>
        </w:rPr>
      </w:pPr>
      <w:r w:rsidRPr="00B22D20">
        <w:rPr>
          <w:szCs w:val="22"/>
          <w:lang w:val="sr-Latn-CS"/>
        </w:rPr>
        <w:t xml:space="preserve">Nema podataka koji </w:t>
      </w:r>
      <w:r w:rsidR="006519F6" w:rsidRPr="00B22D20">
        <w:rPr>
          <w:szCs w:val="22"/>
          <w:lang w:val="sr-Latn-CS"/>
        </w:rPr>
        <w:t xml:space="preserve">bi opravdali </w:t>
      </w:r>
      <w:r w:rsidRPr="00B22D20">
        <w:rPr>
          <w:szCs w:val="22"/>
          <w:lang w:val="sr-Latn-CS"/>
        </w:rPr>
        <w:t xml:space="preserve">primjenu </w:t>
      </w:r>
      <w:r w:rsidR="007A418E" w:rsidRPr="00B22D20">
        <w:rPr>
          <w:szCs w:val="22"/>
          <w:lang w:val="sr-Latn-CS"/>
        </w:rPr>
        <w:t>dualne antiagregacione</w:t>
      </w:r>
      <w:r w:rsidR="006519F6" w:rsidRPr="00B22D20">
        <w:rPr>
          <w:szCs w:val="22"/>
          <w:lang w:val="sr-Latn-CS"/>
        </w:rPr>
        <w:t xml:space="preserve"> </w:t>
      </w:r>
      <w:r w:rsidRPr="00B22D20">
        <w:rPr>
          <w:szCs w:val="22"/>
          <w:lang w:val="sr-Latn-CS"/>
        </w:rPr>
        <w:t xml:space="preserve">terapije </w:t>
      </w:r>
      <w:r w:rsidR="006519F6" w:rsidRPr="00B22D20">
        <w:rPr>
          <w:szCs w:val="22"/>
          <w:lang w:val="sr-Latn-CS"/>
        </w:rPr>
        <w:t xml:space="preserve">kod pacijenata </w:t>
      </w:r>
      <w:r w:rsidR="007A418E" w:rsidRPr="00B22D20">
        <w:rPr>
          <w:szCs w:val="22"/>
          <w:lang w:val="sr-Latn-CS"/>
        </w:rPr>
        <w:t xml:space="preserve">kod kojih je indikovano </w:t>
      </w:r>
      <w:r w:rsidRPr="00B22D20">
        <w:rPr>
          <w:szCs w:val="22"/>
          <w:lang w:val="sr-Latn-CS"/>
        </w:rPr>
        <w:t>liječenje karotidnom endarterektomijom ili intravask</w:t>
      </w:r>
      <w:r w:rsidR="007A418E" w:rsidRPr="00B22D20">
        <w:rPr>
          <w:szCs w:val="22"/>
          <w:lang w:val="sr-Latn-CS"/>
        </w:rPr>
        <w:t>ularnom trombektomijom, kao ni kod pacijenata</w:t>
      </w:r>
      <w:r w:rsidRPr="00B22D20">
        <w:rPr>
          <w:szCs w:val="22"/>
          <w:lang w:val="sr-Latn-CS"/>
        </w:rPr>
        <w:t xml:space="preserve"> kod kojih je planiran</w:t>
      </w:r>
      <w:r w:rsidR="003E5B82" w:rsidRPr="00B22D20">
        <w:rPr>
          <w:szCs w:val="22"/>
          <w:lang w:val="sr-Latn-CS"/>
        </w:rPr>
        <w:t>a tromboliza ili antikoagulantna</w:t>
      </w:r>
      <w:r w:rsidR="007A418E" w:rsidRPr="00B22D20">
        <w:rPr>
          <w:szCs w:val="22"/>
          <w:lang w:val="sr-Latn-CS"/>
        </w:rPr>
        <w:t xml:space="preserve"> </w:t>
      </w:r>
      <w:r w:rsidRPr="00B22D20">
        <w:rPr>
          <w:szCs w:val="22"/>
          <w:lang w:val="sr-Latn-CS"/>
        </w:rPr>
        <w:t xml:space="preserve">terapija. Ne preporučuje se </w:t>
      </w:r>
      <w:r w:rsidR="007A418E" w:rsidRPr="00B22D20">
        <w:rPr>
          <w:szCs w:val="22"/>
          <w:lang w:val="sr-Latn-CS"/>
        </w:rPr>
        <w:t>dualna antiagregaciona</w:t>
      </w:r>
      <w:r w:rsidRPr="00B22D20">
        <w:rPr>
          <w:szCs w:val="22"/>
          <w:lang w:val="sr-Latn-CS"/>
        </w:rPr>
        <w:t xml:space="preserve"> terapija u ovim situacijama.</w:t>
      </w:r>
    </w:p>
    <w:p w14:paraId="48340576" w14:textId="77777777" w:rsidR="00F3137E" w:rsidRPr="00B22D20" w:rsidRDefault="00F3137E">
      <w:pPr>
        <w:spacing w:before="120"/>
        <w:rPr>
          <w:i/>
          <w:szCs w:val="22"/>
          <w:lang w:val="sr-Latn-CS"/>
        </w:rPr>
      </w:pPr>
      <w:r w:rsidRPr="00B22D20">
        <w:rPr>
          <w:i/>
          <w:szCs w:val="22"/>
          <w:lang w:val="sr-Latn-CS"/>
        </w:rPr>
        <w:t>Citohrom P450 2C19 (CYP 2C19)</w:t>
      </w:r>
    </w:p>
    <w:p w14:paraId="0EC252D1" w14:textId="61D09993" w:rsidR="00F3137E" w:rsidRPr="00B22D20" w:rsidRDefault="00F3137E">
      <w:pPr>
        <w:rPr>
          <w:color w:val="0070C0"/>
          <w:szCs w:val="22"/>
          <w:lang w:val="sr-Latn-CS"/>
        </w:rPr>
      </w:pPr>
      <w:r w:rsidRPr="00B22D20">
        <w:rPr>
          <w:szCs w:val="22"/>
          <w:lang w:val="sr-Latn-CS"/>
        </w:rPr>
        <w:lastRenderedPageBreak/>
        <w:t>Farmakogenetika:</w:t>
      </w:r>
      <w:r w:rsidRPr="00B22D20">
        <w:rPr>
          <w:color w:val="3366FF"/>
          <w:szCs w:val="22"/>
          <w:lang w:val="sr-Latn-CS"/>
        </w:rPr>
        <w:t xml:space="preserve"> </w:t>
      </w:r>
      <w:r w:rsidRPr="00B22D20">
        <w:rPr>
          <w:szCs w:val="22"/>
          <w:lang w:val="sr-Latn-CS"/>
        </w:rPr>
        <w:t xml:space="preserve">Kod pacijenata koji </w:t>
      </w:r>
      <w:r w:rsidR="001D0385" w:rsidRPr="00B22D20">
        <w:rPr>
          <w:szCs w:val="22"/>
          <w:lang w:val="sr-Latn-CS"/>
        </w:rPr>
        <w:t xml:space="preserve">slabo </w:t>
      </w:r>
      <w:r w:rsidRPr="00B22D20">
        <w:rPr>
          <w:rFonts w:eastAsia="TimesNewRoman"/>
          <w:bCs/>
          <w:szCs w:val="22"/>
          <w:lang w:val="sr-Latn-CS"/>
        </w:rPr>
        <w:t xml:space="preserve">metabolišu </w:t>
      </w:r>
      <w:r w:rsidR="00122D4B" w:rsidRPr="00B22D20">
        <w:rPr>
          <w:rFonts w:eastAsia="TimesNewRoman"/>
          <w:bCs/>
          <w:szCs w:val="22"/>
          <w:lang w:val="sr-Latn-CS"/>
        </w:rPr>
        <w:t>ljekov</w:t>
      </w:r>
      <w:r w:rsidRPr="00B22D20">
        <w:rPr>
          <w:rFonts w:eastAsia="TimesNewRoman"/>
          <w:bCs/>
          <w:szCs w:val="22"/>
          <w:lang w:val="sr-Latn-CS"/>
        </w:rPr>
        <w:t>e preko izoenzima CYP2C19 (</w:t>
      </w:r>
      <w:r w:rsidRPr="00B22D20">
        <w:rPr>
          <w:rFonts w:eastAsia="TimesNewRoman"/>
          <w:bCs/>
          <w:i/>
          <w:szCs w:val="22"/>
          <w:lang w:val="sr-Latn-CS"/>
        </w:rPr>
        <w:t>poor CYP2C19 metabolisers</w:t>
      </w:r>
      <w:r w:rsidRPr="00B22D20">
        <w:rPr>
          <w:rFonts w:eastAsia="TimesNewRoman"/>
          <w:bCs/>
          <w:szCs w:val="22"/>
          <w:lang w:val="sr-Latn-CS"/>
        </w:rPr>
        <w:t>)</w:t>
      </w:r>
      <w:r w:rsidRPr="00B22D20">
        <w:rPr>
          <w:szCs w:val="22"/>
          <w:lang w:val="sr-Latn-CS"/>
        </w:rPr>
        <w:t xml:space="preserve">, </w:t>
      </w:r>
      <w:r w:rsidR="00D77814" w:rsidRPr="00B22D20">
        <w:rPr>
          <w:szCs w:val="22"/>
          <w:lang w:val="sr-Latn-CS"/>
        </w:rPr>
        <w:t>primjen</w:t>
      </w:r>
      <w:r w:rsidRPr="00B22D20">
        <w:rPr>
          <w:szCs w:val="22"/>
          <w:lang w:val="sr-Latn-CS"/>
        </w:rPr>
        <w:t>a klopidogrela u preporučenoj dozi daje manje aktivnih metabolita i ispoljava slabiji efekat na funkciju trombocita. Dostupni su testov</w:t>
      </w:r>
      <w:r w:rsidR="00122D4B" w:rsidRPr="00B22D20">
        <w:rPr>
          <w:szCs w:val="22"/>
          <w:lang w:val="sr-Latn-CS"/>
        </w:rPr>
        <w:t>i</w:t>
      </w:r>
      <w:r w:rsidRPr="00B22D20">
        <w:rPr>
          <w:szCs w:val="22"/>
          <w:lang w:val="sr-Latn-CS"/>
        </w:rPr>
        <w:t xml:space="preserve"> za određivanje CYP2C19 genotip</w:t>
      </w:r>
      <w:r w:rsidR="00C3487E" w:rsidRPr="00B22D20">
        <w:rPr>
          <w:szCs w:val="22"/>
          <w:lang w:val="sr-Latn-CS"/>
        </w:rPr>
        <w:t xml:space="preserve">a </w:t>
      </w:r>
      <w:r w:rsidRPr="00B22D20">
        <w:rPr>
          <w:szCs w:val="22"/>
          <w:lang w:val="sr-Latn-CS"/>
        </w:rPr>
        <w:t>pacijenta.</w:t>
      </w:r>
    </w:p>
    <w:p w14:paraId="4FEFD253" w14:textId="1C030BAC" w:rsidR="00F3137E" w:rsidRPr="00B22D20" w:rsidRDefault="00F3137E">
      <w:pPr>
        <w:spacing w:before="120"/>
        <w:rPr>
          <w:szCs w:val="22"/>
          <w:lang w:val="sr-Latn-CS"/>
        </w:rPr>
      </w:pPr>
      <w:r w:rsidRPr="00B22D20">
        <w:rPr>
          <w:szCs w:val="22"/>
          <w:lang w:val="sr-Latn-CS"/>
        </w:rPr>
        <w:t>Pošto se klopidogrel metaboliše do svog aktivnog metabolita d</w:t>
      </w:r>
      <w:r w:rsidR="000069C1" w:rsidRPr="00B22D20">
        <w:rPr>
          <w:szCs w:val="22"/>
          <w:lang w:val="sr-Latn-CS"/>
        </w:rPr>
        <w:t>j</w:t>
      </w:r>
      <w:r w:rsidRPr="00B22D20">
        <w:rPr>
          <w:szCs w:val="22"/>
          <w:lang w:val="sr-Latn-CS"/>
        </w:rPr>
        <w:t xml:space="preserve">elimično putem CYP2C19, </w:t>
      </w:r>
      <w:r w:rsidR="001D0385" w:rsidRPr="00B22D20">
        <w:rPr>
          <w:szCs w:val="22"/>
          <w:lang w:val="sr-Latn-CS"/>
        </w:rPr>
        <w:t xml:space="preserve"> </w:t>
      </w:r>
      <w:r w:rsidRPr="00B22D20">
        <w:rPr>
          <w:szCs w:val="22"/>
          <w:lang w:val="sr-Latn-CS"/>
        </w:rPr>
        <w:t xml:space="preserve">pri upotrebi </w:t>
      </w:r>
      <w:r w:rsidR="00122D4B" w:rsidRPr="00B22D20">
        <w:rPr>
          <w:szCs w:val="22"/>
          <w:lang w:val="sr-Latn-CS"/>
        </w:rPr>
        <w:t>ljekov</w:t>
      </w:r>
      <w:r w:rsidRPr="00B22D20">
        <w:rPr>
          <w:szCs w:val="22"/>
          <w:lang w:val="sr-Latn-CS"/>
        </w:rPr>
        <w:t>a koji inhibiraju aktivnost ovog enzima može se očekivati smanjen nivo aktivnog metabolita klopidogrela. Klinički značaj ovih interakcija nije razjašnjen. Kao m</w:t>
      </w:r>
      <w:r w:rsidR="00122D4B" w:rsidRPr="00B22D20">
        <w:rPr>
          <w:szCs w:val="22"/>
          <w:lang w:val="sr-Latn-CS"/>
        </w:rPr>
        <w:t>j</w:t>
      </w:r>
      <w:r w:rsidRPr="00B22D20">
        <w:rPr>
          <w:szCs w:val="22"/>
          <w:lang w:val="sr-Latn-CS"/>
        </w:rPr>
        <w:t xml:space="preserve">era opreza, </w:t>
      </w:r>
      <w:r w:rsidRPr="00B22D20">
        <w:rPr>
          <w:rFonts w:eastAsia="TimesNewRoman"/>
          <w:bCs/>
          <w:szCs w:val="22"/>
          <w:lang w:val="sr-Latn-CS"/>
        </w:rPr>
        <w:t xml:space="preserve">ne preporučuje se istovremena </w:t>
      </w:r>
      <w:r w:rsidR="00D77814" w:rsidRPr="00B22D20">
        <w:rPr>
          <w:rFonts w:eastAsia="TimesNewRoman"/>
          <w:bCs/>
          <w:szCs w:val="22"/>
          <w:lang w:val="sr-Latn-CS"/>
        </w:rPr>
        <w:t>primjen</w:t>
      </w:r>
      <w:r w:rsidRPr="00B22D20">
        <w:rPr>
          <w:rFonts w:eastAsia="TimesNewRoman"/>
          <w:bCs/>
          <w:szCs w:val="22"/>
          <w:lang w:val="sr-Latn-CS"/>
        </w:rPr>
        <w:t xml:space="preserve">a klopidogrela sa </w:t>
      </w:r>
      <w:r w:rsidR="00122D4B" w:rsidRPr="00B22D20">
        <w:rPr>
          <w:rFonts w:eastAsia="TimesNewRoman"/>
          <w:bCs/>
          <w:szCs w:val="22"/>
          <w:lang w:val="sr-Latn-CS"/>
        </w:rPr>
        <w:t>ljekov</w:t>
      </w:r>
      <w:r w:rsidRPr="00B22D20">
        <w:rPr>
          <w:rFonts w:eastAsia="TimesNewRoman"/>
          <w:bCs/>
          <w:szCs w:val="22"/>
          <w:lang w:val="sr-Latn-CS"/>
        </w:rPr>
        <w:t>ima koji su jaki ili um</w:t>
      </w:r>
      <w:r w:rsidR="00122D4B" w:rsidRPr="00B22D20">
        <w:rPr>
          <w:rFonts w:eastAsia="TimesNewRoman"/>
          <w:bCs/>
          <w:szCs w:val="22"/>
          <w:lang w:val="sr-Latn-CS"/>
        </w:rPr>
        <w:t>j</w:t>
      </w:r>
      <w:r w:rsidRPr="00B22D20">
        <w:rPr>
          <w:rFonts w:eastAsia="TimesNewRoman"/>
          <w:bCs/>
          <w:szCs w:val="22"/>
          <w:lang w:val="sr-Latn-CS"/>
        </w:rPr>
        <w:t>ereni inhibitori enzima CYP2C19</w:t>
      </w:r>
      <w:r w:rsidRPr="00B22D20" w:rsidDel="007150C6">
        <w:rPr>
          <w:rFonts w:eastAsia="TimesNewRoman"/>
          <w:szCs w:val="22"/>
        </w:rPr>
        <w:t xml:space="preserve"> </w:t>
      </w:r>
      <w:r w:rsidRPr="00B22D20">
        <w:rPr>
          <w:szCs w:val="22"/>
          <w:lang w:val="sr-Latn-CS"/>
        </w:rPr>
        <w:t>(</w:t>
      </w:r>
      <w:r w:rsidR="00D77814" w:rsidRPr="00B22D20">
        <w:rPr>
          <w:szCs w:val="22"/>
          <w:lang w:val="sr-Latn-CS"/>
        </w:rPr>
        <w:t>vidjet</w:t>
      </w:r>
      <w:r w:rsidRPr="00B22D20">
        <w:rPr>
          <w:szCs w:val="22"/>
          <w:lang w:val="sr-Latn-CS"/>
        </w:rPr>
        <w:t xml:space="preserve">i </w:t>
      </w:r>
      <w:r w:rsidR="001D0385" w:rsidRPr="00B22D20">
        <w:rPr>
          <w:szCs w:val="22"/>
          <w:lang w:val="sr-Latn-CS"/>
        </w:rPr>
        <w:t xml:space="preserve">dio </w:t>
      </w:r>
      <w:r w:rsidRPr="00B22D20">
        <w:rPr>
          <w:szCs w:val="22"/>
          <w:lang w:val="sr-Latn-CS"/>
        </w:rPr>
        <w:t xml:space="preserve">4.5 za listu CYP2C19 inhibitora, </w:t>
      </w:r>
      <w:r w:rsidR="003E5B82" w:rsidRPr="00B22D20">
        <w:rPr>
          <w:szCs w:val="22"/>
          <w:lang w:val="sr-Latn-CS"/>
        </w:rPr>
        <w:t xml:space="preserve">kao i </w:t>
      </w:r>
      <w:r w:rsidR="001D0385" w:rsidRPr="00B22D20">
        <w:rPr>
          <w:szCs w:val="22"/>
          <w:lang w:val="sr-Latn-CS"/>
        </w:rPr>
        <w:t>dio</w:t>
      </w:r>
      <w:r w:rsidRPr="00B22D20">
        <w:rPr>
          <w:szCs w:val="22"/>
          <w:lang w:val="sr-Latn-CS"/>
        </w:rPr>
        <w:t xml:space="preserve"> 5.2).</w:t>
      </w:r>
    </w:p>
    <w:p w14:paraId="5B2E129E" w14:textId="4199A782" w:rsidR="00674520" w:rsidRPr="00B22D20" w:rsidRDefault="00674520">
      <w:pPr>
        <w:spacing w:before="120"/>
        <w:rPr>
          <w:szCs w:val="22"/>
          <w:lang w:val="sr-Latn-CS"/>
        </w:rPr>
      </w:pPr>
      <w:r w:rsidRPr="00B22D20">
        <w:rPr>
          <w:szCs w:val="22"/>
          <w:lang w:val="sr-Latn-CS"/>
        </w:rPr>
        <w:t>Očekuje se da će primjena ljekova koji indukuju aktivnost CYP2C19 rezult</w:t>
      </w:r>
      <w:r w:rsidR="00776C54" w:rsidRPr="00B22D20">
        <w:rPr>
          <w:szCs w:val="22"/>
          <w:lang w:val="sr-Latn-CS"/>
        </w:rPr>
        <w:t>ira</w:t>
      </w:r>
      <w:r w:rsidR="003E5B82" w:rsidRPr="00B22D20">
        <w:rPr>
          <w:szCs w:val="22"/>
          <w:lang w:val="sr-Latn-CS"/>
        </w:rPr>
        <w:t>t</w:t>
      </w:r>
      <w:r w:rsidRPr="00B22D20">
        <w:rPr>
          <w:szCs w:val="22"/>
          <w:lang w:val="sr-Latn-CS"/>
        </w:rPr>
        <w:t>i povećanom koncentracijom aktivnog metabolita klopidogrela i da će možda pojačati rizik od krvarenja. Kao mjera opreza, ne preporučuje se istovremena prim</w:t>
      </w:r>
      <w:r w:rsidR="00636246" w:rsidRPr="00B22D20">
        <w:rPr>
          <w:szCs w:val="22"/>
          <w:lang w:val="sr-Latn-CS"/>
        </w:rPr>
        <w:t>j</w:t>
      </w:r>
      <w:r w:rsidRPr="00B22D20">
        <w:rPr>
          <w:szCs w:val="22"/>
          <w:lang w:val="sr-Latn-CS"/>
        </w:rPr>
        <w:t>ena sa l</w:t>
      </w:r>
      <w:r w:rsidR="00636246" w:rsidRPr="00B22D20">
        <w:rPr>
          <w:szCs w:val="22"/>
          <w:lang w:val="sr-Latn-CS"/>
        </w:rPr>
        <w:t>j</w:t>
      </w:r>
      <w:r w:rsidRPr="00B22D20">
        <w:rPr>
          <w:szCs w:val="22"/>
          <w:lang w:val="sr-Latn-CS"/>
        </w:rPr>
        <w:t>ekovima koji su jaki induktori CYP2C19 (vid</w:t>
      </w:r>
      <w:r w:rsidR="00636246" w:rsidRPr="00B22D20">
        <w:rPr>
          <w:szCs w:val="22"/>
          <w:lang w:val="sr-Latn-CS"/>
        </w:rPr>
        <w:t>j</w:t>
      </w:r>
      <w:r w:rsidRPr="00B22D20">
        <w:rPr>
          <w:szCs w:val="22"/>
          <w:lang w:val="sr-Latn-CS"/>
        </w:rPr>
        <w:t xml:space="preserve">eti </w:t>
      </w:r>
      <w:r w:rsidR="001D0385" w:rsidRPr="00B22D20">
        <w:rPr>
          <w:szCs w:val="22"/>
          <w:lang w:val="sr-Latn-CS"/>
        </w:rPr>
        <w:t>dio</w:t>
      </w:r>
      <w:r w:rsidRPr="00B22D20">
        <w:rPr>
          <w:szCs w:val="22"/>
          <w:lang w:val="sr-Latn-CS"/>
        </w:rPr>
        <w:t xml:space="preserve"> 4.5).</w:t>
      </w:r>
    </w:p>
    <w:p w14:paraId="3E648F0C" w14:textId="77777777" w:rsidR="00CA2606" w:rsidRPr="00B22D20" w:rsidRDefault="00CA2606">
      <w:pPr>
        <w:spacing w:before="120"/>
        <w:rPr>
          <w:i/>
          <w:szCs w:val="22"/>
          <w:lang w:val="sr-Latn-CS"/>
        </w:rPr>
      </w:pPr>
      <w:r w:rsidRPr="00B22D20">
        <w:rPr>
          <w:i/>
          <w:szCs w:val="22"/>
          <w:lang w:val="sr-Latn-CS"/>
        </w:rPr>
        <w:t>Supstrati CYP2C8</w:t>
      </w:r>
    </w:p>
    <w:p w14:paraId="0669F886" w14:textId="3EBBFD12" w:rsidR="00CA2606" w:rsidRPr="00B22D20" w:rsidRDefault="00CA2606">
      <w:pPr>
        <w:rPr>
          <w:szCs w:val="22"/>
          <w:lang w:val="sr-Latn-CS"/>
        </w:rPr>
      </w:pPr>
      <w:r w:rsidRPr="00B22D20">
        <w:rPr>
          <w:szCs w:val="22"/>
          <w:lang w:val="sr-Latn-CS"/>
        </w:rPr>
        <w:t xml:space="preserve">Potreban je oprez kod </w:t>
      </w:r>
      <w:r w:rsidR="00737E29" w:rsidRPr="00B22D20">
        <w:rPr>
          <w:szCs w:val="22"/>
          <w:lang w:val="sr-Latn-CS"/>
        </w:rPr>
        <w:t>pacijenata koji istovremeno u</w:t>
      </w:r>
      <w:r w:rsidR="00C3487E" w:rsidRPr="00B22D20">
        <w:rPr>
          <w:szCs w:val="22"/>
          <w:lang w:val="sr-Latn-CS"/>
        </w:rPr>
        <w:t>zimaju</w:t>
      </w:r>
      <w:r w:rsidR="00737E29" w:rsidRPr="00B22D20">
        <w:rPr>
          <w:szCs w:val="22"/>
          <w:lang w:val="sr-Latn-CS"/>
        </w:rPr>
        <w:t xml:space="preserve"> klopidogrel</w:t>
      </w:r>
      <w:r w:rsidRPr="00B22D20">
        <w:rPr>
          <w:szCs w:val="22"/>
          <w:lang w:val="sr-Latn-CS"/>
        </w:rPr>
        <w:t xml:space="preserve"> i </w:t>
      </w:r>
      <w:r w:rsidR="00122D4B" w:rsidRPr="00B22D20">
        <w:rPr>
          <w:szCs w:val="22"/>
          <w:lang w:val="sr-Latn-CS"/>
        </w:rPr>
        <w:t>ljekov</w:t>
      </w:r>
      <w:r w:rsidR="00737E29" w:rsidRPr="00B22D20">
        <w:rPr>
          <w:szCs w:val="22"/>
          <w:lang w:val="sr-Latn-CS"/>
        </w:rPr>
        <w:t>e</w:t>
      </w:r>
      <w:r w:rsidRPr="00B22D20">
        <w:rPr>
          <w:szCs w:val="22"/>
          <w:lang w:val="sr-Latn-CS"/>
        </w:rPr>
        <w:t xml:space="preserve"> koji su supstrati</w:t>
      </w:r>
      <w:r w:rsidR="005B359E" w:rsidRPr="00B22D20">
        <w:rPr>
          <w:szCs w:val="22"/>
          <w:lang w:val="sr-Latn-CS"/>
        </w:rPr>
        <w:t xml:space="preserve"> </w:t>
      </w:r>
      <w:r w:rsidRPr="00B22D20">
        <w:rPr>
          <w:szCs w:val="22"/>
          <w:lang w:val="sr-Latn-CS"/>
        </w:rPr>
        <w:t>CYP2C8 (</w:t>
      </w:r>
      <w:r w:rsidR="00D77814" w:rsidRPr="00B22D20">
        <w:rPr>
          <w:szCs w:val="22"/>
          <w:lang w:val="sr-Latn-CS"/>
        </w:rPr>
        <w:t>vidjet</w:t>
      </w:r>
      <w:r w:rsidRPr="00B22D20">
        <w:rPr>
          <w:szCs w:val="22"/>
          <w:lang w:val="sr-Latn-CS"/>
        </w:rPr>
        <w:t xml:space="preserve">i </w:t>
      </w:r>
      <w:r w:rsidR="001D0385" w:rsidRPr="00B22D20">
        <w:rPr>
          <w:szCs w:val="22"/>
          <w:lang w:val="sr-Latn-CS"/>
        </w:rPr>
        <w:t>dio</w:t>
      </w:r>
      <w:r w:rsidRPr="00B22D20">
        <w:rPr>
          <w:szCs w:val="22"/>
          <w:lang w:val="sr-Latn-CS"/>
        </w:rPr>
        <w:t xml:space="preserve"> 4.5).</w:t>
      </w:r>
    </w:p>
    <w:p w14:paraId="2A6FE22E" w14:textId="15558CD2" w:rsidR="00F3137E" w:rsidRPr="00B22D20" w:rsidRDefault="00F3137E">
      <w:pPr>
        <w:spacing w:before="120"/>
        <w:rPr>
          <w:i/>
          <w:szCs w:val="22"/>
          <w:lang w:val="sr-Latn-CS"/>
        </w:rPr>
      </w:pPr>
      <w:r w:rsidRPr="00B22D20">
        <w:rPr>
          <w:i/>
          <w:szCs w:val="22"/>
          <w:lang w:val="sr-Latn-CS"/>
        </w:rPr>
        <w:t xml:space="preserve">Ukrštena alergijska </w:t>
      </w:r>
      <w:r w:rsidR="003E5B82" w:rsidRPr="00B22D20">
        <w:rPr>
          <w:i/>
          <w:szCs w:val="22"/>
          <w:lang w:val="sr-Latn-CS"/>
        </w:rPr>
        <w:t>rekacija</w:t>
      </w:r>
      <w:r w:rsidRPr="00B22D20">
        <w:rPr>
          <w:i/>
          <w:szCs w:val="22"/>
          <w:lang w:val="sr-Latn-CS"/>
        </w:rPr>
        <w:t xml:space="preserve"> </w:t>
      </w:r>
      <w:r w:rsidR="003E5B82" w:rsidRPr="00B22D20">
        <w:rPr>
          <w:i/>
          <w:szCs w:val="22"/>
          <w:lang w:val="sr-Latn-CS"/>
        </w:rPr>
        <w:t>između</w:t>
      </w:r>
      <w:r w:rsidRPr="00B22D20">
        <w:rPr>
          <w:i/>
          <w:szCs w:val="22"/>
          <w:lang w:val="sr-Latn-CS"/>
        </w:rPr>
        <w:t xml:space="preserve"> tienopiridin</w:t>
      </w:r>
      <w:r w:rsidR="006C0657" w:rsidRPr="00B22D20">
        <w:rPr>
          <w:i/>
          <w:szCs w:val="22"/>
          <w:lang w:val="sr-Latn-CS"/>
        </w:rPr>
        <w:t>a</w:t>
      </w:r>
    </w:p>
    <w:p w14:paraId="676E3F53" w14:textId="1CE18C91" w:rsidR="00F3137E" w:rsidRPr="00B22D20" w:rsidRDefault="00F3137E">
      <w:pPr>
        <w:rPr>
          <w:szCs w:val="22"/>
          <w:lang w:val="sr-Latn-CS"/>
        </w:rPr>
      </w:pPr>
      <w:r w:rsidRPr="00B22D20">
        <w:rPr>
          <w:rFonts w:eastAsia="TimesNewRoman"/>
          <w:szCs w:val="22"/>
        </w:rPr>
        <w:t>Pacijente treba ispitati radi</w:t>
      </w:r>
      <w:r w:rsidR="006C0657" w:rsidRPr="00B22D20">
        <w:rPr>
          <w:rFonts w:eastAsia="TimesNewRoman"/>
          <w:szCs w:val="22"/>
        </w:rPr>
        <w:t xml:space="preserve"> utvrđivanja</w:t>
      </w:r>
      <w:r w:rsidRPr="00B22D20">
        <w:rPr>
          <w:rFonts w:eastAsia="TimesNewRoman"/>
          <w:szCs w:val="22"/>
        </w:rPr>
        <w:t xml:space="preserve"> postojanja preos</w:t>
      </w:r>
      <w:r w:rsidR="00122D4B" w:rsidRPr="00B22D20">
        <w:rPr>
          <w:rFonts w:eastAsia="TimesNewRoman"/>
          <w:szCs w:val="22"/>
        </w:rPr>
        <w:t>j</w:t>
      </w:r>
      <w:r w:rsidRPr="00B22D20">
        <w:rPr>
          <w:rFonts w:eastAsia="TimesNewRoman"/>
          <w:szCs w:val="22"/>
        </w:rPr>
        <w:t xml:space="preserve">etljivosti </w:t>
      </w:r>
      <w:proofErr w:type="gramStart"/>
      <w:r w:rsidRPr="00B22D20">
        <w:rPr>
          <w:rFonts w:eastAsia="TimesNewRoman"/>
          <w:szCs w:val="22"/>
        </w:rPr>
        <w:t>na</w:t>
      </w:r>
      <w:proofErr w:type="gramEnd"/>
      <w:r w:rsidRPr="00B22D20">
        <w:rPr>
          <w:rFonts w:eastAsia="TimesNewRoman"/>
          <w:szCs w:val="22"/>
        </w:rPr>
        <w:t xml:space="preserve"> tienopiridine</w:t>
      </w:r>
      <w:r w:rsidRPr="00B22D20" w:rsidDel="002D51B6">
        <w:rPr>
          <w:szCs w:val="22"/>
          <w:lang w:val="sr-Latn-CS"/>
        </w:rPr>
        <w:t xml:space="preserve"> </w:t>
      </w:r>
      <w:r w:rsidR="006C0657" w:rsidRPr="00B22D20">
        <w:rPr>
          <w:szCs w:val="22"/>
          <w:lang w:val="sr-Latn-CS"/>
        </w:rPr>
        <w:t xml:space="preserve">u anamnezi </w:t>
      </w:r>
      <w:r w:rsidRPr="00B22D20">
        <w:rPr>
          <w:szCs w:val="22"/>
          <w:lang w:val="sr-Latn-CS"/>
        </w:rPr>
        <w:t xml:space="preserve">(kao što su klopidogrel, tiklopidin, prasugrel), </w:t>
      </w:r>
      <w:r w:rsidR="003E5B82" w:rsidRPr="00B22D20">
        <w:rPr>
          <w:szCs w:val="22"/>
          <w:lang w:val="sr-Latn-CS"/>
        </w:rPr>
        <w:t xml:space="preserve">s </w:t>
      </w:r>
      <w:r w:rsidRPr="00B22D20">
        <w:rPr>
          <w:szCs w:val="22"/>
          <w:lang w:val="sr-Latn-CS"/>
        </w:rPr>
        <w:t>obzirom</w:t>
      </w:r>
      <w:r w:rsidR="000E5C25" w:rsidRPr="00B22D20">
        <w:rPr>
          <w:szCs w:val="22"/>
          <w:lang w:val="sr-Latn-CS"/>
        </w:rPr>
        <w:t xml:space="preserve"> na to </w:t>
      </w:r>
      <w:r w:rsidRPr="00B22D20">
        <w:rPr>
          <w:szCs w:val="22"/>
          <w:lang w:val="sr-Latn-CS"/>
        </w:rPr>
        <w:t xml:space="preserve">da je </w:t>
      </w:r>
      <w:r w:rsidR="00122D4B" w:rsidRPr="00B22D20">
        <w:rPr>
          <w:szCs w:val="22"/>
          <w:lang w:val="sr-Latn-CS"/>
        </w:rPr>
        <w:t>zabiljež</w:t>
      </w:r>
      <w:r w:rsidRPr="00B22D20">
        <w:rPr>
          <w:szCs w:val="22"/>
          <w:lang w:val="sr-Latn-CS"/>
        </w:rPr>
        <w:t xml:space="preserve">ena ukrštena alergijska reakcija </w:t>
      </w:r>
      <w:r w:rsidR="003E5B82" w:rsidRPr="00B22D20">
        <w:rPr>
          <w:rFonts w:eastAsia="TimesNewRoman"/>
          <w:szCs w:val="22"/>
        </w:rPr>
        <w:t>između</w:t>
      </w:r>
      <w:r w:rsidRPr="00B22D20">
        <w:rPr>
          <w:rFonts w:eastAsia="TimesNewRoman"/>
          <w:szCs w:val="22"/>
        </w:rPr>
        <w:t xml:space="preserve"> tienopirid</w:t>
      </w:r>
      <w:r w:rsidR="003E5B82" w:rsidRPr="00B22D20">
        <w:rPr>
          <w:rFonts w:eastAsia="TimesNewRoman"/>
          <w:szCs w:val="22"/>
        </w:rPr>
        <w:t>ina</w:t>
      </w:r>
      <w:r w:rsidRPr="00B22D20">
        <w:rPr>
          <w:rFonts w:eastAsia="TimesNewRoman"/>
          <w:szCs w:val="22"/>
        </w:rPr>
        <w:t xml:space="preserve"> </w:t>
      </w:r>
      <w:r w:rsidRPr="00B22D20">
        <w:rPr>
          <w:szCs w:val="22"/>
          <w:lang w:val="sr-Latn-CS"/>
        </w:rPr>
        <w:t>(</w:t>
      </w:r>
      <w:r w:rsidR="00D77814" w:rsidRPr="00B22D20">
        <w:rPr>
          <w:szCs w:val="22"/>
          <w:lang w:val="sr-Latn-CS"/>
        </w:rPr>
        <w:t>vidjet</w:t>
      </w:r>
      <w:r w:rsidRPr="00B22D20">
        <w:rPr>
          <w:szCs w:val="22"/>
          <w:lang w:val="sr-Latn-CS"/>
        </w:rPr>
        <w:t xml:space="preserve">i </w:t>
      </w:r>
      <w:r w:rsidR="001D0385" w:rsidRPr="00B22D20">
        <w:rPr>
          <w:szCs w:val="22"/>
          <w:lang w:val="sr-Latn-CS"/>
        </w:rPr>
        <w:t>dio</w:t>
      </w:r>
      <w:r w:rsidRPr="00B22D20">
        <w:rPr>
          <w:szCs w:val="22"/>
          <w:lang w:val="sr-Latn-CS"/>
        </w:rPr>
        <w:t xml:space="preserve"> 4.8). Tienopiridini mogu dovesti do pojave </w:t>
      </w:r>
      <w:r w:rsidR="003E5B82" w:rsidRPr="00B22D20">
        <w:rPr>
          <w:szCs w:val="22"/>
          <w:lang w:val="sr-Latn-CS"/>
        </w:rPr>
        <w:t>blagih</w:t>
      </w:r>
      <w:r w:rsidRPr="00B22D20">
        <w:rPr>
          <w:szCs w:val="22"/>
          <w:lang w:val="sr-Latn-CS"/>
        </w:rPr>
        <w:t xml:space="preserve"> do teških alergijskih reakcija kao što su osip, angioedem ili hematološke ukrštene alergijske reakcije, kao što su trombocitopenija i neutropenija. Kod pacijenata koji su ranije imali reakcije preos</w:t>
      </w:r>
      <w:r w:rsidR="00122D4B" w:rsidRPr="00B22D20">
        <w:rPr>
          <w:szCs w:val="22"/>
          <w:lang w:val="sr-Latn-CS"/>
        </w:rPr>
        <w:t>j</w:t>
      </w:r>
      <w:r w:rsidRPr="00B22D20">
        <w:rPr>
          <w:szCs w:val="22"/>
          <w:lang w:val="sr-Latn-CS"/>
        </w:rPr>
        <w:t>etljivosti i/ili hematološke reakcije na jedan od tienopiridina može biti povećan rizik od razvoja iste te ili neke druge reakcije na ostale tienopiridine. Sav</w:t>
      </w:r>
      <w:r w:rsidR="00122D4B" w:rsidRPr="00B22D20">
        <w:rPr>
          <w:szCs w:val="22"/>
          <w:lang w:val="sr-Latn-CS"/>
        </w:rPr>
        <w:t>j</w:t>
      </w:r>
      <w:r w:rsidRPr="00B22D20">
        <w:rPr>
          <w:szCs w:val="22"/>
          <w:lang w:val="sr-Latn-CS"/>
        </w:rPr>
        <w:t>etuje se praćenje znakova preos</w:t>
      </w:r>
      <w:r w:rsidR="00122D4B" w:rsidRPr="00B22D20">
        <w:rPr>
          <w:szCs w:val="22"/>
          <w:lang w:val="sr-Latn-CS"/>
        </w:rPr>
        <w:t>j</w:t>
      </w:r>
      <w:r w:rsidRPr="00B22D20">
        <w:rPr>
          <w:szCs w:val="22"/>
          <w:lang w:val="sr-Latn-CS"/>
        </w:rPr>
        <w:t>etljivosti kod pacijenata sa poznatom alergijom na tienopiridine.</w:t>
      </w:r>
    </w:p>
    <w:p w14:paraId="0B8051DC" w14:textId="77777777" w:rsidR="00F3137E" w:rsidRPr="00B22D20" w:rsidRDefault="00F3137E">
      <w:pPr>
        <w:spacing w:before="120"/>
        <w:rPr>
          <w:i/>
          <w:szCs w:val="22"/>
          <w:lang w:val="sr-Latn-CS"/>
        </w:rPr>
      </w:pPr>
      <w:r w:rsidRPr="00B22D20">
        <w:rPr>
          <w:i/>
          <w:szCs w:val="22"/>
          <w:lang w:val="sr-Latn-CS"/>
        </w:rPr>
        <w:t>Oštećenje funkcije bubrega</w:t>
      </w:r>
    </w:p>
    <w:p w14:paraId="54D11E51" w14:textId="13DA541F" w:rsidR="00F3137E" w:rsidRPr="00B22D20" w:rsidRDefault="00F3137E">
      <w:pPr>
        <w:rPr>
          <w:szCs w:val="22"/>
          <w:lang w:val="sr-Latn-CS"/>
        </w:rPr>
      </w:pPr>
      <w:r w:rsidRPr="00B22D20">
        <w:rPr>
          <w:szCs w:val="22"/>
          <w:lang w:val="sr-Latn-CS"/>
        </w:rPr>
        <w:t xml:space="preserve">Iskustvo sa </w:t>
      </w:r>
      <w:r w:rsidR="00D77814" w:rsidRPr="00B22D20">
        <w:rPr>
          <w:szCs w:val="22"/>
          <w:lang w:val="sr-Latn-CS"/>
        </w:rPr>
        <w:t>primjen</w:t>
      </w:r>
      <w:r w:rsidRPr="00B22D20">
        <w:rPr>
          <w:szCs w:val="22"/>
          <w:lang w:val="sr-Latn-CS"/>
        </w:rPr>
        <w:t xml:space="preserve">om klopidogrela kod pacijenata sa oštećenom funkcijom bubrega je ograničeno. Zbog toga se kod ovih pacijenata klopidogrel mora </w:t>
      </w:r>
      <w:r w:rsidR="00D77814" w:rsidRPr="00B22D20">
        <w:rPr>
          <w:szCs w:val="22"/>
          <w:lang w:val="sr-Latn-CS"/>
        </w:rPr>
        <w:t>primjen</w:t>
      </w:r>
      <w:r w:rsidRPr="00B22D20">
        <w:rPr>
          <w:szCs w:val="22"/>
          <w:lang w:val="sr-Latn-CS"/>
        </w:rPr>
        <w:t xml:space="preserve">jivati </w:t>
      </w:r>
      <w:r w:rsidR="00027BE3" w:rsidRPr="00B22D20">
        <w:rPr>
          <w:szCs w:val="22"/>
          <w:lang w:val="sr-Latn-CS"/>
        </w:rPr>
        <w:t xml:space="preserve">sa </w:t>
      </w:r>
      <w:r w:rsidRPr="00B22D20">
        <w:rPr>
          <w:szCs w:val="22"/>
          <w:lang w:val="sr-Latn-CS"/>
        </w:rPr>
        <w:t>oprezo</w:t>
      </w:r>
      <w:r w:rsidR="00027BE3" w:rsidRPr="00B22D20">
        <w:rPr>
          <w:szCs w:val="22"/>
          <w:lang w:val="sr-Latn-CS"/>
        </w:rPr>
        <w:t>m</w:t>
      </w:r>
      <w:r w:rsidRPr="00B22D20">
        <w:rPr>
          <w:szCs w:val="22"/>
          <w:lang w:val="sr-Latn-CS"/>
        </w:rPr>
        <w:t xml:space="preserve"> (</w:t>
      </w:r>
      <w:r w:rsidR="00D77814" w:rsidRPr="00B22D20">
        <w:rPr>
          <w:szCs w:val="22"/>
          <w:lang w:val="sr-Latn-CS"/>
        </w:rPr>
        <w:t>vidjet</w:t>
      </w:r>
      <w:r w:rsidRPr="00B22D20">
        <w:rPr>
          <w:szCs w:val="22"/>
          <w:lang w:val="sr-Latn-CS"/>
        </w:rPr>
        <w:t xml:space="preserve">i </w:t>
      </w:r>
      <w:r w:rsidR="001D0385" w:rsidRPr="00B22D20">
        <w:rPr>
          <w:szCs w:val="22"/>
          <w:lang w:val="sr-Latn-CS"/>
        </w:rPr>
        <w:t>dio</w:t>
      </w:r>
      <w:r w:rsidRPr="00B22D20">
        <w:rPr>
          <w:szCs w:val="22"/>
          <w:lang w:val="sr-Latn-CS"/>
        </w:rPr>
        <w:t xml:space="preserve"> 4.2).</w:t>
      </w:r>
    </w:p>
    <w:p w14:paraId="7584E882" w14:textId="77777777" w:rsidR="00F3137E" w:rsidRPr="00B22D20" w:rsidRDefault="00F3137E">
      <w:pPr>
        <w:spacing w:before="120"/>
        <w:rPr>
          <w:i/>
          <w:szCs w:val="22"/>
          <w:lang w:val="sr-Latn-CS"/>
        </w:rPr>
      </w:pPr>
      <w:r w:rsidRPr="00B22D20">
        <w:rPr>
          <w:i/>
          <w:szCs w:val="22"/>
          <w:lang w:val="sr-Latn-CS"/>
        </w:rPr>
        <w:t>Oštećenje funkcije jetre</w:t>
      </w:r>
    </w:p>
    <w:p w14:paraId="06D8B053" w14:textId="39D9DAA4" w:rsidR="00F3137E" w:rsidRPr="00B22D20" w:rsidRDefault="00F3137E">
      <w:pPr>
        <w:rPr>
          <w:szCs w:val="22"/>
          <w:lang w:val="sr-Latn-CS"/>
        </w:rPr>
      </w:pPr>
      <w:r w:rsidRPr="00B22D20">
        <w:rPr>
          <w:szCs w:val="22"/>
          <w:lang w:val="sr-Latn-CS"/>
        </w:rPr>
        <w:t>Kod pacijenata sa um</w:t>
      </w:r>
      <w:r w:rsidR="00122D4B" w:rsidRPr="00B22D20">
        <w:rPr>
          <w:szCs w:val="22"/>
          <w:lang w:val="sr-Latn-CS"/>
        </w:rPr>
        <w:t>j</w:t>
      </w:r>
      <w:r w:rsidRPr="00B22D20">
        <w:rPr>
          <w:szCs w:val="22"/>
          <w:lang w:val="sr-Latn-CS"/>
        </w:rPr>
        <w:t xml:space="preserve">erenom insuficijencijom jetre, a koji su skloni krvarenju, iskustvo sa </w:t>
      </w:r>
      <w:r w:rsidR="00D77814" w:rsidRPr="00B22D20">
        <w:rPr>
          <w:szCs w:val="22"/>
          <w:lang w:val="sr-Latn-CS"/>
        </w:rPr>
        <w:t>primjen</w:t>
      </w:r>
      <w:r w:rsidRPr="00B22D20">
        <w:rPr>
          <w:szCs w:val="22"/>
          <w:lang w:val="sr-Latn-CS"/>
        </w:rPr>
        <w:t>om klopidogrela je ograničeno. Zato se kod ovih pacijenata klopidogrel mora davati oprezno (</w:t>
      </w:r>
      <w:r w:rsidR="00D77814" w:rsidRPr="00B22D20">
        <w:rPr>
          <w:szCs w:val="22"/>
          <w:lang w:val="sr-Latn-CS"/>
        </w:rPr>
        <w:t>vidjet</w:t>
      </w:r>
      <w:r w:rsidRPr="00B22D20">
        <w:rPr>
          <w:szCs w:val="22"/>
          <w:lang w:val="sr-Latn-CS"/>
        </w:rPr>
        <w:t xml:space="preserve">i </w:t>
      </w:r>
      <w:r w:rsidR="001D0385" w:rsidRPr="00B22D20">
        <w:rPr>
          <w:szCs w:val="22"/>
          <w:lang w:val="sr-Latn-CS"/>
        </w:rPr>
        <w:t>dio</w:t>
      </w:r>
      <w:r w:rsidRPr="00B22D20">
        <w:rPr>
          <w:szCs w:val="22"/>
          <w:lang w:val="sr-Latn-CS"/>
        </w:rPr>
        <w:t xml:space="preserve"> 4.2).</w:t>
      </w:r>
    </w:p>
    <w:p w14:paraId="41F1259C" w14:textId="77777777" w:rsidR="00F3137E" w:rsidRPr="00B22D20" w:rsidRDefault="00F3137E">
      <w:pPr>
        <w:tabs>
          <w:tab w:val="clear" w:pos="284"/>
        </w:tabs>
        <w:autoSpaceDE w:val="0"/>
        <w:autoSpaceDN w:val="0"/>
        <w:adjustRightInd w:val="0"/>
        <w:spacing w:before="120"/>
        <w:rPr>
          <w:rFonts w:eastAsia="TimesNewRoman"/>
          <w:i/>
          <w:iCs/>
          <w:szCs w:val="22"/>
        </w:rPr>
      </w:pPr>
      <w:r w:rsidRPr="00B22D20">
        <w:rPr>
          <w:rFonts w:eastAsia="TimesNewRoman"/>
          <w:i/>
          <w:iCs/>
          <w:szCs w:val="22"/>
        </w:rPr>
        <w:t>Posebna upozorenja o pomoćnim supstancama</w:t>
      </w:r>
    </w:p>
    <w:p w14:paraId="4C38A48F" w14:textId="75A593F3" w:rsidR="00691CE9" w:rsidRPr="00B22D20" w:rsidRDefault="00AC562A">
      <w:pPr>
        <w:rPr>
          <w:szCs w:val="22"/>
          <w:lang w:val="sr-Latn-CS"/>
        </w:rPr>
      </w:pPr>
      <w:r w:rsidRPr="00B22D20">
        <w:rPr>
          <w:szCs w:val="22"/>
          <w:lang w:val="sr-Latn-CS"/>
        </w:rPr>
        <w:t>Lijek</w:t>
      </w:r>
      <w:r w:rsidR="00F3137E" w:rsidRPr="00B22D20">
        <w:rPr>
          <w:szCs w:val="22"/>
          <w:lang w:val="sr-Latn-CS"/>
        </w:rPr>
        <w:t xml:space="preserve"> Plavix sadrži laktozu</w:t>
      </w:r>
      <w:r w:rsidR="00027BE3" w:rsidRPr="00B22D20">
        <w:rPr>
          <w:szCs w:val="22"/>
          <w:lang w:val="sr-Latn-CS"/>
        </w:rPr>
        <w:t>, monohidrat</w:t>
      </w:r>
      <w:r w:rsidR="00F3137E" w:rsidRPr="00B22D20">
        <w:rPr>
          <w:szCs w:val="22"/>
          <w:lang w:val="sr-Latn-CS"/>
        </w:rPr>
        <w:t xml:space="preserve">. </w:t>
      </w:r>
      <w:r w:rsidR="00027BE3" w:rsidRPr="00B22D20">
        <w:rPr>
          <w:szCs w:val="22"/>
          <w:lang w:val="sr-Latn-CS"/>
        </w:rPr>
        <w:t>Pacijenti sa r</w:t>
      </w:r>
      <w:r w:rsidR="00122D4B" w:rsidRPr="00B22D20">
        <w:rPr>
          <w:szCs w:val="22"/>
          <w:lang w:val="sr-Latn-CS"/>
        </w:rPr>
        <w:t>ij</w:t>
      </w:r>
      <w:r w:rsidR="00027BE3" w:rsidRPr="00B22D20">
        <w:rPr>
          <w:szCs w:val="22"/>
          <w:lang w:val="sr-Latn-CS"/>
        </w:rPr>
        <w:t>etkim nasl</w:t>
      </w:r>
      <w:r w:rsidR="00122D4B" w:rsidRPr="00B22D20">
        <w:rPr>
          <w:szCs w:val="22"/>
          <w:lang w:val="sr-Latn-CS"/>
        </w:rPr>
        <w:t>j</w:t>
      </w:r>
      <w:r w:rsidR="00027BE3" w:rsidRPr="00B22D20">
        <w:rPr>
          <w:szCs w:val="22"/>
          <w:lang w:val="sr-Latn-CS"/>
        </w:rPr>
        <w:t>ednim oboljenjem intolerancije na galaktozu,</w:t>
      </w:r>
      <w:r w:rsidR="000C5E73" w:rsidRPr="00B22D20">
        <w:rPr>
          <w:szCs w:val="22"/>
          <w:lang w:val="sr-Latn-CS"/>
        </w:rPr>
        <w:t xml:space="preserve"> potpunim</w:t>
      </w:r>
      <w:r w:rsidR="00027BE3" w:rsidRPr="00B22D20">
        <w:rPr>
          <w:szCs w:val="22"/>
          <w:lang w:val="sr-Latn-CS"/>
        </w:rPr>
        <w:t xml:space="preserve"> nedostatkom laktaze ili glukozno-galaktoznom malapsorpcijom ne sm</w:t>
      </w:r>
      <w:r w:rsidR="00122D4B" w:rsidRPr="00B22D20">
        <w:rPr>
          <w:szCs w:val="22"/>
          <w:lang w:val="sr-Latn-CS"/>
        </w:rPr>
        <w:t>i</w:t>
      </w:r>
      <w:r w:rsidR="00027BE3" w:rsidRPr="00B22D20">
        <w:rPr>
          <w:szCs w:val="22"/>
          <w:lang w:val="sr-Latn-CS"/>
        </w:rPr>
        <w:t xml:space="preserve">ju da uzimaju ovaj </w:t>
      </w:r>
      <w:r w:rsidRPr="00B22D20">
        <w:rPr>
          <w:szCs w:val="22"/>
          <w:lang w:val="sr-Latn-CS"/>
        </w:rPr>
        <w:t>lijek</w:t>
      </w:r>
      <w:r w:rsidR="00027BE3" w:rsidRPr="00B22D20">
        <w:rPr>
          <w:szCs w:val="22"/>
          <w:lang w:val="sr-Latn-CS"/>
        </w:rPr>
        <w:t>.</w:t>
      </w:r>
    </w:p>
    <w:p w14:paraId="43BD190B" w14:textId="5C18B28B" w:rsidR="00F3137E" w:rsidRPr="00B22D20" w:rsidRDefault="00F3137E">
      <w:pPr>
        <w:rPr>
          <w:szCs w:val="22"/>
          <w:lang w:val="sr-Latn-CS"/>
        </w:rPr>
      </w:pPr>
      <w:r w:rsidRPr="00C25676">
        <w:rPr>
          <w:szCs w:val="22"/>
          <w:lang w:val="sr-Latn-CS"/>
        </w:rPr>
        <w:t xml:space="preserve">Ovaj </w:t>
      </w:r>
      <w:r w:rsidR="00AC562A" w:rsidRPr="00C25676">
        <w:rPr>
          <w:szCs w:val="22"/>
          <w:lang w:val="sr-Latn-CS"/>
        </w:rPr>
        <w:t>lijek</w:t>
      </w:r>
      <w:r w:rsidRPr="00C25676">
        <w:rPr>
          <w:szCs w:val="22"/>
          <w:lang w:val="sr-Latn-CS"/>
        </w:rPr>
        <w:t xml:space="preserve"> sadrži </w:t>
      </w:r>
      <w:r w:rsidR="00027BE3" w:rsidRPr="00C25676">
        <w:rPr>
          <w:szCs w:val="22"/>
          <w:lang w:val="sr-Latn-CS"/>
        </w:rPr>
        <w:t xml:space="preserve">ricinusovo ulje, </w:t>
      </w:r>
      <w:r w:rsidRPr="00C25676">
        <w:rPr>
          <w:szCs w:val="22"/>
          <w:lang w:val="sr-Latn-CS"/>
        </w:rPr>
        <w:t>hidrogenizovano koje može izazvati sto</w:t>
      </w:r>
      <w:r w:rsidRPr="00C25676">
        <w:rPr>
          <w:szCs w:val="22"/>
          <w:lang w:val="sr-Latn-CS" w:eastAsia="ja-JP"/>
        </w:rPr>
        <w:t>m</w:t>
      </w:r>
      <w:r w:rsidRPr="00B22D20">
        <w:rPr>
          <w:szCs w:val="22"/>
          <w:lang w:val="sr-Latn-CS"/>
        </w:rPr>
        <w:t>ačne tegobe i dijareju.</w:t>
      </w:r>
    </w:p>
    <w:p w14:paraId="3A865DCE" w14:textId="77777777" w:rsidR="0096790D" w:rsidRPr="00B22D20" w:rsidRDefault="0096790D">
      <w:pPr>
        <w:rPr>
          <w:szCs w:val="22"/>
          <w:lang w:val="sr-Latn-CS"/>
        </w:rPr>
      </w:pPr>
    </w:p>
    <w:p w14:paraId="087504B4" w14:textId="38683FB4" w:rsidR="00F3137E" w:rsidRPr="00B22D20" w:rsidRDefault="00F3137E">
      <w:pPr>
        <w:pStyle w:val="Header"/>
        <w:tabs>
          <w:tab w:val="clear" w:pos="4536"/>
          <w:tab w:val="clear" w:pos="9072"/>
        </w:tabs>
        <w:rPr>
          <w:b/>
          <w:bCs/>
          <w:szCs w:val="22"/>
          <w:lang w:val="de-DE"/>
        </w:rPr>
      </w:pPr>
      <w:r w:rsidRPr="00B22D20">
        <w:rPr>
          <w:b/>
          <w:bCs/>
          <w:szCs w:val="22"/>
          <w:lang w:val="de-DE"/>
        </w:rPr>
        <w:t xml:space="preserve">4.5. Interakcije sa drugim </w:t>
      </w:r>
      <w:r w:rsidR="00AC562A" w:rsidRPr="00B22D20">
        <w:rPr>
          <w:b/>
          <w:bCs/>
          <w:szCs w:val="22"/>
          <w:lang w:val="de-DE"/>
        </w:rPr>
        <w:t>ljek</w:t>
      </w:r>
      <w:r w:rsidRPr="00B22D20">
        <w:rPr>
          <w:b/>
          <w:bCs/>
          <w:szCs w:val="22"/>
          <w:lang w:val="de-DE"/>
        </w:rPr>
        <w:t xml:space="preserve">ovima i druge vrste interakcija </w:t>
      </w:r>
    </w:p>
    <w:p w14:paraId="0C42169B" w14:textId="778CE19C" w:rsidR="007C32F1" w:rsidRPr="00B22D20" w:rsidRDefault="00122D4B">
      <w:pPr>
        <w:spacing w:before="120"/>
        <w:rPr>
          <w:szCs w:val="22"/>
          <w:lang w:val="sr-Latn-CS"/>
        </w:rPr>
      </w:pPr>
      <w:r w:rsidRPr="00B22D20">
        <w:rPr>
          <w:i/>
          <w:szCs w:val="22"/>
          <w:lang w:val="sr-Latn-CS"/>
        </w:rPr>
        <w:t>Ljekov</w:t>
      </w:r>
      <w:r w:rsidR="00DC3624" w:rsidRPr="00B22D20">
        <w:rPr>
          <w:i/>
          <w:szCs w:val="22"/>
          <w:lang w:val="sr-Latn-CS"/>
        </w:rPr>
        <w:t>i povezani sa rizikom od krvarenja:</w:t>
      </w:r>
      <w:r w:rsidR="00DC3624" w:rsidRPr="00B22D20">
        <w:rPr>
          <w:szCs w:val="22"/>
          <w:lang w:val="sr-Latn-CS"/>
        </w:rPr>
        <w:t xml:space="preserve"> P</w:t>
      </w:r>
      <w:r w:rsidR="00862982" w:rsidRPr="00B22D20">
        <w:rPr>
          <w:szCs w:val="22"/>
          <w:lang w:val="sr-Latn-CS"/>
        </w:rPr>
        <w:t>ostoji p</w:t>
      </w:r>
      <w:r w:rsidR="00DC3624" w:rsidRPr="00B22D20">
        <w:rPr>
          <w:szCs w:val="22"/>
          <w:lang w:val="sr-Latn-CS"/>
        </w:rPr>
        <w:t>ov</w:t>
      </w:r>
      <w:r w:rsidR="003A79CE" w:rsidRPr="00B22D20">
        <w:rPr>
          <w:szCs w:val="22"/>
          <w:lang w:val="sr-Latn-CS"/>
        </w:rPr>
        <w:t>ećan rizik od krvarenja zbog</w:t>
      </w:r>
      <w:r w:rsidR="007C32F1" w:rsidRPr="00B22D20">
        <w:rPr>
          <w:szCs w:val="22"/>
          <w:lang w:val="sr-Latn-CS"/>
        </w:rPr>
        <w:t xml:space="preserve"> potencijalnog </w:t>
      </w:r>
      <w:r w:rsidR="00732E92" w:rsidRPr="00B22D20">
        <w:rPr>
          <w:szCs w:val="22"/>
          <w:lang w:val="sr-Latn-CS"/>
        </w:rPr>
        <w:t>aditivnog</w:t>
      </w:r>
      <w:r w:rsidR="007C32F1" w:rsidRPr="00B22D20">
        <w:rPr>
          <w:szCs w:val="22"/>
          <w:lang w:val="sr-Latn-CS"/>
        </w:rPr>
        <w:t xml:space="preserve"> efekta. </w:t>
      </w:r>
      <w:r w:rsidR="003A79CE" w:rsidRPr="00B22D20">
        <w:rPr>
          <w:szCs w:val="22"/>
          <w:lang w:val="sr-Latn-CS"/>
        </w:rPr>
        <w:t xml:space="preserve">Potreban je oprez pri istovremenoj </w:t>
      </w:r>
      <w:r w:rsidR="00D77814" w:rsidRPr="00B22D20">
        <w:rPr>
          <w:szCs w:val="22"/>
          <w:lang w:val="sr-Latn-CS"/>
        </w:rPr>
        <w:t>primjen</w:t>
      </w:r>
      <w:r w:rsidR="003A79CE" w:rsidRPr="00B22D20">
        <w:rPr>
          <w:szCs w:val="22"/>
          <w:lang w:val="sr-Latn-CS"/>
        </w:rPr>
        <w:t>i</w:t>
      </w:r>
      <w:r w:rsidR="007C32F1" w:rsidRPr="00B22D20">
        <w:rPr>
          <w:szCs w:val="22"/>
          <w:lang w:val="sr-Latn-CS"/>
        </w:rPr>
        <w:t xml:space="preserve"> </w:t>
      </w:r>
      <w:r w:rsidRPr="00B22D20">
        <w:rPr>
          <w:szCs w:val="22"/>
          <w:lang w:val="sr-Latn-CS"/>
        </w:rPr>
        <w:t>ljekov</w:t>
      </w:r>
      <w:r w:rsidR="007C32F1" w:rsidRPr="00B22D20">
        <w:rPr>
          <w:szCs w:val="22"/>
          <w:lang w:val="sr-Latn-CS"/>
        </w:rPr>
        <w:t>a povezanih sa rizikom od krv</w:t>
      </w:r>
      <w:r w:rsidR="003A79CE" w:rsidRPr="00B22D20">
        <w:rPr>
          <w:szCs w:val="22"/>
          <w:lang w:val="sr-Latn-CS"/>
        </w:rPr>
        <w:t>arenja</w:t>
      </w:r>
      <w:r w:rsidR="007C32F1" w:rsidRPr="00B22D20">
        <w:rPr>
          <w:szCs w:val="22"/>
          <w:lang w:val="sr-Latn-CS"/>
        </w:rPr>
        <w:t xml:space="preserve"> (</w:t>
      </w:r>
      <w:r w:rsidR="00D77814" w:rsidRPr="00B22D20">
        <w:rPr>
          <w:szCs w:val="22"/>
          <w:lang w:val="sr-Latn-CS"/>
        </w:rPr>
        <w:t>vidjet</w:t>
      </w:r>
      <w:r w:rsidR="007C32F1" w:rsidRPr="00B22D20">
        <w:rPr>
          <w:szCs w:val="22"/>
          <w:lang w:val="sr-Latn-CS"/>
        </w:rPr>
        <w:t xml:space="preserve">i </w:t>
      </w:r>
      <w:r w:rsidR="001D0385" w:rsidRPr="00B22D20">
        <w:rPr>
          <w:szCs w:val="22"/>
          <w:lang w:val="sr-Latn-CS"/>
        </w:rPr>
        <w:t>dio</w:t>
      </w:r>
      <w:r w:rsidR="007C32F1" w:rsidRPr="00B22D20">
        <w:rPr>
          <w:szCs w:val="22"/>
          <w:lang w:val="sr-Latn-CS"/>
        </w:rPr>
        <w:t xml:space="preserve"> 4.4).</w:t>
      </w:r>
    </w:p>
    <w:p w14:paraId="5E69E809" w14:textId="67E3E718" w:rsidR="00F3137E" w:rsidRPr="00B22D20" w:rsidRDefault="00F3137E">
      <w:pPr>
        <w:spacing w:before="120"/>
        <w:rPr>
          <w:szCs w:val="22"/>
          <w:lang w:val="sr-Latn-CS"/>
        </w:rPr>
      </w:pPr>
      <w:r w:rsidRPr="00B22D20">
        <w:rPr>
          <w:i/>
          <w:szCs w:val="22"/>
          <w:lang w:val="sr-Latn-CS"/>
        </w:rPr>
        <w:t>Oralni antikoagulansi</w:t>
      </w:r>
      <w:r w:rsidR="00837830" w:rsidRPr="00B22D20">
        <w:rPr>
          <w:szCs w:val="22"/>
          <w:lang w:val="sr-Latn-CS"/>
        </w:rPr>
        <w:t>: I</w:t>
      </w:r>
      <w:r w:rsidRPr="00B22D20">
        <w:rPr>
          <w:szCs w:val="22"/>
          <w:lang w:val="sr-Latn-CS"/>
        </w:rPr>
        <w:t xml:space="preserve">stovremena </w:t>
      </w:r>
      <w:r w:rsidR="00D77814" w:rsidRPr="00B22D20">
        <w:rPr>
          <w:szCs w:val="22"/>
          <w:lang w:val="sr-Latn-CS"/>
        </w:rPr>
        <w:t>primjen</w:t>
      </w:r>
      <w:r w:rsidRPr="00B22D20">
        <w:rPr>
          <w:szCs w:val="22"/>
          <w:lang w:val="sr-Latn-CS"/>
        </w:rPr>
        <w:t>a klopidogrela i oralnih antikoagulan</w:t>
      </w:r>
      <w:r w:rsidRPr="00B22D20">
        <w:rPr>
          <w:szCs w:val="22"/>
          <w:lang w:val="sr-Latn-CS" w:eastAsia="ja-JP"/>
        </w:rPr>
        <w:t>a</w:t>
      </w:r>
      <w:r w:rsidRPr="00B22D20">
        <w:rPr>
          <w:szCs w:val="22"/>
          <w:lang w:val="sr-Latn-CS"/>
        </w:rPr>
        <w:t>sa se ne preporučuje jer može doći do povećanja intenzitet</w:t>
      </w:r>
      <w:r w:rsidRPr="00B22D20">
        <w:rPr>
          <w:szCs w:val="22"/>
          <w:lang w:val="sr-Latn-CS" w:eastAsia="ja-JP"/>
        </w:rPr>
        <w:t>a</w:t>
      </w:r>
      <w:r w:rsidRPr="00B22D20">
        <w:rPr>
          <w:szCs w:val="22"/>
          <w:lang w:val="sr-Latn-CS"/>
        </w:rPr>
        <w:t xml:space="preserve"> krvarenja (</w:t>
      </w:r>
      <w:r w:rsidR="00D77814" w:rsidRPr="00B22D20">
        <w:rPr>
          <w:szCs w:val="22"/>
          <w:lang w:val="sr-Latn-CS"/>
        </w:rPr>
        <w:t>vidjet</w:t>
      </w:r>
      <w:r w:rsidRPr="00B22D20">
        <w:rPr>
          <w:szCs w:val="22"/>
          <w:lang w:val="sr-Latn-CS"/>
        </w:rPr>
        <w:t xml:space="preserve">i </w:t>
      </w:r>
      <w:r w:rsidR="00691CE9" w:rsidRPr="00B22D20">
        <w:rPr>
          <w:szCs w:val="22"/>
          <w:lang w:val="sr-Latn-CS"/>
        </w:rPr>
        <w:t>dio</w:t>
      </w:r>
      <w:r w:rsidRPr="00B22D20">
        <w:rPr>
          <w:szCs w:val="22"/>
          <w:lang w:val="sr-Latn-CS"/>
        </w:rPr>
        <w:t xml:space="preserve"> 4.4). Iako </w:t>
      </w:r>
      <w:r w:rsidR="00D77814" w:rsidRPr="00B22D20">
        <w:rPr>
          <w:szCs w:val="22"/>
          <w:lang w:val="sr-Latn-CS"/>
        </w:rPr>
        <w:t>primjen</w:t>
      </w:r>
      <w:r w:rsidRPr="00B22D20">
        <w:rPr>
          <w:szCs w:val="22"/>
          <w:lang w:val="sr-Latn-CS"/>
        </w:rPr>
        <w:t>a klopidogrela u dozi od 75mg/dan ne utiče na farmakokinetiku S-varfarina, niti m</w:t>
      </w:r>
      <w:r w:rsidR="00122D4B" w:rsidRPr="00B22D20">
        <w:rPr>
          <w:szCs w:val="22"/>
          <w:lang w:val="sr-Latn-CS"/>
        </w:rPr>
        <w:t>ij</w:t>
      </w:r>
      <w:r w:rsidRPr="00B22D20">
        <w:rPr>
          <w:szCs w:val="22"/>
          <w:lang w:val="sr-Latn-CS"/>
        </w:rPr>
        <w:t>enja vr</w:t>
      </w:r>
      <w:r w:rsidR="00DF1029" w:rsidRPr="00B22D20">
        <w:rPr>
          <w:szCs w:val="22"/>
          <w:lang w:val="sr-Latn-CS"/>
        </w:rPr>
        <w:t>ij</w:t>
      </w:r>
      <w:r w:rsidRPr="00B22D20">
        <w:rPr>
          <w:szCs w:val="22"/>
          <w:lang w:val="sr-Latn-CS"/>
        </w:rPr>
        <w:t>ednost Internaciona</w:t>
      </w:r>
      <w:r w:rsidR="001D0385" w:rsidRPr="00B22D20">
        <w:rPr>
          <w:szCs w:val="22"/>
          <w:lang w:val="sr-Latn-CS"/>
        </w:rPr>
        <w:t>lnog</w:t>
      </w:r>
      <w:r w:rsidRPr="00B22D20">
        <w:rPr>
          <w:szCs w:val="22"/>
          <w:lang w:val="sr-Latn-CS"/>
        </w:rPr>
        <w:t xml:space="preserve"> Normalizovan</w:t>
      </w:r>
      <w:r w:rsidR="001D0385" w:rsidRPr="00B22D20">
        <w:rPr>
          <w:szCs w:val="22"/>
          <w:lang w:val="sr-Latn-CS"/>
        </w:rPr>
        <w:t>og</w:t>
      </w:r>
      <w:r w:rsidRPr="00B22D20">
        <w:rPr>
          <w:szCs w:val="22"/>
          <w:lang w:val="sr-Latn-CS"/>
        </w:rPr>
        <w:t xml:space="preserve"> Odnos</w:t>
      </w:r>
      <w:r w:rsidR="001D0385" w:rsidRPr="00B22D20">
        <w:rPr>
          <w:szCs w:val="22"/>
          <w:lang w:val="sr-Latn-CS"/>
        </w:rPr>
        <w:t>a</w:t>
      </w:r>
      <w:r w:rsidRPr="00B22D20">
        <w:rPr>
          <w:szCs w:val="22"/>
          <w:lang w:val="sr-Latn-CS"/>
        </w:rPr>
        <w:t xml:space="preserve"> (INR) kod pacijenata koji su na dugotrajnoj terapiji varfarinom, istovremena </w:t>
      </w:r>
      <w:r w:rsidR="00D77814" w:rsidRPr="00B22D20">
        <w:rPr>
          <w:szCs w:val="22"/>
          <w:lang w:val="sr-Latn-CS"/>
        </w:rPr>
        <w:t>primjen</w:t>
      </w:r>
      <w:r w:rsidRPr="00B22D20">
        <w:rPr>
          <w:szCs w:val="22"/>
          <w:lang w:val="sr-Latn-CS"/>
        </w:rPr>
        <w:t xml:space="preserve">a klopidogrela sa varfarinom povećava rizik od pojave krvarenja zbog nezavisnih </w:t>
      </w:r>
      <w:r w:rsidR="00925248" w:rsidRPr="00B22D20">
        <w:rPr>
          <w:szCs w:val="22"/>
          <w:lang w:val="sr-Latn-CS"/>
        </w:rPr>
        <w:t>efekata</w:t>
      </w:r>
      <w:r w:rsidRPr="00B22D20">
        <w:rPr>
          <w:szCs w:val="22"/>
          <w:lang w:val="sr-Latn-CS"/>
        </w:rPr>
        <w:t xml:space="preserve"> na hemostazu.</w:t>
      </w:r>
    </w:p>
    <w:p w14:paraId="1FF79629" w14:textId="2D25649A" w:rsidR="00F3137E" w:rsidRPr="00B22D20" w:rsidRDefault="00F3137E">
      <w:pPr>
        <w:spacing w:before="120"/>
        <w:rPr>
          <w:rFonts w:eastAsia="MS Mincho"/>
          <w:szCs w:val="22"/>
          <w:lang w:val="sr-Latn-CS" w:eastAsia="ja-JP"/>
        </w:rPr>
      </w:pPr>
      <w:r w:rsidRPr="00B22D20">
        <w:rPr>
          <w:i/>
          <w:szCs w:val="22"/>
          <w:lang w:val="sr-Latn-CS"/>
        </w:rPr>
        <w:t>Inhibitori glikoproteina IIb/IIIa:</w:t>
      </w:r>
      <w:r w:rsidRPr="00B22D20">
        <w:rPr>
          <w:szCs w:val="22"/>
          <w:lang w:val="sr-Latn-CS"/>
        </w:rPr>
        <w:t xml:space="preserve"> klopidogrel treba davati oprezno kod pacijenata koji istovremeno primaju inhibitore glikoproteinskih IIb/IIIa </w:t>
      </w:r>
      <w:r w:rsidRPr="00B22D20">
        <w:rPr>
          <w:rFonts w:eastAsia="TimesNewRoman"/>
          <w:szCs w:val="22"/>
        </w:rPr>
        <w:t xml:space="preserve">receptora </w:t>
      </w:r>
      <w:r w:rsidRPr="00B22D20">
        <w:rPr>
          <w:szCs w:val="22"/>
          <w:lang w:val="sr-Latn-CS"/>
        </w:rPr>
        <w:t>(</w:t>
      </w:r>
      <w:r w:rsidR="00D77814" w:rsidRPr="00B22D20">
        <w:rPr>
          <w:szCs w:val="22"/>
          <w:lang w:val="sr-Latn-CS"/>
        </w:rPr>
        <w:t>vidjet</w:t>
      </w:r>
      <w:r w:rsidRPr="00B22D20">
        <w:rPr>
          <w:szCs w:val="22"/>
          <w:lang w:val="sr-Latn-CS"/>
        </w:rPr>
        <w:t xml:space="preserve">i </w:t>
      </w:r>
      <w:r w:rsidR="00691CE9" w:rsidRPr="00B22D20">
        <w:rPr>
          <w:szCs w:val="22"/>
          <w:lang w:val="sr-Latn-CS"/>
        </w:rPr>
        <w:t>dio</w:t>
      </w:r>
      <w:r w:rsidRPr="00B22D20">
        <w:rPr>
          <w:szCs w:val="22"/>
          <w:lang w:val="sr-Latn-CS"/>
        </w:rPr>
        <w:t xml:space="preserve"> 4.4).</w:t>
      </w:r>
    </w:p>
    <w:p w14:paraId="78486427" w14:textId="6FE23A73" w:rsidR="00F3137E" w:rsidRPr="00B22D20" w:rsidRDefault="00F3137E">
      <w:pPr>
        <w:spacing w:before="120"/>
        <w:rPr>
          <w:szCs w:val="22"/>
          <w:lang w:val="sr-Latn-CS"/>
        </w:rPr>
      </w:pPr>
      <w:r w:rsidRPr="00B22D20">
        <w:rPr>
          <w:i/>
          <w:szCs w:val="22"/>
          <w:lang w:val="sr-Latn-CS"/>
        </w:rPr>
        <w:t>Acetilsalicilna kiselina (</w:t>
      </w:r>
      <w:r w:rsidR="00465370" w:rsidRPr="00B22D20">
        <w:rPr>
          <w:i/>
          <w:szCs w:val="22"/>
          <w:lang w:val="sr-Latn-CS"/>
        </w:rPr>
        <w:t>AS</w:t>
      </w:r>
      <w:r w:rsidR="00862982" w:rsidRPr="00B22D20">
        <w:rPr>
          <w:i/>
          <w:szCs w:val="22"/>
          <w:lang w:val="sr-Latn-CS"/>
        </w:rPr>
        <w:t>K</w:t>
      </w:r>
      <w:r w:rsidRPr="00B22D20">
        <w:rPr>
          <w:i/>
          <w:szCs w:val="22"/>
          <w:lang w:val="sr-Latn-CS"/>
        </w:rPr>
        <w:t>):</w:t>
      </w:r>
      <w:r w:rsidRPr="00B22D20">
        <w:rPr>
          <w:szCs w:val="22"/>
          <w:lang w:val="sr-Latn-CS"/>
        </w:rPr>
        <w:t xml:space="preserve"> </w:t>
      </w:r>
      <w:r w:rsidR="00465370" w:rsidRPr="00B22D20">
        <w:rPr>
          <w:szCs w:val="22"/>
          <w:lang w:val="sr-Latn-CS"/>
        </w:rPr>
        <w:t>AS</w:t>
      </w:r>
      <w:r w:rsidR="00862982" w:rsidRPr="00B22D20">
        <w:rPr>
          <w:szCs w:val="22"/>
          <w:lang w:val="sr-Latn-CS"/>
        </w:rPr>
        <w:t>K</w:t>
      </w:r>
      <w:r w:rsidRPr="00B22D20">
        <w:rPr>
          <w:szCs w:val="22"/>
          <w:lang w:val="sr-Latn-CS"/>
        </w:rPr>
        <w:t xml:space="preserve"> nije uticala na klopidogrelom posredovanu inhibiciju ADP–indukovane agregacije trombocita, dok je klopidogrel pojačavao efekat </w:t>
      </w:r>
      <w:r w:rsidR="00465370" w:rsidRPr="00B22D20">
        <w:rPr>
          <w:szCs w:val="22"/>
          <w:lang w:val="sr-Latn-CS"/>
        </w:rPr>
        <w:t>AS</w:t>
      </w:r>
      <w:r w:rsidR="00862982" w:rsidRPr="00B22D20">
        <w:rPr>
          <w:szCs w:val="22"/>
          <w:lang w:val="sr-Latn-CS"/>
        </w:rPr>
        <w:t>K</w:t>
      </w:r>
      <w:r w:rsidRPr="00B22D20">
        <w:rPr>
          <w:szCs w:val="22"/>
          <w:lang w:val="sr-Latn-CS"/>
        </w:rPr>
        <w:t xml:space="preserve"> na kolagenom indukovanu agregaciju trombocita. Ipak, istovremena </w:t>
      </w:r>
      <w:r w:rsidR="00D77814" w:rsidRPr="00B22D20">
        <w:rPr>
          <w:szCs w:val="22"/>
          <w:lang w:val="sr-Latn-CS"/>
        </w:rPr>
        <w:t>primjen</w:t>
      </w:r>
      <w:r w:rsidRPr="00B22D20">
        <w:rPr>
          <w:szCs w:val="22"/>
          <w:lang w:val="sr-Latn-CS"/>
        </w:rPr>
        <w:t xml:space="preserve">a 500 mg </w:t>
      </w:r>
      <w:r w:rsidR="00465370" w:rsidRPr="00B22D20">
        <w:rPr>
          <w:szCs w:val="22"/>
          <w:lang w:val="sr-Latn-CS"/>
        </w:rPr>
        <w:t>AS</w:t>
      </w:r>
      <w:r w:rsidR="00862982" w:rsidRPr="00B22D20">
        <w:rPr>
          <w:szCs w:val="22"/>
          <w:lang w:val="sr-Latn-CS"/>
        </w:rPr>
        <w:t>K</w:t>
      </w:r>
      <w:r w:rsidRPr="00B22D20">
        <w:rPr>
          <w:szCs w:val="22"/>
          <w:lang w:val="sr-Latn-CS"/>
        </w:rPr>
        <w:t xml:space="preserve">, dva puta dnevno, </w:t>
      </w:r>
      <w:r w:rsidRPr="00B22D20">
        <w:rPr>
          <w:szCs w:val="22"/>
          <w:lang w:val="sr-Latn-CS" w:eastAsia="ja-JP"/>
        </w:rPr>
        <w:t>tokom jednog</w:t>
      </w:r>
      <w:r w:rsidRPr="00B22D20">
        <w:rPr>
          <w:szCs w:val="22"/>
          <w:lang w:val="sr-Latn-CS"/>
        </w:rPr>
        <w:t xml:space="preserve"> dan</w:t>
      </w:r>
      <w:r w:rsidRPr="00B22D20">
        <w:rPr>
          <w:szCs w:val="22"/>
          <w:lang w:val="sr-Latn-CS" w:eastAsia="ja-JP"/>
        </w:rPr>
        <w:t>a</w:t>
      </w:r>
      <w:r w:rsidRPr="00B22D20">
        <w:rPr>
          <w:szCs w:val="22"/>
          <w:lang w:val="sr-Latn-CS"/>
        </w:rPr>
        <w:t>, nije značajno produžila vr</w:t>
      </w:r>
      <w:r w:rsidR="00122D4B" w:rsidRPr="00B22D20">
        <w:rPr>
          <w:szCs w:val="22"/>
          <w:lang w:val="sr-Latn-CS"/>
        </w:rPr>
        <w:t>ij</w:t>
      </w:r>
      <w:r w:rsidRPr="00B22D20">
        <w:rPr>
          <w:szCs w:val="22"/>
          <w:lang w:val="sr-Latn-CS"/>
        </w:rPr>
        <w:t xml:space="preserve">eme krvarenja indukovano uzimanjem klopidogrela. Moguća je farmakodinamska interakcija između klopidogrela i acetilsalicilne kiseline, koja može povećati rizik od krvarenja. Zbog toga se preporučuje </w:t>
      </w:r>
      <w:r w:rsidRPr="00B22D20">
        <w:rPr>
          <w:szCs w:val="22"/>
          <w:lang w:val="sr-Latn-CS"/>
        </w:rPr>
        <w:lastRenderedPageBreak/>
        <w:t xml:space="preserve">oprez pri istovremenoj upotrebi ova dva </w:t>
      </w:r>
      <w:r w:rsidR="00AC562A" w:rsidRPr="00B22D20">
        <w:rPr>
          <w:szCs w:val="22"/>
          <w:lang w:val="sr-Latn-CS"/>
        </w:rPr>
        <w:t>lijek</w:t>
      </w:r>
      <w:r w:rsidRPr="00B22D20">
        <w:rPr>
          <w:szCs w:val="22"/>
          <w:lang w:val="sr-Latn-CS"/>
        </w:rPr>
        <w:t>a (</w:t>
      </w:r>
      <w:r w:rsidR="00D77814" w:rsidRPr="00B22D20">
        <w:rPr>
          <w:szCs w:val="22"/>
          <w:lang w:val="sr-Latn-CS"/>
        </w:rPr>
        <w:t>vidjet</w:t>
      </w:r>
      <w:r w:rsidRPr="00B22D20">
        <w:rPr>
          <w:szCs w:val="22"/>
          <w:lang w:val="sr-Latn-CS"/>
        </w:rPr>
        <w:t xml:space="preserve">i </w:t>
      </w:r>
      <w:r w:rsidR="00691CE9" w:rsidRPr="00B22D20">
        <w:rPr>
          <w:szCs w:val="22"/>
          <w:lang w:val="sr-Latn-CS"/>
        </w:rPr>
        <w:t>dio</w:t>
      </w:r>
      <w:r w:rsidRPr="00B22D20">
        <w:rPr>
          <w:szCs w:val="22"/>
          <w:lang w:val="sr-Latn-CS"/>
        </w:rPr>
        <w:t xml:space="preserve"> 4.4). Ipak, klopidogrel i </w:t>
      </w:r>
      <w:r w:rsidR="00465370" w:rsidRPr="00B22D20">
        <w:rPr>
          <w:szCs w:val="22"/>
          <w:lang w:val="sr-Latn-CS"/>
        </w:rPr>
        <w:t>AS</w:t>
      </w:r>
      <w:r w:rsidR="007B0F04" w:rsidRPr="00B22D20">
        <w:rPr>
          <w:szCs w:val="22"/>
          <w:lang w:val="sr-Latn-CS"/>
        </w:rPr>
        <w:t>K</w:t>
      </w:r>
      <w:r w:rsidRPr="00B22D20">
        <w:rPr>
          <w:szCs w:val="22"/>
          <w:lang w:val="sr-Latn-CS"/>
        </w:rPr>
        <w:t xml:space="preserve"> su istovremeno </w:t>
      </w:r>
      <w:r w:rsidR="00D77814" w:rsidRPr="00B22D20">
        <w:rPr>
          <w:szCs w:val="22"/>
          <w:lang w:val="sr-Latn-CS"/>
        </w:rPr>
        <w:t>primjen</w:t>
      </w:r>
      <w:r w:rsidRPr="00B22D20">
        <w:rPr>
          <w:szCs w:val="22"/>
          <w:lang w:val="sr-Latn-CS"/>
        </w:rPr>
        <w:t>jivani čak i do godinu dana (</w:t>
      </w:r>
      <w:r w:rsidR="00D77814" w:rsidRPr="00B22D20">
        <w:rPr>
          <w:szCs w:val="22"/>
          <w:lang w:val="sr-Latn-CS"/>
        </w:rPr>
        <w:t>vidjet</w:t>
      </w:r>
      <w:r w:rsidRPr="00B22D20">
        <w:rPr>
          <w:szCs w:val="22"/>
          <w:lang w:val="sr-Latn-CS"/>
        </w:rPr>
        <w:t xml:space="preserve">i </w:t>
      </w:r>
      <w:r w:rsidR="00691CE9" w:rsidRPr="00B22D20">
        <w:rPr>
          <w:szCs w:val="22"/>
          <w:lang w:val="sr-Latn-CS"/>
        </w:rPr>
        <w:t>dio</w:t>
      </w:r>
      <w:r w:rsidRPr="00B22D20">
        <w:rPr>
          <w:szCs w:val="22"/>
          <w:lang w:val="sr-Latn-CS"/>
        </w:rPr>
        <w:t xml:space="preserve"> 5.1). </w:t>
      </w:r>
    </w:p>
    <w:p w14:paraId="0C373464" w14:textId="33DCA34C" w:rsidR="00F3137E" w:rsidRPr="00B22D20" w:rsidRDefault="00F3137E">
      <w:pPr>
        <w:spacing w:before="120"/>
        <w:rPr>
          <w:szCs w:val="22"/>
          <w:lang w:val="sr-Latn-CS"/>
        </w:rPr>
      </w:pPr>
      <w:r w:rsidRPr="00B22D20">
        <w:rPr>
          <w:i/>
          <w:szCs w:val="22"/>
          <w:lang w:val="sr-Latn-CS"/>
        </w:rPr>
        <w:t>Heparin:</w:t>
      </w:r>
      <w:r w:rsidRPr="00B22D20">
        <w:rPr>
          <w:szCs w:val="22"/>
          <w:lang w:val="sr-Latn-CS"/>
        </w:rPr>
        <w:t xml:space="preserve"> U kliničkoj studiji sprovedenoj </w:t>
      </w:r>
      <w:r w:rsidR="00F5071B" w:rsidRPr="00B22D20">
        <w:rPr>
          <w:szCs w:val="22"/>
          <w:lang w:val="sr-Latn-CS"/>
        </w:rPr>
        <w:t>na</w:t>
      </w:r>
      <w:r w:rsidRPr="00B22D20">
        <w:rPr>
          <w:szCs w:val="22"/>
          <w:lang w:val="sr-Latn-CS"/>
        </w:rPr>
        <w:t xml:space="preserve"> zdravi</w:t>
      </w:r>
      <w:r w:rsidR="00F5071B" w:rsidRPr="00B22D20">
        <w:rPr>
          <w:szCs w:val="22"/>
          <w:lang w:val="sr-Latn-CS"/>
        </w:rPr>
        <w:t>m</w:t>
      </w:r>
      <w:r w:rsidRPr="00B22D20">
        <w:rPr>
          <w:szCs w:val="22"/>
          <w:lang w:val="sr-Latn-CS"/>
        </w:rPr>
        <w:t xml:space="preserve"> ispitani</w:t>
      </w:r>
      <w:r w:rsidR="00F5071B" w:rsidRPr="00B22D20">
        <w:rPr>
          <w:szCs w:val="22"/>
          <w:lang w:val="sr-Latn-CS"/>
        </w:rPr>
        <w:t>cima</w:t>
      </w:r>
      <w:r w:rsidRPr="00B22D20">
        <w:rPr>
          <w:szCs w:val="22"/>
          <w:lang w:val="sr-Latn-CS"/>
        </w:rPr>
        <w:t>, upotreba klopidogrela nije zaht</w:t>
      </w:r>
      <w:r w:rsidR="00691CE9" w:rsidRPr="00B22D20">
        <w:rPr>
          <w:szCs w:val="22"/>
          <w:lang w:val="sr-Latn-CS"/>
        </w:rPr>
        <w:t>i</w:t>
      </w:r>
      <w:r w:rsidR="00122D4B" w:rsidRPr="00B22D20">
        <w:rPr>
          <w:szCs w:val="22"/>
          <w:lang w:val="sr-Latn-CS"/>
        </w:rPr>
        <w:t>j</w:t>
      </w:r>
      <w:r w:rsidRPr="00B22D20">
        <w:rPr>
          <w:szCs w:val="22"/>
          <w:lang w:val="sr-Latn-CS"/>
        </w:rPr>
        <w:t>evala modifikovanje doze heparina, niti je m</w:t>
      </w:r>
      <w:r w:rsidR="00DF1029" w:rsidRPr="00B22D20">
        <w:rPr>
          <w:szCs w:val="22"/>
          <w:lang w:val="sr-Latn-CS"/>
        </w:rPr>
        <w:t>ij</w:t>
      </w:r>
      <w:r w:rsidRPr="00B22D20">
        <w:rPr>
          <w:szCs w:val="22"/>
          <w:lang w:val="sr-Latn-CS"/>
        </w:rPr>
        <w:t xml:space="preserve">enjala </w:t>
      </w:r>
      <w:r w:rsidR="00F5071B" w:rsidRPr="00B22D20">
        <w:rPr>
          <w:szCs w:val="22"/>
          <w:lang w:val="sr-Latn-CS"/>
        </w:rPr>
        <w:t>efekat</w:t>
      </w:r>
      <w:r w:rsidRPr="00B22D20">
        <w:rPr>
          <w:szCs w:val="22"/>
          <w:lang w:val="sr-Latn-CS"/>
        </w:rPr>
        <w:t xml:space="preserve"> heparina na koagulaciju. Istovremena </w:t>
      </w:r>
      <w:r w:rsidR="00D77814" w:rsidRPr="00B22D20">
        <w:rPr>
          <w:szCs w:val="22"/>
          <w:lang w:val="sr-Latn-CS"/>
        </w:rPr>
        <w:t>primjen</w:t>
      </w:r>
      <w:r w:rsidRPr="00B22D20">
        <w:rPr>
          <w:szCs w:val="22"/>
          <w:lang w:val="sr-Latn-CS"/>
        </w:rPr>
        <w:t xml:space="preserve">a heparina nije uticala na inhibiciju agregacije trombocita, indukovanu klopidogrelom. Moguća je farmakodinamska interakcija između klopidogrela i heparina, koja može povećati rizik od krvarenja. Zato se istovremena upotreba ova dva </w:t>
      </w:r>
      <w:r w:rsidR="00AC562A" w:rsidRPr="00B22D20">
        <w:rPr>
          <w:szCs w:val="22"/>
          <w:lang w:val="sr-Latn-CS"/>
        </w:rPr>
        <w:t>lijek</w:t>
      </w:r>
      <w:r w:rsidRPr="00B22D20">
        <w:rPr>
          <w:szCs w:val="22"/>
          <w:lang w:val="sr-Latn-CS"/>
        </w:rPr>
        <w:t xml:space="preserve">a mora </w:t>
      </w:r>
      <w:r w:rsidRPr="00B22D20">
        <w:rPr>
          <w:szCs w:val="22"/>
          <w:lang w:val="sr-Latn-CS" w:eastAsia="ja-JP"/>
        </w:rPr>
        <w:t>sprovoditi</w:t>
      </w:r>
      <w:r w:rsidRPr="00B22D20">
        <w:rPr>
          <w:szCs w:val="22"/>
          <w:lang w:val="sr-Latn-CS"/>
        </w:rPr>
        <w:t xml:space="preserve"> veoma oprezno (</w:t>
      </w:r>
      <w:r w:rsidR="00D77814" w:rsidRPr="00B22D20">
        <w:rPr>
          <w:szCs w:val="22"/>
          <w:lang w:val="sr-Latn-CS"/>
        </w:rPr>
        <w:t>vidjet</w:t>
      </w:r>
      <w:r w:rsidRPr="00B22D20">
        <w:rPr>
          <w:szCs w:val="22"/>
          <w:lang w:val="sr-Latn-CS"/>
        </w:rPr>
        <w:t xml:space="preserve">i </w:t>
      </w:r>
      <w:r w:rsidR="00691CE9" w:rsidRPr="00B22D20">
        <w:rPr>
          <w:szCs w:val="22"/>
          <w:lang w:val="sr-Latn-CS"/>
        </w:rPr>
        <w:t>dio</w:t>
      </w:r>
      <w:r w:rsidRPr="00B22D20">
        <w:rPr>
          <w:szCs w:val="22"/>
          <w:lang w:val="sr-Latn-CS"/>
        </w:rPr>
        <w:t xml:space="preserve"> 4.4).</w:t>
      </w:r>
    </w:p>
    <w:p w14:paraId="3CE19C7F" w14:textId="4217D948" w:rsidR="00F3137E" w:rsidRPr="00B22D20" w:rsidRDefault="00F3137E">
      <w:pPr>
        <w:spacing w:before="120"/>
        <w:rPr>
          <w:szCs w:val="22"/>
          <w:lang w:val="sr-Latn-CS"/>
        </w:rPr>
      </w:pPr>
      <w:r w:rsidRPr="00B22D20">
        <w:rPr>
          <w:i/>
          <w:szCs w:val="22"/>
          <w:lang w:val="sr-Latn-CS"/>
        </w:rPr>
        <w:t xml:space="preserve">Trombolitici: </w:t>
      </w:r>
      <w:r w:rsidRPr="00B22D20">
        <w:rPr>
          <w:szCs w:val="22"/>
          <w:lang w:val="sr-Latn-CS"/>
        </w:rPr>
        <w:t>proc</w:t>
      </w:r>
      <w:r w:rsidR="00122D4B" w:rsidRPr="00B22D20">
        <w:rPr>
          <w:szCs w:val="22"/>
          <w:lang w:val="sr-Latn-CS"/>
        </w:rPr>
        <w:t>j</w:t>
      </w:r>
      <w:r w:rsidRPr="00B22D20">
        <w:rPr>
          <w:szCs w:val="22"/>
          <w:lang w:val="sr-Latn-CS"/>
        </w:rPr>
        <w:t>ena bezb</w:t>
      </w:r>
      <w:r w:rsidR="00122D4B" w:rsidRPr="00B22D20">
        <w:rPr>
          <w:szCs w:val="22"/>
          <w:lang w:val="sr-Latn-CS"/>
        </w:rPr>
        <w:t>j</w:t>
      </w:r>
      <w:r w:rsidRPr="00B22D20">
        <w:rPr>
          <w:szCs w:val="22"/>
          <w:lang w:val="sr-Latn-CS"/>
        </w:rPr>
        <w:t xml:space="preserve">ednosti istovremene </w:t>
      </w:r>
      <w:r w:rsidR="00D77814" w:rsidRPr="00B22D20">
        <w:rPr>
          <w:szCs w:val="22"/>
          <w:lang w:val="sr-Latn-CS"/>
        </w:rPr>
        <w:t>primjen</w:t>
      </w:r>
      <w:r w:rsidRPr="00B22D20">
        <w:rPr>
          <w:szCs w:val="22"/>
          <w:lang w:val="sr-Latn-CS"/>
        </w:rPr>
        <w:t xml:space="preserve">e klopidogrela, fibrin-specifičnih i fibrin-nespecifičnih trombolitika i heparina obavljena je kod pacijenata sa akutnim infarktom miokarda. Učestalost pojave klinički značajnog krvarenja bila je slična onoj koja je uočena pri istovremenoj </w:t>
      </w:r>
      <w:r w:rsidR="00D77814" w:rsidRPr="00B22D20">
        <w:rPr>
          <w:szCs w:val="22"/>
          <w:lang w:val="sr-Latn-CS"/>
        </w:rPr>
        <w:t>primjen</w:t>
      </w:r>
      <w:r w:rsidRPr="00B22D20">
        <w:rPr>
          <w:szCs w:val="22"/>
          <w:lang w:val="sr-Latn-CS"/>
        </w:rPr>
        <w:t>i trombolitika i heparina sa acetilsalicilnom kiselinom (</w:t>
      </w:r>
      <w:r w:rsidR="00D77814" w:rsidRPr="00B22D20">
        <w:rPr>
          <w:szCs w:val="22"/>
          <w:lang w:val="sr-Latn-CS"/>
        </w:rPr>
        <w:t>vidjet</w:t>
      </w:r>
      <w:r w:rsidRPr="00B22D20">
        <w:rPr>
          <w:szCs w:val="22"/>
          <w:lang w:val="sr-Latn-CS"/>
        </w:rPr>
        <w:t xml:space="preserve">i </w:t>
      </w:r>
      <w:r w:rsidR="00691CE9" w:rsidRPr="00B22D20">
        <w:rPr>
          <w:szCs w:val="22"/>
          <w:lang w:val="sr-Latn-CS"/>
        </w:rPr>
        <w:t>dio</w:t>
      </w:r>
      <w:r w:rsidRPr="00B22D20">
        <w:rPr>
          <w:szCs w:val="22"/>
          <w:lang w:val="sr-Latn-CS"/>
        </w:rPr>
        <w:t xml:space="preserve"> 4.8). </w:t>
      </w:r>
    </w:p>
    <w:p w14:paraId="71AAAAEE" w14:textId="39F89F6B" w:rsidR="00AC6174" w:rsidRPr="00B22D20" w:rsidRDefault="00F3137E">
      <w:pPr>
        <w:spacing w:before="120"/>
        <w:rPr>
          <w:i/>
          <w:szCs w:val="22"/>
          <w:lang w:val="sr-Latn-CS"/>
        </w:rPr>
      </w:pPr>
      <w:r w:rsidRPr="00B22D20">
        <w:rPr>
          <w:i/>
          <w:szCs w:val="22"/>
          <w:lang w:val="sr-Latn-CS"/>
        </w:rPr>
        <w:t xml:space="preserve">Nesteroidni antiinflamatorni </w:t>
      </w:r>
      <w:r w:rsidR="00122D4B" w:rsidRPr="00B22D20">
        <w:rPr>
          <w:i/>
          <w:szCs w:val="22"/>
          <w:lang w:val="sr-Latn-CS"/>
        </w:rPr>
        <w:t>ljekov</w:t>
      </w:r>
      <w:r w:rsidRPr="00B22D20">
        <w:rPr>
          <w:i/>
          <w:szCs w:val="22"/>
          <w:lang w:val="sr-Latn-CS"/>
        </w:rPr>
        <w:t>i (NSAIL):</w:t>
      </w:r>
      <w:r w:rsidRPr="00B22D20">
        <w:rPr>
          <w:szCs w:val="22"/>
          <w:lang w:val="sr-Latn-CS"/>
        </w:rPr>
        <w:t xml:space="preserve"> u kliničkoj studiji sprovedenoj kod zdravih </w:t>
      </w:r>
      <w:r w:rsidR="007B0F04" w:rsidRPr="00B22D20">
        <w:rPr>
          <w:szCs w:val="22"/>
          <w:lang w:val="sr-Latn-CS"/>
        </w:rPr>
        <w:t>ispitanika</w:t>
      </w:r>
      <w:r w:rsidRPr="00B22D20">
        <w:rPr>
          <w:szCs w:val="22"/>
          <w:lang w:val="sr-Latn-CS"/>
        </w:rPr>
        <w:t xml:space="preserve">, istovremena </w:t>
      </w:r>
      <w:r w:rsidR="00D77814" w:rsidRPr="00B22D20">
        <w:rPr>
          <w:szCs w:val="22"/>
          <w:lang w:val="sr-Latn-CS"/>
        </w:rPr>
        <w:t>primjen</w:t>
      </w:r>
      <w:r w:rsidRPr="00B22D20">
        <w:rPr>
          <w:szCs w:val="22"/>
          <w:lang w:val="sr-Latn-CS"/>
        </w:rPr>
        <w:t>a klopidogrela i naproksena dovela je do povećanja okultnog gastrointestinalnog krvarenja. Zbog nepostojanja studija</w:t>
      </w:r>
      <w:r w:rsidR="001616E1" w:rsidRPr="00B22D20">
        <w:rPr>
          <w:szCs w:val="22"/>
          <w:lang w:val="sr-Latn-CS"/>
        </w:rPr>
        <w:t xml:space="preserve"> u kojima se prati</w:t>
      </w:r>
      <w:r w:rsidRPr="00B22D20">
        <w:rPr>
          <w:szCs w:val="22"/>
          <w:lang w:val="sr-Latn-CS"/>
        </w:rPr>
        <w:t xml:space="preserve"> interakcija sa ostalim NSAIL, za sada nije jasno da li povećan rizik od gastrointestinalnog krvarenja postoji kod svih NSAIL. Shodno tome, neophodan je oprez pri istovremenoj </w:t>
      </w:r>
      <w:r w:rsidR="00D77814" w:rsidRPr="00B22D20">
        <w:rPr>
          <w:szCs w:val="22"/>
          <w:lang w:val="sr-Latn-CS"/>
        </w:rPr>
        <w:t>primjen</w:t>
      </w:r>
      <w:r w:rsidRPr="00B22D20">
        <w:rPr>
          <w:szCs w:val="22"/>
          <w:lang w:val="sr-Latn-CS"/>
        </w:rPr>
        <w:t xml:space="preserve">i klopidogrela i </w:t>
      </w:r>
      <w:r w:rsidR="00122D4B" w:rsidRPr="00B22D20">
        <w:rPr>
          <w:szCs w:val="22"/>
          <w:lang w:val="sr-Latn-CS"/>
        </w:rPr>
        <w:t>ljekov</w:t>
      </w:r>
      <w:r w:rsidRPr="00B22D20">
        <w:rPr>
          <w:szCs w:val="22"/>
          <w:lang w:val="sr-Latn-CS"/>
        </w:rPr>
        <w:t>a iz grupe NSAIL, uključujući i Cox-2 inhibitore (</w:t>
      </w:r>
      <w:r w:rsidR="00D77814" w:rsidRPr="00B22D20">
        <w:rPr>
          <w:szCs w:val="22"/>
          <w:lang w:val="sr-Latn-CS"/>
        </w:rPr>
        <w:t>vidjet</w:t>
      </w:r>
      <w:r w:rsidRPr="00B22D20">
        <w:rPr>
          <w:szCs w:val="22"/>
          <w:lang w:val="sr-Latn-CS"/>
        </w:rPr>
        <w:t xml:space="preserve">i </w:t>
      </w:r>
      <w:r w:rsidR="00691CE9" w:rsidRPr="00B22D20">
        <w:rPr>
          <w:szCs w:val="22"/>
          <w:lang w:val="sr-Latn-CS"/>
        </w:rPr>
        <w:t>dio</w:t>
      </w:r>
      <w:r w:rsidRPr="00B22D20">
        <w:rPr>
          <w:szCs w:val="22"/>
          <w:lang w:val="sr-Latn-CS"/>
        </w:rPr>
        <w:t xml:space="preserve"> 4.4). </w:t>
      </w:r>
    </w:p>
    <w:p w14:paraId="3B6C6625" w14:textId="04B0B870" w:rsidR="00DF0EEC" w:rsidRPr="00B22D20" w:rsidRDefault="00AC6174">
      <w:pPr>
        <w:spacing w:before="120"/>
        <w:rPr>
          <w:bCs/>
          <w:i/>
          <w:szCs w:val="22"/>
        </w:rPr>
      </w:pPr>
      <w:r w:rsidRPr="00B22D20">
        <w:rPr>
          <w:bCs/>
          <w:i/>
          <w:szCs w:val="22"/>
        </w:rPr>
        <w:t>Se</w:t>
      </w:r>
      <w:r w:rsidR="00AC562A" w:rsidRPr="00B22D20">
        <w:rPr>
          <w:bCs/>
          <w:i/>
          <w:szCs w:val="22"/>
        </w:rPr>
        <w:t>lek</w:t>
      </w:r>
      <w:r w:rsidRPr="00B22D20">
        <w:rPr>
          <w:bCs/>
          <w:i/>
          <w:szCs w:val="22"/>
        </w:rPr>
        <w:t>tivni inhibitori ponovnog preuzimanja serotonina (SSRI):</w:t>
      </w:r>
    </w:p>
    <w:p w14:paraId="489772AE" w14:textId="061EB4EB" w:rsidR="00DF0EEC" w:rsidRPr="00B22D20" w:rsidRDefault="00F3137E">
      <w:pPr>
        <w:rPr>
          <w:szCs w:val="22"/>
          <w:lang w:val="sr-Latn-CS"/>
        </w:rPr>
      </w:pPr>
      <w:r w:rsidRPr="00B22D20">
        <w:rPr>
          <w:szCs w:val="22"/>
          <w:lang w:val="sr-Latn-CS"/>
        </w:rPr>
        <w:t xml:space="preserve">Obzirom da SSRI utiču na aktivaciju trombocita i povećavaju rizik od krvarenja, istovremenu </w:t>
      </w:r>
      <w:r w:rsidR="00D77814" w:rsidRPr="00B22D20">
        <w:rPr>
          <w:szCs w:val="22"/>
          <w:lang w:val="sr-Latn-CS"/>
        </w:rPr>
        <w:t>primjen</w:t>
      </w:r>
      <w:r w:rsidRPr="00B22D20">
        <w:rPr>
          <w:szCs w:val="22"/>
          <w:lang w:val="sr-Latn-CS"/>
        </w:rPr>
        <w:t>u SSRI i klopidogrela treba sprovoditi s oprezom.</w:t>
      </w:r>
    </w:p>
    <w:p w14:paraId="751763DC" w14:textId="44DD9484" w:rsidR="00AC6174" w:rsidRPr="00B22D20" w:rsidRDefault="00F3137E">
      <w:pPr>
        <w:spacing w:before="120"/>
        <w:rPr>
          <w:szCs w:val="22"/>
          <w:lang w:val="sr-Latn-CS"/>
        </w:rPr>
      </w:pPr>
      <w:r w:rsidRPr="00B22D20">
        <w:rPr>
          <w:i/>
          <w:szCs w:val="22"/>
          <w:lang w:val="sr-Latn-CS"/>
        </w:rPr>
        <w:t xml:space="preserve">Ostali istovremeno </w:t>
      </w:r>
      <w:r w:rsidR="00D77814" w:rsidRPr="00B22D20">
        <w:rPr>
          <w:i/>
          <w:szCs w:val="22"/>
          <w:lang w:val="sr-Latn-CS"/>
        </w:rPr>
        <w:t>prim</w:t>
      </w:r>
      <w:r w:rsidR="00122D4B" w:rsidRPr="00B22D20">
        <w:rPr>
          <w:i/>
          <w:szCs w:val="22"/>
          <w:lang w:val="sr-Latn-CS"/>
        </w:rPr>
        <w:t>i</w:t>
      </w:r>
      <w:r w:rsidR="00D77814" w:rsidRPr="00B22D20">
        <w:rPr>
          <w:i/>
          <w:szCs w:val="22"/>
          <w:lang w:val="sr-Latn-CS"/>
        </w:rPr>
        <w:t>jen</w:t>
      </w:r>
      <w:r w:rsidRPr="00B22D20">
        <w:rPr>
          <w:i/>
          <w:szCs w:val="22"/>
          <w:lang w:val="sr-Latn-CS"/>
        </w:rPr>
        <w:t xml:space="preserve">jeni </w:t>
      </w:r>
      <w:r w:rsidR="00AC562A" w:rsidRPr="00B22D20">
        <w:rPr>
          <w:i/>
          <w:szCs w:val="22"/>
          <w:lang w:val="sr-Latn-CS"/>
        </w:rPr>
        <w:t>ljek</w:t>
      </w:r>
      <w:r w:rsidRPr="00B22D20">
        <w:rPr>
          <w:i/>
          <w:szCs w:val="22"/>
          <w:lang w:val="sr-Latn-CS"/>
        </w:rPr>
        <w:t>ovi</w:t>
      </w:r>
      <w:r w:rsidRPr="00B22D20">
        <w:rPr>
          <w:szCs w:val="22"/>
          <w:lang w:val="sr-Latn-CS"/>
        </w:rPr>
        <w:t xml:space="preserve">: </w:t>
      </w:r>
    </w:p>
    <w:p w14:paraId="7EE38A66" w14:textId="77777777" w:rsidR="002C082D" w:rsidRPr="00B22D20" w:rsidRDefault="002C082D">
      <w:pPr>
        <w:rPr>
          <w:szCs w:val="22"/>
          <w:lang w:val="sr-Latn-CS"/>
        </w:rPr>
      </w:pPr>
      <w:r w:rsidRPr="00B22D20">
        <w:rPr>
          <w:szCs w:val="22"/>
          <w:lang w:val="sr-Latn-CS"/>
        </w:rPr>
        <w:t>Induktori CYP2C19</w:t>
      </w:r>
    </w:p>
    <w:p w14:paraId="7A4170CC" w14:textId="36613E15" w:rsidR="002C082D" w:rsidRPr="00B22D20" w:rsidRDefault="002C082D">
      <w:pPr>
        <w:rPr>
          <w:szCs w:val="22"/>
          <w:lang w:val="sr-Latn-CS"/>
        </w:rPr>
      </w:pPr>
      <w:r w:rsidRPr="00B22D20">
        <w:rPr>
          <w:szCs w:val="22"/>
          <w:lang w:val="sr-Latn-CS"/>
        </w:rPr>
        <w:t>Obzirom da se klopidogrel do svog aktivnog metabolita d</w:t>
      </w:r>
      <w:r w:rsidR="004D2504" w:rsidRPr="00B22D20">
        <w:rPr>
          <w:szCs w:val="22"/>
          <w:lang w:val="sr-Latn-CS"/>
        </w:rPr>
        <w:t>j</w:t>
      </w:r>
      <w:r w:rsidRPr="00B22D20">
        <w:rPr>
          <w:szCs w:val="22"/>
          <w:lang w:val="sr-Latn-CS"/>
        </w:rPr>
        <w:t>elimično metabolše enzimom CYP2C19, očekuje se da će prim</w:t>
      </w:r>
      <w:r w:rsidR="004D2504" w:rsidRPr="00B22D20">
        <w:rPr>
          <w:szCs w:val="22"/>
          <w:lang w:val="sr-Latn-CS"/>
        </w:rPr>
        <w:t>j</w:t>
      </w:r>
      <w:r w:rsidRPr="00B22D20">
        <w:rPr>
          <w:szCs w:val="22"/>
          <w:lang w:val="sr-Latn-CS"/>
        </w:rPr>
        <w:t>ena l</w:t>
      </w:r>
      <w:r w:rsidR="004D2504" w:rsidRPr="00B22D20">
        <w:rPr>
          <w:szCs w:val="22"/>
          <w:lang w:val="sr-Latn-CS"/>
        </w:rPr>
        <w:t>j</w:t>
      </w:r>
      <w:r w:rsidRPr="00B22D20">
        <w:rPr>
          <w:szCs w:val="22"/>
          <w:lang w:val="sr-Latn-CS"/>
        </w:rPr>
        <w:t>ekova koji indukuju aktivnost ovog enzima dovesti do povećanih vr</w:t>
      </w:r>
      <w:r w:rsidR="004D2504" w:rsidRPr="00B22D20">
        <w:rPr>
          <w:szCs w:val="22"/>
          <w:lang w:val="sr-Latn-CS"/>
        </w:rPr>
        <w:t>ij</w:t>
      </w:r>
      <w:r w:rsidRPr="00B22D20">
        <w:rPr>
          <w:szCs w:val="22"/>
          <w:lang w:val="sr-Latn-CS"/>
        </w:rPr>
        <w:t>ednosti aktivnog metabolita klopidogrela.</w:t>
      </w:r>
    </w:p>
    <w:p w14:paraId="3B914B27" w14:textId="5C56DB65" w:rsidR="002C082D" w:rsidRPr="00B22D20" w:rsidRDefault="002C082D">
      <w:pPr>
        <w:rPr>
          <w:szCs w:val="22"/>
          <w:lang w:val="sr-Latn-CS"/>
        </w:rPr>
      </w:pPr>
      <w:r w:rsidRPr="00B22D20">
        <w:rPr>
          <w:szCs w:val="22"/>
          <w:lang w:val="sr-Latn-CS"/>
        </w:rPr>
        <w:t>Rifampicin snažno indukuje CYP2C19 što dovodi i do povećanih vr</w:t>
      </w:r>
      <w:r w:rsidR="004D2504" w:rsidRPr="00B22D20">
        <w:rPr>
          <w:szCs w:val="22"/>
          <w:lang w:val="sr-Latn-CS"/>
        </w:rPr>
        <w:t>ij</w:t>
      </w:r>
      <w:r w:rsidRPr="00B22D20">
        <w:rPr>
          <w:szCs w:val="22"/>
          <w:lang w:val="sr-Latn-CS"/>
        </w:rPr>
        <w:t>ednosti aktivnog metabolita klopidogrela i do inhibicije trombocita, a što posebno može pojačati rizik od krvarenja. Kao m</w:t>
      </w:r>
      <w:r w:rsidR="004D2504" w:rsidRPr="00B22D20">
        <w:rPr>
          <w:szCs w:val="22"/>
          <w:lang w:val="sr-Latn-CS"/>
        </w:rPr>
        <w:t>j</w:t>
      </w:r>
      <w:r w:rsidRPr="00B22D20">
        <w:rPr>
          <w:szCs w:val="22"/>
          <w:lang w:val="sr-Latn-CS"/>
        </w:rPr>
        <w:t>era opreza, ne preporučuje se istovremena prim</w:t>
      </w:r>
      <w:r w:rsidR="004D2504" w:rsidRPr="00B22D20">
        <w:rPr>
          <w:szCs w:val="22"/>
          <w:lang w:val="sr-Latn-CS"/>
        </w:rPr>
        <w:t>j</w:t>
      </w:r>
      <w:r w:rsidRPr="00B22D20">
        <w:rPr>
          <w:szCs w:val="22"/>
          <w:lang w:val="sr-Latn-CS"/>
        </w:rPr>
        <w:t>ena sa l</w:t>
      </w:r>
      <w:r w:rsidR="004D2504" w:rsidRPr="00B22D20">
        <w:rPr>
          <w:szCs w:val="22"/>
          <w:lang w:val="sr-Latn-CS"/>
        </w:rPr>
        <w:t>j</w:t>
      </w:r>
      <w:r w:rsidRPr="00B22D20">
        <w:rPr>
          <w:szCs w:val="22"/>
          <w:lang w:val="sr-Latn-CS"/>
        </w:rPr>
        <w:t>ekovima koji su jaki induktori CYP2C19 (vid</w:t>
      </w:r>
      <w:r w:rsidR="00F5071B" w:rsidRPr="00B22D20">
        <w:rPr>
          <w:szCs w:val="22"/>
          <w:lang w:val="sr-Latn-CS"/>
        </w:rPr>
        <w:t>j</w:t>
      </w:r>
      <w:r w:rsidRPr="00B22D20">
        <w:rPr>
          <w:szCs w:val="22"/>
          <w:lang w:val="sr-Latn-CS"/>
        </w:rPr>
        <w:t xml:space="preserve">eti </w:t>
      </w:r>
      <w:r w:rsidR="00691CE9" w:rsidRPr="00B22D20">
        <w:rPr>
          <w:szCs w:val="22"/>
          <w:lang w:val="sr-Latn-CS"/>
        </w:rPr>
        <w:t>dio</w:t>
      </w:r>
      <w:r w:rsidRPr="00B22D20">
        <w:rPr>
          <w:szCs w:val="22"/>
          <w:lang w:val="sr-Latn-CS"/>
        </w:rPr>
        <w:t xml:space="preserve"> 4.4).</w:t>
      </w:r>
    </w:p>
    <w:p w14:paraId="589CC1A5" w14:textId="77777777" w:rsidR="00691CE9" w:rsidRPr="00B22D20" w:rsidRDefault="00691CE9">
      <w:pPr>
        <w:rPr>
          <w:szCs w:val="22"/>
          <w:lang w:val="sr-Latn-CS"/>
        </w:rPr>
      </w:pPr>
    </w:p>
    <w:p w14:paraId="36FE5CA8" w14:textId="77777777" w:rsidR="002C082D" w:rsidRPr="00B22D20" w:rsidRDefault="002C082D">
      <w:pPr>
        <w:rPr>
          <w:szCs w:val="22"/>
          <w:lang w:val="sr-Latn-CS"/>
        </w:rPr>
      </w:pPr>
      <w:r w:rsidRPr="00B22D20">
        <w:rPr>
          <w:szCs w:val="22"/>
          <w:lang w:val="sr-Latn-CS"/>
        </w:rPr>
        <w:t>Inhibitori CYP2C19</w:t>
      </w:r>
    </w:p>
    <w:p w14:paraId="1F5DBFB7" w14:textId="55D22B86" w:rsidR="00D64EE6" w:rsidRPr="00B22D20" w:rsidRDefault="00F3137E">
      <w:pPr>
        <w:rPr>
          <w:szCs w:val="22"/>
          <w:lang w:val="sr-Latn-CS"/>
        </w:rPr>
      </w:pPr>
      <w:r w:rsidRPr="00B22D20">
        <w:rPr>
          <w:szCs w:val="22"/>
          <w:lang w:val="sr-Latn-CS"/>
        </w:rPr>
        <w:t>Pošto se klopidogrel metaboliše do svog aktivnog metabolita d</w:t>
      </w:r>
      <w:r w:rsidR="00122D4B" w:rsidRPr="00B22D20">
        <w:rPr>
          <w:szCs w:val="22"/>
          <w:lang w:val="sr-Latn-CS"/>
        </w:rPr>
        <w:t>j</w:t>
      </w:r>
      <w:r w:rsidRPr="00B22D20">
        <w:rPr>
          <w:szCs w:val="22"/>
          <w:lang w:val="sr-Latn-CS"/>
        </w:rPr>
        <w:t xml:space="preserve">elimično putem CYP2C19, pri upotrebi </w:t>
      </w:r>
      <w:r w:rsidR="00122D4B" w:rsidRPr="00B22D20">
        <w:rPr>
          <w:szCs w:val="22"/>
          <w:lang w:val="sr-Latn-CS"/>
        </w:rPr>
        <w:t>ljekov</w:t>
      </w:r>
      <w:r w:rsidRPr="00B22D20">
        <w:rPr>
          <w:szCs w:val="22"/>
          <w:lang w:val="sr-Latn-CS"/>
        </w:rPr>
        <w:t xml:space="preserve">a koji inhibiraju aktivnost ovog enzima može se očekivati smanjen nivo aktivnog metabolita klopidogrela, a samim tim i smanjena klinička efikasnost </w:t>
      </w:r>
      <w:r w:rsidR="00AC562A" w:rsidRPr="00B22D20">
        <w:rPr>
          <w:szCs w:val="22"/>
          <w:lang w:val="sr-Latn-CS"/>
        </w:rPr>
        <w:t>lijek</w:t>
      </w:r>
      <w:r w:rsidRPr="00B22D20">
        <w:rPr>
          <w:szCs w:val="22"/>
          <w:lang w:val="sr-Latn-CS"/>
        </w:rPr>
        <w:t>a. Klinički značaj ovih interakcija je nejasan. Kao m</w:t>
      </w:r>
      <w:r w:rsidR="00122D4B" w:rsidRPr="00B22D20">
        <w:rPr>
          <w:szCs w:val="22"/>
          <w:lang w:val="sr-Latn-CS"/>
        </w:rPr>
        <w:t>j</w:t>
      </w:r>
      <w:r w:rsidRPr="00B22D20">
        <w:rPr>
          <w:szCs w:val="22"/>
          <w:lang w:val="sr-Latn-CS"/>
        </w:rPr>
        <w:t xml:space="preserve">eru predostrožnosti, istovremenu upotrebu </w:t>
      </w:r>
      <w:r w:rsidR="00122D4B" w:rsidRPr="00B22D20">
        <w:rPr>
          <w:szCs w:val="22"/>
          <w:lang w:val="sr-Latn-CS"/>
        </w:rPr>
        <w:t>ljekov</w:t>
      </w:r>
      <w:r w:rsidRPr="00B22D20">
        <w:rPr>
          <w:szCs w:val="22"/>
          <w:lang w:val="sr-Latn-CS"/>
        </w:rPr>
        <w:t>a koji su snažni ili um</w:t>
      </w:r>
      <w:r w:rsidR="00122D4B" w:rsidRPr="00B22D20">
        <w:rPr>
          <w:szCs w:val="22"/>
          <w:lang w:val="sr-Latn-CS"/>
        </w:rPr>
        <w:t>j</w:t>
      </w:r>
      <w:r w:rsidRPr="00B22D20">
        <w:rPr>
          <w:szCs w:val="22"/>
          <w:lang w:val="sr-Latn-CS"/>
        </w:rPr>
        <w:t>ereni CYP2C19 inhibitori treba izb</w:t>
      </w:r>
      <w:r w:rsidR="00122D4B" w:rsidRPr="00B22D20">
        <w:rPr>
          <w:szCs w:val="22"/>
          <w:lang w:val="sr-Latn-CS"/>
        </w:rPr>
        <w:t>j</w:t>
      </w:r>
      <w:r w:rsidRPr="00B22D20">
        <w:rPr>
          <w:szCs w:val="22"/>
          <w:lang w:val="sr-Latn-CS"/>
        </w:rPr>
        <w:t>egavati (</w:t>
      </w:r>
      <w:r w:rsidR="00D77814" w:rsidRPr="00B22D20">
        <w:rPr>
          <w:szCs w:val="22"/>
          <w:lang w:val="sr-Latn-CS"/>
        </w:rPr>
        <w:t>vidjet</w:t>
      </w:r>
      <w:r w:rsidR="00DF0EEC" w:rsidRPr="00B22D20">
        <w:rPr>
          <w:szCs w:val="22"/>
          <w:lang w:val="sr-Latn-CS"/>
        </w:rPr>
        <w:t xml:space="preserve">i </w:t>
      </w:r>
      <w:r w:rsidR="00691CE9" w:rsidRPr="00B22D20">
        <w:rPr>
          <w:szCs w:val="22"/>
          <w:lang w:val="sr-Latn-CS"/>
        </w:rPr>
        <w:t>djelove</w:t>
      </w:r>
      <w:r w:rsidR="00DF0EEC" w:rsidRPr="00B22D20">
        <w:rPr>
          <w:szCs w:val="22"/>
          <w:lang w:val="sr-Latn-CS"/>
        </w:rPr>
        <w:t xml:space="preserve"> 4.4 i 5.2</w:t>
      </w:r>
      <w:r w:rsidRPr="00B22D20">
        <w:rPr>
          <w:szCs w:val="22"/>
          <w:lang w:val="sr-Latn-CS"/>
        </w:rPr>
        <w:t>).</w:t>
      </w:r>
    </w:p>
    <w:p w14:paraId="5D283A75" w14:textId="7ADC8F04" w:rsidR="00F3137E" w:rsidRPr="00B22D20" w:rsidRDefault="00122D4B">
      <w:pPr>
        <w:rPr>
          <w:rFonts w:eastAsia="MS Mincho"/>
          <w:szCs w:val="22"/>
          <w:lang w:val="sr-Latn-CS" w:eastAsia="ja-JP"/>
        </w:rPr>
      </w:pPr>
      <w:r w:rsidRPr="00B22D20">
        <w:rPr>
          <w:szCs w:val="22"/>
          <w:lang w:val="sr-Latn-CS"/>
        </w:rPr>
        <w:t>Ljekov</w:t>
      </w:r>
      <w:r w:rsidR="00F3137E" w:rsidRPr="00B22D20">
        <w:rPr>
          <w:szCs w:val="22"/>
          <w:lang w:val="sr-Latn-CS"/>
        </w:rPr>
        <w:t xml:space="preserve">i koji </w:t>
      </w:r>
      <w:r w:rsidR="008D121E" w:rsidRPr="00B22D20">
        <w:rPr>
          <w:szCs w:val="22"/>
          <w:lang w:val="sr-Latn-CS"/>
        </w:rPr>
        <w:t>su jaki ili umjereni inhibitori</w:t>
      </w:r>
      <w:r w:rsidR="0096790D" w:rsidRPr="00B22D20">
        <w:rPr>
          <w:szCs w:val="22"/>
          <w:lang w:val="sr-Latn-CS"/>
        </w:rPr>
        <w:t xml:space="preserve"> </w:t>
      </w:r>
      <w:r w:rsidR="00F3137E" w:rsidRPr="00B22D20">
        <w:rPr>
          <w:szCs w:val="22"/>
          <w:lang w:val="sr-Latn-CS"/>
        </w:rPr>
        <w:t>CYP2C19 uključuju</w:t>
      </w:r>
      <w:r w:rsidR="008D121E" w:rsidRPr="00B22D20">
        <w:rPr>
          <w:szCs w:val="22"/>
          <w:lang w:val="sr-Latn-CS"/>
        </w:rPr>
        <w:t>, na primjer</w:t>
      </w:r>
      <w:r w:rsidR="00F3137E" w:rsidRPr="00B22D20">
        <w:rPr>
          <w:szCs w:val="22"/>
          <w:lang w:val="sr-Latn-CS"/>
        </w:rPr>
        <w:t xml:space="preserve"> </w:t>
      </w:r>
      <w:r w:rsidR="00F3137E" w:rsidRPr="00B22D20">
        <w:rPr>
          <w:rFonts w:eastAsia="MS Mincho"/>
          <w:szCs w:val="22"/>
          <w:lang w:val="sr-Latn-CS" w:eastAsia="ja-JP"/>
        </w:rPr>
        <w:t>omeprazol i esomeprazol, fluvoksamin, fluoksetin, moklobemid, vorik</w:t>
      </w:r>
      <w:r w:rsidR="00837830" w:rsidRPr="00B22D20">
        <w:rPr>
          <w:rFonts w:eastAsia="MS Mincho"/>
          <w:szCs w:val="22"/>
          <w:lang w:val="sr-Latn-CS" w:eastAsia="ja-JP"/>
        </w:rPr>
        <w:t>onazol, flukonazol, tiklopidin,</w:t>
      </w:r>
      <w:r w:rsidR="008C3AA9" w:rsidRPr="00B22D20">
        <w:rPr>
          <w:rFonts w:eastAsia="MS Mincho"/>
          <w:szCs w:val="22"/>
          <w:lang w:val="sr-Latn-CS" w:eastAsia="ja-JP"/>
        </w:rPr>
        <w:t xml:space="preserve"> karbamazepin</w:t>
      </w:r>
      <w:r w:rsidR="00F3137E" w:rsidRPr="00B22D20">
        <w:rPr>
          <w:rFonts w:eastAsia="MS Mincho"/>
          <w:szCs w:val="22"/>
          <w:lang w:val="sr-Latn-CS" w:eastAsia="ja-JP"/>
        </w:rPr>
        <w:t xml:space="preserve"> </w:t>
      </w:r>
      <w:r w:rsidR="00837830" w:rsidRPr="00B22D20">
        <w:rPr>
          <w:rFonts w:eastAsia="MS Mincho"/>
          <w:szCs w:val="22"/>
          <w:lang w:val="sr-Latn-CS" w:eastAsia="ja-JP"/>
        </w:rPr>
        <w:t>i efavirenz.</w:t>
      </w:r>
    </w:p>
    <w:p w14:paraId="6B578965" w14:textId="77777777" w:rsidR="00F3137E" w:rsidRPr="00B22D20" w:rsidRDefault="00F3137E">
      <w:pPr>
        <w:spacing w:before="120"/>
        <w:rPr>
          <w:color w:val="FF0000"/>
          <w:szCs w:val="22"/>
          <w:lang w:val="sr-Latn-CS"/>
        </w:rPr>
      </w:pPr>
      <w:r w:rsidRPr="00B22D20">
        <w:rPr>
          <w:szCs w:val="22"/>
          <w:lang w:val="sr-Latn-CS"/>
        </w:rPr>
        <w:t>Inhibitori protonske pumpe (IPP):</w:t>
      </w:r>
    </w:p>
    <w:p w14:paraId="183EE14E" w14:textId="6E362143" w:rsidR="00F3137E" w:rsidRPr="00B22D20" w:rsidRDefault="00F3137E">
      <w:pPr>
        <w:rPr>
          <w:szCs w:val="22"/>
          <w:lang w:val="sr-Latn-CS"/>
        </w:rPr>
      </w:pPr>
      <w:r w:rsidRPr="00B22D20">
        <w:rPr>
          <w:szCs w:val="22"/>
        </w:rPr>
        <w:t>Omeprazol</w:t>
      </w:r>
      <w:r w:rsidRPr="00B22D20">
        <w:rPr>
          <w:szCs w:val="22"/>
          <w:lang w:val="sr-Latn-CS"/>
        </w:rPr>
        <w:t xml:space="preserve"> </w:t>
      </w:r>
      <w:r w:rsidR="00D77814" w:rsidRPr="00B22D20">
        <w:rPr>
          <w:szCs w:val="22"/>
        </w:rPr>
        <w:t>prim</w:t>
      </w:r>
      <w:r w:rsidR="00122D4B" w:rsidRPr="00B22D20">
        <w:rPr>
          <w:szCs w:val="22"/>
        </w:rPr>
        <w:t>ij</w:t>
      </w:r>
      <w:r w:rsidR="00D77814" w:rsidRPr="00B22D20">
        <w:rPr>
          <w:szCs w:val="22"/>
        </w:rPr>
        <w:t>en</w:t>
      </w:r>
      <w:r w:rsidRPr="00B22D20">
        <w:rPr>
          <w:szCs w:val="22"/>
        </w:rPr>
        <w:t>jen</w:t>
      </w:r>
      <w:r w:rsidRPr="00B22D20">
        <w:rPr>
          <w:szCs w:val="22"/>
          <w:lang w:val="sr-Latn-CS"/>
        </w:rPr>
        <w:t xml:space="preserve"> </w:t>
      </w:r>
      <w:r w:rsidRPr="00B22D20">
        <w:rPr>
          <w:szCs w:val="22"/>
        </w:rPr>
        <w:t>u</w:t>
      </w:r>
      <w:r w:rsidRPr="00B22D20">
        <w:rPr>
          <w:szCs w:val="22"/>
          <w:lang w:val="sr-Latn-CS"/>
        </w:rPr>
        <w:t xml:space="preserve"> </w:t>
      </w:r>
      <w:r w:rsidRPr="00B22D20">
        <w:rPr>
          <w:szCs w:val="22"/>
        </w:rPr>
        <w:t>dozi</w:t>
      </w:r>
      <w:r w:rsidRPr="00B22D20">
        <w:rPr>
          <w:szCs w:val="22"/>
          <w:lang w:val="sr-Latn-CS"/>
        </w:rPr>
        <w:t xml:space="preserve"> </w:t>
      </w:r>
      <w:proofErr w:type="gramStart"/>
      <w:r w:rsidRPr="00B22D20">
        <w:rPr>
          <w:szCs w:val="22"/>
        </w:rPr>
        <w:t>od</w:t>
      </w:r>
      <w:proofErr w:type="gramEnd"/>
      <w:r w:rsidRPr="00B22D20">
        <w:rPr>
          <w:szCs w:val="22"/>
          <w:lang w:val="sr-Latn-CS"/>
        </w:rPr>
        <w:t xml:space="preserve"> 80 </w:t>
      </w:r>
      <w:r w:rsidRPr="00B22D20">
        <w:rPr>
          <w:szCs w:val="22"/>
        </w:rPr>
        <w:t>mg</w:t>
      </w:r>
      <w:r w:rsidRPr="00B22D20">
        <w:rPr>
          <w:szCs w:val="22"/>
          <w:lang w:val="sr-Latn-CS"/>
        </w:rPr>
        <w:t xml:space="preserve"> </w:t>
      </w:r>
      <w:r w:rsidRPr="00B22D20">
        <w:rPr>
          <w:szCs w:val="22"/>
        </w:rPr>
        <w:t>dnevno</w:t>
      </w:r>
      <w:r w:rsidRPr="00B22D20">
        <w:rPr>
          <w:szCs w:val="22"/>
          <w:lang w:val="sr-Latn-CS"/>
        </w:rPr>
        <w:t xml:space="preserve">, </w:t>
      </w:r>
      <w:r w:rsidR="00D77814" w:rsidRPr="00B22D20">
        <w:rPr>
          <w:szCs w:val="22"/>
        </w:rPr>
        <w:t>prim</w:t>
      </w:r>
      <w:r w:rsidR="006F12BE" w:rsidRPr="00B22D20">
        <w:rPr>
          <w:szCs w:val="22"/>
        </w:rPr>
        <w:t>i</w:t>
      </w:r>
      <w:r w:rsidR="00D77814" w:rsidRPr="00B22D20">
        <w:rPr>
          <w:szCs w:val="22"/>
        </w:rPr>
        <w:t>jen</w:t>
      </w:r>
      <w:r w:rsidRPr="00B22D20">
        <w:rPr>
          <w:szCs w:val="22"/>
        </w:rPr>
        <w:t>jen</w:t>
      </w:r>
      <w:r w:rsidRPr="00B22D20">
        <w:rPr>
          <w:szCs w:val="22"/>
          <w:lang w:val="sr-Latn-CS"/>
        </w:rPr>
        <w:t xml:space="preserve"> </w:t>
      </w:r>
      <w:r w:rsidRPr="00B22D20">
        <w:rPr>
          <w:szCs w:val="22"/>
        </w:rPr>
        <w:t>istovremeno</w:t>
      </w:r>
      <w:r w:rsidRPr="00B22D20">
        <w:rPr>
          <w:szCs w:val="22"/>
          <w:lang w:val="sr-Latn-CS"/>
        </w:rPr>
        <w:t xml:space="preserve"> </w:t>
      </w:r>
      <w:r w:rsidRPr="00B22D20">
        <w:rPr>
          <w:szCs w:val="22"/>
        </w:rPr>
        <w:t>s</w:t>
      </w:r>
      <w:r w:rsidR="008C3AA9" w:rsidRPr="00B22D20">
        <w:rPr>
          <w:szCs w:val="22"/>
        </w:rPr>
        <w:t>a</w:t>
      </w:r>
      <w:r w:rsidRPr="00B22D20">
        <w:rPr>
          <w:szCs w:val="22"/>
          <w:lang w:val="sr-Latn-CS"/>
        </w:rPr>
        <w:t xml:space="preserve"> </w:t>
      </w:r>
      <w:r w:rsidRPr="00B22D20">
        <w:rPr>
          <w:szCs w:val="22"/>
        </w:rPr>
        <w:t>klopidogrelom</w:t>
      </w:r>
      <w:r w:rsidRPr="00B22D20">
        <w:rPr>
          <w:szCs w:val="22"/>
          <w:lang w:val="sr-Latn-CS"/>
        </w:rPr>
        <w:t xml:space="preserve"> </w:t>
      </w:r>
      <w:r w:rsidRPr="00B22D20">
        <w:rPr>
          <w:szCs w:val="22"/>
        </w:rPr>
        <w:t>ili</w:t>
      </w:r>
      <w:r w:rsidRPr="00B22D20">
        <w:rPr>
          <w:szCs w:val="22"/>
          <w:lang w:val="sr-Latn-CS"/>
        </w:rPr>
        <w:t xml:space="preserve"> </w:t>
      </w:r>
      <w:r w:rsidRPr="00B22D20">
        <w:rPr>
          <w:szCs w:val="22"/>
        </w:rPr>
        <w:t>s</w:t>
      </w:r>
      <w:r w:rsidR="008C3AA9" w:rsidRPr="00B22D20">
        <w:rPr>
          <w:szCs w:val="22"/>
        </w:rPr>
        <w:t>a</w:t>
      </w:r>
      <w:r w:rsidRPr="00B22D20">
        <w:rPr>
          <w:szCs w:val="22"/>
          <w:lang w:val="sr-Latn-CS"/>
        </w:rPr>
        <w:t xml:space="preserve"> </w:t>
      </w:r>
      <w:r w:rsidRPr="00B22D20">
        <w:rPr>
          <w:szCs w:val="22"/>
        </w:rPr>
        <w:t>razmakom</w:t>
      </w:r>
      <w:r w:rsidRPr="00B22D20">
        <w:rPr>
          <w:szCs w:val="22"/>
          <w:lang w:val="sr-Latn-CS"/>
        </w:rPr>
        <w:t xml:space="preserve"> </w:t>
      </w:r>
      <w:r w:rsidRPr="00B22D20">
        <w:rPr>
          <w:szCs w:val="22"/>
        </w:rPr>
        <w:t>od</w:t>
      </w:r>
      <w:r w:rsidRPr="00B22D20">
        <w:rPr>
          <w:szCs w:val="22"/>
          <w:lang w:val="sr-Latn-CS"/>
        </w:rPr>
        <w:t xml:space="preserve"> 12 </w:t>
      </w:r>
      <w:r w:rsidRPr="00B22D20">
        <w:rPr>
          <w:szCs w:val="22"/>
        </w:rPr>
        <w:t>sati</w:t>
      </w:r>
      <w:r w:rsidRPr="00B22D20">
        <w:rPr>
          <w:szCs w:val="22"/>
          <w:lang w:val="sr-Latn-CS"/>
        </w:rPr>
        <w:t xml:space="preserve"> </w:t>
      </w:r>
      <w:r w:rsidRPr="00B22D20">
        <w:rPr>
          <w:szCs w:val="22"/>
        </w:rPr>
        <w:t>izme</w:t>
      </w:r>
      <w:r w:rsidRPr="00B22D20">
        <w:rPr>
          <w:szCs w:val="22"/>
          <w:lang w:val="sr-Latn-CS"/>
        </w:rPr>
        <w:t>đ</w:t>
      </w:r>
      <w:r w:rsidRPr="00B22D20">
        <w:rPr>
          <w:szCs w:val="22"/>
        </w:rPr>
        <w:t>u</w:t>
      </w:r>
      <w:r w:rsidRPr="00B22D20">
        <w:rPr>
          <w:szCs w:val="22"/>
          <w:lang w:val="sr-Latn-CS"/>
        </w:rPr>
        <w:t xml:space="preserve"> </w:t>
      </w:r>
      <w:r w:rsidR="00D77814" w:rsidRPr="00B22D20">
        <w:rPr>
          <w:szCs w:val="22"/>
        </w:rPr>
        <w:t>primjen</w:t>
      </w:r>
      <w:r w:rsidRPr="00B22D20">
        <w:rPr>
          <w:szCs w:val="22"/>
        </w:rPr>
        <w:t>e</w:t>
      </w:r>
      <w:r w:rsidRPr="00B22D20">
        <w:rPr>
          <w:szCs w:val="22"/>
          <w:lang w:val="sr-Latn-CS"/>
        </w:rPr>
        <w:t xml:space="preserve"> </w:t>
      </w:r>
      <w:r w:rsidRPr="00B22D20">
        <w:rPr>
          <w:szCs w:val="22"/>
        </w:rPr>
        <w:t>dva</w:t>
      </w:r>
      <w:r w:rsidRPr="00B22D20">
        <w:rPr>
          <w:szCs w:val="22"/>
          <w:lang w:val="sr-Latn-CS"/>
        </w:rPr>
        <w:t xml:space="preserve"> </w:t>
      </w:r>
      <w:r w:rsidR="00AC562A" w:rsidRPr="00B22D20">
        <w:rPr>
          <w:szCs w:val="22"/>
        </w:rPr>
        <w:t>lijek</w:t>
      </w:r>
      <w:r w:rsidRPr="00B22D20">
        <w:rPr>
          <w:szCs w:val="22"/>
        </w:rPr>
        <w:t>a</w:t>
      </w:r>
      <w:r w:rsidRPr="00B22D20">
        <w:rPr>
          <w:szCs w:val="22"/>
          <w:lang w:val="sr-Latn-CS"/>
        </w:rPr>
        <w:t xml:space="preserve">, </w:t>
      </w:r>
      <w:r w:rsidRPr="00B22D20">
        <w:rPr>
          <w:szCs w:val="22"/>
        </w:rPr>
        <w:t>smanjio</w:t>
      </w:r>
      <w:r w:rsidRPr="00B22D20">
        <w:rPr>
          <w:szCs w:val="22"/>
          <w:lang w:val="sr-Latn-CS"/>
        </w:rPr>
        <w:t xml:space="preserve"> </w:t>
      </w:r>
      <w:r w:rsidRPr="00B22D20">
        <w:rPr>
          <w:szCs w:val="22"/>
        </w:rPr>
        <w:t>je</w:t>
      </w:r>
      <w:r w:rsidRPr="00B22D20">
        <w:rPr>
          <w:szCs w:val="22"/>
          <w:lang w:val="sr-Latn-CS"/>
        </w:rPr>
        <w:t xml:space="preserve"> </w:t>
      </w:r>
      <w:r w:rsidRPr="00B22D20">
        <w:rPr>
          <w:szCs w:val="22"/>
        </w:rPr>
        <w:t>izlo</w:t>
      </w:r>
      <w:r w:rsidRPr="00B22D20">
        <w:rPr>
          <w:szCs w:val="22"/>
          <w:lang w:val="sr-Latn-CS"/>
        </w:rPr>
        <w:t>ž</w:t>
      </w:r>
      <w:r w:rsidRPr="00B22D20">
        <w:rPr>
          <w:szCs w:val="22"/>
        </w:rPr>
        <w:t>enost</w:t>
      </w:r>
      <w:r w:rsidRPr="00B22D20">
        <w:rPr>
          <w:szCs w:val="22"/>
          <w:lang w:val="sr-Latn-CS"/>
        </w:rPr>
        <w:t xml:space="preserve"> </w:t>
      </w:r>
      <w:r w:rsidRPr="00B22D20">
        <w:rPr>
          <w:szCs w:val="22"/>
        </w:rPr>
        <w:t>aktivnom</w:t>
      </w:r>
      <w:r w:rsidRPr="00B22D20">
        <w:rPr>
          <w:szCs w:val="22"/>
          <w:lang w:val="sr-Latn-CS"/>
        </w:rPr>
        <w:t xml:space="preserve"> </w:t>
      </w:r>
      <w:r w:rsidRPr="00B22D20">
        <w:rPr>
          <w:szCs w:val="22"/>
        </w:rPr>
        <w:t>metabolitu</w:t>
      </w:r>
      <w:r w:rsidRPr="00B22D20">
        <w:rPr>
          <w:szCs w:val="22"/>
          <w:lang w:val="sr-Latn-CS"/>
        </w:rPr>
        <w:t xml:space="preserve"> </w:t>
      </w:r>
      <w:r w:rsidRPr="00B22D20">
        <w:rPr>
          <w:szCs w:val="22"/>
        </w:rPr>
        <w:t>klopidogrela</w:t>
      </w:r>
      <w:r w:rsidRPr="00B22D20">
        <w:rPr>
          <w:szCs w:val="22"/>
          <w:lang w:val="sr-Latn-CS"/>
        </w:rPr>
        <w:t xml:space="preserve"> </w:t>
      </w:r>
      <w:r w:rsidRPr="00B22D20">
        <w:rPr>
          <w:szCs w:val="22"/>
        </w:rPr>
        <w:t>za</w:t>
      </w:r>
      <w:r w:rsidRPr="00B22D20">
        <w:rPr>
          <w:szCs w:val="22"/>
          <w:lang w:val="sr-Latn-CS"/>
        </w:rPr>
        <w:t xml:space="preserve"> 45% (</w:t>
      </w:r>
      <w:r w:rsidRPr="00B22D20">
        <w:rPr>
          <w:szCs w:val="22"/>
        </w:rPr>
        <w:t>udarna</w:t>
      </w:r>
      <w:r w:rsidRPr="00B22D20">
        <w:rPr>
          <w:szCs w:val="22"/>
          <w:lang w:val="sr-Latn-CS"/>
        </w:rPr>
        <w:t xml:space="preserve"> </w:t>
      </w:r>
      <w:r w:rsidRPr="00B22D20">
        <w:rPr>
          <w:szCs w:val="22"/>
        </w:rPr>
        <w:t>doza</w:t>
      </w:r>
      <w:r w:rsidRPr="00B22D20">
        <w:rPr>
          <w:szCs w:val="22"/>
          <w:lang w:val="sr-Latn-CS"/>
        </w:rPr>
        <w:t xml:space="preserve">) </w:t>
      </w:r>
      <w:r w:rsidRPr="00B22D20">
        <w:rPr>
          <w:szCs w:val="22"/>
        </w:rPr>
        <w:t>i</w:t>
      </w:r>
      <w:r w:rsidRPr="00B22D20">
        <w:rPr>
          <w:szCs w:val="22"/>
          <w:lang w:val="sr-Latn-CS"/>
        </w:rPr>
        <w:t xml:space="preserve"> 40% (</w:t>
      </w:r>
      <w:r w:rsidRPr="00B22D20">
        <w:rPr>
          <w:szCs w:val="22"/>
        </w:rPr>
        <w:t>doza</w:t>
      </w:r>
      <w:r w:rsidRPr="00B22D20">
        <w:rPr>
          <w:szCs w:val="22"/>
          <w:lang w:val="sr-Latn-CS"/>
        </w:rPr>
        <w:t xml:space="preserve"> </w:t>
      </w:r>
      <w:r w:rsidRPr="00B22D20">
        <w:rPr>
          <w:szCs w:val="22"/>
        </w:rPr>
        <w:t>odr</w:t>
      </w:r>
      <w:r w:rsidRPr="00B22D20">
        <w:rPr>
          <w:szCs w:val="22"/>
          <w:lang w:val="sr-Latn-CS"/>
        </w:rPr>
        <w:t>ž</w:t>
      </w:r>
      <w:r w:rsidRPr="00B22D20">
        <w:rPr>
          <w:szCs w:val="22"/>
        </w:rPr>
        <w:t>avanja</w:t>
      </w:r>
      <w:r w:rsidRPr="00B22D20">
        <w:rPr>
          <w:szCs w:val="22"/>
          <w:lang w:val="sr-Latn-CS"/>
        </w:rPr>
        <w:t xml:space="preserve">). </w:t>
      </w:r>
      <w:r w:rsidRPr="00B22D20">
        <w:rPr>
          <w:szCs w:val="22"/>
        </w:rPr>
        <w:t>Smanjenje</w:t>
      </w:r>
      <w:r w:rsidRPr="00B22D20">
        <w:rPr>
          <w:szCs w:val="22"/>
          <w:lang w:val="sr-Latn-CS"/>
        </w:rPr>
        <w:t xml:space="preserve"> </w:t>
      </w:r>
      <w:r w:rsidRPr="00B22D20">
        <w:rPr>
          <w:szCs w:val="22"/>
        </w:rPr>
        <w:t>je</w:t>
      </w:r>
      <w:r w:rsidRPr="00B22D20">
        <w:rPr>
          <w:szCs w:val="22"/>
          <w:lang w:val="sr-Latn-CS"/>
        </w:rPr>
        <w:t xml:space="preserve"> </w:t>
      </w:r>
      <w:r w:rsidRPr="00B22D20">
        <w:rPr>
          <w:szCs w:val="22"/>
        </w:rPr>
        <w:t>bilo</w:t>
      </w:r>
      <w:r w:rsidRPr="00B22D20">
        <w:rPr>
          <w:szCs w:val="22"/>
          <w:lang w:val="sr-Latn-CS"/>
        </w:rPr>
        <w:t xml:space="preserve"> </w:t>
      </w:r>
      <w:r w:rsidRPr="00B22D20">
        <w:rPr>
          <w:szCs w:val="22"/>
        </w:rPr>
        <w:t>povezano</w:t>
      </w:r>
      <w:r w:rsidRPr="00B22D20">
        <w:rPr>
          <w:szCs w:val="22"/>
          <w:lang w:val="sr-Latn-CS"/>
        </w:rPr>
        <w:t xml:space="preserve"> </w:t>
      </w:r>
      <w:proofErr w:type="gramStart"/>
      <w:r w:rsidRPr="00B22D20">
        <w:rPr>
          <w:szCs w:val="22"/>
        </w:rPr>
        <w:t>s</w:t>
      </w:r>
      <w:r w:rsidR="008C3AA9" w:rsidRPr="00B22D20">
        <w:rPr>
          <w:szCs w:val="22"/>
        </w:rPr>
        <w:t>a</w:t>
      </w:r>
      <w:proofErr w:type="gramEnd"/>
      <w:r w:rsidRPr="00B22D20">
        <w:rPr>
          <w:szCs w:val="22"/>
          <w:lang w:val="sr-Latn-CS"/>
        </w:rPr>
        <w:t xml:space="preserve"> </w:t>
      </w:r>
      <w:r w:rsidRPr="00B22D20">
        <w:rPr>
          <w:szCs w:val="22"/>
        </w:rPr>
        <w:t>oslabljenom</w:t>
      </w:r>
      <w:r w:rsidRPr="00B22D20">
        <w:rPr>
          <w:szCs w:val="22"/>
          <w:lang w:val="sr-Latn-CS"/>
        </w:rPr>
        <w:t xml:space="preserve"> </w:t>
      </w:r>
      <w:r w:rsidRPr="00B22D20">
        <w:rPr>
          <w:szCs w:val="22"/>
        </w:rPr>
        <w:t>inhibicijom</w:t>
      </w:r>
      <w:r w:rsidRPr="00B22D20">
        <w:rPr>
          <w:szCs w:val="22"/>
          <w:lang w:val="sr-Latn-CS"/>
        </w:rPr>
        <w:t xml:space="preserve"> </w:t>
      </w:r>
      <w:r w:rsidRPr="00B22D20">
        <w:rPr>
          <w:szCs w:val="22"/>
        </w:rPr>
        <w:t>agregacije</w:t>
      </w:r>
      <w:r w:rsidRPr="00B22D20">
        <w:rPr>
          <w:szCs w:val="22"/>
          <w:lang w:val="sr-Latn-CS"/>
        </w:rPr>
        <w:t xml:space="preserve"> </w:t>
      </w:r>
      <w:r w:rsidRPr="00B22D20">
        <w:rPr>
          <w:szCs w:val="22"/>
        </w:rPr>
        <w:t>trombocita</w:t>
      </w:r>
      <w:r w:rsidRPr="00B22D20">
        <w:rPr>
          <w:szCs w:val="22"/>
          <w:lang w:val="sr-Latn-CS"/>
        </w:rPr>
        <w:t xml:space="preserve"> </w:t>
      </w:r>
      <w:r w:rsidRPr="00B22D20">
        <w:rPr>
          <w:szCs w:val="22"/>
        </w:rPr>
        <w:t>od</w:t>
      </w:r>
      <w:r w:rsidRPr="00B22D20">
        <w:rPr>
          <w:szCs w:val="22"/>
          <w:lang w:val="sr-Latn-CS"/>
        </w:rPr>
        <w:t xml:space="preserve"> 39% (</w:t>
      </w:r>
      <w:r w:rsidRPr="00B22D20">
        <w:rPr>
          <w:szCs w:val="22"/>
        </w:rPr>
        <w:t>udarna</w:t>
      </w:r>
      <w:r w:rsidRPr="00B22D20">
        <w:rPr>
          <w:szCs w:val="22"/>
          <w:lang w:val="sr-Latn-CS"/>
        </w:rPr>
        <w:t xml:space="preserve"> </w:t>
      </w:r>
      <w:r w:rsidRPr="00B22D20">
        <w:rPr>
          <w:szCs w:val="22"/>
        </w:rPr>
        <w:t>doza</w:t>
      </w:r>
      <w:r w:rsidRPr="00B22D20">
        <w:rPr>
          <w:szCs w:val="22"/>
          <w:lang w:val="sr-Latn-CS"/>
        </w:rPr>
        <w:t xml:space="preserve">) </w:t>
      </w:r>
      <w:r w:rsidRPr="00B22D20">
        <w:rPr>
          <w:szCs w:val="22"/>
        </w:rPr>
        <w:t>i</w:t>
      </w:r>
      <w:r w:rsidRPr="00B22D20">
        <w:rPr>
          <w:szCs w:val="22"/>
          <w:lang w:val="sr-Latn-CS"/>
        </w:rPr>
        <w:t xml:space="preserve"> 21% (</w:t>
      </w:r>
      <w:r w:rsidRPr="00B22D20">
        <w:rPr>
          <w:szCs w:val="22"/>
        </w:rPr>
        <w:t>doza</w:t>
      </w:r>
      <w:r w:rsidRPr="00B22D20">
        <w:rPr>
          <w:szCs w:val="22"/>
          <w:lang w:val="sr-Latn-CS"/>
        </w:rPr>
        <w:t xml:space="preserve"> </w:t>
      </w:r>
      <w:r w:rsidRPr="00B22D20">
        <w:rPr>
          <w:szCs w:val="22"/>
        </w:rPr>
        <w:t>odr</w:t>
      </w:r>
      <w:r w:rsidRPr="00B22D20">
        <w:rPr>
          <w:szCs w:val="22"/>
          <w:lang w:val="sr-Latn-CS"/>
        </w:rPr>
        <w:t>ž</w:t>
      </w:r>
      <w:r w:rsidRPr="00B22D20">
        <w:rPr>
          <w:szCs w:val="22"/>
        </w:rPr>
        <w:t>avanja</w:t>
      </w:r>
      <w:r w:rsidRPr="00B22D20">
        <w:rPr>
          <w:szCs w:val="22"/>
          <w:lang w:val="sr-Latn-CS"/>
        </w:rPr>
        <w:t>). Esomeprazol bi v</w:t>
      </w:r>
      <w:r w:rsidR="00E454CE" w:rsidRPr="00B22D20">
        <w:rPr>
          <w:szCs w:val="22"/>
          <w:lang w:val="sr-Latn-CS"/>
        </w:rPr>
        <w:t>j</w:t>
      </w:r>
      <w:r w:rsidRPr="00B22D20">
        <w:rPr>
          <w:szCs w:val="22"/>
          <w:lang w:val="sr-Latn-CS"/>
        </w:rPr>
        <w:t>erovatno dao iste interakcije sa klopidogrelom.</w:t>
      </w:r>
    </w:p>
    <w:p w14:paraId="3F561952" w14:textId="21645F8B" w:rsidR="00F3137E" w:rsidRPr="00B22D20" w:rsidRDefault="00F3137E">
      <w:pPr>
        <w:tabs>
          <w:tab w:val="clear" w:pos="284"/>
        </w:tabs>
        <w:autoSpaceDE w:val="0"/>
        <w:autoSpaceDN w:val="0"/>
        <w:adjustRightInd w:val="0"/>
        <w:spacing w:before="120"/>
        <w:rPr>
          <w:szCs w:val="22"/>
          <w:lang w:val="sr-Latn-CS"/>
        </w:rPr>
      </w:pPr>
      <w:r w:rsidRPr="00B22D20">
        <w:rPr>
          <w:szCs w:val="22"/>
          <w:lang w:val="sr-Latn-CS"/>
        </w:rPr>
        <w:t xml:space="preserve">Protivurečni podaci o kliničkom značaju ovih farmakokinetičkih (FK)/farmakodinamičkih (FD) interakcija  u smislu značajnih kardiovaskularnih događaja </w:t>
      </w:r>
      <w:r w:rsidR="00122D4B" w:rsidRPr="00B22D20">
        <w:rPr>
          <w:szCs w:val="22"/>
          <w:lang w:val="sr-Latn-CS"/>
        </w:rPr>
        <w:t>zabiljež</w:t>
      </w:r>
      <w:r w:rsidRPr="00B22D20">
        <w:rPr>
          <w:szCs w:val="22"/>
          <w:lang w:val="sr-Latn-CS"/>
        </w:rPr>
        <w:t>eni su kako u opservacionim tako i u kliničkim studijama. Iz predostrožnosti, istovremenu upotreb</w:t>
      </w:r>
      <w:r w:rsidR="00E454CE" w:rsidRPr="00B22D20">
        <w:rPr>
          <w:szCs w:val="22"/>
          <w:lang w:val="sr-Latn-CS"/>
        </w:rPr>
        <w:t>u</w:t>
      </w:r>
      <w:r w:rsidRPr="00B22D20">
        <w:rPr>
          <w:szCs w:val="22"/>
          <w:lang w:val="sr-Latn-CS"/>
        </w:rPr>
        <w:t xml:space="preserve"> sa omeprazolom ili esomeprazolom bi trebalo izb</w:t>
      </w:r>
      <w:r w:rsidR="006F12BE" w:rsidRPr="00B22D20">
        <w:rPr>
          <w:szCs w:val="22"/>
          <w:lang w:val="sr-Latn-CS"/>
        </w:rPr>
        <w:t>j</w:t>
      </w:r>
      <w:r w:rsidRPr="00B22D20">
        <w:rPr>
          <w:szCs w:val="22"/>
          <w:lang w:val="sr-Latn-CS"/>
        </w:rPr>
        <w:t>egavati (</w:t>
      </w:r>
      <w:r w:rsidR="00DF0EEC" w:rsidRPr="00B22D20">
        <w:rPr>
          <w:szCs w:val="22"/>
          <w:lang w:val="sr-Latn-CS"/>
        </w:rPr>
        <w:t>vid</w:t>
      </w:r>
      <w:r w:rsidR="00E454CE" w:rsidRPr="00B22D20">
        <w:rPr>
          <w:szCs w:val="22"/>
          <w:lang w:val="sr-Latn-CS"/>
        </w:rPr>
        <w:t xml:space="preserve">jeti dio </w:t>
      </w:r>
      <w:r w:rsidR="00DF0EEC" w:rsidRPr="00B22D20">
        <w:rPr>
          <w:szCs w:val="22"/>
          <w:lang w:val="sr-Latn-CS"/>
        </w:rPr>
        <w:t>4.4</w:t>
      </w:r>
      <w:r w:rsidRPr="00B22D20">
        <w:rPr>
          <w:szCs w:val="22"/>
          <w:lang w:val="sr-Latn-CS"/>
        </w:rPr>
        <w:t>).</w:t>
      </w:r>
    </w:p>
    <w:p w14:paraId="65162A2A" w14:textId="7D587752" w:rsidR="00F3137E" w:rsidRPr="00B22D20" w:rsidRDefault="00F3137E">
      <w:pPr>
        <w:tabs>
          <w:tab w:val="clear" w:pos="284"/>
        </w:tabs>
        <w:autoSpaceDE w:val="0"/>
        <w:autoSpaceDN w:val="0"/>
        <w:adjustRightInd w:val="0"/>
        <w:spacing w:before="120"/>
        <w:rPr>
          <w:color w:val="000000"/>
          <w:szCs w:val="22"/>
          <w:lang w:val="sr-Latn-CS" w:eastAsia="sr-Latn-CS"/>
        </w:rPr>
      </w:pPr>
      <w:r w:rsidRPr="00B22D20">
        <w:rPr>
          <w:color w:val="000000"/>
          <w:szCs w:val="22"/>
          <w:lang w:val="sr-Latn-CS" w:eastAsia="sr-Latn-CS"/>
        </w:rPr>
        <w:t>Manje izraženo smanjenje izloženosti aktivnom metabolitu</w:t>
      </w:r>
      <w:r w:rsidR="00D02D5D" w:rsidRPr="00B22D20">
        <w:rPr>
          <w:color w:val="000000"/>
          <w:szCs w:val="22"/>
          <w:lang w:val="sr-Latn-CS" w:eastAsia="sr-Latn-CS"/>
        </w:rPr>
        <w:t xml:space="preserve"> </w:t>
      </w:r>
      <w:r w:rsidRPr="00B22D20">
        <w:rPr>
          <w:color w:val="000000"/>
          <w:szCs w:val="22"/>
          <w:lang w:val="sr-Latn-CS" w:eastAsia="sr-Latn-CS"/>
        </w:rPr>
        <w:t xml:space="preserve">klopidogrela </w:t>
      </w:r>
      <w:r w:rsidR="00122D4B" w:rsidRPr="00B22D20">
        <w:rPr>
          <w:color w:val="000000"/>
          <w:szCs w:val="22"/>
          <w:lang w:val="sr-Latn-CS" w:eastAsia="sr-Latn-CS"/>
        </w:rPr>
        <w:t>zabiljež</w:t>
      </w:r>
      <w:r w:rsidRPr="00B22D20">
        <w:rPr>
          <w:color w:val="000000"/>
          <w:szCs w:val="22"/>
          <w:lang w:val="sr-Latn-CS" w:eastAsia="sr-Latn-CS"/>
        </w:rPr>
        <w:t>eno je kod pantoprazola i lanzoprazola.</w:t>
      </w:r>
    </w:p>
    <w:p w14:paraId="1E5C831F" w14:textId="4E251214" w:rsidR="00F3137E" w:rsidRPr="00B22D20" w:rsidRDefault="00F3137E">
      <w:pPr>
        <w:tabs>
          <w:tab w:val="clear" w:pos="284"/>
        </w:tabs>
        <w:autoSpaceDE w:val="0"/>
        <w:autoSpaceDN w:val="0"/>
        <w:adjustRightInd w:val="0"/>
        <w:rPr>
          <w:color w:val="000000"/>
          <w:szCs w:val="22"/>
          <w:lang w:val="sr-Latn-CS" w:eastAsia="sr-Latn-CS"/>
        </w:rPr>
      </w:pPr>
      <w:r w:rsidRPr="00B22D20">
        <w:rPr>
          <w:color w:val="000000"/>
          <w:szCs w:val="22"/>
          <w:lang w:val="sr-Latn-CS" w:eastAsia="sr-Latn-CS"/>
        </w:rPr>
        <w:t xml:space="preserve">Koncentracija aktivnog metabolita u plazmi bila je smanjena za 20% (udarna doza) i 14% (doza održavanja) tokom istovremene terapije pantoprazolom u dozi od 80 mg jednom dnevno. To je bilo povezano sa smanjenjem </w:t>
      </w:r>
      <w:r w:rsidRPr="00B22D20">
        <w:rPr>
          <w:color w:val="000000"/>
          <w:szCs w:val="22"/>
          <w:lang w:val="sr-Latn-CS" w:eastAsia="sr-Latn-CS"/>
        </w:rPr>
        <w:lastRenderedPageBreak/>
        <w:t>pros</w:t>
      </w:r>
      <w:r w:rsidR="006F12BE" w:rsidRPr="00B22D20">
        <w:rPr>
          <w:color w:val="000000"/>
          <w:szCs w:val="22"/>
          <w:lang w:val="sr-Latn-CS" w:eastAsia="sr-Latn-CS"/>
        </w:rPr>
        <w:t>j</w:t>
      </w:r>
      <w:r w:rsidRPr="00B22D20">
        <w:rPr>
          <w:color w:val="000000"/>
          <w:szCs w:val="22"/>
          <w:lang w:val="sr-Latn-CS" w:eastAsia="sr-Latn-CS"/>
        </w:rPr>
        <w:t>ečne vr</w:t>
      </w:r>
      <w:r w:rsidR="006F12BE" w:rsidRPr="00B22D20">
        <w:rPr>
          <w:color w:val="000000"/>
          <w:szCs w:val="22"/>
          <w:lang w:val="sr-Latn-CS" w:eastAsia="sr-Latn-CS"/>
        </w:rPr>
        <w:t>ij</w:t>
      </w:r>
      <w:r w:rsidRPr="00B22D20">
        <w:rPr>
          <w:color w:val="000000"/>
          <w:szCs w:val="22"/>
          <w:lang w:val="sr-Latn-CS" w:eastAsia="sr-Latn-CS"/>
        </w:rPr>
        <w:t xml:space="preserve">ednosti inhibicije agregacije trombocita od 15% odnosno 11%. Ovi rezultati upućuju na to da se klopidogrel može </w:t>
      </w:r>
      <w:r w:rsidR="00D77814" w:rsidRPr="00B22D20">
        <w:rPr>
          <w:color w:val="000000"/>
          <w:szCs w:val="22"/>
          <w:lang w:val="sr-Latn-CS" w:eastAsia="sr-Latn-CS"/>
        </w:rPr>
        <w:t>prim</w:t>
      </w:r>
      <w:r w:rsidR="00C7608E" w:rsidRPr="00B22D20">
        <w:rPr>
          <w:color w:val="000000"/>
          <w:szCs w:val="22"/>
          <w:lang w:val="sr-Latn-CS" w:eastAsia="sr-Latn-CS"/>
        </w:rPr>
        <w:t>i</w:t>
      </w:r>
      <w:r w:rsidR="00D77814" w:rsidRPr="00B22D20">
        <w:rPr>
          <w:color w:val="000000"/>
          <w:szCs w:val="22"/>
          <w:lang w:val="sr-Latn-CS" w:eastAsia="sr-Latn-CS"/>
        </w:rPr>
        <w:t>jen</w:t>
      </w:r>
      <w:r w:rsidRPr="00B22D20">
        <w:rPr>
          <w:color w:val="000000"/>
          <w:szCs w:val="22"/>
          <w:lang w:val="sr-Latn-CS" w:eastAsia="sr-Latn-CS"/>
        </w:rPr>
        <w:t>jvati istovremeno s</w:t>
      </w:r>
      <w:r w:rsidR="001708B2" w:rsidRPr="00B22D20">
        <w:rPr>
          <w:color w:val="000000"/>
          <w:szCs w:val="22"/>
          <w:lang w:val="sr-Latn-CS" w:eastAsia="sr-Latn-CS"/>
        </w:rPr>
        <w:t>a</w:t>
      </w:r>
      <w:r w:rsidRPr="00B22D20">
        <w:rPr>
          <w:color w:val="000000"/>
          <w:szCs w:val="22"/>
          <w:lang w:val="sr-Latn-CS" w:eastAsia="sr-Latn-CS"/>
        </w:rPr>
        <w:t xml:space="preserve"> pantoprazolom. </w:t>
      </w:r>
    </w:p>
    <w:p w14:paraId="5E1F0B62" w14:textId="1DC75EDC" w:rsidR="00F3137E" w:rsidRPr="00B22D20" w:rsidRDefault="00F3137E">
      <w:pPr>
        <w:spacing w:before="120"/>
        <w:rPr>
          <w:szCs w:val="22"/>
          <w:lang w:val="sr-Latn-CS"/>
        </w:rPr>
      </w:pPr>
      <w:r w:rsidRPr="00B22D20">
        <w:rPr>
          <w:szCs w:val="22"/>
          <w:lang w:val="sr-Latn-CS"/>
        </w:rPr>
        <w:t xml:space="preserve">Nema dokaza da ostali </w:t>
      </w:r>
      <w:r w:rsidR="00122D4B" w:rsidRPr="00B22D20">
        <w:rPr>
          <w:szCs w:val="22"/>
          <w:lang w:val="sr-Latn-CS"/>
        </w:rPr>
        <w:t>ljekov</w:t>
      </w:r>
      <w:r w:rsidRPr="00B22D20">
        <w:rPr>
          <w:szCs w:val="22"/>
          <w:lang w:val="sr-Latn-CS"/>
        </w:rPr>
        <w:t xml:space="preserve">i koji </w:t>
      </w:r>
      <w:r w:rsidR="00A5095C" w:rsidRPr="00B22D20">
        <w:rPr>
          <w:szCs w:val="22"/>
          <w:lang w:val="sr-Latn-CS"/>
        </w:rPr>
        <w:t>smanjuju lučenje želudačne kiseline</w:t>
      </w:r>
      <w:r w:rsidRPr="00B22D20">
        <w:rPr>
          <w:szCs w:val="22"/>
          <w:lang w:val="sr-Latn-CS"/>
        </w:rPr>
        <w:t>, kao št</w:t>
      </w:r>
      <w:r w:rsidR="001708B2" w:rsidRPr="00B22D20">
        <w:rPr>
          <w:szCs w:val="22"/>
          <w:lang w:val="sr-Latn-CS"/>
        </w:rPr>
        <w:t>o su H2 blokatori</w:t>
      </w:r>
      <w:r w:rsidRPr="00B22D20">
        <w:rPr>
          <w:szCs w:val="22"/>
          <w:lang w:val="sr-Latn-CS"/>
        </w:rPr>
        <w:t xml:space="preserve"> ili antacidi, </w:t>
      </w:r>
      <w:r w:rsidR="00A5095C" w:rsidRPr="00B22D20">
        <w:rPr>
          <w:szCs w:val="22"/>
          <w:lang w:val="sr-Latn-CS"/>
        </w:rPr>
        <w:t>interferiraju sa</w:t>
      </w:r>
      <w:r w:rsidRPr="00B22D20">
        <w:rPr>
          <w:szCs w:val="22"/>
          <w:lang w:val="sr-Latn-CS"/>
        </w:rPr>
        <w:t xml:space="preserve"> antiagregacio</w:t>
      </w:r>
      <w:r w:rsidR="00A5095C" w:rsidRPr="00B22D20">
        <w:rPr>
          <w:szCs w:val="22"/>
          <w:lang w:val="sr-Latn-CS"/>
        </w:rPr>
        <w:t>nom</w:t>
      </w:r>
      <w:r w:rsidRPr="00B22D20">
        <w:rPr>
          <w:szCs w:val="22"/>
          <w:lang w:val="sr-Latn-CS"/>
        </w:rPr>
        <w:t xml:space="preserve"> aktivno</w:t>
      </w:r>
      <w:r w:rsidR="00A5095C" w:rsidRPr="00B22D20">
        <w:rPr>
          <w:szCs w:val="22"/>
          <w:lang w:val="sr-Latn-CS"/>
        </w:rPr>
        <w:t>šću</w:t>
      </w:r>
      <w:r w:rsidRPr="00B22D20">
        <w:rPr>
          <w:szCs w:val="22"/>
          <w:lang w:val="sr-Latn-CS"/>
        </w:rPr>
        <w:t xml:space="preserve"> klopidogrela.</w:t>
      </w:r>
    </w:p>
    <w:p w14:paraId="6804A79C" w14:textId="1C50B351" w:rsidR="00A5095C" w:rsidRPr="00B22D20" w:rsidRDefault="00A5095C">
      <w:pPr>
        <w:spacing w:before="120"/>
        <w:rPr>
          <w:szCs w:val="22"/>
          <w:lang w:val="sr-Latn-CS"/>
        </w:rPr>
      </w:pPr>
      <w:r w:rsidRPr="00B22D20">
        <w:rPr>
          <w:szCs w:val="22"/>
          <w:lang w:val="sr-Latn-CS"/>
        </w:rPr>
        <w:t>Pojačana anti-retrovirusna terapija (ART): pacijenti sa HIV infekcijom l</w:t>
      </w:r>
      <w:r w:rsidR="00B45425" w:rsidRPr="00B22D20">
        <w:rPr>
          <w:szCs w:val="22"/>
          <w:lang w:val="sr-Latn-CS"/>
        </w:rPr>
        <w:t>i</w:t>
      </w:r>
      <w:r w:rsidR="006F12BE" w:rsidRPr="00B22D20">
        <w:rPr>
          <w:szCs w:val="22"/>
          <w:lang w:val="sr-Latn-CS"/>
        </w:rPr>
        <w:t>j</w:t>
      </w:r>
      <w:r w:rsidRPr="00B22D20">
        <w:rPr>
          <w:szCs w:val="22"/>
          <w:lang w:val="sr-Latn-CS"/>
        </w:rPr>
        <w:t>ečeni pojačanom anti-retrovirusnom terapijom (ART) izloženi su velikom riziku od vaskularnih događaja</w:t>
      </w:r>
      <w:r w:rsidR="00994B21" w:rsidRPr="00B22D20">
        <w:rPr>
          <w:szCs w:val="22"/>
          <w:lang w:val="sr-Latn-CS"/>
        </w:rPr>
        <w:t>.</w:t>
      </w:r>
    </w:p>
    <w:p w14:paraId="159EF2ED" w14:textId="2C358FD7" w:rsidR="00994B21" w:rsidRPr="00B22D20" w:rsidRDefault="00122D4B">
      <w:pPr>
        <w:spacing w:before="120"/>
        <w:rPr>
          <w:szCs w:val="22"/>
          <w:lang w:val="sr-Latn-CS"/>
        </w:rPr>
      </w:pPr>
      <w:r w:rsidRPr="00B22D20">
        <w:rPr>
          <w:szCs w:val="22"/>
          <w:lang w:val="sr-Latn-CS"/>
        </w:rPr>
        <w:t>Zabiljež</w:t>
      </w:r>
      <w:r w:rsidR="00994B21" w:rsidRPr="00B22D20">
        <w:rPr>
          <w:szCs w:val="22"/>
          <w:lang w:val="sr-Latn-CS"/>
        </w:rPr>
        <w:t>eno je značajno smanjenje inhibicije trombocita kod pacijenata sa HIV infekcijom l</w:t>
      </w:r>
      <w:r w:rsidR="00E454CE" w:rsidRPr="00B22D20">
        <w:rPr>
          <w:szCs w:val="22"/>
          <w:lang w:val="sr-Latn-CS"/>
        </w:rPr>
        <w:t>i</w:t>
      </w:r>
      <w:r w:rsidR="006F12BE" w:rsidRPr="00B22D20">
        <w:rPr>
          <w:szCs w:val="22"/>
          <w:lang w:val="sr-Latn-CS"/>
        </w:rPr>
        <w:t>j</w:t>
      </w:r>
      <w:r w:rsidR="00994B21" w:rsidRPr="00B22D20">
        <w:rPr>
          <w:szCs w:val="22"/>
          <w:lang w:val="sr-Latn-CS"/>
        </w:rPr>
        <w:t>ečenih ART-om pojačan</w:t>
      </w:r>
      <w:r w:rsidR="00DA5E87" w:rsidRPr="00B22D20">
        <w:rPr>
          <w:szCs w:val="22"/>
          <w:lang w:val="sr-Latn-CS"/>
        </w:rPr>
        <w:t>o</w:t>
      </w:r>
      <w:r w:rsidR="00994B21" w:rsidRPr="00B22D20">
        <w:rPr>
          <w:szCs w:val="22"/>
          <w:lang w:val="sr-Latn-CS"/>
        </w:rPr>
        <w:t xml:space="preserve">m ritonavirom ili kobicistatom. Iako klinički značaj ovih nalaza </w:t>
      </w:r>
      <w:r w:rsidR="00F5071B" w:rsidRPr="00B22D20">
        <w:rPr>
          <w:szCs w:val="22"/>
          <w:lang w:val="sr-Latn-CS"/>
        </w:rPr>
        <w:t xml:space="preserve">nije </w:t>
      </w:r>
      <w:r w:rsidR="00994B21" w:rsidRPr="00B22D20">
        <w:rPr>
          <w:szCs w:val="22"/>
          <w:lang w:val="sr-Latn-CS"/>
        </w:rPr>
        <w:t xml:space="preserve">razjašnjen, putem spontanog prijavljivanja su </w:t>
      </w:r>
      <w:r w:rsidRPr="00B22D20">
        <w:rPr>
          <w:szCs w:val="22"/>
          <w:lang w:val="sr-Latn-CS"/>
        </w:rPr>
        <w:t>zabiljež</w:t>
      </w:r>
      <w:r w:rsidR="00994B21" w:rsidRPr="00B22D20">
        <w:rPr>
          <w:szCs w:val="22"/>
          <w:lang w:val="sr-Latn-CS"/>
        </w:rPr>
        <w:t>eni slučajevi pacijenata sa HIV infekcijom l</w:t>
      </w:r>
      <w:r w:rsidR="00B45425" w:rsidRPr="00B22D20">
        <w:rPr>
          <w:szCs w:val="22"/>
          <w:lang w:val="sr-Latn-CS"/>
        </w:rPr>
        <w:t>i</w:t>
      </w:r>
      <w:r w:rsidR="006F12BE" w:rsidRPr="00B22D20">
        <w:rPr>
          <w:szCs w:val="22"/>
          <w:lang w:val="sr-Latn-CS"/>
        </w:rPr>
        <w:t>j</w:t>
      </w:r>
      <w:r w:rsidR="00994B21" w:rsidRPr="00B22D20">
        <w:rPr>
          <w:szCs w:val="22"/>
          <w:lang w:val="sr-Latn-CS"/>
        </w:rPr>
        <w:t>ečenih ART-om pojačan</w:t>
      </w:r>
      <w:r w:rsidR="00DA5E87" w:rsidRPr="00B22D20">
        <w:rPr>
          <w:szCs w:val="22"/>
          <w:lang w:val="sr-Latn-CS"/>
        </w:rPr>
        <w:t>o</w:t>
      </w:r>
      <w:r w:rsidR="00994B21" w:rsidRPr="00B22D20">
        <w:rPr>
          <w:szCs w:val="22"/>
          <w:lang w:val="sr-Latn-CS"/>
        </w:rPr>
        <w:t>m ritonavirom, kod kojih je došlo do ponovnih okluzivnih događaja nakon uklanjanja opstrukcije</w:t>
      </w:r>
      <w:r w:rsidR="0079413C" w:rsidRPr="00B22D20">
        <w:rPr>
          <w:szCs w:val="22"/>
          <w:lang w:val="sr-Latn-CS"/>
        </w:rPr>
        <w:t xml:space="preserve"> ili do nastanka trombotskih događaja tokom uvođenja terapije</w:t>
      </w:r>
      <w:r w:rsidR="00B45425" w:rsidRPr="00B22D20">
        <w:rPr>
          <w:szCs w:val="22"/>
          <w:lang w:val="sr-Latn-CS"/>
        </w:rPr>
        <w:t xml:space="preserve"> udarnom dozom</w:t>
      </w:r>
      <w:r w:rsidR="0079413C" w:rsidRPr="00B22D20">
        <w:rPr>
          <w:szCs w:val="22"/>
          <w:lang w:val="sr-Latn-CS"/>
        </w:rPr>
        <w:t xml:space="preserve"> klopidogrel</w:t>
      </w:r>
      <w:r w:rsidR="00B45425" w:rsidRPr="00B22D20">
        <w:rPr>
          <w:szCs w:val="22"/>
          <w:lang w:val="sr-Latn-CS"/>
        </w:rPr>
        <w:t>a</w:t>
      </w:r>
      <w:r w:rsidR="0079413C" w:rsidRPr="00B22D20">
        <w:rPr>
          <w:szCs w:val="22"/>
          <w:lang w:val="sr-Latn-CS"/>
        </w:rPr>
        <w:t>. Pros</w:t>
      </w:r>
      <w:r w:rsidR="006F12BE" w:rsidRPr="00B22D20">
        <w:rPr>
          <w:szCs w:val="22"/>
          <w:lang w:val="sr-Latn-CS"/>
        </w:rPr>
        <w:t>j</w:t>
      </w:r>
      <w:r w:rsidR="0079413C" w:rsidRPr="00B22D20">
        <w:rPr>
          <w:szCs w:val="22"/>
          <w:lang w:val="sr-Latn-CS"/>
        </w:rPr>
        <w:t xml:space="preserve">ečna inhibicija </w:t>
      </w:r>
      <w:r w:rsidR="00DA5E87" w:rsidRPr="00B22D20">
        <w:rPr>
          <w:szCs w:val="22"/>
          <w:lang w:val="sr-Latn-CS"/>
        </w:rPr>
        <w:t xml:space="preserve">agregacije </w:t>
      </w:r>
      <w:r w:rsidR="0079413C" w:rsidRPr="00B22D20">
        <w:rPr>
          <w:szCs w:val="22"/>
          <w:lang w:val="sr-Latn-CS"/>
        </w:rPr>
        <w:t xml:space="preserve">trombocita može biti smanjena kod istovremene </w:t>
      </w:r>
      <w:r w:rsidR="00D77814" w:rsidRPr="00B22D20">
        <w:rPr>
          <w:szCs w:val="22"/>
          <w:lang w:val="sr-Latn-CS"/>
        </w:rPr>
        <w:t>primjen</w:t>
      </w:r>
      <w:r w:rsidR="0079413C" w:rsidRPr="00B22D20">
        <w:rPr>
          <w:szCs w:val="22"/>
          <w:lang w:val="sr-Latn-CS"/>
        </w:rPr>
        <w:t xml:space="preserve">e klopidogrela i </w:t>
      </w:r>
      <w:r w:rsidR="0040443F" w:rsidRPr="00B22D20">
        <w:rPr>
          <w:szCs w:val="22"/>
          <w:lang w:val="sr-Latn-CS"/>
        </w:rPr>
        <w:t>ritonavira</w:t>
      </w:r>
      <w:r w:rsidR="0079413C" w:rsidRPr="00B22D20">
        <w:rPr>
          <w:szCs w:val="22"/>
          <w:lang w:val="sr-Latn-CS"/>
        </w:rPr>
        <w:t>.</w:t>
      </w:r>
      <w:r w:rsidR="00F4182E" w:rsidRPr="00B22D20">
        <w:rPr>
          <w:szCs w:val="22"/>
          <w:lang w:val="sr-Latn-CS"/>
        </w:rPr>
        <w:t xml:space="preserve"> Istovremena primjena klopidogrela i </w:t>
      </w:r>
      <w:r w:rsidR="0040443F" w:rsidRPr="00B22D20">
        <w:rPr>
          <w:szCs w:val="22"/>
          <w:lang w:val="sr-Latn-CS"/>
        </w:rPr>
        <w:t xml:space="preserve">pojačane </w:t>
      </w:r>
      <w:r w:rsidR="00F4182E" w:rsidRPr="00B22D20">
        <w:rPr>
          <w:szCs w:val="22"/>
          <w:lang w:val="sr-Latn-CS"/>
        </w:rPr>
        <w:t>ART se ne preporučuje.</w:t>
      </w:r>
    </w:p>
    <w:p w14:paraId="0DDA2D1E" w14:textId="179D844D" w:rsidR="00F3137E" w:rsidRPr="00B22D20" w:rsidRDefault="00F3137E">
      <w:pPr>
        <w:spacing w:before="120"/>
        <w:rPr>
          <w:szCs w:val="22"/>
          <w:lang w:val="sr-Latn-CS"/>
        </w:rPr>
      </w:pPr>
      <w:r w:rsidRPr="00B22D20">
        <w:rPr>
          <w:szCs w:val="22"/>
          <w:lang w:val="sr-Latn-CS"/>
        </w:rPr>
        <w:t xml:space="preserve">Ostali </w:t>
      </w:r>
      <w:r w:rsidR="00122D4B" w:rsidRPr="00B22D20">
        <w:rPr>
          <w:szCs w:val="22"/>
          <w:lang w:val="sr-Latn-CS"/>
        </w:rPr>
        <w:t>ljekov</w:t>
      </w:r>
      <w:r w:rsidRPr="00B22D20">
        <w:rPr>
          <w:szCs w:val="22"/>
          <w:lang w:val="sr-Latn-CS"/>
        </w:rPr>
        <w:t>i: Brojne druge kliničke studije</w:t>
      </w:r>
      <w:r w:rsidRPr="00B22D20">
        <w:rPr>
          <w:szCs w:val="22"/>
          <w:lang w:val="sr-Latn-CS" w:eastAsia="ja-JP"/>
        </w:rPr>
        <w:t xml:space="preserve"> sprovedene su</w:t>
      </w:r>
      <w:r w:rsidRPr="00B22D20">
        <w:rPr>
          <w:szCs w:val="22"/>
          <w:lang w:val="sr-Latn-CS"/>
        </w:rPr>
        <w:t xml:space="preserve"> sa istovremenom </w:t>
      </w:r>
      <w:r w:rsidR="00D77814" w:rsidRPr="00B22D20">
        <w:rPr>
          <w:szCs w:val="22"/>
          <w:lang w:val="sr-Latn-CS"/>
        </w:rPr>
        <w:t>primjen</w:t>
      </w:r>
      <w:r w:rsidRPr="00B22D20">
        <w:rPr>
          <w:szCs w:val="22"/>
          <w:lang w:val="sr-Latn-CS"/>
        </w:rPr>
        <w:t xml:space="preserve">om klopidogrela i drugih </w:t>
      </w:r>
      <w:r w:rsidR="00122D4B" w:rsidRPr="00B22D20">
        <w:rPr>
          <w:szCs w:val="22"/>
          <w:lang w:val="sr-Latn-CS"/>
        </w:rPr>
        <w:t>ljekov</w:t>
      </w:r>
      <w:r w:rsidRPr="00B22D20">
        <w:rPr>
          <w:szCs w:val="22"/>
          <w:lang w:val="sr-Latn-CS"/>
        </w:rPr>
        <w:t xml:space="preserve">a, kako bi se utvrdile potencijalne farmakodinamske i farmakokinetičke interakcije. Pri istovremenoj </w:t>
      </w:r>
      <w:r w:rsidR="00D77814" w:rsidRPr="00B22D20">
        <w:rPr>
          <w:szCs w:val="22"/>
          <w:lang w:val="sr-Latn-CS"/>
        </w:rPr>
        <w:t>primjen</w:t>
      </w:r>
      <w:r w:rsidRPr="00B22D20">
        <w:rPr>
          <w:szCs w:val="22"/>
          <w:lang w:val="sr-Latn-CS"/>
        </w:rPr>
        <w:t xml:space="preserve">i klopidogrela sa atenololom, nifedipinom ili kombinacijom atenolol-nifedipin, </w:t>
      </w:r>
      <w:r w:rsidRPr="00B22D20">
        <w:rPr>
          <w:szCs w:val="22"/>
          <w:lang w:val="sr-Latn-CS" w:eastAsia="ja-JP"/>
        </w:rPr>
        <w:t>n</w:t>
      </w:r>
      <w:r w:rsidRPr="00B22D20">
        <w:rPr>
          <w:szCs w:val="22"/>
          <w:lang w:val="sr-Latn-CS"/>
        </w:rPr>
        <w:t>i</w:t>
      </w:r>
      <w:r w:rsidR="00091A34" w:rsidRPr="00B22D20">
        <w:rPr>
          <w:szCs w:val="22"/>
          <w:lang w:val="sr-Latn-CS"/>
        </w:rPr>
        <w:t>je</w:t>
      </w:r>
      <w:r w:rsidRPr="00B22D20">
        <w:rPr>
          <w:szCs w:val="22"/>
          <w:lang w:val="sr-Latn-CS"/>
        </w:rPr>
        <w:t xml:space="preserve">su uočene klinički značajne farmakodinamske interakcije. Osim toga, na farmakodinamsku aktivnost klopidogrela nije značajnije uticala ni istovremena </w:t>
      </w:r>
      <w:r w:rsidR="00D77814" w:rsidRPr="00B22D20">
        <w:rPr>
          <w:szCs w:val="22"/>
          <w:lang w:val="sr-Latn-CS"/>
        </w:rPr>
        <w:t>primjen</w:t>
      </w:r>
      <w:r w:rsidRPr="00B22D20">
        <w:rPr>
          <w:szCs w:val="22"/>
          <w:lang w:val="sr-Latn-CS"/>
        </w:rPr>
        <w:t>a fenobarbitala ili estrogena.</w:t>
      </w:r>
    </w:p>
    <w:p w14:paraId="06018229" w14:textId="4D6D77F4" w:rsidR="00F3137E" w:rsidRPr="00B22D20" w:rsidRDefault="00F3137E">
      <w:pPr>
        <w:spacing w:before="120"/>
        <w:rPr>
          <w:szCs w:val="22"/>
          <w:lang w:val="sr-Latn-CS"/>
        </w:rPr>
      </w:pPr>
      <w:r w:rsidRPr="00B22D20">
        <w:rPr>
          <w:szCs w:val="22"/>
          <w:lang w:val="sr-Latn-CS"/>
        </w:rPr>
        <w:t>Farmakokinetika digoksina ili teofilina nije se m</w:t>
      </w:r>
      <w:r w:rsidR="006F12BE" w:rsidRPr="00B22D20">
        <w:rPr>
          <w:szCs w:val="22"/>
          <w:lang w:val="sr-Latn-CS"/>
        </w:rPr>
        <w:t>ij</w:t>
      </w:r>
      <w:r w:rsidRPr="00B22D20">
        <w:rPr>
          <w:szCs w:val="22"/>
          <w:lang w:val="sr-Latn-CS"/>
        </w:rPr>
        <w:t xml:space="preserve">enjala pri njihovoj istovremenoj </w:t>
      </w:r>
      <w:r w:rsidR="00D77814" w:rsidRPr="00B22D20">
        <w:rPr>
          <w:szCs w:val="22"/>
          <w:lang w:val="sr-Latn-CS"/>
        </w:rPr>
        <w:t>primjen</w:t>
      </w:r>
      <w:r w:rsidRPr="00B22D20">
        <w:rPr>
          <w:szCs w:val="22"/>
          <w:lang w:val="sr-Latn-CS"/>
        </w:rPr>
        <w:t>i sa klopidogrelom. Antacidi ni</w:t>
      </w:r>
      <w:r w:rsidR="006F12BE" w:rsidRPr="00B22D20">
        <w:rPr>
          <w:szCs w:val="22"/>
          <w:lang w:val="sr-Latn-CS"/>
        </w:rPr>
        <w:t>je</w:t>
      </w:r>
      <w:r w:rsidRPr="00B22D20">
        <w:rPr>
          <w:szCs w:val="22"/>
          <w:lang w:val="sr-Latn-CS"/>
        </w:rPr>
        <w:t>su uticali na stepen resorpcije klopidogrela.</w:t>
      </w:r>
    </w:p>
    <w:p w14:paraId="02EB2375" w14:textId="61762845" w:rsidR="00F3137E" w:rsidRPr="00B22D20" w:rsidRDefault="00F3137E">
      <w:pPr>
        <w:spacing w:before="120"/>
        <w:rPr>
          <w:szCs w:val="22"/>
          <w:lang w:val="sr-Latn-CS"/>
        </w:rPr>
      </w:pPr>
      <w:r w:rsidRPr="00B22D20">
        <w:rPr>
          <w:szCs w:val="22"/>
          <w:lang w:val="sr-Latn-CS"/>
        </w:rPr>
        <w:t xml:space="preserve">Podaci </w:t>
      </w:r>
      <w:r w:rsidR="00F4182E" w:rsidRPr="00B22D20">
        <w:rPr>
          <w:szCs w:val="22"/>
          <w:lang w:val="sr-Latn-CS"/>
        </w:rPr>
        <w:t xml:space="preserve">iz </w:t>
      </w:r>
      <w:r w:rsidRPr="00B22D20">
        <w:rPr>
          <w:szCs w:val="22"/>
          <w:lang w:val="sr-Latn-CS"/>
        </w:rPr>
        <w:t>CAPRIE studije ukazuju na to da se fenitoin i tolbutamid, koj</w:t>
      </w:r>
      <w:r w:rsidR="00377419" w:rsidRPr="00B22D20">
        <w:rPr>
          <w:szCs w:val="22"/>
          <w:lang w:val="sr-Latn-CS"/>
        </w:rPr>
        <w:t>i</w:t>
      </w:r>
      <w:r w:rsidRPr="00B22D20">
        <w:rPr>
          <w:szCs w:val="22"/>
          <w:lang w:val="sr-Latn-CS"/>
        </w:rPr>
        <w:t xml:space="preserve"> </w:t>
      </w:r>
      <w:r w:rsidR="00377419" w:rsidRPr="00B22D20">
        <w:rPr>
          <w:szCs w:val="22"/>
          <w:lang w:val="sr-Latn-CS"/>
        </w:rPr>
        <w:t xml:space="preserve">se </w:t>
      </w:r>
      <w:r w:rsidRPr="00B22D20">
        <w:rPr>
          <w:szCs w:val="22"/>
          <w:lang w:val="sr-Latn-CS"/>
        </w:rPr>
        <w:t>metaboliš</w:t>
      </w:r>
      <w:r w:rsidR="00377419" w:rsidRPr="00B22D20">
        <w:rPr>
          <w:szCs w:val="22"/>
          <w:lang w:val="sr-Latn-CS"/>
        </w:rPr>
        <w:t>u preko</w:t>
      </w:r>
      <w:r w:rsidRPr="00B22D20">
        <w:rPr>
          <w:szCs w:val="22"/>
          <w:lang w:val="sr-Latn-CS"/>
        </w:rPr>
        <w:t xml:space="preserve"> CYP2C9, bezb</w:t>
      </w:r>
      <w:r w:rsidR="00DA6A63" w:rsidRPr="00B22D20">
        <w:rPr>
          <w:szCs w:val="22"/>
          <w:lang w:val="sr-Latn-CS"/>
        </w:rPr>
        <w:t>j</w:t>
      </w:r>
      <w:r w:rsidRPr="00B22D20">
        <w:rPr>
          <w:szCs w:val="22"/>
          <w:lang w:val="sr-Latn-CS"/>
        </w:rPr>
        <w:t xml:space="preserve">edno mogu </w:t>
      </w:r>
      <w:r w:rsidR="00D77814" w:rsidRPr="00B22D20">
        <w:rPr>
          <w:szCs w:val="22"/>
          <w:lang w:val="sr-Latn-CS"/>
        </w:rPr>
        <w:t>primjen</w:t>
      </w:r>
      <w:r w:rsidRPr="00B22D20">
        <w:rPr>
          <w:szCs w:val="22"/>
          <w:lang w:val="sr-Latn-CS"/>
        </w:rPr>
        <w:t>jivati istovremeno sa klopidogrelom.</w:t>
      </w:r>
    </w:p>
    <w:p w14:paraId="11BBFAB3" w14:textId="0CF3C4BF" w:rsidR="006773FD" w:rsidRPr="00B22D20" w:rsidRDefault="00122D4B">
      <w:pPr>
        <w:pStyle w:val="Header"/>
        <w:tabs>
          <w:tab w:val="clear" w:pos="4536"/>
          <w:tab w:val="clear" w:pos="9072"/>
        </w:tabs>
        <w:spacing w:before="120"/>
        <w:rPr>
          <w:szCs w:val="22"/>
          <w:lang w:val="sr-Latn-CS"/>
        </w:rPr>
      </w:pPr>
      <w:r w:rsidRPr="00B22D20">
        <w:rPr>
          <w:szCs w:val="22"/>
          <w:lang w:val="sr-Latn-CS"/>
        </w:rPr>
        <w:t>Ljekov</w:t>
      </w:r>
      <w:r w:rsidR="006773FD" w:rsidRPr="00B22D20">
        <w:rPr>
          <w:szCs w:val="22"/>
          <w:lang w:val="sr-Latn-CS"/>
        </w:rPr>
        <w:t xml:space="preserve">i supstrati enzima CYP2C8: Pokazalo se da klopidogrel kod zdravih dobrovoljaca povećava izloženost repaglinidu. </w:t>
      </w:r>
      <w:r w:rsidR="006773FD" w:rsidRPr="00B22D20">
        <w:rPr>
          <w:i/>
          <w:szCs w:val="22"/>
          <w:lang w:val="sr-Latn-CS"/>
        </w:rPr>
        <w:t>In vitro</w:t>
      </w:r>
      <w:r w:rsidR="006773FD" w:rsidRPr="00B22D20">
        <w:rPr>
          <w:szCs w:val="22"/>
          <w:lang w:val="sr-Latn-CS"/>
        </w:rPr>
        <w:t xml:space="preserve"> studije su pokazale da je povećanje izloženosti repaglinidu posl</w:t>
      </w:r>
      <w:r w:rsidR="00091A34" w:rsidRPr="00B22D20">
        <w:rPr>
          <w:szCs w:val="22"/>
          <w:lang w:val="sr-Latn-CS"/>
        </w:rPr>
        <w:t>j</w:t>
      </w:r>
      <w:r w:rsidR="006773FD" w:rsidRPr="00B22D20">
        <w:rPr>
          <w:szCs w:val="22"/>
          <w:lang w:val="sr-Latn-CS"/>
        </w:rPr>
        <w:t xml:space="preserve">edica inhibicije CYP2C8 od strane glukuronidskog metabolita klopidogrela. Zbog rizika od povećane koncentracije u plazmi, </w:t>
      </w:r>
      <w:r w:rsidR="003A79CE" w:rsidRPr="00B22D20">
        <w:rPr>
          <w:szCs w:val="22"/>
          <w:lang w:val="sr-Latn-CS"/>
        </w:rPr>
        <w:t xml:space="preserve">potreban je oprez pri istovremenoj </w:t>
      </w:r>
      <w:r w:rsidR="00D77814" w:rsidRPr="00B22D20">
        <w:rPr>
          <w:szCs w:val="22"/>
          <w:lang w:val="sr-Latn-CS"/>
        </w:rPr>
        <w:t>primjen</w:t>
      </w:r>
      <w:r w:rsidR="003A79CE" w:rsidRPr="00B22D20">
        <w:rPr>
          <w:szCs w:val="22"/>
          <w:lang w:val="sr-Latn-CS"/>
        </w:rPr>
        <w:t>i</w:t>
      </w:r>
      <w:r w:rsidR="006773FD" w:rsidRPr="00B22D20">
        <w:rPr>
          <w:szCs w:val="22"/>
          <w:lang w:val="sr-Latn-CS"/>
        </w:rPr>
        <w:t xml:space="preserve"> klopidogrela i </w:t>
      </w:r>
      <w:r w:rsidRPr="00B22D20">
        <w:rPr>
          <w:szCs w:val="22"/>
          <w:lang w:val="sr-Latn-CS"/>
        </w:rPr>
        <w:t>ljekov</w:t>
      </w:r>
      <w:r w:rsidR="006773FD" w:rsidRPr="00B22D20">
        <w:rPr>
          <w:szCs w:val="22"/>
          <w:lang w:val="sr-Latn-CS"/>
        </w:rPr>
        <w:t xml:space="preserve">a koji se </w:t>
      </w:r>
      <w:r w:rsidR="003A79CE" w:rsidRPr="00B22D20">
        <w:rPr>
          <w:szCs w:val="22"/>
          <w:lang w:val="sr-Latn-CS"/>
        </w:rPr>
        <w:t xml:space="preserve">primarno eliminišu iz organizma </w:t>
      </w:r>
      <w:r w:rsidR="006773FD" w:rsidRPr="00B22D20">
        <w:rPr>
          <w:szCs w:val="22"/>
          <w:lang w:val="sr-Latn-CS"/>
        </w:rPr>
        <w:t>metabolizmom putem CYP2C8 (npr. repaglinid, paklita</w:t>
      </w:r>
      <w:r w:rsidR="0097784F" w:rsidRPr="00B22D20">
        <w:rPr>
          <w:szCs w:val="22"/>
          <w:lang w:val="sr-Latn-CS"/>
        </w:rPr>
        <w:t>ksel)</w:t>
      </w:r>
      <w:r w:rsidR="006773FD" w:rsidRPr="00B22D20">
        <w:rPr>
          <w:szCs w:val="22"/>
          <w:lang w:val="sr-Latn-CS"/>
        </w:rPr>
        <w:t xml:space="preserve"> (</w:t>
      </w:r>
      <w:r w:rsidR="00D77814" w:rsidRPr="00B22D20">
        <w:rPr>
          <w:szCs w:val="22"/>
          <w:lang w:val="sr-Latn-CS"/>
        </w:rPr>
        <w:t>vidjet</w:t>
      </w:r>
      <w:r w:rsidR="00DF0EEC" w:rsidRPr="00B22D20">
        <w:rPr>
          <w:szCs w:val="22"/>
          <w:lang w:val="sr-Latn-CS"/>
        </w:rPr>
        <w:t xml:space="preserve">i </w:t>
      </w:r>
      <w:r w:rsidR="00E454CE" w:rsidRPr="00B22D20">
        <w:rPr>
          <w:szCs w:val="22"/>
          <w:lang w:val="sr-Latn-CS"/>
        </w:rPr>
        <w:t>dio</w:t>
      </w:r>
      <w:r w:rsidR="00DF0EEC" w:rsidRPr="00B22D20">
        <w:rPr>
          <w:szCs w:val="22"/>
          <w:lang w:val="sr-Latn-CS"/>
        </w:rPr>
        <w:t xml:space="preserve"> 4.4</w:t>
      </w:r>
      <w:r w:rsidR="006773FD" w:rsidRPr="00B22D20">
        <w:rPr>
          <w:szCs w:val="22"/>
          <w:lang w:val="sr-Latn-CS"/>
        </w:rPr>
        <w:t>).</w:t>
      </w:r>
    </w:p>
    <w:p w14:paraId="6B17EBFC" w14:textId="7ECF9984" w:rsidR="00D64EE6" w:rsidRPr="00B22D20" w:rsidRDefault="00F3137E">
      <w:pPr>
        <w:pStyle w:val="Header"/>
        <w:tabs>
          <w:tab w:val="clear" w:pos="4536"/>
          <w:tab w:val="clear" w:pos="9072"/>
        </w:tabs>
        <w:spacing w:before="120"/>
        <w:rPr>
          <w:szCs w:val="22"/>
          <w:lang w:val="sr-Latn-CS"/>
        </w:rPr>
      </w:pPr>
      <w:r w:rsidRPr="00B22D20">
        <w:rPr>
          <w:szCs w:val="22"/>
          <w:lang w:val="sr-Latn-CS"/>
        </w:rPr>
        <w:t xml:space="preserve">Osim </w:t>
      </w:r>
      <w:r w:rsidR="009C15F6" w:rsidRPr="00B22D20">
        <w:rPr>
          <w:szCs w:val="22"/>
          <w:lang w:val="sr-Latn-CS"/>
        </w:rPr>
        <w:t>prethodno</w:t>
      </w:r>
      <w:r w:rsidRPr="00B22D20">
        <w:rPr>
          <w:szCs w:val="22"/>
          <w:lang w:val="sr-Latn-CS"/>
        </w:rPr>
        <w:t xml:space="preserve"> </w:t>
      </w:r>
      <w:r w:rsidR="009C15F6" w:rsidRPr="00B22D20">
        <w:rPr>
          <w:szCs w:val="22"/>
          <w:lang w:val="sr-Latn-CS"/>
        </w:rPr>
        <w:t>opisanih</w:t>
      </w:r>
      <w:r w:rsidRPr="00B22D20">
        <w:rPr>
          <w:szCs w:val="22"/>
          <w:lang w:val="sr-Latn-CS"/>
        </w:rPr>
        <w:t xml:space="preserve"> specifični</w:t>
      </w:r>
      <w:r w:rsidR="009C15F6" w:rsidRPr="00B22D20">
        <w:rPr>
          <w:szCs w:val="22"/>
          <w:lang w:val="sr-Latn-CS"/>
        </w:rPr>
        <w:t>h</w:t>
      </w:r>
      <w:r w:rsidRPr="00B22D20">
        <w:rPr>
          <w:szCs w:val="22"/>
          <w:lang w:val="sr-Latn-CS"/>
        </w:rPr>
        <w:t xml:space="preserve"> interakcija </w:t>
      </w:r>
      <w:r w:rsidR="009C15F6" w:rsidRPr="00B22D20">
        <w:rPr>
          <w:szCs w:val="22"/>
          <w:lang w:val="sr-Latn-CS"/>
        </w:rPr>
        <w:t>određenih</w:t>
      </w:r>
      <w:r w:rsidRPr="00B22D20">
        <w:rPr>
          <w:szCs w:val="22"/>
          <w:lang w:val="sr-Latn-CS"/>
        </w:rPr>
        <w:t xml:space="preserve"> </w:t>
      </w:r>
      <w:r w:rsidR="00122D4B" w:rsidRPr="00B22D20">
        <w:rPr>
          <w:szCs w:val="22"/>
          <w:lang w:val="sr-Latn-CS"/>
        </w:rPr>
        <w:t>ljekov</w:t>
      </w:r>
      <w:r w:rsidR="009C15F6" w:rsidRPr="00B22D20">
        <w:rPr>
          <w:szCs w:val="22"/>
          <w:lang w:val="sr-Latn-CS"/>
        </w:rPr>
        <w:t>a</w:t>
      </w:r>
      <w:r w:rsidRPr="00B22D20">
        <w:rPr>
          <w:szCs w:val="22"/>
          <w:lang w:val="sr-Latn-CS"/>
        </w:rPr>
        <w:t>, ni</w:t>
      </w:r>
      <w:r w:rsidR="00091A34" w:rsidRPr="00B22D20">
        <w:rPr>
          <w:szCs w:val="22"/>
          <w:lang w:val="sr-Latn-CS"/>
        </w:rPr>
        <w:t>je</w:t>
      </w:r>
      <w:r w:rsidRPr="00B22D20">
        <w:rPr>
          <w:szCs w:val="22"/>
          <w:lang w:val="sr-Latn-CS"/>
        </w:rPr>
        <w:t>su sproveden</w:t>
      </w:r>
      <w:r w:rsidR="009C15F6" w:rsidRPr="00B22D20">
        <w:rPr>
          <w:szCs w:val="22"/>
          <w:lang w:val="sr-Latn-CS"/>
        </w:rPr>
        <w:t>a ispitivanja</w:t>
      </w:r>
      <w:r w:rsidRPr="00B22D20">
        <w:rPr>
          <w:szCs w:val="22"/>
          <w:lang w:val="sr-Latn-CS"/>
        </w:rPr>
        <w:t xml:space="preserve"> interakcij</w:t>
      </w:r>
      <w:r w:rsidR="009C15F6" w:rsidRPr="00B22D20">
        <w:rPr>
          <w:szCs w:val="22"/>
          <w:lang w:val="sr-Latn-CS"/>
        </w:rPr>
        <w:t>a</w:t>
      </w:r>
      <w:r w:rsidRPr="00B22D20">
        <w:rPr>
          <w:szCs w:val="22"/>
          <w:lang w:val="sr-Latn-CS"/>
        </w:rPr>
        <w:t xml:space="preserve"> klopidogrela sa nekim </w:t>
      </w:r>
      <w:r w:rsidR="00122D4B" w:rsidRPr="00B22D20">
        <w:rPr>
          <w:szCs w:val="22"/>
          <w:lang w:val="sr-Latn-CS"/>
        </w:rPr>
        <w:t>ljekov</w:t>
      </w:r>
      <w:r w:rsidRPr="00B22D20">
        <w:rPr>
          <w:szCs w:val="22"/>
          <w:lang w:val="sr-Latn-CS"/>
        </w:rPr>
        <w:t xml:space="preserve">ima koji se </w:t>
      </w:r>
      <w:r w:rsidR="009C15F6" w:rsidRPr="00B22D20">
        <w:rPr>
          <w:szCs w:val="22"/>
          <w:lang w:val="sr-Latn-CS"/>
        </w:rPr>
        <w:t>najčešće</w:t>
      </w:r>
      <w:r w:rsidRPr="00B22D20">
        <w:rPr>
          <w:szCs w:val="22"/>
          <w:lang w:val="sr-Latn-CS"/>
        </w:rPr>
        <w:t xml:space="preserve"> </w:t>
      </w:r>
      <w:r w:rsidR="00D77814" w:rsidRPr="00B22D20">
        <w:rPr>
          <w:szCs w:val="22"/>
          <w:lang w:val="sr-Latn-CS"/>
        </w:rPr>
        <w:t>prim</w:t>
      </w:r>
      <w:r w:rsidR="00C7608E" w:rsidRPr="00B22D20">
        <w:rPr>
          <w:szCs w:val="22"/>
          <w:lang w:val="sr-Latn-CS"/>
        </w:rPr>
        <w:t>i</w:t>
      </w:r>
      <w:r w:rsidR="00D77814" w:rsidRPr="00B22D20">
        <w:rPr>
          <w:szCs w:val="22"/>
          <w:lang w:val="sr-Latn-CS"/>
        </w:rPr>
        <w:t>jen</w:t>
      </w:r>
      <w:r w:rsidR="009C15F6" w:rsidRPr="00B22D20">
        <w:rPr>
          <w:szCs w:val="22"/>
          <w:lang w:val="sr-Latn-CS"/>
        </w:rPr>
        <w:t>juju</w:t>
      </w:r>
      <w:r w:rsidRPr="00B22D20">
        <w:rPr>
          <w:szCs w:val="22"/>
          <w:lang w:val="sr-Latn-CS"/>
        </w:rPr>
        <w:t xml:space="preserve"> kod pacijenata sa aterotrombot</w:t>
      </w:r>
      <w:r w:rsidR="009C15F6" w:rsidRPr="00B22D20">
        <w:rPr>
          <w:szCs w:val="22"/>
          <w:lang w:val="sr-Latn-CS"/>
        </w:rPr>
        <w:t>skom</w:t>
      </w:r>
      <w:r w:rsidRPr="00B22D20">
        <w:rPr>
          <w:szCs w:val="22"/>
          <w:lang w:val="sr-Latn-CS"/>
        </w:rPr>
        <w:t xml:space="preserve"> bolešću. Međutim, pacijenti uključeni u kliničke studije sa klopidogrelom, primali </w:t>
      </w:r>
      <w:r w:rsidR="009C15F6" w:rsidRPr="00B22D20">
        <w:rPr>
          <w:szCs w:val="22"/>
          <w:lang w:val="sr-Latn-CS"/>
        </w:rPr>
        <w:t xml:space="preserve">su istovremeno </w:t>
      </w:r>
      <w:r w:rsidRPr="00B22D20">
        <w:rPr>
          <w:szCs w:val="22"/>
          <w:lang w:val="sr-Latn-CS"/>
        </w:rPr>
        <w:t xml:space="preserve">čitav niz različitih </w:t>
      </w:r>
      <w:r w:rsidR="00122D4B" w:rsidRPr="00B22D20">
        <w:rPr>
          <w:szCs w:val="22"/>
          <w:lang w:val="sr-Latn-CS"/>
        </w:rPr>
        <w:t>ljekov</w:t>
      </w:r>
      <w:r w:rsidRPr="00B22D20">
        <w:rPr>
          <w:szCs w:val="22"/>
          <w:lang w:val="sr-Latn-CS"/>
        </w:rPr>
        <w:t>a, uključujući diuretike, beta blokatore, ACE inhibitore, antagoniste kalcijuma, preparate za snižavanje nivoa holesterola, koronarne vazodilatatore, antidijabetike (uključujući insulin), antiepileptike i antagoniste glikoproteina IIb/IIIa, bez dokaza o klinički značajnim neželjenim interakcijama.</w:t>
      </w:r>
      <w:r w:rsidR="003930D0" w:rsidRPr="00B22D20">
        <w:rPr>
          <w:szCs w:val="22"/>
          <w:lang w:val="sr-Latn-CS"/>
        </w:rPr>
        <w:t xml:space="preserve"> </w:t>
      </w:r>
    </w:p>
    <w:p w14:paraId="64B4CFC2" w14:textId="2AFB685A" w:rsidR="009C15F6" w:rsidRPr="00B22D20" w:rsidRDefault="00291499">
      <w:pPr>
        <w:pStyle w:val="Header"/>
        <w:tabs>
          <w:tab w:val="clear" w:pos="4536"/>
          <w:tab w:val="clear" w:pos="9072"/>
        </w:tabs>
        <w:spacing w:before="120"/>
        <w:rPr>
          <w:szCs w:val="22"/>
        </w:rPr>
      </w:pPr>
      <w:r w:rsidRPr="00C25676">
        <w:rPr>
          <w:szCs w:val="22"/>
        </w:rPr>
        <w:t>Kao i kod drugih oralnih P2Y</w:t>
      </w:r>
      <w:r w:rsidRPr="00C25676">
        <w:rPr>
          <w:szCs w:val="22"/>
          <w:vertAlign w:val="subscript"/>
        </w:rPr>
        <w:t>12</w:t>
      </w:r>
      <w:r w:rsidRPr="00C25676">
        <w:rPr>
          <w:szCs w:val="22"/>
        </w:rPr>
        <w:t xml:space="preserve"> inhibitora, istovremena </w:t>
      </w:r>
      <w:r w:rsidR="00D77814" w:rsidRPr="00C25676">
        <w:rPr>
          <w:szCs w:val="22"/>
        </w:rPr>
        <w:t>primjen</w:t>
      </w:r>
      <w:r w:rsidRPr="00C25676">
        <w:rPr>
          <w:szCs w:val="22"/>
        </w:rPr>
        <w:t>a opioidnih agonista m</w:t>
      </w:r>
      <w:r w:rsidRPr="00B22D20">
        <w:rPr>
          <w:szCs w:val="22"/>
        </w:rPr>
        <w:t xml:space="preserve">ože potencijalno da odloži i smanji resorpciju klopidogrela, </w:t>
      </w:r>
      <w:r w:rsidR="00E454CE" w:rsidRPr="00B22D20">
        <w:rPr>
          <w:szCs w:val="22"/>
        </w:rPr>
        <w:t xml:space="preserve">kako se </w:t>
      </w:r>
      <w:r w:rsidRPr="00B22D20">
        <w:rPr>
          <w:szCs w:val="22"/>
        </w:rPr>
        <w:t>pretpostavlja</w:t>
      </w:r>
      <w:r w:rsidR="00E454CE" w:rsidRPr="00B22D20">
        <w:rPr>
          <w:szCs w:val="22"/>
        </w:rPr>
        <w:t xml:space="preserve">, </w:t>
      </w:r>
      <w:r w:rsidRPr="00B22D20">
        <w:rPr>
          <w:szCs w:val="22"/>
        </w:rPr>
        <w:t xml:space="preserve">zbog usporenog želudačnog pražnjenja. Klinički značaj je nepoznat. Potrebno je razmotriti </w:t>
      </w:r>
      <w:r w:rsidR="00D77814" w:rsidRPr="00B22D20">
        <w:rPr>
          <w:szCs w:val="22"/>
        </w:rPr>
        <w:t>primjen</w:t>
      </w:r>
      <w:r w:rsidRPr="00B22D20">
        <w:rPr>
          <w:szCs w:val="22"/>
        </w:rPr>
        <w:t>u parenteralnog</w:t>
      </w:r>
      <w:r w:rsidRPr="00B22D20">
        <w:rPr>
          <w:color w:val="C00000"/>
          <w:szCs w:val="22"/>
        </w:rPr>
        <w:t xml:space="preserve"> </w:t>
      </w:r>
      <w:r w:rsidRPr="00B22D20">
        <w:rPr>
          <w:color w:val="000000" w:themeColor="text1"/>
          <w:szCs w:val="22"/>
        </w:rPr>
        <w:t>anti</w:t>
      </w:r>
      <w:r w:rsidR="00EA5383" w:rsidRPr="00B22D20">
        <w:rPr>
          <w:color w:val="000000" w:themeColor="text1"/>
          <w:szCs w:val="22"/>
        </w:rPr>
        <w:t>agregacionog</w:t>
      </w:r>
      <w:r w:rsidRPr="00B22D20">
        <w:rPr>
          <w:color w:val="000000" w:themeColor="text1"/>
          <w:szCs w:val="22"/>
        </w:rPr>
        <w:t xml:space="preserve"> </w:t>
      </w:r>
      <w:r w:rsidR="00AC562A" w:rsidRPr="00B22D20">
        <w:rPr>
          <w:szCs w:val="22"/>
        </w:rPr>
        <w:t>lijek</w:t>
      </w:r>
      <w:r w:rsidRPr="00B22D20">
        <w:rPr>
          <w:szCs w:val="22"/>
        </w:rPr>
        <w:t xml:space="preserve">a kod pacijenata </w:t>
      </w:r>
      <w:proofErr w:type="gramStart"/>
      <w:r w:rsidRPr="00B22D20">
        <w:rPr>
          <w:szCs w:val="22"/>
        </w:rPr>
        <w:t>sa</w:t>
      </w:r>
      <w:proofErr w:type="gramEnd"/>
      <w:r w:rsidRPr="00B22D20">
        <w:rPr>
          <w:szCs w:val="22"/>
        </w:rPr>
        <w:t xml:space="preserve"> akutnim koronarnim sindromom kod kojih se mora istovremeno </w:t>
      </w:r>
      <w:r w:rsidR="00D77814" w:rsidRPr="00B22D20">
        <w:rPr>
          <w:szCs w:val="22"/>
        </w:rPr>
        <w:t>prim</w:t>
      </w:r>
      <w:r w:rsidR="00091A34" w:rsidRPr="00B22D20">
        <w:rPr>
          <w:szCs w:val="22"/>
        </w:rPr>
        <w:t>ij</w:t>
      </w:r>
      <w:r w:rsidR="00D77814" w:rsidRPr="00B22D20">
        <w:rPr>
          <w:szCs w:val="22"/>
        </w:rPr>
        <w:t>en</w:t>
      </w:r>
      <w:r w:rsidRPr="00B22D20">
        <w:rPr>
          <w:szCs w:val="22"/>
        </w:rPr>
        <w:t>iti morfin ili drugi opioidni agonista.</w:t>
      </w:r>
    </w:p>
    <w:p w14:paraId="56AEC236" w14:textId="61E59B30" w:rsidR="00B45425" w:rsidRPr="00B22D20" w:rsidRDefault="00B45425">
      <w:pPr>
        <w:rPr>
          <w:szCs w:val="22"/>
        </w:rPr>
      </w:pPr>
    </w:p>
    <w:p w14:paraId="6698542E" w14:textId="77777777" w:rsidR="00692733" w:rsidRPr="00B22D20" w:rsidRDefault="00B45425">
      <w:pPr>
        <w:rPr>
          <w:szCs w:val="22"/>
        </w:rPr>
      </w:pPr>
      <w:r w:rsidRPr="00B22D20">
        <w:rPr>
          <w:szCs w:val="22"/>
        </w:rPr>
        <w:t>Rosuvastatin: Pokazalo se da klopidogr</w:t>
      </w:r>
      <w:r w:rsidR="00090C10" w:rsidRPr="00B22D20">
        <w:rPr>
          <w:szCs w:val="22"/>
        </w:rPr>
        <w:t>el povećava izloženost pacijenta</w:t>
      </w:r>
      <w:r w:rsidRPr="00B22D20">
        <w:rPr>
          <w:szCs w:val="22"/>
        </w:rPr>
        <w:t xml:space="preserve"> rosuvastatinu za 2 puta (AUC) i 1,3 puta (C</w:t>
      </w:r>
      <w:r w:rsidRPr="00B22D20">
        <w:rPr>
          <w:szCs w:val="22"/>
          <w:vertAlign w:val="subscript"/>
        </w:rPr>
        <w:t>max</w:t>
      </w:r>
      <w:r w:rsidRPr="00B22D20">
        <w:rPr>
          <w:szCs w:val="22"/>
        </w:rPr>
        <w:t>) nakon primjene klopidogrela u dozi od 300 mg</w:t>
      </w:r>
      <w:r w:rsidR="00090C10" w:rsidRPr="00B22D20">
        <w:rPr>
          <w:szCs w:val="22"/>
        </w:rPr>
        <w:t xml:space="preserve"> te za 1,4 puta (AUC) bez efekta</w:t>
      </w:r>
      <w:r w:rsidRPr="00B22D20">
        <w:rPr>
          <w:szCs w:val="22"/>
        </w:rPr>
        <w:t xml:space="preserve"> na C</w:t>
      </w:r>
      <w:r w:rsidRPr="00B22D20">
        <w:rPr>
          <w:szCs w:val="22"/>
          <w:vertAlign w:val="subscript"/>
        </w:rPr>
        <w:t>max</w:t>
      </w:r>
      <w:r w:rsidRPr="00B22D20">
        <w:rPr>
          <w:szCs w:val="22"/>
        </w:rPr>
        <w:t xml:space="preserve"> nakon ponovljene primjene klopidogrela u dozi od 75 mg.</w:t>
      </w:r>
    </w:p>
    <w:p w14:paraId="1358BC45" w14:textId="77777777" w:rsidR="00692733" w:rsidRPr="00B22D20" w:rsidRDefault="00692733">
      <w:pPr>
        <w:rPr>
          <w:szCs w:val="22"/>
        </w:rPr>
      </w:pPr>
    </w:p>
    <w:p w14:paraId="3455BEE1" w14:textId="7CE25EB8" w:rsidR="00AD0415" w:rsidRPr="00B22D20" w:rsidRDefault="00AD0415">
      <w:pPr>
        <w:rPr>
          <w:szCs w:val="22"/>
        </w:rPr>
      </w:pPr>
      <w:r w:rsidRPr="00B22D20">
        <w:rPr>
          <w:b/>
          <w:bCs/>
          <w:szCs w:val="22"/>
          <w:lang w:val="ru-RU"/>
        </w:rPr>
        <w:t xml:space="preserve">4.6. </w:t>
      </w:r>
      <w:r w:rsidRPr="00B22D20">
        <w:rPr>
          <w:b/>
          <w:bCs/>
          <w:szCs w:val="22"/>
        </w:rPr>
        <w:t xml:space="preserve">Plodnost, </w:t>
      </w:r>
      <w:r w:rsidRPr="00B22D20">
        <w:rPr>
          <w:b/>
          <w:bCs/>
          <w:szCs w:val="22"/>
          <w:lang w:val="ru-RU"/>
        </w:rPr>
        <w:t>trudnoć</w:t>
      </w:r>
      <w:r w:rsidRPr="00B22D20">
        <w:rPr>
          <w:b/>
          <w:bCs/>
          <w:szCs w:val="22"/>
        </w:rPr>
        <w:t>a</w:t>
      </w:r>
      <w:r w:rsidRPr="00B22D20">
        <w:rPr>
          <w:b/>
          <w:bCs/>
          <w:szCs w:val="22"/>
          <w:lang w:val="ru-RU"/>
        </w:rPr>
        <w:t xml:space="preserve"> i </w:t>
      </w:r>
      <w:r w:rsidRPr="00B22D20">
        <w:rPr>
          <w:b/>
          <w:bCs/>
          <w:szCs w:val="22"/>
        </w:rPr>
        <w:t>dojenje</w:t>
      </w:r>
    </w:p>
    <w:p w14:paraId="00006CA3" w14:textId="77777777" w:rsidR="00F4182E" w:rsidRPr="00B22D20" w:rsidRDefault="00F4182E">
      <w:pPr>
        <w:spacing w:before="120"/>
        <w:rPr>
          <w:szCs w:val="22"/>
          <w:u w:val="single"/>
          <w:lang w:val="sr-Latn-CS"/>
        </w:rPr>
      </w:pPr>
      <w:r w:rsidRPr="00B22D20">
        <w:rPr>
          <w:szCs w:val="22"/>
          <w:u w:val="single"/>
          <w:lang w:val="sr-Latn-CS"/>
        </w:rPr>
        <w:t>Plodnost</w:t>
      </w:r>
    </w:p>
    <w:p w14:paraId="2B54519A" w14:textId="77777777" w:rsidR="00F4182E" w:rsidRPr="00B22D20" w:rsidRDefault="00F4182E">
      <w:pPr>
        <w:tabs>
          <w:tab w:val="clear" w:pos="284"/>
        </w:tabs>
        <w:rPr>
          <w:szCs w:val="22"/>
          <w:lang w:val="sr-Latn-CS"/>
        </w:rPr>
      </w:pPr>
      <w:r w:rsidRPr="00B22D20">
        <w:rPr>
          <w:szCs w:val="22"/>
          <w:lang w:val="sr-Latn-CS"/>
        </w:rPr>
        <w:t>U studijama na životinjama klopidogrel nije pokazao uticaj na plodnost.</w:t>
      </w:r>
    </w:p>
    <w:p w14:paraId="58889926" w14:textId="77777777" w:rsidR="00F3137E" w:rsidRPr="00B22D20" w:rsidRDefault="00F3137E">
      <w:pPr>
        <w:spacing w:before="120"/>
        <w:rPr>
          <w:szCs w:val="22"/>
          <w:u w:val="single"/>
          <w:lang w:val="sr-Latn-CS"/>
        </w:rPr>
      </w:pPr>
      <w:r w:rsidRPr="00B22D20">
        <w:rPr>
          <w:szCs w:val="22"/>
          <w:u w:val="single"/>
          <w:lang w:val="sr-Latn-CS"/>
        </w:rPr>
        <w:t>Trudnoća</w:t>
      </w:r>
    </w:p>
    <w:p w14:paraId="0B6837BA" w14:textId="5FD0297E" w:rsidR="00F3137E" w:rsidRPr="00B22D20" w:rsidRDefault="00F3137E">
      <w:pPr>
        <w:tabs>
          <w:tab w:val="clear" w:pos="284"/>
        </w:tabs>
        <w:autoSpaceDE w:val="0"/>
        <w:autoSpaceDN w:val="0"/>
        <w:adjustRightInd w:val="0"/>
        <w:rPr>
          <w:color w:val="000000"/>
          <w:szCs w:val="22"/>
          <w:lang w:val="sr-Latn-CS" w:eastAsia="sr-Latn-CS"/>
        </w:rPr>
      </w:pPr>
      <w:r w:rsidRPr="00B22D20">
        <w:rPr>
          <w:color w:val="000000"/>
          <w:szCs w:val="22"/>
          <w:lang w:val="sr-Latn-CS" w:eastAsia="sr-Latn-CS"/>
        </w:rPr>
        <w:t xml:space="preserve">S obzirom na to da nema dovoljno podataka o </w:t>
      </w:r>
      <w:r w:rsidR="00D77814" w:rsidRPr="00B22D20">
        <w:rPr>
          <w:color w:val="000000"/>
          <w:szCs w:val="22"/>
          <w:lang w:val="sr-Latn-CS" w:eastAsia="sr-Latn-CS"/>
        </w:rPr>
        <w:t>primjen</w:t>
      </w:r>
      <w:r w:rsidRPr="00B22D20">
        <w:rPr>
          <w:color w:val="000000"/>
          <w:szCs w:val="22"/>
          <w:lang w:val="sr-Latn-CS" w:eastAsia="sr-Latn-CS"/>
        </w:rPr>
        <w:t>i klopidogrela kod trudnica, prepor</w:t>
      </w:r>
      <w:r w:rsidR="00C36411" w:rsidRPr="00B22D20">
        <w:rPr>
          <w:color w:val="000000"/>
          <w:szCs w:val="22"/>
          <w:lang w:val="sr-Latn-CS" w:eastAsia="sr-Latn-CS"/>
        </w:rPr>
        <w:t>učuje s</w:t>
      </w:r>
      <w:r w:rsidRPr="00B22D20">
        <w:rPr>
          <w:color w:val="000000"/>
          <w:szCs w:val="22"/>
          <w:lang w:val="sr-Latn-CS" w:eastAsia="sr-Latn-CS"/>
        </w:rPr>
        <w:t>e, kao m</w:t>
      </w:r>
      <w:r w:rsidR="00091A34" w:rsidRPr="00B22D20">
        <w:rPr>
          <w:color w:val="000000"/>
          <w:szCs w:val="22"/>
          <w:lang w:val="sr-Latn-CS" w:eastAsia="sr-Latn-CS"/>
        </w:rPr>
        <w:t>j</w:t>
      </w:r>
      <w:r w:rsidRPr="00B22D20">
        <w:rPr>
          <w:color w:val="000000"/>
          <w:szCs w:val="22"/>
          <w:lang w:val="sr-Latn-CS" w:eastAsia="sr-Latn-CS"/>
        </w:rPr>
        <w:t xml:space="preserve">era predostrožnosti, </w:t>
      </w:r>
      <w:r w:rsidR="00C36411" w:rsidRPr="00B22D20">
        <w:rPr>
          <w:color w:val="000000"/>
          <w:szCs w:val="22"/>
          <w:lang w:val="sr-Latn-CS" w:eastAsia="sr-Latn-CS"/>
        </w:rPr>
        <w:t xml:space="preserve">da se </w:t>
      </w:r>
      <w:r w:rsidRPr="00B22D20">
        <w:rPr>
          <w:color w:val="000000"/>
          <w:szCs w:val="22"/>
          <w:lang w:val="sr-Latn-CS" w:eastAsia="sr-Latn-CS"/>
        </w:rPr>
        <w:t xml:space="preserve">klopidogrel </w:t>
      </w:r>
      <w:r w:rsidR="00C36411" w:rsidRPr="00B22D20">
        <w:rPr>
          <w:color w:val="000000"/>
          <w:szCs w:val="22"/>
          <w:lang w:val="sr-Latn-CS" w:eastAsia="sr-Latn-CS"/>
        </w:rPr>
        <w:t xml:space="preserve">ne koristi </w:t>
      </w:r>
      <w:r w:rsidRPr="00B22D20">
        <w:rPr>
          <w:color w:val="000000"/>
          <w:szCs w:val="22"/>
          <w:lang w:val="sr-Latn-CS" w:eastAsia="sr-Latn-CS"/>
        </w:rPr>
        <w:t>za vr</w:t>
      </w:r>
      <w:r w:rsidR="00091A34" w:rsidRPr="00B22D20">
        <w:rPr>
          <w:color w:val="000000"/>
          <w:szCs w:val="22"/>
          <w:lang w:val="sr-Latn-CS" w:eastAsia="sr-Latn-CS"/>
        </w:rPr>
        <w:t>ij</w:t>
      </w:r>
      <w:r w:rsidRPr="00B22D20">
        <w:rPr>
          <w:color w:val="000000"/>
          <w:szCs w:val="22"/>
          <w:lang w:val="sr-Latn-CS" w:eastAsia="sr-Latn-CS"/>
        </w:rPr>
        <w:t>eme trudnoće.</w:t>
      </w:r>
    </w:p>
    <w:p w14:paraId="382E83C8" w14:textId="09DF18C5" w:rsidR="00F3137E" w:rsidRPr="00B22D20" w:rsidRDefault="00F3137E">
      <w:pPr>
        <w:spacing w:before="120"/>
        <w:rPr>
          <w:color w:val="000000"/>
          <w:szCs w:val="22"/>
          <w:lang w:val="sr-Latn-CS" w:eastAsia="sr-Latn-CS"/>
        </w:rPr>
      </w:pPr>
      <w:r w:rsidRPr="00B22D20">
        <w:rPr>
          <w:color w:val="000000"/>
          <w:szCs w:val="22"/>
          <w:lang w:val="sr-Latn-CS" w:eastAsia="sr-Latn-CS"/>
        </w:rPr>
        <w:lastRenderedPageBreak/>
        <w:t>Ispitivanja na životinjama ne ukazuju na direktna ili indirektna štetna dejstva vezana za trudnoću, embrionalni/fetalni razvoj, porođaj ili postnatalni razvoj (</w:t>
      </w:r>
      <w:r w:rsidR="00D77814" w:rsidRPr="00B22D20">
        <w:rPr>
          <w:color w:val="000000"/>
          <w:szCs w:val="22"/>
          <w:lang w:val="sr-Latn-CS" w:eastAsia="sr-Latn-CS"/>
        </w:rPr>
        <w:t>vidjet</w:t>
      </w:r>
      <w:r w:rsidRPr="00B22D20">
        <w:rPr>
          <w:color w:val="000000"/>
          <w:szCs w:val="22"/>
          <w:lang w:val="sr-Latn-CS" w:eastAsia="sr-Latn-CS"/>
        </w:rPr>
        <w:t xml:space="preserve">i </w:t>
      </w:r>
      <w:r w:rsidR="00E454CE" w:rsidRPr="00B22D20">
        <w:rPr>
          <w:color w:val="000000"/>
          <w:szCs w:val="22"/>
          <w:lang w:val="sr-Latn-CS" w:eastAsia="sr-Latn-CS"/>
        </w:rPr>
        <w:t>dio</w:t>
      </w:r>
      <w:r w:rsidRPr="00B22D20">
        <w:rPr>
          <w:color w:val="000000"/>
          <w:szCs w:val="22"/>
          <w:lang w:val="sr-Latn-CS" w:eastAsia="sr-Latn-CS"/>
        </w:rPr>
        <w:t xml:space="preserve"> 5.3.).</w:t>
      </w:r>
    </w:p>
    <w:p w14:paraId="6B8265BF" w14:textId="77777777" w:rsidR="00C36411" w:rsidRPr="00B22D20" w:rsidRDefault="00C36411">
      <w:pPr>
        <w:spacing w:before="120"/>
        <w:rPr>
          <w:szCs w:val="22"/>
          <w:u w:val="single"/>
          <w:lang w:val="sr-Latn-CS"/>
        </w:rPr>
      </w:pPr>
      <w:r w:rsidRPr="00B22D20">
        <w:rPr>
          <w:szCs w:val="22"/>
          <w:u w:val="single"/>
          <w:lang w:val="sr-Latn-CS"/>
        </w:rPr>
        <w:t>Dojenje</w:t>
      </w:r>
    </w:p>
    <w:p w14:paraId="04864547" w14:textId="5CA3C6AC" w:rsidR="00F3137E" w:rsidRPr="00C25676" w:rsidRDefault="00F3137E">
      <w:pPr>
        <w:rPr>
          <w:szCs w:val="22"/>
          <w:lang w:val="sr-Latn-CS"/>
        </w:rPr>
      </w:pPr>
      <w:r w:rsidRPr="00B22D20">
        <w:rPr>
          <w:szCs w:val="22"/>
          <w:lang w:val="sr-Latn-CS"/>
        </w:rPr>
        <w:t xml:space="preserve">Nije poznato da li se klopidogrel izlučuje </w:t>
      </w:r>
      <w:r w:rsidR="003930D0" w:rsidRPr="00B22D20">
        <w:rPr>
          <w:szCs w:val="22"/>
          <w:lang w:val="sr-Latn-CS"/>
        </w:rPr>
        <w:t>u majčino m</w:t>
      </w:r>
      <w:r w:rsidR="00AC562A" w:rsidRPr="00B22D20">
        <w:rPr>
          <w:szCs w:val="22"/>
          <w:lang w:val="sr-Latn-CS"/>
        </w:rPr>
        <w:t>lijek</w:t>
      </w:r>
      <w:r w:rsidR="003930D0" w:rsidRPr="00B22D20">
        <w:rPr>
          <w:szCs w:val="22"/>
          <w:lang w:val="sr-Latn-CS"/>
        </w:rPr>
        <w:t>o</w:t>
      </w:r>
      <w:r w:rsidRPr="00B22D20">
        <w:rPr>
          <w:szCs w:val="22"/>
          <w:lang w:val="sr-Latn-CS"/>
        </w:rPr>
        <w:t>. Ispitivanja</w:t>
      </w:r>
      <w:r w:rsidR="004F6EA4" w:rsidRPr="00B22D20">
        <w:rPr>
          <w:szCs w:val="22"/>
          <w:lang w:val="sr-Latn-CS"/>
        </w:rPr>
        <w:t xml:space="preserve"> na životinjama su pokazala</w:t>
      </w:r>
      <w:r w:rsidRPr="00B22D20">
        <w:rPr>
          <w:szCs w:val="22"/>
          <w:lang w:val="sr-Latn-CS"/>
        </w:rPr>
        <w:t xml:space="preserve"> da se klopidogrel izlučuje u m</w:t>
      </w:r>
      <w:r w:rsidR="00AC562A" w:rsidRPr="00B22D20">
        <w:rPr>
          <w:szCs w:val="22"/>
          <w:lang w:val="sr-Latn-CS"/>
        </w:rPr>
        <w:t>lijek</w:t>
      </w:r>
      <w:r w:rsidRPr="00B22D20">
        <w:rPr>
          <w:szCs w:val="22"/>
          <w:lang w:val="sr-Latn-CS"/>
        </w:rPr>
        <w:t>o. Kao m</w:t>
      </w:r>
      <w:r w:rsidR="00091A34" w:rsidRPr="00B22D20">
        <w:rPr>
          <w:szCs w:val="22"/>
          <w:lang w:val="sr-Latn-CS"/>
        </w:rPr>
        <w:t>j</w:t>
      </w:r>
      <w:r w:rsidRPr="00B22D20">
        <w:rPr>
          <w:szCs w:val="22"/>
          <w:lang w:val="sr-Latn-CS"/>
        </w:rPr>
        <w:t>eru predostrožnosti, dojenje bi trebalo prekinuti za vr</w:t>
      </w:r>
      <w:r w:rsidR="00091A34" w:rsidRPr="00B22D20">
        <w:rPr>
          <w:szCs w:val="22"/>
          <w:lang w:val="sr-Latn-CS"/>
        </w:rPr>
        <w:t>ij</w:t>
      </w:r>
      <w:r w:rsidRPr="00B22D20">
        <w:rPr>
          <w:szCs w:val="22"/>
          <w:lang w:val="sr-Latn-CS"/>
        </w:rPr>
        <w:t xml:space="preserve">eme terapije </w:t>
      </w:r>
      <w:r w:rsidR="00AC562A" w:rsidRPr="00C25676">
        <w:rPr>
          <w:szCs w:val="22"/>
          <w:lang w:val="sr-Latn-CS"/>
        </w:rPr>
        <w:t>lijek</w:t>
      </w:r>
      <w:r w:rsidRPr="00C25676">
        <w:rPr>
          <w:szCs w:val="22"/>
          <w:lang w:val="sr-Latn-CS"/>
        </w:rPr>
        <w:t>om Plavix.</w:t>
      </w:r>
    </w:p>
    <w:p w14:paraId="6A3477EE" w14:textId="77777777" w:rsidR="00DE02E0" w:rsidRPr="00B22D20" w:rsidRDefault="00DE02E0">
      <w:pPr>
        <w:rPr>
          <w:b/>
          <w:bCs/>
          <w:spacing w:val="-8"/>
          <w:szCs w:val="22"/>
          <w:lang w:val="ru-RU"/>
        </w:rPr>
      </w:pPr>
    </w:p>
    <w:p w14:paraId="79E9D241" w14:textId="2BD2030B" w:rsidR="00AD0415" w:rsidRPr="00B22D20" w:rsidRDefault="00AD0415">
      <w:pPr>
        <w:rPr>
          <w:b/>
          <w:bCs/>
          <w:spacing w:val="-8"/>
          <w:szCs w:val="22"/>
          <w:lang w:val="ru-RU"/>
        </w:rPr>
      </w:pPr>
      <w:r w:rsidRPr="00B22D20">
        <w:rPr>
          <w:b/>
          <w:bCs/>
          <w:spacing w:val="-8"/>
          <w:szCs w:val="22"/>
          <w:lang w:val="ru-RU"/>
        </w:rPr>
        <w:t xml:space="preserve">4.7. </w:t>
      </w:r>
      <w:r w:rsidRPr="00C25676">
        <w:rPr>
          <w:b/>
          <w:bCs/>
          <w:spacing w:val="-8"/>
          <w:szCs w:val="22"/>
          <w:lang w:val="sr-Latn-CS"/>
        </w:rPr>
        <w:t xml:space="preserve">Uticaj </w:t>
      </w:r>
      <w:r w:rsidR="00AC562A" w:rsidRPr="00C25676">
        <w:rPr>
          <w:b/>
          <w:bCs/>
          <w:spacing w:val="-8"/>
          <w:szCs w:val="22"/>
          <w:lang w:val="sr-Latn-CS"/>
        </w:rPr>
        <w:t>lijek</w:t>
      </w:r>
      <w:r w:rsidRPr="00C25676">
        <w:rPr>
          <w:b/>
          <w:bCs/>
          <w:spacing w:val="-8"/>
          <w:szCs w:val="22"/>
          <w:lang w:val="sr-Latn-CS"/>
        </w:rPr>
        <w:t>a na sposobnost upravljanja vozilima i rukovanja mašinama</w:t>
      </w:r>
    </w:p>
    <w:p w14:paraId="1A33FDED" w14:textId="77777777" w:rsidR="00F3137E" w:rsidRPr="00B22D20" w:rsidRDefault="00F3137E">
      <w:pPr>
        <w:pStyle w:val="Header"/>
        <w:tabs>
          <w:tab w:val="clear" w:pos="4536"/>
          <w:tab w:val="clear" w:pos="9072"/>
        </w:tabs>
        <w:spacing w:before="120"/>
        <w:rPr>
          <w:szCs w:val="22"/>
          <w:lang w:val="sr-Latn-CS"/>
        </w:rPr>
      </w:pPr>
      <w:r w:rsidRPr="00B22D20">
        <w:rPr>
          <w:szCs w:val="22"/>
          <w:lang w:val="sr-Latn-CS"/>
        </w:rPr>
        <w:t xml:space="preserve">Klopidogrel nema ili ima zanemarljiv uticaj na sposobnost upravljanja vozilom i </w:t>
      </w:r>
      <w:r w:rsidR="009D0184" w:rsidRPr="00B22D20">
        <w:rPr>
          <w:szCs w:val="22"/>
          <w:lang w:val="sr-Latn-CS"/>
        </w:rPr>
        <w:t>rukovanja</w:t>
      </w:r>
      <w:r w:rsidRPr="00B22D20">
        <w:rPr>
          <w:szCs w:val="22"/>
          <w:lang w:val="sr-Latn-CS"/>
        </w:rPr>
        <w:t xml:space="preserve"> mašina</w:t>
      </w:r>
      <w:r w:rsidR="009D0184" w:rsidRPr="00B22D20">
        <w:rPr>
          <w:szCs w:val="22"/>
          <w:lang w:val="sr-Latn-CS"/>
        </w:rPr>
        <w:t>ma</w:t>
      </w:r>
      <w:r w:rsidRPr="00B22D20">
        <w:rPr>
          <w:szCs w:val="22"/>
          <w:lang w:val="sr-Latn-CS"/>
        </w:rPr>
        <w:t>.</w:t>
      </w:r>
    </w:p>
    <w:p w14:paraId="57A13FBE" w14:textId="77777777" w:rsidR="00AD0415" w:rsidRPr="00B22D20" w:rsidRDefault="00AD0415">
      <w:pPr>
        <w:pStyle w:val="Header"/>
        <w:tabs>
          <w:tab w:val="clear" w:pos="4536"/>
          <w:tab w:val="clear" w:pos="9072"/>
        </w:tabs>
        <w:rPr>
          <w:szCs w:val="22"/>
          <w:lang w:val="sr-Latn-CS"/>
        </w:rPr>
      </w:pPr>
    </w:p>
    <w:p w14:paraId="60174346" w14:textId="77777777" w:rsidR="00F3137E" w:rsidRPr="00B22D20" w:rsidRDefault="00F3137E">
      <w:pPr>
        <w:pStyle w:val="Header"/>
        <w:tabs>
          <w:tab w:val="clear" w:pos="4536"/>
          <w:tab w:val="clear" w:pos="9072"/>
        </w:tabs>
        <w:rPr>
          <w:b/>
          <w:bCs/>
          <w:szCs w:val="22"/>
        </w:rPr>
      </w:pPr>
      <w:r w:rsidRPr="00B22D20">
        <w:rPr>
          <w:b/>
          <w:bCs/>
          <w:szCs w:val="22"/>
        </w:rPr>
        <w:t>4.8. Neželjena dejstva</w:t>
      </w:r>
    </w:p>
    <w:p w14:paraId="777CB9CE" w14:textId="1209A3D5" w:rsidR="00F3137E" w:rsidRPr="00B22D20" w:rsidRDefault="00C80038">
      <w:pPr>
        <w:spacing w:before="120"/>
        <w:rPr>
          <w:i/>
          <w:szCs w:val="22"/>
          <w:lang w:val="sr-Latn-CS"/>
        </w:rPr>
      </w:pPr>
      <w:r w:rsidRPr="00B22D20">
        <w:rPr>
          <w:i/>
          <w:szCs w:val="22"/>
          <w:lang w:val="sr-Latn-CS"/>
        </w:rPr>
        <w:t>Sažetak bezb</w:t>
      </w:r>
      <w:r w:rsidR="00091A34" w:rsidRPr="00B22D20">
        <w:rPr>
          <w:i/>
          <w:szCs w:val="22"/>
          <w:lang w:val="sr-Latn-CS"/>
        </w:rPr>
        <w:t>j</w:t>
      </w:r>
      <w:r w:rsidRPr="00B22D20">
        <w:rPr>
          <w:i/>
          <w:szCs w:val="22"/>
          <w:lang w:val="sr-Latn-CS"/>
        </w:rPr>
        <w:t>ed</w:t>
      </w:r>
      <w:r w:rsidR="00F3137E" w:rsidRPr="00B22D20">
        <w:rPr>
          <w:i/>
          <w:szCs w:val="22"/>
          <w:lang w:val="sr-Latn-CS"/>
        </w:rPr>
        <w:t>nosnog profila</w:t>
      </w:r>
    </w:p>
    <w:p w14:paraId="06F10AD3" w14:textId="1EB3B631" w:rsidR="00F3137E" w:rsidRPr="00B22D20" w:rsidRDefault="00F3137E">
      <w:pPr>
        <w:spacing w:before="120"/>
        <w:rPr>
          <w:szCs w:val="22"/>
          <w:lang w:val="sr-Latn-CS"/>
        </w:rPr>
      </w:pPr>
      <w:r w:rsidRPr="00B22D20">
        <w:rPr>
          <w:szCs w:val="22"/>
          <w:lang w:val="sr-Latn-CS"/>
        </w:rPr>
        <w:t>Proc</w:t>
      </w:r>
      <w:r w:rsidR="00091A34" w:rsidRPr="00B22D20">
        <w:rPr>
          <w:szCs w:val="22"/>
          <w:lang w:val="sr-Latn-CS"/>
        </w:rPr>
        <w:t>j</w:t>
      </w:r>
      <w:r w:rsidRPr="00B22D20">
        <w:rPr>
          <w:szCs w:val="22"/>
          <w:lang w:val="sr-Latn-CS"/>
        </w:rPr>
        <w:t>ena bezb</w:t>
      </w:r>
      <w:r w:rsidR="00091A34" w:rsidRPr="00B22D20">
        <w:rPr>
          <w:szCs w:val="22"/>
          <w:lang w:val="sr-Latn-CS"/>
        </w:rPr>
        <w:t>j</w:t>
      </w:r>
      <w:r w:rsidRPr="00B22D20">
        <w:rPr>
          <w:szCs w:val="22"/>
          <w:lang w:val="sr-Latn-CS"/>
        </w:rPr>
        <w:t>ednosti klopidogrela vršena je kod više od 44.000 pacijenata</w:t>
      </w:r>
      <w:r w:rsidR="00F4182E" w:rsidRPr="00B22D20">
        <w:rPr>
          <w:szCs w:val="22"/>
          <w:lang w:val="sr-Latn-CS"/>
        </w:rPr>
        <w:t xml:space="preserve"> koji su učestvovali u kliničkim ispitivanjima</w:t>
      </w:r>
      <w:r w:rsidRPr="00B22D20">
        <w:rPr>
          <w:szCs w:val="22"/>
          <w:lang w:val="sr-Latn-CS"/>
        </w:rPr>
        <w:t xml:space="preserve">, uključujući i više od 12.000 pacijenata koji su terapiju primali godinu dana i duže. U </w:t>
      </w:r>
      <w:r w:rsidRPr="00C25676">
        <w:rPr>
          <w:szCs w:val="22"/>
          <w:lang w:val="sr-Latn-CS"/>
        </w:rPr>
        <w:t>CAPRIE</w:t>
      </w:r>
      <w:r w:rsidRPr="00B22D20">
        <w:rPr>
          <w:szCs w:val="22"/>
          <w:lang w:val="sr-Latn-CS"/>
        </w:rPr>
        <w:t xml:space="preserve"> studiji, uopšteno, </w:t>
      </w:r>
      <w:r w:rsidR="00EA5383" w:rsidRPr="00B22D20">
        <w:rPr>
          <w:szCs w:val="22"/>
          <w:lang w:val="sr-Latn-CS"/>
        </w:rPr>
        <w:t>podaci za</w:t>
      </w:r>
      <w:r w:rsidRPr="00B22D20">
        <w:rPr>
          <w:szCs w:val="22"/>
          <w:lang w:val="sr-Latn-CS"/>
        </w:rPr>
        <w:t xml:space="preserve"> klopidogrel u dnevnoj dozi od 75 mg bil</w:t>
      </w:r>
      <w:r w:rsidR="00EA5383" w:rsidRPr="00B22D20">
        <w:rPr>
          <w:szCs w:val="22"/>
          <w:lang w:val="sr-Latn-CS"/>
        </w:rPr>
        <w:t>i su slični podacima</w:t>
      </w:r>
      <w:r w:rsidRPr="00B22D20">
        <w:rPr>
          <w:szCs w:val="22"/>
          <w:lang w:val="sr-Latn-CS"/>
        </w:rPr>
        <w:t xml:space="preserve"> AS</w:t>
      </w:r>
      <w:r w:rsidR="009D0184" w:rsidRPr="00B22D20">
        <w:rPr>
          <w:szCs w:val="22"/>
          <w:lang w:val="sr-Latn-CS"/>
        </w:rPr>
        <w:t>K</w:t>
      </w:r>
      <w:r w:rsidRPr="00B22D20">
        <w:rPr>
          <w:szCs w:val="22"/>
          <w:lang w:val="sr-Latn-CS"/>
        </w:rPr>
        <w:t xml:space="preserve"> u dnevnoj dozi od 325 mg, nezavisno od starosti, pola i rase pacijenata. U daljem tekstu opisana su klinički značajna neželjena dejstva registrovana u studijama CAPRIE, CURE, CLARITY, COMMIT i ACTIVE-A. Pored iskustava iz kliničkih studija, neželjena dejstva su registrovana i na osnovu spontanog prijavljivanja.</w:t>
      </w:r>
    </w:p>
    <w:p w14:paraId="68390536" w14:textId="5C96586F" w:rsidR="00F3137E" w:rsidRPr="00B22D20" w:rsidRDefault="00F3137E">
      <w:pPr>
        <w:spacing w:before="120"/>
        <w:rPr>
          <w:szCs w:val="22"/>
          <w:lang w:val="sr-Latn-CS"/>
        </w:rPr>
      </w:pPr>
      <w:r w:rsidRPr="00B22D20">
        <w:rPr>
          <w:szCs w:val="22"/>
          <w:lang w:val="sr-Latn-CS"/>
        </w:rPr>
        <w:t xml:space="preserve">Krvarenje je najčešće prijavljivano neželjeno dejstvo, kako u okviru kliničkih studija, tako i u periodu postmarketinškog praćenja, s tim što je u postmarketinškom periodu najčešće </w:t>
      </w:r>
      <w:r w:rsidR="00122D4B" w:rsidRPr="00B22D20">
        <w:rPr>
          <w:szCs w:val="22"/>
          <w:lang w:val="sr-Latn-CS"/>
        </w:rPr>
        <w:t>zabiljež</w:t>
      </w:r>
      <w:r w:rsidRPr="00B22D20">
        <w:rPr>
          <w:szCs w:val="22"/>
          <w:lang w:val="sr-Latn-CS"/>
        </w:rPr>
        <w:t>eno tokom prvog m</w:t>
      </w:r>
      <w:r w:rsidR="00091A34" w:rsidRPr="00B22D20">
        <w:rPr>
          <w:szCs w:val="22"/>
          <w:lang w:val="sr-Latn-CS"/>
        </w:rPr>
        <w:t>j</w:t>
      </w:r>
      <w:r w:rsidRPr="00B22D20">
        <w:rPr>
          <w:szCs w:val="22"/>
          <w:lang w:val="sr-Latn-CS"/>
        </w:rPr>
        <w:t>eseca terapije.</w:t>
      </w:r>
    </w:p>
    <w:p w14:paraId="6E89CA2C" w14:textId="38189D01" w:rsidR="00F3137E" w:rsidRPr="00B22D20" w:rsidRDefault="00F3137E">
      <w:pPr>
        <w:spacing w:before="120"/>
        <w:rPr>
          <w:szCs w:val="22"/>
          <w:lang w:val="sr-Latn-CS"/>
        </w:rPr>
      </w:pPr>
      <w:r w:rsidRPr="00C25676">
        <w:rPr>
          <w:szCs w:val="22"/>
          <w:lang w:val="sr-Latn-CS"/>
        </w:rPr>
        <w:t>U CAPRIE</w:t>
      </w:r>
      <w:r w:rsidRPr="00B22D20">
        <w:rPr>
          <w:szCs w:val="22"/>
          <w:lang w:val="sr-Latn-CS"/>
        </w:rPr>
        <w:t xml:space="preserve"> studiji, kod pacijenata l</w:t>
      </w:r>
      <w:r w:rsidR="00090C10" w:rsidRPr="00B22D20">
        <w:rPr>
          <w:szCs w:val="22"/>
          <w:lang w:val="sr-Latn-CS"/>
        </w:rPr>
        <w:t>i</w:t>
      </w:r>
      <w:r w:rsidR="00091A34" w:rsidRPr="00B22D20">
        <w:rPr>
          <w:szCs w:val="22"/>
          <w:lang w:val="sr-Latn-CS"/>
        </w:rPr>
        <w:t>j</w:t>
      </w:r>
      <w:r w:rsidRPr="00B22D20">
        <w:rPr>
          <w:szCs w:val="22"/>
          <w:lang w:val="sr-Latn-CS"/>
        </w:rPr>
        <w:t>ečenih bilo klopidogrelom bilo AS</w:t>
      </w:r>
      <w:r w:rsidR="009D0184" w:rsidRPr="00B22D20">
        <w:rPr>
          <w:szCs w:val="22"/>
          <w:lang w:val="sr-Latn-CS"/>
        </w:rPr>
        <w:t>K</w:t>
      </w:r>
      <w:r w:rsidRPr="00B22D20">
        <w:rPr>
          <w:szCs w:val="22"/>
          <w:lang w:val="sr-Latn-CS"/>
        </w:rPr>
        <w:t xml:space="preserve">, ukupna učestalost pojave krvarenja bila je 9,3%. Učestalost pojave slučajeva teških krvarenja bila je slična za klopidogrel i </w:t>
      </w:r>
      <w:r w:rsidR="00465370" w:rsidRPr="00B22D20">
        <w:rPr>
          <w:szCs w:val="22"/>
          <w:lang w:val="sr-Latn-CS"/>
        </w:rPr>
        <w:t>AS</w:t>
      </w:r>
      <w:r w:rsidR="009D0184" w:rsidRPr="00B22D20">
        <w:rPr>
          <w:szCs w:val="22"/>
          <w:lang w:val="sr-Latn-CS"/>
        </w:rPr>
        <w:t>K</w:t>
      </w:r>
      <w:r w:rsidRPr="00B22D20">
        <w:rPr>
          <w:szCs w:val="22"/>
          <w:lang w:val="sr-Latn-CS"/>
        </w:rPr>
        <w:t>.</w:t>
      </w:r>
    </w:p>
    <w:p w14:paraId="371DE6DB" w14:textId="000AFD39" w:rsidR="00F3137E" w:rsidRPr="00B22D20" w:rsidRDefault="00F3137E">
      <w:pPr>
        <w:spacing w:before="120"/>
        <w:rPr>
          <w:szCs w:val="22"/>
          <w:lang w:val="sr-Latn-CS"/>
        </w:rPr>
      </w:pPr>
      <w:r w:rsidRPr="00B22D20">
        <w:rPr>
          <w:szCs w:val="22"/>
          <w:lang w:val="sr-Latn-CS"/>
        </w:rPr>
        <w:t xml:space="preserve">U CURE studiji, nije bilo povećanja učestalosti velikih krvarenja sa </w:t>
      </w:r>
      <w:r w:rsidR="009D0184" w:rsidRPr="00B22D20">
        <w:rPr>
          <w:szCs w:val="22"/>
          <w:lang w:val="sr-Latn-CS"/>
        </w:rPr>
        <w:t>klopidogrelom</w:t>
      </w:r>
      <w:r w:rsidRPr="00B22D20">
        <w:rPr>
          <w:szCs w:val="22"/>
          <w:lang w:val="sr-Latn-CS"/>
        </w:rPr>
        <w:t xml:space="preserve"> i </w:t>
      </w:r>
      <w:r w:rsidR="00465370" w:rsidRPr="00B22D20">
        <w:rPr>
          <w:szCs w:val="22"/>
          <w:lang w:val="sr-Latn-CS"/>
        </w:rPr>
        <w:t>AS</w:t>
      </w:r>
      <w:r w:rsidR="009D0184" w:rsidRPr="00B22D20">
        <w:rPr>
          <w:szCs w:val="22"/>
          <w:lang w:val="sr-Latn-CS"/>
        </w:rPr>
        <w:t>K</w:t>
      </w:r>
      <w:r w:rsidRPr="00B22D20">
        <w:rPr>
          <w:szCs w:val="22"/>
          <w:lang w:val="sr-Latn-CS"/>
        </w:rPr>
        <w:t xml:space="preserve"> u periodu od 7 dana posl</w:t>
      </w:r>
      <w:r w:rsidR="00091A34" w:rsidRPr="00B22D20">
        <w:rPr>
          <w:szCs w:val="22"/>
          <w:lang w:val="sr-Latn-CS"/>
        </w:rPr>
        <w:t>ij</w:t>
      </w:r>
      <w:r w:rsidRPr="00B22D20">
        <w:rPr>
          <w:szCs w:val="22"/>
          <w:lang w:val="sr-Latn-CS"/>
        </w:rPr>
        <w:t xml:space="preserve">e </w:t>
      </w:r>
      <w:r w:rsidR="00C65DE8" w:rsidRPr="00B22D20">
        <w:rPr>
          <w:szCs w:val="22"/>
          <w:lang w:val="sr-Latn-CS"/>
        </w:rPr>
        <w:t xml:space="preserve">hirurške intervencije </w:t>
      </w:r>
      <w:r w:rsidRPr="00B22D20">
        <w:rPr>
          <w:szCs w:val="22"/>
          <w:lang w:val="sr-Latn-CS"/>
        </w:rPr>
        <w:t>koronarnog bajpasa među pacijentima koji su terapiju prekinuli više od 5 dana pr</w:t>
      </w:r>
      <w:r w:rsidR="00091A34" w:rsidRPr="00B22D20">
        <w:rPr>
          <w:szCs w:val="22"/>
          <w:lang w:val="sr-Latn-CS"/>
        </w:rPr>
        <w:t>ij</w:t>
      </w:r>
      <w:r w:rsidRPr="00B22D20">
        <w:rPr>
          <w:szCs w:val="22"/>
          <w:lang w:val="sr-Latn-CS"/>
        </w:rPr>
        <w:t xml:space="preserve">e </w:t>
      </w:r>
      <w:r w:rsidR="00C65DE8" w:rsidRPr="00B22D20">
        <w:rPr>
          <w:szCs w:val="22"/>
          <w:lang w:val="sr-Latn-CS"/>
        </w:rPr>
        <w:t>hirurške intervencije</w:t>
      </w:r>
      <w:r w:rsidRPr="00B22D20">
        <w:rPr>
          <w:szCs w:val="22"/>
          <w:lang w:val="sr-Latn-CS"/>
        </w:rPr>
        <w:t xml:space="preserve">. Kod pacijenata koji su na terapiji ostali </w:t>
      </w:r>
      <w:r w:rsidR="00EA5383" w:rsidRPr="00B22D20">
        <w:rPr>
          <w:szCs w:val="22"/>
          <w:lang w:val="sr-Latn-CS"/>
        </w:rPr>
        <w:t xml:space="preserve">i </w:t>
      </w:r>
      <w:r w:rsidRPr="00B22D20">
        <w:rPr>
          <w:szCs w:val="22"/>
          <w:lang w:val="sr-Latn-CS"/>
        </w:rPr>
        <w:t>u periodu od 5 dana pr</w:t>
      </w:r>
      <w:r w:rsidR="00091A34" w:rsidRPr="00B22D20">
        <w:rPr>
          <w:szCs w:val="22"/>
          <w:lang w:val="sr-Latn-CS"/>
        </w:rPr>
        <w:t>ij</w:t>
      </w:r>
      <w:r w:rsidRPr="00B22D20">
        <w:rPr>
          <w:szCs w:val="22"/>
          <w:lang w:val="sr-Latn-CS"/>
        </w:rPr>
        <w:t xml:space="preserve">e </w:t>
      </w:r>
      <w:r w:rsidR="00C65DE8" w:rsidRPr="00B22D20">
        <w:rPr>
          <w:szCs w:val="22"/>
          <w:lang w:val="sr-Latn-CS"/>
        </w:rPr>
        <w:t xml:space="preserve">hirurške intervencije </w:t>
      </w:r>
      <w:r w:rsidRPr="00B22D20">
        <w:rPr>
          <w:szCs w:val="22"/>
          <w:lang w:val="sr-Latn-CS"/>
        </w:rPr>
        <w:t>bajpasa, učestalost događaja je iznosila 9,6% za kombinaciju klopidogrel</w:t>
      </w:r>
      <w:r w:rsidR="0006505D" w:rsidRPr="00B22D20">
        <w:rPr>
          <w:szCs w:val="22"/>
          <w:lang w:val="sr-Latn-CS"/>
        </w:rPr>
        <w:t xml:space="preserve"> </w:t>
      </w:r>
      <w:r w:rsidRPr="00B22D20">
        <w:rPr>
          <w:szCs w:val="22"/>
          <w:lang w:val="sr-Latn-CS"/>
        </w:rPr>
        <w:t>+</w:t>
      </w:r>
      <w:r w:rsidR="0006505D" w:rsidRPr="00B22D20">
        <w:rPr>
          <w:szCs w:val="22"/>
          <w:lang w:val="sr-Latn-CS"/>
        </w:rPr>
        <w:t xml:space="preserve"> </w:t>
      </w:r>
      <w:r w:rsidR="00465370" w:rsidRPr="00B22D20">
        <w:rPr>
          <w:szCs w:val="22"/>
          <w:lang w:val="sr-Latn-CS"/>
        </w:rPr>
        <w:t>AS</w:t>
      </w:r>
      <w:r w:rsidR="00C65DE8" w:rsidRPr="00B22D20">
        <w:rPr>
          <w:szCs w:val="22"/>
          <w:lang w:val="sr-Latn-CS"/>
        </w:rPr>
        <w:t>K</w:t>
      </w:r>
      <w:r w:rsidRPr="00B22D20">
        <w:rPr>
          <w:szCs w:val="22"/>
          <w:lang w:val="sr-Latn-CS"/>
        </w:rPr>
        <w:t>, odnosno 6,3% za placebo</w:t>
      </w:r>
      <w:r w:rsidR="0006505D" w:rsidRPr="00B22D20">
        <w:rPr>
          <w:szCs w:val="22"/>
          <w:lang w:val="sr-Latn-CS"/>
        </w:rPr>
        <w:t xml:space="preserve"> </w:t>
      </w:r>
      <w:r w:rsidRPr="00B22D20">
        <w:rPr>
          <w:szCs w:val="22"/>
          <w:lang w:val="sr-Latn-CS"/>
        </w:rPr>
        <w:t>+</w:t>
      </w:r>
      <w:r w:rsidR="0006505D" w:rsidRPr="00B22D20">
        <w:rPr>
          <w:szCs w:val="22"/>
          <w:lang w:val="sr-Latn-CS"/>
        </w:rPr>
        <w:t xml:space="preserve"> </w:t>
      </w:r>
      <w:r w:rsidR="00465370" w:rsidRPr="00B22D20">
        <w:rPr>
          <w:szCs w:val="22"/>
          <w:lang w:val="sr-Latn-CS"/>
        </w:rPr>
        <w:t>AS</w:t>
      </w:r>
      <w:r w:rsidR="00C65DE8" w:rsidRPr="00B22D20">
        <w:rPr>
          <w:szCs w:val="22"/>
          <w:lang w:val="sr-Latn-CS"/>
        </w:rPr>
        <w:t>K</w:t>
      </w:r>
      <w:r w:rsidRPr="00B22D20">
        <w:rPr>
          <w:szCs w:val="22"/>
          <w:lang w:val="sr-Latn-CS"/>
        </w:rPr>
        <w:t>.</w:t>
      </w:r>
    </w:p>
    <w:p w14:paraId="112E368E" w14:textId="77777777" w:rsidR="00F3137E" w:rsidRPr="00B22D20" w:rsidRDefault="00F3137E">
      <w:pPr>
        <w:tabs>
          <w:tab w:val="clear" w:pos="284"/>
        </w:tabs>
        <w:autoSpaceDE w:val="0"/>
        <w:autoSpaceDN w:val="0"/>
        <w:adjustRightInd w:val="0"/>
        <w:spacing w:before="120"/>
        <w:rPr>
          <w:rFonts w:eastAsia="TimesNewRoman"/>
          <w:szCs w:val="22"/>
          <w:lang w:val="sr-Latn-CS"/>
        </w:rPr>
      </w:pPr>
      <w:r w:rsidRPr="00B22D20">
        <w:rPr>
          <w:rFonts w:eastAsia="TimesNewRoman"/>
          <w:szCs w:val="22"/>
        </w:rPr>
        <w:t>U</w:t>
      </w:r>
      <w:r w:rsidRPr="00B22D20">
        <w:rPr>
          <w:rFonts w:eastAsia="TimesNewRoman"/>
          <w:szCs w:val="22"/>
          <w:lang w:val="sr-Latn-CS"/>
        </w:rPr>
        <w:t xml:space="preserve"> </w:t>
      </w:r>
      <w:r w:rsidRPr="00B22D20">
        <w:rPr>
          <w:rFonts w:eastAsia="TimesNewRoman"/>
          <w:szCs w:val="22"/>
        </w:rPr>
        <w:t>studiji</w:t>
      </w:r>
      <w:r w:rsidRPr="00B22D20">
        <w:rPr>
          <w:rFonts w:eastAsia="TimesNewRoman"/>
          <w:szCs w:val="22"/>
          <w:lang w:val="sr-Latn-CS"/>
        </w:rPr>
        <w:t xml:space="preserve"> </w:t>
      </w:r>
      <w:r w:rsidRPr="00B22D20">
        <w:rPr>
          <w:rFonts w:eastAsia="TimesNewRoman"/>
          <w:szCs w:val="22"/>
        </w:rPr>
        <w:t>CLARITY</w:t>
      </w:r>
      <w:r w:rsidRPr="00B22D20">
        <w:rPr>
          <w:rFonts w:eastAsia="TimesNewRoman"/>
          <w:szCs w:val="22"/>
          <w:lang w:val="sr-Latn-CS"/>
        </w:rPr>
        <w:t xml:space="preserve">, </w:t>
      </w:r>
      <w:r w:rsidRPr="00B22D20">
        <w:rPr>
          <w:rFonts w:eastAsia="TimesNewRoman"/>
          <w:szCs w:val="22"/>
        </w:rPr>
        <w:t>ukupna</w:t>
      </w:r>
      <w:r w:rsidRPr="00B22D20">
        <w:rPr>
          <w:rFonts w:eastAsia="TimesNewRoman"/>
          <w:szCs w:val="22"/>
          <w:lang w:val="sr-Latn-CS"/>
        </w:rPr>
        <w:t xml:space="preserve"> </w:t>
      </w:r>
      <w:r w:rsidRPr="00B22D20">
        <w:rPr>
          <w:rFonts w:eastAsia="TimesNewRoman"/>
          <w:szCs w:val="22"/>
        </w:rPr>
        <w:t>incidenca</w:t>
      </w:r>
      <w:r w:rsidRPr="00B22D20">
        <w:rPr>
          <w:rFonts w:eastAsia="TimesNewRoman"/>
          <w:szCs w:val="22"/>
          <w:lang w:val="sr-Latn-CS"/>
        </w:rPr>
        <w:t xml:space="preserve"> </w:t>
      </w:r>
      <w:r w:rsidRPr="00B22D20">
        <w:rPr>
          <w:rFonts w:eastAsia="TimesNewRoman"/>
          <w:szCs w:val="22"/>
        </w:rPr>
        <w:t>krvarenja</w:t>
      </w:r>
      <w:r w:rsidRPr="00B22D20">
        <w:rPr>
          <w:rFonts w:eastAsia="TimesNewRoman"/>
          <w:szCs w:val="22"/>
          <w:lang w:val="sr-Latn-CS"/>
        </w:rPr>
        <w:t xml:space="preserve"> </w:t>
      </w:r>
      <w:r w:rsidRPr="00B22D20">
        <w:rPr>
          <w:rFonts w:eastAsia="TimesNewRoman"/>
          <w:szCs w:val="22"/>
        </w:rPr>
        <w:t>bila</w:t>
      </w:r>
      <w:r w:rsidRPr="00B22D20">
        <w:rPr>
          <w:rFonts w:eastAsia="TimesNewRoman"/>
          <w:szCs w:val="22"/>
          <w:lang w:val="sr-Latn-CS"/>
        </w:rPr>
        <w:t xml:space="preserve"> </w:t>
      </w:r>
      <w:r w:rsidRPr="00B22D20">
        <w:rPr>
          <w:rFonts w:eastAsia="TimesNewRoman"/>
          <w:szCs w:val="22"/>
        </w:rPr>
        <w:t>je</w:t>
      </w:r>
      <w:r w:rsidRPr="00B22D20">
        <w:rPr>
          <w:rFonts w:eastAsia="TimesNewRoman"/>
          <w:szCs w:val="22"/>
          <w:lang w:val="sr-Latn-CS"/>
        </w:rPr>
        <w:t xml:space="preserve"> </w:t>
      </w:r>
      <w:r w:rsidRPr="00B22D20">
        <w:rPr>
          <w:rFonts w:eastAsia="TimesNewRoman"/>
          <w:szCs w:val="22"/>
        </w:rPr>
        <w:t>ve</w:t>
      </w:r>
      <w:r w:rsidRPr="00B22D20">
        <w:rPr>
          <w:rFonts w:eastAsia="TimesNewRoman"/>
          <w:szCs w:val="22"/>
          <w:lang w:val="sr-Latn-CS"/>
        </w:rPr>
        <w:t>ć</w:t>
      </w:r>
      <w:r w:rsidRPr="00B22D20">
        <w:rPr>
          <w:rFonts w:eastAsia="TimesNewRoman"/>
          <w:szCs w:val="22"/>
        </w:rPr>
        <w:t>a</w:t>
      </w:r>
      <w:r w:rsidRPr="00B22D20">
        <w:rPr>
          <w:rFonts w:eastAsia="TimesNewRoman"/>
          <w:szCs w:val="22"/>
          <w:lang w:val="sr-Latn-CS"/>
        </w:rPr>
        <w:t xml:space="preserve"> </w:t>
      </w:r>
      <w:r w:rsidRPr="00B22D20">
        <w:rPr>
          <w:rFonts w:eastAsia="TimesNewRoman"/>
          <w:szCs w:val="22"/>
        </w:rPr>
        <w:t>u</w:t>
      </w:r>
      <w:r w:rsidRPr="00B22D20">
        <w:rPr>
          <w:rFonts w:eastAsia="TimesNewRoman"/>
          <w:szCs w:val="22"/>
          <w:lang w:val="sr-Latn-CS"/>
        </w:rPr>
        <w:t xml:space="preserve"> </w:t>
      </w:r>
      <w:r w:rsidRPr="00B22D20">
        <w:rPr>
          <w:rFonts w:eastAsia="TimesNewRoman"/>
          <w:szCs w:val="22"/>
        </w:rPr>
        <w:t>grupi</w:t>
      </w:r>
      <w:r w:rsidRPr="00B22D20">
        <w:rPr>
          <w:rFonts w:eastAsia="TimesNewRoman"/>
          <w:szCs w:val="22"/>
          <w:lang w:val="sr-Latn-CS"/>
        </w:rPr>
        <w:t xml:space="preserve"> </w:t>
      </w:r>
      <w:proofErr w:type="gramStart"/>
      <w:r w:rsidRPr="00B22D20">
        <w:rPr>
          <w:rFonts w:eastAsia="TimesNewRoman"/>
          <w:szCs w:val="22"/>
        </w:rPr>
        <w:t>sa</w:t>
      </w:r>
      <w:proofErr w:type="gramEnd"/>
      <w:r w:rsidRPr="00B22D20">
        <w:rPr>
          <w:rFonts w:eastAsia="TimesNewRoman"/>
          <w:szCs w:val="22"/>
          <w:lang w:val="sr-Latn-CS"/>
        </w:rPr>
        <w:t xml:space="preserve"> </w:t>
      </w:r>
      <w:r w:rsidRPr="00B22D20">
        <w:rPr>
          <w:rFonts w:eastAsia="TimesNewRoman"/>
          <w:szCs w:val="22"/>
        </w:rPr>
        <w:t>klopidogrelom</w:t>
      </w:r>
      <w:r w:rsidRPr="00B22D20">
        <w:rPr>
          <w:rFonts w:eastAsia="TimesNewRoman"/>
          <w:szCs w:val="22"/>
          <w:lang w:val="sr-Latn-CS"/>
        </w:rPr>
        <w:t xml:space="preserve"> + </w:t>
      </w:r>
      <w:r w:rsidR="00465370" w:rsidRPr="00B22D20">
        <w:rPr>
          <w:rFonts w:eastAsia="TimesNewRoman"/>
          <w:szCs w:val="22"/>
        </w:rPr>
        <w:t>AS</w:t>
      </w:r>
      <w:r w:rsidR="00AE2DE9" w:rsidRPr="00B22D20">
        <w:rPr>
          <w:rFonts w:eastAsia="TimesNewRoman"/>
          <w:szCs w:val="22"/>
        </w:rPr>
        <w:t>K</w:t>
      </w:r>
      <w:r w:rsidRPr="00B22D20">
        <w:rPr>
          <w:rFonts w:eastAsia="TimesNewRoman"/>
          <w:szCs w:val="22"/>
          <w:lang w:val="sr-Latn-CS"/>
        </w:rPr>
        <w:t xml:space="preserve"> </w:t>
      </w:r>
      <w:r w:rsidRPr="00B22D20">
        <w:rPr>
          <w:rFonts w:eastAsia="TimesNewRoman"/>
          <w:szCs w:val="22"/>
        </w:rPr>
        <w:t>naspram</w:t>
      </w:r>
      <w:r w:rsidRPr="00B22D20">
        <w:rPr>
          <w:rFonts w:eastAsia="TimesNewRoman"/>
          <w:szCs w:val="22"/>
          <w:lang w:val="sr-Latn-CS"/>
        </w:rPr>
        <w:t xml:space="preserve"> </w:t>
      </w:r>
      <w:r w:rsidRPr="00B22D20">
        <w:rPr>
          <w:rFonts w:eastAsia="TimesNewRoman"/>
          <w:szCs w:val="22"/>
        </w:rPr>
        <w:t>grupe</w:t>
      </w:r>
      <w:r w:rsidRPr="00B22D20">
        <w:rPr>
          <w:rFonts w:eastAsia="TimesNewRoman"/>
          <w:szCs w:val="22"/>
          <w:lang w:val="sr-Latn-CS"/>
        </w:rPr>
        <w:t xml:space="preserve"> </w:t>
      </w:r>
      <w:r w:rsidRPr="00B22D20">
        <w:rPr>
          <w:rFonts w:eastAsia="TimesNewRoman"/>
          <w:szCs w:val="22"/>
        </w:rPr>
        <w:t>sa</w:t>
      </w:r>
      <w:r w:rsidRPr="00B22D20">
        <w:rPr>
          <w:rFonts w:eastAsia="TimesNewRoman"/>
          <w:szCs w:val="22"/>
          <w:lang w:val="sr-Latn-CS"/>
        </w:rPr>
        <w:t xml:space="preserve"> </w:t>
      </w:r>
      <w:r w:rsidRPr="00B22D20">
        <w:rPr>
          <w:rFonts w:eastAsia="TimesNewRoman"/>
          <w:szCs w:val="22"/>
        </w:rPr>
        <w:t>placebom</w:t>
      </w:r>
      <w:r w:rsidRPr="00B22D20">
        <w:rPr>
          <w:rFonts w:eastAsia="TimesNewRoman"/>
          <w:szCs w:val="22"/>
          <w:lang w:val="sr-Latn-CS"/>
        </w:rPr>
        <w:t xml:space="preserve"> + </w:t>
      </w:r>
      <w:r w:rsidR="00465370" w:rsidRPr="00B22D20">
        <w:rPr>
          <w:rFonts w:eastAsia="TimesNewRoman"/>
          <w:szCs w:val="22"/>
        </w:rPr>
        <w:t>AS</w:t>
      </w:r>
      <w:r w:rsidR="00AE2DE9" w:rsidRPr="00B22D20">
        <w:rPr>
          <w:rFonts w:eastAsia="TimesNewRoman"/>
          <w:szCs w:val="22"/>
        </w:rPr>
        <w:t>K</w:t>
      </w:r>
      <w:r w:rsidRPr="00B22D20">
        <w:rPr>
          <w:rFonts w:eastAsia="TimesNewRoman"/>
          <w:szCs w:val="22"/>
          <w:lang w:val="sr-Latn-CS"/>
        </w:rPr>
        <w:t xml:space="preserve">. </w:t>
      </w:r>
      <w:r w:rsidRPr="00B22D20">
        <w:rPr>
          <w:szCs w:val="22"/>
          <w:lang w:val="sr-Latn-CS"/>
        </w:rPr>
        <w:t>Učestalost velikih krvarenja bila je slična među grupama. To je važilo za sve podgrupe pacijenata definisane prema njihovim polaznim karakteristikama i tipu fibrinolitičke ili heparinske terapije.</w:t>
      </w:r>
    </w:p>
    <w:p w14:paraId="44308E0D" w14:textId="6F614778" w:rsidR="00D64EE6" w:rsidRPr="00B22D20" w:rsidRDefault="00F3137E">
      <w:pPr>
        <w:spacing w:before="120"/>
        <w:rPr>
          <w:szCs w:val="22"/>
          <w:lang w:val="sr-Latn-CS"/>
        </w:rPr>
      </w:pPr>
      <w:r w:rsidRPr="00B22D20">
        <w:rPr>
          <w:szCs w:val="22"/>
          <w:lang w:val="sr-Latn-CS"/>
        </w:rPr>
        <w:t xml:space="preserve">U COMMIT studiji ukupna učestalost velikih nemoždanih krvarenja ili moždanih krvarenja bila je </w:t>
      </w:r>
      <w:r w:rsidR="00E46D02" w:rsidRPr="00B22D20">
        <w:rPr>
          <w:szCs w:val="22"/>
          <w:lang w:val="sr-Latn-CS"/>
        </w:rPr>
        <w:t>mala</w:t>
      </w:r>
      <w:r w:rsidRPr="00B22D20">
        <w:rPr>
          <w:szCs w:val="22"/>
          <w:lang w:val="sr-Latn-CS"/>
        </w:rPr>
        <w:t xml:space="preserve"> i slična u ob</w:t>
      </w:r>
      <w:r w:rsidR="004615BE" w:rsidRPr="00B22D20">
        <w:rPr>
          <w:szCs w:val="22"/>
          <w:lang w:val="sr-Latn-CS"/>
        </w:rPr>
        <w:t>i</w:t>
      </w:r>
      <w:r w:rsidR="009F19EE" w:rsidRPr="00B22D20">
        <w:rPr>
          <w:szCs w:val="22"/>
          <w:lang w:val="sr-Latn-CS"/>
        </w:rPr>
        <w:t>j</w:t>
      </w:r>
      <w:r w:rsidRPr="00B22D20">
        <w:rPr>
          <w:szCs w:val="22"/>
          <w:lang w:val="sr-Latn-CS"/>
        </w:rPr>
        <w:t>e grupe.</w:t>
      </w:r>
    </w:p>
    <w:p w14:paraId="1CB3DA50" w14:textId="77A4796D" w:rsidR="009E2CF8" w:rsidRDefault="00F3137E">
      <w:pPr>
        <w:spacing w:before="120"/>
        <w:rPr>
          <w:szCs w:val="22"/>
          <w:lang w:val="sr-Latn-CS"/>
        </w:rPr>
      </w:pPr>
      <w:r w:rsidRPr="00C25676">
        <w:rPr>
          <w:szCs w:val="22"/>
          <w:lang w:val="sr-Latn-CS"/>
        </w:rPr>
        <w:t xml:space="preserve">U ACTIVE-A studiji, učestalost pojave velikih krvarenja je bila veća u grupi koja je </w:t>
      </w:r>
      <w:r w:rsidR="00E46D02" w:rsidRPr="00C25676">
        <w:rPr>
          <w:szCs w:val="22"/>
          <w:lang w:val="sr-Latn-CS"/>
        </w:rPr>
        <w:t>uzimala</w:t>
      </w:r>
      <w:r w:rsidRPr="00C25676">
        <w:rPr>
          <w:szCs w:val="22"/>
          <w:lang w:val="sr-Latn-CS"/>
        </w:rPr>
        <w:t xml:space="preserve"> klopidogrel</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u odnosu na grupu koja je </w:t>
      </w:r>
      <w:r w:rsidR="00E46D02" w:rsidRPr="00C25676">
        <w:rPr>
          <w:szCs w:val="22"/>
          <w:lang w:val="sr-Latn-CS"/>
        </w:rPr>
        <w:t>uzimala</w:t>
      </w:r>
      <w:r w:rsidRPr="00C25676">
        <w:rPr>
          <w:szCs w:val="22"/>
          <w:lang w:val="sr-Latn-CS"/>
        </w:rPr>
        <w:t xml:space="preserve"> placebo</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(6,</w:t>
      </w:r>
      <w:r w:rsidR="00CD4A13" w:rsidRPr="00C25676">
        <w:rPr>
          <w:szCs w:val="22"/>
          <w:lang w:val="sr-Latn-CS"/>
        </w:rPr>
        <w:t>7% nasuprot</w:t>
      </w:r>
      <w:r w:rsidRPr="00C25676">
        <w:rPr>
          <w:szCs w:val="22"/>
          <w:lang w:val="sr-Latn-CS"/>
        </w:rPr>
        <w:t xml:space="preserve"> 4,3%). Velika krvarenja su kod ob</w:t>
      </w:r>
      <w:r w:rsidR="004615BE" w:rsidRPr="00C25676">
        <w:rPr>
          <w:szCs w:val="22"/>
          <w:lang w:val="sr-Latn-CS"/>
        </w:rPr>
        <w:t>i</w:t>
      </w:r>
      <w:r w:rsidR="009F19EE" w:rsidRPr="00C25676">
        <w:rPr>
          <w:szCs w:val="22"/>
          <w:lang w:val="sr-Latn-CS"/>
        </w:rPr>
        <w:t>j</w:t>
      </w:r>
      <w:r w:rsidRPr="00C25676">
        <w:rPr>
          <w:szCs w:val="22"/>
          <w:lang w:val="sr-Latn-CS"/>
        </w:rPr>
        <w:t>e grupe bila uglavnom ekstrakranijalnog por</w:t>
      </w:r>
      <w:r w:rsidR="009F19EE" w:rsidRPr="00C25676">
        <w:rPr>
          <w:szCs w:val="22"/>
          <w:lang w:val="sr-Latn-CS"/>
        </w:rPr>
        <w:t>ij</w:t>
      </w:r>
      <w:r w:rsidRPr="00C25676">
        <w:rPr>
          <w:szCs w:val="22"/>
          <w:lang w:val="sr-Latn-CS"/>
        </w:rPr>
        <w:t>ekla (5,3% u klopidogrel</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grupi; 3,5% u placebo</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grupi), uglavnom iz gastrointestinalnog trakta (3,5% </w:t>
      </w:r>
      <w:r w:rsidR="00CD4A13" w:rsidRPr="00C25676">
        <w:rPr>
          <w:szCs w:val="22"/>
          <w:lang w:val="sr-Latn-CS"/>
        </w:rPr>
        <w:t>nasuprot</w:t>
      </w:r>
      <w:r w:rsidRPr="00C25676">
        <w:rPr>
          <w:szCs w:val="22"/>
          <w:lang w:val="sr-Latn-CS"/>
        </w:rPr>
        <w:t xml:space="preserve"> 1,8%). Bila je povećana učestalost pojave intrakranijalnog krvarenja u grupi koja je </w:t>
      </w:r>
      <w:r w:rsidR="00E46D02" w:rsidRPr="00C25676">
        <w:rPr>
          <w:szCs w:val="22"/>
          <w:lang w:val="sr-Latn-CS"/>
        </w:rPr>
        <w:t>uzimala</w:t>
      </w:r>
      <w:r w:rsidRPr="00C25676">
        <w:rPr>
          <w:szCs w:val="22"/>
          <w:lang w:val="sr-Latn-CS"/>
        </w:rPr>
        <w:t xml:space="preserve"> klopidogrel</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u odnosu na grupu koja je </w:t>
      </w:r>
      <w:r w:rsidR="00E46D02" w:rsidRPr="00C25676">
        <w:rPr>
          <w:szCs w:val="22"/>
          <w:lang w:val="sr-Latn-CS"/>
        </w:rPr>
        <w:t>uzimala</w:t>
      </w:r>
      <w:r w:rsidRPr="00C25676">
        <w:rPr>
          <w:szCs w:val="22"/>
          <w:lang w:val="sr-Latn-CS"/>
        </w:rPr>
        <w:t xml:space="preserve"> placebo</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(1,4% </w:t>
      </w:r>
      <w:r w:rsidR="00CD4A13" w:rsidRPr="00C25676">
        <w:rPr>
          <w:szCs w:val="22"/>
          <w:lang w:val="sr-Latn-CS"/>
        </w:rPr>
        <w:t>nasuprot</w:t>
      </w:r>
      <w:r w:rsidRPr="00C25676">
        <w:rPr>
          <w:szCs w:val="22"/>
          <w:lang w:val="sr-Latn-CS"/>
        </w:rPr>
        <w:t xml:space="preserve"> 0,8%). Nije bilo statistički značajnih razlika u poređenju učestalosti fatalnog krvarenja (1,1% u klopidogrel</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grupi i 0,7% u placebo</w:t>
      </w:r>
      <w:r w:rsidR="00CD4A13" w:rsidRPr="00C25676">
        <w:rPr>
          <w:szCs w:val="22"/>
          <w:lang w:val="sr-Latn-CS"/>
        </w:rPr>
        <w:t xml:space="preserve"> </w:t>
      </w:r>
      <w:r w:rsidRPr="00C25676">
        <w:rPr>
          <w:szCs w:val="22"/>
          <w:lang w:val="sr-Latn-CS"/>
        </w:rPr>
        <w:t>+</w:t>
      </w:r>
      <w:r w:rsidR="00CD4A13" w:rsidRPr="00C25676">
        <w:rPr>
          <w:szCs w:val="22"/>
          <w:lang w:val="sr-Latn-CS"/>
        </w:rPr>
        <w:t xml:space="preserve"> </w:t>
      </w:r>
      <w:r w:rsidR="00465370" w:rsidRPr="00C25676">
        <w:rPr>
          <w:szCs w:val="22"/>
          <w:lang w:val="sr-Latn-CS"/>
        </w:rPr>
        <w:t>AS</w:t>
      </w:r>
      <w:r w:rsidR="00E46D02" w:rsidRPr="00C25676">
        <w:rPr>
          <w:szCs w:val="22"/>
          <w:lang w:val="sr-Latn-CS"/>
        </w:rPr>
        <w:t>K</w:t>
      </w:r>
      <w:r w:rsidRPr="00C25676">
        <w:rPr>
          <w:szCs w:val="22"/>
          <w:lang w:val="sr-Latn-CS"/>
        </w:rPr>
        <w:t xml:space="preserve"> grupi) i hemoragijskog moždanog udara (0,8% </w:t>
      </w:r>
      <w:r w:rsidR="00CD4A13" w:rsidRPr="00C25676">
        <w:rPr>
          <w:szCs w:val="22"/>
          <w:lang w:val="sr-Latn-CS"/>
        </w:rPr>
        <w:t>nasuprot</w:t>
      </w:r>
      <w:r w:rsidRPr="00C25676">
        <w:rPr>
          <w:szCs w:val="22"/>
          <w:lang w:val="sr-Latn-CS"/>
        </w:rPr>
        <w:t xml:space="preserve"> 0,6%) između grupa.</w:t>
      </w:r>
      <w:bookmarkStart w:id="1" w:name="_GoBack"/>
      <w:bookmarkEnd w:id="1"/>
    </w:p>
    <w:p w14:paraId="21CCCAEF" w14:textId="75BCCA98" w:rsidR="009E2CF8" w:rsidRPr="00C25676" w:rsidRDefault="009E2CF8">
      <w:pPr>
        <w:spacing w:before="120"/>
        <w:rPr>
          <w:szCs w:val="22"/>
          <w:lang w:val="sr-Latn-CS"/>
        </w:rPr>
      </w:pPr>
      <w:r w:rsidRPr="00C5735C">
        <w:rPr>
          <w:szCs w:val="22"/>
          <w:lang w:val="sr-Latn-CS"/>
        </w:rPr>
        <w:t xml:space="preserve">U studiji TARDIS </w:t>
      </w:r>
      <w:r>
        <w:rPr>
          <w:szCs w:val="22"/>
          <w:lang w:val="sr-Latn-CS"/>
        </w:rPr>
        <w:t>pacijenti</w:t>
      </w:r>
      <w:r w:rsidRPr="00C5735C">
        <w:rPr>
          <w:szCs w:val="22"/>
          <w:lang w:val="sr-Latn-CS"/>
        </w:rPr>
        <w:t xml:space="preserve"> s</w:t>
      </w:r>
      <w:r>
        <w:rPr>
          <w:szCs w:val="22"/>
          <w:lang w:val="sr-Latn-CS"/>
        </w:rPr>
        <w:t>a</w:t>
      </w:r>
      <w:r w:rsidRPr="00C5735C">
        <w:rPr>
          <w:szCs w:val="22"/>
          <w:lang w:val="sr-Latn-CS"/>
        </w:rPr>
        <w:t xml:space="preserve"> nedavnim ishemijskim moždanim udarom koji su primali intenzivnu</w:t>
      </w:r>
      <w:r>
        <w:rPr>
          <w:szCs w:val="22"/>
          <w:lang w:val="sr-Latn-CS"/>
        </w:rPr>
        <w:t xml:space="preserve"> </w:t>
      </w:r>
      <w:r w:rsidRPr="00C5735C">
        <w:rPr>
          <w:szCs w:val="22"/>
          <w:lang w:val="sr-Latn-CS"/>
        </w:rPr>
        <w:t>antitrombocitnu terapiju s</w:t>
      </w:r>
      <w:r>
        <w:rPr>
          <w:szCs w:val="22"/>
          <w:lang w:val="sr-Latn-CS"/>
        </w:rPr>
        <w:t>a</w:t>
      </w:r>
      <w:r w:rsidRPr="00C5735C">
        <w:rPr>
          <w:szCs w:val="22"/>
          <w:lang w:val="sr-Latn-CS"/>
        </w:rPr>
        <w:t xml:space="preserve"> tri lijeka (ASK + klopidogrel + dipiridamol) imali su više krvarenja i</w:t>
      </w:r>
      <w:r>
        <w:rPr>
          <w:szCs w:val="22"/>
          <w:lang w:val="sr-Latn-CS"/>
        </w:rPr>
        <w:t xml:space="preserve"> </w:t>
      </w:r>
      <w:r w:rsidRPr="00C5735C">
        <w:rPr>
          <w:szCs w:val="22"/>
          <w:lang w:val="sr-Latn-CS"/>
        </w:rPr>
        <w:t>krvarenja jačeg intenziteta u odnosu na sam klopidogrel ili na kombinaciju ASK i dipiridamol</w:t>
      </w:r>
      <w:r>
        <w:rPr>
          <w:szCs w:val="22"/>
          <w:lang w:val="sr-Latn-CS"/>
        </w:rPr>
        <w:t xml:space="preserve"> </w:t>
      </w:r>
      <w:r w:rsidRPr="00C5735C">
        <w:rPr>
          <w:szCs w:val="22"/>
          <w:lang w:val="sr-Latn-CS"/>
        </w:rPr>
        <w:t>(prilagođeni zajednički OR 2,54, 95% CI 2,05-3,16, p&lt;0,0001).</w:t>
      </w:r>
    </w:p>
    <w:p w14:paraId="62AA22E3" w14:textId="77777777" w:rsidR="00F3137E" w:rsidRPr="00C25676" w:rsidRDefault="00F3137E">
      <w:pPr>
        <w:spacing w:before="120"/>
        <w:rPr>
          <w:i/>
          <w:szCs w:val="22"/>
          <w:lang w:val="sr-Latn-CS"/>
        </w:rPr>
      </w:pPr>
      <w:r w:rsidRPr="00C25676">
        <w:rPr>
          <w:i/>
          <w:szCs w:val="22"/>
          <w:lang w:val="sr-Latn-CS"/>
        </w:rPr>
        <w:t>Tabelarni prikaz neželjenih dejstava</w:t>
      </w:r>
    </w:p>
    <w:p w14:paraId="34093CF3" w14:textId="4C6912A2" w:rsidR="00F3137E" w:rsidRPr="00B22D20" w:rsidRDefault="00F3137E">
      <w:pPr>
        <w:spacing w:before="120"/>
        <w:rPr>
          <w:szCs w:val="22"/>
          <w:lang w:val="sr-Latn-CS"/>
        </w:rPr>
      </w:pPr>
      <w:r w:rsidRPr="00B22D20">
        <w:rPr>
          <w:szCs w:val="22"/>
          <w:lang w:val="sr-Latn-CS"/>
        </w:rPr>
        <w:t xml:space="preserve">Neželjena dejstva, </w:t>
      </w:r>
      <w:r w:rsidRPr="00B22D20">
        <w:rPr>
          <w:rFonts w:eastAsia="TimesNewRoman"/>
          <w:szCs w:val="22"/>
        </w:rPr>
        <w:t>koja</w:t>
      </w:r>
      <w:r w:rsidRPr="00B22D20">
        <w:rPr>
          <w:rFonts w:eastAsia="TimesNewRoman"/>
          <w:szCs w:val="22"/>
          <w:lang w:val="sr-Latn-CS"/>
        </w:rPr>
        <w:t xml:space="preserve"> </w:t>
      </w:r>
      <w:r w:rsidRPr="00B22D20">
        <w:rPr>
          <w:rFonts w:eastAsia="TimesNewRoman"/>
          <w:szCs w:val="22"/>
        </w:rPr>
        <w:t>su</w:t>
      </w:r>
      <w:r w:rsidRPr="00B22D20">
        <w:rPr>
          <w:rFonts w:eastAsia="TimesNewRoman"/>
          <w:szCs w:val="22"/>
          <w:lang w:val="sr-Latn-CS"/>
        </w:rPr>
        <w:t xml:space="preserve"> </w:t>
      </w:r>
      <w:r w:rsidRPr="00B22D20">
        <w:rPr>
          <w:rFonts w:eastAsia="TimesNewRoman"/>
          <w:szCs w:val="22"/>
        </w:rPr>
        <w:t>se</w:t>
      </w:r>
      <w:r w:rsidRPr="00B22D20">
        <w:rPr>
          <w:rFonts w:eastAsia="TimesNewRoman"/>
          <w:szCs w:val="22"/>
          <w:lang w:val="sr-Latn-CS"/>
        </w:rPr>
        <w:t xml:space="preserve"> </w:t>
      </w:r>
      <w:r w:rsidRPr="00B22D20">
        <w:rPr>
          <w:rFonts w:eastAsia="TimesNewRoman"/>
          <w:szCs w:val="22"/>
        </w:rPr>
        <w:t>javila</w:t>
      </w:r>
      <w:r w:rsidRPr="00B22D20">
        <w:rPr>
          <w:szCs w:val="22"/>
          <w:lang w:val="sr-Latn-CS"/>
        </w:rPr>
        <w:t xml:space="preserve"> i tokom kliničkih studija, ali i ona </w:t>
      </w:r>
      <w:r w:rsidR="00EA5383" w:rsidRPr="00B22D20">
        <w:rPr>
          <w:szCs w:val="22"/>
          <w:lang w:val="sr-Latn-CS"/>
        </w:rPr>
        <w:t xml:space="preserve">koja su </w:t>
      </w:r>
      <w:r w:rsidRPr="00B22D20">
        <w:rPr>
          <w:szCs w:val="22"/>
          <w:lang w:val="sr-Latn-CS"/>
        </w:rPr>
        <w:t>spontano prijavljivana, navedena su u sl</w:t>
      </w:r>
      <w:r w:rsidR="009F19EE" w:rsidRPr="00B22D20">
        <w:rPr>
          <w:szCs w:val="22"/>
          <w:lang w:val="sr-Latn-CS"/>
        </w:rPr>
        <w:t>j</w:t>
      </w:r>
      <w:r w:rsidRPr="00B22D20">
        <w:rPr>
          <w:szCs w:val="22"/>
          <w:lang w:val="sr-Latn-CS"/>
        </w:rPr>
        <w:t>edećoj tabeli. Njihova učestalost definisana je na sl</w:t>
      </w:r>
      <w:r w:rsidR="009F19EE" w:rsidRPr="00B22D20">
        <w:rPr>
          <w:szCs w:val="22"/>
          <w:lang w:val="sr-Latn-CS"/>
        </w:rPr>
        <w:t>j</w:t>
      </w:r>
      <w:r w:rsidRPr="00B22D20">
        <w:rPr>
          <w:szCs w:val="22"/>
          <w:lang w:val="sr-Latn-CS"/>
        </w:rPr>
        <w:t xml:space="preserve">edeći način: često (≥1/100, &lt;1/10), povremeno ≥1/1.000, </w:t>
      </w:r>
      <w:r w:rsidR="005B1FD7" w:rsidRPr="00B22D20">
        <w:rPr>
          <w:szCs w:val="22"/>
          <w:lang w:val="sr-Latn-CS"/>
        </w:rPr>
        <w:t>&lt;</w:t>
      </w:r>
      <w:r w:rsidRPr="00B22D20">
        <w:rPr>
          <w:szCs w:val="22"/>
          <w:lang w:val="sr-Latn-CS"/>
        </w:rPr>
        <w:t>1/100), r</w:t>
      </w:r>
      <w:r w:rsidR="009F19EE" w:rsidRPr="00B22D20">
        <w:rPr>
          <w:szCs w:val="22"/>
          <w:lang w:val="sr-Latn-CS"/>
        </w:rPr>
        <w:t>ij</w:t>
      </w:r>
      <w:r w:rsidRPr="00B22D20">
        <w:rPr>
          <w:szCs w:val="22"/>
          <w:lang w:val="sr-Latn-CS"/>
        </w:rPr>
        <w:t>etko (≥1/10.000, &lt;1/1.000), veoma r</w:t>
      </w:r>
      <w:r w:rsidR="009F19EE" w:rsidRPr="00B22D20">
        <w:rPr>
          <w:szCs w:val="22"/>
          <w:lang w:val="sr-Latn-CS"/>
        </w:rPr>
        <w:t>ij</w:t>
      </w:r>
      <w:r w:rsidRPr="00B22D20">
        <w:rPr>
          <w:szCs w:val="22"/>
          <w:lang w:val="sr-Latn-CS"/>
        </w:rPr>
        <w:t>etko (&lt;1/10.000)</w:t>
      </w:r>
      <w:r w:rsidR="00553C79" w:rsidRPr="00B22D20">
        <w:rPr>
          <w:szCs w:val="22"/>
          <w:lang w:val="sr-Latn-CS"/>
        </w:rPr>
        <w:t xml:space="preserve">, nepoznato (ne može se procijeniti </w:t>
      </w:r>
      <w:r w:rsidR="00553C79" w:rsidRPr="00B22D20">
        <w:rPr>
          <w:szCs w:val="22"/>
          <w:lang w:val="sr-Latn-CS"/>
        </w:rPr>
        <w:lastRenderedPageBreak/>
        <w:t>iz dostupnih podataka)</w:t>
      </w:r>
      <w:r w:rsidRPr="00B22D20">
        <w:rPr>
          <w:szCs w:val="22"/>
          <w:lang w:val="sr-Latn-CS"/>
        </w:rPr>
        <w:t>. U okviru svakog sistema</w:t>
      </w:r>
      <w:r w:rsidR="005B1FD7" w:rsidRPr="00B22D20">
        <w:rPr>
          <w:szCs w:val="22"/>
          <w:lang w:val="sr-Latn-CS"/>
        </w:rPr>
        <w:t xml:space="preserve"> organa</w:t>
      </w:r>
      <w:r w:rsidRPr="00B22D20">
        <w:rPr>
          <w:szCs w:val="22"/>
          <w:lang w:val="sr-Latn-CS"/>
        </w:rPr>
        <w:t>, neželjena dejstva se navode prema opadajućoj ozbiljnosti.</w:t>
      </w:r>
    </w:p>
    <w:p w14:paraId="617411FD" w14:textId="77777777" w:rsidR="00F3137E" w:rsidRPr="00B22D20" w:rsidRDefault="00F3137E">
      <w:pPr>
        <w:rPr>
          <w:szCs w:val="22"/>
          <w:lang w:val="sr-Latn-CS"/>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50"/>
        <w:gridCol w:w="2003"/>
        <w:gridCol w:w="1507"/>
        <w:gridCol w:w="2813"/>
      </w:tblGrid>
      <w:tr w:rsidR="00EA7447" w:rsidRPr="00C25676" w14:paraId="3B591992" w14:textId="77777777" w:rsidTr="00986EAA">
        <w:tc>
          <w:tcPr>
            <w:tcW w:w="1908" w:type="dxa"/>
            <w:shd w:val="clear" w:color="auto" w:fill="auto"/>
          </w:tcPr>
          <w:p w14:paraId="3CE2FD56" w14:textId="75FCA392" w:rsidR="00EA7447" w:rsidRPr="00B22D20" w:rsidRDefault="000F63AA" w:rsidP="00B22D20">
            <w:pPr>
              <w:rPr>
                <w:rFonts w:eastAsia="MS Mincho"/>
                <w:b/>
                <w:szCs w:val="22"/>
                <w:lang w:val="sr-Latn-CS"/>
              </w:rPr>
            </w:pPr>
            <w:r w:rsidRPr="00B22D20">
              <w:rPr>
                <w:rFonts w:eastAsia="MS Mincho"/>
                <w:b/>
                <w:szCs w:val="22"/>
                <w:lang w:val="sr-Latn-CS"/>
              </w:rPr>
              <w:t>Klasa sistema organa po Me</w:t>
            </w:r>
            <w:r w:rsidR="00A41896" w:rsidRPr="00B22D20">
              <w:rPr>
                <w:rFonts w:eastAsia="MS Mincho"/>
                <w:b/>
                <w:szCs w:val="22"/>
                <w:lang w:val="sr-Latn-CS"/>
              </w:rPr>
              <w:t>DRA</w:t>
            </w:r>
            <w:r w:rsidRPr="00B22D20">
              <w:rPr>
                <w:rFonts w:eastAsia="MS Mincho"/>
                <w:b/>
                <w:szCs w:val="22"/>
                <w:lang w:val="sr-Latn-CS"/>
              </w:rPr>
              <w:t xml:space="preserve"> klasifikaciji</w:t>
            </w:r>
          </w:p>
          <w:p w14:paraId="6B1DB1B1" w14:textId="77777777" w:rsidR="000F63AA" w:rsidRPr="00B22D20" w:rsidRDefault="000F63AA" w:rsidP="00B22D20">
            <w:pPr>
              <w:rPr>
                <w:rFonts w:eastAsia="MS Mincho"/>
                <w:b/>
                <w:szCs w:val="22"/>
                <w:lang w:val="sr-Latn-CS"/>
              </w:rPr>
            </w:pPr>
          </w:p>
        </w:tc>
        <w:tc>
          <w:tcPr>
            <w:tcW w:w="1350" w:type="dxa"/>
            <w:shd w:val="clear" w:color="auto" w:fill="auto"/>
          </w:tcPr>
          <w:p w14:paraId="6D36D141" w14:textId="77777777" w:rsidR="00EA7447" w:rsidRPr="00B22D20" w:rsidRDefault="00EA7447" w:rsidP="00C25676">
            <w:pPr>
              <w:rPr>
                <w:rFonts w:eastAsia="MS Mincho"/>
                <w:b/>
                <w:szCs w:val="22"/>
                <w:lang w:val="sr-Latn-CS"/>
              </w:rPr>
            </w:pPr>
            <w:r w:rsidRPr="00B22D20">
              <w:rPr>
                <w:rFonts w:eastAsia="MS Mincho"/>
                <w:b/>
                <w:szCs w:val="22"/>
                <w:lang w:val="sr-Latn-CS"/>
              </w:rPr>
              <w:t>Često</w:t>
            </w:r>
          </w:p>
        </w:tc>
        <w:tc>
          <w:tcPr>
            <w:tcW w:w="2003" w:type="dxa"/>
            <w:shd w:val="clear" w:color="auto" w:fill="auto"/>
          </w:tcPr>
          <w:p w14:paraId="6B06917D" w14:textId="77777777" w:rsidR="00EA7447" w:rsidRPr="00B22D20" w:rsidRDefault="00EA7447">
            <w:pPr>
              <w:ind w:left="-57" w:right="-57"/>
              <w:rPr>
                <w:rFonts w:eastAsia="MS Mincho"/>
                <w:b/>
                <w:szCs w:val="22"/>
                <w:lang w:val="sr-Latn-CS"/>
              </w:rPr>
            </w:pPr>
            <w:r w:rsidRPr="00B22D20">
              <w:rPr>
                <w:rFonts w:eastAsia="MS Mincho"/>
                <w:b/>
                <w:szCs w:val="22"/>
                <w:lang w:val="sr-Latn-CS"/>
              </w:rPr>
              <w:t>Povremeno</w:t>
            </w:r>
          </w:p>
        </w:tc>
        <w:tc>
          <w:tcPr>
            <w:tcW w:w="1507" w:type="dxa"/>
            <w:shd w:val="clear" w:color="auto" w:fill="auto"/>
          </w:tcPr>
          <w:p w14:paraId="76085162" w14:textId="37257390" w:rsidR="00EA7447" w:rsidRPr="00B22D20" w:rsidRDefault="00EA7447">
            <w:pPr>
              <w:rPr>
                <w:rFonts w:eastAsia="MS Mincho"/>
                <w:b/>
                <w:szCs w:val="22"/>
                <w:lang w:val="sr-Latn-CS"/>
              </w:rPr>
            </w:pPr>
            <w:r w:rsidRPr="00B22D20">
              <w:rPr>
                <w:rFonts w:eastAsia="MS Mincho"/>
                <w:b/>
                <w:szCs w:val="22"/>
                <w:lang w:val="sr-Latn-CS"/>
              </w:rPr>
              <w:t>R</w:t>
            </w:r>
            <w:r w:rsidR="009F19EE" w:rsidRPr="00B22D20">
              <w:rPr>
                <w:rFonts w:eastAsia="MS Mincho"/>
                <w:b/>
                <w:szCs w:val="22"/>
                <w:lang w:val="sr-Latn-CS"/>
              </w:rPr>
              <w:t>ij</w:t>
            </w:r>
            <w:r w:rsidRPr="00B22D20">
              <w:rPr>
                <w:rFonts w:eastAsia="MS Mincho"/>
                <w:b/>
                <w:szCs w:val="22"/>
                <w:lang w:val="sr-Latn-CS"/>
              </w:rPr>
              <w:t>etko</w:t>
            </w:r>
          </w:p>
        </w:tc>
        <w:tc>
          <w:tcPr>
            <w:tcW w:w="2813" w:type="dxa"/>
            <w:shd w:val="clear" w:color="auto" w:fill="auto"/>
          </w:tcPr>
          <w:p w14:paraId="382708E0" w14:textId="52C0E4A2" w:rsidR="00EA7447" w:rsidRPr="00B22D20" w:rsidRDefault="00EA7447">
            <w:pPr>
              <w:ind w:left="-57" w:right="5"/>
              <w:rPr>
                <w:rFonts w:eastAsia="MS Mincho"/>
                <w:b/>
                <w:szCs w:val="22"/>
                <w:lang w:val="sr-Latn-CS"/>
              </w:rPr>
            </w:pPr>
            <w:r w:rsidRPr="00B22D20">
              <w:rPr>
                <w:rFonts w:eastAsia="MS Mincho"/>
                <w:b/>
                <w:szCs w:val="22"/>
                <w:lang w:val="sr-Latn-CS"/>
              </w:rPr>
              <w:t>Veoma r</w:t>
            </w:r>
            <w:r w:rsidR="009F19EE" w:rsidRPr="00B22D20">
              <w:rPr>
                <w:rFonts w:eastAsia="MS Mincho"/>
                <w:b/>
                <w:szCs w:val="22"/>
                <w:lang w:val="sr-Latn-CS"/>
              </w:rPr>
              <w:t>ij</w:t>
            </w:r>
            <w:r w:rsidRPr="00B22D20">
              <w:rPr>
                <w:rFonts w:eastAsia="MS Mincho"/>
                <w:b/>
                <w:szCs w:val="22"/>
                <w:lang w:val="sr-Latn-CS"/>
              </w:rPr>
              <w:t>etko</w:t>
            </w:r>
          </w:p>
          <w:p w14:paraId="4C8C3EFC" w14:textId="77777777" w:rsidR="00EA7447" w:rsidRPr="00B22D20" w:rsidRDefault="00EA7447">
            <w:pPr>
              <w:ind w:left="-57" w:right="-57"/>
              <w:rPr>
                <w:rFonts w:eastAsia="MS Mincho"/>
                <w:b/>
                <w:szCs w:val="22"/>
                <w:lang w:val="sr-Latn-CS"/>
              </w:rPr>
            </w:pPr>
            <w:r w:rsidRPr="00B22D20">
              <w:rPr>
                <w:b/>
                <w:szCs w:val="22"/>
                <w:lang w:val="sr-Latn-CS"/>
              </w:rPr>
              <w:t>Nepoznato*</w:t>
            </w:r>
          </w:p>
        </w:tc>
      </w:tr>
      <w:tr w:rsidR="00EA7447" w:rsidRPr="00C25676" w14:paraId="2F1898C2" w14:textId="77777777" w:rsidTr="00986EAA">
        <w:trPr>
          <w:trHeight w:val="1641"/>
        </w:trPr>
        <w:tc>
          <w:tcPr>
            <w:tcW w:w="1908" w:type="dxa"/>
            <w:shd w:val="clear" w:color="auto" w:fill="auto"/>
          </w:tcPr>
          <w:p w14:paraId="6436CF94" w14:textId="77777777" w:rsidR="00EA7447" w:rsidRPr="00B22D20" w:rsidRDefault="00DF0EEC" w:rsidP="00B22D20">
            <w:pPr>
              <w:rPr>
                <w:rFonts w:eastAsia="MS Mincho"/>
                <w:szCs w:val="22"/>
                <w:lang w:val="sr-Latn-CS"/>
              </w:rPr>
            </w:pPr>
            <w:r w:rsidRPr="00B22D20">
              <w:rPr>
                <w:rFonts w:eastAsia="MS Mincho"/>
                <w:szCs w:val="22"/>
                <w:lang w:val="sr-Latn-CS"/>
              </w:rPr>
              <w:t>Poremećaji krvi i limfnog sistema</w:t>
            </w:r>
          </w:p>
        </w:tc>
        <w:tc>
          <w:tcPr>
            <w:tcW w:w="1350" w:type="dxa"/>
            <w:shd w:val="clear" w:color="auto" w:fill="auto"/>
          </w:tcPr>
          <w:p w14:paraId="25C63CEE" w14:textId="77777777" w:rsidR="00EA7447" w:rsidRPr="00B22D20" w:rsidRDefault="00EA7447" w:rsidP="00B22D20">
            <w:pPr>
              <w:rPr>
                <w:rFonts w:eastAsia="MS Mincho"/>
                <w:szCs w:val="22"/>
                <w:lang w:val="sr-Latn-CS"/>
              </w:rPr>
            </w:pPr>
          </w:p>
        </w:tc>
        <w:tc>
          <w:tcPr>
            <w:tcW w:w="2003" w:type="dxa"/>
            <w:shd w:val="clear" w:color="auto" w:fill="auto"/>
          </w:tcPr>
          <w:p w14:paraId="411C39F9"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trombocitopenija, leukopenija, eozinofilija</w:t>
            </w:r>
          </w:p>
        </w:tc>
        <w:tc>
          <w:tcPr>
            <w:tcW w:w="1507" w:type="dxa"/>
            <w:shd w:val="clear" w:color="auto" w:fill="auto"/>
          </w:tcPr>
          <w:p w14:paraId="72E8D22E" w14:textId="77777777" w:rsidR="00EA7447" w:rsidRPr="00B22D20" w:rsidRDefault="00DF0EEC" w:rsidP="00B22D20">
            <w:pPr>
              <w:rPr>
                <w:rFonts w:eastAsia="MS Mincho"/>
                <w:szCs w:val="22"/>
                <w:lang w:val="sr-Latn-CS"/>
              </w:rPr>
            </w:pPr>
            <w:r w:rsidRPr="00B22D20">
              <w:rPr>
                <w:rFonts w:eastAsia="MS Mincho"/>
                <w:szCs w:val="22"/>
                <w:lang w:val="sr-Latn-CS"/>
              </w:rPr>
              <w:t>neutropenija, uključujući tešku neutropeniju</w:t>
            </w:r>
          </w:p>
        </w:tc>
        <w:tc>
          <w:tcPr>
            <w:tcW w:w="2813" w:type="dxa"/>
            <w:shd w:val="clear" w:color="auto" w:fill="auto"/>
          </w:tcPr>
          <w:p w14:paraId="68D42EE9" w14:textId="699B6BAE" w:rsidR="00EA7447" w:rsidRPr="00B22D20" w:rsidRDefault="00DF0EEC" w:rsidP="00B22D20">
            <w:pPr>
              <w:ind w:left="-58" w:right="-58"/>
              <w:rPr>
                <w:rFonts w:eastAsia="MS Mincho"/>
                <w:szCs w:val="22"/>
                <w:lang w:val="sr-Latn-CS"/>
              </w:rPr>
            </w:pPr>
            <w:r w:rsidRPr="00B22D20">
              <w:rPr>
                <w:rFonts w:eastAsia="MS Mincho"/>
                <w:szCs w:val="22"/>
                <w:lang w:val="sr-Latn-CS"/>
              </w:rPr>
              <w:t>trombotička trombocitopenijska purpura (TTP) (</w:t>
            </w:r>
            <w:r w:rsidR="00D77814" w:rsidRPr="00B22D20">
              <w:rPr>
                <w:rFonts w:eastAsia="MS Mincho"/>
                <w:szCs w:val="22"/>
                <w:lang w:val="sr-Latn-CS"/>
              </w:rPr>
              <w:t>vidjet</w:t>
            </w:r>
            <w:r w:rsidRPr="00B22D20">
              <w:rPr>
                <w:rFonts w:eastAsia="MS Mincho"/>
                <w:szCs w:val="22"/>
                <w:lang w:val="sr-Latn-CS"/>
              </w:rPr>
              <w:t xml:space="preserve">i </w:t>
            </w:r>
            <w:r w:rsidR="00A41896" w:rsidRPr="00B22D20">
              <w:rPr>
                <w:rFonts w:eastAsia="MS Mincho"/>
                <w:szCs w:val="22"/>
                <w:lang w:val="sr-Latn-CS"/>
              </w:rPr>
              <w:t xml:space="preserve">dio </w:t>
            </w:r>
            <w:r w:rsidRPr="00B22D20">
              <w:rPr>
                <w:rFonts w:eastAsia="MS Mincho"/>
                <w:szCs w:val="22"/>
                <w:lang w:val="sr-Latn-CS"/>
              </w:rPr>
              <w:t>4.4), aplastična anemija, pancitopenija, agranulocitoza, teška trombocitopenija, stečena hemofilija A, granulocitopenija, anemija</w:t>
            </w:r>
          </w:p>
        </w:tc>
      </w:tr>
      <w:tr w:rsidR="00EA7447" w:rsidRPr="00C25676" w14:paraId="57E6FCC1" w14:textId="77777777" w:rsidTr="00986EAA">
        <w:trPr>
          <w:trHeight w:val="984"/>
        </w:trPr>
        <w:tc>
          <w:tcPr>
            <w:tcW w:w="1908" w:type="dxa"/>
            <w:shd w:val="clear" w:color="auto" w:fill="auto"/>
          </w:tcPr>
          <w:p w14:paraId="5DA90478" w14:textId="77777777" w:rsidR="00EA7447" w:rsidRPr="00B22D20" w:rsidRDefault="00DF0EEC" w:rsidP="00B22D20">
            <w:pPr>
              <w:rPr>
                <w:rFonts w:eastAsia="MS Mincho"/>
                <w:szCs w:val="22"/>
                <w:lang w:val="sr-Latn-CS"/>
              </w:rPr>
            </w:pPr>
            <w:r w:rsidRPr="00B22D20">
              <w:rPr>
                <w:rFonts w:eastAsia="MS Mincho"/>
                <w:szCs w:val="22"/>
                <w:lang w:val="sr-Latn-CS"/>
              </w:rPr>
              <w:t>Kardiološki poremećaji</w:t>
            </w:r>
          </w:p>
        </w:tc>
        <w:tc>
          <w:tcPr>
            <w:tcW w:w="1350" w:type="dxa"/>
            <w:shd w:val="clear" w:color="auto" w:fill="auto"/>
          </w:tcPr>
          <w:p w14:paraId="381D6010" w14:textId="77777777" w:rsidR="00EA7447" w:rsidRPr="00B22D20" w:rsidRDefault="00EA7447" w:rsidP="00B22D20">
            <w:pPr>
              <w:rPr>
                <w:rFonts w:eastAsia="MS Mincho"/>
                <w:szCs w:val="22"/>
                <w:lang w:val="sr-Latn-CS"/>
              </w:rPr>
            </w:pPr>
          </w:p>
        </w:tc>
        <w:tc>
          <w:tcPr>
            <w:tcW w:w="2003" w:type="dxa"/>
            <w:shd w:val="clear" w:color="auto" w:fill="auto"/>
          </w:tcPr>
          <w:p w14:paraId="59FB11F0" w14:textId="77777777" w:rsidR="00EA7447" w:rsidRPr="00B22D20" w:rsidRDefault="00EA7447" w:rsidP="00B22D20">
            <w:pPr>
              <w:ind w:left="-58" w:right="-58"/>
              <w:rPr>
                <w:rFonts w:eastAsia="MS Mincho"/>
                <w:szCs w:val="22"/>
                <w:lang w:val="sr-Latn-CS"/>
              </w:rPr>
            </w:pPr>
          </w:p>
        </w:tc>
        <w:tc>
          <w:tcPr>
            <w:tcW w:w="1507" w:type="dxa"/>
            <w:shd w:val="clear" w:color="auto" w:fill="auto"/>
          </w:tcPr>
          <w:p w14:paraId="0FEC1302" w14:textId="77777777" w:rsidR="00EA7447" w:rsidRPr="00B22D20" w:rsidRDefault="00EA7447" w:rsidP="00B22D20">
            <w:pPr>
              <w:rPr>
                <w:rFonts w:eastAsia="MS Mincho"/>
                <w:szCs w:val="22"/>
                <w:lang w:val="sr-Latn-CS"/>
              </w:rPr>
            </w:pPr>
          </w:p>
        </w:tc>
        <w:tc>
          <w:tcPr>
            <w:tcW w:w="2813" w:type="dxa"/>
            <w:shd w:val="clear" w:color="auto" w:fill="auto"/>
          </w:tcPr>
          <w:p w14:paraId="6EA20000" w14:textId="0A7ED20C" w:rsidR="00EA7447" w:rsidRPr="00B22D20" w:rsidRDefault="00DF0EEC" w:rsidP="00B22D20">
            <w:pPr>
              <w:ind w:left="-58" w:right="-58"/>
              <w:rPr>
                <w:rFonts w:eastAsia="MS Mincho"/>
                <w:szCs w:val="22"/>
                <w:lang w:val="sr-Latn-CS"/>
              </w:rPr>
            </w:pPr>
            <w:r w:rsidRPr="00B22D20">
              <w:rPr>
                <w:noProof/>
                <w:szCs w:val="22"/>
              </w:rPr>
              <w:t>Kounis sindrom (vazospastična alergijska angina/alergijski infarkt miokarda) u kontekstu reakcije preos</w:t>
            </w:r>
            <w:r w:rsidR="009F19EE" w:rsidRPr="00B22D20">
              <w:rPr>
                <w:noProof/>
                <w:szCs w:val="22"/>
              </w:rPr>
              <w:t>j</w:t>
            </w:r>
            <w:r w:rsidRPr="00B22D20">
              <w:rPr>
                <w:noProof/>
                <w:szCs w:val="22"/>
              </w:rPr>
              <w:t>etljivosti na klopidogrel*</w:t>
            </w:r>
          </w:p>
        </w:tc>
      </w:tr>
      <w:tr w:rsidR="00EA7447" w:rsidRPr="00C25676" w14:paraId="2741C8DE" w14:textId="77777777" w:rsidTr="00986EAA">
        <w:trPr>
          <w:trHeight w:val="350"/>
        </w:trPr>
        <w:tc>
          <w:tcPr>
            <w:tcW w:w="1908" w:type="dxa"/>
            <w:shd w:val="clear" w:color="auto" w:fill="auto"/>
          </w:tcPr>
          <w:p w14:paraId="537B6296" w14:textId="3E4CD60D" w:rsidR="00EA7447" w:rsidRPr="00B22D20" w:rsidRDefault="00DF0EEC" w:rsidP="00B22D20">
            <w:pPr>
              <w:rPr>
                <w:rFonts w:eastAsia="MS Mincho"/>
                <w:szCs w:val="22"/>
                <w:lang w:val="sr-Latn-CS"/>
              </w:rPr>
            </w:pPr>
            <w:r w:rsidRPr="00B22D20">
              <w:rPr>
                <w:szCs w:val="22"/>
              </w:rPr>
              <w:t>Poremećaji imunog sistema</w:t>
            </w:r>
          </w:p>
        </w:tc>
        <w:tc>
          <w:tcPr>
            <w:tcW w:w="1350" w:type="dxa"/>
            <w:shd w:val="clear" w:color="auto" w:fill="auto"/>
          </w:tcPr>
          <w:p w14:paraId="3F81F29A" w14:textId="77777777" w:rsidR="00EA7447" w:rsidRPr="00B22D20" w:rsidRDefault="00EA7447" w:rsidP="00B22D20">
            <w:pPr>
              <w:rPr>
                <w:rFonts w:eastAsia="MS Mincho"/>
                <w:szCs w:val="22"/>
                <w:lang w:val="sr-Latn-CS"/>
              </w:rPr>
            </w:pPr>
          </w:p>
        </w:tc>
        <w:tc>
          <w:tcPr>
            <w:tcW w:w="2003" w:type="dxa"/>
            <w:shd w:val="clear" w:color="auto" w:fill="auto"/>
          </w:tcPr>
          <w:p w14:paraId="7744DD2D"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27E60262" w14:textId="77777777" w:rsidR="00EA7447" w:rsidRPr="00B22D20" w:rsidRDefault="00EA7447" w:rsidP="00B22D20">
            <w:pPr>
              <w:rPr>
                <w:rFonts w:eastAsia="MS Mincho"/>
                <w:szCs w:val="22"/>
                <w:lang w:val="sr-Latn-CS"/>
              </w:rPr>
            </w:pPr>
          </w:p>
        </w:tc>
        <w:tc>
          <w:tcPr>
            <w:tcW w:w="2813" w:type="dxa"/>
            <w:shd w:val="clear" w:color="auto" w:fill="auto"/>
          </w:tcPr>
          <w:p w14:paraId="3DF626F8" w14:textId="506351A1" w:rsidR="00EA7447" w:rsidRPr="00B22D20" w:rsidRDefault="00DF0EEC" w:rsidP="00B22D20">
            <w:pPr>
              <w:ind w:left="-58" w:right="-58"/>
              <w:rPr>
                <w:rFonts w:eastAsia="MS Mincho"/>
                <w:szCs w:val="22"/>
                <w:lang w:val="sr-Latn-CS"/>
              </w:rPr>
            </w:pPr>
            <w:r w:rsidRPr="00B22D20">
              <w:rPr>
                <w:rFonts w:eastAsia="MS Mincho"/>
                <w:szCs w:val="22"/>
                <w:lang w:val="sr-Latn-CS"/>
              </w:rPr>
              <w:t>serumska bolest, anafilaktoidne reakcije, reakcije ukršten</w:t>
            </w:r>
            <w:r w:rsidR="00553C79" w:rsidRPr="00B22D20">
              <w:rPr>
                <w:rFonts w:eastAsia="MS Mincho"/>
                <w:szCs w:val="22"/>
                <w:lang w:val="sr-Latn-CS"/>
              </w:rPr>
              <w:t>a</w:t>
            </w:r>
            <w:r w:rsidRPr="00B22D20">
              <w:rPr>
                <w:rFonts w:eastAsia="MS Mincho"/>
                <w:szCs w:val="22"/>
                <w:lang w:val="sr-Latn-CS"/>
              </w:rPr>
              <w:t xml:space="preserve"> preos</w:t>
            </w:r>
            <w:r w:rsidR="009F19EE" w:rsidRPr="00B22D20">
              <w:rPr>
                <w:rFonts w:eastAsia="MS Mincho"/>
                <w:szCs w:val="22"/>
                <w:lang w:val="sr-Latn-CS"/>
              </w:rPr>
              <w:t>j</w:t>
            </w:r>
            <w:r w:rsidRPr="00B22D20">
              <w:rPr>
                <w:rFonts w:eastAsia="MS Mincho"/>
                <w:szCs w:val="22"/>
                <w:lang w:val="sr-Latn-CS"/>
              </w:rPr>
              <w:t xml:space="preserve">etljivost na </w:t>
            </w:r>
            <w:r w:rsidR="00122D4B" w:rsidRPr="00B22D20">
              <w:rPr>
                <w:rFonts w:eastAsia="MS Mincho"/>
                <w:szCs w:val="22"/>
                <w:lang w:val="sr-Latn-CS"/>
              </w:rPr>
              <w:t>ljekov</w:t>
            </w:r>
            <w:r w:rsidRPr="00B22D20">
              <w:rPr>
                <w:rFonts w:eastAsia="MS Mincho"/>
                <w:szCs w:val="22"/>
                <w:lang w:val="sr-Latn-CS"/>
              </w:rPr>
              <w:t>e iz grupe tienopiridina (kao što su tiklopidin, prasugrel) (</w:t>
            </w:r>
            <w:r w:rsidR="00D77814" w:rsidRPr="00B22D20">
              <w:rPr>
                <w:rFonts w:eastAsia="MS Mincho"/>
                <w:szCs w:val="22"/>
                <w:lang w:val="sr-Latn-CS"/>
              </w:rPr>
              <w:t>vidjet</w:t>
            </w:r>
            <w:r w:rsidRPr="00B22D20">
              <w:rPr>
                <w:rFonts w:eastAsia="MS Mincho"/>
                <w:szCs w:val="22"/>
                <w:lang w:val="sr-Latn-CS"/>
              </w:rPr>
              <w:t xml:space="preserve">i  </w:t>
            </w:r>
            <w:r w:rsidR="00A41896" w:rsidRPr="00B22D20">
              <w:rPr>
                <w:rFonts w:eastAsia="MS Mincho"/>
                <w:szCs w:val="22"/>
                <w:lang w:val="sr-Latn-CS"/>
              </w:rPr>
              <w:t xml:space="preserve">dio </w:t>
            </w:r>
            <w:r w:rsidRPr="00B22D20">
              <w:rPr>
                <w:rFonts w:eastAsia="MS Mincho"/>
                <w:szCs w:val="22"/>
                <w:lang w:val="sr-Latn-CS"/>
              </w:rPr>
              <w:t xml:space="preserve">4.4)*, insulinski autoimuni sindrom, koji može da dovede do </w:t>
            </w:r>
            <w:r w:rsidR="001E7E0F" w:rsidRPr="00B22D20">
              <w:rPr>
                <w:rFonts w:eastAsia="MS Mincho"/>
                <w:szCs w:val="22"/>
                <w:lang w:val="sr-Latn-CS"/>
              </w:rPr>
              <w:t xml:space="preserve">teške </w:t>
            </w:r>
            <w:r w:rsidRPr="00B22D20">
              <w:rPr>
                <w:rFonts w:eastAsia="MS Mincho"/>
                <w:szCs w:val="22"/>
                <w:lang w:val="sr-Latn-CS"/>
              </w:rPr>
              <w:t xml:space="preserve"> hipoglikemije, posebno kod pacijenata sa HLA DRA4 podtipom (češće u populaciji Japanaca)</w:t>
            </w:r>
          </w:p>
        </w:tc>
      </w:tr>
      <w:tr w:rsidR="00EA7447" w:rsidRPr="00C25676" w14:paraId="42754FC9" w14:textId="77777777" w:rsidTr="00986EAA">
        <w:tc>
          <w:tcPr>
            <w:tcW w:w="1908" w:type="dxa"/>
            <w:shd w:val="clear" w:color="auto" w:fill="auto"/>
          </w:tcPr>
          <w:p w14:paraId="21C3BF26" w14:textId="77777777" w:rsidR="00EA7447" w:rsidRPr="00B22D20" w:rsidRDefault="00DF0EEC" w:rsidP="00C25676">
            <w:pPr>
              <w:rPr>
                <w:rFonts w:eastAsia="MS Mincho"/>
                <w:szCs w:val="22"/>
                <w:lang w:val="sr-Latn-CS"/>
              </w:rPr>
            </w:pPr>
            <w:r w:rsidRPr="00B22D20">
              <w:rPr>
                <w:rFonts w:eastAsia="MS Mincho"/>
                <w:szCs w:val="22"/>
                <w:lang w:val="sr-Latn-CS"/>
              </w:rPr>
              <w:t>Psihijatrijski poremećaji</w:t>
            </w:r>
          </w:p>
        </w:tc>
        <w:tc>
          <w:tcPr>
            <w:tcW w:w="1350" w:type="dxa"/>
            <w:shd w:val="clear" w:color="auto" w:fill="auto"/>
          </w:tcPr>
          <w:p w14:paraId="6D88C7C1" w14:textId="77777777" w:rsidR="00EA7447" w:rsidRPr="00B22D20" w:rsidRDefault="00EA7447" w:rsidP="00B22D20">
            <w:pPr>
              <w:rPr>
                <w:rFonts w:eastAsia="MS Mincho"/>
                <w:szCs w:val="22"/>
                <w:lang w:val="sr-Latn-CS"/>
              </w:rPr>
            </w:pPr>
          </w:p>
        </w:tc>
        <w:tc>
          <w:tcPr>
            <w:tcW w:w="2003" w:type="dxa"/>
            <w:shd w:val="clear" w:color="auto" w:fill="auto"/>
          </w:tcPr>
          <w:p w14:paraId="336424BC"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23E2103F" w14:textId="77777777" w:rsidR="00EA7447" w:rsidRPr="00B22D20" w:rsidRDefault="00EA7447" w:rsidP="00B22D20">
            <w:pPr>
              <w:rPr>
                <w:rFonts w:eastAsia="MS Mincho"/>
                <w:szCs w:val="22"/>
                <w:lang w:val="sr-Latn-CS"/>
              </w:rPr>
            </w:pPr>
          </w:p>
        </w:tc>
        <w:tc>
          <w:tcPr>
            <w:tcW w:w="2813" w:type="dxa"/>
            <w:shd w:val="clear" w:color="auto" w:fill="auto"/>
          </w:tcPr>
          <w:p w14:paraId="32961375"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halucinacije, konfuzija</w:t>
            </w:r>
          </w:p>
        </w:tc>
      </w:tr>
      <w:tr w:rsidR="00EA7447" w:rsidRPr="00C25676" w14:paraId="08921EFF" w14:textId="77777777" w:rsidTr="00986EAA">
        <w:tc>
          <w:tcPr>
            <w:tcW w:w="1908" w:type="dxa"/>
            <w:shd w:val="clear" w:color="auto" w:fill="auto"/>
          </w:tcPr>
          <w:p w14:paraId="2982BB85" w14:textId="77777777" w:rsidR="00EA7447" w:rsidRPr="00B22D20" w:rsidRDefault="00DF0EEC" w:rsidP="00C25676">
            <w:pPr>
              <w:rPr>
                <w:rFonts w:eastAsia="MS Mincho"/>
                <w:szCs w:val="22"/>
                <w:lang w:val="sr-Latn-CS"/>
              </w:rPr>
            </w:pPr>
            <w:r w:rsidRPr="00B22D20">
              <w:rPr>
                <w:rFonts w:eastAsia="MS Mincho"/>
                <w:szCs w:val="22"/>
                <w:lang w:val="sr-Latn-CS"/>
              </w:rPr>
              <w:t>Poremećaji nervnog sistema</w:t>
            </w:r>
          </w:p>
        </w:tc>
        <w:tc>
          <w:tcPr>
            <w:tcW w:w="1350" w:type="dxa"/>
            <w:shd w:val="clear" w:color="auto" w:fill="auto"/>
          </w:tcPr>
          <w:p w14:paraId="1760AD91" w14:textId="77777777" w:rsidR="00EA7447" w:rsidRPr="00B22D20" w:rsidRDefault="00EA7447" w:rsidP="00B22D20">
            <w:pPr>
              <w:rPr>
                <w:rFonts w:eastAsia="MS Mincho"/>
                <w:szCs w:val="22"/>
                <w:lang w:val="sr-Latn-CS"/>
              </w:rPr>
            </w:pPr>
          </w:p>
        </w:tc>
        <w:tc>
          <w:tcPr>
            <w:tcW w:w="2003" w:type="dxa"/>
            <w:shd w:val="clear" w:color="auto" w:fill="auto"/>
          </w:tcPr>
          <w:p w14:paraId="72EF5BC1"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 xml:space="preserve">intrakranijalno krvarenje (u nekim slučajevima sa fatalnim ishodom), glavobolja, parestezija, </w:t>
            </w:r>
            <w:r w:rsidR="001E7E0F" w:rsidRPr="00B22D20">
              <w:rPr>
                <w:rFonts w:eastAsia="MS Mincho"/>
                <w:szCs w:val="22"/>
                <w:lang w:val="sr-Latn-CS"/>
              </w:rPr>
              <w:t xml:space="preserve">vrtoglavica </w:t>
            </w:r>
          </w:p>
        </w:tc>
        <w:tc>
          <w:tcPr>
            <w:tcW w:w="1507" w:type="dxa"/>
            <w:shd w:val="clear" w:color="auto" w:fill="auto"/>
          </w:tcPr>
          <w:p w14:paraId="639FF146" w14:textId="77777777" w:rsidR="00EA7447" w:rsidRPr="00B22D20" w:rsidRDefault="00EA7447" w:rsidP="00B22D20">
            <w:pPr>
              <w:rPr>
                <w:rFonts w:eastAsia="MS Mincho"/>
                <w:szCs w:val="22"/>
                <w:lang w:val="sr-Latn-CS"/>
              </w:rPr>
            </w:pPr>
          </w:p>
        </w:tc>
        <w:tc>
          <w:tcPr>
            <w:tcW w:w="2813" w:type="dxa"/>
            <w:shd w:val="clear" w:color="auto" w:fill="auto"/>
          </w:tcPr>
          <w:p w14:paraId="09F7F581"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poremećaji čula ukusa, ageuzija</w:t>
            </w:r>
          </w:p>
        </w:tc>
      </w:tr>
      <w:tr w:rsidR="00EA7447" w:rsidRPr="00C25676" w14:paraId="4A4C8E61" w14:textId="77777777" w:rsidTr="00986EAA">
        <w:trPr>
          <w:trHeight w:val="732"/>
        </w:trPr>
        <w:tc>
          <w:tcPr>
            <w:tcW w:w="1908" w:type="dxa"/>
            <w:shd w:val="clear" w:color="auto" w:fill="auto"/>
          </w:tcPr>
          <w:p w14:paraId="68BBDAE6" w14:textId="77777777" w:rsidR="00EA7447" w:rsidRPr="00B22D20" w:rsidRDefault="00DF0EEC" w:rsidP="00C25676">
            <w:pPr>
              <w:rPr>
                <w:rFonts w:eastAsia="MS Mincho"/>
                <w:szCs w:val="22"/>
                <w:lang w:val="sr-Latn-CS"/>
              </w:rPr>
            </w:pPr>
            <w:r w:rsidRPr="00B22D20">
              <w:rPr>
                <w:rFonts w:eastAsia="MS Mincho"/>
                <w:szCs w:val="22"/>
                <w:lang w:val="sr-Latn-CS"/>
              </w:rPr>
              <w:t>Poremećaji oka</w:t>
            </w:r>
          </w:p>
        </w:tc>
        <w:tc>
          <w:tcPr>
            <w:tcW w:w="1350" w:type="dxa"/>
            <w:shd w:val="clear" w:color="auto" w:fill="auto"/>
          </w:tcPr>
          <w:p w14:paraId="09C9A796" w14:textId="77777777" w:rsidR="00EA7447" w:rsidRPr="00B22D20" w:rsidRDefault="00EA7447" w:rsidP="00B22D20">
            <w:pPr>
              <w:rPr>
                <w:rFonts w:eastAsia="MS Mincho"/>
                <w:szCs w:val="22"/>
                <w:lang w:val="sr-Latn-CS"/>
              </w:rPr>
            </w:pPr>
          </w:p>
        </w:tc>
        <w:tc>
          <w:tcPr>
            <w:tcW w:w="2003" w:type="dxa"/>
            <w:shd w:val="clear" w:color="auto" w:fill="auto"/>
          </w:tcPr>
          <w:p w14:paraId="182EECE7"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krvarenje oka (konjuktivaln</w:t>
            </w:r>
            <w:r w:rsidR="001E7E0F" w:rsidRPr="00B22D20">
              <w:rPr>
                <w:rFonts w:eastAsia="MS Mincho"/>
                <w:szCs w:val="22"/>
                <w:lang w:val="sr-Latn-CS"/>
              </w:rPr>
              <w:t>o</w:t>
            </w:r>
            <w:r w:rsidRPr="00B22D20">
              <w:rPr>
                <w:rFonts w:eastAsia="MS Mincho"/>
                <w:szCs w:val="22"/>
                <w:lang w:val="sr-Latn-CS"/>
              </w:rPr>
              <w:t>, okularn</w:t>
            </w:r>
            <w:r w:rsidR="001E7E0F" w:rsidRPr="00B22D20">
              <w:rPr>
                <w:rFonts w:eastAsia="MS Mincho"/>
                <w:szCs w:val="22"/>
                <w:lang w:val="sr-Latn-CS"/>
              </w:rPr>
              <w:t>o</w:t>
            </w:r>
            <w:r w:rsidRPr="00B22D20">
              <w:rPr>
                <w:rFonts w:eastAsia="MS Mincho"/>
                <w:szCs w:val="22"/>
                <w:lang w:val="sr-Latn-CS"/>
              </w:rPr>
              <w:t>, retinaln</w:t>
            </w:r>
            <w:r w:rsidR="001E7E0F" w:rsidRPr="00B22D20">
              <w:rPr>
                <w:rFonts w:eastAsia="MS Mincho"/>
                <w:szCs w:val="22"/>
                <w:lang w:val="sr-Latn-CS"/>
              </w:rPr>
              <w:t>o</w:t>
            </w:r>
            <w:r w:rsidRPr="00B22D20">
              <w:rPr>
                <w:rFonts w:eastAsia="MS Mincho"/>
                <w:szCs w:val="22"/>
                <w:lang w:val="sr-Latn-CS"/>
              </w:rPr>
              <w:t>)</w:t>
            </w:r>
          </w:p>
        </w:tc>
        <w:tc>
          <w:tcPr>
            <w:tcW w:w="1507" w:type="dxa"/>
            <w:shd w:val="clear" w:color="auto" w:fill="auto"/>
          </w:tcPr>
          <w:p w14:paraId="5B43115D" w14:textId="77777777" w:rsidR="00EA7447" w:rsidRPr="00B22D20" w:rsidRDefault="00EA7447" w:rsidP="00B22D20">
            <w:pPr>
              <w:rPr>
                <w:rFonts w:eastAsia="MS Mincho"/>
                <w:szCs w:val="22"/>
                <w:lang w:val="sr-Latn-CS"/>
              </w:rPr>
            </w:pPr>
          </w:p>
        </w:tc>
        <w:tc>
          <w:tcPr>
            <w:tcW w:w="2813" w:type="dxa"/>
            <w:shd w:val="clear" w:color="auto" w:fill="auto"/>
          </w:tcPr>
          <w:p w14:paraId="36FE0683" w14:textId="77777777" w:rsidR="00EA7447" w:rsidRPr="00B22D20" w:rsidRDefault="00EA7447" w:rsidP="00B22D20">
            <w:pPr>
              <w:ind w:left="-57" w:right="-57"/>
              <w:rPr>
                <w:rFonts w:eastAsia="MS Mincho"/>
                <w:szCs w:val="22"/>
                <w:lang w:val="sr-Latn-CS"/>
              </w:rPr>
            </w:pPr>
          </w:p>
        </w:tc>
      </w:tr>
      <w:tr w:rsidR="00EA7447" w:rsidRPr="00C25676" w14:paraId="54DBFC4D" w14:textId="77777777" w:rsidTr="00986EAA">
        <w:tc>
          <w:tcPr>
            <w:tcW w:w="1908" w:type="dxa"/>
            <w:shd w:val="clear" w:color="auto" w:fill="auto"/>
          </w:tcPr>
          <w:p w14:paraId="75FF0151" w14:textId="0D3F71BF" w:rsidR="00EA7447" w:rsidRPr="00B22D20" w:rsidRDefault="00DF0EEC" w:rsidP="00B22D20">
            <w:pPr>
              <w:rPr>
                <w:rFonts w:eastAsia="MS Mincho"/>
                <w:szCs w:val="22"/>
                <w:lang w:val="sr-Latn-CS"/>
              </w:rPr>
            </w:pPr>
            <w:r w:rsidRPr="00B22D20">
              <w:rPr>
                <w:rFonts w:eastAsia="MS Mincho"/>
                <w:szCs w:val="22"/>
                <w:lang w:val="sr-Latn-CS"/>
              </w:rPr>
              <w:t>Poremećaji u</w:t>
            </w:r>
            <w:r w:rsidR="005B1FD7" w:rsidRPr="00B22D20">
              <w:rPr>
                <w:rFonts w:eastAsia="MS Mincho"/>
                <w:szCs w:val="22"/>
                <w:lang w:val="sr-Latn-CS"/>
              </w:rPr>
              <w:t>h</w:t>
            </w:r>
            <w:r w:rsidRPr="00B22D20">
              <w:rPr>
                <w:rFonts w:eastAsia="MS Mincho"/>
                <w:szCs w:val="22"/>
                <w:lang w:val="sr-Latn-CS"/>
              </w:rPr>
              <w:t>a i labirinta</w:t>
            </w:r>
          </w:p>
        </w:tc>
        <w:tc>
          <w:tcPr>
            <w:tcW w:w="1350" w:type="dxa"/>
            <w:shd w:val="clear" w:color="auto" w:fill="auto"/>
          </w:tcPr>
          <w:p w14:paraId="52E277B6" w14:textId="77777777" w:rsidR="00EA7447" w:rsidRPr="00B22D20" w:rsidRDefault="00EA7447" w:rsidP="00B22D20">
            <w:pPr>
              <w:rPr>
                <w:rFonts w:eastAsia="MS Mincho"/>
                <w:szCs w:val="22"/>
                <w:lang w:val="sr-Latn-CS"/>
              </w:rPr>
            </w:pPr>
          </w:p>
        </w:tc>
        <w:tc>
          <w:tcPr>
            <w:tcW w:w="2003" w:type="dxa"/>
            <w:shd w:val="clear" w:color="auto" w:fill="auto"/>
          </w:tcPr>
          <w:p w14:paraId="5517618D"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7D062F4B" w14:textId="77777777" w:rsidR="00EA7447" w:rsidRPr="00B22D20" w:rsidRDefault="00DF0EEC" w:rsidP="00B22D20">
            <w:pPr>
              <w:rPr>
                <w:rFonts w:eastAsia="MS Mincho"/>
                <w:szCs w:val="22"/>
                <w:lang w:val="sr-Latn-CS"/>
              </w:rPr>
            </w:pPr>
            <w:r w:rsidRPr="00B22D20">
              <w:rPr>
                <w:rFonts w:eastAsia="MS Mincho"/>
                <w:szCs w:val="22"/>
                <w:lang w:val="sr-Latn-CS"/>
              </w:rPr>
              <w:t>v</w:t>
            </w:r>
            <w:r w:rsidR="00571C95" w:rsidRPr="00B22D20">
              <w:rPr>
                <w:rFonts w:eastAsia="MS Mincho"/>
                <w:szCs w:val="22"/>
                <w:lang w:val="sr-Latn-CS"/>
              </w:rPr>
              <w:t>ertigo</w:t>
            </w:r>
          </w:p>
        </w:tc>
        <w:tc>
          <w:tcPr>
            <w:tcW w:w="2813" w:type="dxa"/>
            <w:shd w:val="clear" w:color="auto" w:fill="auto"/>
          </w:tcPr>
          <w:p w14:paraId="71513E9D" w14:textId="77777777" w:rsidR="00EA7447" w:rsidRPr="00B22D20" w:rsidRDefault="00EA7447" w:rsidP="00B22D20">
            <w:pPr>
              <w:ind w:left="-57" w:right="-57"/>
              <w:rPr>
                <w:rFonts w:eastAsia="MS Mincho"/>
                <w:szCs w:val="22"/>
                <w:lang w:val="sr-Latn-CS"/>
              </w:rPr>
            </w:pPr>
          </w:p>
        </w:tc>
      </w:tr>
      <w:tr w:rsidR="00EA7447" w:rsidRPr="00C25676" w14:paraId="5CD78333" w14:textId="77777777" w:rsidTr="00986EAA">
        <w:tc>
          <w:tcPr>
            <w:tcW w:w="1908" w:type="dxa"/>
            <w:shd w:val="clear" w:color="auto" w:fill="auto"/>
          </w:tcPr>
          <w:p w14:paraId="166B0C23" w14:textId="77777777" w:rsidR="00EA7447" w:rsidRPr="00B22D20" w:rsidRDefault="00DF0EEC" w:rsidP="00B22D20">
            <w:pPr>
              <w:rPr>
                <w:rFonts w:eastAsia="MS Mincho"/>
                <w:szCs w:val="22"/>
                <w:lang w:val="sr-Latn-CS"/>
              </w:rPr>
            </w:pPr>
            <w:r w:rsidRPr="00B22D20">
              <w:rPr>
                <w:rFonts w:eastAsia="MS Mincho"/>
                <w:szCs w:val="22"/>
                <w:lang w:val="sr-Latn-CS"/>
              </w:rPr>
              <w:t>Vaskularni poremećaji</w:t>
            </w:r>
          </w:p>
        </w:tc>
        <w:tc>
          <w:tcPr>
            <w:tcW w:w="1350" w:type="dxa"/>
            <w:shd w:val="clear" w:color="auto" w:fill="auto"/>
          </w:tcPr>
          <w:p w14:paraId="23BD5F5A" w14:textId="77777777" w:rsidR="00EA7447" w:rsidRPr="00B22D20" w:rsidRDefault="00DF0EEC" w:rsidP="00B22D20">
            <w:pPr>
              <w:rPr>
                <w:rFonts w:eastAsia="MS Mincho"/>
                <w:szCs w:val="22"/>
                <w:lang w:val="sr-Latn-CS"/>
              </w:rPr>
            </w:pPr>
            <w:r w:rsidRPr="00B22D20">
              <w:rPr>
                <w:rFonts w:eastAsia="MS Mincho"/>
                <w:szCs w:val="22"/>
                <w:lang w:val="sr-Latn-CS"/>
              </w:rPr>
              <w:t>hematom</w:t>
            </w:r>
          </w:p>
        </w:tc>
        <w:tc>
          <w:tcPr>
            <w:tcW w:w="2003" w:type="dxa"/>
            <w:shd w:val="clear" w:color="auto" w:fill="auto"/>
          </w:tcPr>
          <w:p w14:paraId="32FFC1DC"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18BCD750" w14:textId="77777777" w:rsidR="00EA7447" w:rsidRPr="00B22D20" w:rsidRDefault="00EA7447" w:rsidP="00B22D20">
            <w:pPr>
              <w:rPr>
                <w:rFonts w:eastAsia="MS Mincho"/>
                <w:szCs w:val="22"/>
                <w:lang w:val="sr-Latn-CS"/>
              </w:rPr>
            </w:pPr>
          </w:p>
        </w:tc>
        <w:tc>
          <w:tcPr>
            <w:tcW w:w="2813" w:type="dxa"/>
            <w:shd w:val="clear" w:color="auto" w:fill="auto"/>
          </w:tcPr>
          <w:p w14:paraId="1F9CC8FE"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ozbiljna krvarenja, krvarenja operativne rane, vaskulitis, hipotenzija</w:t>
            </w:r>
          </w:p>
        </w:tc>
      </w:tr>
      <w:tr w:rsidR="00EA7447" w:rsidRPr="00C25676" w14:paraId="3B877E57" w14:textId="77777777" w:rsidTr="00986EAA">
        <w:tc>
          <w:tcPr>
            <w:tcW w:w="1908" w:type="dxa"/>
            <w:shd w:val="clear" w:color="auto" w:fill="auto"/>
          </w:tcPr>
          <w:p w14:paraId="52D12DF1" w14:textId="77777777" w:rsidR="00EA7447" w:rsidRPr="00B22D20" w:rsidRDefault="00DF0EEC" w:rsidP="00B22D20">
            <w:pPr>
              <w:rPr>
                <w:rFonts w:eastAsia="MS Mincho"/>
                <w:szCs w:val="22"/>
                <w:lang w:val="sr-Latn-CS"/>
              </w:rPr>
            </w:pPr>
            <w:r w:rsidRPr="00B22D20">
              <w:rPr>
                <w:rFonts w:eastAsia="MS Mincho"/>
                <w:szCs w:val="22"/>
                <w:lang w:val="sr-Latn-CS"/>
              </w:rPr>
              <w:t xml:space="preserve">Respiratorni, torakalni i </w:t>
            </w:r>
            <w:r w:rsidRPr="00B22D20">
              <w:rPr>
                <w:rFonts w:eastAsia="MS Mincho"/>
                <w:szCs w:val="22"/>
                <w:lang w:val="sr-Latn-CS"/>
              </w:rPr>
              <w:lastRenderedPageBreak/>
              <w:t>medijastinalni poremećaji</w:t>
            </w:r>
          </w:p>
        </w:tc>
        <w:tc>
          <w:tcPr>
            <w:tcW w:w="1350" w:type="dxa"/>
            <w:shd w:val="clear" w:color="auto" w:fill="auto"/>
          </w:tcPr>
          <w:p w14:paraId="3DDC5E67" w14:textId="77777777" w:rsidR="00EA7447" w:rsidRPr="00B22D20" w:rsidRDefault="00DF0EEC" w:rsidP="00B22D20">
            <w:pPr>
              <w:rPr>
                <w:rFonts w:eastAsia="MS Mincho"/>
                <w:szCs w:val="22"/>
                <w:lang w:val="sr-Latn-CS"/>
              </w:rPr>
            </w:pPr>
            <w:r w:rsidRPr="00B22D20">
              <w:rPr>
                <w:rFonts w:eastAsia="MS Mincho"/>
                <w:szCs w:val="22"/>
                <w:lang w:val="sr-Latn-CS"/>
              </w:rPr>
              <w:lastRenderedPageBreak/>
              <w:t>epistaksa</w:t>
            </w:r>
          </w:p>
        </w:tc>
        <w:tc>
          <w:tcPr>
            <w:tcW w:w="2003" w:type="dxa"/>
            <w:shd w:val="clear" w:color="auto" w:fill="auto"/>
          </w:tcPr>
          <w:p w14:paraId="4A1E65D1"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0B34D8F2" w14:textId="77777777" w:rsidR="00EA7447" w:rsidRPr="00B22D20" w:rsidRDefault="00EA7447" w:rsidP="00B22D20">
            <w:pPr>
              <w:rPr>
                <w:rFonts w:eastAsia="MS Mincho"/>
                <w:szCs w:val="22"/>
                <w:lang w:val="sr-Latn-CS"/>
              </w:rPr>
            </w:pPr>
          </w:p>
        </w:tc>
        <w:tc>
          <w:tcPr>
            <w:tcW w:w="2813" w:type="dxa"/>
            <w:shd w:val="clear" w:color="auto" w:fill="auto"/>
          </w:tcPr>
          <w:p w14:paraId="05738379"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 xml:space="preserve">krvarenja iz respiratornog trakta (hemoptiza, </w:t>
            </w:r>
            <w:r w:rsidR="00142D75" w:rsidRPr="00B22D20">
              <w:rPr>
                <w:rFonts w:eastAsia="MS Mincho"/>
                <w:szCs w:val="22"/>
                <w:lang w:val="sr-Latn-CS"/>
              </w:rPr>
              <w:t>iskašljavanje krvi</w:t>
            </w:r>
            <w:r w:rsidRPr="00B22D20">
              <w:rPr>
                <w:rFonts w:eastAsia="MS Mincho"/>
                <w:szCs w:val="22"/>
                <w:lang w:val="sr-Latn-CS"/>
              </w:rPr>
              <w:t xml:space="preserve">, </w:t>
            </w:r>
            <w:r w:rsidR="00142D75" w:rsidRPr="00B22D20">
              <w:rPr>
                <w:rFonts w:eastAsia="MS Mincho"/>
                <w:szCs w:val="22"/>
                <w:lang w:val="sr-Latn-CS"/>
              </w:rPr>
              <w:t xml:space="preserve">pulmonalna </w:t>
            </w:r>
            <w:r w:rsidR="00142D75" w:rsidRPr="00B22D20">
              <w:rPr>
                <w:rFonts w:eastAsia="MS Mincho"/>
                <w:szCs w:val="22"/>
                <w:lang w:val="sr-Latn-CS"/>
              </w:rPr>
              <w:lastRenderedPageBreak/>
              <w:t xml:space="preserve">hemoragija), </w:t>
            </w:r>
            <w:r w:rsidRPr="00B22D20">
              <w:rPr>
                <w:rFonts w:eastAsia="MS Mincho"/>
                <w:szCs w:val="22"/>
                <w:lang w:val="sr-Latn-CS"/>
              </w:rPr>
              <w:t>bronhospazam, intersticijalni pneumonitis, eozinofilna pneumonija</w:t>
            </w:r>
          </w:p>
        </w:tc>
      </w:tr>
      <w:tr w:rsidR="00EA7447" w:rsidRPr="00C25676" w14:paraId="3636F3BE" w14:textId="77777777" w:rsidTr="00986EAA">
        <w:tc>
          <w:tcPr>
            <w:tcW w:w="1908" w:type="dxa"/>
            <w:shd w:val="clear" w:color="auto" w:fill="auto"/>
          </w:tcPr>
          <w:p w14:paraId="5806B116" w14:textId="77777777" w:rsidR="00EA7447" w:rsidRPr="00B22D20" w:rsidRDefault="00DF0EEC" w:rsidP="00B22D20">
            <w:pPr>
              <w:rPr>
                <w:rFonts w:eastAsia="MS Mincho"/>
                <w:szCs w:val="22"/>
                <w:lang w:val="sr-Latn-CS"/>
              </w:rPr>
            </w:pPr>
            <w:r w:rsidRPr="00B22D20">
              <w:rPr>
                <w:rFonts w:eastAsia="MS Mincho"/>
                <w:szCs w:val="22"/>
                <w:lang w:val="sr-Latn-CS"/>
              </w:rPr>
              <w:lastRenderedPageBreak/>
              <w:t>Gastrointestinalni poremećaji</w:t>
            </w:r>
          </w:p>
        </w:tc>
        <w:tc>
          <w:tcPr>
            <w:tcW w:w="1350" w:type="dxa"/>
            <w:shd w:val="clear" w:color="auto" w:fill="auto"/>
          </w:tcPr>
          <w:p w14:paraId="13C47EE6" w14:textId="4268D057" w:rsidR="00EA7447" w:rsidRPr="00B22D20" w:rsidRDefault="00DF0EEC" w:rsidP="00B22D20">
            <w:pPr>
              <w:rPr>
                <w:rFonts w:eastAsia="MS Mincho"/>
                <w:szCs w:val="22"/>
                <w:lang w:val="sr-Latn-CS"/>
              </w:rPr>
            </w:pPr>
            <w:r w:rsidRPr="00B22D20">
              <w:rPr>
                <w:rFonts w:eastAsia="MS Mincho"/>
                <w:szCs w:val="22"/>
                <w:lang w:val="sr-Latn-CS"/>
              </w:rPr>
              <w:t>Gastrointestinalno krvarenje, dijareja, bol</w:t>
            </w:r>
            <w:r w:rsidR="00C01E05" w:rsidRPr="00B22D20">
              <w:rPr>
                <w:rFonts w:eastAsia="MS Mincho"/>
                <w:szCs w:val="22"/>
                <w:lang w:val="sr-Latn-CS"/>
              </w:rPr>
              <w:t xml:space="preserve"> u stomaku</w:t>
            </w:r>
            <w:r w:rsidR="00BF0234" w:rsidRPr="00B22D20">
              <w:rPr>
                <w:rFonts w:eastAsia="MS Mincho"/>
                <w:szCs w:val="22"/>
                <w:lang w:val="sr-Latn-CS"/>
              </w:rPr>
              <w:t>,</w:t>
            </w:r>
            <w:r w:rsidR="009F19EE" w:rsidRPr="00B22D20">
              <w:rPr>
                <w:rFonts w:eastAsia="MS Mincho"/>
                <w:szCs w:val="22"/>
                <w:lang w:val="sr-Latn-CS"/>
              </w:rPr>
              <w:t xml:space="preserve"> </w:t>
            </w:r>
            <w:r w:rsidRPr="00B22D20">
              <w:rPr>
                <w:rFonts w:eastAsia="MS Mincho"/>
                <w:szCs w:val="22"/>
                <w:lang w:val="sr-Latn-CS"/>
              </w:rPr>
              <w:t>dispepsija</w:t>
            </w:r>
          </w:p>
        </w:tc>
        <w:tc>
          <w:tcPr>
            <w:tcW w:w="2003" w:type="dxa"/>
            <w:shd w:val="clear" w:color="auto" w:fill="auto"/>
          </w:tcPr>
          <w:p w14:paraId="7444F23A" w14:textId="55FB6136" w:rsidR="00EA7447" w:rsidRPr="00B22D20" w:rsidRDefault="00DF0EEC" w:rsidP="00B22D20">
            <w:pPr>
              <w:ind w:left="-58" w:right="-58"/>
              <w:rPr>
                <w:rFonts w:eastAsia="MS Mincho"/>
                <w:szCs w:val="22"/>
                <w:lang w:val="sr-Latn-CS"/>
              </w:rPr>
            </w:pPr>
            <w:r w:rsidRPr="00B22D20">
              <w:rPr>
                <w:rFonts w:eastAsia="MS Mincho"/>
                <w:szCs w:val="22"/>
                <w:lang w:val="sr-Latn-CS"/>
              </w:rPr>
              <w:t>gastrič</w:t>
            </w:r>
            <w:r w:rsidR="005B1FD7" w:rsidRPr="00B22D20">
              <w:rPr>
                <w:rFonts w:eastAsia="MS Mincho"/>
                <w:szCs w:val="22"/>
                <w:lang w:val="sr-Latn-CS"/>
              </w:rPr>
              <w:t>n</w:t>
            </w:r>
            <w:r w:rsidRPr="00B22D20">
              <w:rPr>
                <w:rFonts w:eastAsia="MS Mincho"/>
                <w:szCs w:val="22"/>
                <w:lang w:val="sr-Latn-CS"/>
              </w:rPr>
              <w:t>i i duodenalni ulkus, gastritis, povraćanje, mučnina, konstipacija, nadimanje</w:t>
            </w:r>
          </w:p>
        </w:tc>
        <w:tc>
          <w:tcPr>
            <w:tcW w:w="1507" w:type="dxa"/>
            <w:shd w:val="clear" w:color="auto" w:fill="auto"/>
          </w:tcPr>
          <w:p w14:paraId="140D8F83" w14:textId="77777777" w:rsidR="00EA7447" w:rsidRPr="00B22D20" w:rsidRDefault="00DF0EEC" w:rsidP="00B22D20">
            <w:pPr>
              <w:rPr>
                <w:rFonts w:eastAsia="MS Mincho"/>
                <w:szCs w:val="22"/>
                <w:lang w:val="sr-Latn-CS"/>
              </w:rPr>
            </w:pPr>
            <w:r w:rsidRPr="00B22D20">
              <w:rPr>
                <w:rFonts w:eastAsia="MS Mincho"/>
                <w:szCs w:val="22"/>
                <w:lang w:val="sr-Latn-CS"/>
              </w:rPr>
              <w:t>retroperitonealno krvarenje</w:t>
            </w:r>
          </w:p>
        </w:tc>
        <w:tc>
          <w:tcPr>
            <w:tcW w:w="2813" w:type="dxa"/>
            <w:shd w:val="clear" w:color="auto" w:fill="auto"/>
          </w:tcPr>
          <w:p w14:paraId="6747528E"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gastrointestinalno i retroperitonealno krvarenje sa fatalnim ishodom, pankreatitis, kolitis (uključujući ulcerozni ili limfocitni kolitis), stomatitis</w:t>
            </w:r>
          </w:p>
        </w:tc>
      </w:tr>
      <w:tr w:rsidR="00EA7447" w:rsidRPr="00C25676" w14:paraId="2018E709" w14:textId="77777777" w:rsidTr="007079C7">
        <w:trPr>
          <w:trHeight w:val="795"/>
        </w:trPr>
        <w:tc>
          <w:tcPr>
            <w:tcW w:w="1908" w:type="dxa"/>
            <w:shd w:val="clear" w:color="auto" w:fill="auto"/>
          </w:tcPr>
          <w:p w14:paraId="753197E9" w14:textId="77777777" w:rsidR="00EA7447" w:rsidRPr="00B22D20" w:rsidRDefault="00DF0EEC" w:rsidP="00B22D20">
            <w:pPr>
              <w:rPr>
                <w:rFonts w:eastAsia="MS Mincho"/>
                <w:szCs w:val="22"/>
                <w:lang w:val="sr-Latn-CS"/>
              </w:rPr>
            </w:pPr>
            <w:r w:rsidRPr="00B22D20">
              <w:rPr>
                <w:rFonts w:eastAsia="MS Mincho"/>
                <w:szCs w:val="22"/>
                <w:lang w:val="sr-Latn-CS"/>
              </w:rPr>
              <w:t>Hepatobilijarni poremećaji</w:t>
            </w:r>
          </w:p>
        </w:tc>
        <w:tc>
          <w:tcPr>
            <w:tcW w:w="1350" w:type="dxa"/>
            <w:shd w:val="clear" w:color="auto" w:fill="auto"/>
          </w:tcPr>
          <w:p w14:paraId="0A9DC853" w14:textId="77777777" w:rsidR="00EA7447" w:rsidRPr="00B22D20" w:rsidRDefault="00EA7447" w:rsidP="00B22D20">
            <w:pPr>
              <w:rPr>
                <w:rFonts w:eastAsia="MS Mincho"/>
                <w:szCs w:val="22"/>
                <w:lang w:val="sr-Latn-CS"/>
              </w:rPr>
            </w:pPr>
          </w:p>
        </w:tc>
        <w:tc>
          <w:tcPr>
            <w:tcW w:w="2003" w:type="dxa"/>
            <w:shd w:val="clear" w:color="auto" w:fill="auto"/>
          </w:tcPr>
          <w:p w14:paraId="621AC33C"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37C0BFA5" w14:textId="77777777" w:rsidR="00EA7447" w:rsidRPr="00B22D20" w:rsidRDefault="00EA7447" w:rsidP="00B22D20">
            <w:pPr>
              <w:rPr>
                <w:rFonts w:eastAsia="MS Mincho"/>
                <w:szCs w:val="22"/>
                <w:lang w:val="sr-Latn-CS"/>
              </w:rPr>
            </w:pPr>
          </w:p>
        </w:tc>
        <w:tc>
          <w:tcPr>
            <w:tcW w:w="2813" w:type="dxa"/>
            <w:shd w:val="clear" w:color="auto" w:fill="auto"/>
          </w:tcPr>
          <w:p w14:paraId="7884F787"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akutna insuficijencija jetre, hepatitis, poremećaji testova funkcije jetre</w:t>
            </w:r>
          </w:p>
        </w:tc>
      </w:tr>
      <w:tr w:rsidR="00EA7447" w:rsidRPr="00C25676" w14:paraId="0CB9C20E" w14:textId="77777777" w:rsidTr="00986EAA">
        <w:tc>
          <w:tcPr>
            <w:tcW w:w="1908" w:type="dxa"/>
            <w:shd w:val="clear" w:color="auto" w:fill="auto"/>
          </w:tcPr>
          <w:p w14:paraId="76641ACF" w14:textId="77777777" w:rsidR="00EA7447" w:rsidRPr="00B22D20" w:rsidRDefault="00DF0EEC" w:rsidP="00B22D20">
            <w:pPr>
              <w:rPr>
                <w:rFonts w:eastAsia="MS Mincho"/>
                <w:szCs w:val="22"/>
                <w:lang w:val="sr-Latn-CS"/>
              </w:rPr>
            </w:pPr>
            <w:r w:rsidRPr="00B22D20">
              <w:rPr>
                <w:rFonts w:eastAsia="MS Mincho"/>
                <w:szCs w:val="22"/>
                <w:lang w:val="sr-Latn-CS"/>
              </w:rPr>
              <w:t>Poremećaji kože i potkožnog tkiva</w:t>
            </w:r>
          </w:p>
        </w:tc>
        <w:tc>
          <w:tcPr>
            <w:tcW w:w="1350" w:type="dxa"/>
            <w:shd w:val="clear" w:color="auto" w:fill="auto"/>
          </w:tcPr>
          <w:p w14:paraId="79656F88" w14:textId="77777777" w:rsidR="00EA7447" w:rsidRPr="00B22D20" w:rsidRDefault="00DF0EEC" w:rsidP="00B22D20">
            <w:pPr>
              <w:rPr>
                <w:rFonts w:eastAsia="MS Mincho"/>
                <w:szCs w:val="22"/>
                <w:lang w:val="sr-Latn-CS"/>
              </w:rPr>
            </w:pPr>
            <w:r w:rsidRPr="00B22D20">
              <w:rPr>
                <w:rFonts w:eastAsia="MS Mincho"/>
                <w:szCs w:val="22"/>
                <w:lang w:val="sr-Latn-CS"/>
              </w:rPr>
              <w:t>modrice</w:t>
            </w:r>
          </w:p>
        </w:tc>
        <w:tc>
          <w:tcPr>
            <w:tcW w:w="2003" w:type="dxa"/>
            <w:shd w:val="clear" w:color="auto" w:fill="auto"/>
          </w:tcPr>
          <w:p w14:paraId="4374A9D2"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osip, pruritus, krvarenje</w:t>
            </w:r>
            <w:r w:rsidR="005C3CF3" w:rsidRPr="00B22D20">
              <w:rPr>
                <w:rFonts w:eastAsia="MS Mincho"/>
                <w:szCs w:val="22"/>
                <w:lang w:val="sr-Latn-CS"/>
              </w:rPr>
              <w:t xml:space="preserve"> ispod kože</w:t>
            </w:r>
            <w:r w:rsidRPr="00B22D20">
              <w:rPr>
                <w:rFonts w:eastAsia="MS Mincho"/>
                <w:szCs w:val="22"/>
                <w:lang w:val="sr-Latn-CS"/>
              </w:rPr>
              <w:t xml:space="preserve"> (purpura)</w:t>
            </w:r>
          </w:p>
        </w:tc>
        <w:tc>
          <w:tcPr>
            <w:tcW w:w="1507" w:type="dxa"/>
            <w:shd w:val="clear" w:color="auto" w:fill="auto"/>
          </w:tcPr>
          <w:p w14:paraId="6DA3A90A" w14:textId="77777777" w:rsidR="00EA7447" w:rsidRPr="00B22D20" w:rsidRDefault="00EA7447" w:rsidP="00B22D20">
            <w:pPr>
              <w:rPr>
                <w:rFonts w:eastAsia="MS Mincho"/>
                <w:szCs w:val="22"/>
                <w:lang w:val="sr-Latn-CS"/>
              </w:rPr>
            </w:pPr>
          </w:p>
        </w:tc>
        <w:tc>
          <w:tcPr>
            <w:tcW w:w="2813" w:type="dxa"/>
            <w:shd w:val="clear" w:color="auto" w:fill="auto"/>
          </w:tcPr>
          <w:p w14:paraId="3A98D6F9" w14:textId="27CD30A2" w:rsidR="00885F77" w:rsidRPr="00B22D20" w:rsidRDefault="00DF0EEC" w:rsidP="00B22D20">
            <w:pPr>
              <w:tabs>
                <w:tab w:val="clear" w:pos="284"/>
              </w:tabs>
              <w:autoSpaceDE w:val="0"/>
              <w:autoSpaceDN w:val="0"/>
              <w:adjustRightInd w:val="0"/>
              <w:rPr>
                <w:rFonts w:eastAsia="TimesNewRomanPSMT"/>
                <w:i/>
                <w:szCs w:val="22"/>
              </w:rPr>
            </w:pPr>
            <w:r w:rsidRPr="00B22D20">
              <w:rPr>
                <w:rFonts w:eastAsia="MS Mincho"/>
                <w:szCs w:val="22"/>
                <w:lang w:val="sr-Latn-CS"/>
              </w:rPr>
              <w:t xml:space="preserve">bulozni dermatitis (toksična epidermalna nekroliza, </w:t>
            </w:r>
            <w:r w:rsidRPr="00B22D20">
              <w:rPr>
                <w:rFonts w:eastAsia="MS Mincho"/>
                <w:i/>
                <w:szCs w:val="22"/>
                <w:lang w:val="sr-Latn-CS"/>
              </w:rPr>
              <w:t>Stevens-Johnson</w:t>
            </w:r>
            <w:r w:rsidR="00885F77" w:rsidRPr="00B22D20">
              <w:rPr>
                <w:rFonts w:eastAsia="MS Mincho"/>
                <w:szCs w:val="22"/>
                <w:lang w:val="sr-Latn-CS"/>
              </w:rPr>
              <w:t>-</w:t>
            </w:r>
            <w:r w:rsidRPr="00B22D20">
              <w:rPr>
                <w:rFonts w:eastAsia="MS Mincho"/>
                <w:szCs w:val="22"/>
                <w:lang w:val="sr-Latn-CS"/>
              </w:rPr>
              <w:t>ov sindrom, multiformni eritem, akutna generalizovana egzantematozna pustuloza (AGEP)), angioedem,</w:t>
            </w:r>
            <w:r w:rsidRPr="00B22D20">
              <w:rPr>
                <w:szCs w:val="22"/>
                <w:lang w:eastAsia="zh-CN"/>
              </w:rPr>
              <w:t xml:space="preserve"> sindrom preos</w:t>
            </w:r>
            <w:r w:rsidR="009F19EE" w:rsidRPr="00B22D20">
              <w:rPr>
                <w:szCs w:val="22"/>
                <w:lang w:eastAsia="zh-CN"/>
              </w:rPr>
              <w:t>j</w:t>
            </w:r>
            <w:r w:rsidRPr="00B22D20">
              <w:rPr>
                <w:szCs w:val="22"/>
                <w:lang w:eastAsia="zh-CN"/>
              </w:rPr>
              <w:t xml:space="preserve">etljivosti izazvan </w:t>
            </w:r>
            <w:r w:rsidR="00122D4B" w:rsidRPr="00B22D20">
              <w:rPr>
                <w:szCs w:val="22"/>
                <w:lang w:eastAsia="zh-CN"/>
              </w:rPr>
              <w:t>ljekov</w:t>
            </w:r>
            <w:r w:rsidRPr="00B22D20">
              <w:rPr>
                <w:szCs w:val="22"/>
                <w:lang w:eastAsia="zh-CN"/>
              </w:rPr>
              <w:t>ima,</w:t>
            </w:r>
            <w:r w:rsidRPr="00B22D20">
              <w:rPr>
                <w:rFonts w:eastAsia="MS Mincho"/>
                <w:szCs w:val="22"/>
                <w:lang w:val="sr-Latn-CS"/>
              </w:rPr>
              <w:t xml:space="preserve"> </w:t>
            </w:r>
            <w:r w:rsidRPr="00B22D20">
              <w:rPr>
                <w:szCs w:val="22"/>
                <w:lang w:eastAsia="zh-CN"/>
              </w:rPr>
              <w:t>osip</w:t>
            </w:r>
            <w:r w:rsidR="00553C79" w:rsidRPr="00B22D20">
              <w:rPr>
                <w:szCs w:val="22"/>
                <w:lang w:eastAsia="zh-CN"/>
              </w:rPr>
              <w:t xml:space="preserve"> uzrokovan lijekom</w:t>
            </w:r>
            <w:r w:rsidRPr="00B22D20">
              <w:rPr>
                <w:szCs w:val="22"/>
                <w:lang w:eastAsia="zh-CN"/>
              </w:rPr>
              <w:t xml:space="preserve"> sa eozinofilijom </w:t>
            </w:r>
            <w:r w:rsidR="00EA5383" w:rsidRPr="00B22D20">
              <w:rPr>
                <w:szCs w:val="22"/>
                <w:lang w:eastAsia="zh-CN"/>
              </w:rPr>
              <w:t>i</w:t>
            </w:r>
            <w:r w:rsidRPr="00B22D20">
              <w:rPr>
                <w:szCs w:val="22"/>
                <w:lang w:eastAsia="zh-CN"/>
              </w:rPr>
              <w:t xml:space="preserve"> sistemskim simptomima </w:t>
            </w:r>
            <w:r w:rsidR="00885F77" w:rsidRPr="00B22D20">
              <w:rPr>
                <w:rFonts w:eastAsia="Calibri"/>
                <w:szCs w:val="22"/>
              </w:rPr>
              <w:t xml:space="preserve">(engl. </w:t>
            </w:r>
            <w:r w:rsidRPr="00B22D20">
              <w:rPr>
                <w:rFonts w:eastAsia="TimesNewRomanPSMT"/>
                <w:i/>
                <w:szCs w:val="22"/>
              </w:rPr>
              <w:t>drug rash with eosinophilia and</w:t>
            </w:r>
          </w:p>
          <w:p w14:paraId="147BEF7E" w14:textId="7F7A8072" w:rsidR="00885F77" w:rsidRPr="00B22D20" w:rsidRDefault="00DF0EEC" w:rsidP="00B22D20">
            <w:pPr>
              <w:pStyle w:val="Header"/>
              <w:rPr>
                <w:szCs w:val="22"/>
              </w:rPr>
            </w:pPr>
            <w:r w:rsidRPr="00B22D20">
              <w:rPr>
                <w:rFonts w:eastAsia="TimesNewRomanPSMT"/>
                <w:i/>
                <w:szCs w:val="22"/>
              </w:rPr>
              <w:t>systemic symptoms</w:t>
            </w:r>
            <w:r w:rsidR="00885F77" w:rsidRPr="00B22D20">
              <w:rPr>
                <w:rFonts w:eastAsia="TimesNewRomanPSMT"/>
                <w:szCs w:val="22"/>
              </w:rPr>
              <w:t>,</w:t>
            </w:r>
            <w:r w:rsidR="009F19EE" w:rsidRPr="00B22D20">
              <w:rPr>
                <w:rFonts w:eastAsia="TimesNewRomanPSMT"/>
                <w:szCs w:val="22"/>
              </w:rPr>
              <w:t xml:space="preserve"> </w:t>
            </w:r>
            <w:r w:rsidRPr="00B22D20">
              <w:rPr>
                <w:szCs w:val="22"/>
                <w:lang w:eastAsia="zh-CN"/>
              </w:rPr>
              <w:t xml:space="preserve">DRESS), </w:t>
            </w:r>
            <w:r w:rsidRPr="00B22D20">
              <w:rPr>
                <w:rFonts w:eastAsia="MS Mincho"/>
                <w:szCs w:val="22"/>
                <w:lang w:val="sr-Latn-CS"/>
              </w:rPr>
              <w:t xml:space="preserve">eritematozni ili eksfolijativni osip, urtikarija, ekcem, </w:t>
            </w:r>
            <w:r w:rsidR="00885F77" w:rsidRPr="00B22D20">
              <w:rPr>
                <w:rFonts w:eastAsia="Calibri"/>
                <w:i/>
                <w:szCs w:val="22"/>
              </w:rPr>
              <w:t>lichen planus</w:t>
            </w:r>
            <w:r w:rsidR="00885F77" w:rsidRPr="00B22D20">
              <w:rPr>
                <w:rFonts w:eastAsia="Calibri"/>
                <w:szCs w:val="22"/>
              </w:rPr>
              <w:t xml:space="preserve"> </w:t>
            </w:r>
          </w:p>
          <w:p w14:paraId="719F70DD" w14:textId="77777777" w:rsidR="00EA7447" w:rsidRPr="00B22D20" w:rsidRDefault="00EA7447" w:rsidP="00B22D20">
            <w:pPr>
              <w:ind w:left="-58" w:right="-58"/>
              <w:rPr>
                <w:rFonts w:eastAsia="MS Mincho"/>
                <w:szCs w:val="22"/>
                <w:lang w:val="sr-Latn-CS"/>
              </w:rPr>
            </w:pPr>
          </w:p>
        </w:tc>
      </w:tr>
      <w:tr w:rsidR="00EA7447" w:rsidRPr="00C25676" w14:paraId="2BE6D59D" w14:textId="77777777" w:rsidTr="00986EAA">
        <w:tc>
          <w:tcPr>
            <w:tcW w:w="1908" w:type="dxa"/>
            <w:shd w:val="clear" w:color="auto" w:fill="auto"/>
          </w:tcPr>
          <w:p w14:paraId="4D5638A0" w14:textId="77777777" w:rsidR="00EA7447" w:rsidRPr="00B22D20" w:rsidRDefault="00DF0EEC" w:rsidP="00B22D20">
            <w:pPr>
              <w:rPr>
                <w:rFonts w:eastAsia="MS Mincho"/>
                <w:szCs w:val="22"/>
                <w:lang w:val="sr-Latn-CS"/>
              </w:rPr>
            </w:pPr>
            <w:r w:rsidRPr="00B22D20">
              <w:rPr>
                <w:rFonts w:eastAsia="MS Mincho"/>
                <w:szCs w:val="22"/>
                <w:lang w:val="sr-Latn-CS"/>
              </w:rPr>
              <w:t>Poremećaji reproduktivnog sistema i dojki</w:t>
            </w:r>
          </w:p>
        </w:tc>
        <w:tc>
          <w:tcPr>
            <w:tcW w:w="1350" w:type="dxa"/>
            <w:shd w:val="clear" w:color="auto" w:fill="auto"/>
          </w:tcPr>
          <w:p w14:paraId="7FC72C09" w14:textId="77777777" w:rsidR="00EA7447" w:rsidRPr="00B22D20" w:rsidRDefault="00EA7447" w:rsidP="00B22D20">
            <w:pPr>
              <w:rPr>
                <w:rFonts w:eastAsia="MS Mincho"/>
                <w:szCs w:val="22"/>
                <w:lang w:val="sr-Latn-CS"/>
              </w:rPr>
            </w:pPr>
          </w:p>
        </w:tc>
        <w:tc>
          <w:tcPr>
            <w:tcW w:w="2003" w:type="dxa"/>
            <w:shd w:val="clear" w:color="auto" w:fill="auto"/>
          </w:tcPr>
          <w:p w14:paraId="16F15447"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433AD6C6" w14:textId="77777777" w:rsidR="00EA7447" w:rsidRPr="00B22D20" w:rsidRDefault="00DF0EEC" w:rsidP="00B22D20">
            <w:pPr>
              <w:rPr>
                <w:rFonts w:eastAsia="MS Mincho"/>
                <w:szCs w:val="22"/>
                <w:lang w:val="sr-Latn-CS"/>
              </w:rPr>
            </w:pPr>
            <w:r w:rsidRPr="00B22D20">
              <w:rPr>
                <w:rFonts w:eastAsia="MS Mincho"/>
                <w:szCs w:val="22"/>
                <w:lang w:val="sr-Latn-CS"/>
              </w:rPr>
              <w:t>ginekomastij</w:t>
            </w:r>
            <w:r w:rsidR="00986EAA" w:rsidRPr="00B22D20">
              <w:rPr>
                <w:rFonts w:eastAsia="MS Mincho"/>
                <w:szCs w:val="22"/>
                <w:lang w:val="sr-Latn-CS"/>
              </w:rPr>
              <w:t>a</w:t>
            </w:r>
          </w:p>
        </w:tc>
        <w:tc>
          <w:tcPr>
            <w:tcW w:w="2813" w:type="dxa"/>
            <w:shd w:val="clear" w:color="auto" w:fill="auto"/>
          </w:tcPr>
          <w:p w14:paraId="434E3F7F" w14:textId="77777777" w:rsidR="00EA7447" w:rsidRPr="00B22D20" w:rsidRDefault="00EA7447" w:rsidP="00B22D20">
            <w:pPr>
              <w:ind w:left="-58" w:right="-58"/>
              <w:rPr>
                <w:rFonts w:eastAsia="MS Mincho"/>
                <w:szCs w:val="22"/>
                <w:lang w:val="sr-Latn-CS"/>
              </w:rPr>
            </w:pPr>
          </w:p>
        </w:tc>
      </w:tr>
      <w:tr w:rsidR="00EA7447" w:rsidRPr="00C25676" w14:paraId="3F4806F3" w14:textId="77777777" w:rsidTr="00986EAA">
        <w:tc>
          <w:tcPr>
            <w:tcW w:w="1908" w:type="dxa"/>
            <w:shd w:val="clear" w:color="auto" w:fill="auto"/>
          </w:tcPr>
          <w:p w14:paraId="519D9FC8" w14:textId="77777777" w:rsidR="00EA7447" w:rsidRPr="00B22D20" w:rsidRDefault="00DF0EEC" w:rsidP="00B22D20">
            <w:pPr>
              <w:rPr>
                <w:rFonts w:eastAsia="MS Mincho"/>
                <w:szCs w:val="22"/>
                <w:lang w:val="sr-Latn-CS"/>
              </w:rPr>
            </w:pPr>
            <w:r w:rsidRPr="00B22D20">
              <w:rPr>
                <w:rFonts w:eastAsia="MS Mincho"/>
                <w:szCs w:val="22"/>
                <w:lang w:val="sr-Latn-CS"/>
              </w:rPr>
              <w:t>Poremećaji mišićno-koštanog sistema i vezivnog tkiva</w:t>
            </w:r>
          </w:p>
        </w:tc>
        <w:tc>
          <w:tcPr>
            <w:tcW w:w="1350" w:type="dxa"/>
            <w:shd w:val="clear" w:color="auto" w:fill="auto"/>
          </w:tcPr>
          <w:p w14:paraId="27079AE4" w14:textId="77777777" w:rsidR="00EA7447" w:rsidRPr="00B22D20" w:rsidRDefault="00EA7447" w:rsidP="00B22D20">
            <w:pPr>
              <w:rPr>
                <w:rFonts w:eastAsia="MS Mincho"/>
                <w:szCs w:val="22"/>
                <w:lang w:val="sr-Latn-CS"/>
              </w:rPr>
            </w:pPr>
          </w:p>
        </w:tc>
        <w:tc>
          <w:tcPr>
            <w:tcW w:w="2003" w:type="dxa"/>
            <w:shd w:val="clear" w:color="auto" w:fill="auto"/>
          </w:tcPr>
          <w:p w14:paraId="69CDF17F"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1CB678B8" w14:textId="77777777" w:rsidR="00EA7447" w:rsidRPr="00B22D20" w:rsidRDefault="00EA7447" w:rsidP="00B22D20">
            <w:pPr>
              <w:rPr>
                <w:rFonts w:eastAsia="MS Mincho"/>
                <w:szCs w:val="22"/>
                <w:lang w:val="sr-Latn-CS"/>
              </w:rPr>
            </w:pPr>
          </w:p>
        </w:tc>
        <w:tc>
          <w:tcPr>
            <w:tcW w:w="2813" w:type="dxa"/>
            <w:shd w:val="clear" w:color="auto" w:fill="auto"/>
          </w:tcPr>
          <w:p w14:paraId="1F41EDAF"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mišićno-skeletno krvarenje (hemartroza), artritis, artralgija, mijalgija</w:t>
            </w:r>
          </w:p>
        </w:tc>
      </w:tr>
      <w:tr w:rsidR="00EA7447" w:rsidRPr="00C25676" w14:paraId="2480315F" w14:textId="77777777" w:rsidTr="00986EAA">
        <w:tc>
          <w:tcPr>
            <w:tcW w:w="1908" w:type="dxa"/>
            <w:shd w:val="clear" w:color="auto" w:fill="auto"/>
          </w:tcPr>
          <w:p w14:paraId="493F70D8" w14:textId="77777777" w:rsidR="00EA7447" w:rsidRPr="00B22D20" w:rsidRDefault="00DF0EEC" w:rsidP="00B22D20">
            <w:pPr>
              <w:tabs>
                <w:tab w:val="clear" w:pos="284"/>
              </w:tabs>
              <w:autoSpaceDE w:val="0"/>
              <w:autoSpaceDN w:val="0"/>
              <w:adjustRightInd w:val="0"/>
              <w:rPr>
                <w:szCs w:val="22"/>
                <w:lang w:eastAsia="zh-CN"/>
              </w:rPr>
            </w:pPr>
            <w:r w:rsidRPr="00B22D20">
              <w:rPr>
                <w:szCs w:val="22"/>
                <w:lang w:eastAsia="zh-CN"/>
              </w:rPr>
              <w:t xml:space="preserve">Poremećaji bubrega i </w:t>
            </w:r>
            <w:r w:rsidRPr="00B22D20">
              <w:rPr>
                <w:szCs w:val="22"/>
              </w:rPr>
              <w:t>urinarnog sistema</w:t>
            </w:r>
          </w:p>
        </w:tc>
        <w:tc>
          <w:tcPr>
            <w:tcW w:w="1350" w:type="dxa"/>
            <w:shd w:val="clear" w:color="auto" w:fill="auto"/>
          </w:tcPr>
          <w:p w14:paraId="21D8DCC5" w14:textId="77777777" w:rsidR="00EA7447" w:rsidRPr="00B22D20" w:rsidRDefault="00EA7447" w:rsidP="00B22D20">
            <w:pPr>
              <w:rPr>
                <w:rFonts w:eastAsia="MS Mincho"/>
                <w:szCs w:val="22"/>
                <w:lang w:val="sr-Latn-CS"/>
              </w:rPr>
            </w:pPr>
          </w:p>
        </w:tc>
        <w:tc>
          <w:tcPr>
            <w:tcW w:w="2003" w:type="dxa"/>
            <w:shd w:val="clear" w:color="auto" w:fill="auto"/>
          </w:tcPr>
          <w:p w14:paraId="179A444A"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hematurija</w:t>
            </w:r>
          </w:p>
        </w:tc>
        <w:tc>
          <w:tcPr>
            <w:tcW w:w="1507" w:type="dxa"/>
            <w:shd w:val="clear" w:color="auto" w:fill="auto"/>
          </w:tcPr>
          <w:p w14:paraId="143A92BE" w14:textId="77777777" w:rsidR="00EA7447" w:rsidRPr="00B22D20" w:rsidRDefault="00EA7447" w:rsidP="00B22D20">
            <w:pPr>
              <w:rPr>
                <w:rFonts w:eastAsia="MS Mincho"/>
                <w:szCs w:val="22"/>
                <w:lang w:val="sr-Latn-CS"/>
              </w:rPr>
            </w:pPr>
          </w:p>
        </w:tc>
        <w:tc>
          <w:tcPr>
            <w:tcW w:w="2813" w:type="dxa"/>
            <w:shd w:val="clear" w:color="auto" w:fill="auto"/>
          </w:tcPr>
          <w:p w14:paraId="261C3DEB" w14:textId="77777777" w:rsidR="00EA7447" w:rsidRPr="00B22D20" w:rsidRDefault="00DF0EEC" w:rsidP="00B22D20">
            <w:pPr>
              <w:ind w:left="-58" w:right="-58"/>
              <w:rPr>
                <w:rFonts w:eastAsia="MS Mincho"/>
                <w:szCs w:val="22"/>
                <w:lang w:val="sr-Latn-CS"/>
              </w:rPr>
            </w:pPr>
            <w:r w:rsidRPr="00B22D20">
              <w:rPr>
                <w:rFonts w:eastAsia="MS Mincho"/>
                <w:szCs w:val="22"/>
                <w:lang w:val="sr-Latn-CS"/>
              </w:rPr>
              <w:t>glomerulonefritis, pov</w:t>
            </w:r>
            <w:r w:rsidR="00F93B66" w:rsidRPr="00B22D20">
              <w:rPr>
                <w:rFonts w:eastAsia="MS Mincho"/>
                <w:szCs w:val="22"/>
                <w:lang w:val="sr-Latn-CS"/>
              </w:rPr>
              <w:t xml:space="preserve">ećana koncentracija </w:t>
            </w:r>
            <w:r w:rsidRPr="00B22D20">
              <w:rPr>
                <w:rFonts w:eastAsia="MS Mincho"/>
                <w:szCs w:val="22"/>
                <w:lang w:val="sr-Latn-CS"/>
              </w:rPr>
              <w:t>kreatinina u krvi</w:t>
            </w:r>
          </w:p>
        </w:tc>
      </w:tr>
      <w:tr w:rsidR="00EA7447" w:rsidRPr="00C25676" w14:paraId="1FC10465" w14:textId="77777777" w:rsidTr="00986EAA">
        <w:tc>
          <w:tcPr>
            <w:tcW w:w="1908" w:type="dxa"/>
            <w:shd w:val="clear" w:color="auto" w:fill="auto"/>
          </w:tcPr>
          <w:p w14:paraId="64F2CA8C" w14:textId="77777777" w:rsidR="00EA7447" w:rsidRPr="00B22D20" w:rsidRDefault="00DF0EEC" w:rsidP="00B22D20">
            <w:pPr>
              <w:rPr>
                <w:rFonts w:eastAsia="MS Mincho"/>
                <w:szCs w:val="22"/>
              </w:rPr>
            </w:pPr>
            <w:r w:rsidRPr="00B22D20">
              <w:rPr>
                <w:rFonts w:eastAsia="MS Mincho"/>
                <w:szCs w:val="22"/>
              </w:rPr>
              <w:t>Opšti poremećaji i</w:t>
            </w:r>
          </w:p>
          <w:p w14:paraId="5151502C" w14:textId="199E9EE9" w:rsidR="00EA7447" w:rsidRPr="00B22D20" w:rsidRDefault="00DF0EEC" w:rsidP="00B22D20">
            <w:pPr>
              <w:rPr>
                <w:rFonts w:eastAsia="MS Mincho"/>
                <w:szCs w:val="22"/>
              </w:rPr>
            </w:pPr>
            <w:r w:rsidRPr="00B22D20">
              <w:rPr>
                <w:rFonts w:eastAsia="MS Mincho"/>
                <w:szCs w:val="22"/>
              </w:rPr>
              <w:t>reakcije na m</w:t>
            </w:r>
            <w:r w:rsidR="009F19EE" w:rsidRPr="00B22D20">
              <w:rPr>
                <w:rFonts w:eastAsia="MS Mincho"/>
                <w:szCs w:val="22"/>
              </w:rPr>
              <w:t>j</w:t>
            </w:r>
            <w:r w:rsidRPr="00B22D20">
              <w:rPr>
                <w:rFonts w:eastAsia="MS Mincho"/>
                <w:szCs w:val="22"/>
              </w:rPr>
              <w:t>estu</w:t>
            </w:r>
          </w:p>
          <w:p w14:paraId="377D96BB" w14:textId="59CE5A3B" w:rsidR="00EA7447" w:rsidRPr="00B22D20" w:rsidRDefault="00D77814" w:rsidP="00B22D20">
            <w:pPr>
              <w:rPr>
                <w:rFonts w:eastAsia="MS Mincho"/>
                <w:szCs w:val="22"/>
              </w:rPr>
            </w:pPr>
            <w:r w:rsidRPr="00B22D20">
              <w:rPr>
                <w:rFonts w:eastAsia="MS Mincho"/>
                <w:szCs w:val="22"/>
              </w:rPr>
              <w:t>primjen</w:t>
            </w:r>
            <w:r w:rsidR="00DF0EEC" w:rsidRPr="00B22D20">
              <w:rPr>
                <w:rFonts w:eastAsia="MS Mincho"/>
                <w:szCs w:val="22"/>
              </w:rPr>
              <w:t>e</w:t>
            </w:r>
          </w:p>
        </w:tc>
        <w:tc>
          <w:tcPr>
            <w:tcW w:w="1350" w:type="dxa"/>
            <w:shd w:val="clear" w:color="auto" w:fill="auto"/>
          </w:tcPr>
          <w:p w14:paraId="680C493D" w14:textId="7543101B" w:rsidR="00EA7447" w:rsidRPr="00B22D20" w:rsidRDefault="00DF0EEC" w:rsidP="00B22D20">
            <w:pPr>
              <w:rPr>
                <w:rFonts w:eastAsia="MS Mincho"/>
                <w:szCs w:val="22"/>
                <w:lang w:val="sr-Latn-CS"/>
              </w:rPr>
            </w:pPr>
            <w:r w:rsidRPr="00B22D20">
              <w:rPr>
                <w:rFonts w:eastAsia="MS Mincho"/>
                <w:szCs w:val="22"/>
                <w:lang w:val="sr-Latn-CS"/>
              </w:rPr>
              <w:t>krvarenje na m</w:t>
            </w:r>
            <w:r w:rsidR="009F19EE" w:rsidRPr="00B22D20">
              <w:rPr>
                <w:rFonts w:eastAsia="MS Mincho"/>
                <w:szCs w:val="22"/>
                <w:lang w:val="sr-Latn-CS"/>
              </w:rPr>
              <w:t>j</w:t>
            </w:r>
            <w:r w:rsidRPr="00B22D20">
              <w:rPr>
                <w:rFonts w:eastAsia="MS Mincho"/>
                <w:szCs w:val="22"/>
                <w:lang w:val="sr-Latn-CS"/>
              </w:rPr>
              <w:t>estu uboda</w:t>
            </w:r>
          </w:p>
        </w:tc>
        <w:tc>
          <w:tcPr>
            <w:tcW w:w="2003" w:type="dxa"/>
            <w:shd w:val="clear" w:color="auto" w:fill="auto"/>
          </w:tcPr>
          <w:p w14:paraId="3A62AA0A" w14:textId="77777777" w:rsidR="00EA7447" w:rsidRPr="00B22D20" w:rsidRDefault="00EA7447" w:rsidP="00B22D20">
            <w:pPr>
              <w:ind w:left="-57" w:right="-57"/>
              <w:rPr>
                <w:rFonts w:eastAsia="MS Mincho"/>
                <w:szCs w:val="22"/>
                <w:lang w:val="sr-Latn-CS"/>
              </w:rPr>
            </w:pPr>
          </w:p>
        </w:tc>
        <w:tc>
          <w:tcPr>
            <w:tcW w:w="1507" w:type="dxa"/>
            <w:shd w:val="clear" w:color="auto" w:fill="auto"/>
          </w:tcPr>
          <w:p w14:paraId="7622054A" w14:textId="77777777" w:rsidR="00EA7447" w:rsidRPr="00B22D20" w:rsidRDefault="00EA7447" w:rsidP="00B22D20">
            <w:pPr>
              <w:rPr>
                <w:rFonts w:eastAsia="MS Mincho"/>
                <w:szCs w:val="22"/>
                <w:lang w:val="sr-Latn-CS"/>
              </w:rPr>
            </w:pPr>
          </w:p>
        </w:tc>
        <w:tc>
          <w:tcPr>
            <w:tcW w:w="2813" w:type="dxa"/>
            <w:shd w:val="clear" w:color="auto" w:fill="auto"/>
          </w:tcPr>
          <w:p w14:paraId="1231E8EA" w14:textId="28CDD63E" w:rsidR="00EA7447" w:rsidRPr="00B22D20" w:rsidRDefault="00F93B66" w:rsidP="00B22D20">
            <w:pPr>
              <w:ind w:left="-58" w:right="-58"/>
              <w:rPr>
                <w:rFonts w:eastAsia="MS Mincho"/>
                <w:szCs w:val="22"/>
                <w:lang w:val="sr-Latn-CS"/>
              </w:rPr>
            </w:pPr>
            <w:r w:rsidRPr="00B22D20">
              <w:rPr>
                <w:rFonts w:eastAsia="MS Mincho"/>
                <w:szCs w:val="22"/>
                <w:lang w:val="sr-Latn-CS"/>
              </w:rPr>
              <w:t>povišena t</w:t>
            </w:r>
            <w:r w:rsidR="009F19EE" w:rsidRPr="00B22D20">
              <w:rPr>
                <w:rFonts w:eastAsia="MS Mincho"/>
                <w:szCs w:val="22"/>
                <w:lang w:val="sr-Latn-CS"/>
              </w:rPr>
              <w:t>j</w:t>
            </w:r>
            <w:r w:rsidRPr="00B22D20">
              <w:rPr>
                <w:rFonts w:eastAsia="MS Mincho"/>
                <w:szCs w:val="22"/>
                <w:lang w:val="sr-Latn-CS"/>
              </w:rPr>
              <w:t xml:space="preserve">elesna </w:t>
            </w:r>
            <w:r w:rsidR="00DF0EEC" w:rsidRPr="00B22D20">
              <w:rPr>
                <w:rFonts w:eastAsia="MS Mincho"/>
                <w:szCs w:val="22"/>
                <w:lang w:val="sr-Latn-CS"/>
              </w:rPr>
              <w:t>temperatura</w:t>
            </w:r>
          </w:p>
        </w:tc>
      </w:tr>
      <w:tr w:rsidR="00EA7447" w:rsidRPr="00C25676" w14:paraId="013A7BA2" w14:textId="77777777" w:rsidTr="00986EAA">
        <w:trPr>
          <w:trHeight w:val="917"/>
        </w:trPr>
        <w:tc>
          <w:tcPr>
            <w:tcW w:w="1908" w:type="dxa"/>
            <w:shd w:val="clear" w:color="auto" w:fill="auto"/>
          </w:tcPr>
          <w:p w14:paraId="4AD250B0" w14:textId="77777777" w:rsidR="00EA7447" w:rsidRPr="00B22D20" w:rsidRDefault="00DF0EEC" w:rsidP="00B22D20">
            <w:pPr>
              <w:rPr>
                <w:rFonts w:eastAsia="MS Mincho"/>
                <w:szCs w:val="22"/>
                <w:lang w:val="sr-Latn-CS"/>
              </w:rPr>
            </w:pPr>
            <w:r w:rsidRPr="00B22D20">
              <w:rPr>
                <w:rFonts w:eastAsia="MS Mincho"/>
                <w:szCs w:val="22"/>
                <w:lang w:val="sr-Latn-CS"/>
              </w:rPr>
              <w:t>Ispitivanja</w:t>
            </w:r>
          </w:p>
        </w:tc>
        <w:tc>
          <w:tcPr>
            <w:tcW w:w="1350" w:type="dxa"/>
            <w:shd w:val="clear" w:color="auto" w:fill="auto"/>
          </w:tcPr>
          <w:p w14:paraId="016E3A0C" w14:textId="77777777" w:rsidR="00EA7447" w:rsidRPr="00B22D20" w:rsidRDefault="00EA7447" w:rsidP="00B22D20">
            <w:pPr>
              <w:rPr>
                <w:rFonts w:eastAsia="MS Mincho"/>
                <w:szCs w:val="22"/>
                <w:lang w:val="sr-Latn-CS"/>
              </w:rPr>
            </w:pPr>
          </w:p>
        </w:tc>
        <w:tc>
          <w:tcPr>
            <w:tcW w:w="2003" w:type="dxa"/>
            <w:shd w:val="clear" w:color="auto" w:fill="auto"/>
          </w:tcPr>
          <w:p w14:paraId="7CB5841F" w14:textId="64F96863" w:rsidR="00EA7447" w:rsidRPr="00B22D20" w:rsidRDefault="00DF0EEC" w:rsidP="00B22D20">
            <w:pPr>
              <w:ind w:left="-58" w:right="-58"/>
              <w:rPr>
                <w:rFonts w:eastAsia="MS Mincho"/>
                <w:szCs w:val="22"/>
                <w:lang w:val="sr-Latn-CS"/>
              </w:rPr>
            </w:pPr>
            <w:r w:rsidRPr="00B22D20">
              <w:rPr>
                <w:rFonts w:eastAsia="MS Mincho"/>
                <w:szCs w:val="22"/>
                <w:lang w:val="sr-Latn-CS"/>
              </w:rPr>
              <w:t>produženo vr</w:t>
            </w:r>
            <w:r w:rsidR="009F19EE" w:rsidRPr="00B22D20">
              <w:rPr>
                <w:rFonts w:eastAsia="MS Mincho"/>
                <w:szCs w:val="22"/>
                <w:lang w:val="sr-Latn-CS"/>
              </w:rPr>
              <w:t>ij</w:t>
            </w:r>
            <w:r w:rsidRPr="00B22D20">
              <w:rPr>
                <w:rFonts w:eastAsia="MS Mincho"/>
                <w:szCs w:val="22"/>
                <w:lang w:val="sr-Latn-CS"/>
              </w:rPr>
              <w:t>eme krvarenja, smanjen broj neutrofila, smanjen broj trombocita</w:t>
            </w:r>
          </w:p>
        </w:tc>
        <w:tc>
          <w:tcPr>
            <w:tcW w:w="1507" w:type="dxa"/>
            <w:shd w:val="clear" w:color="auto" w:fill="auto"/>
          </w:tcPr>
          <w:p w14:paraId="5A9A8815" w14:textId="77777777" w:rsidR="00EA7447" w:rsidRPr="00B22D20" w:rsidRDefault="00EA7447" w:rsidP="00B22D20">
            <w:pPr>
              <w:rPr>
                <w:rFonts w:eastAsia="MS Mincho"/>
                <w:szCs w:val="22"/>
                <w:lang w:val="sr-Latn-CS"/>
              </w:rPr>
            </w:pPr>
          </w:p>
        </w:tc>
        <w:tc>
          <w:tcPr>
            <w:tcW w:w="2813" w:type="dxa"/>
            <w:shd w:val="clear" w:color="auto" w:fill="auto"/>
          </w:tcPr>
          <w:p w14:paraId="75636584" w14:textId="77777777" w:rsidR="00EA7447" w:rsidRPr="00B22D20" w:rsidRDefault="00EA7447" w:rsidP="00B22D20">
            <w:pPr>
              <w:ind w:left="-57" w:right="-57"/>
              <w:rPr>
                <w:rFonts w:eastAsia="MS Mincho"/>
                <w:szCs w:val="22"/>
                <w:lang w:val="sr-Latn-CS"/>
              </w:rPr>
            </w:pPr>
          </w:p>
        </w:tc>
      </w:tr>
    </w:tbl>
    <w:p w14:paraId="3BA5A0F0" w14:textId="77777777" w:rsidR="00F3137E" w:rsidRPr="00B22D20" w:rsidRDefault="00F3137E" w:rsidP="00C25676">
      <w:pPr>
        <w:tabs>
          <w:tab w:val="clear" w:pos="284"/>
          <w:tab w:val="left" w:pos="1908"/>
          <w:tab w:val="left" w:pos="3348"/>
          <w:tab w:val="left" w:pos="5148"/>
          <w:tab w:val="left" w:pos="6629"/>
        </w:tabs>
        <w:ind w:left="113" w:right="-57"/>
        <w:rPr>
          <w:rFonts w:eastAsia="MS Mincho"/>
          <w:szCs w:val="22"/>
          <w:lang w:val="sr-Latn-CS"/>
        </w:rPr>
      </w:pPr>
      <w:r w:rsidRPr="00B22D20">
        <w:rPr>
          <w:szCs w:val="22"/>
          <w:lang w:val="sr-Latn-CS"/>
        </w:rPr>
        <w:t>*</w:t>
      </w:r>
      <w:r w:rsidR="00DF0EEC" w:rsidRPr="00B22D20">
        <w:rPr>
          <w:szCs w:val="22"/>
          <w:lang w:val="sr-Latn-CS"/>
        </w:rPr>
        <w:t>Informacije o klopidogrelu sa učestalošću pojave</w:t>
      </w:r>
      <w:r w:rsidR="00DF0EEC" w:rsidRPr="00B22D20">
        <w:rPr>
          <w:rFonts w:eastAsia="MS Mincho"/>
          <w:szCs w:val="22"/>
          <w:lang w:val="sr-Latn-CS"/>
        </w:rPr>
        <w:t xml:space="preserve"> definisanom kao „Nepoznato“</w:t>
      </w:r>
    </w:p>
    <w:p w14:paraId="32E43BBD" w14:textId="77777777" w:rsidR="00AC562A" w:rsidRPr="00B22D20" w:rsidRDefault="00AC562A">
      <w:pPr>
        <w:spacing w:line="276" w:lineRule="auto"/>
        <w:rPr>
          <w:rFonts w:eastAsia="Calibri"/>
          <w:szCs w:val="22"/>
          <w:u w:val="single"/>
          <w:lang w:val="sr-Latn-RS"/>
        </w:rPr>
      </w:pPr>
    </w:p>
    <w:p w14:paraId="1CEE4115" w14:textId="3AA04E2F" w:rsidR="00AC562A" w:rsidRPr="00B22D20" w:rsidRDefault="00AC562A">
      <w:pPr>
        <w:spacing w:after="200" w:line="276" w:lineRule="auto"/>
        <w:rPr>
          <w:rFonts w:eastAsia="Calibri"/>
          <w:szCs w:val="22"/>
          <w:u w:val="single"/>
          <w:lang w:val="sr-Latn-RS"/>
        </w:rPr>
      </w:pPr>
      <w:r w:rsidRPr="00B22D20">
        <w:rPr>
          <w:rFonts w:eastAsia="Calibri"/>
          <w:szCs w:val="22"/>
          <w:u w:val="single"/>
          <w:lang w:val="sr-Latn-RS"/>
        </w:rPr>
        <w:t>Prijavljivanje sumnji na neželjena dejstva</w:t>
      </w:r>
    </w:p>
    <w:p w14:paraId="7B437F9E" w14:textId="2C69FF01" w:rsidR="00AC562A" w:rsidRPr="00B22D20" w:rsidRDefault="00AC562A">
      <w:pPr>
        <w:spacing w:after="200"/>
        <w:rPr>
          <w:rFonts w:eastAsia="Calibri"/>
          <w:szCs w:val="22"/>
          <w:lang w:val="sr-Latn-RS"/>
        </w:rPr>
      </w:pPr>
      <w:r w:rsidRPr="00B22D20">
        <w:rPr>
          <w:rFonts w:eastAsia="Calibri"/>
          <w:szCs w:val="22"/>
          <w:lang w:val="sr-Latn-RS"/>
        </w:rPr>
        <w:lastRenderedPageBreak/>
        <w:t xml:space="preserve">Prijavljivanje neželjenih dejstava nakon dobijanja dozvole je od velikog značaja jer obezbjeđuje kontinuirano praćenje odnosa korist/rizik primjene lijeka. Zdravstveni radnici treba da prijave svaku sumnju na neželjeno dejstvo ovog lijeka </w:t>
      </w:r>
      <w:r w:rsidR="008752E1" w:rsidRPr="00B22D20">
        <w:rPr>
          <w:rFonts w:eastAsia="Calibri"/>
          <w:szCs w:val="22"/>
          <w:lang w:val="sr-Latn-RS"/>
        </w:rPr>
        <w:t xml:space="preserve">Institutu </w:t>
      </w:r>
      <w:r w:rsidRPr="00B22D20">
        <w:rPr>
          <w:rFonts w:eastAsia="Calibri"/>
          <w:szCs w:val="22"/>
          <w:lang w:val="sr-Latn-RS"/>
        </w:rPr>
        <w:t>za ljekove i medicinska sredstva Crne Gore (C</w:t>
      </w:r>
      <w:r w:rsidR="008752E1" w:rsidRPr="00B22D20">
        <w:rPr>
          <w:rFonts w:eastAsia="Calibri"/>
          <w:szCs w:val="22"/>
          <w:lang w:val="sr-Latn-RS"/>
        </w:rPr>
        <w:t>InMED</w:t>
      </w:r>
      <w:r w:rsidRPr="00B22D20">
        <w:rPr>
          <w:rFonts w:eastAsia="Calibri"/>
          <w:szCs w:val="22"/>
          <w:lang w:val="sr-Latn-RS"/>
        </w:rPr>
        <w:t>):</w:t>
      </w:r>
    </w:p>
    <w:p w14:paraId="6783CB0E" w14:textId="16B7ED30" w:rsidR="00AC562A" w:rsidRPr="00B22D20" w:rsidRDefault="008752E1">
      <w:pPr>
        <w:pStyle w:val="NoSpacing"/>
        <w:jc w:val="both"/>
        <w:rPr>
          <w:rFonts w:ascii="Times New Roman" w:eastAsia="Calibri" w:hAnsi="Times New Roman" w:cs="Times New Roman"/>
          <w:lang w:val="sr-Latn-RS"/>
        </w:rPr>
      </w:pPr>
      <w:r w:rsidRPr="00B22D20">
        <w:rPr>
          <w:rFonts w:ascii="Times New Roman" w:eastAsia="Calibri" w:hAnsi="Times New Roman" w:cs="Times New Roman"/>
          <w:lang w:val="sr-Latn-RS"/>
        </w:rPr>
        <w:t>Institut</w:t>
      </w:r>
      <w:r w:rsidR="00AC562A" w:rsidRPr="00B22D20">
        <w:rPr>
          <w:rFonts w:ascii="Times New Roman" w:eastAsia="Calibri" w:hAnsi="Times New Roman" w:cs="Times New Roman"/>
          <w:lang w:val="sr-Latn-RS"/>
        </w:rPr>
        <w:t xml:space="preserve"> za ljekove i medicinska sredstva Crne Gore</w:t>
      </w:r>
    </w:p>
    <w:p w14:paraId="4611BF43" w14:textId="77777777" w:rsidR="00AC562A" w:rsidRPr="00B22D20" w:rsidRDefault="00AC562A">
      <w:pPr>
        <w:pStyle w:val="NoSpacing"/>
        <w:jc w:val="both"/>
        <w:rPr>
          <w:rFonts w:ascii="Times New Roman" w:eastAsia="Calibri" w:hAnsi="Times New Roman" w:cs="Times New Roman"/>
          <w:lang w:val="sr-Latn-RS"/>
        </w:rPr>
      </w:pPr>
      <w:r w:rsidRPr="00B22D20">
        <w:rPr>
          <w:rFonts w:ascii="Times New Roman" w:eastAsia="Calibri" w:hAnsi="Times New Roman" w:cs="Times New Roman"/>
          <w:lang w:val="sr-Latn-RS"/>
        </w:rPr>
        <w:t>Odjeljenje za farmakovigilancu</w:t>
      </w:r>
    </w:p>
    <w:p w14:paraId="31E34BC0" w14:textId="77777777" w:rsidR="00AC562A" w:rsidRPr="00B22D20" w:rsidRDefault="00AC562A">
      <w:pPr>
        <w:pStyle w:val="NoSpacing"/>
        <w:jc w:val="both"/>
        <w:rPr>
          <w:rFonts w:ascii="Times New Roman" w:eastAsia="Calibri" w:hAnsi="Times New Roman" w:cs="Times New Roman"/>
          <w:lang w:val="sr-Latn-RS"/>
        </w:rPr>
      </w:pPr>
      <w:r w:rsidRPr="00B22D20">
        <w:rPr>
          <w:rFonts w:ascii="Times New Roman" w:eastAsia="Calibri" w:hAnsi="Times New Roman" w:cs="Times New Roman"/>
          <w:lang w:val="sr-Latn-RS"/>
        </w:rPr>
        <w:t>Bulevar Ivana Crnojevića 64a, 81000 Podgorica</w:t>
      </w:r>
    </w:p>
    <w:p w14:paraId="77DDD97E" w14:textId="77777777" w:rsidR="00AC562A" w:rsidRPr="00B22D20" w:rsidRDefault="00AC562A">
      <w:pPr>
        <w:pStyle w:val="NoSpacing"/>
        <w:jc w:val="both"/>
        <w:rPr>
          <w:rFonts w:ascii="Times New Roman" w:eastAsia="Calibri" w:hAnsi="Times New Roman" w:cs="Times New Roman"/>
          <w:lang w:val="sr-Latn-RS"/>
        </w:rPr>
      </w:pPr>
    </w:p>
    <w:p w14:paraId="0FCF2F01" w14:textId="6DE0B4EB" w:rsidR="00A36014" w:rsidRPr="00B22D20" w:rsidRDefault="00AC562A">
      <w:pPr>
        <w:pStyle w:val="NoSpacing"/>
        <w:jc w:val="both"/>
        <w:rPr>
          <w:rFonts w:ascii="Times New Roman" w:eastAsia="Calibri" w:hAnsi="Times New Roman" w:cs="Times New Roman"/>
          <w:lang w:val="sr-Latn-RS"/>
        </w:rPr>
      </w:pPr>
      <w:r w:rsidRPr="00B22D20">
        <w:rPr>
          <w:rFonts w:ascii="Times New Roman" w:eastAsia="Calibri" w:hAnsi="Times New Roman" w:cs="Times New Roman"/>
          <w:lang w:val="sr-Latn-RS"/>
        </w:rPr>
        <w:t>tel: +382 (0) 20 310 280</w:t>
      </w:r>
    </w:p>
    <w:p w14:paraId="7B52AC04" w14:textId="77777777" w:rsidR="00AC562A" w:rsidRPr="00B22D20" w:rsidRDefault="00AC562A">
      <w:pPr>
        <w:pStyle w:val="NoSpacing"/>
        <w:jc w:val="both"/>
        <w:rPr>
          <w:rFonts w:ascii="Times New Roman" w:eastAsia="Calibri" w:hAnsi="Times New Roman" w:cs="Times New Roman"/>
          <w:lang w:val="sr-Latn-RS"/>
        </w:rPr>
      </w:pPr>
      <w:r w:rsidRPr="00B22D20">
        <w:rPr>
          <w:rFonts w:ascii="Times New Roman" w:eastAsia="Calibri" w:hAnsi="Times New Roman" w:cs="Times New Roman"/>
          <w:lang w:val="sr-Latn-RS"/>
        </w:rPr>
        <w:t>fax: +382 (0) 20 310 581</w:t>
      </w:r>
    </w:p>
    <w:p w14:paraId="2D9DFE81" w14:textId="3BB8BAF4" w:rsidR="00AC562A" w:rsidRPr="00B22D20" w:rsidRDefault="0040621A">
      <w:pPr>
        <w:pStyle w:val="NoSpacing"/>
        <w:jc w:val="both"/>
        <w:rPr>
          <w:rFonts w:ascii="Times New Roman" w:eastAsia="Calibri" w:hAnsi="Times New Roman" w:cs="Times New Roman"/>
          <w:lang w:val="sr-Latn-RS"/>
        </w:rPr>
      </w:pPr>
      <w:hyperlink r:id="rId8" w:history="1">
        <w:r w:rsidR="00A36014" w:rsidRPr="00B22D20">
          <w:rPr>
            <w:rStyle w:val="Hyperlink"/>
            <w:rFonts w:ascii="Times New Roman" w:eastAsia="Calibri" w:hAnsi="Times New Roman" w:cs="Times New Roman"/>
            <w:lang w:val="sr-Latn-RS"/>
          </w:rPr>
          <w:t>www.cinmed.me</w:t>
        </w:r>
      </w:hyperlink>
    </w:p>
    <w:p w14:paraId="213967D1" w14:textId="0201D88C" w:rsidR="00AC562A" w:rsidRPr="00B22D20" w:rsidRDefault="0040621A">
      <w:pPr>
        <w:pStyle w:val="NoSpacing"/>
        <w:jc w:val="both"/>
        <w:rPr>
          <w:rFonts w:ascii="Times New Roman" w:eastAsia="Calibri" w:hAnsi="Times New Roman" w:cs="Times New Roman"/>
          <w:color w:val="0000FF"/>
          <w:u w:val="single"/>
          <w:lang w:val="sr-Latn-RS"/>
        </w:rPr>
      </w:pPr>
      <w:hyperlink r:id="rId9" w:history="1">
        <w:r w:rsidR="00A36014" w:rsidRPr="00B22D20">
          <w:rPr>
            <w:rStyle w:val="Hyperlink"/>
            <w:rFonts w:ascii="Times New Roman" w:eastAsia="Calibri" w:hAnsi="Times New Roman" w:cs="Times New Roman"/>
            <w:lang w:val="sr-Latn-RS"/>
          </w:rPr>
          <w:t>nezeljenadejstva@cinmed.me</w:t>
        </w:r>
      </w:hyperlink>
    </w:p>
    <w:p w14:paraId="3250854F" w14:textId="6451FD2E" w:rsidR="00AC562A" w:rsidRPr="00B22D20" w:rsidRDefault="00AC562A">
      <w:pPr>
        <w:pStyle w:val="NoSpacing"/>
        <w:jc w:val="both"/>
        <w:rPr>
          <w:rFonts w:ascii="Times New Roman" w:eastAsia="Calibri" w:hAnsi="Times New Roman" w:cs="Times New Roman"/>
          <w:lang w:val="sr-Latn-RS"/>
        </w:rPr>
      </w:pPr>
      <w:r w:rsidRPr="00B22D20">
        <w:rPr>
          <w:rFonts w:ascii="Times New Roman" w:eastAsia="Calibri" w:hAnsi="Times New Roman" w:cs="Times New Roman"/>
          <w:lang w:val="sr-Latn-RS"/>
        </w:rPr>
        <w:t>putem IS zdravstvene zaštite</w:t>
      </w:r>
    </w:p>
    <w:p w14:paraId="62E51154" w14:textId="77777777" w:rsidR="001B4E43" w:rsidRPr="00B22D20" w:rsidRDefault="001B4E43" w:rsidP="00B22D20">
      <w:pPr>
        <w:pStyle w:val="NoSpacing"/>
        <w:jc w:val="both"/>
        <w:rPr>
          <w:rFonts w:ascii="Times New Roman" w:hAnsi="Times New Roman" w:cs="Times New Roman"/>
          <w:lang w:val="sr-Latn-RS"/>
        </w:rPr>
      </w:pPr>
      <w:r w:rsidRPr="00B22D20">
        <w:rPr>
          <w:rFonts w:ascii="Times New Roman" w:hAnsi="Times New Roman" w:cs="Times New Roman"/>
          <w:lang w:val="sr-Latn-RS"/>
        </w:rPr>
        <w:t>QR kod za online prijavu sumnje na neželjeno dejstvo lijeka:</w:t>
      </w:r>
    </w:p>
    <w:p w14:paraId="386AB556" w14:textId="40239292" w:rsidR="001B4E43" w:rsidRPr="00B22D20" w:rsidRDefault="001B4E43" w:rsidP="00C25676">
      <w:pPr>
        <w:pStyle w:val="NoSpacing"/>
        <w:jc w:val="both"/>
        <w:rPr>
          <w:rFonts w:ascii="Times New Roman" w:eastAsia="Calibri" w:hAnsi="Times New Roman" w:cs="Times New Roman"/>
          <w:lang w:val="sr-Latn-RS"/>
        </w:rPr>
      </w:pPr>
    </w:p>
    <w:p w14:paraId="2FBAC0E9" w14:textId="56615BBB" w:rsidR="001B4E43" w:rsidRPr="00B22D20" w:rsidRDefault="001B4E43" w:rsidP="00C25676">
      <w:pPr>
        <w:pStyle w:val="NoSpacing"/>
        <w:jc w:val="both"/>
        <w:rPr>
          <w:rFonts w:ascii="Times New Roman" w:eastAsia="Calibri" w:hAnsi="Times New Roman" w:cs="Times New Roman"/>
          <w:lang w:val="sr-Latn-RS"/>
        </w:rPr>
      </w:pPr>
      <w:r w:rsidRPr="00B22D20">
        <w:rPr>
          <w:rFonts w:ascii="Times New Roman" w:hAnsi="Times New Roman" w:cs="Times New Roman"/>
          <w:noProof/>
          <w:lang w:val="sr-Latn-ME" w:eastAsia="sr-Latn-ME"/>
        </w:rPr>
        <w:drawing>
          <wp:inline distT="0" distB="0" distL="0" distR="0" wp14:anchorId="7008F66A" wp14:editId="22E2266A">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8D78114" w14:textId="77777777" w:rsidR="00DE02E0" w:rsidRPr="00B22D20" w:rsidRDefault="00DE02E0">
      <w:pPr>
        <w:pStyle w:val="Header"/>
        <w:tabs>
          <w:tab w:val="clear" w:pos="4536"/>
          <w:tab w:val="clear" w:pos="9072"/>
        </w:tabs>
        <w:rPr>
          <w:b/>
          <w:bCs/>
          <w:szCs w:val="22"/>
        </w:rPr>
      </w:pPr>
    </w:p>
    <w:p w14:paraId="1E7F986F" w14:textId="77777777" w:rsidR="00F3137E" w:rsidRPr="00B22D20" w:rsidRDefault="00F3137E">
      <w:pPr>
        <w:pStyle w:val="Header"/>
        <w:tabs>
          <w:tab w:val="clear" w:pos="4536"/>
          <w:tab w:val="clear" w:pos="9072"/>
        </w:tabs>
        <w:rPr>
          <w:b/>
          <w:bCs/>
          <w:szCs w:val="22"/>
        </w:rPr>
      </w:pPr>
      <w:r w:rsidRPr="00B22D20">
        <w:rPr>
          <w:b/>
          <w:bCs/>
          <w:szCs w:val="22"/>
        </w:rPr>
        <w:t>4.9. Predoziranje</w:t>
      </w:r>
    </w:p>
    <w:p w14:paraId="2007AEB2" w14:textId="239E98E4" w:rsidR="00F3137E" w:rsidRPr="00B22D20" w:rsidRDefault="00F3137E">
      <w:pPr>
        <w:spacing w:before="120"/>
        <w:rPr>
          <w:szCs w:val="22"/>
          <w:lang w:val="sr-Latn-CS"/>
        </w:rPr>
      </w:pPr>
      <w:r w:rsidRPr="00B22D20">
        <w:rPr>
          <w:szCs w:val="22"/>
          <w:lang w:val="sr-Latn-CS"/>
        </w:rPr>
        <w:t>Predoziranje klopidogrelom može dovesti do produžavanja vremena krvarenja i posl</w:t>
      </w:r>
      <w:r w:rsidR="009F19EE" w:rsidRPr="00B22D20">
        <w:rPr>
          <w:szCs w:val="22"/>
          <w:lang w:val="sr-Latn-CS"/>
        </w:rPr>
        <w:t>j</w:t>
      </w:r>
      <w:r w:rsidRPr="00B22D20">
        <w:rPr>
          <w:szCs w:val="22"/>
          <w:lang w:val="sr-Latn-CS"/>
        </w:rPr>
        <w:t>edičnih komplikacija krvarenja. U slučaju krvarenja, sav</w:t>
      </w:r>
      <w:r w:rsidR="009F19EE" w:rsidRPr="00B22D20">
        <w:rPr>
          <w:szCs w:val="22"/>
          <w:lang w:val="sr-Latn-CS"/>
        </w:rPr>
        <w:t>j</w:t>
      </w:r>
      <w:r w:rsidRPr="00B22D20">
        <w:rPr>
          <w:szCs w:val="22"/>
          <w:lang w:val="sr-Latn-CS"/>
        </w:rPr>
        <w:t>etuje se uvođenje odgovarajuće terapije.</w:t>
      </w:r>
    </w:p>
    <w:p w14:paraId="61C5AA5E" w14:textId="77777777" w:rsidR="00F3137E" w:rsidRPr="00B22D20" w:rsidRDefault="00F3137E">
      <w:pPr>
        <w:tabs>
          <w:tab w:val="clear" w:pos="284"/>
        </w:tabs>
        <w:rPr>
          <w:szCs w:val="22"/>
          <w:lang w:val="sr-Latn-CS"/>
        </w:rPr>
      </w:pPr>
      <w:r w:rsidRPr="00B22D20">
        <w:rPr>
          <w:szCs w:val="22"/>
          <w:lang w:val="sr-Latn-CS"/>
        </w:rPr>
        <w:t xml:space="preserve">Za farmakološko dejstvo klopidogrela antidot nije poznat. </w:t>
      </w:r>
      <w:r w:rsidRPr="00B22D20">
        <w:rPr>
          <w:rFonts w:eastAsia="TimesNewRoman"/>
          <w:szCs w:val="22"/>
        </w:rPr>
        <w:t>Ako</w:t>
      </w:r>
      <w:r w:rsidRPr="00B22D20">
        <w:rPr>
          <w:rFonts w:eastAsia="TimesNewRoman"/>
          <w:szCs w:val="22"/>
          <w:lang w:val="sr-Latn-CS"/>
        </w:rPr>
        <w:t xml:space="preserve"> </w:t>
      </w:r>
      <w:r w:rsidRPr="00B22D20">
        <w:rPr>
          <w:rFonts w:eastAsia="TimesNewRoman"/>
          <w:szCs w:val="22"/>
        </w:rPr>
        <w:t>je</w:t>
      </w:r>
      <w:r w:rsidRPr="00B22D20">
        <w:rPr>
          <w:rFonts w:eastAsia="TimesNewRoman"/>
          <w:szCs w:val="22"/>
          <w:lang w:val="sr-Latn-CS"/>
        </w:rPr>
        <w:t xml:space="preserve"> </w:t>
      </w:r>
      <w:r w:rsidRPr="00B22D20">
        <w:rPr>
          <w:rFonts w:eastAsia="TimesNewRoman"/>
          <w:szCs w:val="22"/>
        </w:rPr>
        <w:t>potrebna</w:t>
      </w:r>
      <w:r w:rsidRPr="00B22D20">
        <w:rPr>
          <w:rFonts w:eastAsia="TimesNewRoman"/>
          <w:szCs w:val="22"/>
          <w:lang w:val="sr-Latn-CS"/>
        </w:rPr>
        <w:t xml:space="preserve"> </w:t>
      </w:r>
      <w:r w:rsidRPr="00B22D20">
        <w:rPr>
          <w:rFonts w:eastAsia="TimesNewRoman"/>
          <w:szCs w:val="22"/>
        </w:rPr>
        <w:t>hitna</w:t>
      </w:r>
      <w:r w:rsidRPr="00B22D20">
        <w:rPr>
          <w:rFonts w:eastAsia="TimesNewRoman"/>
          <w:szCs w:val="22"/>
          <w:lang w:val="sr-Latn-CS"/>
        </w:rPr>
        <w:t xml:space="preserve"> </w:t>
      </w:r>
      <w:r w:rsidRPr="00B22D20">
        <w:rPr>
          <w:rFonts w:eastAsia="TimesNewRoman"/>
          <w:szCs w:val="22"/>
        </w:rPr>
        <w:t>korekcija</w:t>
      </w:r>
      <w:r w:rsidRPr="00B22D20">
        <w:rPr>
          <w:rFonts w:eastAsia="TimesNewRoman"/>
          <w:szCs w:val="22"/>
          <w:lang w:val="sr-Latn-CS"/>
        </w:rPr>
        <w:t xml:space="preserve"> </w:t>
      </w:r>
      <w:r w:rsidRPr="00B22D20">
        <w:rPr>
          <w:rFonts w:eastAsia="TimesNewRoman"/>
          <w:szCs w:val="22"/>
        </w:rPr>
        <w:t>produ</w:t>
      </w:r>
      <w:r w:rsidRPr="00B22D20">
        <w:rPr>
          <w:rFonts w:eastAsia="TimesNewRoman"/>
          <w:szCs w:val="22"/>
          <w:lang w:val="sr-Latn-CS"/>
        </w:rPr>
        <w:t>ž</w:t>
      </w:r>
      <w:r w:rsidRPr="00B22D20">
        <w:rPr>
          <w:rFonts w:eastAsia="TimesNewRoman"/>
          <w:szCs w:val="22"/>
        </w:rPr>
        <w:t>enog</w:t>
      </w:r>
      <w:r w:rsidRPr="00B22D20">
        <w:rPr>
          <w:rFonts w:eastAsia="TimesNewRoman"/>
          <w:szCs w:val="22"/>
          <w:lang w:val="sr-Latn-CS"/>
        </w:rPr>
        <w:t xml:space="preserve"> </w:t>
      </w:r>
      <w:r w:rsidRPr="00B22D20">
        <w:rPr>
          <w:rFonts w:eastAsia="TimesNewRoman"/>
          <w:szCs w:val="22"/>
        </w:rPr>
        <w:t>vremena</w:t>
      </w:r>
      <w:r w:rsidRPr="00B22D20">
        <w:rPr>
          <w:rFonts w:eastAsia="TimesNewRoman"/>
          <w:szCs w:val="22"/>
          <w:lang w:val="sr-Latn-CS"/>
        </w:rPr>
        <w:t xml:space="preserve"> </w:t>
      </w:r>
      <w:r w:rsidRPr="00B22D20">
        <w:rPr>
          <w:rFonts w:eastAsia="TimesNewRoman"/>
          <w:szCs w:val="22"/>
        </w:rPr>
        <w:t>krvarenja</w:t>
      </w:r>
      <w:r w:rsidRPr="00B22D20">
        <w:rPr>
          <w:szCs w:val="22"/>
          <w:lang w:val="sr-Latn-CS"/>
        </w:rPr>
        <w:t xml:space="preserve">, transfuzija trombocita može da otkloni efekte klopidogrela. </w:t>
      </w:r>
    </w:p>
    <w:p w14:paraId="7725D1D4" w14:textId="77777777" w:rsidR="00AD0415" w:rsidRPr="00B22D20" w:rsidRDefault="00AD0415">
      <w:pPr>
        <w:tabs>
          <w:tab w:val="clear" w:pos="284"/>
        </w:tabs>
        <w:spacing w:before="120"/>
        <w:rPr>
          <w:szCs w:val="22"/>
          <w:lang w:val="sr-Latn-CS"/>
        </w:rPr>
      </w:pPr>
    </w:p>
    <w:p w14:paraId="00EFB19F" w14:textId="77777777" w:rsidR="00F3137E" w:rsidRPr="00B22D20" w:rsidRDefault="00F3137E">
      <w:pPr>
        <w:pStyle w:val="Header"/>
        <w:tabs>
          <w:tab w:val="clear" w:pos="4536"/>
          <w:tab w:val="clear" w:pos="9072"/>
        </w:tabs>
        <w:rPr>
          <w:b/>
          <w:bCs/>
          <w:szCs w:val="22"/>
        </w:rPr>
      </w:pPr>
      <w:r w:rsidRPr="00B22D20">
        <w:rPr>
          <w:b/>
          <w:bCs/>
          <w:szCs w:val="22"/>
        </w:rPr>
        <w:t>5. FARMAKOLOŠKI PODACI</w:t>
      </w:r>
    </w:p>
    <w:p w14:paraId="067DE121" w14:textId="77777777" w:rsidR="00AD0415" w:rsidRPr="00B22D20" w:rsidRDefault="00AD0415">
      <w:pPr>
        <w:pStyle w:val="Header"/>
        <w:tabs>
          <w:tab w:val="clear" w:pos="4536"/>
          <w:tab w:val="clear" w:pos="9072"/>
        </w:tabs>
        <w:rPr>
          <w:b/>
          <w:bCs/>
          <w:szCs w:val="22"/>
        </w:rPr>
      </w:pPr>
    </w:p>
    <w:p w14:paraId="26326397" w14:textId="77777777" w:rsidR="00F3137E" w:rsidRPr="00B22D20" w:rsidRDefault="00F3137E">
      <w:pPr>
        <w:pStyle w:val="Header"/>
        <w:tabs>
          <w:tab w:val="clear" w:pos="4536"/>
          <w:tab w:val="clear" w:pos="9072"/>
        </w:tabs>
        <w:rPr>
          <w:b/>
          <w:bCs/>
          <w:szCs w:val="22"/>
        </w:rPr>
      </w:pPr>
      <w:r w:rsidRPr="00B22D20">
        <w:rPr>
          <w:b/>
          <w:bCs/>
          <w:szCs w:val="22"/>
        </w:rPr>
        <w:t>5.1. Farmakodinamski podaci</w:t>
      </w:r>
    </w:p>
    <w:p w14:paraId="76236A75" w14:textId="77777777" w:rsidR="00F3137E" w:rsidRPr="00B22D20" w:rsidRDefault="00F3137E">
      <w:pPr>
        <w:tabs>
          <w:tab w:val="clear" w:pos="284"/>
          <w:tab w:val="left" w:pos="2808"/>
        </w:tabs>
        <w:spacing w:before="120"/>
        <w:rPr>
          <w:szCs w:val="22"/>
          <w:lang w:val="sr-Latn-CS"/>
        </w:rPr>
      </w:pPr>
      <w:r w:rsidRPr="00B22D20">
        <w:rPr>
          <w:b/>
          <w:bCs/>
          <w:szCs w:val="22"/>
        </w:rPr>
        <w:t>Farmakoterapijska grupa:</w:t>
      </w:r>
      <w:r w:rsidR="002E5445" w:rsidRPr="00B22D20">
        <w:rPr>
          <w:b/>
          <w:bCs/>
          <w:szCs w:val="22"/>
        </w:rPr>
        <w:t xml:space="preserve"> </w:t>
      </w:r>
      <w:r w:rsidRPr="00B22D20">
        <w:rPr>
          <w:szCs w:val="22"/>
        </w:rPr>
        <w:t>Antitrombotička sredstva (antikoagulansi); Inhibitori agregacije trombocita, isključujući heparin</w:t>
      </w:r>
    </w:p>
    <w:p w14:paraId="47B7F9CF" w14:textId="6089831C" w:rsidR="00F3137E" w:rsidRPr="00B22D20" w:rsidRDefault="00F3137E">
      <w:pPr>
        <w:pStyle w:val="Header"/>
        <w:tabs>
          <w:tab w:val="clear" w:pos="4536"/>
          <w:tab w:val="clear" w:pos="9072"/>
          <w:tab w:val="left" w:pos="1188"/>
        </w:tabs>
        <w:spacing w:before="120"/>
        <w:rPr>
          <w:szCs w:val="22"/>
        </w:rPr>
      </w:pPr>
      <w:r w:rsidRPr="00B22D20">
        <w:rPr>
          <w:b/>
          <w:bCs/>
          <w:szCs w:val="22"/>
        </w:rPr>
        <w:t xml:space="preserve">ATC </w:t>
      </w:r>
      <w:r w:rsidR="00AC562A" w:rsidRPr="00B22D20">
        <w:rPr>
          <w:b/>
          <w:bCs/>
          <w:szCs w:val="22"/>
        </w:rPr>
        <w:t>kod</w:t>
      </w:r>
      <w:r w:rsidRPr="00B22D20">
        <w:rPr>
          <w:b/>
          <w:bCs/>
          <w:szCs w:val="22"/>
        </w:rPr>
        <w:t>:</w:t>
      </w:r>
      <w:r w:rsidR="00A41896" w:rsidRPr="00B22D20">
        <w:rPr>
          <w:b/>
          <w:bCs/>
          <w:szCs w:val="22"/>
        </w:rPr>
        <w:t xml:space="preserve"> </w:t>
      </w:r>
      <w:r w:rsidRPr="00B22D20">
        <w:rPr>
          <w:szCs w:val="22"/>
          <w:lang w:val="sr-Latn-CS"/>
        </w:rPr>
        <w:t>B01AC04</w:t>
      </w:r>
    </w:p>
    <w:p w14:paraId="77F760A0" w14:textId="77777777" w:rsidR="00F3137E" w:rsidRPr="00B22D20" w:rsidRDefault="00F3137E">
      <w:pPr>
        <w:spacing w:before="120"/>
        <w:rPr>
          <w:szCs w:val="22"/>
          <w:u w:val="single"/>
          <w:lang w:val="sr-Latn-CS"/>
        </w:rPr>
      </w:pPr>
      <w:r w:rsidRPr="00B22D20">
        <w:rPr>
          <w:szCs w:val="22"/>
          <w:u w:val="single"/>
          <w:lang w:val="sr-Latn-CS"/>
        </w:rPr>
        <w:t>Mehanizam dejstva</w:t>
      </w:r>
    </w:p>
    <w:p w14:paraId="2B9BD4F4" w14:textId="22F4410A" w:rsidR="00D64EE6" w:rsidRPr="00B22D20" w:rsidRDefault="00F3137E">
      <w:pPr>
        <w:spacing w:before="120"/>
        <w:rPr>
          <w:szCs w:val="22"/>
          <w:lang w:val="sr-Latn-CS"/>
        </w:rPr>
      </w:pPr>
      <w:r w:rsidRPr="00B22D20">
        <w:rPr>
          <w:szCs w:val="22"/>
          <w:lang w:val="sr-Latn-CS"/>
        </w:rPr>
        <w:t>Klopidogrel je pro</w:t>
      </w:r>
      <w:r w:rsidR="00AC562A" w:rsidRPr="00B22D20">
        <w:rPr>
          <w:szCs w:val="22"/>
          <w:lang w:val="sr-Latn-CS"/>
        </w:rPr>
        <w:t>lijek</w:t>
      </w:r>
      <w:r w:rsidRPr="00B22D20">
        <w:rPr>
          <w:szCs w:val="22"/>
          <w:lang w:val="sr-Latn-CS"/>
        </w:rPr>
        <w:t>, čiji je jedan od metabolita inhibitor agregacije trombocita. Da bi prešao u aktivni metabolit koji inhibira agregaciju trombocita, klopidogrel se metaboliše putem CYP450 enzima. Aktivni metabolit klopidogrela se</w:t>
      </w:r>
      <w:r w:rsidR="00AC562A" w:rsidRPr="00B22D20">
        <w:rPr>
          <w:szCs w:val="22"/>
          <w:lang w:val="sr-Latn-CS"/>
        </w:rPr>
        <w:t>lek</w:t>
      </w:r>
      <w:r w:rsidRPr="00B22D20">
        <w:rPr>
          <w:szCs w:val="22"/>
          <w:lang w:val="sr-Latn-CS"/>
        </w:rPr>
        <w:t>tivno inhibira vezivanje adenozin-difosfata (ADP) za njegove P2Y</w:t>
      </w:r>
      <w:r w:rsidRPr="00B22D20">
        <w:rPr>
          <w:szCs w:val="22"/>
          <w:vertAlign w:val="subscript"/>
          <w:lang w:val="sr-Latn-CS"/>
        </w:rPr>
        <w:t xml:space="preserve">12 </w:t>
      </w:r>
      <w:r w:rsidRPr="00B22D20">
        <w:rPr>
          <w:szCs w:val="22"/>
          <w:lang w:val="sr-Latn-CS"/>
        </w:rPr>
        <w:t xml:space="preserve">receptore na trombocititma i na taj način, </w:t>
      </w:r>
      <w:r w:rsidR="00EA5383" w:rsidRPr="00B22D20">
        <w:rPr>
          <w:szCs w:val="22"/>
          <w:lang w:val="sr-Latn-CS"/>
        </w:rPr>
        <w:t>inhibicijom</w:t>
      </w:r>
      <w:r w:rsidRPr="00B22D20">
        <w:rPr>
          <w:szCs w:val="22"/>
          <w:lang w:val="sr-Latn-CS"/>
        </w:rPr>
        <w:t xml:space="preserve"> ADP-posredovane aktivacije glikoproteina IIb/IIIa komp</w:t>
      </w:r>
      <w:r w:rsidR="0025035A" w:rsidRPr="00B22D20">
        <w:rPr>
          <w:szCs w:val="22"/>
          <w:lang w:val="sr-Latn-CS"/>
        </w:rPr>
        <w:t>l</w:t>
      </w:r>
      <w:r w:rsidR="00AC562A" w:rsidRPr="00B22D20">
        <w:rPr>
          <w:szCs w:val="22"/>
          <w:lang w:val="sr-Latn-CS"/>
        </w:rPr>
        <w:t>ek</w:t>
      </w:r>
      <w:r w:rsidRPr="00B22D20">
        <w:rPr>
          <w:szCs w:val="22"/>
          <w:lang w:val="sr-Latn-CS"/>
        </w:rPr>
        <w:t xml:space="preserve">sa, inhibira </w:t>
      </w:r>
      <w:r w:rsidR="00EA5383" w:rsidRPr="00B22D20">
        <w:rPr>
          <w:szCs w:val="22"/>
          <w:lang w:val="sr-Latn-CS"/>
        </w:rPr>
        <w:t xml:space="preserve">i </w:t>
      </w:r>
      <w:r w:rsidRPr="00B22D20">
        <w:rPr>
          <w:szCs w:val="22"/>
          <w:lang w:val="sr-Latn-CS"/>
        </w:rPr>
        <w:t xml:space="preserve">agregaciju trombocita. </w:t>
      </w:r>
      <w:r w:rsidR="00F9072F" w:rsidRPr="00B22D20">
        <w:rPr>
          <w:szCs w:val="22"/>
          <w:lang w:val="sr-Latn-CS"/>
        </w:rPr>
        <w:t xml:space="preserve">Zbog </w:t>
      </w:r>
      <w:r w:rsidRPr="00B22D20">
        <w:rPr>
          <w:szCs w:val="22"/>
          <w:lang w:val="sr-Latn-CS"/>
        </w:rPr>
        <w:t xml:space="preserve">ireverzibilnog vezivanja, </w:t>
      </w:r>
      <w:r w:rsidRPr="00B22D20">
        <w:rPr>
          <w:szCs w:val="22"/>
        </w:rPr>
        <w:t>na</w:t>
      </w:r>
      <w:r w:rsidRPr="00B22D20">
        <w:rPr>
          <w:szCs w:val="22"/>
          <w:lang w:val="sr-Latn-CS"/>
        </w:rPr>
        <w:t xml:space="preserve"> </w:t>
      </w:r>
      <w:r w:rsidRPr="00B22D20">
        <w:rPr>
          <w:szCs w:val="22"/>
        </w:rPr>
        <w:t>zahva</w:t>
      </w:r>
      <w:r w:rsidRPr="00B22D20">
        <w:rPr>
          <w:szCs w:val="22"/>
          <w:lang w:val="sr-Latn-CS"/>
        </w:rPr>
        <w:t>ć</w:t>
      </w:r>
      <w:r w:rsidRPr="00B22D20">
        <w:rPr>
          <w:szCs w:val="22"/>
        </w:rPr>
        <w:t>ene</w:t>
      </w:r>
      <w:r w:rsidRPr="00B22D20">
        <w:rPr>
          <w:szCs w:val="22"/>
          <w:lang w:val="sr-Latn-CS"/>
        </w:rPr>
        <w:t xml:space="preserve"> </w:t>
      </w:r>
      <w:r w:rsidRPr="00B22D20">
        <w:rPr>
          <w:szCs w:val="22"/>
        </w:rPr>
        <w:t>trombocite</w:t>
      </w:r>
      <w:r w:rsidRPr="00B22D20">
        <w:rPr>
          <w:szCs w:val="22"/>
          <w:lang w:val="sr-Latn-CS"/>
        </w:rPr>
        <w:t xml:space="preserve"> </w:t>
      </w:r>
      <w:r w:rsidRPr="00B22D20">
        <w:rPr>
          <w:szCs w:val="22"/>
        </w:rPr>
        <w:t>uticaj</w:t>
      </w:r>
      <w:r w:rsidRPr="00B22D20">
        <w:rPr>
          <w:szCs w:val="22"/>
          <w:lang w:val="sr-Latn-CS"/>
        </w:rPr>
        <w:t xml:space="preserve"> </w:t>
      </w:r>
      <w:r w:rsidRPr="00B22D20">
        <w:rPr>
          <w:szCs w:val="22"/>
        </w:rPr>
        <w:t>inhibicije</w:t>
      </w:r>
      <w:r w:rsidRPr="00B22D20">
        <w:rPr>
          <w:szCs w:val="22"/>
          <w:lang w:val="sr-Latn-CS"/>
        </w:rPr>
        <w:t xml:space="preserve"> </w:t>
      </w:r>
      <w:r w:rsidRPr="00B22D20">
        <w:rPr>
          <w:szCs w:val="22"/>
        </w:rPr>
        <w:t>traje</w:t>
      </w:r>
      <w:r w:rsidRPr="00B22D20">
        <w:rPr>
          <w:szCs w:val="22"/>
          <w:lang w:val="sr-Latn-CS"/>
        </w:rPr>
        <w:t xml:space="preserve"> č</w:t>
      </w:r>
      <w:r w:rsidRPr="00B22D20">
        <w:rPr>
          <w:szCs w:val="22"/>
        </w:rPr>
        <w:t>itavo</w:t>
      </w:r>
      <w:r w:rsidRPr="00B22D20">
        <w:rPr>
          <w:szCs w:val="22"/>
          <w:lang w:val="sr-Latn-CS"/>
        </w:rPr>
        <w:t xml:space="preserve"> </w:t>
      </w:r>
      <w:r w:rsidRPr="00B22D20">
        <w:rPr>
          <w:szCs w:val="22"/>
        </w:rPr>
        <w:t>vr</w:t>
      </w:r>
      <w:r w:rsidR="009F19EE" w:rsidRPr="00B22D20">
        <w:rPr>
          <w:szCs w:val="22"/>
        </w:rPr>
        <w:t>ij</w:t>
      </w:r>
      <w:r w:rsidRPr="00B22D20">
        <w:rPr>
          <w:szCs w:val="22"/>
        </w:rPr>
        <w:t>eme</w:t>
      </w:r>
      <w:r w:rsidRPr="00B22D20">
        <w:rPr>
          <w:szCs w:val="22"/>
          <w:lang w:val="sr-Latn-CS"/>
        </w:rPr>
        <w:t xml:space="preserve"> </w:t>
      </w:r>
      <w:r w:rsidRPr="00B22D20">
        <w:rPr>
          <w:szCs w:val="22"/>
        </w:rPr>
        <w:t>njihovog</w:t>
      </w:r>
      <w:r w:rsidRPr="00B22D20">
        <w:rPr>
          <w:szCs w:val="22"/>
          <w:lang w:val="sr-Latn-CS"/>
        </w:rPr>
        <w:t xml:space="preserve"> ž</w:t>
      </w:r>
      <w:r w:rsidRPr="00B22D20">
        <w:rPr>
          <w:szCs w:val="22"/>
        </w:rPr>
        <w:t>ivot</w:t>
      </w:r>
      <w:r w:rsidR="00F9072F" w:rsidRPr="00B22D20">
        <w:rPr>
          <w:szCs w:val="22"/>
        </w:rPr>
        <w:t>nog v</w:t>
      </w:r>
      <w:r w:rsidR="000D247E" w:rsidRPr="00B22D20">
        <w:rPr>
          <w:szCs w:val="22"/>
        </w:rPr>
        <w:t>ij</w:t>
      </w:r>
      <w:r w:rsidR="00F9072F" w:rsidRPr="00B22D20">
        <w:rPr>
          <w:szCs w:val="22"/>
        </w:rPr>
        <w:t xml:space="preserve">eka </w:t>
      </w:r>
      <w:r w:rsidRPr="00B22D20">
        <w:rPr>
          <w:szCs w:val="22"/>
        </w:rPr>
        <w:t>u</w:t>
      </w:r>
      <w:r w:rsidRPr="00B22D20">
        <w:rPr>
          <w:szCs w:val="22"/>
          <w:lang w:val="sr-Latn-CS"/>
        </w:rPr>
        <w:t xml:space="preserve"> </w:t>
      </w:r>
      <w:r w:rsidRPr="00B22D20">
        <w:rPr>
          <w:szCs w:val="22"/>
        </w:rPr>
        <w:t>plazmi</w:t>
      </w:r>
      <w:r w:rsidRPr="00B22D20">
        <w:rPr>
          <w:szCs w:val="22"/>
          <w:lang w:val="sr-Latn-CS"/>
        </w:rPr>
        <w:t xml:space="preserve"> (</w:t>
      </w:r>
      <w:r w:rsidRPr="00B22D20">
        <w:rPr>
          <w:szCs w:val="22"/>
        </w:rPr>
        <w:t>oko</w:t>
      </w:r>
      <w:r w:rsidRPr="00B22D20">
        <w:rPr>
          <w:szCs w:val="22"/>
          <w:lang w:val="sr-Latn-CS"/>
        </w:rPr>
        <w:t xml:space="preserve"> 7 – 10 </w:t>
      </w:r>
      <w:r w:rsidRPr="00B22D20">
        <w:rPr>
          <w:szCs w:val="22"/>
        </w:rPr>
        <w:t>dana</w:t>
      </w:r>
      <w:r w:rsidRPr="00B22D20">
        <w:rPr>
          <w:szCs w:val="22"/>
          <w:lang w:val="sr-Latn-CS"/>
        </w:rPr>
        <w:t xml:space="preserve">), a ponovno uspostavljanje normalne trombocitne funkcije dešava se </w:t>
      </w:r>
      <w:r w:rsidR="00F9072F" w:rsidRPr="00B22D20">
        <w:rPr>
          <w:szCs w:val="22"/>
          <w:lang w:val="sr-Latn-CS"/>
        </w:rPr>
        <w:t xml:space="preserve">brzinom koja odgovara brzini stvaranja novih </w:t>
      </w:r>
      <w:r w:rsidRPr="00B22D20">
        <w:rPr>
          <w:szCs w:val="22"/>
          <w:lang w:val="sr-Latn-CS"/>
        </w:rPr>
        <w:t xml:space="preserve">trombocita. </w:t>
      </w:r>
      <w:r w:rsidR="00F9072F" w:rsidRPr="00B22D20">
        <w:rPr>
          <w:szCs w:val="22"/>
          <w:lang w:val="sr-Latn-CS"/>
        </w:rPr>
        <w:t>Klopidogrel, takođe, inhibira</w:t>
      </w:r>
      <w:r w:rsidR="0025035A" w:rsidRPr="00B22D20">
        <w:rPr>
          <w:szCs w:val="22"/>
          <w:lang w:val="sr-Latn-CS"/>
        </w:rPr>
        <w:t xml:space="preserve"> </w:t>
      </w:r>
      <w:r w:rsidR="00F9072F" w:rsidRPr="00B22D20">
        <w:rPr>
          <w:szCs w:val="22"/>
        </w:rPr>
        <w:t>a</w:t>
      </w:r>
      <w:r w:rsidRPr="00B22D20">
        <w:rPr>
          <w:szCs w:val="22"/>
        </w:rPr>
        <w:t>gregacij</w:t>
      </w:r>
      <w:r w:rsidR="00F9072F" w:rsidRPr="00B22D20">
        <w:rPr>
          <w:szCs w:val="22"/>
        </w:rPr>
        <w:t>u</w:t>
      </w:r>
      <w:r w:rsidRPr="00B22D20">
        <w:rPr>
          <w:szCs w:val="22"/>
          <w:lang w:val="sr-Latn-CS"/>
        </w:rPr>
        <w:t xml:space="preserve"> </w:t>
      </w:r>
      <w:r w:rsidRPr="00B22D20">
        <w:rPr>
          <w:szCs w:val="22"/>
        </w:rPr>
        <w:t>trombocita</w:t>
      </w:r>
      <w:r w:rsidRPr="00B22D20">
        <w:rPr>
          <w:szCs w:val="22"/>
          <w:lang w:val="sr-Latn-CS"/>
        </w:rPr>
        <w:t xml:space="preserve"> </w:t>
      </w:r>
      <w:r w:rsidRPr="00B22D20">
        <w:rPr>
          <w:szCs w:val="22"/>
        </w:rPr>
        <w:t>izazvan</w:t>
      </w:r>
      <w:r w:rsidR="00F9072F" w:rsidRPr="00B22D20">
        <w:rPr>
          <w:szCs w:val="22"/>
        </w:rPr>
        <w:t>u</w:t>
      </w:r>
      <w:r w:rsidRPr="00B22D20">
        <w:rPr>
          <w:szCs w:val="22"/>
          <w:lang w:val="sr-Latn-CS"/>
        </w:rPr>
        <w:t xml:space="preserve"> </w:t>
      </w:r>
      <w:r w:rsidR="00F9072F" w:rsidRPr="00B22D20">
        <w:rPr>
          <w:szCs w:val="22"/>
          <w:lang w:val="sr-Latn-CS"/>
        </w:rPr>
        <w:t xml:space="preserve">drugim </w:t>
      </w:r>
      <w:r w:rsidRPr="00B22D20">
        <w:rPr>
          <w:szCs w:val="22"/>
        </w:rPr>
        <w:t>agonistima</w:t>
      </w:r>
      <w:r w:rsidR="00F9072F" w:rsidRPr="00B22D20">
        <w:rPr>
          <w:szCs w:val="22"/>
        </w:rPr>
        <w:t xml:space="preserve">, pored </w:t>
      </w:r>
      <w:r w:rsidRPr="00B22D20">
        <w:rPr>
          <w:szCs w:val="22"/>
        </w:rPr>
        <w:t>ADP</w:t>
      </w:r>
      <w:r w:rsidR="00E96A40" w:rsidRPr="00B22D20">
        <w:rPr>
          <w:szCs w:val="22"/>
        </w:rPr>
        <w:t xml:space="preserve">-a i to </w:t>
      </w:r>
      <w:r w:rsidRPr="00B22D20">
        <w:rPr>
          <w:szCs w:val="22"/>
        </w:rPr>
        <w:t>blokadom</w:t>
      </w:r>
      <w:r w:rsidRPr="00B22D20">
        <w:rPr>
          <w:szCs w:val="22"/>
          <w:lang w:val="sr-Latn-CS"/>
        </w:rPr>
        <w:t xml:space="preserve"> </w:t>
      </w:r>
      <w:r w:rsidR="00E96A40" w:rsidRPr="00B22D20">
        <w:rPr>
          <w:szCs w:val="22"/>
          <w:lang w:val="sr-Latn-CS"/>
        </w:rPr>
        <w:t xml:space="preserve">pojačavanja aktivacije trombocita </w:t>
      </w:r>
      <w:r w:rsidRPr="00B22D20">
        <w:rPr>
          <w:szCs w:val="22"/>
        </w:rPr>
        <w:t>oslobo</w:t>
      </w:r>
      <w:r w:rsidRPr="00B22D20">
        <w:rPr>
          <w:szCs w:val="22"/>
          <w:lang w:val="sr-Latn-CS"/>
        </w:rPr>
        <w:t>đ</w:t>
      </w:r>
      <w:r w:rsidRPr="00B22D20">
        <w:rPr>
          <w:szCs w:val="22"/>
        </w:rPr>
        <w:t>enim</w:t>
      </w:r>
      <w:r w:rsidRPr="00B22D20">
        <w:rPr>
          <w:szCs w:val="22"/>
          <w:lang w:val="sr-Latn-CS"/>
        </w:rPr>
        <w:t xml:space="preserve"> </w:t>
      </w:r>
      <w:r w:rsidRPr="00B22D20">
        <w:rPr>
          <w:szCs w:val="22"/>
        </w:rPr>
        <w:t>ADP</w:t>
      </w:r>
      <w:r w:rsidRPr="00B22D20">
        <w:rPr>
          <w:szCs w:val="22"/>
          <w:lang w:val="sr-Latn-CS"/>
        </w:rPr>
        <w:t>-</w:t>
      </w:r>
      <w:r w:rsidRPr="00B22D20">
        <w:rPr>
          <w:szCs w:val="22"/>
        </w:rPr>
        <w:t>om</w:t>
      </w:r>
      <w:r w:rsidRPr="00B22D20">
        <w:rPr>
          <w:szCs w:val="22"/>
          <w:lang w:val="sr-Latn-CS"/>
        </w:rPr>
        <w:t>.</w:t>
      </w:r>
    </w:p>
    <w:p w14:paraId="63BC6881" w14:textId="736CAFA9" w:rsidR="00F3137E" w:rsidRPr="00B22D20" w:rsidRDefault="00F3137E">
      <w:pPr>
        <w:rPr>
          <w:szCs w:val="22"/>
          <w:lang w:val="sr-Latn-CS"/>
        </w:rPr>
      </w:pPr>
      <w:r w:rsidRPr="00B22D20">
        <w:rPr>
          <w:szCs w:val="22"/>
          <w:lang w:val="sr-Latn-CS"/>
        </w:rPr>
        <w:t xml:space="preserve">S obzirom da aktivni metabolit </w:t>
      </w:r>
      <w:r w:rsidR="00AA3779" w:rsidRPr="00B22D20">
        <w:rPr>
          <w:szCs w:val="22"/>
          <w:lang w:val="sr-Latn-CS"/>
        </w:rPr>
        <w:t xml:space="preserve">klopidogrela </w:t>
      </w:r>
      <w:r w:rsidRPr="00B22D20">
        <w:rPr>
          <w:szCs w:val="22"/>
          <w:lang w:val="sr-Latn-CS"/>
        </w:rPr>
        <w:t xml:space="preserve">nastaje putem enzima CYP450, od kojih su neki polimorfni ili mogu biti </w:t>
      </w:r>
      <w:r w:rsidR="00AA3779" w:rsidRPr="00B22D20">
        <w:rPr>
          <w:szCs w:val="22"/>
          <w:lang w:val="sr-Latn-CS"/>
        </w:rPr>
        <w:t xml:space="preserve">podložni </w:t>
      </w:r>
      <w:r w:rsidRPr="00B22D20">
        <w:rPr>
          <w:szCs w:val="22"/>
          <w:lang w:val="sr-Latn-CS"/>
        </w:rPr>
        <w:t>inhibi</w:t>
      </w:r>
      <w:r w:rsidR="00AA3779" w:rsidRPr="00B22D20">
        <w:rPr>
          <w:szCs w:val="22"/>
          <w:lang w:val="sr-Latn-CS"/>
        </w:rPr>
        <w:t>ciji</w:t>
      </w:r>
      <w:r w:rsidRPr="00B22D20">
        <w:rPr>
          <w:szCs w:val="22"/>
          <w:lang w:val="sr-Latn-CS"/>
        </w:rPr>
        <w:t xml:space="preserve"> od strane drugih </w:t>
      </w:r>
      <w:r w:rsidR="00122D4B" w:rsidRPr="00B22D20">
        <w:rPr>
          <w:szCs w:val="22"/>
          <w:lang w:val="sr-Latn-CS"/>
        </w:rPr>
        <w:t>ljekov</w:t>
      </w:r>
      <w:r w:rsidRPr="00B22D20">
        <w:rPr>
          <w:szCs w:val="22"/>
          <w:lang w:val="sr-Latn-CS"/>
        </w:rPr>
        <w:t>a, neće se kod svih pacijenata razviti adekvatna inhibicija trombocitne aktivnosti.</w:t>
      </w:r>
    </w:p>
    <w:p w14:paraId="4E02119A" w14:textId="77777777" w:rsidR="00F3137E" w:rsidRPr="00B22D20" w:rsidRDefault="00F3137E">
      <w:pPr>
        <w:spacing w:before="120"/>
        <w:rPr>
          <w:szCs w:val="22"/>
          <w:u w:val="single"/>
          <w:lang w:val="sr-Latn-CS"/>
        </w:rPr>
      </w:pPr>
      <w:r w:rsidRPr="00B22D20">
        <w:rPr>
          <w:szCs w:val="22"/>
          <w:u w:val="single"/>
          <w:lang w:val="sr-Latn-CS"/>
        </w:rPr>
        <w:t>Farmak</w:t>
      </w:r>
      <w:r w:rsidR="0020098D" w:rsidRPr="00B22D20">
        <w:rPr>
          <w:szCs w:val="22"/>
          <w:u w:val="single"/>
          <w:lang w:val="sr-Latn-CS"/>
        </w:rPr>
        <w:t>odinamsko dejstvo</w:t>
      </w:r>
    </w:p>
    <w:p w14:paraId="406A1AA3" w14:textId="30DF0554" w:rsidR="00F3137E" w:rsidRPr="00B22D20" w:rsidRDefault="00F3137E">
      <w:pPr>
        <w:spacing w:before="120"/>
        <w:rPr>
          <w:szCs w:val="22"/>
          <w:lang w:val="sr-Latn-CS"/>
        </w:rPr>
      </w:pPr>
      <w:r w:rsidRPr="00B22D20">
        <w:rPr>
          <w:szCs w:val="22"/>
          <w:lang w:val="sr-Latn-CS"/>
        </w:rPr>
        <w:t xml:space="preserve">Ponovljene doze od 75 mg na dan dovode do značajne inhibicije ADP-om indukovane agregacije trombocita, već od prvog dana </w:t>
      </w:r>
      <w:r w:rsidR="00D77814" w:rsidRPr="00B22D20">
        <w:rPr>
          <w:szCs w:val="22"/>
          <w:lang w:val="sr-Latn-CS"/>
        </w:rPr>
        <w:t>primjen</w:t>
      </w:r>
      <w:r w:rsidRPr="00B22D20">
        <w:rPr>
          <w:szCs w:val="22"/>
          <w:lang w:val="sr-Latn-CS"/>
        </w:rPr>
        <w:t>e. Ovaj efekat se progresivno pojačava i dostiže stanje dinamičke ravnoteže (“</w:t>
      </w:r>
      <w:r w:rsidR="00DF0EEC" w:rsidRPr="00B22D20">
        <w:rPr>
          <w:i/>
          <w:szCs w:val="22"/>
          <w:lang w:val="sr-Latn-CS"/>
        </w:rPr>
        <w:t>steady state</w:t>
      </w:r>
      <w:r w:rsidRPr="00B22D20">
        <w:rPr>
          <w:szCs w:val="22"/>
          <w:lang w:val="sr-Latn-CS"/>
        </w:rPr>
        <w:t xml:space="preserve">”) između 3. i 7. dana. U stanju dinamičke ravnoteže, </w:t>
      </w:r>
      <w:r w:rsidR="007C4086" w:rsidRPr="00B22D20">
        <w:rPr>
          <w:szCs w:val="22"/>
          <w:lang w:val="sr-Latn-CS"/>
        </w:rPr>
        <w:t>pros</w:t>
      </w:r>
      <w:r w:rsidR="009F19EE" w:rsidRPr="00B22D20">
        <w:rPr>
          <w:szCs w:val="22"/>
          <w:lang w:val="sr-Latn-CS"/>
        </w:rPr>
        <w:t>j</w:t>
      </w:r>
      <w:r w:rsidR="007C4086" w:rsidRPr="00B22D20">
        <w:rPr>
          <w:szCs w:val="22"/>
          <w:lang w:val="sr-Latn-CS"/>
        </w:rPr>
        <w:t xml:space="preserve">ečno </w:t>
      </w:r>
      <w:r w:rsidR="00122D4B" w:rsidRPr="00B22D20">
        <w:rPr>
          <w:szCs w:val="22"/>
          <w:lang w:val="sr-Latn-CS"/>
        </w:rPr>
        <w:t>zabiljež</w:t>
      </w:r>
      <w:r w:rsidR="007C4086" w:rsidRPr="00B22D20">
        <w:rPr>
          <w:szCs w:val="22"/>
          <w:lang w:val="sr-Latn-CS"/>
        </w:rPr>
        <w:t>ena vr</w:t>
      </w:r>
      <w:r w:rsidR="009F19EE" w:rsidRPr="00B22D20">
        <w:rPr>
          <w:szCs w:val="22"/>
          <w:lang w:val="sr-Latn-CS"/>
        </w:rPr>
        <w:t>ij</w:t>
      </w:r>
      <w:r w:rsidR="007C4086" w:rsidRPr="00B22D20">
        <w:rPr>
          <w:szCs w:val="22"/>
          <w:lang w:val="sr-Latn-CS"/>
        </w:rPr>
        <w:t xml:space="preserve">ednost inhibicije </w:t>
      </w:r>
      <w:r w:rsidR="00D77814" w:rsidRPr="00B22D20">
        <w:rPr>
          <w:szCs w:val="22"/>
          <w:lang w:val="sr-Latn-CS"/>
        </w:rPr>
        <w:t>primjen</w:t>
      </w:r>
      <w:r w:rsidRPr="00B22D20">
        <w:rPr>
          <w:szCs w:val="22"/>
          <w:lang w:val="sr-Latn-CS"/>
        </w:rPr>
        <w:t xml:space="preserve">om </w:t>
      </w:r>
      <w:r w:rsidRPr="00B22D20">
        <w:rPr>
          <w:szCs w:val="22"/>
          <w:lang w:val="sr-Latn-CS"/>
        </w:rPr>
        <w:lastRenderedPageBreak/>
        <w:t xml:space="preserve">doze od 75 mg dnevno, </w:t>
      </w:r>
      <w:r w:rsidR="00E2649A" w:rsidRPr="00B22D20">
        <w:rPr>
          <w:szCs w:val="22"/>
          <w:lang w:val="sr-Latn-CS"/>
        </w:rPr>
        <w:t xml:space="preserve">iznosi između </w:t>
      </w:r>
      <w:r w:rsidRPr="00B22D20">
        <w:rPr>
          <w:szCs w:val="22"/>
          <w:lang w:val="sr-Latn-CS"/>
        </w:rPr>
        <w:t xml:space="preserve">40% </w:t>
      </w:r>
      <w:r w:rsidR="00E2649A" w:rsidRPr="00B22D20">
        <w:rPr>
          <w:szCs w:val="22"/>
          <w:lang w:val="sr-Latn-CS"/>
        </w:rPr>
        <w:t>i</w:t>
      </w:r>
      <w:r w:rsidRPr="00B22D20">
        <w:rPr>
          <w:szCs w:val="22"/>
          <w:lang w:val="sr-Latn-CS"/>
        </w:rPr>
        <w:t xml:space="preserve"> 60%. Agregacija trombocita i vr</w:t>
      </w:r>
      <w:r w:rsidR="009F19EE" w:rsidRPr="00B22D20">
        <w:rPr>
          <w:szCs w:val="22"/>
          <w:lang w:val="sr-Latn-CS"/>
        </w:rPr>
        <w:t>ij</w:t>
      </w:r>
      <w:r w:rsidRPr="00B22D20">
        <w:rPr>
          <w:szCs w:val="22"/>
          <w:lang w:val="sr-Latn-CS"/>
        </w:rPr>
        <w:t>eme krvarenja se postepeno vraćaju na početne vr</w:t>
      </w:r>
      <w:r w:rsidR="009F19EE" w:rsidRPr="00B22D20">
        <w:rPr>
          <w:szCs w:val="22"/>
          <w:lang w:val="sr-Latn-CS"/>
        </w:rPr>
        <w:t>ij</w:t>
      </w:r>
      <w:r w:rsidRPr="00B22D20">
        <w:rPr>
          <w:szCs w:val="22"/>
          <w:lang w:val="sr-Latn-CS"/>
        </w:rPr>
        <w:t>ednosti, u roku od 5 dana po prekidu terapije.</w:t>
      </w:r>
    </w:p>
    <w:p w14:paraId="5828BD4C" w14:textId="4251643B" w:rsidR="00ED5A96" w:rsidRPr="00B22D20" w:rsidRDefault="00F3137E">
      <w:pPr>
        <w:spacing w:before="120"/>
        <w:rPr>
          <w:szCs w:val="22"/>
          <w:u w:val="single"/>
          <w:lang w:val="sr-Latn-CS"/>
        </w:rPr>
      </w:pPr>
      <w:r w:rsidRPr="00B22D20">
        <w:rPr>
          <w:szCs w:val="22"/>
          <w:u w:val="single"/>
          <w:lang w:val="sr-Latn-CS"/>
        </w:rPr>
        <w:t>Klinička efikasnost i bezb</w:t>
      </w:r>
      <w:r w:rsidR="000D247E" w:rsidRPr="00B22D20">
        <w:rPr>
          <w:szCs w:val="22"/>
          <w:u w:val="single"/>
          <w:lang w:val="sr-Latn-CS"/>
        </w:rPr>
        <w:t>j</w:t>
      </w:r>
      <w:r w:rsidRPr="00B22D20">
        <w:rPr>
          <w:szCs w:val="22"/>
          <w:u w:val="single"/>
          <w:lang w:val="sr-Latn-CS"/>
        </w:rPr>
        <w:t>ednost</w:t>
      </w:r>
    </w:p>
    <w:p w14:paraId="4B5425E9" w14:textId="19575F5F" w:rsidR="00F3137E" w:rsidRPr="00B22D20" w:rsidRDefault="00F3137E">
      <w:pPr>
        <w:pStyle w:val="Header"/>
        <w:spacing w:before="120"/>
        <w:rPr>
          <w:szCs w:val="22"/>
          <w:lang w:val="sr-Latn-CS"/>
        </w:rPr>
      </w:pPr>
      <w:r w:rsidRPr="00B22D20">
        <w:rPr>
          <w:szCs w:val="22"/>
          <w:lang w:val="sr-Latn-CS"/>
        </w:rPr>
        <w:t>Bezb</w:t>
      </w:r>
      <w:r w:rsidR="000D247E" w:rsidRPr="00B22D20">
        <w:rPr>
          <w:szCs w:val="22"/>
          <w:lang w:val="sr-Latn-CS"/>
        </w:rPr>
        <w:t>j</w:t>
      </w:r>
      <w:r w:rsidRPr="00B22D20">
        <w:rPr>
          <w:szCs w:val="22"/>
          <w:lang w:val="sr-Latn-CS"/>
        </w:rPr>
        <w:t>ednost i efikasnost klopidogrela proc</w:t>
      </w:r>
      <w:r w:rsidR="000D247E" w:rsidRPr="00B22D20">
        <w:rPr>
          <w:szCs w:val="22"/>
          <w:lang w:val="sr-Latn-CS"/>
        </w:rPr>
        <w:t>ij</w:t>
      </w:r>
      <w:r w:rsidRPr="00B22D20">
        <w:rPr>
          <w:szCs w:val="22"/>
          <w:lang w:val="sr-Latn-CS"/>
        </w:rPr>
        <w:t xml:space="preserve">enjene su kroz </w:t>
      </w:r>
      <w:r w:rsidR="00E7505E" w:rsidRPr="00B22D20">
        <w:rPr>
          <w:szCs w:val="22"/>
          <w:lang w:val="sr-Latn-CS"/>
        </w:rPr>
        <w:t>7</w:t>
      </w:r>
      <w:r w:rsidRPr="00B22D20">
        <w:rPr>
          <w:szCs w:val="22"/>
          <w:lang w:val="sr-Latn-CS"/>
        </w:rPr>
        <w:t xml:space="preserve"> dvostruko sl</w:t>
      </w:r>
      <w:r w:rsidR="000D247E" w:rsidRPr="00B22D20">
        <w:rPr>
          <w:szCs w:val="22"/>
          <w:lang w:val="sr-Latn-CS"/>
        </w:rPr>
        <w:t>ij</w:t>
      </w:r>
      <w:r w:rsidRPr="00B22D20">
        <w:rPr>
          <w:szCs w:val="22"/>
          <w:lang w:val="sr-Latn-CS"/>
        </w:rPr>
        <w:t xml:space="preserve">epih studija koje su uključivale preko </w:t>
      </w:r>
      <w:r w:rsidR="00357365" w:rsidRPr="00B22D20">
        <w:rPr>
          <w:szCs w:val="22"/>
          <w:lang w:val="sr-Latn-CS"/>
        </w:rPr>
        <w:t>100</w:t>
      </w:r>
      <w:r w:rsidRPr="00B22D20">
        <w:rPr>
          <w:szCs w:val="22"/>
          <w:lang w:val="sr-Latn-CS"/>
        </w:rPr>
        <w:t xml:space="preserve"> 000 pacijenata: studija CAPRIE poredila je </w:t>
      </w:r>
      <w:r w:rsidR="00D77814" w:rsidRPr="00B22D20">
        <w:rPr>
          <w:szCs w:val="22"/>
          <w:lang w:val="sr-Latn-CS"/>
        </w:rPr>
        <w:t>primjen</w:t>
      </w:r>
      <w:r w:rsidRPr="00B22D20">
        <w:rPr>
          <w:szCs w:val="22"/>
          <w:lang w:val="sr-Latn-CS"/>
        </w:rPr>
        <w:t xml:space="preserve">u klopidogrela i </w:t>
      </w:r>
      <w:r w:rsidR="00465370" w:rsidRPr="00B22D20">
        <w:rPr>
          <w:szCs w:val="22"/>
          <w:lang w:val="sr-Latn-CS"/>
        </w:rPr>
        <w:t>AS</w:t>
      </w:r>
      <w:r w:rsidR="00E7505E" w:rsidRPr="00B22D20">
        <w:rPr>
          <w:szCs w:val="22"/>
          <w:lang w:val="sr-Latn-CS"/>
        </w:rPr>
        <w:t>K</w:t>
      </w:r>
      <w:r w:rsidRPr="00B22D20">
        <w:rPr>
          <w:szCs w:val="22"/>
          <w:lang w:val="sr-Latn-CS"/>
        </w:rPr>
        <w:t>, a studije CURE, CLARITY, COMMIT</w:t>
      </w:r>
      <w:r w:rsidR="00E7505E" w:rsidRPr="00B22D20">
        <w:rPr>
          <w:szCs w:val="22"/>
          <w:lang w:val="sr-Latn-CS"/>
        </w:rPr>
        <w:t>, CHANCE, POINT</w:t>
      </w:r>
      <w:r w:rsidRPr="00B22D20">
        <w:rPr>
          <w:szCs w:val="22"/>
          <w:lang w:val="sr-Latn-CS"/>
        </w:rPr>
        <w:t xml:space="preserve"> i ACTIVE-A </w:t>
      </w:r>
      <w:r w:rsidRPr="00B22D20">
        <w:rPr>
          <w:szCs w:val="22"/>
        </w:rPr>
        <w:t>su</w:t>
      </w:r>
      <w:r w:rsidRPr="00B22D20">
        <w:rPr>
          <w:szCs w:val="22"/>
          <w:lang w:val="sr-Latn-CS"/>
        </w:rPr>
        <w:t xml:space="preserve"> </w:t>
      </w:r>
      <w:r w:rsidRPr="00B22D20">
        <w:rPr>
          <w:szCs w:val="22"/>
        </w:rPr>
        <w:t>poredile</w:t>
      </w:r>
      <w:r w:rsidRPr="00B22D20">
        <w:rPr>
          <w:szCs w:val="22"/>
          <w:lang w:val="sr-Latn-CS"/>
        </w:rPr>
        <w:t xml:space="preserve"> </w:t>
      </w:r>
      <w:r w:rsidRPr="00B22D20">
        <w:rPr>
          <w:szCs w:val="22"/>
        </w:rPr>
        <w:t>klopidogrel</w:t>
      </w:r>
      <w:r w:rsidRPr="00B22D20">
        <w:rPr>
          <w:szCs w:val="22"/>
          <w:lang w:val="sr-Latn-CS"/>
        </w:rPr>
        <w:t xml:space="preserve"> </w:t>
      </w:r>
      <w:r w:rsidRPr="00B22D20">
        <w:rPr>
          <w:szCs w:val="22"/>
        </w:rPr>
        <w:t>sa</w:t>
      </w:r>
      <w:r w:rsidRPr="00B22D20">
        <w:rPr>
          <w:szCs w:val="22"/>
          <w:lang w:val="sr-Latn-CS"/>
        </w:rPr>
        <w:t xml:space="preserve"> </w:t>
      </w:r>
      <w:r w:rsidRPr="00B22D20">
        <w:rPr>
          <w:szCs w:val="22"/>
        </w:rPr>
        <w:t>placebom</w:t>
      </w:r>
      <w:r w:rsidRPr="00B22D20">
        <w:rPr>
          <w:szCs w:val="22"/>
          <w:lang w:val="sr-Latn-CS"/>
        </w:rPr>
        <w:t xml:space="preserve">, </w:t>
      </w:r>
      <w:r w:rsidRPr="00B22D20">
        <w:rPr>
          <w:szCs w:val="22"/>
        </w:rPr>
        <w:t>ob</w:t>
      </w:r>
      <w:r w:rsidR="00827EFC" w:rsidRPr="00B22D20">
        <w:rPr>
          <w:szCs w:val="22"/>
        </w:rPr>
        <w:t>i</w:t>
      </w:r>
      <w:r w:rsidR="000D247E" w:rsidRPr="00B22D20">
        <w:rPr>
          <w:szCs w:val="22"/>
        </w:rPr>
        <w:t>j</w:t>
      </w:r>
      <w:r w:rsidR="00E2649A" w:rsidRPr="00B22D20">
        <w:rPr>
          <w:szCs w:val="22"/>
        </w:rPr>
        <w:t xml:space="preserve">e terapije </w:t>
      </w:r>
      <w:r w:rsidRPr="00B22D20">
        <w:rPr>
          <w:szCs w:val="22"/>
        </w:rPr>
        <w:t>su</w:t>
      </w:r>
      <w:r w:rsidRPr="00B22D20">
        <w:rPr>
          <w:szCs w:val="22"/>
          <w:lang w:val="sr-Latn-CS"/>
        </w:rPr>
        <w:t xml:space="preserve"> </w:t>
      </w:r>
      <w:r w:rsidRPr="00B22D20">
        <w:rPr>
          <w:szCs w:val="22"/>
        </w:rPr>
        <w:t>davan</w:t>
      </w:r>
      <w:r w:rsidR="00E2649A" w:rsidRPr="00B22D20">
        <w:rPr>
          <w:szCs w:val="22"/>
        </w:rPr>
        <w:t>e</w:t>
      </w:r>
      <w:r w:rsidRPr="00B22D20">
        <w:rPr>
          <w:szCs w:val="22"/>
          <w:lang w:val="sr-Latn-CS"/>
        </w:rPr>
        <w:t xml:space="preserve"> </w:t>
      </w:r>
      <w:r w:rsidRPr="00B22D20">
        <w:rPr>
          <w:szCs w:val="22"/>
        </w:rPr>
        <w:t>u</w:t>
      </w:r>
      <w:r w:rsidRPr="00B22D20">
        <w:rPr>
          <w:szCs w:val="22"/>
          <w:lang w:val="sr-Latn-CS"/>
        </w:rPr>
        <w:t xml:space="preserve"> </w:t>
      </w:r>
      <w:r w:rsidRPr="00B22D20">
        <w:rPr>
          <w:szCs w:val="22"/>
        </w:rPr>
        <w:t>kombinaciji</w:t>
      </w:r>
      <w:r w:rsidRPr="00B22D20">
        <w:rPr>
          <w:szCs w:val="22"/>
          <w:lang w:val="sr-Latn-CS"/>
        </w:rPr>
        <w:t xml:space="preserve"> </w:t>
      </w:r>
      <w:r w:rsidRPr="00B22D20">
        <w:rPr>
          <w:szCs w:val="22"/>
        </w:rPr>
        <w:t>sa</w:t>
      </w:r>
      <w:r w:rsidRPr="00B22D20">
        <w:rPr>
          <w:szCs w:val="22"/>
          <w:lang w:val="sr-Latn-CS"/>
        </w:rPr>
        <w:t xml:space="preserve"> </w:t>
      </w:r>
      <w:r w:rsidRPr="00B22D20">
        <w:rPr>
          <w:szCs w:val="22"/>
        </w:rPr>
        <w:t>AS</w:t>
      </w:r>
      <w:r w:rsidR="00E2649A" w:rsidRPr="00B22D20">
        <w:rPr>
          <w:szCs w:val="22"/>
        </w:rPr>
        <w:t>K</w:t>
      </w:r>
      <w:r w:rsidRPr="00B22D20">
        <w:rPr>
          <w:szCs w:val="22"/>
          <w:lang w:val="sr-Latn-CS"/>
        </w:rPr>
        <w:t xml:space="preserve"> </w:t>
      </w:r>
      <w:r w:rsidRPr="00B22D20">
        <w:rPr>
          <w:szCs w:val="22"/>
        </w:rPr>
        <w:t>i</w:t>
      </w:r>
      <w:r w:rsidRPr="00B22D20">
        <w:rPr>
          <w:szCs w:val="22"/>
          <w:lang w:val="sr-Latn-CS"/>
        </w:rPr>
        <w:t xml:space="preserve"> </w:t>
      </w:r>
      <w:r w:rsidRPr="00B22D20">
        <w:rPr>
          <w:szCs w:val="22"/>
        </w:rPr>
        <w:t>drugim</w:t>
      </w:r>
      <w:r w:rsidRPr="00B22D20">
        <w:rPr>
          <w:szCs w:val="22"/>
          <w:lang w:val="sr-Latn-CS"/>
        </w:rPr>
        <w:t xml:space="preserve"> </w:t>
      </w:r>
      <w:r w:rsidRPr="00B22D20">
        <w:rPr>
          <w:szCs w:val="22"/>
        </w:rPr>
        <w:t>standardnim</w:t>
      </w:r>
      <w:r w:rsidRPr="00B22D20">
        <w:rPr>
          <w:szCs w:val="22"/>
          <w:lang w:val="sr-Latn-CS"/>
        </w:rPr>
        <w:t xml:space="preserve"> </w:t>
      </w:r>
      <w:r w:rsidRPr="00B22D20">
        <w:rPr>
          <w:szCs w:val="22"/>
        </w:rPr>
        <w:t>terapijama</w:t>
      </w:r>
      <w:r w:rsidRPr="00B22D20">
        <w:rPr>
          <w:szCs w:val="22"/>
          <w:lang w:val="sr-Latn-CS"/>
        </w:rPr>
        <w:t>.</w:t>
      </w:r>
    </w:p>
    <w:p w14:paraId="763F291E" w14:textId="77777777" w:rsidR="00F3137E" w:rsidRPr="00B22D20" w:rsidRDefault="00F3137E">
      <w:pPr>
        <w:spacing w:before="120"/>
        <w:rPr>
          <w:i/>
          <w:szCs w:val="22"/>
          <w:lang w:val="sr-Latn-CS"/>
        </w:rPr>
      </w:pPr>
      <w:r w:rsidRPr="00B22D20">
        <w:rPr>
          <w:i/>
          <w:szCs w:val="22"/>
          <w:lang w:val="sr-Latn-CS"/>
        </w:rPr>
        <w:t>Nedavni infarkt miokarda (IM), nedavni moždani udar ili ustanovljena periferna arterijska bolest</w:t>
      </w:r>
    </w:p>
    <w:p w14:paraId="70195D0E" w14:textId="1E65CBCC" w:rsidR="00F3137E" w:rsidRPr="00B22D20" w:rsidRDefault="00F3137E">
      <w:pPr>
        <w:spacing w:before="120"/>
        <w:rPr>
          <w:szCs w:val="22"/>
          <w:lang w:val="sr-Latn-CS"/>
        </w:rPr>
      </w:pPr>
      <w:r w:rsidRPr="00B22D20">
        <w:rPr>
          <w:szCs w:val="22"/>
          <w:lang w:val="sr-Latn-CS"/>
        </w:rPr>
        <w:t>CAPRIE studija je uključivala 19 185 pacijenata sa aterotrombozom koja se manifestovala nedavnim infarkt</w:t>
      </w:r>
      <w:r w:rsidR="005B1FD7" w:rsidRPr="00B22D20">
        <w:rPr>
          <w:szCs w:val="22"/>
          <w:lang w:val="sr-Latn-CS"/>
        </w:rPr>
        <w:t>om</w:t>
      </w:r>
      <w:r w:rsidRPr="00B22D20">
        <w:rPr>
          <w:szCs w:val="22"/>
          <w:lang w:val="sr-Latn-CS"/>
        </w:rPr>
        <w:t xml:space="preserve"> miokarda (&lt;</w:t>
      </w:r>
      <w:r w:rsidR="0009471D" w:rsidRPr="00B22D20">
        <w:rPr>
          <w:szCs w:val="22"/>
          <w:lang w:val="sr-Latn-CS"/>
        </w:rPr>
        <w:t xml:space="preserve"> </w:t>
      </w:r>
      <w:r w:rsidRPr="00B22D20">
        <w:rPr>
          <w:szCs w:val="22"/>
          <w:lang w:val="sr-Latn-CS"/>
        </w:rPr>
        <w:t>35 dana), nedavnim ishemijskim moždanim udarom (između 7 dana i 6 m</w:t>
      </w:r>
      <w:r w:rsidR="000D247E" w:rsidRPr="00B22D20">
        <w:rPr>
          <w:szCs w:val="22"/>
          <w:lang w:val="sr-Latn-CS"/>
        </w:rPr>
        <w:t>j</w:t>
      </w:r>
      <w:r w:rsidRPr="00B22D20">
        <w:rPr>
          <w:szCs w:val="22"/>
          <w:lang w:val="sr-Latn-CS"/>
        </w:rPr>
        <w:t>eseci) ili razvijenom perifernom arterijskom bolešću (</w:t>
      </w:r>
      <w:r w:rsidR="009478BC" w:rsidRPr="00B22D20">
        <w:rPr>
          <w:szCs w:val="22"/>
        </w:rPr>
        <w:t xml:space="preserve">engl. </w:t>
      </w:r>
      <w:proofErr w:type="gramStart"/>
      <w:r w:rsidR="009478BC" w:rsidRPr="00B22D20">
        <w:rPr>
          <w:rFonts w:eastAsia="TimesNewRomanPSMT"/>
          <w:i/>
          <w:szCs w:val="22"/>
        </w:rPr>
        <w:t>peripheral</w:t>
      </w:r>
      <w:proofErr w:type="gramEnd"/>
      <w:r w:rsidR="009478BC" w:rsidRPr="00B22D20">
        <w:rPr>
          <w:rFonts w:eastAsia="TimesNewRomanPSMT"/>
          <w:i/>
          <w:szCs w:val="22"/>
        </w:rPr>
        <w:t xml:space="preserve"> arterial disease,</w:t>
      </w:r>
      <w:r w:rsidR="009478BC" w:rsidRPr="00B22D20">
        <w:rPr>
          <w:rFonts w:eastAsia="TimesNewRomanPSMT"/>
          <w:szCs w:val="22"/>
        </w:rPr>
        <w:t xml:space="preserve"> </w:t>
      </w:r>
      <w:r w:rsidR="009478BC" w:rsidRPr="00B22D20">
        <w:rPr>
          <w:szCs w:val="22"/>
        </w:rPr>
        <w:t>PAD</w:t>
      </w:r>
      <w:r w:rsidRPr="00B22D20">
        <w:rPr>
          <w:szCs w:val="22"/>
          <w:lang w:val="sr-Latn-CS"/>
        </w:rPr>
        <w:t>). Pacijenti su randomizovani u dv</w:t>
      </w:r>
      <w:r w:rsidR="000D247E" w:rsidRPr="00B22D20">
        <w:rPr>
          <w:szCs w:val="22"/>
          <w:lang w:val="sr-Latn-CS"/>
        </w:rPr>
        <w:t>ij</w:t>
      </w:r>
      <w:r w:rsidRPr="00B22D20">
        <w:rPr>
          <w:szCs w:val="22"/>
          <w:lang w:val="sr-Latn-CS"/>
        </w:rPr>
        <w:t xml:space="preserve">e grupe i dobijali 75 mg klopidogrela, odnosno 325 mg </w:t>
      </w:r>
      <w:r w:rsidR="00465370" w:rsidRPr="00B22D20">
        <w:rPr>
          <w:szCs w:val="22"/>
          <w:lang w:val="sr-Latn-CS"/>
        </w:rPr>
        <w:t>AS</w:t>
      </w:r>
      <w:r w:rsidR="009478BC" w:rsidRPr="00B22D20">
        <w:rPr>
          <w:szCs w:val="22"/>
          <w:lang w:val="sr-Latn-CS"/>
        </w:rPr>
        <w:t>K</w:t>
      </w:r>
      <w:r w:rsidRPr="00B22D20">
        <w:rPr>
          <w:szCs w:val="22"/>
          <w:lang w:val="sr-Latn-CS"/>
        </w:rPr>
        <w:t xml:space="preserve"> dnevno i praćeni su tokom 1 do 3 godine. U podgrupi pacijenata sa infarktom miokarda, većina ih je primala </w:t>
      </w:r>
      <w:r w:rsidR="00465370" w:rsidRPr="00B22D20">
        <w:rPr>
          <w:szCs w:val="22"/>
          <w:lang w:val="sr-Latn-CS"/>
        </w:rPr>
        <w:t>AS</w:t>
      </w:r>
      <w:r w:rsidR="009478BC" w:rsidRPr="00B22D20">
        <w:rPr>
          <w:szCs w:val="22"/>
          <w:lang w:val="sr-Latn-CS"/>
        </w:rPr>
        <w:t>K</w:t>
      </w:r>
      <w:r w:rsidRPr="00B22D20">
        <w:rPr>
          <w:szCs w:val="22"/>
          <w:lang w:val="sr-Latn-CS"/>
        </w:rPr>
        <w:t xml:space="preserve"> prvih nekoliko dana nakon akutnog infarkta miokarda. </w:t>
      </w:r>
    </w:p>
    <w:p w14:paraId="1813D75A" w14:textId="4DDD624D" w:rsidR="009478BC" w:rsidRPr="00B22D20" w:rsidRDefault="00F3137E">
      <w:pPr>
        <w:tabs>
          <w:tab w:val="clear" w:pos="284"/>
        </w:tabs>
        <w:autoSpaceDE w:val="0"/>
        <w:autoSpaceDN w:val="0"/>
        <w:adjustRightInd w:val="0"/>
        <w:spacing w:before="120"/>
        <w:rPr>
          <w:rFonts w:eastAsia="TimesNewRomanPSMT"/>
          <w:szCs w:val="22"/>
        </w:rPr>
      </w:pPr>
      <w:r w:rsidRPr="00B22D20">
        <w:rPr>
          <w:szCs w:val="22"/>
          <w:lang w:val="sr-Latn-CS"/>
        </w:rPr>
        <w:t xml:space="preserve">Klopidogrel je u poređenju sa </w:t>
      </w:r>
      <w:r w:rsidR="00465370" w:rsidRPr="00B22D20">
        <w:rPr>
          <w:szCs w:val="22"/>
          <w:lang w:val="sr-Latn-CS"/>
        </w:rPr>
        <w:t>AS</w:t>
      </w:r>
      <w:r w:rsidR="009478BC" w:rsidRPr="00B22D20">
        <w:rPr>
          <w:szCs w:val="22"/>
          <w:lang w:val="sr-Latn-CS"/>
        </w:rPr>
        <w:t>K</w:t>
      </w:r>
      <w:r w:rsidRPr="00B22D20">
        <w:rPr>
          <w:szCs w:val="22"/>
          <w:lang w:val="sr-Latn-CS"/>
        </w:rPr>
        <w:t xml:space="preserve">, značajno smanjio incidencu pojave novih ishemijskih događaja </w:t>
      </w:r>
      <w:r w:rsidR="009478BC" w:rsidRPr="00B22D20">
        <w:rPr>
          <w:szCs w:val="22"/>
        </w:rPr>
        <w:t xml:space="preserve">(parametar praćenja kao kombinacija infarkta miokarda, ishemijskog moždanog udara i vaskularne smrti). U statističkoj analizi (engl. </w:t>
      </w:r>
      <w:r w:rsidR="009478BC" w:rsidRPr="00B22D20">
        <w:rPr>
          <w:i/>
          <w:szCs w:val="22"/>
        </w:rPr>
        <w:t xml:space="preserve">intention to treat analysis, </w:t>
      </w:r>
      <w:r w:rsidR="009478BC" w:rsidRPr="00B22D20">
        <w:rPr>
          <w:szCs w:val="22"/>
        </w:rPr>
        <w:t xml:space="preserve">ITT), u grupi koja je primala klopidogrel registrovano je 939 događaja, a u grupi koja je dobijala ASK 1020 događaja [relativno smanjenje rizika (engl. </w:t>
      </w:r>
      <w:r w:rsidR="009478BC" w:rsidRPr="00B22D20">
        <w:rPr>
          <w:rFonts w:eastAsia="TimesNewRomanPSMT"/>
          <w:i/>
          <w:szCs w:val="22"/>
        </w:rPr>
        <w:t>relative risk reduction,</w:t>
      </w:r>
      <w:r w:rsidR="009478BC" w:rsidRPr="00B22D20">
        <w:rPr>
          <w:rFonts w:eastAsia="TimesNewRomanPSMT"/>
          <w:szCs w:val="22"/>
        </w:rPr>
        <w:t xml:space="preserve"> </w:t>
      </w:r>
      <w:r w:rsidR="009478BC" w:rsidRPr="00B22D20">
        <w:rPr>
          <w:szCs w:val="22"/>
        </w:rPr>
        <w:t>RRR) 8,7% (95% CI: 0,2 do 16,4); p=0,045], što znači da na svakih 1000 pacijenata l</w:t>
      </w:r>
      <w:r w:rsidR="00961E90" w:rsidRPr="00B22D20">
        <w:rPr>
          <w:szCs w:val="22"/>
        </w:rPr>
        <w:t>i</w:t>
      </w:r>
      <w:r w:rsidR="000D247E" w:rsidRPr="00B22D20">
        <w:rPr>
          <w:szCs w:val="22"/>
        </w:rPr>
        <w:t>j</w:t>
      </w:r>
      <w:r w:rsidR="009478BC" w:rsidRPr="00B22D20">
        <w:rPr>
          <w:szCs w:val="22"/>
        </w:rPr>
        <w:t>ečenih tokom 2 godine dolazi dodatnih 10 pacijenata (CI: 0 do 20) kod kojih je spr</w:t>
      </w:r>
      <w:r w:rsidR="000D247E" w:rsidRPr="00B22D20">
        <w:rPr>
          <w:szCs w:val="22"/>
        </w:rPr>
        <w:t>ij</w:t>
      </w:r>
      <w:r w:rsidR="009478BC" w:rsidRPr="00B22D20">
        <w:rPr>
          <w:szCs w:val="22"/>
        </w:rPr>
        <w:t xml:space="preserve">ečeno javljanje novog ishemijskog događaja. Analiza ukupne smrtnosti kao sekundarnog </w:t>
      </w:r>
      <w:r w:rsidR="00E05437" w:rsidRPr="00B22D20">
        <w:rPr>
          <w:szCs w:val="22"/>
        </w:rPr>
        <w:t>parametra praćenja</w:t>
      </w:r>
      <w:r w:rsidR="009478BC" w:rsidRPr="00B22D20">
        <w:rPr>
          <w:szCs w:val="22"/>
        </w:rPr>
        <w:t xml:space="preserve"> nije pokazala postojanje značajnije razlike između klopidogrela (5</w:t>
      </w:r>
      <w:proofErr w:type="gramStart"/>
      <w:r w:rsidR="009478BC" w:rsidRPr="00B22D20">
        <w:rPr>
          <w:szCs w:val="22"/>
        </w:rPr>
        <w:t>,8</w:t>
      </w:r>
      <w:proofErr w:type="gramEnd"/>
      <w:r w:rsidR="009478BC" w:rsidRPr="00B22D20">
        <w:rPr>
          <w:szCs w:val="22"/>
        </w:rPr>
        <w:t>%) i ASK (6,0%).</w:t>
      </w:r>
    </w:p>
    <w:p w14:paraId="4C395583" w14:textId="45F2BCD0" w:rsidR="00F3137E" w:rsidRPr="00B22D20" w:rsidRDefault="00F3137E">
      <w:pPr>
        <w:spacing w:before="120"/>
        <w:rPr>
          <w:szCs w:val="22"/>
          <w:lang w:val="sr-Latn-CS"/>
        </w:rPr>
      </w:pPr>
      <w:r w:rsidRPr="00B22D20">
        <w:rPr>
          <w:szCs w:val="22"/>
          <w:lang w:val="sr-Latn-CS"/>
        </w:rPr>
        <w:t xml:space="preserve">Analiza podgrupa prema oboljenju koje ih kvalifikuje (infarkt miokarda, ishemijski moždani udar i periferna arterijska bolest - PAD) pokazala je da je najveća korist ovog </w:t>
      </w:r>
      <w:r w:rsidR="00AC562A" w:rsidRPr="00B22D20">
        <w:rPr>
          <w:szCs w:val="22"/>
          <w:lang w:val="sr-Latn-CS"/>
        </w:rPr>
        <w:t>lijek</w:t>
      </w:r>
      <w:r w:rsidRPr="00B22D20">
        <w:rPr>
          <w:szCs w:val="22"/>
          <w:lang w:val="sr-Latn-CS"/>
        </w:rPr>
        <w:t>a bila (dostižući statističku značajnost na nivou p=0,003) kod pacijenata uključenih u ispitivanje zbog PAD (posebno onih koji su u anamnezi imali i infarkt miokarda) (RRR=23,7%; CI: 8,9 do 36,2), a manja (ne statistički značajno različit</w:t>
      </w:r>
      <w:r w:rsidR="00521FB9" w:rsidRPr="00B22D20">
        <w:rPr>
          <w:szCs w:val="22"/>
          <w:lang w:val="sr-Latn-CS"/>
        </w:rPr>
        <w:t>a</w:t>
      </w:r>
      <w:r w:rsidRPr="00B22D20">
        <w:rPr>
          <w:szCs w:val="22"/>
          <w:lang w:val="sr-Latn-CS"/>
        </w:rPr>
        <w:t xml:space="preserve"> od efekta </w:t>
      </w:r>
      <w:r w:rsidR="00465370" w:rsidRPr="00B22D20">
        <w:rPr>
          <w:szCs w:val="22"/>
          <w:lang w:val="sr-Latn-CS"/>
        </w:rPr>
        <w:t>AS</w:t>
      </w:r>
      <w:r w:rsidR="00521FB9" w:rsidRPr="00B22D20">
        <w:rPr>
          <w:szCs w:val="22"/>
          <w:lang w:val="sr-Latn-CS"/>
        </w:rPr>
        <w:t>K</w:t>
      </w:r>
      <w:r w:rsidRPr="00B22D20">
        <w:rPr>
          <w:szCs w:val="22"/>
          <w:lang w:val="sr-Latn-CS"/>
        </w:rPr>
        <w:t xml:space="preserve">) kod pacijenata sa ishemijskim moždanim udarom (RRR=7,3%;CI:-5,7 do 18,7 [p=0.258]). Kod pacijenata koji su u ispitivanje uključeni isključivo na osnovu nedavnog infarkta miokarda, klopidogrel se pokazao numerički slabijim, ali se statistički nije razlikovao od </w:t>
      </w:r>
      <w:r w:rsidR="00465370" w:rsidRPr="00B22D20">
        <w:rPr>
          <w:szCs w:val="22"/>
          <w:lang w:val="sr-Latn-CS"/>
        </w:rPr>
        <w:t>AS</w:t>
      </w:r>
      <w:r w:rsidR="00521FB9" w:rsidRPr="00B22D20">
        <w:rPr>
          <w:szCs w:val="22"/>
          <w:lang w:val="sr-Latn-CS"/>
        </w:rPr>
        <w:t>K</w:t>
      </w:r>
      <w:r w:rsidRPr="00B22D20">
        <w:rPr>
          <w:szCs w:val="22"/>
          <w:lang w:val="sr-Latn-CS"/>
        </w:rPr>
        <w:t xml:space="preserve"> (RRR=-4,0%; CI:-22,5 do 11,7</w:t>
      </w:r>
      <w:r w:rsidR="009011F3" w:rsidRPr="00B22D20">
        <w:rPr>
          <w:szCs w:val="22"/>
          <w:lang w:val="sr-Latn-CS"/>
        </w:rPr>
        <w:t xml:space="preserve"> </w:t>
      </w:r>
      <w:r w:rsidRPr="00B22D20">
        <w:rPr>
          <w:szCs w:val="22"/>
          <w:lang w:val="sr-Latn-CS"/>
        </w:rPr>
        <w:t xml:space="preserve">[p=0,639]). Osim toga, analiza podgrupa prema starosti upućuje na to da je korist od </w:t>
      </w:r>
      <w:r w:rsidR="00D77814" w:rsidRPr="00B22D20">
        <w:rPr>
          <w:szCs w:val="22"/>
          <w:lang w:val="sr-Latn-CS"/>
        </w:rPr>
        <w:t>primjen</w:t>
      </w:r>
      <w:r w:rsidRPr="00B22D20">
        <w:rPr>
          <w:szCs w:val="22"/>
          <w:lang w:val="sr-Latn-CS"/>
        </w:rPr>
        <w:t xml:space="preserve">e klopidogrela kod pacijenata starijih od 75 godina manja od koristi kod onih starih 75 godina i mlađih. </w:t>
      </w:r>
    </w:p>
    <w:p w14:paraId="4E9256CF" w14:textId="41111244" w:rsidR="00F3137E" w:rsidRPr="00B22D20" w:rsidRDefault="00F3137E">
      <w:pPr>
        <w:spacing w:before="120"/>
        <w:rPr>
          <w:szCs w:val="22"/>
          <w:lang w:val="sr-Latn-CS"/>
        </w:rPr>
      </w:pPr>
      <w:r w:rsidRPr="00B22D20">
        <w:rPr>
          <w:szCs w:val="22"/>
          <w:lang w:val="sr-Latn-CS"/>
        </w:rPr>
        <w:t>S obzirom na to da CAPRIE studija nije koncipirana tako da obuhvati proc</w:t>
      </w:r>
      <w:r w:rsidR="000D247E" w:rsidRPr="00B22D20">
        <w:rPr>
          <w:szCs w:val="22"/>
          <w:lang w:val="sr-Latn-CS"/>
        </w:rPr>
        <w:t>j</w:t>
      </w:r>
      <w:r w:rsidRPr="00B22D20">
        <w:rPr>
          <w:szCs w:val="22"/>
          <w:lang w:val="sr-Latn-CS"/>
        </w:rPr>
        <w:t xml:space="preserve">enu efikasnosti pojedinačnih podgrupa, ostalo je nejasno da li su razlike u pogledu redukcije relativnog rizika po podgrupama stvarne ili slučajne. </w:t>
      </w:r>
    </w:p>
    <w:p w14:paraId="36598505" w14:textId="77777777" w:rsidR="0083513E" w:rsidRPr="00B22D20" w:rsidRDefault="00F3137E">
      <w:pPr>
        <w:spacing w:before="120"/>
        <w:rPr>
          <w:i/>
          <w:color w:val="C00000"/>
          <w:szCs w:val="22"/>
          <w:lang w:val="sr-Latn-CS"/>
        </w:rPr>
      </w:pPr>
      <w:r w:rsidRPr="00B22D20">
        <w:rPr>
          <w:i/>
          <w:szCs w:val="22"/>
          <w:lang w:val="sr-Latn-CS"/>
        </w:rPr>
        <w:t>Akutni koronarni sindrom</w:t>
      </w:r>
    </w:p>
    <w:p w14:paraId="626D4F71" w14:textId="72A4C654" w:rsidR="00F3137E" w:rsidRPr="00B22D20" w:rsidRDefault="00F3137E">
      <w:pPr>
        <w:spacing w:before="120"/>
        <w:rPr>
          <w:i/>
          <w:color w:val="C00000"/>
          <w:szCs w:val="22"/>
          <w:lang w:val="sr-Latn-CS"/>
        </w:rPr>
      </w:pPr>
      <w:r w:rsidRPr="00B22D20">
        <w:rPr>
          <w:szCs w:val="22"/>
          <w:lang w:val="sr-Latn-CS"/>
        </w:rPr>
        <w:t xml:space="preserve">CURE </w:t>
      </w:r>
      <w:r w:rsidRPr="00B22D20">
        <w:rPr>
          <w:szCs w:val="22"/>
          <w:lang w:val="sr-Latn-CS" w:eastAsia="ja-JP"/>
        </w:rPr>
        <w:t xml:space="preserve">studija </w:t>
      </w:r>
      <w:r w:rsidRPr="00B22D20">
        <w:rPr>
          <w:szCs w:val="22"/>
          <w:lang w:val="sr-Latn-CS"/>
        </w:rPr>
        <w:t>je uključivala 12 562 pacijenata sa akutnim koronarnim sindromom bez elevacije ST-segmenta (nestabilna angina ili infarkt miokarda bez Q zupca), koji su se javili unutar 24 sata po nastupanju posl</w:t>
      </w:r>
      <w:r w:rsidR="000D247E" w:rsidRPr="00B22D20">
        <w:rPr>
          <w:szCs w:val="22"/>
          <w:lang w:val="sr-Latn-CS"/>
        </w:rPr>
        <w:t>j</w:t>
      </w:r>
      <w:r w:rsidRPr="00B22D20">
        <w:rPr>
          <w:szCs w:val="22"/>
          <w:lang w:val="sr-Latn-CS"/>
        </w:rPr>
        <w:t>ednje epizode bola u grudima ili simptoma koji odgovaraju ishemiji. Pacijenti su mora</w:t>
      </w:r>
      <w:r w:rsidR="00673F39" w:rsidRPr="00B22D20">
        <w:rPr>
          <w:szCs w:val="22"/>
          <w:lang w:val="sr-Latn-CS"/>
        </w:rPr>
        <w:t>li</w:t>
      </w:r>
      <w:r w:rsidRPr="00B22D20">
        <w:rPr>
          <w:szCs w:val="22"/>
          <w:lang w:val="sr-Latn-CS"/>
        </w:rPr>
        <w:t xml:space="preserve"> imati neki od sl</w:t>
      </w:r>
      <w:r w:rsidR="000D247E" w:rsidRPr="00B22D20">
        <w:rPr>
          <w:szCs w:val="22"/>
          <w:lang w:val="sr-Latn-CS"/>
        </w:rPr>
        <w:t>j</w:t>
      </w:r>
      <w:r w:rsidRPr="00B22D20">
        <w:rPr>
          <w:szCs w:val="22"/>
          <w:lang w:val="sr-Latn-CS"/>
        </w:rPr>
        <w:t>edećih pokazatelja: prom</w:t>
      </w:r>
      <w:r w:rsidR="000D247E" w:rsidRPr="00B22D20">
        <w:rPr>
          <w:szCs w:val="22"/>
          <w:lang w:val="sr-Latn-CS"/>
        </w:rPr>
        <w:t>j</w:t>
      </w:r>
      <w:r w:rsidRPr="00B22D20">
        <w:rPr>
          <w:szCs w:val="22"/>
          <w:lang w:val="sr-Latn-CS"/>
        </w:rPr>
        <w:t>ene na EKG-u, koje odgovaraju novoj ishemiji ili povišene vr</w:t>
      </w:r>
      <w:r w:rsidR="000D247E" w:rsidRPr="00B22D20">
        <w:rPr>
          <w:szCs w:val="22"/>
          <w:lang w:val="sr-Latn-CS"/>
        </w:rPr>
        <w:t>ij</w:t>
      </w:r>
      <w:r w:rsidRPr="00B22D20">
        <w:rPr>
          <w:szCs w:val="22"/>
          <w:lang w:val="sr-Latn-CS"/>
        </w:rPr>
        <w:t>ednosti srčanih enzima ili vr</w:t>
      </w:r>
      <w:r w:rsidR="000D247E" w:rsidRPr="00B22D20">
        <w:rPr>
          <w:szCs w:val="22"/>
          <w:lang w:val="sr-Latn-CS"/>
        </w:rPr>
        <w:t>ij</w:t>
      </w:r>
      <w:r w:rsidRPr="00B22D20">
        <w:rPr>
          <w:szCs w:val="22"/>
          <w:lang w:val="sr-Latn-CS"/>
        </w:rPr>
        <w:t>ednosti troponina I ili T</w:t>
      </w:r>
      <w:r w:rsidR="0016718B" w:rsidRPr="00B22D20">
        <w:rPr>
          <w:szCs w:val="22"/>
          <w:lang w:val="sr-Latn-CS"/>
        </w:rPr>
        <w:t>,</w:t>
      </w:r>
      <w:r w:rsidRPr="00B22D20">
        <w:rPr>
          <w:szCs w:val="22"/>
          <w:lang w:val="sr-Latn-CS"/>
        </w:rPr>
        <w:t xml:space="preserve"> najmanje dvostruko veće od gornje granice normale. Pacijenti su randomizovani u grup</w:t>
      </w:r>
      <w:r w:rsidR="005719F3" w:rsidRPr="00B22D20">
        <w:rPr>
          <w:szCs w:val="22"/>
          <w:lang w:val="sr-Latn-CS"/>
        </w:rPr>
        <w:t>i</w:t>
      </w:r>
      <w:r w:rsidRPr="00B22D20">
        <w:rPr>
          <w:szCs w:val="22"/>
          <w:lang w:val="sr-Latn-CS"/>
        </w:rPr>
        <w:t xml:space="preserve"> koja je primala klopidogrel (udarna doza od 300 mg, a zatim 75 mg, dnevno, N=6259) ili u grup</w:t>
      </w:r>
      <w:r w:rsidR="005719F3" w:rsidRPr="00B22D20">
        <w:rPr>
          <w:szCs w:val="22"/>
          <w:lang w:val="sr-Latn-CS"/>
        </w:rPr>
        <w:t>i</w:t>
      </w:r>
      <w:r w:rsidRPr="00B22D20">
        <w:rPr>
          <w:szCs w:val="22"/>
          <w:lang w:val="sr-Latn-CS"/>
        </w:rPr>
        <w:t xml:space="preserve"> koja je dobijala placebo (N=6303). U ob</w:t>
      </w:r>
      <w:r w:rsidR="005719F3" w:rsidRPr="00B22D20">
        <w:rPr>
          <w:szCs w:val="22"/>
          <w:lang w:val="sr-Latn-CS"/>
        </w:rPr>
        <w:t>i</w:t>
      </w:r>
      <w:r w:rsidR="000D247E" w:rsidRPr="00B22D20">
        <w:rPr>
          <w:szCs w:val="22"/>
          <w:lang w:val="sr-Latn-CS"/>
        </w:rPr>
        <w:t>j</w:t>
      </w:r>
      <w:r w:rsidRPr="00B22D20">
        <w:rPr>
          <w:szCs w:val="22"/>
          <w:lang w:val="sr-Latn-CS"/>
        </w:rPr>
        <w:t>e grupe terapija je sprovedena u kombinaciji sa AS</w:t>
      </w:r>
      <w:r w:rsidR="0016718B" w:rsidRPr="00B22D20">
        <w:rPr>
          <w:szCs w:val="22"/>
          <w:lang w:val="sr-Latn-CS"/>
        </w:rPr>
        <w:t>K</w:t>
      </w:r>
      <w:r w:rsidRPr="00B22D20">
        <w:rPr>
          <w:szCs w:val="22"/>
          <w:lang w:val="sr-Latn-CS"/>
        </w:rPr>
        <w:t xml:space="preserve"> (75-325 mg jednom dnevno) i drugom standardnom terapijom. Pacijenti su l</w:t>
      </w:r>
      <w:r w:rsidR="0025035A" w:rsidRPr="00B22D20">
        <w:rPr>
          <w:szCs w:val="22"/>
          <w:lang w:val="sr-Latn-CS"/>
        </w:rPr>
        <w:t>i</w:t>
      </w:r>
      <w:r w:rsidR="000D247E" w:rsidRPr="00B22D20">
        <w:rPr>
          <w:szCs w:val="22"/>
          <w:lang w:val="sr-Latn-CS"/>
        </w:rPr>
        <w:t>j</w:t>
      </w:r>
      <w:r w:rsidRPr="00B22D20">
        <w:rPr>
          <w:szCs w:val="22"/>
          <w:lang w:val="sr-Latn-CS"/>
        </w:rPr>
        <w:t>ečeni u trajanju do godinu dana. U CURE studiji 823</w:t>
      </w:r>
      <w:r w:rsidR="00EB1203" w:rsidRPr="00B22D20">
        <w:rPr>
          <w:szCs w:val="22"/>
          <w:lang w:val="sr-Latn-CS"/>
        </w:rPr>
        <w:t xml:space="preserve"> </w:t>
      </w:r>
      <w:r w:rsidRPr="00B22D20">
        <w:rPr>
          <w:szCs w:val="22"/>
          <w:lang w:val="sr-Latn-CS"/>
        </w:rPr>
        <w:t xml:space="preserve">(6,6%) pacijenta </w:t>
      </w:r>
      <w:r w:rsidR="005719F3" w:rsidRPr="00B22D20">
        <w:rPr>
          <w:szCs w:val="22"/>
          <w:lang w:val="sr-Latn-CS"/>
        </w:rPr>
        <w:t>su</w:t>
      </w:r>
      <w:r w:rsidRPr="00B22D20">
        <w:rPr>
          <w:szCs w:val="22"/>
          <w:lang w:val="sr-Latn-CS"/>
        </w:rPr>
        <w:t xml:space="preserve"> istovremeno dobijal</w:t>
      </w:r>
      <w:r w:rsidR="005719F3" w:rsidRPr="00B22D20">
        <w:rPr>
          <w:szCs w:val="22"/>
          <w:lang w:val="sr-Latn-CS"/>
        </w:rPr>
        <w:t>a</w:t>
      </w:r>
      <w:r w:rsidRPr="00B22D20">
        <w:rPr>
          <w:szCs w:val="22"/>
          <w:lang w:val="sr-Latn-CS"/>
        </w:rPr>
        <w:t xml:space="preserve"> i terapiju antagonistom receptora glikoproteina IIb/IIIa. Heparin </w:t>
      </w:r>
      <w:r w:rsidR="0034451C" w:rsidRPr="00B22D20">
        <w:rPr>
          <w:szCs w:val="22"/>
          <w:lang w:val="sr-Latn-CS"/>
        </w:rPr>
        <w:t>je</w:t>
      </w:r>
      <w:r w:rsidRPr="00B22D20">
        <w:rPr>
          <w:szCs w:val="22"/>
          <w:lang w:val="sr-Latn-CS"/>
        </w:rPr>
        <w:t xml:space="preserve"> prim</w:t>
      </w:r>
      <w:r w:rsidR="0034451C" w:rsidRPr="00B22D20">
        <w:rPr>
          <w:szCs w:val="22"/>
          <w:lang w:val="sr-Latn-CS"/>
        </w:rPr>
        <w:t xml:space="preserve">alo </w:t>
      </w:r>
      <w:r w:rsidRPr="00B22D20">
        <w:rPr>
          <w:szCs w:val="22"/>
          <w:lang w:val="sr-Latn-CS"/>
        </w:rPr>
        <w:t xml:space="preserve">više od 90% pacijenata. Istovremena </w:t>
      </w:r>
      <w:r w:rsidR="00D77814" w:rsidRPr="00B22D20">
        <w:rPr>
          <w:szCs w:val="22"/>
          <w:lang w:val="sr-Latn-CS"/>
        </w:rPr>
        <w:t>primjen</w:t>
      </w:r>
      <w:r w:rsidRPr="00B22D20">
        <w:rPr>
          <w:szCs w:val="22"/>
          <w:lang w:val="sr-Latn-CS"/>
        </w:rPr>
        <w:t>a heparina nije značajno uticala na relativan odnos učestalosti krvarenja između grupe na klopidogrelu i grupe na placebu.</w:t>
      </w:r>
    </w:p>
    <w:p w14:paraId="168D7A8B" w14:textId="7616F411" w:rsidR="00F3137E" w:rsidRPr="00B22D20" w:rsidRDefault="00F3137E">
      <w:pPr>
        <w:spacing w:before="120"/>
        <w:rPr>
          <w:szCs w:val="22"/>
          <w:lang w:val="sr-Latn-CS"/>
        </w:rPr>
      </w:pPr>
      <w:r w:rsidRPr="00B22D20">
        <w:rPr>
          <w:szCs w:val="22"/>
          <w:lang w:val="sr-Latn-CS"/>
        </w:rPr>
        <w:t xml:space="preserve">Broj pacijenata koji su </w:t>
      </w:r>
      <w:r w:rsidR="00073B00" w:rsidRPr="00B22D20">
        <w:rPr>
          <w:szCs w:val="22"/>
          <w:lang w:val="sr-Latn-CS"/>
        </w:rPr>
        <w:t>doživjeli primarni parametar praćenja</w:t>
      </w:r>
      <w:r w:rsidRPr="00B22D20">
        <w:rPr>
          <w:szCs w:val="22"/>
          <w:lang w:val="sr-Latn-CS"/>
        </w:rPr>
        <w:t xml:space="preserve"> [kardiovaskularna (</w:t>
      </w:r>
      <w:r w:rsidR="0034451C" w:rsidRPr="00B22D20">
        <w:rPr>
          <w:szCs w:val="22"/>
          <w:lang w:val="sr-Latn-CS"/>
        </w:rPr>
        <w:t>K</w:t>
      </w:r>
      <w:r w:rsidRPr="00B22D20">
        <w:rPr>
          <w:szCs w:val="22"/>
          <w:lang w:val="sr-Latn-CS"/>
        </w:rPr>
        <w:t xml:space="preserve">V) smrt, infarkt miokarda (MI) ili moždani udar] u grupi koja je primala klopidogrel bio je 582 (9,3%) odnosno 719 (11,4%) u grupi koja je primala placebo, što predstavlja smanjenje relativnog rizika od 20% (95% CI 10%-28%; p=0,00009) u grupi </w:t>
      </w:r>
      <w:r w:rsidR="004306B9" w:rsidRPr="00B22D20">
        <w:rPr>
          <w:szCs w:val="22"/>
          <w:lang w:val="sr-Latn-CS"/>
        </w:rPr>
        <w:t>koja se l</w:t>
      </w:r>
      <w:r w:rsidR="00673F39" w:rsidRPr="00B22D20">
        <w:rPr>
          <w:szCs w:val="22"/>
          <w:lang w:val="sr-Latn-CS"/>
        </w:rPr>
        <w:t>i</w:t>
      </w:r>
      <w:r w:rsidR="000D247E" w:rsidRPr="00B22D20">
        <w:rPr>
          <w:szCs w:val="22"/>
          <w:lang w:val="sr-Latn-CS"/>
        </w:rPr>
        <w:t>j</w:t>
      </w:r>
      <w:r w:rsidR="004306B9" w:rsidRPr="00B22D20">
        <w:rPr>
          <w:szCs w:val="22"/>
          <w:lang w:val="sr-Latn-CS"/>
        </w:rPr>
        <w:t xml:space="preserve">ečila </w:t>
      </w:r>
      <w:r w:rsidRPr="00B22D20">
        <w:rPr>
          <w:szCs w:val="22"/>
          <w:lang w:val="sr-Latn-CS"/>
        </w:rPr>
        <w:t>klopidogrel</w:t>
      </w:r>
      <w:r w:rsidR="004306B9" w:rsidRPr="00B22D20">
        <w:rPr>
          <w:szCs w:val="22"/>
          <w:lang w:val="sr-Latn-CS"/>
        </w:rPr>
        <w:t>om</w:t>
      </w:r>
      <w:r w:rsidRPr="00B22D20">
        <w:rPr>
          <w:szCs w:val="22"/>
          <w:lang w:val="sr-Latn-CS"/>
        </w:rPr>
        <w:t xml:space="preserve"> (17% </w:t>
      </w:r>
      <w:r w:rsidR="004306B9" w:rsidRPr="00B22D20">
        <w:rPr>
          <w:szCs w:val="22"/>
          <w:lang w:val="sr-Latn-CS"/>
        </w:rPr>
        <w:t xml:space="preserve">smanjenje relativnog rizika </w:t>
      </w:r>
      <w:r w:rsidRPr="00B22D20">
        <w:rPr>
          <w:szCs w:val="22"/>
          <w:lang w:val="sr-Latn-CS"/>
        </w:rPr>
        <w:t>kod konzervativno l</w:t>
      </w:r>
      <w:r w:rsidR="00673F39" w:rsidRPr="00B22D20">
        <w:rPr>
          <w:szCs w:val="22"/>
          <w:lang w:val="sr-Latn-CS"/>
        </w:rPr>
        <w:t>i</w:t>
      </w:r>
      <w:r w:rsidR="000D247E" w:rsidRPr="00B22D20">
        <w:rPr>
          <w:szCs w:val="22"/>
          <w:lang w:val="sr-Latn-CS"/>
        </w:rPr>
        <w:t>j</w:t>
      </w:r>
      <w:r w:rsidRPr="00B22D20">
        <w:rPr>
          <w:szCs w:val="22"/>
          <w:lang w:val="sr-Latn-CS"/>
        </w:rPr>
        <w:t xml:space="preserve">ečenih pacijenta, 29% </w:t>
      </w:r>
      <w:r w:rsidR="00A572FF" w:rsidRPr="00B22D20">
        <w:rPr>
          <w:szCs w:val="22"/>
          <w:lang w:val="sr-Latn-CS"/>
        </w:rPr>
        <w:t xml:space="preserve">kod </w:t>
      </w:r>
      <w:r w:rsidRPr="00B22D20">
        <w:rPr>
          <w:szCs w:val="22"/>
          <w:lang w:val="sr-Latn-CS"/>
        </w:rPr>
        <w:lastRenderedPageBreak/>
        <w:t>pacijen</w:t>
      </w:r>
      <w:r w:rsidR="004306B9" w:rsidRPr="00B22D20">
        <w:rPr>
          <w:szCs w:val="22"/>
          <w:lang w:val="sr-Latn-CS"/>
        </w:rPr>
        <w:t>ata</w:t>
      </w:r>
      <w:r w:rsidRPr="00B22D20">
        <w:rPr>
          <w:szCs w:val="22"/>
          <w:lang w:val="sr-Latn-CS"/>
        </w:rPr>
        <w:t xml:space="preserve"> podvrgnut</w:t>
      </w:r>
      <w:r w:rsidR="004306B9" w:rsidRPr="00B22D20">
        <w:rPr>
          <w:szCs w:val="22"/>
          <w:lang w:val="sr-Latn-CS"/>
        </w:rPr>
        <w:t>ih</w:t>
      </w:r>
      <w:r w:rsidRPr="00B22D20">
        <w:rPr>
          <w:szCs w:val="22"/>
          <w:lang w:val="sr-Latn-CS"/>
        </w:rPr>
        <w:t xml:space="preserve"> perkutanoj transluminalnoj koronarnoj angioplastici (PTCA), sa ili bez ugradnje stenta, </w:t>
      </w:r>
      <w:r w:rsidR="004306B9" w:rsidRPr="00B22D20">
        <w:rPr>
          <w:szCs w:val="22"/>
          <w:lang w:val="sr-Latn-CS"/>
        </w:rPr>
        <w:t>i</w:t>
      </w:r>
      <w:r w:rsidRPr="00B22D20">
        <w:rPr>
          <w:szCs w:val="22"/>
          <w:lang w:val="sr-Latn-CS"/>
        </w:rPr>
        <w:t xml:space="preserve"> 10% pacijen</w:t>
      </w:r>
      <w:r w:rsidR="004306B9" w:rsidRPr="00B22D20">
        <w:rPr>
          <w:szCs w:val="22"/>
          <w:lang w:val="sr-Latn-CS"/>
        </w:rPr>
        <w:t>ata</w:t>
      </w:r>
      <w:r w:rsidRPr="00B22D20">
        <w:rPr>
          <w:szCs w:val="22"/>
          <w:lang w:val="sr-Latn-CS"/>
        </w:rPr>
        <w:t xml:space="preserve"> </w:t>
      </w:r>
      <w:r w:rsidR="004306B9" w:rsidRPr="00B22D20">
        <w:rPr>
          <w:szCs w:val="22"/>
          <w:lang w:val="sr-Latn-CS"/>
        </w:rPr>
        <w:t xml:space="preserve">kod kojih je </w:t>
      </w:r>
      <w:r w:rsidRPr="00B22D20">
        <w:rPr>
          <w:szCs w:val="22"/>
          <w:lang w:val="sr-Latn-CS"/>
        </w:rPr>
        <w:t>urađen koronarni arterijski bajpas</w:t>
      </w:r>
      <w:r w:rsidR="004306B9" w:rsidRPr="00B22D20">
        <w:rPr>
          <w:szCs w:val="22"/>
          <w:lang w:val="sr-Latn-CS"/>
        </w:rPr>
        <w:t xml:space="preserve"> (CABG, engl.</w:t>
      </w:r>
      <w:r w:rsidR="00073B00" w:rsidRPr="00B22D20">
        <w:rPr>
          <w:szCs w:val="22"/>
          <w:lang w:val="sr-Latn-CS"/>
        </w:rPr>
        <w:t xml:space="preserve"> </w:t>
      </w:r>
      <w:r w:rsidR="00DF0EEC" w:rsidRPr="00B22D20">
        <w:rPr>
          <w:i/>
          <w:szCs w:val="22"/>
          <w:lang w:val="sr-Latn-CS"/>
        </w:rPr>
        <w:t>Coronary Artery</w:t>
      </w:r>
      <w:r w:rsidR="004306B9" w:rsidRPr="00B22D20">
        <w:rPr>
          <w:szCs w:val="22"/>
          <w:lang w:val="sr-Latn-CS"/>
        </w:rPr>
        <w:t xml:space="preserve"> </w:t>
      </w:r>
      <w:r w:rsidR="00DF0EEC" w:rsidRPr="00B22D20">
        <w:rPr>
          <w:i/>
          <w:szCs w:val="22"/>
          <w:lang w:val="sr-Latn-CS"/>
        </w:rPr>
        <w:t>Bypass Graft</w:t>
      </w:r>
      <w:r w:rsidR="00A572FF" w:rsidRPr="00B22D20">
        <w:rPr>
          <w:szCs w:val="22"/>
          <w:lang w:val="sr-Latn-CS"/>
        </w:rPr>
        <w:t>)</w:t>
      </w:r>
      <w:r w:rsidRPr="00B22D20">
        <w:rPr>
          <w:szCs w:val="22"/>
          <w:lang w:val="sr-Latn-CS"/>
        </w:rPr>
        <w:t>. Novi kardiovaskularni događaji</w:t>
      </w:r>
      <w:r w:rsidR="00073B00" w:rsidRPr="00B22D20">
        <w:rPr>
          <w:szCs w:val="22"/>
          <w:lang w:val="sr-Latn-CS"/>
        </w:rPr>
        <w:t xml:space="preserve"> (primarni parametar praćenja)</w:t>
      </w:r>
      <w:r w:rsidRPr="00B22D20">
        <w:rPr>
          <w:szCs w:val="22"/>
          <w:lang w:val="sr-Latn-CS"/>
        </w:rPr>
        <w:t xml:space="preserve"> su prevenirani sa smanjenjem relativnog rizika od 22% (CI: 8,6,</w:t>
      </w:r>
      <w:r w:rsidR="004306B9" w:rsidRPr="00B22D20">
        <w:rPr>
          <w:szCs w:val="22"/>
          <w:lang w:val="sr-Latn-CS"/>
        </w:rPr>
        <w:t xml:space="preserve"> </w:t>
      </w:r>
      <w:r w:rsidRPr="00B22D20">
        <w:rPr>
          <w:szCs w:val="22"/>
          <w:lang w:val="sr-Latn-CS"/>
        </w:rPr>
        <w:t>33,4), 32% (CI: 12,8,</w:t>
      </w:r>
      <w:r w:rsidR="004306B9" w:rsidRPr="00B22D20">
        <w:rPr>
          <w:szCs w:val="22"/>
          <w:lang w:val="sr-Latn-CS"/>
        </w:rPr>
        <w:t xml:space="preserve"> </w:t>
      </w:r>
      <w:r w:rsidRPr="00B22D20">
        <w:rPr>
          <w:szCs w:val="22"/>
          <w:lang w:val="sr-Latn-CS"/>
        </w:rPr>
        <w:t xml:space="preserve"> 46,4), 4% (CI: -26,9, 26,7), 6% (CI: -33,5, 34,3) i 14% (CI: -31,6,</w:t>
      </w:r>
      <w:r w:rsidR="004306B9" w:rsidRPr="00B22D20">
        <w:rPr>
          <w:szCs w:val="22"/>
          <w:lang w:val="sr-Latn-CS"/>
        </w:rPr>
        <w:t xml:space="preserve"> </w:t>
      </w:r>
      <w:r w:rsidRPr="00B22D20">
        <w:rPr>
          <w:szCs w:val="22"/>
          <w:lang w:val="sr-Latn-CS"/>
        </w:rPr>
        <w:t xml:space="preserve">44,2), tokom </w:t>
      </w:r>
      <w:r w:rsidR="00073B00" w:rsidRPr="00B22D20">
        <w:rPr>
          <w:szCs w:val="22"/>
          <w:lang w:val="sr-Latn-CS"/>
        </w:rPr>
        <w:t>trajanja studija u</w:t>
      </w:r>
      <w:r w:rsidRPr="00B22D20">
        <w:rPr>
          <w:szCs w:val="22"/>
          <w:lang w:val="sr-Latn-CS"/>
        </w:rPr>
        <w:t xml:space="preserve"> period</w:t>
      </w:r>
      <w:r w:rsidR="00073B00" w:rsidRPr="00B22D20">
        <w:rPr>
          <w:szCs w:val="22"/>
          <w:lang w:val="sr-Latn-CS"/>
        </w:rPr>
        <w:t>u</w:t>
      </w:r>
      <w:r w:rsidRPr="00B22D20">
        <w:rPr>
          <w:szCs w:val="22"/>
          <w:lang w:val="sr-Latn-CS"/>
        </w:rPr>
        <w:t xml:space="preserve"> od 0</w:t>
      </w:r>
      <w:r w:rsidR="00461A2D" w:rsidRPr="00B22D20">
        <w:rPr>
          <w:szCs w:val="22"/>
          <w:lang w:val="sr-Latn-CS"/>
        </w:rPr>
        <w:t xml:space="preserve"> do </w:t>
      </w:r>
      <w:r w:rsidRPr="00B22D20">
        <w:rPr>
          <w:szCs w:val="22"/>
          <w:lang w:val="sr-Latn-CS"/>
        </w:rPr>
        <w:t>1</w:t>
      </w:r>
      <w:r w:rsidR="00461A2D" w:rsidRPr="00B22D20">
        <w:rPr>
          <w:szCs w:val="22"/>
          <w:lang w:val="sr-Latn-CS"/>
        </w:rPr>
        <w:t xml:space="preserve"> m</w:t>
      </w:r>
      <w:r w:rsidR="000D247E" w:rsidRPr="00B22D20">
        <w:rPr>
          <w:szCs w:val="22"/>
          <w:lang w:val="sr-Latn-CS"/>
        </w:rPr>
        <w:t>j</w:t>
      </w:r>
      <w:r w:rsidR="00461A2D" w:rsidRPr="00B22D20">
        <w:rPr>
          <w:szCs w:val="22"/>
          <w:lang w:val="sr-Latn-CS"/>
        </w:rPr>
        <w:t>eseca</w:t>
      </w:r>
      <w:r w:rsidRPr="00B22D20">
        <w:rPr>
          <w:szCs w:val="22"/>
          <w:lang w:val="sr-Latn-CS"/>
        </w:rPr>
        <w:t>, 1</w:t>
      </w:r>
      <w:r w:rsidR="000D247E" w:rsidRPr="00B22D20">
        <w:rPr>
          <w:szCs w:val="22"/>
          <w:lang w:val="sr-Latn-CS"/>
        </w:rPr>
        <w:t xml:space="preserve"> </w:t>
      </w:r>
      <w:r w:rsidR="00461A2D" w:rsidRPr="00B22D20">
        <w:rPr>
          <w:szCs w:val="22"/>
          <w:lang w:val="sr-Latn-CS"/>
        </w:rPr>
        <w:t xml:space="preserve">do </w:t>
      </w:r>
      <w:r w:rsidRPr="00B22D20">
        <w:rPr>
          <w:szCs w:val="22"/>
          <w:lang w:val="sr-Latn-CS"/>
        </w:rPr>
        <w:t>3</w:t>
      </w:r>
      <w:r w:rsidR="00461A2D" w:rsidRPr="00B22D20">
        <w:rPr>
          <w:szCs w:val="22"/>
          <w:lang w:val="sr-Latn-CS"/>
        </w:rPr>
        <w:t xml:space="preserve"> m</w:t>
      </w:r>
      <w:r w:rsidR="000D247E" w:rsidRPr="00B22D20">
        <w:rPr>
          <w:szCs w:val="22"/>
          <w:lang w:val="sr-Latn-CS"/>
        </w:rPr>
        <w:t>j</w:t>
      </w:r>
      <w:r w:rsidR="00461A2D" w:rsidRPr="00B22D20">
        <w:rPr>
          <w:szCs w:val="22"/>
          <w:lang w:val="sr-Latn-CS"/>
        </w:rPr>
        <w:t>eseca</w:t>
      </w:r>
      <w:r w:rsidRPr="00B22D20">
        <w:rPr>
          <w:szCs w:val="22"/>
          <w:lang w:val="sr-Latn-CS"/>
        </w:rPr>
        <w:t>, 3</w:t>
      </w:r>
      <w:r w:rsidR="00461A2D" w:rsidRPr="00B22D20">
        <w:rPr>
          <w:szCs w:val="22"/>
          <w:lang w:val="sr-Latn-CS"/>
        </w:rPr>
        <w:t xml:space="preserve"> do </w:t>
      </w:r>
      <w:r w:rsidRPr="00B22D20">
        <w:rPr>
          <w:szCs w:val="22"/>
          <w:lang w:val="sr-Latn-CS"/>
        </w:rPr>
        <w:t>6</w:t>
      </w:r>
      <w:r w:rsidR="00461A2D" w:rsidRPr="00B22D20">
        <w:rPr>
          <w:szCs w:val="22"/>
          <w:lang w:val="sr-Latn-CS"/>
        </w:rPr>
        <w:t xml:space="preserve"> m</w:t>
      </w:r>
      <w:r w:rsidR="000D247E" w:rsidRPr="00B22D20">
        <w:rPr>
          <w:szCs w:val="22"/>
          <w:lang w:val="sr-Latn-CS"/>
        </w:rPr>
        <w:t>j</w:t>
      </w:r>
      <w:r w:rsidR="00461A2D" w:rsidRPr="00B22D20">
        <w:rPr>
          <w:szCs w:val="22"/>
          <w:lang w:val="sr-Latn-CS"/>
        </w:rPr>
        <w:t>eseci</w:t>
      </w:r>
      <w:r w:rsidRPr="00B22D20">
        <w:rPr>
          <w:szCs w:val="22"/>
          <w:lang w:val="sr-Latn-CS"/>
        </w:rPr>
        <w:t>, 6</w:t>
      </w:r>
      <w:r w:rsidR="00461A2D" w:rsidRPr="00B22D20">
        <w:rPr>
          <w:szCs w:val="22"/>
          <w:lang w:val="sr-Latn-CS"/>
        </w:rPr>
        <w:t xml:space="preserve"> do </w:t>
      </w:r>
      <w:r w:rsidRPr="00B22D20">
        <w:rPr>
          <w:szCs w:val="22"/>
          <w:lang w:val="sr-Latn-CS"/>
        </w:rPr>
        <w:t>9</w:t>
      </w:r>
      <w:r w:rsidR="00461A2D" w:rsidRPr="00B22D20">
        <w:rPr>
          <w:szCs w:val="22"/>
          <w:lang w:val="sr-Latn-CS"/>
        </w:rPr>
        <w:t xml:space="preserve"> m</w:t>
      </w:r>
      <w:r w:rsidR="000D247E" w:rsidRPr="00B22D20">
        <w:rPr>
          <w:szCs w:val="22"/>
          <w:lang w:val="sr-Latn-CS"/>
        </w:rPr>
        <w:t>j</w:t>
      </w:r>
      <w:r w:rsidR="00461A2D" w:rsidRPr="00B22D20">
        <w:rPr>
          <w:szCs w:val="22"/>
          <w:lang w:val="sr-Latn-CS"/>
        </w:rPr>
        <w:t>eseci</w:t>
      </w:r>
      <w:r w:rsidRPr="00B22D20">
        <w:rPr>
          <w:szCs w:val="22"/>
          <w:lang w:val="sr-Latn-CS"/>
        </w:rPr>
        <w:t>, odnosno 9</w:t>
      </w:r>
      <w:r w:rsidR="00461A2D" w:rsidRPr="00B22D20">
        <w:rPr>
          <w:szCs w:val="22"/>
          <w:lang w:val="sr-Latn-CS"/>
        </w:rPr>
        <w:t xml:space="preserve"> do </w:t>
      </w:r>
      <w:r w:rsidRPr="00B22D20">
        <w:rPr>
          <w:szCs w:val="22"/>
          <w:lang w:val="sr-Latn-CS"/>
        </w:rPr>
        <w:t>12 m</w:t>
      </w:r>
      <w:r w:rsidR="000D247E" w:rsidRPr="00B22D20">
        <w:rPr>
          <w:szCs w:val="22"/>
          <w:lang w:val="sr-Latn-CS"/>
        </w:rPr>
        <w:t>j</w:t>
      </w:r>
      <w:r w:rsidRPr="00B22D20">
        <w:rPr>
          <w:szCs w:val="22"/>
          <w:lang w:val="sr-Latn-CS"/>
        </w:rPr>
        <w:t>eseci. Tako se, korisni efekat, u grupi l</w:t>
      </w:r>
      <w:r w:rsidR="00673F39" w:rsidRPr="00B22D20">
        <w:rPr>
          <w:szCs w:val="22"/>
          <w:lang w:val="sr-Latn-CS"/>
        </w:rPr>
        <w:t>i</w:t>
      </w:r>
      <w:r w:rsidR="000D247E" w:rsidRPr="00B22D20">
        <w:rPr>
          <w:szCs w:val="22"/>
          <w:lang w:val="sr-Latn-CS"/>
        </w:rPr>
        <w:t>j</w:t>
      </w:r>
      <w:r w:rsidRPr="00B22D20">
        <w:rPr>
          <w:szCs w:val="22"/>
          <w:lang w:val="sr-Latn-CS"/>
        </w:rPr>
        <w:t xml:space="preserve">ečenoj kombinacijom klopidogrela sa </w:t>
      </w:r>
      <w:r w:rsidR="00465370" w:rsidRPr="00B22D20">
        <w:rPr>
          <w:szCs w:val="22"/>
          <w:lang w:val="sr-Latn-CS"/>
        </w:rPr>
        <w:t>AS</w:t>
      </w:r>
      <w:r w:rsidR="00AF3BA6" w:rsidRPr="00B22D20">
        <w:rPr>
          <w:szCs w:val="22"/>
          <w:lang w:val="sr-Latn-CS"/>
        </w:rPr>
        <w:t>K</w:t>
      </w:r>
      <w:r w:rsidRPr="00B22D20">
        <w:rPr>
          <w:szCs w:val="22"/>
          <w:lang w:val="sr-Latn-CS"/>
        </w:rPr>
        <w:t>, nije povećavao posl</w:t>
      </w:r>
      <w:r w:rsidR="000D247E" w:rsidRPr="00B22D20">
        <w:rPr>
          <w:szCs w:val="22"/>
          <w:lang w:val="sr-Latn-CS"/>
        </w:rPr>
        <w:t>ij</w:t>
      </w:r>
      <w:r w:rsidRPr="00B22D20">
        <w:rPr>
          <w:szCs w:val="22"/>
          <w:lang w:val="sr-Latn-CS"/>
        </w:rPr>
        <w:t>e 3. m</w:t>
      </w:r>
      <w:r w:rsidR="000D247E" w:rsidRPr="00B22D20">
        <w:rPr>
          <w:szCs w:val="22"/>
          <w:lang w:val="sr-Latn-CS"/>
        </w:rPr>
        <w:t>j</w:t>
      </w:r>
      <w:r w:rsidRPr="00B22D20">
        <w:rPr>
          <w:szCs w:val="22"/>
          <w:lang w:val="sr-Latn-CS"/>
        </w:rPr>
        <w:t>eseca terapije, dok je rizik za krvarenje ostao (</w:t>
      </w:r>
      <w:r w:rsidR="00D77814" w:rsidRPr="00B22D20">
        <w:rPr>
          <w:szCs w:val="22"/>
          <w:lang w:val="sr-Latn-CS"/>
        </w:rPr>
        <w:t>vidjet</w:t>
      </w:r>
      <w:r w:rsidR="00DF0EEC" w:rsidRPr="00B22D20">
        <w:rPr>
          <w:szCs w:val="22"/>
          <w:lang w:val="sr-Latn-CS"/>
        </w:rPr>
        <w:t xml:space="preserve">i </w:t>
      </w:r>
      <w:r w:rsidR="00673F39" w:rsidRPr="00B22D20">
        <w:rPr>
          <w:szCs w:val="22"/>
          <w:lang w:val="sr-Latn-CS"/>
        </w:rPr>
        <w:t>dio</w:t>
      </w:r>
      <w:r w:rsidR="00DF0EEC" w:rsidRPr="00B22D20">
        <w:rPr>
          <w:szCs w:val="22"/>
          <w:lang w:val="sr-Latn-CS"/>
        </w:rPr>
        <w:t xml:space="preserve"> 4.4</w:t>
      </w:r>
      <w:r w:rsidRPr="00B22D20">
        <w:rPr>
          <w:szCs w:val="22"/>
          <w:lang w:val="sr-Latn-CS"/>
        </w:rPr>
        <w:t>).</w:t>
      </w:r>
    </w:p>
    <w:p w14:paraId="4CA2EDD4" w14:textId="77777777" w:rsidR="00F3137E" w:rsidRPr="00B22D20" w:rsidRDefault="00F3137E">
      <w:pPr>
        <w:spacing w:before="120"/>
        <w:rPr>
          <w:szCs w:val="22"/>
          <w:lang w:val="sr-Latn-CS"/>
        </w:rPr>
      </w:pPr>
      <w:r w:rsidRPr="00B22D20">
        <w:rPr>
          <w:szCs w:val="22"/>
          <w:lang w:val="sr-Latn-CS"/>
        </w:rPr>
        <w:t>Upotreba klopidogrela u CURE studiji bila je povezana sa smanjenjem potrebe za tromboliticima (RRR=43,3%; CI: 24,3, 57,5%) i inhibitorima glikoproteina IIb/IIIa (RRR=18,2%; CI: 6,5%, 28,3%).</w:t>
      </w:r>
    </w:p>
    <w:p w14:paraId="218AB4DC" w14:textId="05B40813" w:rsidR="00F3137E" w:rsidRPr="00B22D20" w:rsidRDefault="00F3137E">
      <w:pPr>
        <w:pStyle w:val="Header"/>
        <w:spacing w:before="120"/>
        <w:rPr>
          <w:szCs w:val="22"/>
          <w:lang w:val="sr-Latn-CS"/>
        </w:rPr>
      </w:pPr>
      <w:r w:rsidRPr="00B22D20">
        <w:rPr>
          <w:szCs w:val="22"/>
          <w:lang w:val="sr-Latn-CS"/>
        </w:rPr>
        <w:t xml:space="preserve">Broj pacijenata </w:t>
      </w:r>
      <w:r w:rsidRPr="00B22D20">
        <w:rPr>
          <w:szCs w:val="22"/>
        </w:rPr>
        <w:t>kod</w:t>
      </w:r>
      <w:r w:rsidRPr="00B22D20">
        <w:rPr>
          <w:szCs w:val="22"/>
          <w:lang w:val="sr-Latn-CS"/>
        </w:rPr>
        <w:t xml:space="preserve"> </w:t>
      </w:r>
      <w:r w:rsidRPr="00B22D20">
        <w:rPr>
          <w:szCs w:val="22"/>
        </w:rPr>
        <w:t>kojih</w:t>
      </w:r>
      <w:r w:rsidRPr="00B22D20">
        <w:rPr>
          <w:szCs w:val="22"/>
          <w:lang w:val="sr-Latn-CS"/>
        </w:rPr>
        <w:t xml:space="preserve"> </w:t>
      </w:r>
      <w:r w:rsidRPr="00B22D20">
        <w:rPr>
          <w:szCs w:val="22"/>
        </w:rPr>
        <w:t>se</w:t>
      </w:r>
      <w:r w:rsidRPr="00B22D20">
        <w:rPr>
          <w:szCs w:val="22"/>
          <w:lang w:val="sr-Latn-CS"/>
        </w:rPr>
        <w:t xml:space="preserve"> </w:t>
      </w:r>
      <w:r w:rsidRPr="00B22D20">
        <w:rPr>
          <w:szCs w:val="22"/>
        </w:rPr>
        <w:t>javio</w:t>
      </w:r>
      <w:r w:rsidRPr="00B22D20">
        <w:rPr>
          <w:szCs w:val="22"/>
          <w:lang w:val="sr-Latn-CS"/>
        </w:rPr>
        <w:t xml:space="preserve"> </w:t>
      </w:r>
      <w:r w:rsidR="00073B00" w:rsidRPr="00B22D20">
        <w:rPr>
          <w:szCs w:val="22"/>
          <w:lang w:val="sr-Latn-CS"/>
        </w:rPr>
        <w:t xml:space="preserve">koprimarni parametar praćenja </w:t>
      </w:r>
      <w:r w:rsidRPr="00B22D20">
        <w:rPr>
          <w:szCs w:val="22"/>
          <w:lang w:val="sr-Latn-CS"/>
        </w:rPr>
        <w:t>(kardiovaskularna smrt, infarkt miokarda, moždani udar ili refrakt</w:t>
      </w:r>
      <w:r w:rsidR="008F1C3B" w:rsidRPr="00B22D20">
        <w:rPr>
          <w:szCs w:val="22"/>
          <w:lang w:val="sr-Latn-CS"/>
        </w:rPr>
        <w:t>o</w:t>
      </w:r>
      <w:r w:rsidRPr="00B22D20">
        <w:rPr>
          <w:szCs w:val="22"/>
          <w:lang w:val="sr-Latn-CS"/>
        </w:rPr>
        <w:t>rna ishemija) bio je 1035 (16,5%) u grupi l</w:t>
      </w:r>
      <w:r w:rsidR="00673F39" w:rsidRPr="00B22D20">
        <w:rPr>
          <w:szCs w:val="22"/>
          <w:lang w:val="sr-Latn-CS"/>
        </w:rPr>
        <w:t>i</w:t>
      </w:r>
      <w:r w:rsidR="000D247E" w:rsidRPr="00B22D20">
        <w:rPr>
          <w:szCs w:val="22"/>
          <w:lang w:val="sr-Latn-CS"/>
        </w:rPr>
        <w:t>j</w:t>
      </w:r>
      <w:r w:rsidRPr="00B22D20">
        <w:rPr>
          <w:szCs w:val="22"/>
          <w:lang w:val="sr-Latn-CS"/>
        </w:rPr>
        <w:t>ečenoj klopidogrelom, odnosno 1</w:t>
      </w:r>
      <w:r w:rsidR="008F1C3B" w:rsidRPr="00B22D20">
        <w:rPr>
          <w:szCs w:val="22"/>
          <w:lang w:val="sr-Latn-CS"/>
        </w:rPr>
        <w:t xml:space="preserve"> </w:t>
      </w:r>
      <w:r w:rsidRPr="00B22D20">
        <w:rPr>
          <w:szCs w:val="22"/>
          <w:lang w:val="sr-Latn-CS"/>
        </w:rPr>
        <w:t>187 (18,8%) u grupi l</w:t>
      </w:r>
      <w:r w:rsidR="00673F39" w:rsidRPr="00B22D20">
        <w:rPr>
          <w:szCs w:val="22"/>
          <w:lang w:val="sr-Latn-CS"/>
        </w:rPr>
        <w:t>i</w:t>
      </w:r>
      <w:r w:rsidR="000D247E" w:rsidRPr="00B22D20">
        <w:rPr>
          <w:szCs w:val="22"/>
          <w:lang w:val="sr-Latn-CS"/>
        </w:rPr>
        <w:t>j</w:t>
      </w:r>
      <w:r w:rsidRPr="00B22D20">
        <w:rPr>
          <w:szCs w:val="22"/>
          <w:lang w:val="sr-Latn-CS"/>
        </w:rPr>
        <w:t xml:space="preserve">ečenoj placebom, što predstavlja redukciju relativnog rizika za 14% (95% CI 6%-21%, p=0,0005) u grupi koja je dobijala klopidogrel. Korist od </w:t>
      </w:r>
      <w:r w:rsidR="00D77814" w:rsidRPr="00B22D20">
        <w:rPr>
          <w:szCs w:val="22"/>
          <w:lang w:val="sr-Latn-CS"/>
        </w:rPr>
        <w:t>primjen</w:t>
      </w:r>
      <w:r w:rsidRPr="00B22D20">
        <w:rPr>
          <w:szCs w:val="22"/>
          <w:lang w:val="sr-Latn-CS"/>
        </w:rPr>
        <w:t>e klopidogrela potiče uglavnom od značajnog smanjenja učestalosti javljanja infarkta miokarda [287 (4,6%) u grupi l</w:t>
      </w:r>
      <w:r w:rsidR="00673F39" w:rsidRPr="00B22D20">
        <w:rPr>
          <w:szCs w:val="22"/>
          <w:lang w:val="sr-Latn-CS"/>
        </w:rPr>
        <w:t>i</w:t>
      </w:r>
      <w:r w:rsidR="000D247E" w:rsidRPr="00B22D20">
        <w:rPr>
          <w:szCs w:val="22"/>
          <w:lang w:val="sr-Latn-CS"/>
        </w:rPr>
        <w:t>j</w:t>
      </w:r>
      <w:r w:rsidRPr="00B22D20">
        <w:rPr>
          <w:szCs w:val="22"/>
          <w:lang w:val="sr-Latn-CS"/>
        </w:rPr>
        <w:t xml:space="preserve">ečenoj klopidogrelom, odnosno 363 (5,8%) u grupi koja je dobijala placebo]. </w:t>
      </w:r>
      <w:r w:rsidRPr="00B22D20">
        <w:rPr>
          <w:szCs w:val="22"/>
        </w:rPr>
        <w:t>Nije</w:t>
      </w:r>
      <w:r w:rsidRPr="00B22D20">
        <w:rPr>
          <w:szCs w:val="22"/>
          <w:lang w:val="sr-Latn-CS"/>
        </w:rPr>
        <w:t xml:space="preserve"> </w:t>
      </w:r>
      <w:r w:rsidRPr="00B22D20">
        <w:rPr>
          <w:szCs w:val="22"/>
        </w:rPr>
        <w:t>prim</w:t>
      </w:r>
      <w:r w:rsidR="000D247E" w:rsidRPr="00B22D20">
        <w:rPr>
          <w:szCs w:val="22"/>
        </w:rPr>
        <w:t>ij</w:t>
      </w:r>
      <w:r w:rsidRPr="00B22D20">
        <w:rPr>
          <w:szCs w:val="22"/>
        </w:rPr>
        <w:t>e</w:t>
      </w:r>
      <w:r w:rsidRPr="00B22D20">
        <w:rPr>
          <w:szCs w:val="22"/>
          <w:lang w:val="sr-Latn-CS"/>
        </w:rPr>
        <w:t>ć</w:t>
      </w:r>
      <w:r w:rsidRPr="00B22D20">
        <w:rPr>
          <w:szCs w:val="22"/>
        </w:rPr>
        <w:t>eno</w:t>
      </w:r>
      <w:r w:rsidRPr="00B22D20">
        <w:rPr>
          <w:szCs w:val="22"/>
          <w:lang w:val="sr-Latn-CS"/>
        </w:rPr>
        <w:t xml:space="preserve"> </w:t>
      </w:r>
      <w:r w:rsidRPr="00B22D20">
        <w:rPr>
          <w:szCs w:val="22"/>
        </w:rPr>
        <w:t>dejstvo</w:t>
      </w:r>
      <w:r w:rsidRPr="00B22D20">
        <w:rPr>
          <w:szCs w:val="22"/>
          <w:lang w:val="sr-Latn-CS"/>
        </w:rPr>
        <w:t xml:space="preserve"> </w:t>
      </w:r>
      <w:proofErr w:type="gramStart"/>
      <w:r w:rsidRPr="00B22D20">
        <w:rPr>
          <w:szCs w:val="22"/>
        </w:rPr>
        <w:t>na</w:t>
      </w:r>
      <w:proofErr w:type="gramEnd"/>
      <w:r w:rsidRPr="00B22D20">
        <w:rPr>
          <w:szCs w:val="22"/>
          <w:lang w:val="sr-Latn-CS"/>
        </w:rPr>
        <w:t xml:space="preserve"> </w:t>
      </w:r>
      <w:r w:rsidRPr="00B22D20">
        <w:rPr>
          <w:szCs w:val="22"/>
        </w:rPr>
        <w:t>stopu</w:t>
      </w:r>
      <w:r w:rsidRPr="00B22D20">
        <w:rPr>
          <w:szCs w:val="22"/>
          <w:lang w:val="sr-Latn-CS"/>
        </w:rPr>
        <w:t xml:space="preserve"> </w:t>
      </w:r>
      <w:r w:rsidRPr="00B22D20">
        <w:rPr>
          <w:szCs w:val="22"/>
        </w:rPr>
        <w:t>ponovne</w:t>
      </w:r>
      <w:r w:rsidRPr="00B22D20">
        <w:rPr>
          <w:szCs w:val="22"/>
          <w:lang w:val="sr-Latn-CS"/>
        </w:rPr>
        <w:t xml:space="preserve"> </w:t>
      </w:r>
      <w:r w:rsidRPr="00B22D20">
        <w:rPr>
          <w:szCs w:val="22"/>
        </w:rPr>
        <w:t>hospitalizacije</w:t>
      </w:r>
      <w:r w:rsidRPr="00B22D20">
        <w:rPr>
          <w:szCs w:val="22"/>
          <w:lang w:val="sr-Latn-CS"/>
        </w:rPr>
        <w:t xml:space="preserve"> </w:t>
      </w:r>
      <w:r w:rsidRPr="00B22D20">
        <w:rPr>
          <w:szCs w:val="22"/>
        </w:rPr>
        <w:t>zbog</w:t>
      </w:r>
      <w:r w:rsidRPr="00B22D20">
        <w:rPr>
          <w:szCs w:val="22"/>
          <w:lang w:val="sr-Latn-CS"/>
        </w:rPr>
        <w:t xml:space="preserve"> </w:t>
      </w:r>
      <w:r w:rsidRPr="00B22D20">
        <w:rPr>
          <w:szCs w:val="22"/>
        </w:rPr>
        <w:t>nestabilne</w:t>
      </w:r>
      <w:r w:rsidRPr="00B22D20">
        <w:rPr>
          <w:szCs w:val="22"/>
          <w:lang w:val="sr-Latn-CS"/>
        </w:rPr>
        <w:t xml:space="preserve"> </w:t>
      </w:r>
      <w:r w:rsidRPr="00B22D20">
        <w:rPr>
          <w:szCs w:val="22"/>
        </w:rPr>
        <w:t>angine</w:t>
      </w:r>
      <w:r w:rsidRPr="00B22D20">
        <w:rPr>
          <w:szCs w:val="22"/>
          <w:lang w:val="sr-Latn-CS"/>
        </w:rPr>
        <w:t>.</w:t>
      </w:r>
    </w:p>
    <w:p w14:paraId="61492367" w14:textId="7BE3F1E2" w:rsidR="00F3137E" w:rsidRPr="00B22D20" w:rsidRDefault="00F3137E">
      <w:pPr>
        <w:spacing w:before="120"/>
        <w:rPr>
          <w:szCs w:val="22"/>
          <w:lang w:val="sr-Latn-CS"/>
        </w:rPr>
      </w:pPr>
      <w:r w:rsidRPr="00B22D20">
        <w:rPr>
          <w:szCs w:val="22"/>
          <w:lang w:val="sr-Latn-CS"/>
        </w:rPr>
        <w:t xml:space="preserve">Rezultati koji su dobijeni u populacijama sa različitim karakteristikama (npr. nestabilna angina ili infarkt miokarda bez Q </w:t>
      </w:r>
      <w:r w:rsidR="00073B00" w:rsidRPr="00B22D20">
        <w:rPr>
          <w:szCs w:val="22"/>
          <w:lang w:val="sr-Latn-CS"/>
        </w:rPr>
        <w:t>zupca</w:t>
      </w:r>
      <w:r w:rsidRPr="00B22D20">
        <w:rPr>
          <w:szCs w:val="22"/>
          <w:lang w:val="sr-Latn-CS"/>
        </w:rPr>
        <w:t>, pacijenti sa visokim ili niskim rizikom, dijabetesom, potrebom za revaskularizacijom, različitim godištem, polom, itd.) ni</w:t>
      </w:r>
      <w:r w:rsidR="00673F39" w:rsidRPr="00B22D20">
        <w:rPr>
          <w:szCs w:val="22"/>
          <w:lang w:val="sr-Latn-CS"/>
        </w:rPr>
        <w:t>je</w:t>
      </w:r>
      <w:r w:rsidRPr="00B22D20">
        <w:rPr>
          <w:szCs w:val="22"/>
          <w:lang w:val="sr-Latn-CS"/>
        </w:rPr>
        <w:t>su odstupali od rezultata primarnih analiza. Konkretno,</w:t>
      </w:r>
      <w:r w:rsidR="00AF5501" w:rsidRPr="00B22D20">
        <w:rPr>
          <w:szCs w:val="22"/>
          <w:lang w:val="sr-Latn-CS"/>
        </w:rPr>
        <w:t xml:space="preserve"> u tzv</w:t>
      </w:r>
      <w:r w:rsidR="00A66B9A" w:rsidRPr="00B22D20">
        <w:rPr>
          <w:szCs w:val="22"/>
          <w:lang w:val="sr-Latn-CS"/>
        </w:rPr>
        <w:t>.</w:t>
      </w:r>
      <w:r w:rsidR="00AF5501" w:rsidRPr="00B22D20">
        <w:rPr>
          <w:szCs w:val="22"/>
          <w:lang w:val="sr-Latn-CS"/>
        </w:rPr>
        <w:t xml:space="preserve"> </w:t>
      </w:r>
      <w:r w:rsidR="00DF0EEC" w:rsidRPr="00B22D20">
        <w:rPr>
          <w:i/>
          <w:szCs w:val="22"/>
          <w:lang w:val="sr-Latn-CS"/>
        </w:rPr>
        <w:t>post-hoc</w:t>
      </w:r>
      <w:r w:rsidR="00AF5501" w:rsidRPr="00B22D20">
        <w:rPr>
          <w:szCs w:val="22"/>
          <w:lang w:val="sr-Latn-CS"/>
        </w:rPr>
        <w:t xml:space="preserve"> </w:t>
      </w:r>
      <w:r w:rsidRPr="00B22D20">
        <w:rPr>
          <w:szCs w:val="22"/>
          <w:lang w:val="sr-Latn-CS"/>
        </w:rPr>
        <w:t xml:space="preserve"> </w:t>
      </w:r>
      <w:r w:rsidR="00AF5501" w:rsidRPr="00B22D20">
        <w:rPr>
          <w:szCs w:val="22"/>
          <w:lang w:val="sr-Latn-CS"/>
        </w:rPr>
        <w:t xml:space="preserve">analizi 2 </w:t>
      </w:r>
      <w:r w:rsidRPr="00B22D20">
        <w:rPr>
          <w:szCs w:val="22"/>
          <w:lang w:val="sr-Latn-CS"/>
        </w:rPr>
        <w:t>172 pacijenta (17% svih pacijenata uključenih u CURE studij</w:t>
      </w:r>
      <w:r w:rsidR="00A66B9A" w:rsidRPr="00B22D20">
        <w:rPr>
          <w:szCs w:val="22"/>
          <w:lang w:val="sr-Latn-CS"/>
        </w:rPr>
        <w:t>i</w:t>
      </w:r>
      <w:r w:rsidRPr="00B22D20">
        <w:rPr>
          <w:szCs w:val="22"/>
          <w:lang w:val="sr-Latn-CS"/>
        </w:rPr>
        <w:t xml:space="preserve">) kod kojih je </w:t>
      </w:r>
      <w:r w:rsidR="008546EE" w:rsidRPr="00B22D20">
        <w:rPr>
          <w:szCs w:val="22"/>
          <w:lang w:val="sr-Latn-CS"/>
        </w:rPr>
        <w:t xml:space="preserve">ugrađen </w:t>
      </w:r>
      <w:r w:rsidRPr="00B22D20">
        <w:rPr>
          <w:szCs w:val="22"/>
          <w:lang w:val="sr-Latn-CS"/>
        </w:rPr>
        <w:t xml:space="preserve">stent (Stent-CURE), podaci analize su pokazali da je klopidogrel po pitanju pojave koprimarnog </w:t>
      </w:r>
      <w:r w:rsidR="00073B00" w:rsidRPr="00B22D20">
        <w:rPr>
          <w:szCs w:val="22"/>
          <w:lang w:val="sr-Latn-CS"/>
        </w:rPr>
        <w:t xml:space="preserve">parametra praćenja </w:t>
      </w:r>
      <w:r w:rsidRPr="00B22D20">
        <w:rPr>
          <w:szCs w:val="22"/>
          <w:lang w:val="sr-Latn-CS"/>
        </w:rPr>
        <w:t>(</w:t>
      </w:r>
      <w:r w:rsidR="0025035A" w:rsidRPr="00B22D20">
        <w:rPr>
          <w:szCs w:val="22"/>
          <w:lang w:val="sr-Latn-CS"/>
        </w:rPr>
        <w:t>kardiovaskularna</w:t>
      </w:r>
      <w:r w:rsidRPr="00B22D20">
        <w:rPr>
          <w:szCs w:val="22"/>
          <w:lang w:val="sr-Latn-CS"/>
        </w:rPr>
        <w:t xml:space="preserve"> smrt,</w:t>
      </w:r>
      <w:r w:rsidR="008546EE" w:rsidRPr="00B22D20">
        <w:rPr>
          <w:szCs w:val="22"/>
          <w:lang w:val="sr-Latn-CS"/>
        </w:rPr>
        <w:t xml:space="preserve"> </w:t>
      </w:r>
      <w:r w:rsidRPr="00B22D20">
        <w:rPr>
          <w:szCs w:val="22"/>
          <w:lang w:val="sr-Latn-CS"/>
        </w:rPr>
        <w:t xml:space="preserve">infarkt miokarda, moždani udar) u poređenju sa placebom pokazao znatno smanjenje relativnog rizika (RRR) od 26,2%. Isto tako, kod pojave drugog ko-primarnog </w:t>
      </w:r>
      <w:r w:rsidR="00073B00" w:rsidRPr="00B22D20">
        <w:rPr>
          <w:szCs w:val="22"/>
          <w:lang w:val="sr-Latn-CS"/>
        </w:rPr>
        <w:t xml:space="preserve">parametra praćenja </w:t>
      </w:r>
      <w:r w:rsidRPr="00B22D20">
        <w:rPr>
          <w:szCs w:val="22"/>
          <w:lang w:val="sr-Latn-CS"/>
        </w:rPr>
        <w:t>(CV smrt, infarkt miokarda, moždani udar ili refraktarna ishemija)</w:t>
      </w:r>
      <w:r w:rsidR="00A66B9A" w:rsidRPr="00B22D20">
        <w:rPr>
          <w:szCs w:val="22"/>
          <w:lang w:val="sr-Latn-CS"/>
        </w:rPr>
        <w:t>,</w:t>
      </w:r>
      <w:r w:rsidRPr="00B22D20">
        <w:rPr>
          <w:szCs w:val="22"/>
          <w:lang w:val="sr-Latn-CS"/>
        </w:rPr>
        <w:t xml:space="preserve"> klopidogrel je takođe pokazao znatno smanjenje relativnog rizika (RRR) od 23,9% u odnosu na placebo. Osim toga, bezb</w:t>
      </w:r>
      <w:r w:rsidR="000D247E" w:rsidRPr="00B22D20">
        <w:rPr>
          <w:szCs w:val="22"/>
          <w:lang w:val="sr-Latn-CS"/>
        </w:rPr>
        <w:t>j</w:t>
      </w:r>
      <w:r w:rsidRPr="00B22D20">
        <w:rPr>
          <w:szCs w:val="22"/>
          <w:lang w:val="sr-Latn-CS"/>
        </w:rPr>
        <w:t>ednosni profil klopidogrela u ovoj podgrupi nije zaht</w:t>
      </w:r>
      <w:r w:rsidR="000D247E" w:rsidRPr="00B22D20">
        <w:rPr>
          <w:szCs w:val="22"/>
          <w:lang w:val="sr-Latn-CS"/>
        </w:rPr>
        <w:t>ij</w:t>
      </w:r>
      <w:r w:rsidRPr="00B22D20">
        <w:rPr>
          <w:szCs w:val="22"/>
          <w:lang w:val="sr-Latn-CS"/>
        </w:rPr>
        <w:t>evao posebna razmatranja. Rezultati dobijeni u ovoj podgrupi su, dakle, sasvim u skladu sa rezultatima ispitivanja u c</w:t>
      </w:r>
      <w:r w:rsidR="003E7337" w:rsidRPr="00B22D20">
        <w:rPr>
          <w:szCs w:val="22"/>
          <w:lang w:val="sr-Latn-CS"/>
        </w:rPr>
        <w:t>j</w:t>
      </w:r>
      <w:r w:rsidRPr="00B22D20">
        <w:rPr>
          <w:szCs w:val="22"/>
          <w:lang w:val="sr-Latn-CS"/>
        </w:rPr>
        <w:t xml:space="preserve">elini. </w:t>
      </w:r>
    </w:p>
    <w:p w14:paraId="4DE00B32" w14:textId="71E1EC62" w:rsidR="00F3137E" w:rsidRPr="00B22D20" w:rsidRDefault="00F3137E">
      <w:pPr>
        <w:spacing w:before="120"/>
        <w:rPr>
          <w:szCs w:val="22"/>
          <w:lang w:val="sr-Latn-CS"/>
        </w:rPr>
      </w:pPr>
      <w:r w:rsidRPr="00B22D20">
        <w:rPr>
          <w:szCs w:val="22"/>
          <w:lang w:val="sr-Latn-CS"/>
        </w:rPr>
        <w:t xml:space="preserve">Korisni efekti </w:t>
      </w:r>
      <w:r w:rsidR="00D77814" w:rsidRPr="00B22D20">
        <w:rPr>
          <w:szCs w:val="22"/>
          <w:lang w:val="sr-Latn-CS"/>
        </w:rPr>
        <w:t>primjen</w:t>
      </w:r>
      <w:r w:rsidRPr="00B22D20">
        <w:rPr>
          <w:szCs w:val="22"/>
          <w:lang w:val="sr-Latn-CS"/>
        </w:rPr>
        <w:t xml:space="preserve">e klopidogrela bili su potpuno nezavisni od drugih akutno ili dugoročno </w:t>
      </w:r>
      <w:r w:rsidR="00D77814" w:rsidRPr="00B22D20">
        <w:rPr>
          <w:szCs w:val="22"/>
          <w:lang w:val="sr-Latn-CS"/>
        </w:rPr>
        <w:t>prim</w:t>
      </w:r>
      <w:r w:rsidR="00566D25" w:rsidRPr="00B22D20">
        <w:rPr>
          <w:szCs w:val="22"/>
          <w:lang w:val="sr-Latn-CS"/>
        </w:rPr>
        <w:t>i</w:t>
      </w:r>
      <w:r w:rsidR="00D77814" w:rsidRPr="00B22D20">
        <w:rPr>
          <w:szCs w:val="22"/>
          <w:lang w:val="sr-Latn-CS"/>
        </w:rPr>
        <w:t>jen</w:t>
      </w:r>
      <w:r w:rsidRPr="00B22D20">
        <w:rPr>
          <w:szCs w:val="22"/>
          <w:lang w:val="sr-Latn-CS"/>
        </w:rPr>
        <w:t xml:space="preserve">jenih </w:t>
      </w:r>
      <w:r w:rsidR="00122D4B" w:rsidRPr="00B22D20">
        <w:rPr>
          <w:szCs w:val="22"/>
          <w:lang w:val="sr-Latn-CS"/>
        </w:rPr>
        <w:t>ljekov</w:t>
      </w:r>
      <w:r w:rsidRPr="00B22D20">
        <w:rPr>
          <w:szCs w:val="22"/>
          <w:lang w:val="sr-Latn-CS"/>
        </w:rPr>
        <w:t>a (kao što su heparin/niskomo</w:t>
      </w:r>
      <w:r w:rsidR="00AC562A" w:rsidRPr="00B22D20">
        <w:rPr>
          <w:szCs w:val="22"/>
          <w:lang w:val="sr-Latn-CS"/>
        </w:rPr>
        <w:t>lek</w:t>
      </w:r>
      <w:r w:rsidRPr="00B22D20">
        <w:rPr>
          <w:szCs w:val="22"/>
          <w:lang w:val="sr-Latn-CS"/>
        </w:rPr>
        <w:t xml:space="preserve">ularni heparini, antagonisti glikoproteina IIb/IIIa, hipolipemici, beta blokatori i ACE inhibitori). Efikasnost klopidogrela nije zavisila od doze acetilsalicilne kiseline (75-325 mg dnevno). </w:t>
      </w:r>
    </w:p>
    <w:p w14:paraId="6D5133F6" w14:textId="77777777" w:rsidR="003035A7" w:rsidRPr="00C25676" w:rsidRDefault="003035A7" w:rsidP="00B22D20">
      <w:pPr>
        <w:spacing w:before="120"/>
        <w:rPr>
          <w:szCs w:val="22"/>
          <w:u w:val="single"/>
          <w:lang w:val="sr-Latn-CS"/>
        </w:rPr>
      </w:pPr>
      <w:r w:rsidRPr="00C25676">
        <w:rPr>
          <w:szCs w:val="22"/>
          <w:u w:val="single"/>
          <w:lang w:val="sr-Latn-CS"/>
        </w:rPr>
        <w:t>Pacijenti sa</w:t>
      </w:r>
      <w:r w:rsidRPr="00C25676">
        <w:rPr>
          <w:szCs w:val="22"/>
          <w:u w:val="single"/>
        </w:rPr>
        <w:t xml:space="preserve"> </w:t>
      </w:r>
      <w:r w:rsidRPr="00C25676">
        <w:rPr>
          <w:szCs w:val="22"/>
          <w:u w:val="single"/>
          <w:lang w:val="sr-Latn-CS"/>
        </w:rPr>
        <w:t xml:space="preserve">akutnim infarktom miokarda sa elevacijom ST segmenta </w:t>
      </w:r>
    </w:p>
    <w:p w14:paraId="271A62C5" w14:textId="18FC7AB8" w:rsidR="00F3137E" w:rsidRPr="00B22D20" w:rsidRDefault="00F3137E" w:rsidP="00C25676">
      <w:pPr>
        <w:spacing w:before="120"/>
        <w:rPr>
          <w:szCs w:val="22"/>
          <w:lang w:val="sr-Latn-CS"/>
        </w:rPr>
      </w:pPr>
      <w:r w:rsidRPr="00B22D20">
        <w:rPr>
          <w:szCs w:val="22"/>
          <w:lang w:val="sr-Latn-CS"/>
        </w:rPr>
        <w:t>Kod pacijenata sa akutnim infarktom miokarda sa elevacijom ST segmenta</w:t>
      </w:r>
      <w:r w:rsidR="003035A7" w:rsidRPr="00B22D20">
        <w:rPr>
          <w:szCs w:val="22"/>
          <w:lang w:val="sr-Latn-CS"/>
        </w:rPr>
        <w:t xml:space="preserve"> </w:t>
      </w:r>
      <w:r w:rsidR="003035A7" w:rsidRPr="00C25676">
        <w:rPr>
          <w:szCs w:val="22"/>
          <w:lang w:val="sr-Latn-CS"/>
        </w:rPr>
        <w:t>(STEMI),</w:t>
      </w:r>
      <w:r w:rsidRPr="00B22D20">
        <w:rPr>
          <w:szCs w:val="22"/>
          <w:lang w:val="sr-Latn-CS"/>
        </w:rPr>
        <w:t xml:space="preserve"> bezb</w:t>
      </w:r>
      <w:r w:rsidR="003E7337" w:rsidRPr="00B22D20">
        <w:rPr>
          <w:szCs w:val="22"/>
          <w:lang w:val="sr-Latn-CS"/>
        </w:rPr>
        <w:t>j</w:t>
      </w:r>
      <w:r w:rsidRPr="00B22D20">
        <w:rPr>
          <w:szCs w:val="22"/>
          <w:lang w:val="sr-Latn-CS"/>
        </w:rPr>
        <w:t>ednost i efikasnost klopidogrela proc</w:t>
      </w:r>
      <w:r w:rsidR="003E7337" w:rsidRPr="00B22D20">
        <w:rPr>
          <w:szCs w:val="22"/>
          <w:lang w:val="sr-Latn-CS"/>
        </w:rPr>
        <w:t>j</w:t>
      </w:r>
      <w:r w:rsidRPr="00B22D20">
        <w:rPr>
          <w:szCs w:val="22"/>
          <w:lang w:val="sr-Latn-CS"/>
        </w:rPr>
        <w:t>enjivana je putem dv</w:t>
      </w:r>
      <w:r w:rsidR="003E7337" w:rsidRPr="00B22D20">
        <w:rPr>
          <w:szCs w:val="22"/>
          <w:lang w:val="sr-Latn-CS"/>
        </w:rPr>
        <w:t>ij</w:t>
      </w:r>
      <w:r w:rsidRPr="00B22D20">
        <w:rPr>
          <w:szCs w:val="22"/>
          <w:lang w:val="sr-Latn-CS"/>
        </w:rPr>
        <w:t>e randomizovane, placebo</w:t>
      </w:r>
      <w:r w:rsidR="009E3871" w:rsidRPr="00B22D20">
        <w:rPr>
          <w:szCs w:val="22"/>
          <w:lang w:val="sr-Latn-CS"/>
        </w:rPr>
        <w:t>m</w:t>
      </w:r>
      <w:r w:rsidRPr="00B22D20">
        <w:rPr>
          <w:szCs w:val="22"/>
          <w:lang w:val="sr-Latn-CS"/>
        </w:rPr>
        <w:t>-kontrolisane, dvostruko sl</w:t>
      </w:r>
      <w:r w:rsidR="003E7337" w:rsidRPr="00B22D20">
        <w:rPr>
          <w:szCs w:val="22"/>
          <w:lang w:val="sr-Latn-CS"/>
        </w:rPr>
        <w:t>ij</w:t>
      </w:r>
      <w:r w:rsidRPr="00B22D20">
        <w:rPr>
          <w:szCs w:val="22"/>
          <w:lang w:val="sr-Latn-CS"/>
        </w:rPr>
        <w:t>epe studije: CLARITY</w:t>
      </w:r>
      <w:r w:rsidR="003035A7" w:rsidRPr="00C25676">
        <w:rPr>
          <w:szCs w:val="22"/>
          <w:lang w:val="sr-Latn-CS"/>
        </w:rPr>
        <w:t>, prospektivne podgrupe analiza studije CLARITY (CLARITY PCI)</w:t>
      </w:r>
      <w:r w:rsidRPr="00B22D20">
        <w:rPr>
          <w:szCs w:val="22"/>
          <w:lang w:val="sr-Latn-CS"/>
        </w:rPr>
        <w:t xml:space="preserve"> i COMMIT.</w:t>
      </w:r>
    </w:p>
    <w:p w14:paraId="3A4BDEBB" w14:textId="387F5AD6" w:rsidR="00F3137E" w:rsidRPr="00B22D20" w:rsidRDefault="00F3137E">
      <w:pPr>
        <w:spacing w:before="120"/>
        <w:rPr>
          <w:szCs w:val="22"/>
          <w:lang w:val="sr-Latn-CS"/>
        </w:rPr>
      </w:pPr>
      <w:r w:rsidRPr="00B22D20">
        <w:rPr>
          <w:szCs w:val="22"/>
          <w:lang w:val="sr-Latn-CS"/>
        </w:rPr>
        <w:t>CLARITY studija je uključila 3 491 pacijenta koji su se javili unutar 12 sati od početka simptoma infarkta miokarda sa elevacijom ST-segmenta</w:t>
      </w:r>
      <w:r w:rsidR="00073B00" w:rsidRPr="00B22D20">
        <w:rPr>
          <w:szCs w:val="22"/>
          <w:lang w:val="sr-Latn-CS"/>
        </w:rPr>
        <w:t xml:space="preserve"> i</w:t>
      </w:r>
      <w:r w:rsidRPr="00B22D20">
        <w:rPr>
          <w:szCs w:val="22"/>
          <w:lang w:val="sr-Latn-CS"/>
        </w:rPr>
        <w:t xml:space="preserve"> koji su bili predviđeni za trombolitičku terapiju. Pacijenti su dobijali klopidogrel (udarna doza od 300 mg, a potom 75 mg/dan, n=1 752) ili placebo (n=1 7</w:t>
      </w:r>
      <w:r w:rsidR="00466DC6" w:rsidRPr="00B22D20">
        <w:rPr>
          <w:szCs w:val="22"/>
          <w:lang w:val="sr-Latn-CS"/>
        </w:rPr>
        <w:t>3</w:t>
      </w:r>
      <w:r w:rsidRPr="00B22D20">
        <w:rPr>
          <w:szCs w:val="22"/>
          <w:lang w:val="sr-Latn-CS"/>
        </w:rPr>
        <w:t>9); oba u kombinaciji sa AS</w:t>
      </w:r>
      <w:r w:rsidR="00445991" w:rsidRPr="00B22D20">
        <w:rPr>
          <w:szCs w:val="22"/>
          <w:lang w:val="sr-Latn-CS"/>
        </w:rPr>
        <w:t>K</w:t>
      </w:r>
      <w:r w:rsidRPr="00B22D20">
        <w:rPr>
          <w:szCs w:val="22"/>
          <w:lang w:val="sr-Latn-CS"/>
        </w:rPr>
        <w:t xml:space="preserve"> (udarna doza od 150 do 325 mg, a potom 75 do 162 mg/dan), fibrinolitičkim agensom i po potrebi heparinom. Pacijenti su praćeni tokom 30 dana. Primarn</w:t>
      </w:r>
      <w:r w:rsidR="00AE7E81" w:rsidRPr="00B22D20">
        <w:rPr>
          <w:szCs w:val="22"/>
          <w:lang w:val="sr-Latn-CS"/>
        </w:rPr>
        <w:t>i</w:t>
      </w:r>
      <w:r w:rsidRPr="00B22D20">
        <w:rPr>
          <w:szCs w:val="22"/>
          <w:lang w:val="sr-Latn-CS"/>
        </w:rPr>
        <w:t xml:space="preserve"> </w:t>
      </w:r>
      <w:r w:rsidR="00073B00" w:rsidRPr="00B22D20">
        <w:rPr>
          <w:szCs w:val="22"/>
          <w:lang w:val="sr-Latn-CS"/>
        </w:rPr>
        <w:t xml:space="preserve">parametar praćenja </w:t>
      </w:r>
      <w:r w:rsidRPr="00B22D20">
        <w:rPr>
          <w:szCs w:val="22"/>
          <w:lang w:val="sr-Latn-CS"/>
        </w:rPr>
        <w:t xml:space="preserve">bila je pojava kombinacije okluzije arterije </w:t>
      </w:r>
      <w:r w:rsidR="00466DC6" w:rsidRPr="00B22D20">
        <w:rPr>
          <w:szCs w:val="22"/>
          <w:lang w:val="sr-Latn-CS"/>
        </w:rPr>
        <w:t>koja je dovela do</w:t>
      </w:r>
      <w:r w:rsidRPr="00B22D20">
        <w:rPr>
          <w:szCs w:val="22"/>
          <w:lang w:val="sr-Latn-CS"/>
        </w:rPr>
        <w:t xml:space="preserve"> infarkta na angiogramu urađenom pred otpust ili smrtni ishod ili ponovni infarkt miokarda pr</w:t>
      </w:r>
      <w:r w:rsidR="003E7337" w:rsidRPr="00B22D20">
        <w:rPr>
          <w:szCs w:val="22"/>
          <w:lang w:val="sr-Latn-CS"/>
        </w:rPr>
        <w:t>ij</w:t>
      </w:r>
      <w:r w:rsidRPr="00B22D20">
        <w:rPr>
          <w:szCs w:val="22"/>
          <w:lang w:val="sr-Latn-CS"/>
        </w:rPr>
        <w:t xml:space="preserve">e koronarne angiografije. Za pacijente kojima nije urađena angiografija primarni </w:t>
      </w:r>
      <w:r w:rsidR="00466DC6" w:rsidRPr="00B22D20">
        <w:rPr>
          <w:szCs w:val="22"/>
          <w:lang w:val="sr-Latn-CS"/>
        </w:rPr>
        <w:t>parametar praćenja</w:t>
      </w:r>
      <w:r w:rsidRPr="00B22D20">
        <w:rPr>
          <w:szCs w:val="22"/>
          <w:lang w:val="sr-Latn-CS"/>
        </w:rPr>
        <w:t xml:space="preserve"> bio je smrt ili ponovljeni infarkt miokarda do 8. dana ili do dana otpuštanja iz bolnice. Populacija pacijenata obuhvatala je 19,7% žena i 29,2% pacijenata starosti 65 godina i više. Ukupno 99,7% pacijenata je dobijalo fibrinolitičke </w:t>
      </w:r>
      <w:r w:rsidR="00122D4B" w:rsidRPr="00B22D20">
        <w:rPr>
          <w:szCs w:val="22"/>
          <w:lang w:val="sr-Latn-CS"/>
        </w:rPr>
        <w:t>ljekov</w:t>
      </w:r>
      <w:r w:rsidRPr="00B22D20">
        <w:rPr>
          <w:szCs w:val="22"/>
          <w:lang w:val="sr-Latn-CS"/>
        </w:rPr>
        <w:t>e (fibrin-specifične: 68,7%, fibrin-nespecifične: 31,1%); heparin je primalo 89,5%, beta blokatore 78,7%, ACE inhibitore 54,7% i 63% statine.</w:t>
      </w:r>
    </w:p>
    <w:p w14:paraId="0BAC8A7F" w14:textId="15EC1AE9" w:rsidR="00F3137E" w:rsidRPr="00B22D20" w:rsidRDefault="00F3137E">
      <w:pPr>
        <w:spacing w:before="120"/>
        <w:rPr>
          <w:szCs w:val="22"/>
          <w:lang w:val="sr-Latn-CS"/>
        </w:rPr>
      </w:pPr>
      <w:r w:rsidRPr="00B22D20">
        <w:rPr>
          <w:szCs w:val="22"/>
          <w:lang w:val="sr-Latn-CS"/>
        </w:rPr>
        <w:t xml:space="preserve">Primarni </w:t>
      </w:r>
      <w:r w:rsidR="00466DC6" w:rsidRPr="00B22D20">
        <w:rPr>
          <w:szCs w:val="22"/>
          <w:lang w:val="sr-Latn-CS"/>
        </w:rPr>
        <w:t>parametar praćenja</w:t>
      </w:r>
      <w:r w:rsidRPr="00B22D20">
        <w:rPr>
          <w:szCs w:val="22"/>
          <w:lang w:val="sr-Latn-CS"/>
        </w:rPr>
        <w:t xml:space="preserve"> je </w:t>
      </w:r>
      <w:r w:rsidR="00122D4B" w:rsidRPr="00B22D20">
        <w:rPr>
          <w:szCs w:val="22"/>
          <w:lang w:val="sr-Latn-CS"/>
        </w:rPr>
        <w:t>zabiljež</w:t>
      </w:r>
      <w:r w:rsidRPr="00B22D20">
        <w:rPr>
          <w:szCs w:val="22"/>
          <w:lang w:val="sr-Latn-CS"/>
        </w:rPr>
        <w:t xml:space="preserve">en kod 15% pacijenata u grupi koja je primala klopidogrel i kod 21,7% pacijenata u grupi koja je primala placebo, što predstavlja apsolutno smanjenje za 6,7% i </w:t>
      </w:r>
      <w:r w:rsidR="00D1145E" w:rsidRPr="00B22D20">
        <w:rPr>
          <w:szCs w:val="22"/>
          <w:lang w:val="sr-Latn-CS"/>
        </w:rPr>
        <w:t>smanjenje</w:t>
      </w:r>
      <w:r w:rsidR="008074E8" w:rsidRPr="00B22D20">
        <w:rPr>
          <w:szCs w:val="22"/>
          <w:lang w:val="sr-Latn-CS"/>
        </w:rPr>
        <w:t xml:space="preserve"> odnosa </w:t>
      </w:r>
      <w:r w:rsidR="00D1145E" w:rsidRPr="00B22D20">
        <w:rPr>
          <w:szCs w:val="22"/>
          <w:lang w:val="sr-Latn-CS"/>
        </w:rPr>
        <w:t xml:space="preserve">vjerovatnoća (engl. </w:t>
      </w:r>
      <w:r w:rsidR="00D1145E" w:rsidRPr="00B22D20">
        <w:rPr>
          <w:i/>
          <w:szCs w:val="22"/>
          <w:lang w:val="sr-Latn-CS"/>
        </w:rPr>
        <w:t>odds ratio</w:t>
      </w:r>
      <w:r w:rsidR="00D1145E" w:rsidRPr="00B22D20">
        <w:rPr>
          <w:szCs w:val="22"/>
          <w:lang w:val="sr-Latn-CS"/>
        </w:rPr>
        <w:t xml:space="preserve">) od </w:t>
      </w:r>
      <w:r w:rsidRPr="00B22D20">
        <w:rPr>
          <w:szCs w:val="22"/>
          <w:lang w:val="sr-Latn-CS"/>
        </w:rPr>
        <w:t xml:space="preserve">36% u korist klopidogrela (CI 95%: 24, 47%; p&lt;0,001), uglavnom </w:t>
      </w:r>
      <w:r w:rsidR="00D1145E" w:rsidRPr="00B22D20">
        <w:rPr>
          <w:szCs w:val="22"/>
          <w:lang w:val="sr-Latn-CS"/>
        </w:rPr>
        <w:t>po</w:t>
      </w:r>
      <w:r w:rsidRPr="00B22D20">
        <w:rPr>
          <w:szCs w:val="22"/>
          <w:lang w:val="sr-Latn-CS"/>
        </w:rPr>
        <w:t xml:space="preserve">vezano </w:t>
      </w:r>
      <w:r w:rsidR="00D1145E" w:rsidRPr="00B22D20">
        <w:rPr>
          <w:szCs w:val="22"/>
          <w:lang w:val="sr-Latn-CS"/>
        </w:rPr>
        <w:t>sa</w:t>
      </w:r>
      <w:r w:rsidRPr="00B22D20">
        <w:rPr>
          <w:szCs w:val="22"/>
          <w:lang w:val="sr-Latn-CS"/>
        </w:rPr>
        <w:t xml:space="preserve"> smanjenje</w:t>
      </w:r>
      <w:r w:rsidR="00D1145E" w:rsidRPr="00B22D20">
        <w:rPr>
          <w:szCs w:val="22"/>
          <w:lang w:val="sr-Latn-CS"/>
        </w:rPr>
        <w:t>m</w:t>
      </w:r>
      <w:r w:rsidRPr="00B22D20">
        <w:rPr>
          <w:szCs w:val="22"/>
          <w:lang w:val="sr-Latn-CS"/>
        </w:rPr>
        <w:t xml:space="preserve"> okluzije arterij</w:t>
      </w:r>
      <w:r w:rsidR="00D1145E" w:rsidRPr="00B22D20">
        <w:rPr>
          <w:szCs w:val="22"/>
          <w:lang w:val="sr-Latn-CS"/>
        </w:rPr>
        <w:t>a</w:t>
      </w:r>
      <w:r w:rsidRPr="00B22D20">
        <w:rPr>
          <w:szCs w:val="22"/>
          <w:lang w:val="sr-Latn-CS"/>
        </w:rPr>
        <w:t xml:space="preserve"> odgovorn</w:t>
      </w:r>
      <w:r w:rsidR="00D1145E" w:rsidRPr="00B22D20">
        <w:rPr>
          <w:szCs w:val="22"/>
          <w:lang w:val="sr-Latn-CS"/>
        </w:rPr>
        <w:t>ih</w:t>
      </w:r>
      <w:r w:rsidRPr="00B22D20">
        <w:rPr>
          <w:szCs w:val="22"/>
          <w:lang w:val="sr-Latn-CS"/>
        </w:rPr>
        <w:t xml:space="preserve"> za infarkt. Ovaj pozitivan efekat se javio, bez izuzetka, kod svih </w:t>
      </w:r>
      <w:r w:rsidRPr="00B22D20">
        <w:rPr>
          <w:szCs w:val="22"/>
          <w:lang w:val="sr-Latn-CS"/>
        </w:rPr>
        <w:lastRenderedPageBreak/>
        <w:t xml:space="preserve">predefinisanih podgrupa formiranih prema starosti pacijenata, polu, lokalizaciji infarkta i po tipu </w:t>
      </w:r>
      <w:r w:rsidR="00D77814" w:rsidRPr="00B22D20">
        <w:rPr>
          <w:szCs w:val="22"/>
          <w:lang w:val="sr-Latn-CS"/>
        </w:rPr>
        <w:t>prim</w:t>
      </w:r>
      <w:r w:rsidR="00566D25" w:rsidRPr="00B22D20">
        <w:rPr>
          <w:szCs w:val="22"/>
          <w:lang w:val="sr-Latn-CS"/>
        </w:rPr>
        <w:t>i</w:t>
      </w:r>
      <w:r w:rsidR="00D77814" w:rsidRPr="00B22D20">
        <w:rPr>
          <w:szCs w:val="22"/>
          <w:lang w:val="sr-Latn-CS"/>
        </w:rPr>
        <w:t>jen</w:t>
      </w:r>
      <w:r w:rsidRPr="00B22D20">
        <w:rPr>
          <w:szCs w:val="22"/>
          <w:lang w:val="sr-Latn-CS"/>
        </w:rPr>
        <w:t>jenog fibrinolitika ili heparina.</w:t>
      </w:r>
    </w:p>
    <w:p w14:paraId="26EC8DD4" w14:textId="6B44CB3A" w:rsidR="003035A7" w:rsidRPr="00C25676" w:rsidRDefault="003035A7" w:rsidP="00B22D20">
      <w:pPr>
        <w:pStyle w:val="Header"/>
        <w:tabs>
          <w:tab w:val="clear" w:pos="4536"/>
          <w:tab w:val="clear" w:pos="9072"/>
          <w:tab w:val="left" w:pos="284"/>
        </w:tabs>
        <w:spacing w:before="120" w:after="120"/>
        <w:rPr>
          <w:szCs w:val="22"/>
        </w:rPr>
      </w:pPr>
      <w:r w:rsidRPr="00C25676">
        <w:rPr>
          <w:szCs w:val="22"/>
        </w:rPr>
        <w:t xml:space="preserve">CLARITY PCI podgrupna analiza uključivala je 1.863 pacijenata </w:t>
      </w:r>
      <w:proofErr w:type="gramStart"/>
      <w:r w:rsidRPr="00C25676">
        <w:rPr>
          <w:szCs w:val="22"/>
        </w:rPr>
        <w:t>sa</w:t>
      </w:r>
      <w:proofErr w:type="gramEnd"/>
      <w:r w:rsidRPr="00C25676">
        <w:rPr>
          <w:szCs w:val="22"/>
        </w:rPr>
        <w:t xml:space="preserve"> STEMI koji su bili podvrgnuti PKI. Pacijenti koji su primali udarnu dozu (UD) klopidogrela od 300 mg (n=933) imali su značajno smanjenje incidencije kardiovaskularne smrti, IM ili moždanog udara nakon PKI u poređenju sa onima koji su primali placebo (n=930) (3,6% na terapiji klopidogrelom nasuprot 6,2% sa placebom, OR: 0,54; 95% CI: 0,35-0,85; p=0,008). Pacijenti koji su primali 300 mg UD klopidogrela imali su značajno smanjenje incidencije kardiovaskularne smrti, IM ili moždanog udara tokom 30 dana nakon PKI u poređenju sa onima koji su primali placebo (7,5% na terapiji klopidogrelom nasuprot 12,0% sa placebom, OR: 0,59; 9; % CI: 0,43-0,81; p=0,001). Međutim, ova kombinovana krajnja tačka kada se procjenjuje ukupna populacija studije CLARITY nije bila statistički značajna kao sekundarna krajnja tačka. Nije primijećena značajna razlika u stopama većeg ili manjeg krvarenja između dvije terapije (2</w:t>
      </w:r>
      <w:proofErr w:type="gramStart"/>
      <w:r w:rsidRPr="00C25676">
        <w:rPr>
          <w:szCs w:val="22"/>
        </w:rPr>
        <w:t>,0</w:t>
      </w:r>
      <w:proofErr w:type="gramEnd"/>
      <w:r w:rsidRPr="00C25676">
        <w:rPr>
          <w:szCs w:val="22"/>
        </w:rPr>
        <w:t xml:space="preserve">% na terapiji klopidogrelom u odnosu na 1,9% sa placebom, p&gt;0,99). Zaključci iz ove analize podržavaju ranu upotrebu udarne doze klopidogrela kod STEMI i strategiju rutinskog prethodnog lječenja klopidogrelom kod pacijenata koji su podvrgnuti PKI. </w:t>
      </w:r>
    </w:p>
    <w:p w14:paraId="7549E673" w14:textId="1DD10E06" w:rsidR="00F3137E" w:rsidRPr="00B22D20" w:rsidRDefault="00F3137E" w:rsidP="00C25676">
      <w:pPr>
        <w:pStyle w:val="Header"/>
        <w:tabs>
          <w:tab w:val="clear" w:pos="4536"/>
          <w:tab w:val="clear" w:pos="9072"/>
          <w:tab w:val="left" w:pos="284"/>
        </w:tabs>
        <w:spacing w:before="120"/>
        <w:rPr>
          <w:color w:val="C00000"/>
          <w:szCs w:val="22"/>
          <w:lang w:val="sr-Latn-CS"/>
        </w:rPr>
      </w:pPr>
      <w:r w:rsidRPr="00B22D20">
        <w:rPr>
          <w:szCs w:val="22"/>
          <w:lang w:val="sr-Latn-CS"/>
        </w:rPr>
        <w:t>COMMIT studija, sa 2x2 faktorijelnim dizajnom, obuhvatila je 45 852 pacijenta koji su se javili unutar 24 sata od pojave simptoma koji upućuju na infarkta miokarda</w:t>
      </w:r>
      <w:r w:rsidR="00BD7EC9" w:rsidRPr="00B22D20">
        <w:rPr>
          <w:szCs w:val="22"/>
          <w:lang w:val="sr-Latn-CS"/>
        </w:rPr>
        <w:t>,</w:t>
      </w:r>
      <w:r w:rsidRPr="00B22D20">
        <w:rPr>
          <w:szCs w:val="22"/>
          <w:lang w:val="sr-Latn-CS"/>
        </w:rPr>
        <w:t xml:space="preserve"> sa </w:t>
      </w:r>
      <w:r w:rsidR="00BD7EC9" w:rsidRPr="00B22D20">
        <w:rPr>
          <w:szCs w:val="22"/>
          <w:lang w:val="sr-Latn-CS"/>
        </w:rPr>
        <w:t xml:space="preserve">pratećim poremećajima </w:t>
      </w:r>
      <w:r w:rsidRPr="00B22D20">
        <w:rPr>
          <w:szCs w:val="22"/>
          <w:lang w:val="sr-Latn-CS"/>
        </w:rPr>
        <w:t>EKG nalaz</w:t>
      </w:r>
      <w:r w:rsidR="00BD7EC9" w:rsidRPr="00B22D20">
        <w:rPr>
          <w:szCs w:val="22"/>
          <w:lang w:val="sr-Latn-CS"/>
        </w:rPr>
        <w:t>a</w:t>
      </w:r>
      <w:r w:rsidRPr="00B22D20">
        <w:rPr>
          <w:szCs w:val="22"/>
          <w:lang w:val="sr-Latn-CS"/>
        </w:rPr>
        <w:t xml:space="preserve"> (tj. ST-elevacija, ST-depresija ili blok l</w:t>
      </w:r>
      <w:r w:rsidR="00566D25" w:rsidRPr="00B22D20">
        <w:rPr>
          <w:szCs w:val="22"/>
          <w:lang w:val="sr-Latn-CS"/>
        </w:rPr>
        <w:t>ij</w:t>
      </w:r>
      <w:r w:rsidRPr="00B22D20">
        <w:rPr>
          <w:szCs w:val="22"/>
          <w:lang w:val="sr-Latn-CS"/>
        </w:rPr>
        <w:t>eve grane</w:t>
      </w:r>
      <w:r w:rsidR="00BD7EC9" w:rsidRPr="00B22D20">
        <w:rPr>
          <w:szCs w:val="22"/>
          <w:lang w:val="sr-Latn-CS"/>
        </w:rPr>
        <w:t xml:space="preserve"> snopa</w:t>
      </w:r>
      <w:r w:rsidRPr="00B22D20">
        <w:rPr>
          <w:szCs w:val="22"/>
          <w:lang w:val="sr-Latn-CS"/>
        </w:rPr>
        <w:t>). Pacijenti su dobijali klopidogrel (75 mg dnevno, n= 22</w:t>
      </w:r>
      <w:r w:rsidR="00BD7EC9" w:rsidRPr="00B22D20">
        <w:rPr>
          <w:szCs w:val="22"/>
          <w:lang w:val="sr-Latn-CS"/>
        </w:rPr>
        <w:t xml:space="preserve"> </w:t>
      </w:r>
      <w:r w:rsidRPr="00B22D20">
        <w:rPr>
          <w:szCs w:val="22"/>
          <w:lang w:val="sr-Latn-CS"/>
        </w:rPr>
        <w:t>961) ili placebo (n=2</w:t>
      </w:r>
      <w:r w:rsidR="00D1145E" w:rsidRPr="00B22D20">
        <w:rPr>
          <w:szCs w:val="22"/>
          <w:lang w:val="sr-Latn-CS"/>
        </w:rPr>
        <w:t>2</w:t>
      </w:r>
      <w:r w:rsidR="00BD7EC9" w:rsidRPr="00B22D20">
        <w:rPr>
          <w:szCs w:val="22"/>
          <w:lang w:val="sr-Latn-CS"/>
        </w:rPr>
        <w:t xml:space="preserve"> </w:t>
      </w:r>
      <w:r w:rsidRPr="00B22D20">
        <w:rPr>
          <w:szCs w:val="22"/>
          <w:lang w:val="sr-Latn-CS"/>
        </w:rPr>
        <w:t xml:space="preserve">891) u kombinaciji sa </w:t>
      </w:r>
      <w:r w:rsidR="00465370" w:rsidRPr="00B22D20">
        <w:rPr>
          <w:szCs w:val="22"/>
          <w:lang w:val="sr-Latn-CS"/>
        </w:rPr>
        <w:t>AS</w:t>
      </w:r>
      <w:r w:rsidR="00BD7EC9" w:rsidRPr="00B22D20">
        <w:rPr>
          <w:szCs w:val="22"/>
          <w:lang w:val="sr-Latn-CS"/>
        </w:rPr>
        <w:t>K</w:t>
      </w:r>
      <w:r w:rsidRPr="00B22D20">
        <w:rPr>
          <w:szCs w:val="22"/>
          <w:lang w:val="sr-Latn-CS"/>
        </w:rPr>
        <w:t xml:space="preserve"> (162 mg dnevno), tokom 28 dana ili do otpusta iz bolnice. </w:t>
      </w:r>
      <w:r w:rsidR="00D1145E" w:rsidRPr="00B22D20">
        <w:rPr>
          <w:szCs w:val="22"/>
          <w:lang w:val="sr-Latn-CS"/>
        </w:rPr>
        <w:t xml:space="preserve">Koprimarni parametri praćenja </w:t>
      </w:r>
      <w:r w:rsidRPr="00B22D20">
        <w:rPr>
          <w:szCs w:val="22"/>
          <w:lang w:val="sr-Latn-CS"/>
        </w:rPr>
        <w:t>su bili smrt usl</w:t>
      </w:r>
      <w:r w:rsidR="00673F39" w:rsidRPr="00B22D20">
        <w:rPr>
          <w:szCs w:val="22"/>
          <w:lang w:val="sr-Latn-CS"/>
        </w:rPr>
        <w:t>j</w:t>
      </w:r>
      <w:r w:rsidRPr="00B22D20">
        <w:rPr>
          <w:szCs w:val="22"/>
          <w:lang w:val="sr-Latn-CS"/>
        </w:rPr>
        <w:t xml:space="preserve">ed bilo kog uzroka i pojava prvog ponovnog infarkta, moždanog udara ili smrti. Populacija </w:t>
      </w:r>
      <w:r w:rsidR="008074E8" w:rsidRPr="00B22D20">
        <w:rPr>
          <w:szCs w:val="22"/>
          <w:lang w:val="sr-Latn-CS"/>
        </w:rPr>
        <w:t>na kojoj je vršeno</w:t>
      </w:r>
      <w:r w:rsidR="001248CD" w:rsidRPr="00B22D20">
        <w:rPr>
          <w:szCs w:val="22"/>
          <w:lang w:val="sr-Latn-CS"/>
        </w:rPr>
        <w:t xml:space="preserve"> ispitivanje </w:t>
      </w:r>
      <w:r w:rsidRPr="00B22D20">
        <w:rPr>
          <w:szCs w:val="22"/>
          <w:lang w:val="sr-Latn-CS"/>
        </w:rPr>
        <w:t>je uključivala 27,8% žena, 58,4% pacijenata starosti ≥</w:t>
      </w:r>
      <w:r w:rsidR="00D1145E" w:rsidRPr="00B22D20">
        <w:rPr>
          <w:szCs w:val="22"/>
          <w:lang w:val="sr-Latn-CS"/>
        </w:rPr>
        <w:t xml:space="preserve"> </w:t>
      </w:r>
      <w:r w:rsidRPr="00B22D20">
        <w:rPr>
          <w:szCs w:val="22"/>
          <w:lang w:val="sr-Latn-CS"/>
        </w:rPr>
        <w:t>60 godina (26% ≥</w:t>
      </w:r>
      <w:r w:rsidR="00D1145E" w:rsidRPr="00B22D20">
        <w:rPr>
          <w:szCs w:val="22"/>
          <w:lang w:val="sr-Latn-CS"/>
        </w:rPr>
        <w:t xml:space="preserve"> </w:t>
      </w:r>
      <w:r w:rsidRPr="00B22D20">
        <w:rPr>
          <w:szCs w:val="22"/>
          <w:lang w:val="sr-Latn-CS"/>
        </w:rPr>
        <w:t>70 godina) i 54,5% pacijenata koji su primali i fibrinolitičku terapiju</w:t>
      </w:r>
      <w:r w:rsidRPr="00B22D20">
        <w:rPr>
          <w:color w:val="C00000"/>
          <w:szCs w:val="22"/>
          <w:lang w:val="sr-Latn-CS"/>
        </w:rPr>
        <w:t>.</w:t>
      </w:r>
    </w:p>
    <w:p w14:paraId="2F1AD273" w14:textId="2A4E8347" w:rsidR="00F3137E" w:rsidRPr="00B22D20" w:rsidRDefault="00F3137E">
      <w:pPr>
        <w:pStyle w:val="Header"/>
        <w:tabs>
          <w:tab w:val="clear" w:pos="4536"/>
          <w:tab w:val="clear" w:pos="9072"/>
          <w:tab w:val="left" w:pos="284"/>
        </w:tabs>
        <w:spacing w:before="120"/>
        <w:rPr>
          <w:szCs w:val="22"/>
          <w:lang w:val="sr-Latn-CS"/>
        </w:rPr>
      </w:pPr>
      <w:r w:rsidRPr="00B22D20">
        <w:rPr>
          <w:szCs w:val="22"/>
          <w:lang w:val="sr-Latn-CS"/>
        </w:rPr>
        <w:t>Klopidogrel je značajno redukovao relativni rizik od smrti bilo kog uzroka, i to za 7% (p=0,029), kao i relativni rizik od kombinacije pon</w:t>
      </w:r>
      <w:r w:rsidR="00AE06FC" w:rsidRPr="00B22D20">
        <w:rPr>
          <w:szCs w:val="22"/>
          <w:lang w:val="sr-Latn-CS"/>
        </w:rPr>
        <w:t>o</w:t>
      </w:r>
      <w:r w:rsidRPr="00B22D20">
        <w:rPr>
          <w:szCs w:val="22"/>
          <w:lang w:val="sr-Latn-CS"/>
        </w:rPr>
        <w:t>vnog infarkta, moždanog udara ili smrti, za 9% (p=0,002), što predstavlja apsolutnu redukciju od 0,5%, odnosno 0,9%. Ovaj korisn</w:t>
      </w:r>
      <w:r w:rsidR="00850F63" w:rsidRPr="00B22D20">
        <w:rPr>
          <w:szCs w:val="22"/>
          <w:lang w:val="sr-Latn-CS"/>
        </w:rPr>
        <w:t xml:space="preserve">i efekat </w:t>
      </w:r>
      <w:r w:rsidRPr="00B22D20">
        <w:rPr>
          <w:szCs w:val="22"/>
          <w:lang w:val="sr-Latn-CS"/>
        </w:rPr>
        <w:t xml:space="preserve">se javio kod pacijenata svih starosnih grupa, oba pola sa ili bez istovremene </w:t>
      </w:r>
      <w:r w:rsidR="00D77814" w:rsidRPr="00B22D20">
        <w:rPr>
          <w:szCs w:val="22"/>
          <w:lang w:val="sr-Latn-CS"/>
        </w:rPr>
        <w:t>primjen</w:t>
      </w:r>
      <w:r w:rsidRPr="00B22D20">
        <w:rPr>
          <w:szCs w:val="22"/>
          <w:lang w:val="sr-Latn-CS"/>
        </w:rPr>
        <w:t>e fibrinolitika, a prim</w:t>
      </w:r>
      <w:r w:rsidR="003E7337" w:rsidRPr="00B22D20">
        <w:rPr>
          <w:szCs w:val="22"/>
          <w:lang w:val="sr-Latn-CS"/>
        </w:rPr>
        <w:t>ij</w:t>
      </w:r>
      <w:r w:rsidRPr="00B22D20">
        <w:rPr>
          <w:szCs w:val="22"/>
          <w:lang w:val="sr-Latn-CS"/>
        </w:rPr>
        <w:t>ećen je već nakon 24 sata.</w:t>
      </w:r>
    </w:p>
    <w:p w14:paraId="32EC5425" w14:textId="77777777" w:rsidR="00F61AE5" w:rsidRPr="00C25676" w:rsidRDefault="00F61AE5" w:rsidP="00B22D20">
      <w:pPr>
        <w:pStyle w:val="Header"/>
        <w:spacing w:before="120"/>
        <w:rPr>
          <w:szCs w:val="22"/>
          <w:u w:val="single"/>
          <w:lang w:val="sr-Latn-CS"/>
        </w:rPr>
      </w:pPr>
      <w:r w:rsidRPr="00C25676">
        <w:rPr>
          <w:szCs w:val="22"/>
          <w:u w:val="single"/>
          <w:lang w:val="sr-Latn-CS"/>
        </w:rPr>
        <w:t>Klopidogrel 600 mg udarna doza kod pacijenata sa akutnim koronarnim sindromom koji su podvrgnuti PKI</w:t>
      </w:r>
    </w:p>
    <w:p w14:paraId="2F64D9FF" w14:textId="77777777" w:rsidR="00F61AE5" w:rsidRPr="00C25676" w:rsidRDefault="00F61AE5" w:rsidP="00B22D20">
      <w:pPr>
        <w:pStyle w:val="Header"/>
        <w:spacing w:before="120"/>
        <w:rPr>
          <w:bCs/>
          <w:szCs w:val="22"/>
        </w:rPr>
      </w:pPr>
      <w:r w:rsidRPr="00C25676">
        <w:rPr>
          <w:b/>
          <w:szCs w:val="22"/>
        </w:rPr>
        <w:t>CURRENT-OASIS-7</w:t>
      </w:r>
      <w:r w:rsidRPr="00C25676">
        <w:rPr>
          <w:bCs/>
          <w:szCs w:val="22"/>
        </w:rPr>
        <w:t xml:space="preserve"> (</w:t>
      </w:r>
      <w:r w:rsidRPr="00C25676">
        <w:rPr>
          <w:bCs/>
          <w:i/>
          <w:iCs/>
          <w:szCs w:val="22"/>
        </w:rPr>
        <w:t>Clopidogrel and Aspirin Optimal Dose Usage to Reduce Recurrent Events Seventh Organization to Assess Strategies in Ischemic Syndromes</w:t>
      </w:r>
      <w:r w:rsidRPr="00C25676">
        <w:rPr>
          <w:bCs/>
          <w:szCs w:val="22"/>
        </w:rPr>
        <w:t xml:space="preserve">) </w:t>
      </w:r>
    </w:p>
    <w:p w14:paraId="4B0BE6B6" w14:textId="0D5E80A3" w:rsidR="00F61AE5" w:rsidRPr="00C25676" w:rsidRDefault="00F61AE5" w:rsidP="00B22D20">
      <w:pPr>
        <w:pStyle w:val="Header"/>
        <w:spacing w:before="120"/>
        <w:rPr>
          <w:szCs w:val="22"/>
          <w:lang w:val="sr-Latn-CS"/>
        </w:rPr>
      </w:pPr>
      <w:r w:rsidRPr="00C25676">
        <w:rPr>
          <w:szCs w:val="22"/>
          <w:lang w:val="sr-Latn-CS"/>
        </w:rPr>
        <w:t>Ova randomizovana faktorijal studija uključivala je 25.086 osoba sa akutnim koronarnim sindromom (AKS) namijenjenim za ranu PKI. Pacijenti su nasumično raspoređeni na dvostruku dozu (600 mg prvog dana, zatim 150 mg na dan 2-7, zatim 75 mg dnevno) nasuprot standardnoj dozi (300 mg prvog dana, zatim 75 mg dnevno) klopidogrela, i visoku dozu (300–325 mg dnevno) nasuprot niskoj dozi (75–100 mg dnevno) ASK. 24.835 uključenih pacijenata sa AKS je podvrgnuto koronarnoj angiografiji, a  kod 17.263 je primijenjena PKI. Među 17.263 pacijenata koji su bili podvrgnuti PKI, u poređenju sa standardnom dozom, dvostruka doza klopidogrela je smanjila stopu primarne krajnje tačke (3,9% nasuprot 4,5% prilagođeni HR= 0,86, 95% CI 0,74-0,99, p=0,039) i značajno smanjila trombozu stenta (1,6% nasuprot 2,3%, HR: 0,68; 95% CI: 0,55 0,85; p=0,001). Velika krvarenja su bila češća kod dvostruke doze nego kod standardne doze klopidogrela (1,6% nasuprot 1,1%, HR=1,41, 95% CI 1,09-1,83, p=0,009). U ovoj studiji, udarna doza klopidogrela od 600 mg je pokazala konzistentnu efikasnost kod pacijenata starosti ≥75 godina i pacijenata &lt;75 godina.</w:t>
      </w:r>
    </w:p>
    <w:p w14:paraId="229EB8DC" w14:textId="77777777" w:rsidR="00F61AE5" w:rsidRPr="00C25676" w:rsidRDefault="00F61AE5" w:rsidP="00C25676">
      <w:pPr>
        <w:autoSpaceDE w:val="0"/>
        <w:autoSpaceDN w:val="0"/>
        <w:adjustRightInd w:val="0"/>
        <w:spacing w:before="120"/>
        <w:rPr>
          <w:bCs/>
          <w:szCs w:val="22"/>
        </w:rPr>
      </w:pPr>
      <w:r w:rsidRPr="00C25676">
        <w:rPr>
          <w:b/>
          <w:szCs w:val="22"/>
        </w:rPr>
        <w:t>ARMYDA-6 MI</w:t>
      </w:r>
      <w:r w:rsidRPr="00C25676">
        <w:rPr>
          <w:bCs/>
          <w:szCs w:val="22"/>
        </w:rPr>
        <w:t xml:space="preserve"> (</w:t>
      </w:r>
      <w:r w:rsidRPr="00C25676">
        <w:rPr>
          <w:bCs/>
          <w:i/>
          <w:iCs/>
          <w:szCs w:val="22"/>
        </w:rPr>
        <w:t>The Antiplatelet therapy for Reduction of MYocardial Damage during Angioplasty - Myocardial Infarction</w:t>
      </w:r>
      <w:r w:rsidRPr="00C25676">
        <w:rPr>
          <w:bCs/>
          <w:szCs w:val="22"/>
        </w:rPr>
        <w:t xml:space="preserve">) </w:t>
      </w:r>
    </w:p>
    <w:p w14:paraId="3E269EE6" w14:textId="03E72784" w:rsidR="00F61AE5" w:rsidRPr="00C25676" w:rsidRDefault="00F61AE5" w:rsidP="00B22D20">
      <w:pPr>
        <w:pStyle w:val="Header"/>
        <w:spacing w:before="120"/>
        <w:rPr>
          <w:szCs w:val="22"/>
          <w:lang w:val="sr-Latn-CS"/>
        </w:rPr>
      </w:pPr>
      <w:r w:rsidRPr="00C25676">
        <w:rPr>
          <w:szCs w:val="22"/>
          <w:lang w:val="sr-Latn-CS"/>
        </w:rPr>
        <w:t>Ova randomizovana, prospektivna, internacionalna, multicentrična studija procijenjivala je pre-tretman od 600 mg u odnosu na 300 mg UD klopidogrela u uslovima hitne PKI za STEMI. Pacijenti su primali klopidogrel u UD od 600 mg (n=103) ili klopidogrel u UD od 300 mg (n=98) pre PKI, a zatim im je propisano 75 mg/dan od dana nakon PKI do 1 godine. Pacijenti koji su primali UD od 600 mg  klopidogrela imali su značajno smanjenu veličinu infarkta u poređenju sa onima koji su primali UD od 300 mg. Bilo je manje učestalih tromboliza u MI stepena protoka &lt;3 nakon PKI u UD od 600 mg (5,8% nasuprot 16,3%, p=0,031), poboljšan LVEF pri otpuštanju (52,1 ±9,5% nasuprot 48,8 ±11,3%, p=0,026) i 30-dnevni veliki neželjeni kardiovaskularni događaji su bili manji (5,8% nasuprot 15%, p=0,049). Nije primijećeno povećanje krvarenja ili komplikacija na mjestu ulaska (sekundarne krajnje tačke 30. dana).</w:t>
      </w:r>
    </w:p>
    <w:p w14:paraId="6AAAA243" w14:textId="77777777" w:rsidR="00F61AE5" w:rsidRPr="00C25676" w:rsidRDefault="00F61AE5" w:rsidP="00C25676">
      <w:pPr>
        <w:tabs>
          <w:tab w:val="left" w:pos="240"/>
        </w:tabs>
        <w:autoSpaceDE w:val="0"/>
        <w:autoSpaceDN w:val="0"/>
        <w:adjustRightInd w:val="0"/>
        <w:spacing w:before="120"/>
        <w:rPr>
          <w:color w:val="000000"/>
          <w:szCs w:val="22"/>
          <w:lang w:val="en-GB"/>
        </w:rPr>
      </w:pPr>
      <w:r w:rsidRPr="00C25676">
        <w:rPr>
          <w:b/>
          <w:bCs/>
          <w:color w:val="000000"/>
          <w:szCs w:val="22"/>
          <w:lang w:val="en-GB"/>
        </w:rPr>
        <w:lastRenderedPageBreak/>
        <w:t>HORIZONS-AMI</w:t>
      </w:r>
      <w:r w:rsidRPr="00C25676">
        <w:rPr>
          <w:color w:val="000000"/>
          <w:szCs w:val="22"/>
          <w:lang w:val="en-GB"/>
        </w:rPr>
        <w:t xml:space="preserve"> (</w:t>
      </w:r>
      <w:r w:rsidRPr="00C25676">
        <w:rPr>
          <w:i/>
          <w:iCs/>
          <w:color w:val="000000"/>
          <w:szCs w:val="22"/>
          <w:lang w:val="en-GB"/>
        </w:rPr>
        <w:t>Harmonizing Outcomes with Revascularization and Stents in Acute Myocardial Infarction</w:t>
      </w:r>
      <w:r w:rsidRPr="00C25676">
        <w:rPr>
          <w:color w:val="000000"/>
          <w:szCs w:val="22"/>
          <w:lang w:val="en-GB"/>
        </w:rPr>
        <w:t>)</w:t>
      </w:r>
    </w:p>
    <w:p w14:paraId="2F1FD3D6" w14:textId="62ED1171" w:rsidR="00F61AE5" w:rsidRPr="00C25676" w:rsidRDefault="00F61AE5" w:rsidP="00B22D20">
      <w:pPr>
        <w:pStyle w:val="Header"/>
        <w:tabs>
          <w:tab w:val="clear" w:pos="4536"/>
          <w:tab w:val="clear" w:pos="9072"/>
          <w:tab w:val="left" w:pos="284"/>
        </w:tabs>
        <w:spacing w:before="120"/>
        <w:rPr>
          <w:szCs w:val="22"/>
          <w:lang w:val="sr-Latn-CS"/>
        </w:rPr>
      </w:pPr>
      <w:r w:rsidRPr="00C25676">
        <w:rPr>
          <w:szCs w:val="22"/>
          <w:lang w:val="sr-Latn-CS"/>
        </w:rPr>
        <w:t xml:space="preserve">Ova post-hoc analitička studija je sprovedena da bi se procijenilo da li 600 mg klopidogrela UD obezbjeđuje bržu i veću inhibiciju aktivacije trombocita. Analiza je ispitala uticaj </w:t>
      </w:r>
      <w:bookmarkStart w:id="2" w:name="_Hlk140502474"/>
      <w:r w:rsidRPr="00C25676">
        <w:rPr>
          <w:szCs w:val="22"/>
          <w:lang w:val="sr-Latn-CS"/>
        </w:rPr>
        <w:t xml:space="preserve">UD od </w:t>
      </w:r>
      <w:bookmarkEnd w:id="2"/>
      <w:r w:rsidRPr="00C25676">
        <w:rPr>
          <w:szCs w:val="22"/>
          <w:lang w:val="sr-Latn-CS"/>
        </w:rPr>
        <w:t>600 mg u poređenju sa 300 mg na 30-dnevne kliničke ishode kod 3.311 pacijenata iz glavnog ispitivanja (n=1.153; 300 mg UD grupa; n=2.158; 600 mg UD grupa) prije kateterizacije srca praćeno dozom od 75 mg/dnevno tokom ≥6 mjeseci nakon otpuštanja. Rezultati su pokazali značajno niže neprilagođene 30-dnevne stope mortaliteta (1,9% nasuprot 3,1%, p=0,03), reinfarkta (1,3% nasuprot 2,3%, p=0,02) i definitivne ili vjerovatne tromboze stenta (1,7% nasuprot 2,8%, p=0,04) sa UD od 600 mg bez veće stope krvarenja. Multivarijabilnom analizom, UD od 600 mg je bio nezavisni prediktor nižih stopa 30-dnevnih velikih neželjenih srčanih događaja (HR: 0,72 [95% CI: 0,53–0,98], p=0,04). Stopa velikog krvarenja (koja nije povezana sa CABG) bila je 6,1% u grupi sa UD od 600 mg i 9,4% u grupi sa UD od 300 mg (p=0,0005). Stopa manjeg krvarenja bila je 11,3% u grupi sa UD od 600 mg i 13,8% u grupi sa UD od 300 mg (p=0,03).</w:t>
      </w:r>
    </w:p>
    <w:p w14:paraId="730E7701" w14:textId="121700C4" w:rsidR="00F61AE5" w:rsidRPr="00C25676" w:rsidRDefault="00F61AE5" w:rsidP="00C25676">
      <w:pPr>
        <w:pStyle w:val="Header"/>
        <w:spacing w:before="120"/>
        <w:rPr>
          <w:szCs w:val="22"/>
          <w:u w:val="single"/>
        </w:rPr>
      </w:pPr>
      <w:r w:rsidRPr="00C25676">
        <w:rPr>
          <w:szCs w:val="22"/>
          <w:u w:val="single"/>
        </w:rPr>
        <w:t>Dugoročna terapija (12 m</w:t>
      </w:r>
      <w:r w:rsidR="00670027" w:rsidRPr="00C25676">
        <w:rPr>
          <w:szCs w:val="22"/>
          <w:u w:val="single"/>
        </w:rPr>
        <w:t>j</w:t>
      </w:r>
      <w:r w:rsidRPr="00C25676">
        <w:rPr>
          <w:szCs w:val="22"/>
          <w:u w:val="single"/>
        </w:rPr>
        <w:t xml:space="preserve">eseci) klopidogrelom kod pacijenata </w:t>
      </w:r>
      <w:proofErr w:type="gramStart"/>
      <w:r w:rsidRPr="00C25676">
        <w:rPr>
          <w:szCs w:val="22"/>
          <w:u w:val="single"/>
        </w:rPr>
        <w:t>sa</w:t>
      </w:r>
      <w:proofErr w:type="gramEnd"/>
      <w:r w:rsidRPr="00C25676">
        <w:rPr>
          <w:szCs w:val="22"/>
          <w:u w:val="single"/>
        </w:rPr>
        <w:t xml:space="preserve"> STEMI nakon PKI</w:t>
      </w:r>
    </w:p>
    <w:p w14:paraId="0CF85F65" w14:textId="77777777" w:rsidR="00F61AE5" w:rsidRPr="00C25676" w:rsidRDefault="00F61AE5" w:rsidP="00B22D20">
      <w:pPr>
        <w:autoSpaceDE w:val="0"/>
        <w:autoSpaceDN w:val="0"/>
        <w:adjustRightInd w:val="0"/>
        <w:spacing w:before="120"/>
        <w:rPr>
          <w:szCs w:val="22"/>
          <w:lang w:val="en-GB"/>
        </w:rPr>
      </w:pPr>
      <w:r w:rsidRPr="00C25676">
        <w:rPr>
          <w:b/>
          <w:bCs/>
          <w:szCs w:val="22"/>
          <w:lang w:val="en-GB"/>
        </w:rPr>
        <w:t>CREDO</w:t>
      </w:r>
      <w:r w:rsidRPr="00C25676">
        <w:rPr>
          <w:szCs w:val="22"/>
          <w:lang w:val="en-GB"/>
        </w:rPr>
        <w:t xml:space="preserve"> (</w:t>
      </w:r>
      <w:r w:rsidRPr="00C25676">
        <w:rPr>
          <w:i/>
          <w:iCs/>
          <w:szCs w:val="22"/>
          <w:lang w:val="en-GB"/>
        </w:rPr>
        <w:t xml:space="preserve">Clopidogrel for the Reduction of Adverse Events </w:t>
      </w:r>
      <w:proofErr w:type="gramStart"/>
      <w:r w:rsidRPr="00C25676">
        <w:rPr>
          <w:i/>
          <w:iCs/>
          <w:szCs w:val="22"/>
          <w:lang w:val="en-GB"/>
        </w:rPr>
        <w:t>During</w:t>
      </w:r>
      <w:proofErr w:type="gramEnd"/>
      <w:r w:rsidRPr="00C25676">
        <w:rPr>
          <w:i/>
          <w:iCs/>
          <w:szCs w:val="22"/>
          <w:lang w:val="en-GB"/>
        </w:rPr>
        <w:t xml:space="preserve"> Observation</w:t>
      </w:r>
      <w:r w:rsidRPr="00C25676">
        <w:rPr>
          <w:szCs w:val="22"/>
          <w:lang w:val="en-GB"/>
        </w:rPr>
        <w:t>)</w:t>
      </w:r>
    </w:p>
    <w:p w14:paraId="2F706D40" w14:textId="67164E3D" w:rsidR="00F61AE5" w:rsidRPr="00C25676" w:rsidRDefault="00F61AE5" w:rsidP="00B22D20">
      <w:pPr>
        <w:pStyle w:val="Header"/>
        <w:rPr>
          <w:szCs w:val="22"/>
        </w:rPr>
      </w:pPr>
      <w:r w:rsidRPr="00C25676">
        <w:rPr>
          <w:szCs w:val="22"/>
        </w:rPr>
        <w:t>Ova randomizovana, dvostruko sl</w:t>
      </w:r>
      <w:r w:rsidR="00670027" w:rsidRPr="00C25676">
        <w:rPr>
          <w:szCs w:val="22"/>
        </w:rPr>
        <w:t>ij</w:t>
      </w:r>
      <w:r w:rsidRPr="00C25676">
        <w:rPr>
          <w:szCs w:val="22"/>
        </w:rPr>
        <w:t>epa, placebom kontrolisana studija sprovedena je u Sjedinjenim Američkim Državama i Kanadi da bi se proc</w:t>
      </w:r>
      <w:r w:rsidR="00670027" w:rsidRPr="00C25676">
        <w:rPr>
          <w:szCs w:val="22"/>
        </w:rPr>
        <w:t>ij</w:t>
      </w:r>
      <w:r w:rsidRPr="00C25676">
        <w:rPr>
          <w:szCs w:val="22"/>
        </w:rPr>
        <w:t>enila korist dugoročne terapije (12 m</w:t>
      </w:r>
      <w:r w:rsidR="00670027" w:rsidRPr="00C25676">
        <w:rPr>
          <w:szCs w:val="22"/>
        </w:rPr>
        <w:t>j</w:t>
      </w:r>
      <w:r w:rsidRPr="00C25676">
        <w:rPr>
          <w:szCs w:val="22"/>
        </w:rPr>
        <w:t xml:space="preserve">eseci) klopidogrelom nakon PKI. 2.116 pacijenata je randomizirano da primaju 300 mg klopidogrela UD (n=1.053) </w:t>
      </w:r>
      <w:proofErr w:type="gramStart"/>
      <w:r w:rsidRPr="00C25676">
        <w:rPr>
          <w:szCs w:val="22"/>
        </w:rPr>
        <w:t>ili</w:t>
      </w:r>
      <w:proofErr w:type="gramEnd"/>
      <w:r w:rsidRPr="00C25676">
        <w:rPr>
          <w:szCs w:val="22"/>
        </w:rPr>
        <w:t xml:space="preserve"> placebo (n=1.063) 3 do 24 sata pr</w:t>
      </w:r>
      <w:r w:rsidR="00670027" w:rsidRPr="00C25676">
        <w:rPr>
          <w:szCs w:val="22"/>
        </w:rPr>
        <w:t>ij</w:t>
      </w:r>
      <w:r w:rsidRPr="00C25676">
        <w:rPr>
          <w:szCs w:val="22"/>
        </w:rPr>
        <w:t xml:space="preserve">e PKI. Svi pacijenti su takođe primali 325 mg aspirina. Nakon toga, svi pacijenti su primali klopidogrel 75 mg/dan do 28. </w:t>
      </w:r>
      <w:proofErr w:type="gramStart"/>
      <w:r w:rsidRPr="00C25676">
        <w:rPr>
          <w:szCs w:val="22"/>
        </w:rPr>
        <w:t>dana</w:t>
      </w:r>
      <w:proofErr w:type="gramEnd"/>
      <w:r w:rsidRPr="00C25676">
        <w:rPr>
          <w:szCs w:val="22"/>
        </w:rPr>
        <w:t xml:space="preserve"> u ob</w:t>
      </w:r>
      <w:r w:rsidR="00670027" w:rsidRPr="00C25676">
        <w:rPr>
          <w:szCs w:val="22"/>
        </w:rPr>
        <w:t>j</w:t>
      </w:r>
      <w:r w:rsidRPr="00C25676">
        <w:rPr>
          <w:szCs w:val="22"/>
        </w:rPr>
        <w:t xml:space="preserve">e grupe. </w:t>
      </w:r>
      <w:proofErr w:type="gramStart"/>
      <w:r w:rsidRPr="00C25676">
        <w:rPr>
          <w:szCs w:val="22"/>
        </w:rPr>
        <w:t>Od</w:t>
      </w:r>
      <w:proofErr w:type="gramEnd"/>
      <w:r w:rsidRPr="00C25676">
        <w:rPr>
          <w:szCs w:val="22"/>
        </w:rPr>
        <w:t xml:space="preserve"> dana 29 do 12 m</w:t>
      </w:r>
      <w:r w:rsidR="00670027" w:rsidRPr="00C25676">
        <w:rPr>
          <w:szCs w:val="22"/>
        </w:rPr>
        <w:t>j</w:t>
      </w:r>
      <w:r w:rsidRPr="00C25676">
        <w:rPr>
          <w:szCs w:val="22"/>
        </w:rPr>
        <w:t>eseci, pacijenti u grupi klopidogrela primali su 75 mg/dan klopidogrela, a u kontrolnoj grupi placebo. Ob</w:t>
      </w:r>
      <w:r w:rsidR="00670027" w:rsidRPr="00C25676">
        <w:rPr>
          <w:szCs w:val="22"/>
        </w:rPr>
        <w:t>j</w:t>
      </w:r>
      <w:r w:rsidRPr="00C25676">
        <w:rPr>
          <w:szCs w:val="22"/>
        </w:rPr>
        <w:t>e grupe su tokom studije primale ASK (81 do 325 mg/dan). Nakon godinu dana, prim</w:t>
      </w:r>
      <w:r w:rsidR="00670027" w:rsidRPr="00C25676">
        <w:rPr>
          <w:szCs w:val="22"/>
        </w:rPr>
        <w:t>ij</w:t>
      </w:r>
      <w:r w:rsidRPr="00C25676">
        <w:rPr>
          <w:szCs w:val="22"/>
        </w:rPr>
        <w:t>ećeno je značajno smanjenje kombinovanog rizika od smrti, IM ili moždanog udara kod klopidogrela (relativno smanjenje od 26,9%, CI 95%: 3,9%-44,4%; p=0,02; apsolutno smanjenje 3%) u poređenju sa placebom. Nije prim</w:t>
      </w:r>
      <w:r w:rsidR="00670027" w:rsidRPr="00C25676">
        <w:rPr>
          <w:szCs w:val="22"/>
        </w:rPr>
        <w:t>ij</w:t>
      </w:r>
      <w:r w:rsidRPr="00C25676">
        <w:rPr>
          <w:szCs w:val="22"/>
        </w:rPr>
        <w:t xml:space="preserve">ećeno značajno povećanje stope velikog krvarenja (8,8% sa klopidogrelom u odnosu na 6,7% sa placebom, p=0,07) ili manjeg krvarenja (5,3% sa klopidogrelom u odnosu na 5,6% sa placebom, p=0,84) tokom 1 godine. Glavni nalaz ove studije je da nastavak uzimanja klopidogrela i ASK tokom najmanje godinu </w:t>
      </w:r>
      <w:proofErr w:type="gramStart"/>
      <w:r w:rsidRPr="00C25676">
        <w:rPr>
          <w:szCs w:val="22"/>
        </w:rPr>
        <w:t>dana</w:t>
      </w:r>
      <w:proofErr w:type="gramEnd"/>
      <w:r w:rsidRPr="00C25676">
        <w:rPr>
          <w:szCs w:val="22"/>
        </w:rPr>
        <w:t xml:space="preserve"> dovodi do statistički i klinički značajnog smanjenja velikih trombotičkih događaja.</w:t>
      </w:r>
    </w:p>
    <w:p w14:paraId="071BF5A3" w14:textId="77777777" w:rsidR="00F61AE5" w:rsidRPr="00C25676" w:rsidRDefault="00F61AE5" w:rsidP="00B22D20">
      <w:pPr>
        <w:autoSpaceDE w:val="0"/>
        <w:autoSpaceDN w:val="0"/>
        <w:adjustRightInd w:val="0"/>
        <w:spacing w:before="120"/>
        <w:rPr>
          <w:bCs/>
          <w:szCs w:val="22"/>
          <w:lang w:val="en-GB"/>
        </w:rPr>
      </w:pPr>
      <w:r w:rsidRPr="00C25676">
        <w:rPr>
          <w:b/>
          <w:szCs w:val="22"/>
          <w:lang w:val="en-GB"/>
        </w:rPr>
        <w:t>EXCELLENT</w:t>
      </w:r>
      <w:r w:rsidRPr="00C25676">
        <w:rPr>
          <w:bCs/>
          <w:szCs w:val="22"/>
          <w:lang w:val="en-GB"/>
        </w:rPr>
        <w:t xml:space="preserve"> (</w:t>
      </w:r>
      <w:r w:rsidRPr="00C25676">
        <w:rPr>
          <w:bCs/>
          <w:i/>
          <w:iCs/>
          <w:szCs w:val="22"/>
          <w:lang w:val="en-GB"/>
        </w:rPr>
        <w:t xml:space="preserve">Efficacy of Xience/Promus </w:t>
      </w:r>
      <w:proofErr w:type="gramStart"/>
      <w:r w:rsidRPr="00C25676">
        <w:rPr>
          <w:bCs/>
          <w:i/>
          <w:iCs/>
          <w:szCs w:val="22"/>
          <w:lang w:val="en-GB"/>
        </w:rPr>
        <w:t>Versus</w:t>
      </w:r>
      <w:proofErr w:type="gramEnd"/>
      <w:r w:rsidRPr="00C25676">
        <w:rPr>
          <w:bCs/>
          <w:i/>
          <w:iCs/>
          <w:szCs w:val="22"/>
          <w:lang w:val="en-GB"/>
        </w:rPr>
        <w:t xml:space="preserve"> Cypher to Reduce Late Loss After Stenting</w:t>
      </w:r>
      <w:r w:rsidRPr="00C25676">
        <w:rPr>
          <w:bCs/>
          <w:szCs w:val="22"/>
          <w:lang w:val="en-GB"/>
        </w:rPr>
        <w:t>)</w:t>
      </w:r>
    </w:p>
    <w:p w14:paraId="47DCF2B4" w14:textId="490C0659" w:rsidR="00F61AE5" w:rsidRPr="00C25676" w:rsidRDefault="00F61AE5" w:rsidP="00B22D20">
      <w:pPr>
        <w:pStyle w:val="Header"/>
        <w:tabs>
          <w:tab w:val="clear" w:pos="4536"/>
          <w:tab w:val="clear" w:pos="9072"/>
          <w:tab w:val="left" w:pos="284"/>
        </w:tabs>
        <w:rPr>
          <w:szCs w:val="22"/>
        </w:rPr>
      </w:pPr>
      <w:r w:rsidRPr="00C25676">
        <w:rPr>
          <w:szCs w:val="22"/>
        </w:rPr>
        <w:t>Ova prospektivna, open-label, randomizovana studija sprovedena je u Koreji kako bi se proc</w:t>
      </w:r>
      <w:r w:rsidR="00670027" w:rsidRPr="00C25676">
        <w:rPr>
          <w:szCs w:val="22"/>
        </w:rPr>
        <w:t>ij</w:t>
      </w:r>
      <w:r w:rsidRPr="00C25676">
        <w:rPr>
          <w:szCs w:val="22"/>
        </w:rPr>
        <w:t>enilo da li je šestom</w:t>
      </w:r>
      <w:r w:rsidR="00670027" w:rsidRPr="00C25676">
        <w:rPr>
          <w:szCs w:val="22"/>
        </w:rPr>
        <w:t>j</w:t>
      </w:r>
      <w:r w:rsidRPr="00C25676">
        <w:rPr>
          <w:szCs w:val="22"/>
        </w:rPr>
        <w:t xml:space="preserve">esečna dualna antiagregaciona terapija (DAPT) bila manje inferiorna u odnosu </w:t>
      </w:r>
      <w:proofErr w:type="gramStart"/>
      <w:r w:rsidRPr="00C25676">
        <w:rPr>
          <w:szCs w:val="22"/>
        </w:rPr>
        <w:t>na</w:t>
      </w:r>
      <w:proofErr w:type="gramEnd"/>
      <w:r w:rsidRPr="00C25676">
        <w:rPr>
          <w:szCs w:val="22"/>
        </w:rPr>
        <w:t xml:space="preserve"> dvanaestom</w:t>
      </w:r>
      <w:r w:rsidR="00670027" w:rsidRPr="00C25676">
        <w:rPr>
          <w:szCs w:val="22"/>
        </w:rPr>
        <w:t>j</w:t>
      </w:r>
      <w:r w:rsidRPr="00C25676">
        <w:rPr>
          <w:szCs w:val="22"/>
        </w:rPr>
        <w:t>esečnu DAPT nakon implantacije drug-eluting stenta. Studija je uključivala 1.443 pacijenta koji su bili podvrgnuti implantaciji koji su randomizovani da primaju šestom</w:t>
      </w:r>
      <w:r w:rsidR="00670027" w:rsidRPr="00C25676">
        <w:rPr>
          <w:szCs w:val="22"/>
        </w:rPr>
        <w:t>j</w:t>
      </w:r>
      <w:r w:rsidRPr="00C25676">
        <w:rPr>
          <w:szCs w:val="22"/>
        </w:rPr>
        <w:t>esečnu DAPT (ASA 100–200 mg/dan plus klopidogrel 75 mg/dan tokom 6 m</w:t>
      </w:r>
      <w:r w:rsidR="00670027" w:rsidRPr="00C25676">
        <w:rPr>
          <w:szCs w:val="22"/>
        </w:rPr>
        <w:t>j</w:t>
      </w:r>
      <w:r w:rsidRPr="00C25676">
        <w:rPr>
          <w:szCs w:val="22"/>
        </w:rPr>
        <w:t>eseci, a nakon toga samo ASA do 12 m</w:t>
      </w:r>
      <w:r w:rsidR="00670027" w:rsidRPr="00C25676">
        <w:rPr>
          <w:szCs w:val="22"/>
        </w:rPr>
        <w:t>j</w:t>
      </w:r>
      <w:r w:rsidRPr="00C25676">
        <w:rPr>
          <w:szCs w:val="22"/>
        </w:rPr>
        <w:t>eseci) ili dvanaestom</w:t>
      </w:r>
      <w:r w:rsidR="00670027" w:rsidRPr="00C25676">
        <w:rPr>
          <w:szCs w:val="22"/>
        </w:rPr>
        <w:t>j</w:t>
      </w:r>
      <w:r w:rsidRPr="00C25676">
        <w:rPr>
          <w:szCs w:val="22"/>
        </w:rPr>
        <w:t>esečnu DAPT (ASA 100 –200 mg/dan plus klopidogrel 75 mg/dan tokom 12 m</w:t>
      </w:r>
      <w:r w:rsidR="00670027" w:rsidRPr="00C25676">
        <w:rPr>
          <w:szCs w:val="22"/>
        </w:rPr>
        <w:t>j</w:t>
      </w:r>
      <w:r w:rsidRPr="00C25676">
        <w:rPr>
          <w:szCs w:val="22"/>
        </w:rPr>
        <w:t>eseci). Nije prim</w:t>
      </w:r>
      <w:r w:rsidR="00670027" w:rsidRPr="00C25676">
        <w:rPr>
          <w:szCs w:val="22"/>
        </w:rPr>
        <w:t>ij</w:t>
      </w:r>
      <w:r w:rsidRPr="00C25676">
        <w:rPr>
          <w:szCs w:val="22"/>
        </w:rPr>
        <w:t>ećena značajna razlika u incidenci otkazivanja ciljnog krvnog suda (komponenta srčane smrti, IM ili revaskularizacije ciljnog krvnog suda) što je bila primarna krajnja tačka između 6-m</w:t>
      </w:r>
      <w:r w:rsidR="00670027" w:rsidRPr="00C25676">
        <w:rPr>
          <w:szCs w:val="22"/>
        </w:rPr>
        <w:t>j</w:t>
      </w:r>
      <w:r w:rsidRPr="00C25676">
        <w:rPr>
          <w:szCs w:val="22"/>
        </w:rPr>
        <w:t>esečne i 12-m</w:t>
      </w:r>
      <w:r w:rsidR="00670027" w:rsidRPr="00C25676">
        <w:rPr>
          <w:szCs w:val="22"/>
        </w:rPr>
        <w:t>j</w:t>
      </w:r>
      <w:r w:rsidRPr="00C25676">
        <w:rPr>
          <w:szCs w:val="22"/>
        </w:rPr>
        <w:t>esečne DAPT grupe (HR: 1</w:t>
      </w:r>
      <w:proofErr w:type="gramStart"/>
      <w:r w:rsidRPr="00C25676">
        <w:rPr>
          <w:szCs w:val="22"/>
        </w:rPr>
        <w:t>,14</w:t>
      </w:r>
      <w:proofErr w:type="gramEnd"/>
      <w:r w:rsidRPr="00C25676">
        <w:rPr>
          <w:szCs w:val="22"/>
        </w:rPr>
        <w:t>; 95% CI: 0,70 1,86; p=0,60). Takođe, studija nije pokazala značajnu razliku u bezb</w:t>
      </w:r>
      <w:r w:rsidR="00670027" w:rsidRPr="00C25676">
        <w:rPr>
          <w:szCs w:val="22"/>
        </w:rPr>
        <w:t>j</w:t>
      </w:r>
      <w:r w:rsidRPr="00C25676">
        <w:rPr>
          <w:szCs w:val="22"/>
        </w:rPr>
        <w:t>ednosnoj krajnjoj tački (kompozicija smrti, IM, moždani udar, tromboza stenta ili TIMI veliko krvarenje) između 6-m</w:t>
      </w:r>
      <w:r w:rsidR="00670027" w:rsidRPr="00C25676">
        <w:rPr>
          <w:szCs w:val="22"/>
        </w:rPr>
        <w:t>j</w:t>
      </w:r>
      <w:r w:rsidRPr="00C25676">
        <w:rPr>
          <w:szCs w:val="22"/>
        </w:rPr>
        <w:t>esečne i 12-m</w:t>
      </w:r>
      <w:r w:rsidR="00670027" w:rsidRPr="00C25676">
        <w:rPr>
          <w:szCs w:val="22"/>
        </w:rPr>
        <w:t>j</w:t>
      </w:r>
      <w:r w:rsidRPr="00C25676">
        <w:rPr>
          <w:szCs w:val="22"/>
        </w:rPr>
        <w:t>esečne DAPT grupe (HR: 1</w:t>
      </w:r>
      <w:proofErr w:type="gramStart"/>
      <w:r w:rsidRPr="00C25676">
        <w:rPr>
          <w:szCs w:val="22"/>
        </w:rPr>
        <w:t>,15</w:t>
      </w:r>
      <w:proofErr w:type="gramEnd"/>
      <w:r w:rsidRPr="00C25676">
        <w:rPr>
          <w:szCs w:val="22"/>
        </w:rPr>
        <w:t>; 95% CI: 0,64-2,06 p=0,64). Glavni zaključak ove studije bio je da 6-m</w:t>
      </w:r>
      <w:r w:rsidR="00670027" w:rsidRPr="00C25676">
        <w:rPr>
          <w:szCs w:val="22"/>
        </w:rPr>
        <w:t>j</w:t>
      </w:r>
      <w:r w:rsidRPr="00C25676">
        <w:rPr>
          <w:szCs w:val="22"/>
        </w:rPr>
        <w:t xml:space="preserve">esečni DAPT nije bio inferioran u odnosu </w:t>
      </w:r>
      <w:proofErr w:type="gramStart"/>
      <w:r w:rsidRPr="00C25676">
        <w:rPr>
          <w:szCs w:val="22"/>
        </w:rPr>
        <w:t>na</w:t>
      </w:r>
      <w:proofErr w:type="gramEnd"/>
      <w:r w:rsidRPr="00C25676">
        <w:rPr>
          <w:szCs w:val="22"/>
        </w:rPr>
        <w:t xml:space="preserve"> 12-m</w:t>
      </w:r>
      <w:r w:rsidR="00670027" w:rsidRPr="00C25676">
        <w:rPr>
          <w:szCs w:val="22"/>
        </w:rPr>
        <w:t>j</w:t>
      </w:r>
      <w:r w:rsidRPr="00C25676">
        <w:rPr>
          <w:szCs w:val="22"/>
        </w:rPr>
        <w:t>esečni DAPT kod rizika od otkazivanja ciljnih krvnih sudova.</w:t>
      </w:r>
    </w:p>
    <w:p w14:paraId="3308453E" w14:textId="77777777" w:rsidR="00382FC7" w:rsidRPr="00B22D20" w:rsidRDefault="00382FC7" w:rsidP="00C25676">
      <w:pPr>
        <w:pStyle w:val="Header"/>
        <w:spacing w:before="120"/>
        <w:rPr>
          <w:szCs w:val="22"/>
          <w:u w:val="single"/>
          <w:lang w:val="sr-Latn-CS"/>
        </w:rPr>
      </w:pPr>
      <w:r w:rsidRPr="00B22D20">
        <w:rPr>
          <w:szCs w:val="22"/>
          <w:u w:val="single"/>
          <w:lang w:val="sr-Latn-CS"/>
        </w:rPr>
        <w:t>De-eskalacija P2Y</w:t>
      </w:r>
      <w:r w:rsidRPr="00B22D20">
        <w:rPr>
          <w:szCs w:val="22"/>
          <w:u w:val="single"/>
          <w:vertAlign w:val="subscript"/>
          <w:lang w:val="sr-Latn-CS"/>
        </w:rPr>
        <w:t>12</w:t>
      </w:r>
      <w:r w:rsidRPr="00B22D20">
        <w:rPr>
          <w:szCs w:val="22"/>
          <w:u w:val="single"/>
          <w:lang w:val="sr-Latn-CS"/>
        </w:rPr>
        <w:t xml:space="preserve"> inhibitora u akutnom koronarnom sindromu (AKS)</w:t>
      </w:r>
    </w:p>
    <w:p w14:paraId="5F552F97" w14:textId="574A428B" w:rsidR="00382FC7" w:rsidRPr="00B22D20" w:rsidRDefault="00382FC7">
      <w:pPr>
        <w:pStyle w:val="Header"/>
        <w:spacing w:before="120"/>
        <w:rPr>
          <w:szCs w:val="22"/>
          <w:lang w:val="sr-Latn-CS"/>
        </w:rPr>
      </w:pPr>
      <w:r w:rsidRPr="00B22D20">
        <w:rPr>
          <w:szCs w:val="22"/>
          <w:lang w:val="sr-Latn-CS"/>
        </w:rPr>
        <w:t>Prelazak sa snažnijeg inhibitora P2Y</w:t>
      </w:r>
      <w:r w:rsidRPr="00B22D20">
        <w:rPr>
          <w:szCs w:val="22"/>
          <w:vertAlign w:val="subscript"/>
          <w:lang w:val="sr-Latn-CS"/>
        </w:rPr>
        <w:t>12</w:t>
      </w:r>
      <w:r w:rsidRPr="00B22D20">
        <w:rPr>
          <w:szCs w:val="22"/>
          <w:lang w:val="sr-Latn-CS"/>
        </w:rPr>
        <w:t xml:space="preserve"> receptora na klopidogrel </w:t>
      </w:r>
      <w:r w:rsidR="00850F63" w:rsidRPr="00B22D20">
        <w:rPr>
          <w:szCs w:val="22"/>
          <w:lang w:val="sr-Latn-CS"/>
        </w:rPr>
        <w:t xml:space="preserve">u kombinaciji </w:t>
      </w:r>
      <w:r w:rsidRPr="00B22D20">
        <w:rPr>
          <w:szCs w:val="22"/>
          <w:lang w:val="sr-Latn-CS"/>
        </w:rPr>
        <w:t xml:space="preserve">sa </w:t>
      </w:r>
      <w:r w:rsidR="00850F63" w:rsidRPr="00B22D20">
        <w:rPr>
          <w:szCs w:val="22"/>
          <w:lang w:val="sr-Latn-CS"/>
        </w:rPr>
        <w:t>acetilsalicilnom kiselinom</w:t>
      </w:r>
      <w:r w:rsidRPr="00B22D20">
        <w:rPr>
          <w:szCs w:val="22"/>
          <w:lang w:val="sr-Latn-CS"/>
        </w:rPr>
        <w:t xml:space="preserve"> nakon akutne faze </w:t>
      </w:r>
      <w:r w:rsidR="00850F63" w:rsidRPr="00B22D20">
        <w:rPr>
          <w:szCs w:val="22"/>
          <w:lang w:val="sr-Latn-CS"/>
        </w:rPr>
        <w:t>akutnog koronarnog sindroma (</w:t>
      </w:r>
      <w:r w:rsidRPr="00B22D20">
        <w:rPr>
          <w:szCs w:val="22"/>
          <w:lang w:val="sr-Latn-CS"/>
        </w:rPr>
        <w:t>AKS</w:t>
      </w:r>
      <w:r w:rsidR="00850F63" w:rsidRPr="00B22D20">
        <w:rPr>
          <w:szCs w:val="22"/>
          <w:lang w:val="sr-Latn-CS"/>
        </w:rPr>
        <w:t>)</w:t>
      </w:r>
      <w:r w:rsidRPr="00B22D20">
        <w:rPr>
          <w:szCs w:val="22"/>
          <w:lang w:val="sr-Latn-CS"/>
        </w:rPr>
        <w:t xml:space="preserve"> je proc</w:t>
      </w:r>
      <w:r w:rsidR="003E7337" w:rsidRPr="00B22D20">
        <w:rPr>
          <w:szCs w:val="22"/>
          <w:lang w:val="sr-Latn-CS"/>
        </w:rPr>
        <w:t>j</w:t>
      </w:r>
      <w:r w:rsidRPr="00B22D20">
        <w:rPr>
          <w:szCs w:val="22"/>
          <w:lang w:val="sr-Latn-CS"/>
        </w:rPr>
        <w:t>enj</w:t>
      </w:r>
      <w:r w:rsidR="008074E8" w:rsidRPr="00B22D20">
        <w:rPr>
          <w:szCs w:val="22"/>
          <w:lang w:val="sr-Latn-CS"/>
        </w:rPr>
        <w:t>ivan</w:t>
      </w:r>
      <w:r w:rsidRPr="00B22D20">
        <w:rPr>
          <w:szCs w:val="22"/>
          <w:lang w:val="sr-Latn-CS"/>
        </w:rPr>
        <w:t xml:space="preserve"> u dva randomizovana ispitivanja sponzorisana od strane istraživača (</w:t>
      </w:r>
      <w:r w:rsidR="00850F63" w:rsidRPr="00B22D20">
        <w:rPr>
          <w:szCs w:val="22"/>
          <w:lang w:val="sr-Latn-CS"/>
        </w:rPr>
        <w:t xml:space="preserve">engl. </w:t>
      </w:r>
      <w:r w:rsidRPr="00B22D20">
        <w:rPr>
          <w:i/>
          <w:szCs w:val="22"/>
          <w:lang w:val="sr-Latn-CS"/>
        </w:rPr>
        <w:t>investigator-sponsored studies</w:t>
      </w:r>
      <w:r w:rsidRPr="00B22D20">
        <w:rPr>
          <w:szCs w:val="22"/>
          <w:lang w:val="sr-Latn-CS"/>
        </w:rPr>
        <w:t xml:space="preserve"> - ISS) TOPIC i TROPICAL ACS - sa podacima o kliničkom ishodu.</w:t>
      </w:r>
    </w:p>
    <w:p w14:paraId="7663890E" w14:textId="3215D17D" w:rsidR="00FF387A" w:rsidRPr="00B22D20" w:rsidRDefault="00382FC7">
      <w:pPr>
        <w:pStyle w:val="Header"/>
        <w:spacing w:before="120"/>
        <w:rPr>
          <w:szCs w:val="22"/>
          <w:lang w:val="sr-Latn-CS"/>
        </w:rPr>
      </w:pPr>
      <w:r w:rsidRPr="00B22D20">
        <w:rPr>
          <w:szCs w:val="22"/>
          <w:lang w:val="sr-Latn-CS"/>
        </w:rPr>
        <w:t xml:space="preserve">Klinička korist koju </w:t>
      </w:r>
      <w:r w:rsidR="001248CD" w:rsidRPr="00B22D20">
        <w:rPr>
          <w:szCs w:val="22"/>
          <w:lang w:val="sr-Latn-CS"/>
        </w:rPr>
        <w:t>pokazuju</w:t>
      </w:r>
      <w:r w:rsidRPr="00B22D20">
        <w:rPr>
          <w:szCs w:val="22"/>
          <w:lang w:val="sr-Latn-CS"/>
        </w:rPr>
        <w:t xml:space="preserve"> snažni inhibitori P2Y</w:t>
      </w:r>
      <w:r w:rsidRPr="00B22D20">
        <w:rPr>
          <w:szCs w:val="22"/>
          <w:vertAlign w:val="subscript"/>
          <w:lang w:val="sr-Latn-CS"/>
        </w:rPr>
        <w:t>12</w:t>
      </w:r>
      <w:r w:rsidRPr="00B22D20">
        <w:rPr>
          <w:szCs w:val="22"/>
          <w:lang w:val="sr-Latn-CS"/>
        </w:rPr>
        <w:t>, tikagrelor i prasugrel, u pivot</w:t>
      </w:r>
      <w:r w:rsidR="007611BD" w:rsidRPr="00B22D20">
        <w:rPr>
          <w:szCs w:val="22"/>
          <w:lang w:val="sr-Latn-CS"/>
        </w:rPr>
        <w:t>alnim</w:t>
      </w:r>
      <w:r w:rsidRPr="00B22D20">
        <w:rPr>
          <w:szCs w:val="22"/>
          <w:lang w:val="sr-Latn-CS"/>
        </w:rPr>
        <w:t xml:space="preserve"> studijama  povezan</w:t>
      </w:r>
      <w:r w:rsidR="001248CD" w:rsidRPr="00B22D20">
        <w:rPr>
          <w:szCs w:val="22"/>
          <w:lang w:val="sr-Latn-CS"/>
        </w:rPr>
        <w:t>a je</w:t>
      </w:r>
      <w:r w:rsidRPr="00B22D20">
        <w:rPr>
          <w:szCs w:val="22"/>
          <w:lang w:val="sr-Latn-CS"/>
        </w:rPr>
        <w:t xml:space="preserve"> sa značajnim smanjenjem ponovljenih ishemijskih događaja (uključujući akutnu i subakutnu trombozu stenta (ST), infarkt miokarda (MI) i hitnu revaskularizaciju). Iako je korist kod ishemije bila konzistentna tokom prve godine, veće smanjenje ishemijskog ponavljanja posl</w:t>
      </w:r>
      <w:r w:rsidR="003E7337" w:rsidRPr="00B22D20">
        <w:rPr>
          <w:szCs w:val="22"/>
          <w:lang w:val="sr-Latn-CS"/>
        </w:rPr>
        <w:t>ij</w:t>
      </w:r>
      <w:r w:rsidRPr="00B22D20">
        <w:rPr>
          <w:szCs w:val="22"/>
          <w:lang w:val="sr-Latn-CS"/>
        </w:rPr>
        <w:t>e AKS-a je prim</w:t>
      </w:r>
      <w:r w:rsidR="003E7337" w:rsidRPr="00B22D20">
        <w:rPr>
          <w:szCs w:val="22"/>
          <w:lang w:val="sr-Latn-CS"/>
        </w:rPr>
        <w:t>ij</w:t>
      </w:r>
      <w:r w:rsidRPr="00B22D20">
        <w:rPr>
          <w:szCs w:val="22"/>
          <w:lang w:val="sr-Latn-CS"/>
        </w:rPr>
        <w:t xml:space="preserve">ećeno tokom prvih dana nakon početka terapije. </w:t>
      </w:r>
      <w:r w:rsidR="001248CD" w:rsidRPr="00B22D20">
        <w:rPr>
          <w:szCs w:val="22"/>
          <w:lang w:val="sr-Latn-CS"/>
        </w:rPr>
        <w:t>Međutim</w:t>
      </w:r>
      <w:r w:rsidRPr="00B22D20">
        <w:rPr>
          <w:szCs w:val="22"/>
          <w:lang w:val="sr-Latn-CS"/>
        </w:rPr>
        <w:t xml:space="preserve">, </w:t>
      </w:r>
      <w:r w:rsidRPr="00B22D20">
        <w:rPr>
          <w:i/>
          <w:szCs w:val="22"/>
          <w:lang w:val="sr-Latn-CS"/>
        </w:rPr>
        <w:t>post-hoc</w:t>
      </w:r>
      <w:r w:rsidRPr="00B22D20">
        <w:rPr>
          <w:szCs w:val="22"/>
          <w:lang w:val="sr-Latn-CS"/>
        </w:rPr>
        <w:t xml:space="preserve"> analize su pokazale statistički značajno povećanje rizika od krvarenja kod </w:t>
      </w:r>
      <w:r w:rsidR="00D77814" w:rsidRPr="00B22D20">
        <w:rPr>
          <w:szCs w:val="22"/>
          <w:lang w:val="sr-Latn-CS"/>
        </w:rPr>
        <w:t>primjen</w:t>
      </w:r>
      <w:r w:rsidRPr="00B22D20">
        <w:rPr>
          <w:szCs w:val="22"/>
          <w:lang w:val="sr-Latn-CS"/>
        </w:rPr>
        <w:t>e snažnijih inhibitora P2Y</w:t>
      </w:r>
      <w:r w:rsidRPr="00B22D20">
        <w:rPr>
          <w:szCs w:val="22"/>
          <w:vertAlign w:val="subscript"/>
          <w:lang w:val="sr-Latn-CS"/>
        </w:rPr>
        <w:t>12</w:t>
      </w:r>
      <w:r w:rsidRPr="00B22D20">
        <w:rPr>
          <w:szCs w:val="22"/>
          <w:lang w:val="sr-Latn-CS"/>
        </w:rPr>
        <w:t>, koja su se javljala pretežno tokom faze održavanja, u toku prvog m</w:t>
      </w:r>
      <w:r w:rsidR="003E7337" w:rsidRPr="00B22D20">
        <w:rPr>
          <w:szCs w:val="22"/>
          <w:lang w:val="sr-Latn-CS"/>
        </w:rPr>
        <w:t>j</w:t>
      </w:r>
      <w:r w:rsidRPr="00B22D20">
        <w:rPr>
          <w:szCs w:val="22"/>
          <w:lang w:val="sr-Latn-CS"/>
        </w:rPr>
        <w:t xml:space="preserve">eseca nakon </w:t>
      </w:r>
      <w:r w:rsidRPr="00B22D20">
        <w:rPr>
          <w:szCs w:val="22"/>
          <w:lang w:val="sr-Latn-CS"/>
        </w:rPr>
        <w:lastRenderedPageBreak/>
        <w:t xml:space="preserve">pojave AKS-a. </w:t>
      </w:r>
      <w:r w:rsidR="001248CD" w:rsidRPr="00B22D20">
        <w:rPr>
          <w:szCs w:val="22"/>
          <w:lang w:val="sr-Latn-CS"/>
        </w:rPr>
        <w:t xml:space="preserve">Studije </w:t>
      </w:r>
      <w:r w:rsidRPr="00B22D20">
        <w:rPr>
          <w:szCs w:val="22"/>
          <w:lang w:val="sr-Latn-CS"/>
        </w:rPr>
        <w:t>TOPIC i TROPICAL-ACS su dizajniran</w:t>
      </w:r>
      <w:r w:rsidR="001248CD" w:rsidRPr="00B22D20">
        <w:rPr>
          <w:szCs w:val="22"/>
          <w:lang w:val="sr-Latn-CS"/>
        </w:rPr>
        <w:t>e</w:t>
      </w:r>
      <w:r w:rsidRPr="00B22D20">
        <w:rPr>
          <w:szCs w:val="22"/>
          <w:lang w:val="sr-Latn-CS"/>
        </w:rPr>
        <w:t xml:space="preserve"> da</w:t>
      </w:r>
      <w:r w:rsidR="001248CD" w:rsidRPr="00B22D20">
        <w:rPr>
          <w:szCs w:val="22"/>
          <w:lang w:val="sr-Latn-CS"/>
        </w:rPr>
        <w:t xml:space="preserve"> se ispita</w:t>
      </w:r>
      <w:r w:rsidRPr="00B22D20">
        <w:rPr>
          <w:szCs w:val="22"/>
          <w:lang w:val="sr-Latn-CS"/>
        </w:rPr>
        <w:t xml:space="preserve"> kako ublažiti krvarenja uz </w:t>
      </w:r>
      <w:r w:rsidR="001248CD" w:rsidRPr="00B22D20">
        <w:rPr>
          <w:szCs w:val="22"/>
          <w:lang w:val="sr-Latn-CS"/>
        </w:rPr>
        <w:t>za</w:t>
      </w:r>
      <w:r w:rsidRPr="00B22D20">
        <w:rPr>
          <w:szCs w:val="22"/>
          <w:lang w:val="sr-Latn-CS"/>
        </w:rPr>
        <w:t>ržavanje efikasnosti</w:t>
      </w:r>
      <w:r w:rsidR="001248CD" w:rsidRPr="00B22D20">
        <w:rPr>
          <w:szCs w:val="22"/>
          <w:lang w:val="sr-Latn-CS"/>
        </w:rPr>
        <w:t xml:space="preserve"> lijeka</w:t>
      </w:r>
      <w:r w:rsidRPr="00B22D20">
        <w:rPr>
          <w:szCs w:val="22"/>
          <w:lang w:val="sr-Latn-CS"/>
        </w:rPr>
        <w:t>.</w:t>
      </w:r>
    </w:p>
    <w:p w14:paraId="0E564251" w14:textId="77777777" w:rsidR="00FF48EF" w:rsidRPr="00B22D20" w:rsidRDefault="00FF48EF">
      <w:pPr>
        <w:widowControl w:val="0"/>
        <w:tabs>
          <w:tab w:val="clear" w:pos="284"/>
        </w:tabs>
        <w:autoSpaceDE w:val="0"/>
        <w:autoSpaceDN w:val="0"/>
        <w:spacing w:line="252" w:lineRule="exact"/>
        <w:rPr>
          <w:b/>
          <w:szCs w:val="22"/>
        </w:rPr>
      </w:pPr>
    </w:p>
    <w:p w14:paraId="1E3ACECE" w14:textId="77777777" w:rsidR="00DF0EEC" w:rsidRPr="00B22D20" w:rsidRDefault="00382FC7">
      <w:pPr>
        <w:rPr>
          <w:szCs w:val="22"/>
        </w:rPr>
      </w:pPr>
      <w:r w:rsidRPr="00B22D20">
        <w:rPr>
          <w:b/>
          <w:szCs w:val="22"/>
        </w:rPr>
        <w:t>TOPIC</w:t>
      </w:r>
      <w:r w:rsidRPr="00B22D20">
        <w:rPr>
          <w:szCs w:val="22"/>
        </w:rPr>
        <w:t xml:space="preserve"> (</w:t>
      </w:r>
      <w:r w:rsidR="00FF48EF" w:rsidRPr="00B22D20">
        <w:rPr>
          <w:szCs w:val="22"/>
        </w:rPr>
        <w:t xml:space="preserve">engl. </w:t>
      </w:r>
      <w:r w:rsidR="00FF48EF" w:rsidRPr="00B22D20">
        <w:rPr>
          <w:i/>
          <w:szCs w:val="22"/>
        </w:rPr>
        <w:t>Timing of Platelet Inhibition after Acute Coronary Syndrome,</w:t>
      </w:r>
      <w:r w:rsidR="00FF48EF" w:rsidRPr="00B22D20">
        <w:rPr>
          <w:b/>
          <w:szCs w:val="22"/>
        </w:rPr>
        <w:t xml:space="preserve"> </w:t>
      </w:r>
      <w:r w:rsidR="00FF48EF" w:rsidRPr="00B22D20">
        <w:rPr>
          <w:szCs w:val="22"/>
        </w:rPr>
        <w:t>TOPIC)</w:t>
      </w:r>
    </w:p>
    <w:p w14:paraId="511C8336" w14:textId="5A521377" w:rsidR="00DF0EEC" w:rsidRPr="00B22D20" w:rsidRDefault="00382FC7">
      <w:pPr>
        <w:spacing w:before="120"/>
        <w:rPr>
          <w:szCs w:val="22"/>
          <w:lang w:val="sr-Latn-CS"/>
        </w:rPr>
      </w:pPr>
      <w:r w:rsidRPr="00B22D20">
        <w:rPr>
          <w:szCs w:val="22"/>
          <w:lang w:val="sr-Latn-CS"/>
        </w:rPr>
        <w:t xml:space="preserve">Ovo </w:t>
      </w:r>
      <w:r w:rsidR="0006243F" w:rsidRPr="00B22D20">
        <w:rPr>
          <w:szCs w:val="22"/>
          <w:lang w:val="sr-Latn-CS"/>
        </w:rPr>
        <w:t>randomizovano</w:t>
      </w:r>
      <w:r w:rsidRPr="00B22D20">
        <w:rPr>
          <w:szCs w:val="22"/>
          <w:lang w:val="sr-Latn-CS"/>
        </w:rPr>
        <w:t>, otvoreno ispitivanje</w:t>
      </w:r>
      <w:r w:rsidR="0006243F" w:rsidRPr="00B22D20">
        <w:rPr>
          <w:szCs w:val="22"/>
          <w:lang w:val="sr-Latn-CS"/>
        </w:rPr>
        <w:t xml:space="preserve"> uključivalo je pacijente sa </w:t>
      </w:r>
      <w:r w:rsidR="00FF48EF" w:rsidRPr="00B22D20">
        <w:rPr>
          <w:szCs w:val="22"/>
          <w:lang w:val="sr-Latn-CS"/>
        </w:rPr>
        <w:t xml:space="preserve">akutnim koronarnim sindromom </w:t>
      </w:r>
      <w:r w:rsidR="0006243F" w:rsidRPr="00B22D20">
        <w:rPr>
          <w:szCs w:val="22"/>
          <w:lang w:val="sr-Latn-CS"/>
        </w:rPr>
        <w:t>AKS</w:t>
      </w:r>
      <w:r w:rsidRPr="00B22D20">
        <w:rPr>
          <w:szCs w:val="22"/>
          <w:lang w:val="sr-Latn-CS"/>
        </w:rPr>
        <w:t xml:space="preserve"> kod kojih je </w:t>
      </w:r>
      <w:r w:rsidR="00FF48EF" w:rsidRPr="00B22D20">
        <w:rPr>
          <w:szCs w:val="22"/>
          <w:lang w:val="sr-Latn-CS"/>
        </w:rPr>
        <w:t>bilo potrebno sprovesti perkutanu koronarnu intervenciju (</w:t>
      </w:r>
      <w:r w:rsidRPr="00B22D20">
        <w:rPr>
          <w:szCs w:val="22"/>
          <w:lang w:val="sr-Latn-CS"/>
        </w:rPr>
        <w:t>PCI</w:t>
      </w:r>
      <w:r w:rsidR="00FF48EF" w:rsidRPr="00B22D20">
        <w:rPr>
          <w:szCs w:val="22"/>
          <w:lang w:val="sr-Latn-CS"/>
        </w:rPr>
        <w:t>)</w:t>
      </w:r>
      <w:r w:rsidRPr="00B22D20">
        <w:rPr>
          <w:szCs w:val="22"/>
          <w:lang w:val="sr-Latn-CS"/>
        </w:rPr>
        <w:t>. Pacijenti koji su prim</w:t>
      </w:r>
      <w:r w:rsidR="00FF48EF" w:rsidRPr="00B22D20">
        <w:rPr>
          <w:szCs w:val="22"/>
          <w:lang w:val="sr-Latn-CS"/>
        </w:rPr>
        <w:t>ali</w:t>
      </w:r>
      <w:r w:rsidRPr="00B22D20">
        <w:rPr>
          <w:szCs w:val="22"/>
          <w:lang w:val="sr-Latn-CS"/>
        </w:rPr>
        <w:t xml:space="preserve"> </w:t>
      </w:r>
      <w:r w:rsidR="00FF48EF" w:rsidRPr="00B22D20">
        <w:rPr>
          <w:szCs w:val="22"/>
          <w:lang w:val="sr-Latn-CS"/>
        </w:rPr>
        <w:t xml:space="preserve">acetilsalicilnu kiselinu </w:t>
      </w:r>
      <w:r w:rsidRPr="00B22D20">
        <w:rPr>
          <w:szCs w:val="22"/>
          <w:lang w:val="sr-Latn-CS"/>
        </w:rPr>
        <w:t>i snažan blokator P2Y</w:t>
      </w:r>
      <w:r w:rsidRPr="00B22D20">
        <w:rPr>
          <w:szCs w:val="22"/>
          <w:vertAlign w:val="subscript"/>
          <w:lang w:val="sr-Latn-CS"/>
        </w:rPr>
        <w:t>12</w:t>
      </w:r>
      <w:r w:rsidRPr="00B22D20">
        <w:rPr>
          <w:szCs w:val="22"/>
          <w:lang w:val="sr-Latn-CS"/>
        </w:rPr>
        <w:t xml:space="preserve"> i koji ni</w:t>
      </w:r>
      <w:r w:rsidR="001248CD" w:rsidRPr="00B22D20">
        <w:rPr>
          <w:szCs w:val="22"/>
          <w:lang w:val="sr-Latn-CS"/>
        </w:rPr>
        <w:t>je</w:t>
      </w:r>
      <w:r w:rsidRPr="00B22D20">
        <w:rPr>
          <w:szCs w:val="22"/>
          <w:lang w:val="sr-Latn-CS"/>
        </w:rPr>
        <w:t>su imali neželjene događaje u posl</w:t>
      </w:r>
      <w:r w:rsidR="003E7337" w:rsidRPr="00B22D20">
        <w:rPr>
          <w:szCs w:val="22"/>
          <w:lang w:val="sr-Latn-CS"/>
        </w:rPr>
        <w:t>j</w:t>
      </w:r>
      <w:r w:rsidRPr="00B22D20">
        <w:rPr>
          <w:szCs w:val="22"/>
          <w:lang w:val="sr-Latn-CS"/>
        </w:rPr>
        <w:t>ednjih m</w:t>
      </w:r>
      <w:r w:rsidR="003E7337" w:rsidRPr="00B22D20">
        <w:rPr>
          <w:szCs w:val="22"/>
          <w:lang w:val="sr-Latn-CS"/>
        </w:rPr>
        <w:t>j</w:t>
      </w:r>
      <w:r w:rsidRPr="00B22D20">
        <w:rPr>
          <w:szCs w:val="22"/>
          <w:lang w:val="sr-Latn-CS"/>
        </w:rPr>
        <w:t>esec dana počeli su da u</w:t>
      </w:r>
      <w:r w:rsidR="00FF48EF" w:rsidRPr="00B22D20">
        <w:rPr>
          <w:szCs w:val="22"/>
          <w:lang w:val="sr-Latn-CS"/>
        </w:rPr>
        <w:t xml:space="preserve">zimaju </w:t>
      </w:r>
      <w:r w:rsidRPr="00B22D20">
        <w:rPr>
          <w:szCs w:val="22"/>
          <w:lang w:val="sr-Latn-CS"/>
        </w:rPr>
        <w:t>fiksne doze a</w:t>
      </w:r>
      <w:r w:rsidR="00FF48EF" w:rsidRPr="00B22D20">
        <w:rPr>
          <w:szCs w:val="22"/>
          <w:lang w:val="sr-Latn-CS"/>
        </w:rPr>
        <w:t>cetilsalicilne kiseline</w:t>
      </w:r>
      <w:r w:rsidRPr="00B22D20">
        <w:rPr>
          <w:szCs w:val="22"/>
          <w:lang w:val="sr-Latn-CS"/>
        </w:rPr>
        <w:t xml:space="preserve"> i klopidogrela (de-eskalirajuća dualna antiagregaci</w:t>
      </w:r>
      <w:r w:rsidR="001248CD" w:rsidRPr="00B22D20">
        <w:rPr>
          <w:szCs w:val="22"/>
          <w:lang w:val="sr-Latn-CS"/>
        </w:rPr>
        <w:t>ona</w:t>
      </w:r>
      <w:r w:rsidRPr="00B22D20">
        <w:rPr>
          <w:szCs w:val="22"/>
          <w:lang w:val="sr-Latn-CS"/>
        </w:rPr>
        <w:t xml:space="preserve"> terapija (</w:t>
      </w:r>
      <w:r w:rsidR="00716BB0" w:rsidRPr="00B22D20">
        <w:rPr>
          <w:szCs w:val="22"/>
        </w:rPr>
        <w:t xml:space="preserve">engl. </w:t>
      </w:r>
      <w:r w:rsidR="00716BB0" w:rsidRPr="00B22D20">
        <w:rPr>
          <w:i/>
          <w:szCs w:val="22"/>
        </w:rPr>
        <w:t xml:space="preserve">Dual Antiplatet Therapy, </w:t>
      </w:r>
      <w:r w:rsidR="00716BB0" w:rsidRPr="00B22D20">
        <w:rPr>
          <w:szCs w:val="22"/>
        </w:rPr>
        <w:t>DAPT)</w:t>
      </w:r>
      <w:r w:rsidRPr="00B22D20">
        <w:rPr>
          <w:szCs w:val="22"/>
          <w:lang w:val="sr-Latn-CS"/>
        </w:rPr>
        <w:t xml:space="preserve"> </w:t>
      </w:r>
      <w:proofErr w:type="gramStart"/>
      <w:r w:rsidRPr="00B22D20">
        <w:rPr>
          <w:szCs w:val="22"/>
          <w:lang w:val="sr-Latn-CS"/>
        </w:rPr>
        <w:t>ili</w:t>
      </w:r>
      <w:proofErr w:type="gramEnd"/>
      <w:r w:rsidRPr="00B22D20">
        <w:rPr>
          <w:szCs w:val="22"/>
          <w:lang w:val="sr-Latn-CS"/>
        </w:rPr>
        <w:t xml:space="preserve"> su nastavili sa svojom terapijom (neprom</w:t>
      </w:r>
      <w:r w:rsidR="003E7337" w:rsidRPr="00B22D20">
        <w:rPr>
          <w:szCs w:val="22"/>
          <w:lang w:val="sr-Latn-CS"/>
        </w:rPr>
        <w:t>ij</w:t>
      </w:r>
      <w:r w:rsidRPr="00B22D20">
        <w:rPr>
          <w:szCs w:val="22"/>
          <w:lang w:val="sr-Latn-CS"/>
        </w:rPr>
        <w:t>enjena DAPT).</w:t>
      </w:r>
    </w:p>
    <w:p w14:paraId="4DE2884E" w14:textId="53A82701" w:rsidR="00382FC7" w:rsidRPr="00B22D20" w:rsidRDefault="00382FC7">
      <w:pPr>
        <w:pStyle w:val="Header"/>
        <w:spacing w:before="120"/>
        <w:rPr>
          <w:szCs w:val="22"/>
          <w:lang w:val="sr-Latn-CS"/>
        </w:rPr>
      </w:pPr>
      <w:r w:rsidRPr="00B22D20">
        <w:rPr>
          <w:szCs w:val="22"/>
          <w:lang w:val="sr-Latn-CS"/>
        </w:rPr>
        <w:t xml:space="preserve">Sveukupno, analizirano je 645 od 646 pacijenta sa </w:t>
      </w:r>
      <w:r w:rsidR="00911F4C" w:rsidRPr="00B22D20">
        <w:rPr>
          <w:szCs w:val="22"/>
          <w:lang w:val="sr-Latn-CS"/>
        </w:rPr>
        <w:t xml:space="preserve">infarktom miokarda sa ST elevacijom </w:t>
      </w:r>
      <w:r w:rsidR="00911F4C" w:rsidRPr="00B22D20">
        <w:rPr>
          <w:szCs w:val="22"/>
        </w:rPr>
        <w:t>(</w:t>
      </w:r>
      <w:r w:rsidRPr="00B22D20">
        <w:rPr>
          <w:szCs w:val="22"/>
          <w:lang w:val="sr-Latn-CS"/>
        </w:rPr>
        <w:t>STEMI</w:t>
      </w:r>
      <w:r w:rsidR="00911F4C" w:rsidRPr="00B22D20">
        <w:rPr>
          <w:szCs w:val="22"/>
          <w:lang w:val="sr-Latn-CS"/>
        </w:rPr>
        <w:t xml:space="preserve">) </w:t>
      </w:r>
      <w:r w:rsidRPr="00B22D20">
        <w:rPr>
          <w:szCs w:val="22"/>
          <w:lang w:val="sr-Latn-CS"/>
        </w:rPr>
        <w:t xml:space="preserve"> ili </w:t>
      </w:r>
      <w:r w:rsidR="00911F4C" w:rsidRPr="00B22D20">
        <w:rPr>
          <w:szCs w:val="22"/>
          <w:lang w:val="sr-Latn-CS"/>
        </w:rPr>
        <w:t>infarktom miokarda bez ST elevacije (</w:t>
      </w:r>
      <w:r w:rsidRPr="00B22D20">
        <w:rPr>
          <w:szCs w:val="22"/>
          <w:lang w:val="sr-Latn-CS"/>
        </w:rPr>
        <w:t>NSTEMI</w:t>
      </w:r>
      <w:r w:rsidR="00911F4C" w:rsidRPr="00B22D20">
        <w:rPr>
          <w:szCs w:val="22"/>
          <w:lang w:val="sr-Latn-CS"/>
        </w:rPr>
        <w:t>)</w:t>
      </w:r>
      <w:r w:rsidRPr="00B22D20">
        <w:rPr>
          <w:szCs w:val="22"/>
          <w:lang w:val="sr-Latn-CS"/>
        </w:rPr>
        <w:t xml:space="preserve"> ili nestabilnom anginom (de-eskalirajuća DAPT (n = 322), nepromijenjena DAPT (n = 323)). Tokom prve godine praćeno je 316 pacijenata (98,1%) u grupi de-eskalirajuće DAPT i 318 pacijenata (98,5%) u grupi neprom</w:t>
      </w:r>
      <w:r w:rsidR="003E7337" w:rsidRPr="00B22D20">
        <w:rPr>
          <w:szCs w:val="22"/>
          <w:lang w:val="sr-Latn-CS"/>
        </w:rPr>
        <w:t>ij</w:t>
      </w:r>
      <w:r w:rsidRPr="00B22D20">
        <w:rPr>
          <w:szCs w:val="22"/>
          <w:lang w:val="sr-Latn-CS"/>
        </w:rPr>
        <w:t>enjene DAPT. Medi</w:t>
      </w:r>
      <w:r w:rsidR="00AE06FC" w:rsidRPr="00B22D20">
        <w:rPr>
          <w:szCs w:val="22"/>
          <w:lang w:val="sr-Latn-CS"/>
        </w:rPr>
        <w:t>j</w:t>
      </w:r>
      <w:r w:rsidRPr="00B22D20">
        <w:rPr>
          <w:szCs w:val="22"/>
          <w:lang w:val="sr-Latn-CS"/>
        </w:rPr>
        <w:t>ana praćenja za ob</w:t>
      </w:r>
      <w:r w:rsidR="00DC12AB" w:rsidRPr="00B22D20">
        <w:rPr>
          <w:szCs w:val="22"/>
          <w:lang w:val="sr-Latn-CS"/>
        </w:rPr>
        <w:t>i</w:t>
      </w:r>
      <w:r w:rsidR="003E7337" w:rsidRPr="00B22D20">
        <w:rPr>
          <w:szCs w:val="22"/>
          <w:lang w:val="sr-Latn-CS"/>
        </w:rPr>
        <w:t>j</w:t>
      </w:r>
      <w:r w:rsidRPr="00B22D20">
        <w:rPr>
          <w:szCs w:val="22"/>
          <w:lang w:val="sr-Latn-CS"/>
        </w:rPr>
        <w:t xml:space="preserve">e grupe bila je 359 dana. Karakteristike ispitane kohorte bile su slične u </w:t>
      </w:r>
      <w:r w:rsidR="002409CB" w:rsidRPr="00B22D20">
        <w:rPr>
          <w:szCs w:val="22"/>
          <w:lang w:val="sr-Latn-CS"/>
        </w:rPr>
        <w:t>ob</w:t>
      </w:r>
      <w:r w:rsidR="001248CD" w:rsidRPr="00B22D20">
        <w:rPr>
          <w:szCs w:val="22"/>
          <w:lang w:val="sr-Latn-CS"/>
        </w:rPr>
        <w:t>i</w:t>
      </w:r>
      <w:r w:rsidR="003E7337" w:rsidRPr="00B22D20">
        <w:rPr>
          <w:szCs w:val="22"/>
          <w:lang w:val="sr-Latn-CS"/>
        </w:rPr>
        <w:t>j</w:t>
      </w:r>
      <w:r w:rsidR="002409CB" w:rsidRPr="00B22D20">
        <w:rPr>
          <w:szCs w:val="22"/>
          <w:lang w:val="sr-Latn-CS"/>
        </w:rPr>
        <w:t>e</w:t>
      </w:r>
      <w:r w:rsidRPr="00B22D20">
        <w:rPr>
          <w:szCs w:val="22"/>
          <w:lang w:val="sr-Latn-CS"/>
        </w:rPr>
        <w:t xml:space="preserve"> grupe.</w:t>
      </w:r>
    </w:p>
    <w:p w14:paraId="06940270" w14:textId="524C7F18" w:rsidR="00382FC7" w:rsidRPr="00B22D20" w:rsidRDefault="00382FC7">
      <w:pPr>
        <w:pStyle w:val="Header"/>
        <w:spacing w:before="120"/>
        <w:rPr>
          <w:szCs w:val="22"/>
          <w:lang w:val="sr-Latn-CS"/>
        </w:rPr>
      </w:pPr>
      <w:r w:rsidRPr="00B22D20">
        <w:rPr>
          <w:szCs w:val="22"/>
          <w:lang w:val="sr-Latn-CS"/>
        </w:rPr>
        <w:t>Do primarnog</w:t>
      </w:r>
      <w:r w:rsidR="009549CC" w:rsidRPr="00B22D20">
        <w:rPr>
          <w:szCs w:val="22"/>
          <w:lang w:val="sr-Latn-CS"/>
        </w:rPr>
        <w:t xml:space="preserve"> </w:t>
      </w:r>
      <w:r w:rsidR="001248CD" w:rsidRPr="00B22D20">
        <w:rPr>
          <w:szCs w:val="22"/>
          <w:lang w:val="sr-Latn-CS"/>
        </w:rPr>
        <w:t>ishoda</w:t>
      </w:r>
      <w:r w:rsidRPr="00B22D20">
        <w:rPr>
          <w:szCs w:val="22"/>
          <w:lang w:val="sr-Latn-CS"/>
        </w:rPr>
        <w:t>, u koji spadaju kardiovaskularna smrt, moždani udar, urgentna revaskularizacija i</w:t>
      </w:r>
      <w:r w:rsidRPr="00B22D20">
        <w:rPr>
          <w:szCs w:val="22"/>
        </w:rPr>
        <w:t xml:space="preserve"> </w:t>
      </w:r>
      <w:r w:rsidRPr="00B22D20">
        <w:rPr>
          <w:szCs w:val="22"/>
          <w:lang w:val="sr-Latn-CS"/>
        </w:rPr>
        <w:t>BARC (</w:t>
      </w:r>
      <w:r w:rsidR="002409CB" w:rsidRPr="00B22D20">
        <w:rPr>
          <w:szCs w:val="22"/>
          <w:lang w:val="sr-Latn-CS"/>
        </w:rPr>
        <w:t xml:space="preserve">engl. </w:t>
      </w:r>
      <w:r w:rsidRPr="00B22D20">
        <w:rPr>
          <w:i/>
          <w:szCs w:val="22"/>
          <w:lang w:val="sr-Latn-CS"/>
        </w:rPr>
        <w:t>Bleeding Academic Research Consortium</w:t>
      </w:r>
      <w:r w:rsidR="002409CB" w:rsidRPr="00B22D20">
        <w:rPr>
          <w:szCs w:val="22"/>
          <w:lang w:val="sr-Latn-CS"/>
        </w:rPr>
        <w:t>)</w:t>
      </w:r>
      <w:r w:rsidR="006355A0" w:rsidRPr="00B22D20">
        <w:rPr>
          <w:szCs w:val="22"/>
          <w:lang w:val="sr-Latn-CS"/>
        </w:rPr>
        <w:t xml:space="preserve"> </w:t>
      </w:r>
      <w:r w:rsidR="002409CB" w:rsidRPr="00B22D20">
        <w:rPr>
          <w:szCs w:val="22"/>
          <w:lang w:val="sr-Latn-CS"/>
        </w:rPr>
        <w:t>stepen</w:t>
      </w:r>
      <w:r w:rsidR="001E35EA" w:rsidRPr="00B22D20">
        <w:rPr>
          <w:szCs w:val="22"/>
          <w:lang w:val="sr-Latn-CS"/>
        </w:rPr>
        <w:t>a</w:t>
      </w:r>
      <w:r w:rsidR="002409CB" w:rsidRPr="00B22D20">
        <w:rPr>
          <w:szCs w:val="22"/>
          <w:lang w:val="sr-Latn-CS"/>
        </w:rPr>
        <w:t xml:space="preserve"> </w:t>
      </w:r>
      <w:r w:rsidRPr="00B22D20">
        <w:rPr>
          <w:szCs w:val="22"/>
          <w:lang w:val="sr-Latn-CS"/>
        </w:rPr>
        <w:t>krvarenj</w:t>
      </w:r>
      <w:r w:rsidR="002409CB" w:rsidRPr="00B22D20">
        <w:rPr>
          <w:szCs w:val="22"/>
          <w:lang w:val="sr-Latn-CS"/>
        </w:rPr>
        <w:t>a</w:t>
      </w:r>
      <w:r w:rsidRPr="00B22D20">
        <w:rPr>
          <w:szCs w:val="22"/>
          <w:lang w:val="sr-Latn-CS"/>
        </w:rPr>
        <w:t xml:space="preserve"> ≥</w:t>
      </w:r>
      <w:r w:rsidR="008074E8" w:rsidRPr="00B22D20">
        <w:rPr>
          <w:szCs w:val="22"/>
          <w:lang w:val="sr-Latn-CS"/>
        </w:rPr>
        <w:t xml:space="preserve"> </w:t>
      </w:r>
      <w:r w:rsidRPr="00B22D20">
        <w:rPr>
          <w:szCs w:val="22"/>
          <w:lang w:val="sr-Latn-CS"/>
        </w:rPr>
        <w:t xml:space="preserve">2 </w:t>
      </w:r>
      <w:r w:rsidR="001E35EA" w:rsidRPr="00B22D20">
        <w:rPr>
          <w:szCs w:val="22"/>
          <w:lang w:val="sr-Latn-CS"/>
        </w:rPr>
        <w:t xml:space="preserve">u prvoj </w:t>
      </w:r>
      <w:r w:rsidRPr="00B22D20">
        <w:rPr>
          <w:szCs w:val="22"/>
          <w:lang w:val="sr-Latn-CS"/>
        </w:rPr>
        <w:t>godin</w:t>
      </w:r>
      <w:r w:rsidR="001E35EA" w:rsidRPr="00B22D20">
        <w:rPr>
          <w:szCs w:val="22"/>
          <w:lang w:val="sr-Latn-CS"/>
        </w:rPr>
        <w:t>i</w:t>
      </w:r>
      <w:r w:rsidRPr="00B22D20">
        <w:rPr>
          <w:szCs w:val="22"/>
          <w:lang w:val="sr-Latn-CS"/>
        </w:rPr>
        <w:t xml:space="preserve"> nakon </w:t>
      </w:r>
      <w:r w:rsidR="002409CB" w:rsidRPr="00B22D20">
        <w:rPr>
          <w:szCs w:val="22"/>
          <w:lang w:val="sr-Latn-CS"/>
        </w:rPr>
        <w:t>akutnog koronarnog sindroma</w:t>
      </w:r>
      <w:r w:rsidRPr="00B22D20">
        <w:rPr>
          <w:szCs w:val="22"/>
          <w:lang w:val="sr-Latn-CS"/>
        </w:rPr>
        <w:t xml:space="preserve">, </w:t>
      </w:r>
      <w:r w:rsidR="001248CD" w:rsidRPr="00B22D20">
        <w:rPr>
          <w:szCs w:val="22"/>
          <w:lang w:val="sr-Latn-CS"/>
        </w:rPr>
        <w:t xml:space="preserve">došlo je </w:t>
      </w:r>
      <w:r w:rsidRPr="00B22D20">
        <w:rPr>
          <w:szCs w:val="22"/>
          <w:lang w:val="sr-Latn-CS"/>
        </w:rPr>
        <w:t xml:space="preserve">kod 43 pacijenta (13,4%) u grupi </w:t>
      </w:r>
      <w:r w:rsidR="001E35EA" w:rsidRPr="00B22D20">
        <w:rPr>
          <w:szCs w:val="22"/>
          <w:lang w:val="sr-Latn-CS"/>
        </w:rPr>
        <w:t xml:space="preserve">sa </w:t>
      </w:r>
      <w:r w:rsidRPr="00B22D20">
        <w:rPr>
          <w:szCs w:val="22"/>
          <w:lang w:val="sr-Latn-CS"/>
        </w:rPr>
        <w:t>de-eskalira</w:t>
      </w:r>
      <w:r w:rsidR="001E35EA" w:rsidRPr="00B22D20">
        <w:rPr>
          <w:szCs w:val="22"/>
          <w:lang w:val="sr-Latn-CS"/>
        </w:rPr>
        <w:t>nim</w:t>
      </w:r>
      <w:r w:rsidRPr="00B22D20">
        <w:rPr>
          <w:szCs w:val="22"/>
          <w:lang w:val="sr-Latn-CS"/>
        </w:rPr>
        <w:t xml:space="preserve"> DAPT</w:t>
      </w:r>
      <w:r w:rsidR="001E35EA" w:rsidRPr="00B22D20">
        <w:rPr>
          <w:szCs w:val="22"/>
          <w:lang w:val="sr-Latn-CS"/>
        </w:rPr>
        <w:t>-om</w:t>
      </w:r>
      <w:r w:rsidRPr="00B22D20">
        <w:rPr>
          <w:szCs w:val="22"/>
          <w:lang w:val="sr-Latn-CS"/>
        </w:rPr>
        <w:t xml:space="preserve"> </w:t>
      </w:r>
      <w:r w:rsidR="001E35EA" w:rsidRPr="00B22D20">
        <w:rPr>
          <w:szCs w:val="22"/>
          <w:lang w:val="sr-Latn-CS"/>
        </w:rPr>
        <w:t>i</w:t>
      </w:r>
      <w:r w:rsidRPr="00B22D20">
        <w:rPr>
          <w:szCs w:val="22"/>
          <w:lang w:val="sr-Latn-CS"/>
        </w:rPr>
        <w:t xml:space="preserve"> kod 85 pacijenata (26,3%) u grupi </w:t>
      </w:r>
      <w:r w:rsidR="002409CB" w:rsidRPr="00B22D20">
        <w:rPr>
          <w:szCs w:val="22"/>
          <w:lang w:val="sr-Latn-CS"/>
        </w:rPr>
        <w:t xml:space="preserve">sa </w:t>
      </w:r>
      <w:r w:rsidRPr="00B22D20">
        <w:rPr>
          <w:szCs w:val="22"/>
          <w:lang w:val="sr-Latn-CS"/>
        </w:rPr>
        <w:t>neprom</w:t>
      </w:r>
      <w:r w:rsidR="003E7337" w:rsidRPr="00B22D20">
        <w:rPr>
          <w:szCs w:val="22"/>
          <w:lang w:val="sr-Latn-CS"/>
        </w:rPr>
        <w:t>ij</w:t>
      </w:r>
      <w:r w:rsidRPr="00B22D20">
        <w:rPr>
          <w:szCs w:val="22"/>
          <w:lang w:val="sr-Latn-CS"/>
        </w:rPr>
        <w:t>enjen</w:t>
      </w:r>
      <w:r w:rsidR="002409CB" w:rsidRPr="00B22D20">
        <w:rPr>
          <w:szCs w:val="22"/>
          <w:lang w:val="sr-Latn-CS"/>
        </w:rPr>
        <w:t>im</w:t>
      </w:r>
      <w:r w:rsidRPr="00B22D20">
        <w:rPr>
          <w:szCs w:val="22"/>
          <w:lang w:val="sr-Latn-CS"/>
        </w:rPr>
        <w:t xml:space="preserve"> DAPT</w:t>
      </w:r>
      <w:r w:rsidR="002409CB" w:rsidRPr="00B22D20">
        <w:rPr>
          <w:szCs w:val="22"/>
          <w:lang w:val="sr-Latn-CS"/>
        </w:rPr>
        <w:t>-om</w:t>
      </w:r>
      <w:r w:rsidRPr="00B22D20">
        <w:rPr>
          <w:szCs w:val="22"/>
          <w:lang w:val="sr-Latn-CS"/>
        </w:rPr>
        <w:t xml:space="preserve"> (p &lt;0,01). Ova statistički značajna razlika je uglavnom</w:t>
      </w:r>
      <w:r w:rsidR="001E35EA" w:rsidRPr="00B22D20">
        <w:rPr>
          <w:szCs w:val="22"/>
          <w:lang w:val="sr-Latn-CS"/>
        </w:rPr>
        <w:t xml:space="preserve"> </w:t>
      </w:r>
      <w:r w:rsidRPr="00B22D20">
        <w:rPr>
          <w:szCs w:val="22"/>
          <w:lang w:val="sr-Latn-CS"/>
        </w:rPr>
        <w:t>bila</w:t>
      </w:r>
      <w:r w:rsidR="001E35EA" w:rsidRPr="00B22D20">
        <w:rPr>
          <w:szCs w:val="22"/>
          <w:lang w:val="sr-Latn-CS"/>
        </w:rPr>
        <w:t xml:space="preserve"> posl</w:t>
      </w:r>
      <w:r w:rsidR="003E7337" w:rsidRPr="00B22D20">
        <w:rPr>
          <w:szCs w:val="22"/>
          <w:lang w:val="sr-Latn-CS"/>
        </w:rPr>
        <w:t>j</w:t>
      </w:r>
      <w:r w:rsidR="001E35EA" w:rsidRPr="00B22D20">
        <w:rPr>
          <w:szCs w:val="22"/>
          <w:lang w:val="sr-Latn-CS"/>
        </w:rPr>
        <w:t xml:space="preserve">edica </w:t>
      </w:r>
      <w:r w:rsidRPr="00B22D20">
        <w:rPr>
          <w:szCs w:val="22"/>
          <w:lang w:val="sr-Latn-CS"/>
        </w:rPr>
        <w:t>man</w:t>
      </w:r>
      <w:r w:rsidR="001E35EA" w:rsidRPr="00B22D20">
        <w:rPr>
          <w:szCs w:val="22"/>
          <w:lang w:val="sr-Latn-CS"/>
        </w:rPr>
        <w:t>jeg broja</w:t>
      </w:r>
      <w:r w:rsidRPr="00B22D20">
        <w:rPr>
          <w:szCs w:val="22"/>
          <w:lang w:val="sr-Latn-CS"/>
        </w:rPr>
        <w:t xml:space="preserve"> događaj</w:t>
      </w:r>
      <w:r w:rsidR="001E35EA" w:rsidRPr="00B22D20">
        <w:rPr>
          <w:szCs w:val="22"/>
          <w:lang w:val="sr-Latn-CS"/>
        </w:rPr>
        <w:t>a</w:t>
      </w:r>
      <w:r w:rsidRPr="00B22D20">
        <w:rPr>
          <w:szCs w:val="22"/>
          <w:lang w:val="sr-Latn-CS"/>
        </w:rPr>
        <w:t xml:space="preserve"> krvarenja, </w:t>
      </w:r>
      <w:r w:rsidR="002409CB" w:rsidRPr="00B22D20">
        <w:rPr>
          <w:szCs w:val="22"/>
          <w:lang w:val="sr-Latn-CS"/>
        </w:rPr>
        <w:t xml:space="preserve">bez prijavljene razlike </w:t>
      </w:r>
      <w:r w:rsidRPr="00B22D20">
        <w:rPr>
          <w:szCs w:val="22"/>
          <w:lang w:val="sr-Latn-CS"/>
        </w:rPr>
        <w:t xml:space="preserve">u ishemijskim </w:t>
      </w:r>
      <w:r w:rsidR="008074E8" w:rsidRPr="00B22D20">
        <w:rPr>
          <w:szCs w:val="22"/>
          <w:lang w:val="sr-Latn-CS"/>
        </w:rPr>
        <w:t>parametrima praćenja</w:t>
      </w:r>
      <w:r w:rsidR="001E35EA" w:rsidRPr="00B22D20">
        <w:rPr>
          <w:szCs w:val="22"/>
          <w:lang w:val="sr-Latn-CS"/>
        </w:rPr>
        <w:t xml:space="preserve"> </w:t>
      </w:r>
      <w:r w:rsidRPr="00B22D20">
        <w:rPr>
          <w:szCs w:val="22"/>
          <w:lang w:val="sr-Latn-CS"/>
        </w:rPr>
        <w:t>(p = 0,36), dok se BARC ≥</w:t>
      </w:r>
      <w:r w:rsidR="00CA1C6C" w:rsidRPr="00B22D20">
        <w:rPr>
          <w:szCs w:val="22"/>
          <w:lang w:val="sr-Latn-CS"/>
        </w:rPr>
        <w:t xml:space="preserve"> </w:t>
      </w:r>
      <w:r w:rsidRPr="00B22D20">
        <w:rPr>
          <w:szCs w:val="22"/>
          <w:lang w:val="sr-Latn-CS"/>
        </w:rPr>
        <w:t xml:space="preserve">2 </w:t>
      </w:r>
      <w:r w:rsidR="002409CB" w:rsidRPr="00B22D20">
        <w:rPr>
          <w:szCs w:val="22"/>
          <w:lang w:val="sr-Latn-CS"/>
        </w:rPr>
        <w:t>stepen</w:t>
      </w:r>
      <w:r w:rsidR="00CA1C6C" w:rsidRPr="00B22D20">
        <w:rPr>
          <w:szCs w:val="22"/>
          <w:lang w:val="sr-Latn-CS"/>
        </w:rPr>
        <w:t>a</w:t>
      </w:r>
      <w:r w:rsidR="002409CB" w:rsidRPr="00B22D20">
        <w:rPr>
          <w:szCs w:val="22"/>
          <w:lang w:val="sr-Latn-CS"/>
        </w:rPr>
        <w:t xml:space="preserve"> </w:t>
      </w:r>
      <w:r w:rsidRPr="00B22D20">
        <w:rPr>
          <w:szCs w:val="22"/>
          <w:lang w:val="sr-Latn-CS"/>
        </w:rPr>
        <w:t xml:space="preserve">krvarenje </w:t>
      </w:r>
      <w:r w:rsidR="001E35EA" w:rsidRPr="00B22D20">
        <w:rPr>
          <w:szCs w:val="22"/>
          <w:lang w:val="sr-Latn-CS"/>
        </w:rPr>
        <w:t>javlja</w:t>
      </w:r>
      <w:r w:rsidR="00CA1C6C" w:rsidRPr="00B22D20">
        <w:rPr>
          <w:szCs w:val="22"/>
          <w:lang w:val="sr-Latn-CS"/>
        </w:rPr>
        <w:t>l</w:t>
      </w:r>
      <w:r w:rsidR="001E35EA" w:rsidRPr="00B22D20">
        <w:rPr>
          <w:szCs w:val="22"/>
          <w:lang w:val="sr-Latn-CS"/>
        </w:rPr>
        <w:t>o</w:t>
      </w:r>
      <w:r w:rsidRPr="00B22D20">
        <w:rPr>
          <w:szCs w:val="22"/>
          <w:lang w:val="sr-Latn-CS"/>
        </w:rPr>
        <w:t xml:space="preserve"> r</w:t>
      </w:r>
      <w:r w:rsidR="009549CC" w:rsidRPr="00B22D20">
        <w:rPr>
          <w:szCs w:val="22"/>
          <w:lang w:val="sr-Latn-CS"/>
        </w:rPr>
        <w:t>j</w:t>
      </w:r>
      <w:r w:rsidRPr="00B22D20">
        <w:rPr>
          <w:szCs w:val="22"/>
          <w:lang w:val="sr-Latn-CS"/>
        </w:rPr>
        <w:t>eđe u grupi de-eskalir</w:t>
      </w:r>
      <w:r w:rsidR="001E35EA" w:rsidRPr="00B22D20">
        <w:rPr>
          <w:szCs w:val="22"/>
          <w:lang w:val="sr-Latn-CS"/>
        </w:rPr>
        <w:t>anim</w:t>
      </w:r>
      <w:r w:rsidRPr="00B22D20">
        <w:rPr>
          <w:szCs w:val="22"/>
          <w:lang w:val="sr-Latn-CS"/>
        </w:rPr>
        <w:t xml:space="preserve"> DAPT</w:t>
      </w:r>
      <w:r w:rsidR="001E35EA" w:rsidRPr="00B22D20">
        <w:rPr>
          <w:szCs w:val="22"/>
          <w:lang w:val="sr-Latn-CS"/>
        </w:rPr>
        <w:t>-om</w:t>
      </w:r>
      <w:r w:rsidRPr="00B22D20">
        <w:rPr>
          <w:szCs w:val="22"/>
          <w:lang w:val="sr-Latn-CS"/>
        </w:rPr>
        <w:t xml:space="preserve"> (4,0%) u odnosu na</w:t>
      </w:r>
      <w:r w:rsidR="002409CB" w:rsidRPr="00B22D20">
        <w:rPr>
          <w:szCs w:val="22"/>
          <w:lang w:val="sr-Latn-CS"/>
        </w:rPr>
        <w:t xml:space="preserve"> </w:t>
      </w:r>
      <w:r w:rsidRPr="00B22D20">
        <w:rPr>
          <w:szCs w:val="22"/>
          <w:lang w:val="sr-Latn-CS"/>
        </w:rPr>
        <w:t xml:space="preserve">14,9% u grupi </w:t>
      </w:r>
      <w:r w:rsidR="001E35EA" w:rsidRPr="00B22D20">
        <w:rPr>
          <w:szCs w:val="22"/>
          <w:lang w:val="sr-Latn-CS"/>
        </w:rPr>
        <w:t xml:space="preserve">sa </w:t>
      </w:r>
      <w:r w:rsidRPr="00B22D20">
        <w:rPr>
          <w:szCs w:val="22"/>
          <w:lang w:val="sr-Latn-CS"/>
        </w:rPr>
        <w:t>neprom</w:t>
      </w:r>
      <w:r w:rsidR="003E7337" w:rsidRPr="00B22D20">
        <w:rPr>
          <w:szCs w:val="22"/>
          <w:lang w:val="sr-Latn-CS"/>
        </w:rPr>
        <w:t>ij</w:t>
      </w:r>
      <w:r w:rsidRPr="00B22D20">
        <w:rPr>
          <w:szCs w:val="22"/>
          <w:lang w:val="sr-Latn-CS"/>
        </w:rPr>
        <w:t>enjen</w:t>
      </w:r>
      <w:r w:rsidR="001E35EA" w:rsidRPr="00B22D20">
        <w:rPr>
          <w:szCs w:val="22"/>
          <w:lang w:val="sr-Latn-CS"/>
        </w:rPr>
        <w:t>im</w:t>
      </w:r>
      <w:r w:rsidRPr="00B22D20">
        <w:rPr>
          <w:szCs w:val="22"/>
          <w:lang w:val="sr-Latn-CS"/>
        </w:rPr>
        <w:t xml:space="preserve"> DAPT</w:t>
      </w:r>
      <w:r w:rsidR="001E35EA" w:rsidRPr="00B22D20">
        <w:rPr>
          <w:szCs w:val="22"/>
          <w:lang w:val="sr-Latn-CS"/>
        </w:rPr>
        <w:t>-om</w:t>
      </w:r>
      <w:r w:rsidRPr="00B22D20">
        <w:rPr>
          <w:szCs w:val="22"/>
          <w:lang w:val="sr-Latn-CS"/>
        </w:rPr>
        <w:t xml:space="preserve"> (p &lt;0</w:t>
      </w:r>
      <w:r w:rsidR="00CE728C" w:rsidRPr="00B22D20">
        <w:rPr>
          <w:szCs w:val="22"/>
          <w:lang w:val="sr-Latn-CS"/>
        </w:rPr>
        <w:t>,</w:t>
      </w:r>
      <w:r w:rsidRPr="00B22D20">
        <w:rPr>
          <w:szCs w:val="22"/>
          <w:lang w:val="sr-Latn-CS"/>
        </w:rPr>
        <w:t xml:space="preserve">01). </w:t>
      </w:r>
      <w:r w:rsidR="000F241F" w:rsidRPr="00B22D20">
        <w:rPr>
          <w:szCs w:val="22"/>
          <w:lang w:val="sr-Latn-CS"/>
        </w:rPr>
        <w:t>Događaji k</w:t>
      </w:r>
      <w:r w:rsidRPr="00B22D20">
        <w:rPr>
          <w:szCs w:val="22"/>
          <w:lang w:val="sr-Latn-CS"/>
        </w:rPr>
        <w:t>rvarenja definisan</w:t>
      </w:r>
      <w:r w:rsidR="000F241F" w:rsidRPr="00B22D20">
        <w:rPr>
          <w:szCs w:val="22"/>
          <w:lang w:val="sr-Latn-CS"/>
        </w:rPr>
        <w:t>i</w:t>
      </w:r>
      <w:r w:rsidRPr="00B22D20">
        <w:rPr>
          <w:szCs w:val="22"/>
          <w:lang w:val="sr-Latn-CS"/>
        </w:rPr>
        <w:t xml:space="preserve"> kao sva BARC krvarenja javil</w:t>
      </w:r>
      <w:r w:rsidR="009549CC" w:rsidRPr="00B22D20">
        <w:rPr>
          <w:szCs w:val="22"/>
          <w:lang w:val="sr-Latn-CS"/>
        </w:rPr>
        <w:t>i</w:t>
      </w:r>
      <w:r w:rsidRPr="00B22D20">
        <w:rPr>
          <w:szCs w:val="22"/>
          <w:lang w:val="sr-Latn-CS"/>
        </w:rPr>
        <w:t xml:space="preserve"> su se kod 30 pacijenata (9,3%) u grupi </w:t>
      </w:r>
      <w:r w:rsidR="000F241F" w:rsidRPr="00B22D20">
        <w:rPr>
          <w:szCs w:val="22"/>
          <w:lang w:val="sr-Latn-CS"/>
        </w:rPr>
        <w:t xml:space="preserve">sa </w:t>
      </w:r>
      <w:r w:rsidRPr="00B22D20">
        <w:rPr>
          <w:szCs w:val="22"/>
          <w:lang w:val="sr-Latn-CS"/>
        </w:rPr>
        <w:t>de-eskalira</w:t>
      </w:r>
      <w:r w:rsidR="000F241F" w:rsidRPr="00B22D20">
        <w:rPr>
          <w:szCs w:val="22"/>
          <w:lang w:val="sr-Latn-CS"/>
        </w:rPr>
        <w:t xml:space="preserve">nim </w:t>
      </w:r>
      <w:r w:rsidRPr="00B22D20">
        <w:rPr>
          <w:szCs w:val="22"/>
          <w:lang w:val="sr-Latn-CS"/>
        </w:rPr>
        <w:t xml:space="preserve"> DAPT</w:t>
      </w:r>
      <w:r w:rsidR="000F241F" w:rsidRPr="00B22D20">
        <w:rPr>
          <w:szCs w:val="22"/>
          <w:lang w:val="sr-Latn-CS"/>
        </w:rPr>
        <w:t>-om</w:t>
      </w:r>
      <w:r w:rsidRPr="00B22D20">
        <w:rPr>
          <w:szCs w:val="22"/>
          <w:lang w:val="sr-Latn-CS"/>
        </w:rPr>
        <w:t xml:space="preserve">, a kod 76 pacijenata (23,5%) u grupi </w:t>
      </w:r>
      <w:r w:rsidR="000F241F" w:rsidRPr="00B22D20">
        <w:rPr>
          <w:szCs w:val="22"/>
          <w:lang w:val="sr-Latn-CS"/>
        </w:rPr>
        <w:t xml:space="preserve">sa </w:t>
      </w:r>
      <w:r w:rsidRPr="00B22D20">
        <w:rPr>
          <w:szCs w:val="22"/>
          <w:lang w:val="sr-Latn-CS"/>
        </w:rPr>
        <w:t>neprom</w:t>
      </w:r>
      <w:r w:rsidR="00C05DED" w:rsidRPr="00B22D20">
        <w:rPr>
          <w:szCs w:val="22"/>
          <w:lang w:val="sr-Latn-CS"/>
        </w:rPr>
        <w:t>ij</w:t>
      </w:r>
      <w:r w:rsidRPr="00B22D20">
        <w:rPr>
          <w:szCs w:val="22"/>
          <w:lang w:val="sr-Latn-CS"/>
        </w:rPr>
        <w:t>enjen</w:t>
      </w:r>
      <w:r w:rsidR="000F241F" w:rsidRPr="00B22D20">
        <w:rPr>
          <w:szCs w:val="22"/>
          <w:lang w:val="sr-Latn-CS"/>
        </w:rPr>
        <w:t>im</w:t>
      </w:r>
      <w:r w:rsidRPr="00B22D20">
        <w:rPr>
          <w:szCs w:val="22"/>
          <w:lang w:val="sr-Latn-CS"/>
        </w:rPr>
        <w:t xml:space="preserve"> DAPT</w:t>
      </w:r>
      <w:r w:rsidR="000F241F" w:rsidRPr="00B22D20">
        <w:rPr>
          <w:szCs w:val="22"/>
          <w:lang w:val="sr-Latn-CS"/>
        </w:rPr>
        <w:t>-om</w:t>
      </w:r>
      <w:r w:rsidRPr="00B22D20">
        <w:rPr>
          <w:szCs w:val="22"/>
          <w:lang w:val="sr-Latn-CS"/>
        </w:rPr>
        <w:t xml:space="preserve"> (p &lt;0,01).</w:t>
      </w:r>
    </w:p>
    <w:p w14:paraId="772E3DF4" w14:textId="50D331B7" w:rsidR="00382FC7" w:rsidRPr="00B22D20" w:rsidRDefault="00382FC7">
      <w:pPr>
        <w:spacing w:before="120"/>
        <w:rPr>
          <w:szCs w:val="22"/>
        </w:rPr>
      </w:pPr>
      <w:r w:rsidRPr="00B22D20">
        <w:rPr>
          <w:b/>
          <w:szCs w:val="22"/>
        </w:rPr>
        <w:t>TROPICAL-ACS</w:t>
      </w:r>
      <w:r w:rsidRPr="00B22D20">
        <w:rPr>
          <w:szCs w:val="22"/>
        </w:rPr>
        <w:t xml:space="preserve"> (</w:t>
      </w:r>
      <w:r w:rsidR="000F241F" w:rsidRPr="00B22D20">
        <w:rPr>
          <w:szCs w:val="22"/>
        </w:rPr>
        <w:t>engl.</w:t>
      </w:r>
      <w:r w:rsidR="009549CC" w:rsidRPr="00B22D20">
        <w:rPr>
          <w:szCs w:val="22"/>
        </w:rPr>
        <w:t xml:space="preserve"> </w:t>
      </w:r>
      <w:r w:rsidRPr="00B22D20">
        <w:rPr>
          <w:i/>
          <w:szCs w:val="22"/>
        </w:rPr>
        <w:t>Testing Responsiveness to Platelet Inhibition on Chronic Antiplatelet Treatment for Acute Coronary Syndromes</w:t>
      </w:r>
      <w:r w:rsidRPr="00B22D20">
        <w:rPr>
          <w:szCs w:val="22"/>
        </w:rPr>
        <w:t>)</w:t>
      </w:r>
    </w:p>
    <w:p w14:paraId="440BAD7B" w14:textId="5061AB60" w:rsidR="00382FC7" w:rsidRPr="00B22D20" w:rsidRDefault="000F241F">
      <w:pPr>
        <w:pStyle w:val="Header"/>
        <w:spacing w:before="120"/>
        <w:rPr>
          <w:szCs w:val="22"/>
          <w:lang w:val="sr-Latn-CS"/>
        </w:rPr>
      </w:pPr>
      <w:r w:rsidRPr="00B22D20">
        <w:rPr>
          <w:szCs w:val="22"/>
          <w:lang w:val="sr-Latn-CS"/>
        </w:rPr>
        <w:t xml:space="preserve">Ukupno 2 610 pacijenata sa akutnim koronarnim sindromom </w:t>
      </w:r>
      <w:r w:rsidR="00382FC7" w:rsidRPr="00B22D20">
        <w:rPr>
          <w:szCs w:val="22"/>
          <w:lang w:val="sr-Latn-CS"/>
        </w:rPr>
        <w:t xml:space="preserve">sa pozitivnim biomarkerima </w:t>
      </w:r>
      <w:r w:rsidRPr="00B22D20">
        <w:rPr>
          <w:szCs w:val="22"/>
          <w:lang w:val="sr-Latn-CS"/>
        </w:rPr>
        <w:t xml:space="preserve">bilo je uključeno u </w:t>
      </w:r>
      <w:r w:rsidR="00B77A2F" w:rsidRPr="00B22D20">
        <w:rPr>
          <w:szCs w:val="22"/>
          <w:lang w:val="sr-Latn-CS"/>
        </w:rPr>
        <w:t>randomizovano, otvoreno ispitivanje nakon usp</w:t>
      </w:r>
      <w:r w:rsidR="00566D25" w:rsidRPr="00B22D20">
        <w:rPr>
          <w:szCs w:val="22"/>
          <w:lang w:val="sr-Latn-CS"/>
        </w:rPr>
        <w:t>j</w:t>
      </w:r>
      <w:r w:rsidR="00B77A2F" w:rsidRPr="00B22D20">
        <w:rPr>
          <w:szCs w:val="22"/>
          <w:lang w:val="sr-Latn-CS"/>
        </w:rPr>
        <w:t>ešne perkutane koronarne intervencije.</w:t>
      </w:r>
      <w:r w:rsidR="00382FC7" w:rsidRPr="00B22D20">
        <w:rPr>
          <w:szCs w:val="22"/>
          <w:lang w:val="sr-Latn-CS"/>
        </w:rPr>
        <w:t xml:space="preserve"> Pacijenti su </w:t>
      </w:r>
      <w:r w:rsidR="00B77A2F" w:rsidRPr="00B22D20">
        <w:rPr>
          <w:szCs w:val="22"/>
          <w:lang w:val="sr-Latn-CS"/>
        </w:rPr>
        <w:t xml:space="preserve">bili tako </w:t>
      </w:r>
      <w:r w:rsidR="00382FC7" w:rsidRPr="00B22D20">
        <w:rPr>
          <w:szCs w:val="22"/>
          <w:lang w:val="sr-Latn-CS"/>
        </w:rPr>
        <w:t xml:space="preserve">randomizovani da primaju ili prasugrel </w:t>
      </w:r>
      <w:r w:rsidR="009549CC" w:rsidRPr="00B22D20">
        <w:rPr>
          <w:szCs w:val="22"/>
          <w:lang w:val="sr-Latn-CS"/>
        </w:rPr>
        <w:t xml:space="preserve">u dozi </w:t>
      </w:r>
      <w:r w:rsidR="00382FC7" w:rsidRPr="00B22D20">
        <w:rPr>
          <w:szCs w:val="22"/>
          <w:lang w:val="sr-Latn-CS"/>
        </w:rPr>
        <w:t>5 ili 10 mg/dan (0-14 dana) (n = 130</w:t>
      </w:r>
      <w:r w:rsidR="009549CC" w:rsidRPr="00B22D20">
        <w:rPr>
          <w:szCs w:val="22"/>
          <w:lang w:val="sr-Latn-CS"/>
        </w:rPr>
        <w:t>6</w:t>
      </w:r>
      <w:r w:rsidR="00382FC7" w:rsidRPr="00B22D20">
        <w:rPr>
          <w:szCs w:val="22"/>
          <w:lang w:val="sr-Latn-CS"/>
        </w:rPr>
        <w:t xml:space="preserve">) ili </w:t>
      </w:r>
      <w:r w:rsidR="00B77A2F" w:rsidRPr="00B22D20">
        <w:rPr>
          <w:szCs w:val="22"/>
          <w:lang w:val="sr-Latn-CS"/>
        </w:rPr>
        <w:t xml:space="preserve">prasugrel u dozi od </w:t>
      </w:r>
      <w:r w:rsidR="00382FC7" w:rsidRPr="00B22D20">
        <w:rPr>
          <w:szCs w:val="22"/>
          <w:lang w:val="sr-Latn-CS"/>
        </w:rPr>
        <w:t xml:space="preserve">5 ili 10 mg/dan (0-7 dana), </w:t>
      </w:r>
      <w:r w:rsidR="00B77A2F" w:rsidRPr="00B22D20">
        <w:rPr>
          <w:szCs w:val="22"/>
          <w:lang w:val="sr-Latn-CS"/>
        </w:rPr>
        <w:t xml:space="preserve">nakon čega </w:t>
      </w:r>
      <w:r w:rsidR="00382FC7" w:rsidRPr="00B22D20">
        <w:rPr>
          <w:szCs w:val="22"/>
          <w:lang w:val="sr-Latn-CS"/>
        </w:rPr>
        <w:t>su</w:t>
      </w:r>
      <w:r w:rsidR="00B77A2F" w:rsidRPr="00B22D20">
        <w:rPr>
          <w:szCs w:val="22"/>
          <w:lang w:val="sr-Latn-CS"/>
        </w:rPr>
        <w:t xml:space="preserve"> prebačeni na </w:t>
      </w:r>
      <w:r w:rsidR="00382FC7" w:rsidRPr="00B22D20">
        <w:rPr>
          <w:szCs w:val="22"/>
          <w:lang w:val="sr-Latn-CS"/>
        </w:rPr>
        <w:t>de-eskali</w:t>
      </w:r>
      <w:r w:rsidR="00B77A2F" w:rsidRPr="00B22D20">
        <w:rPr>
          <w:szCs w:val="22"/>
          <w:lang w:val="sr-Latn-CS"/>
        </w:rPr>
        <w:t>ranu terapiju</w:t>
      </w:r>
      <w:r w:rsidR="009549CC" w:rsidRPr="00B22D20">
        <w:rPr>
          <w:szCs w:val="22"/>
          <w:lang w:val="sr-Latn-CS"/>
        </w:rPr>
        <w:t xml:space="preserve"> </w:t>
      </w:r>
      <w:r w:rsidR="00382FC7" w:rsidRPr="00B22D20">
        <w:rPr>
          <w:szCs w:val="22"/>
          <w:lang w:val="sr-Latn-CS"/>
        </w:rPr>
        <w:t>klopidogrel</w:t>
      </w:r>
      <w:r w:rsidR="00B77A2F" w:rsidRPr="00B22D20">
        <w:rPr>
          <w:szCs w:val="22"/>
          <w:lang w:val="sr-Latn-CS"/>
        </w:rPr>
        <w:t xml:space="preserve">om u dozi od </w:t>
      </w:r>
      <w:r w:rsidR="00382FC7" w:rsidRPr="00B22D20">
        <w:rPr>
          <w:szCs w:val="22"/>
          <w:lang w:val="sr-Latn-CS"/>
        </w:rPr>
        <w:t xml:space="preserve"> 75 mg/dan (8-14 dana) (n = 130</w:t>
      </w:r>
      <w:r w:rsidR="009549CC" w:rsidRPr="00B22D20">
        <w:rPr>
          <w:szCs w:val="22"/>
          <w:lang w:val="sr-Latn-CS"/>
        </w:rPr>
        <w:t>4</w:t>
      </w:r>
      <w:r w:rsidR="00382FC7" w:rsidRPr="00B22D20">
        <w:rPr>
          <w:szCs w:val="22"/>
          <w:lang w:val="sr-Latn-CS"/>
        </w:rPr>
        <w:t xml:space="preserve">), u kombinaciji sa </w:t>
      </w:r>
      <w:r w:rsidR="00C224EB" w:rsidRPr="00B22D20">
        <w:rPr>
          <w:szCs w:val="22"/>
          <w:lang w:val="sr-Latn-CS"/>
        </w:rPr>
        <w:t xml:space="preserve">acetilsalicilnom kiselinom </w:t>
      </w:r>
      <w:r w:rsidR="00382FC7" w:rsidRPr="00B22D20">
        <w:rPr>
          <w:szCs w:val="22"/>
          <w:lang w:val="sr-Latn-CS"/>
        </w:rPr>
        <w:t>(&lt;</w:t>
      </w:r>
      <w:r w:rsidR="00CA1C6C" w:rsidRPr="00B22D20">
        <w:rPr>
          <w:szCs w:val="22"/>
          <w:lang w:val="sr-Latn-CS"/>
        </w:rPr>
        <w:t xml:space="preserve"> </w:t>
      </w:r>
      <w:r w:rsidR="00382FC7" w:rsidRPr="00B22D20">
        <w:rPr>
          <w:szCs w:val="22"/>
          <w:lang w:val="sr-Latn-CS"/>
        </w:rPr>
        <w:t xml:space="preserve">100 mg/dan). </w:t>
      </w:r>
      <w:r w:rsidR="009F7B61" w:rsidRPr="00B22D20">
        <w:rPr>
          <w:szCs w:val="22"/>
          <w:lang w:val="sr-Latn-CS"/>
        </w:rPr>
        <w:t xml:space="preserve">Ispitivanje funkcije trombocita je sprovedeno </w:t>
      </w:r>
      <w:r w:rsidR="00382FC7" w:rsidRPr="00B22D20">
        <w:rPr>
          <w:szCs w:val="22"/>
          <w:lang w:val="sr-Latn-CS"/>
        </w:rPr>
        <w:t>14-og dana</w:t>
      </w:r>
      <w:r w:rsidR="009F7B61" w:rsidRPr="00B22D20">
        <w:rPr>
          <w:szCs w:val="22"/>
          <w:lang w:val="sr-Latn-CS"/>
        </w:rPr>
        <w:t xml:space="preserve">. </w:t>
      </w:r>
      <w:r w:rsidR="00382FC7" w:rsidRPr="00B22D20">
        <w:rPr>
          <w:szCs w:val="22"/>
          <w:lang w:val="sr-Latn-CS"/>
        </w:rPr>
        <w:t xml:space="preserve">Pacijenti koji su </w:t>
      </w:r>
      <w:r w:rsidR="009F7B61" w:rsidRPr="00B22D20">
        <w:rPr>
          <w:szCs w:val="22"/>
          <w:lang w:val="sr-Latn-CS"/>
        </w:rPr>
        <w:t>uzimali</w:t>
      </w:r>
      <w:r w:rsidR="00382FC7" w:rsidRPr="00B22D20">
        <w:rPr>
          <w:szCs w:val="22"/>
          <w:lang w:val="sr-Latn-CS"/>
        </w:rPr>
        <w:t xml:space="preserve"> samo prasugrel nastavlili s</w:t>
      </w:r>
      <w:r w:rsidR="009F7B61" w:rsidRPr="00B22D20">
        <w:rPr>
          <w:szCs w:val="22"/>
          <w:lang w:val="sr-Latn-CS"/>
        </w:rPr>
        <w:t xml:space="preserve">u da uzimaju </w:t>
      </w:r>
      <w:r w:rsidR="003158D6" w:rsidRPr="00B22D20">
        <w:rPr>
          <w:szCs w:val="22"/>
          <w:lang w:val="sr-Latn-CS"/>
        </w:rPr>
        <w:t xml:space="preserve">prasugrel još </w:t>
      </w:r>
      <w:r w:rsidR="00382FC7" w:rsidRPr="00B22D20">
        <w:rPr>
          <w:szCs w:val="22"/>
          <w:lang w:val="sr-Latn-CS"/>
        </w:rPr>
        <w:t>11,5 m</w:t>
      </w:r>
      <w:r w:rsidR="003E7337" w:rsidRPr="00B22D20">
        <w:rPr>
          <w:szCs w:val="22"/>
          <w:lang w:val="sr-Latn-CS"/>
        </w:rPr>
        <w:t>j</w:t>
      </w:r>
      <w:r w:rsidR="00382FC7" w:rsidRPr="00B22D20">
        <w:rPr>
          <w:szCs w:val="22"/>
          <w:lang w:val="sr-Latn-CS"/>
        </w:rPr>
        <w:t>eseci.</w:t>
      </w:r>
    </w:p>
    <w:p w14:paraId="0F0B1AA2" w14:textId="60FE9455" w:rsidR="00382FC7" w:rsidRPr="00B22D20" w:rsidRDefault="003158D6">
      <w:pPr>
        <w:pStyle w:val="Header"/>
        <w:spacing w:before="120"/>
        <w:rPr>
          <w:szCs w:val="22"/>
          <w:lang w:val="sr-Latn-CS"/>
        </w:rPr>
      </w:pPr>
      <w:r w:rsidRPr="00B22D20">
        <w:rPr>
          <w:szCs w:val="22"/>
          <w:lang w:val="sr-Latn-CS"/>
        </w:rPr>
        <w:t>Pacijenti na d</w:t>
      </w:r>
      <w:r w:rsidR="00382FC7" w:rsidRPr="00B22D20">
        <w:rPr>
          <w:szCs w:val="22"/>
          <w:lang w:val="sr-Latn-CS"/>
        </w:rPr>
        <w:t>e-eskali</w:t>
      </w:r>
      <w:r w:rsidRPr="00B22D20">
        <w:rPr>
          <w:szCs w:val="22"/>
          <w:lang w:val="sr-Latn-CS"/>
        </w:rPr>
        <w:t xml:space="preserve">ranoj terapiji bili </w:t>
      </w:r>
      <w:r w:rsidR="00382FC7" w:rsidRPr="00B22D20">
        <w:rPr>
          <w:szCs w:val="22"/>
          <w:lang w:val="sr-Latn-CS"/>
        </w:rPr>
        <w:t xml:space="preserve">su podvrgnuti </w:t>
      </w:r>
      <w:r w:rsidRPr="00B22D20">
        <w:rPr>
          <w:szCs w:val="22"/>
          <w:lang w:val="sr-Latn-CS"/>
        </w:rPr>
        <w:t xml:space="preserve">ispitivanju </w:t>
      </w:r>
      <w:r w:rsidR="00382FC7" w:rsidRPr="00B22D20">
        <w:rPr>
          <w:szCs w:val="22"/>
          <w:lang w:val="sr-Latn-CS"/>
        </w:rPr>
        <w:t xml:space="preserve">visoke </w:t>
      </w:r>
      <w:r w:rsidRPr="00B22D20">
        <w:rPr>
          <w:szCs w:val="22"/>
          <w:lang w:val="sr-Latn-CS"/>
        </w:rPr>
        <w:t xml:space="preserve">reaktivnosti </w:t>
      </w:r>
      <w:r w:rsidR="00382FC7" w:rsidRPr="00B22D20">
        <w:rPr>
          <w:szCs w:val="22"/>
          <w:lang w:val="sr-Latn-CS"/>
        </w:rPr>
        <w:t>trombocit</w:t>
      </w:r>
      <w:r w:rsidRPr="00B22D20">
        <w:rPr>
          <w:szCs w:val="22"/>
          <w:lang w:val="sr-Latn-CS"/>
        </w:rPr>
        <w:t>a</w:t>
      </w:r>
      <w:r w:rsidR="00382FC7" w:rsidRPr="00B22D20">
        <w:rPr>
          <w:szCs w:val="22"/>
          <w:lang w:val="sr-Latn-CS"/>
        </w:rPr>
        <w:t xml:space="preserve"> (</w:t>
      </w:r>
      <w:r w:rsidRPr="00B22D20">
        <w:rPr>
          <w:szCs w:val="22"/>
          <w:lang w:val="sr-Latn-CS"/>
        </w:rPr>
        <w:t xml:space="preserve">engl. </w:t>
      </w:r>
      <w:r w:rsidRPr="00B22D20">
        <w:rPr>
          <w:i/>
          <w:szCs w:val="22"/>
          <w:lang w:val="sr-Latn-CS"/>
        </w:rPr>
        <w:t>H</w:t>
      </w:r>
      <w:r w:rsidR="00382FC7" w:rsidRPr="00B22D20">
        <w:rPr>
          <w:i/>
          <w:szCs w:val="22"/>
          <w:lang w:val="sr-Latn-CS"/>
        </w:rPr>
        <w:t xml:space="preserve">igh </w:t>
      </w:r>
      <w:r w:rsidRPr="00B22D20">
        <w:rPr>
          <w:i/>
          <w:szCs w:val="22"/>
          <w:lang w:val="sr-Latn-CS"/>
        </w:rPr>
        <w:t>P</w:t>
      </w:r>
      <w:r w:rsidR="00382FC7" w:rsidRPr="00B22D20">
        <w:rPr>
          <w:i/>
          <w:szCs w:val="22"/>
          <w:lang w:val="sr-Latn-CS"/>
        </w:rPr>
        <w:t xml:space="preserve">latelet </w:t>
      </w:r>
      <w:r w:rsidRPr="00B22D20">
        <w:rPr>
          <w:i/>
          <w:szCs w:val="22"/>
          <w:lang w:val="sr-Latn-CS"/>
        </w:rPr>
        <w:t>R</w:t>
      </w:r>
      <w:r w:rsidR="00382FC7" w:rsidRPr="00B22D20">
        <w:rPr>
          <w:i/>
          <w:szCs w:val="22"/>
          <w:lang w:val="sr-Latn-CS"/>
        </w:rPr>
        <w:t>eactivity -</w:t>
      </w:r>
      <w:r w:rsidR="00CA1C6C" w:rsidRPr="00B22D20">
        <w:rPr>
          <w:i/>
          <w:szCs w:val="22"/>
          <w:lang w:val="sr-Latn-CS"/>
        </w:rPr>
        <w:t xml:space="preserve"> </w:t>
      </w:r>
      <w:r w:rsidR="00382FC7" w:rsidRPr="00B22D20">
        <w:rPr>
          <w:szCs w:val="22"/>
          <w:lang w:val="sr-Latn-CS"/>
        </w:rPr>
        <w:t xml:space="preserve">HPR). </w:t>
      </w:r>
      <w:r w:rsidRPr="00B22D20">
        <w:rPr>
          <w:szCs w:val="22"/>
          <w:lang w:val="sr-Latn-CS"/>
        </w:rPr>
        <w:t xml:space="preserve">Ako je </w:t>
      </w:r>
      <w:r w:rsidR="00382FC7" w:rsidRPr="00B22D20">
        <w:rPr>
          <w:szCs w:val="22"/>
          <w:lang w:val="sr-Latn-CS"/>
        </w:rPr>
        <w:t xml:space="preserve">HPR ≥ 46 jedinica, pacijenti su </w:t>
      </w:r>
      <w:r w:rsidRPr="00B22D20">
        <w:rPr>
          <w:szCs w:val="22"/>
          <w:lang w:val="sr-Latn-CS"/>
        </w:rPr>
        <w:t xml:space="preserve">vraćeni </w:t>
      </w:r>
      <w:r w:rsidR="00382FC7" w:rsidRPr="00B22D20">
        <w:rPr>
          <w:szCs w:val="22"/>
          <w:lang w:val="sr-Latn-CS"/>
        </w:rPr>
        <w:t xml:space="preserve">nazad na </w:t>
      </w:r>
      <w:r w:rsidRPr="00B22D20">
        <w:rPr>
          <w:szCs w:val="22"/>
          <w:lang w:val="sr-Latn-CS"/>
        </w:rPr>
        <w:t>l</w:t>
      </w:r>
      <w:r w:rsidR="00AE06FC" w:rsidRPr="00B22D20">
        <w:rPr>
          <w:szCs w:val="22"/>
          <w:lang w:val="sr-Latn-CS"/>
        </w:rPr>
        <w:t>i</w:t>
      </w:r>
      <w:r w:rsidR="003E7337" w:rsidRPr="00B22D20">
        <w:rPr>
          <w:szCs w:val="22"/>
          <w:lang w:val="sr-Latn-CS"/>
        </w:rPr>
        <w:t>j</w:t>
      </w:r>
      <w:r w:rsidRPr="00B22D20">
        <w:rPr>
          <w:szCs w:val="22"/>
          <w:lang w:val="sr-Latn-CS"/>
        </w:rPr>
        <w:t xml:space="preserve">ečenje </w:t>
      </w:r>
      <w:r w:rsidR="00382FC7" w:rsidRPr="00B22D20">
        <w:rPr>
          <w:szCs w:val="22"/>
          <w:lang w:val="sr-Latn-CS"/>
        </w:rPr>
        <w:t>prasugrel</w:t>
      </w:r>
      <w:r w:rsidRPr="00B22D20">
        <w:rPr>
          <w:szCs w:val="22"/>
          <w:lang w:val="sr-Latn-CS"/>
        </w:rPr>
        <w:t xml:space="preserve">om u dozi od </w:t>
      </w:r>
      <w:r w:rsidR="00382FC7" w:rsidRPr="00B22D20">
        <w:rPr>
          <w:szCs w:val="22"/>
          <w:lang w:val="sr-Latn-CS"/>
        </w:rPr>
        <w:t>5 ili 10 mg/dan tokom 11,5 m</w:t>
      </w:r>
      <w:r w:rsidR="003E7337" w:rsidRPr="00B22D20">
        <w:rPr>
          <w:szCs w:val="22"/>
          <w:lang w:val="sr-Latn-CS"/>
        </w:rPr>
        <w:t>j</w:t>
      </w:r>
      <w:r w:rsidR="00382FC7" w:rsidRPr="00B22D20">
        <w:rPr>
          <w:szCs w:val="22"/>
          <w:lang w:val="sr-Latn-CS"/>
        </w:rPr>
        <w:t>eseci</w:t>
      </w:r>
      <w:r w:rsidRPr="00B22D20">
        <w:rPr>
          <w:szCs w:val="22"/>
          <w:lang w:val="sr-Latn-CS"/>
        </w:rPr>
        <w:t>. Ako</w:t>
      </w:r>
      <w:r w:rsidR="000A0BB8" w:rsidRPr="00B22D20">
        <w:rPr>
          <w:szCs w:val="22"/>
          <w:lang w:val="sr-Latn-CS"/>
        </w:rPr>
        <w:t xml:space="preserve"> </w:t>
      </w:r>
      <w:r w:rsidRPr="00B22D20">
        <w:rPr>
          <w:szCs w:val="22"/>
          <w:lang w:val="sr-Latn-CS"/>
        </w:rPr>
        <w:t xml:space="preserve">je </w:t>
      </w:r>
      <w:r w:rsidR="00382FC7" w:rsidRPr="00B22D20">
        <w:rPr>
          <w:szCs w:val="22"/>
          <w:lang w:val="sr-Latn-CS"/>
        </w:rPr>
        <w:t xml:space="preserve">HPR </w:t>
      </w:r>
      <w:r w:rsidRPr="00B22D20">
        <w:rPr>
          <w:szCs w:val="22"/>
          <w:lang w:val="sr-Latn-CS"/>
        </w:rPr>
        <w:t xml:space="preserve">bio </w:t>
      </w:r>
      <w:r w:rsidR="00382FC7" w:rsidRPr="00B22D20">
        <w:rPr>
          <w:szCs w:val="22"/>
          <w:lang w:val="sr-Latn-CS"/>
        </w:rPr>
        <w:t xml:space="preserve">&lt; 46 jedinica, pacijenti su nastavili </w:t>
      </w:r>
      <w:r w:rsidR="000A0BB8" w:rsidRPr="00B22D20">
        <w:rPr>
          <w:szCs w:val="22"/>
          <w:lang w:val="sr-Latn-CS"/>
        </w:rPr>
        <w:t>l</w:t>
      </w:r>
      <w:r w:rsidR="00AE06FC" w:rsidRPr="00B22D20">
        <w:rPr>
          <w:szCs w:val="22"/>
          <w:lang w:val="sr-Latn-CS"/>
        </w:rPr>
        <w:t>i</w:t>
      </w:r>
      <w:r w:rsidR="003E7337" w:rsidRPr="00B22D20">
        <w:rPr>
          <w:szCs w:val="22"/>
          <w:lang w:val="sr-Latn-CS"/>
        </w:rPr>
        <w:t>j</w:t>
      </w:r>
      <w:r w:rsidR="000A0BB8" w:rsidRPr="00B22D20">
        <w:rPr>
          <w:szCs w:val="22"/>
          <w:lang w:val="sr-Latn-CS"/>
        </w:rPr>
        <w:t>ečenje</w:t>
      </w:r>
      <w:r w:rsidR="00382FC7" w:rsidRPr="00B22D20">
        <w:rPr>
          <w:szCs w:val="22"/>
          <w:lang w:val="sr-Latn-CS"/>
        </w:rPr>
        <w:t xml:space="preserve"> klopidogrelom </w:t>
      </w:r>
      <w:r w:rsidR="000A0BB8" w:rsidRPr="00B22D20">
        <w:rPr>
          <w:szCs w:val="22"/>
          <w:lang w:val="sr-Latn-CS"/>
        </w:rPr>
        <w:t xml:space="preserve">u dozi od </w:t>
      </w:r>
      <w:r w:rsidR="00382FC7" w:rsidRPr="00B22D20">
        <w:rPr>
          <w:szCs w:val="22"/>
          <w:lang w:val="sr-Latn-CS"/>
        </w:rPr>
        <w:t>75 mg/dan tokom 11,5 m</w:t>
      </w:r>
      <w:r w:rsidR="003E7337" w:rsidRPr="00B22D20">
        <w:rPr>
          <w:szCs w:val="22"/>
          <w:lang w:val="sr-Latn-CS"/>
        </w:rPr>
        <w:t>j</w:t>
      </w:r>
      <w:r w:rsidR="00382FC7" w:rsidRPr="00B22D20">
        <w:rPr>
          <w:szCs w:val="22"/>
          <w:lang w:val="sr-Latn-CS"/>
        </w:rPr>
        <w:t xml:space="preserve">eseci. </w:t>
      </w:r>
      <w:r w:rsidR="000A0BB8" w:rsidRPr="00B22D20">
        <w:rPr>
          <w:szCs w:val="22"/>
          <w:lang w:val="sr-Latn-CS"/>
        </w:rPr>
        <w:t>Dakle, u grupi sa de-es</w:t>
      </w:r>
      <w:r w:rsidR="006355A0" w:rsidRPr="00B22D20">
        <w:rPr>
          <w:szCs w:val="22"/>
          <w:lang w:val="sr-Latn-CS"/>
        </w:rPr>
        <w:t>k</w:t>
      </w:r>
      <w:r w:rsidR="000A0BB8" w:rsidRPr="00B22D20">
        <w:rPr>
          <w:szCs w:val="22"/>
          <w:lang w:val="sr-Latn-CS"/>
        </w:rPr>
        <w:t xml:space="preserve">alacijom vođenoj </w:t>
      </w:r>
      <w:r w:rsidR="00750A8D" w:rsidRPr="00B22D20">
        <w:rPr>
          <w:szCs w:val="22"/>
          <w:lang w:val="sr-Latn-CS"/>
        </w:rPr>
        <w:t>na osnovu vr</w:t>
      </w:r>
      <w:r w:rsidR="003E7337" w:rsidRPr="00B22D20">
        <w:rPr>
          <w:szCs w:val="22"/>
          <w:lang w:val="sr-Latn-CS"/>
        </w:rPr>
        <w:t>ij</w:t>
      </w:r>
      <w:r w:rsidR="00750A8D" w:rsidRPr="00B22D20">
        <w:rPr>
          <w:szCs w:val="22"/>
          <w:lang w:val="sr-Latn-CS"/>
        </w:rPr>
        <w:t xml:space="preserve">ednosti HPR-a, pacijenti su primali ili prasugrel (40%) ili klopidogrel (60%). Svi pacijenti su nastavili da primaju acetilsalicilnu kiselinu i bili su praćeni godinu dana.  </w:t>
      </w:r>
    </w:p>
    <w:p w14:paraId="38096F40" w14:textId="79E65C9A" w:rsidR="00382FC7" w:rsidRPr="00B22D20" w:rsidRDefault="00382FC7">
      <w:pPr>
        <w:pStyle w:val="Header"/>
        <w:tabs>
          <w:tab w:val="clear" w:pos="4536"/>
          <w:tab w:val="clear" w:pos="9072"/>
          <w:tab w:val="left" w:pos="284"/>
        </w:tabs>
        <w:spacing w:before="120"/>
        <w:rPr>
          <w:szCs w:val="22"/>
          <w:lang w:val="sr-Latn-CS"/>
        </w:rPr>
      </w:pPr>
      <w:r w:rsidRPr="00B22D20">
        <w:rPr>
          <w:szCs w:val="22"/>
          <w:lang w:val="sr-Latn-CS"/>
        </w:rPr>
        <w:t xml:space="preserve">Primarni </w:t>
      </w:r>
      <w:r w:rsidR="005F172A" w:rsidRPr="00B22D20">
        <w:rPr>
          <w:szCs w:val="22"/>
          <w:lang w:val="sr-Latn-CS"/>
        </w:rPr>
        <w:t xml:space="preserve">parametar praćenja </w:t>
      </w:r>
      <w:r w:rsidRPr="00B22D20">
        <w:rPr>
          <w:szCs w:val="22"/>
          <w:lang w:val="sr-Latn-CS"/>
        </w:rPr>
        <w:t xml:space="preserve">(kombinovana </w:t>
      </w:r>
      <w:r w:rsidR="005F172A" w:rsidRPr="00B22D20">
        <w:rPr>
          <w:szCs w:val="22"/>
          <w:lang w:val="sr-Latn-CS"/>
        </w:rPr>
        <w:t xml:space="preserve">incidenca kardiovaskularne smrti, infarkta miokarda, </w:t>
      </w:r>
      <w:r w:rsidRPr="00B22D20">
        <w:rPr>
          <w:szCs w:val="22"/>
          <w:lang w:val="sr-Latn-CS"/>
        </w:rPr>
        <w:t xml:space="preserve">moždanog udara i BARC </w:t>
      </w:r>
      <w:r w:rsidR="005F172A" w:rsidRPr="00B22D20">
        <w:rPr>
          <w:szCs w:val="22"/>
          <w:lang w:val="sr-Latn-CS"/>
        </w:rPr>
        <w:t xml:space="preserve">stepen krvarenja </w:t>
      </w:r>
      <w:r w:rsidRPr="00B22D20">
        <w:rPr>
          <w:szCs w:val="22"/>
          <w:lang w:val="sr-Latn-CS"/>
        </w:rPr>
        <w:t>≥</w:t>
      </w:r>
      <w:r w:rsidR="005772AE" w:rsidRPr="00B22D20">
        <w:rPr>
          <w:szCs w:val="22"/>
          <w:lang w:val="sr-Latn-CS"/>
        </w:rPr>
        <w:t xml:space="preserve"> </w:t>
      </w:r>
      <w:r w:rsidRPr="00B22D20">
        <w:rPr>
          <w:szCs w:val="22"/>
          <w:lang w:val="sr-Latn-CS"/>
        </w:rPr>
        <w:t>2 u 12 m</w:t>
      </w:r>
      <w:r w:rsidR="003E7337" w:rsidRPr="00B22D20">
        <w:rPr>
          <w:szCs w:val="22"/>
          <w:lang w:val="sr-Latn-CS"/>
        </w:rPr>
        <w:t>j</w:t>
      </w:r>
      <w:r w:rsidRPr="00B22D20">
        <w:rPr>
          <w:szCs w:val="22"/>
          <w:lang w:val="sr-Latn-CS"/>
        </w:rPr>
        <w:t xml:space="preserve">eseci) je </w:t>
      </w:r>
      <w:r w:rsidR="005F172A" w:rsidRPr="00B22D20">
        <w:rPr>
          <w:szCs w:val="22"/>
          <w:lang w:val="sr-Latn-CS"/>
        </w:rPr>
        <w:t xml:space="preserve">ostvaren i pokazana je neinferiornost. </w:t>
      </w:r>
      <w:r w:rsidRPr="00B22D20">
        <w:rPr>
          <w:szCs w:val="22"/>
          <w:lang w:val="sr-Latn-CS"/>
        </w:rPr>
        <w:t xml:space="preserve">Devedeset pet pacijenata (7%) u </w:t>
      </w:r>
      <w:r w:rsidR="005F172A" w:rsidRPr="00B22D20">
        <w:rPr>
          <w:szCs w:val="22"/>
          <w:lang w:val="sr-Latn-CS"/>
        </w:rPr>
        <w:t xml:space="preserve">grupi sa </w:t>
      </w:r>
      <w:r w:rsidRPr="00B22D20">
        <w:rPr>
          <w:szCs w:val="22"/>
          <w:lang w:val="sr-Latn-CS"/>
        </w:rPr>
        <w:t>vođeno</w:t>
      </w:r>
      <w:r w:rsidR="005F172A" w:rsidRPr="00B22D20">
        <w:rPr>
          <w:szCs w:val="22"/>
          <w:lang w:val="sr-Latn-CS"/>
        </w:rPr>
        <w:t>m</w:t>
      </w:r>
      <w:r w:rsidRPr="00B22D20">
        <w:rPr>
          <w:szCs w:val="22"/>
          <w:lang w:val="sr-Latn-CS"/>
        </w:rPr>
        <w:t xml:space="preserve"> de-eskal</w:t>
      </w:r>
      <w:r w:rsidR="005F172A" w:rsidRPr="00B22D20">
        <w:rPr>
          <w:szCs w:val="22"/>
          <w:lang w:val="sr-Latn-CS"/>
        </w:rPr>
        <w:t xml:space="preserve">acijom </w:t>
      </w:r>
      <w:r w:rsidRPr="00B22D20">
        <w:rPr>
          <w:szCs w:val="22"/>
          <w:lang w:val="sr-Latn-CS"/>
        </w:rPr>
        <w:t>i 118 pacijenata (9%) u kontrolnoj grupi (p n</w:t>
      </w:r>
      <w:r w:rsidR="005F172A" w:rsidRPr="00B22D20">
        <w:rPr>
          <w:szCs w:val="22"/>
          <w:lang w:val="sr-Latn-CS"/>
        </w:rPr>
        <w:t>einferiornosti</w:t>
      </w:r>
      <w:r w:rsidRPr="00B22D20">
        <w:rPr>
          <w:szCs w:val="22"/>
          <w:lang w:val="sr-Latn-CS"/>
        </w:rPr>
        <w:t xml:space="preserve"> = 0</w:t>
      </w:r>
      <w:r w:rsidR="005F172A" w:rsidRPr="00B22D20">
        <w:rPr>
          <w:szCs w:val="22"/>
          <w:lang w:val="sr-Latn-CS"/>
        </w:rPr>
        <w:t>,</w:t>
      </w:r>
      <w:r w:rsidRPr="00B22D20">
        <w:rPr>
          <w:szCs w:val="22"/>
          <w:lang w:val="sr-Latn-CS"/>
        </w:rPr>
        <w:t>0004) imal</w:t>
      </w:r>
      <w:r w:rsidR="005F172A" w:rsidRPr="00B22D20">
        <w:rPr>
          <w:szCs w:val="22"/>
          <w:lang w:val="sr-Latn-CS"/>
        </w:rPr>
        <w:t xml:space="preserve">o je </w:t>
      </w:r>
      <w:r w:rsidRPr="00B22D20">
        <w:rPr>
          <w:szCs w:val="22"/>
          <w:lang w:val="sr-Latn-CS"/>
        </w:rPr>
        <w:t>događaj. Vođena de-eskalacija nije dovela do povećanja kombinovanog rizika od ishemijskih događaja (2,5% u grupi de-eskalacije nasuprot 3,2% u kontrolnoj grupi, p n</w:t>
      </w:r>
      <w:r w:rsidR="005F172A" w:rsidRPr="00B22D20">
        <w:rPr>
          <w:szCs w:val="22"/>
          <w:lang w:val="sr-Latn-CS"/>
        </w:rPr>
        <w:t xml:space="preserve">einferiornosti </w:t>
      </w:r>
      <w:r w:rsidRPr="00B22D20">
        <w:rPr>
          <w:szCs w:val="22"/>
          <w:lang w:val="sr-Latn-CS"/>
        </w:rPr>
        <w:t xml:space="preserve">= 0,0115), niti </w:t>
      </w:r>
      <w:r w:rsidR="005F172A" w:rsidRPr="00B22D20">
        <w:rPr>
          <w:szCs w:val="22"/>
          <w:lang w:val="sr-Latn-CS"/>
        </w:rPr>
        <w:t xml:space="preserve">u ključnom sekundarnom parametru praćenja, </w:t>
      </w:r>
      <w:r w:rsidRPr="00B22D20">
        <w:rPr>
          <w:szCs w:val="22"/>
          <w:lang w:val="sr-Latn-CS"/>
        </w:rPr>
        <w:t xml:space="preserve">BARC </w:t>
      </w:r>
      <w:r w:rsidR="005F172A" w:rsidRPr="00B22D20">
        <w:rPr>
          <w:szCs w:val="22"/>
          <w:lang w:val="sr-Latn-CS"/>
        </w:rPr>
        <w:t xml:space="preserve">stepena krvarenja </w:t>
      </w:r>
      <w:r w:rsidRPr="00B22D20">
        <w:rPr>
          <w:szCs w:val="22"/>
          <w:lang w:val="sr-Latn-CS"/>
        </w:rPr>
        <w:t>≥</w:t>
      </w:r>
      <w:r w:rsidR="005772AE" w:rsidRPr="00B22D20">
        <w:rPr>
          <w:szCs w:val="22"/>
          <w:lang w:val="sr-Latn-CS"/>
        </w:rPr>
        <w:t xml:space="preserve"> </w:t>
      </w:r>
      <w:r w:rsidRPr="00B22D20">
        <w:rPr>
          <w:szCs w:val="22"/>
          <w:lang w:val="sr-Latn-CS"/>
        </w:rPr>
        <w:t xml:space="preserve">2 ((5%) u grupi </w:t>
      </w:r>
      <w:r w:rsidR="005F172A" w:rsidRPr="00B22D20">
        <w:rPr>
          <w:szCs w:val="22"/>
          <w:lang w:val="sr-Latn-CS"/>
        </w:rPr>
        <w:t xml:space="preserve">sa vođenom </w:t>
      </w:r>
      <w:r w:rsidRPr="00B22D20">
        <w:rPr>
          <w:szCs w:val="22"/>
          <w:lang w:val="sr-Latn-CS"/>
        </w:rPr>
        <w:t>de-eskalacij</w:t>
      </w:r>
      <w:r w:rsidR="009A3102" w:rsidRPr="00B22D20">
        <w:rPr>
          <w:szCs w:val="22"/>
          <w:lang w:val="sr-Latn-CS"/>
        </w:rPr>
        <w:t xml:space="preserve">om u odnosu na </w:t>
      </w:r>
      <w:r w:rsidRPr="00B22D20">
        <w:rPr>
          <w:szCs w:val="22"/>
          <w:lang w:val="sr-Latn-CS"/>
        </w:rPr>
        <w:t xml:space="preserve">6% u kontrolnoj grupi (p = 0.23)). Kumulativna incidenca svih </w:t>
      </w:r>
      <w:r w:rsidR="009A3102" w:rsidRPr="00B22D20">
        <w:rPr>
          <w:szCs w:val="22"/>
          <w:lang w:val="sr-Latn-CS"/>
        </w:rPr>
        <w:t xml:space="preserve">događaja </w:t>
      </w:r>
      <w:r w:rsidRPr="00B22D20">
        <w:rPr>
          <w:szCs w:val="22"/>
          <w:lang w:val="sr-Latn-CS"/>
        </w:rPr>
        <w:t xml:space="preserve">krvarenja (BARC </w:t>
      </w:r>
      <w:r w:rsidR="009A3102" w:rsidRPr="00B22D20">
        <w:rPr>
          <w:szCs w:val="22"/>
          <w:lang w:val="sr-Latn-CS"/>
        </w:rPr>
        <w:t xml:space="preserve">stepen krvarenja </w:t>
      </w:r>
      <w:r w:rsidRPr="00B22D20">
        <w:rPr>
          <w:szCs w:val="22"/>
          <w:lang w:val="sr-Latn-CS"/>
        </w:rPr>
        <w:t xml:space="preserve">1 do 5) iznosila je 9% (114 događaja) u </w:t>
      </w:r>
      <w:r w:rsidR="009A3102" w:rsidRPr="00B22D20">
        <w:rPr>
          <w:szCs w:val="22"/>
          <w:lang w:val="sr-Latn-CS"/>
        </w:rPr>
        <w:t xml:space="preserve">grupi sa </w:t>
      </w:r>
      <w:r w:rsidRPr="00B22D20">
        <w:rPr>
          <w:szCs w:val="22"/>
          <w:lang w:val="sr-Latn-CS"/>
        </w:rPr>
        <w:t>vođeno</w:t>
      </w:r>
      <w:r w:rsidR="009A3102" w:rsidRPr="00B22D20">
        <w:rPr>
          <w:szCs w:val="22"/>
          <w:lang w:val="sr-Latn-CS"/>
        </w:rPr>
        <w:t xml:space="preserve">m </w:t>
      </w:r>
      <w:r w:rsidRPr="00B22D20">
        <w:rPr>
          <w:szCs w:val="22"/>
          <w:lang w:val="sr-Latn-CS"/>
        </w:rPr>
        <w:t>de-eskal</w:t>
      </w:r>
      <w:r w:rsidR="009A3102" w:rsidRPr="00B22D20">
        <w:rPr>
          <w:szCs w:val="22"/>
          <w:lang w:val="sr-Latn-CS"/>
        </w:rPr>
        <w:t xml:space="preserve">acijom u odnosu na </w:t>
      </w:r>
      <w:r w:rsidRPr="00B22D20">
        <w:rPr>
          <w:szCs w:val="22"/>
          <w:lang w:val="sr-Latn-CS"/>
        </w:rPr>
        <w:t>11% (137 događaja) u kontrolnoj grupi (p = 0,14).</w:t>
      </w:r>
    </w:p>
    <w:p w14:paraId="55EA16C9" w14:textId="157B66AD" w:rsidR="00474D89" w:rsidRPr="00B22D20" w:rsidRDefault="00474D89">
      <w:pPr>
        <w:pStyle w:val="Header"/>
        <w:tabs>
          <w:tab w:val="clear" w:pos="4536"/>
          <w:tab w:val="clear" w:pos="9072"/>
          <w:tab w:val="left" w:pos="284"/>
        </w:tabs>
        <w:spacing w:before="120"/>
        <w:rPr>
          <w:szCs w:val="22"/>
          <w:u w:val="single"/>
          <w:lang w:val="sr-Latn-CS"/>
        </w:rPr>
      </w:pPr>
      <w:r w:rsidRPr="00B22D20">
        <w:rPr>
          <w:szCs w:val="22"/>
          <w:u w:val="single"/>
          <w:lang w:val="sr-Latn-CS"/>
        </w:rPr>
        <w:t>DAPT (engl.</w:t>
      </w:r>
      <w:r w:rsidRPr="00B22D20">
        <w:rPr>
          <w:szCs w:val="22"/>
          <w:u w:val="single"/>
        </w:rPr>
        <w:t xml:space="preserve"> </w:t>
      </w:r>
      <w:r w:rsidRPr="00B22D20">
        <w:rPr>
          <w:i/>
          <w:iCs/>
          <w:szCs w:val="22"/>
          <w:u w:val="single"/>
          <w:lang w:val="sr-Latn-CS"/>
        </w:rPr>
        <w:t>Dual Antiplatelet Therapy</w:t>
      </w:r>
      <w:r w:rsidRPr="00B22D20">
        <w:rPr>
          <w:szCs w:val="22"/>
          <w:u w:val="single"/>
          <w:lang w:val="sr-Latn-CS"/>
        </w:rPr>
        <w:t xml:space="preserve"> - DAPT) kod akutnih blagih IMU ili </w:t>
      </w:r>
      <w:r w:rsidR="005772AE" w:rsidRPr="00B22D20">
        <w:rPr>
          <w:szCs w:val="22"/>
          <w:u w:val="single"/>
          <w:lang w:val="sr-Latn-CS"/>
        </w:rPr>
        <w:t xml:space="preserve">umjerenih do visokorizičnih </w:t>
      </w:r>
      <w:r w:rsidRPr="00B22D20">
        <w:rPr>
          <w:szCs w:val="22"/>
          <w:u w:val="single"/>
          <w:lang w:val="sr-Latn-CS"/>
        </w:rPr>
        <w:t xml:space="preserve">TIA </w:t>
      </w:r>
    </w:p>
    <w:p w14:paraId="1078EDCC" w14:textId="31F2514B" w:rsidR="00474D89" w:rsidRPr="00B22D20" w:rsidRDefault="00474D89">
      <w:pPr>
        <w:pStyle w:val="Header"/>
        <w:spacing w:before="120"/>
        <w:rPr>
          <w:szCs w:val="22"/>
          <w:lang w:val="sr-Latn-CS"/>
        </w:rPr>
      </w:pPr>
      <w:r w:rsidRPr="00B22D20">
        <w:rPr>
          <w:szCs w:val="22"/>
          <w:lang w:val="sr-Latn-CS"/>
        </w:rPr>
        <w:t xml:space="preserve">DAPT sa kombinacijom klopidogrela i ASK kao terapijom za prevenciju moždanog udara nakon akutnog manjeg IMU ili </w:t>
      </w:r>
      <w:r w:rsidR="005772AE" w:rsidRPr="00B22D20">
        <w:rPr>
          <w:szCs w:val="22"/>
          <w:lang w:val="sr-Latn-CS"/>
        </w:rPr>
        <w:t xml:space="preserve">umjerenog do visokorizičnog </w:t>
      </w:r>
      <w:r w:rsidRPr="00B22D20">
        <w:rPr>
          <w:szCs w:val="22"/>
          <w:lang w:val="sr-Latn-CS"/>
        </w:rPr>
        <w:t>TIA proc</w:t>
      </w:r>
      <w:r w:rsidR="00CA1C6C" w:rsidRPr="00B22D20">
        <w:rPr>
          <w:szCs w:val="22"/>
          <w:lang w:val="sr-Latn-CS"/>
        </w:rPr>
        <w:t>jenjivan</w:t>
      </w:r>
      <w:r w:rsidRPr="00B22D20">
        <w:rPr>
          <w:szCs w:val="22"/>
          <w:lang w:val="sr-Latn-CS"/>
        </w:rPr>
        <w:t xml:space="preserve">a je u dva randomizovana ispitivanja koja je </w:t>
      </w:r>
      <w:r w:rsidRPr="00B22D20">
        <w:rPr>
          <w:szCs w:val="22"/>
          <w:lang w:val="sr-Latn-CS"/>
        </w:rPr>
        <w:lastRenderedPageBreak/>
        <w:t xml:space="preserve">sponzorisao istraživač (engl. </w:t>
      </w:r>
      <w:r w:rsidRPr="00B22D20">
        <w:rPr>
          <w:i/>
          <w:iCs/>
          <w:szCs w:val="22"/>
          <w:lang w:val="sr-Latn-CS"/>
        </w:rPr>
        <w:t>investigator-sponsored studies</w:t>
      </w:r>
      <w:r w:rsidRPr="00B22D20">
        <w:rPr>
          <w:szCs w:val="22"/>
          <w:lang w:val="sr-Latn-CS"/>
        </w:rPr>
        <w:t xml:space="preserve"> - ISS) CHANCE i POINT- sa podacima o kliničkoj bezb</w:t>
      </w:r>
      <w:r w:rsidR="00695CD3" w:rsidRPr="00B22D20">
        <w:rPr>
          <w:szCs w:val="22"/>
          <w:lang w:val="sr-Latn-CS"/>
        </w:rPr>
        <w:t>j</w:t>
      </w:r>
      <w:r w:rsidRPr="00B22D20">
        <w:rPr>
          <w:szCs w:val="22"/>
          <w:lang w:val="sr-Latn-CS"/>
        </w:rPr>
        <w:t>ednosti i efikasnosti.</w:t>
      </w:r>
    </w:p>
    <w:p w14:paraId="0A47573F" w14:textId="11717B5E" w:rsidR="00474D89" w:rsidRPr="00B22D20" w:rsidRDefault="00474D89">
      <w:pPr>
        <w:pStyle w:val="Header"/>
        <w:spacing w:before="120"/>
        <w:rPr>
          <w:szCs w:val="22"/>
          <w:lang w:val="sr-Latn-CS"/>
        </w:rPr>
      </w:pPr>
      <w:r w:rsidRPr="00B22D20">
        <w:rPr>
          <w:b/>
          <w:bCs/>
          <w:szCs w:val="22"/>
          <w:lang w:val="sr-Latn-CS"/>
        </w:rPr>
        <w:t xml:space="preserve">CHANCE </w:t>
      </w:r>
      <w:r w:rsidRPr="00B22D20">
        <w:rPr>
          <w:szCs w:val="22"/>
          <w:lang w:val="sr-Latn-CS"/>
        </w:rPr>
        <w:t xml:space="preserve">(engl. </w:t>
      </w:r>
      <w:r w:rsidRPr="00B22D20">
        <w:rPr>
          <w:i/>
          <w:iCs/>
          <w:szCs w:val="22"/>
          <w:lang w:val="sr-Latn-CS"/>
        </w:rPr>
        <w:t>Clopidogrel in High-risk pa</w:t>
      </w:r>
      <w:r w:rsidR="005772AE" w:rsidRPr="00B22D20">
        <w:rPr>
          <w:i/>
          <w:iCs/>
          <w:szCs w:val="22"/>
          <w:lang w:val="sr-Latn-CS"/>
        </w:rPr>
        <w:t>tients</w:t>
      </w:r>
      <w:r w:rsidRPr="00B22D20">
        <w:rPr>
          <w:i/>
          <w:iCs/>
          <w:szCs w:val="22"/>
          <w:lang w:val="sr-Latn-CS"/>
        </w:rPr>
        <w:t xml:space="preserve"> with Acute Non-disabling Cerebrovascular Events</w:t>
      </w:r>
      <w:r w:rsidRPr="00B22D20">
        <w:rPr>
          <w:szCs w:val="22"/>
          <w:lang w:val="sr-Latn-CS"/>
        </w:rPr>
        <w:t>)</w:t>
      </w:r>
    </w:p>
    <w:p w14:paraId="6DEABED6" w14:textId="49967A59" w:rsidR="00474D89" w:rsidRPr="00B22D20" w:rsidRDefault="00474D89">
      <w:pPr>
        <w:pStyle w:val="Header"/>
        <w:spacing w:before="120"/>
        <w:rPr>
          <w:szCs w:val="22"/>
          <w:lang w:val="sr-Latn-CS"/>
        </w:rPr>
      </w:pPr>
      <w:bookmarkStart w:id="3" w:name="_Hlk63198126"/>
      <w:r w:rsidRPr="00B22D20">
        <w:rPr>
          <w:szCs w:val="22"/>
          <w:lang w:val="sr-Latn-CS"/>
        </w:rPr>
        <w:t>Ovo randomizovano, d</w:t>
      </w:r>
      <w:r w:rsidR="00D60C49" w:rsidRPr="00B22D20">
        <w:rPr>
          <w:szCs w:val="22"/>
          <w:lang w:val="sr-Latn-CS"/>
        </w:rPr>
        <w:t>vostruko</w:t>
      </w:r>
      <w:r w:rsidRPr="00B22D20">
        <w:rPr>
          <w:szCs w:val="22"/>
          <w:lang w:val="sr-Latn-CS"/>
        </w:rPr>
        <w:t xml:space="preserve"> sl</w:t>
      </w:r>
      <w:r w:rsidR="00695CD3" w:rsidRPr="00B22D20">
        <w:rPr>
          <w:szCs w:val="22"/>
          <w:lang w:val="sr-Latn-CS"/>
        </w:rPr>
        <w:t>ij</w:t>
      </w:r>
      <w:r w:rsidRPr="00B22D20">
        <w:rPr>
          <w:szCs w:val="22"/>
          <w:lang w:val="sr-Latn-CS"/>
        </w:rPr>
        <w:t xml:space="preserve">epo, multricentrično, placebom kontrolisano kliničko ispitivanje uključivalo </w:t>
      </w:r>
      <w:bookmarkEnd w:id="3"/>
      <w:r w:rsidRPr="00B22D20">
        <w:rPr>
          <w:szCs w:val="22"/>
          <w:lang w:val="sr-Latn-CS"/>
        </w:rPr>
        <w:t>je 5 170 pacijenata žute rase sa akutnim TIA (ABCD2 skor ≥</w:t>
      </w:r>
      <w:r w:rsidR="005772AE" w:rsidRPr="00B22D20">
        <w:rPr>
          <w:szCs w:val="22"/>
          <w:lang w:val="sr-Latn-CS"/>
        </w:rPr>
        <w:t xml:space="preserve"> </w:t>
      </w:r>
      <w:r w:rsidRPr="00B22D20">
        <w:rPr>
          <w:szCs w:val="22"/>
          <w:lang w:val="sr-Latn-CS"/>
        </w:rPr>
        <w:t>4) ili akutnim blagim moždanim udarom (NIHSS ≤</w:t>
      </w:r>
      <w:r w:rsidR="005772AE" w:rsidRPr="00B22D20">
        <w:rPr>
          <w:szCs w:val="22"/>
          <w:lang w:val="sr-Latn-CS"/>
        </w:rPr>
        <w:t xml:space="preserve"> </w:t>
      </w:r>
      <w:r w:rsidRPr="00B22D20">
        <w:rPr>
          <w:szCs w:val="22"/>
          <w:lang w:val="sr-Latn-CS"/>
        </w:rPr>
        <w:t xml:space="preserve">3). </w:t>
      </w:r>
      <w:bookmarkStart w:id="4" w:name="_Hlk63198231"/>
      <w:r w:rsidRPr="00B22D20">
        <w:rPr>
          <w:szCs w:val="22"/>
          <w:lang w:val="sr-Latn-CS"/>
        </w:rPr>
        <w:t>Pacijenti iz ob</w:t>
      </w:r>
      <w:r w:rsidR="005772AE" w:rsidRPr="00B22D20">
        <w:rPr>
          <w:szCs w:val="22"/>
          <w:lang w:val="sr-Latn-CS"/>
        </w:rPr>
        <w:t>i</w:t>
      </w:r>
      <w:r w:rsidR="00695CD3" w:rsidRPr="00B22D20">
        <w:rPr>
          <w:szCs w:val="22"/>
          <w:lang w:val="sr-Latn-CS"/>
        </w:rPr>
        <w:t>j</w:t>
      </w:r>
      <w:r w:rsidRPr="00B22D20">
        <w:rPr>
          <w:szCs w:val="22"/>
          <w:lang w:val="sr-Latn-CS"/>
        </w:rPr>
        <w:t xml:space="preserve">e grupe dobili su ASK 1. dana (doze su se kretale od </w:t>
      </w:r>
      <w:bookmarkEnd w:id="4"/>
      <w:r w:rsidRPr="00B22D20">
        <w:rPr>
          <w:szCs w:val="22"/>
          <w:lang w:val="sr-Latn-CS"/>
        </w:rPr>
        <w:t>75 mg do 300 mg u zavisnosti od slobodne proc</w:t>
      </w:r>
      <w:r w:rsidR="00380111" w:rsidRPr="00B22D20">
        <w:rPr>
          <w:szCs w:val="22"/>
          <w:lang w:val="sr-Latn-CS"/>
        </w:rPr>
        <w:t>j</w:t>
      </w:r>
      <w:r w:rsidRPr="00B22D20">
        <w:rPr>
          <w:szCs w:val="22"/>
          <w:lang w:val="sr-Latn-CS"/>
        </w:rPr>
        <w:t>ene l</w:t>
      </w:r>
      <w:r w:rsidR="00380111" w:rsidRPr="00B22D20">
        <w:rPr>
          <w:szCs w:val="22"/>
          <w:lang w:val="sr-Latn-CS"/>
        </w:rPr>
        <w:t>j</w:t>
      </w:r>
      <w:r w:rsidRPr="00B22D20">
        <w:rPr>
          <w:szCs w:val="22"/>
          <w:lang w:val="sr-Latn-CS"/>
        </w:rPr>
        <w:t>ekara). Pacijenti koji su randomizovani u klopidogrel-ASK grupu primili su udarnu dozu od 300 mg klopidogrela prvog dana</w:t>
      </w:r>
      <w:r w:rsidR="00D60C49" w:rsidRPr="00B22D20">
        <w:rPr>
          <w:szCs w:val="22"/>
          <w:lang w:val="sr-Latn-CS"/>
        </w:rPr>
        <w:t>,</w:t>
      </w:r>
      <w:r w:rsidRPr="00B22D20">
        <w:rPr>
          <w:szCs w:val="22"/>
          <w:lang w:val="sr-Latn-CS"/>
        </w:rPr>
        <w:t xml:space="preserve"> a</w:t>
      </w:r>
      <w:bookmarkStart w:id="5" w:name="_Hlk63198401"/>
      <w:r w:rsidRPr="00B22D20">
        <w:rPr>
          <w:szCs w:val="22"/>
          <w:lang w:val="sr-Latn-CS"/>
        </w:rPr>
        <w:t xml:space="preserve"> od 2. do 90.</w:t>
      </w:r>
      <w:r w:rsidR="005772AE" w:rsidRPr="00B22D20">
        <w:rPr>
          <w:szCs w:val="22"/>
          <w:lang w:val="sr-Latn-CS"/>
        </w:rPr>
        <w:t xml:space="preserve"> </w:t>
      </w:r>
      <w:r w:rsidRPr="00B22D20">
        <w:rPr>
          <w:szCs w:val="22"/>
          <w:lang w:val="sr-Latn-CS"/>
        </w:rPr>
        <w:t xml:space="preserve">dana su primali doze od 75 mg klopidogrela jednom dnevno </w:t>
      </w:r>
      <w:bookmarkEnd w:id="5"/>
      <w:r w:rsidRPr="00B22D20">
        <w:rPr>
          <w:szCs w:val="22"/>
          <w:lang w:val="sr-Latn-CS"/>
        </w:rPr>
        <w:t>i ASK u dozi od 75 mg na dan od 2. do 21. dana. Pacijenti randomizovani u ASK grupu dobijali su placebo verziju klopidogrela od 1. do 90. dana i ASK u dozi od 75 mg dnevno od 2. do 90.</w:t>
      </w:r>
      <w:r w:rsidR="006A1EE9" w:rsidRPr="00B22D20">
        <w:rPr>
          <w:szCs w:val="22"/>
          <w:lang w:val="sr-Latn-CS"/>
        </w:rPr>
        <w:t xml:space="preserve"> </w:t>
      </w:r>
      <w:r w:rsidRPr="00B22D20">
        <w:rPr>
          <w:szCs w:val="22"/>
          <w:lang w:val="sr-Latn-CS"/>
        </w:rPr>
        <w:t>dana.</w:t>
      </w:r>
    </w:p>
    <w:p w14:paraId="61A8055C" w14:textId="0C15CB64" w:rsidR="00474D89" w:rsidRPr="00B22D20" w:rsidRDefault="00474D89">
      <w:pPr>
        <w:pStyle w:val="Header"/>
        <w:spacing w:before="120"/>
        <w:rPr>
          <w:szCs w:val="22"/>
          <w:lang w:val="sr-Latn-CS"/>
        </w:rPr>
      </w:pPr>
      <w:bookmarkStart w:id="6" w:name="_Hlk63198677"/>
      <w:r w:rsidRPr="00B22D20">
        <w:rPr>
          <w:szCs w:val="22"/>
          <w:lang w:val="sr-Latn-CS"/>
        </w:rPr>
        <w:t>Primarni ishod efiksnosti je bio bilo koji novi moždani udar (</w:t>
      </w:r>
      <w:bookmarkEnd w:id="6"/>
      <w:r w:rsidRPr="00B22D20">
        <w:rPr>
          <w:szCs w:val="22"/>
          <w:lang w:val="sr-Latn-CS"/>
        </w:rPr>
        <w:t xml:space="preserve">ishemijski ili hemoragijski) u prvih 90 dana nakon blagog IMU ili </w:t>
      </w:r>
      <w:r w:rsidR="002A7E0C" w:rsidRPr="00B22D20">
        <w:rPr>
          <w:szCs w:val="22"/>
          <w:lang w:val="sr-Latn-CS"/>
        </w:rPr>
        <w:t xml:space="preserve">visokorizičnog </w:t>
      </w:r>
      <w:r w:rsidRPr="00B22D20">
        <w:rPr>
          <w:szCs w:val="22"/>
          <w:lang w:val="sr-Latn-CS"/>
        </w:rPr>
        <w:t>TIA. On se pojavio kod 212 pacijenata (8.2%) u klopidogrel-ASK grupi u odnosu na 303 pacijenta (11.7%) u ASK grupi (</w:t>
      </w:r>
      <w:r w:rsidR="00D60C49" w:rsidRPr="00B22D20">
        <w:rPr>
          <w:i/>
          <w:szCs w:val="22"/>
          <w:lang w:val="sr-Latn-CS"/>
        </w:rPr>
        <w:t>odnos rizika</w:t>
      </w:r>
      <w:r w:rsidRPr="00B22D20">
        <w:rPr>
          <w:szCs w:val="22"/>
          <w:lang w:val="sr-Latn-CS"/>
        </w:rPr>
        <w:t xml:space="preserve"> [HR], 0.68; 95% interval pouzdanosti [CI], 0.57 do 0.81; P</w:t>
      </w:r>
      <w:r w:rsidR="00CA1C6C" w:rsidRPr="00B22D20">
        <w:rPr>
          <w:szCs w:val="22"/>
          <w:lang w:val="sr-Latn-CS"/>
        </w:rPr>
        <w:t xml:space="preserve"> </w:t>
      </w:r>
      <w:r w:rsidRPr="00B22D20">
        <w:rPr>
          <w:szCs w:val="22"/>
          <w:lang w:val="sr-Latn-CS"/>
        </w:rPr>
        <w:t>&lt;</w:t>
      </w:r>
      <w:r w:rsidR="00CA1C6C" w:rsidRPr="00B22D20">
        <w:rPr>
          <w:szCs w:val="22"/>
          <w:lang w:val="sr-Latn-CS"/>
        </w:rPr>
        <w:t xml:space="preserve"> </w:t>
      </w:r>
      <w:r w:rsidRPr="00B22D20">
        <w:rPr>
          <w:szCs w:val="22"/>
          <w:lang w:val="sr-Latn-CS"/>
        </w:rPr>
        <w:t>0.001). IMU se pojavio kod 204 pacijenta (7.9%) u klopidogrel–ASK grupi u odnosu na 295 (11.4%) u ASK grupi (HR, 0.67; 95% CI, 0.56 do 0.81; P&lt;0.001).</w:t>
      </w:r>
    </w:p>
    <w:p w14:paraId="5FD74EDE" w14:textId="3B2882CF" w:rsidR="00474D89" w:rsidRPr="00B22D20" w:rsidRDefault="00474D89">
      <w:pPr>
        <w:pStyle w:val="Header"/>
        <w:spacing w:before="120"/>
        <w:rPr>
          <w:szCs w:val="22"/>
          <w:lang w:val="sr-Latn-CS"/>
        </w:rPr>
      </w:pPr>
      <w:r w:rsidRPr="00B22D20">
        <w:rPr>
          <w:szCs w:val="22"/>
          <w:lang w:val="sr-Latn-CS"/>
        </w:rPr>
        <w:t>Hemoragijski moždani udar dogodio se kod 8 pacijenata u svakoj od dv</w:t>
      </w:r>
      <w:r w:rsidR="003E3986" w:rsidRPr="00B22D20">
        <w:rPr>
          <w:szCs w:val="22"/>
          <w:lang w:val="sr-Latn-CS"/>
        </w:rPr>
        <w:t>ij</w:t>
      </w:r>
      <w:r w:rsidRPr="00B22D20">
        <w:rPr>
          <w:szCs w:val="22"/>
          <w:lang w:val="sr-Latn-CS"/>
        </w:rPr>
        <w:t>e ispitivačke grupe (0.3% u svakoj grupi).</w:t>
      </w:r>
      <w:r w:rsidR="00E81BE6" w:rsidRPr="00B22D20">
        <w:rPr>
          <w:szCs w:val="22"/>
          <w:lang w:val="sr-Latn-CS"/>
        </w:rPr>
        <w:t xml:space="preserve"> </w:t>
      </w:r>
      <w:r w:rsidRPr="00B22D20">
        <w:rPr>
          <w:szCs w:val="22"/>
          <w:lang w:val="sr-Latn-CS"/>
        </w:rPr>
        <w:t>Um</w:t>
      </w:r>
      <w:r w:rsidR="003E3986" w:rsidRPr="00B22D20">
        <w:rPr>
          <w:szCs w:val="22"/>
          <w:lang w:val="sr-Latn-CS"/>
        </w:rPr>
        <w:t>j</w:t>
      </w:r>
      <w:r w:rsidRPr="00B22D20">
        <w:rPr>
          <w:szCs w:val="22"/>
          <w:lang w:val="sr-Latn-CS"/>
        </w:rPr>
        <w:t>erena ili ozbil</w:t>
      </w:r>
      <w:r w:rsidR="002A7E0C" w:rsidRPr="00B22D20">
        <w:rPr>
          <w:szCs w:val="22"/>
          <w:lang w:val="sr-Latn-CS"/>
        </w:rPr>
        <w:t>j</w:t>
      </w:r>
      <w:r w:rsidRPr="00B22D20">
        <w:rPr>
          <w:szCs w:val="22"/>
          <w:lang w:val="sr-Latn-CS"/>
        </w:rPr>
        <w:t>na krvarenja pojavila su se kod sedam pacijenata (0.3%) u klopidogrel–ASK grupi i kod osam (0.3%) u ASK grupi (P = 0.73). Stopa pojave bilo kog krvarenja je bila 2.3% u klopidogrel–ASK grupi u odnosu na 1.6% u ASK grupi (HR, 1.41; 95% CI, 0.95 do 2.10; P = 0.09).</w:t>
      </w:r>
    </w:p>
    <w:p w14:paraId="61F97AEE" w14:textId="77777777" w:rsidR="00474D89" w:rsidRPr="00B22D20" w:rsidRDefault="00474D89">
      <w:pPr>
        <w:pStyle w:val="Header"/>
        <w:spacing w:before="120"/>
        <w:rPr>
          <w:szCs w:val="22"/>
          <w:lang w:val="sr-Latn-CS"/>
        </w:rPr>
      </w:pPr>
      <w:r w:rsidRPr="00B22D20">
        <w:rPr>
          <w:b/>
          <w:bCs/>
          <w:szCs w:val="22"/>
          <w:lang w:val="sr-Latn-CS"/>
        </w:rPr>
        <w:t xml:space="preserve">POINT </w:t>
      </w:r>
      <w:r w:rsidRPr="00B22D20">
        <w:rPr>
          <w:szCs w:val="22"/>
          <w:lang w:val="sr-Latn-CS"/>
        </w:rPr>
        <w:t xml:space="preserve">(engl. </w:t>
      </w:r>
      <w:r w:rsidRPr="00B22D20">
        <w:rPr>
          <w:i/>
          <w:iCs/>
          <w:szCs w:val="22"/>
          <w:lang w:val="sr-Latn-CS"/>
        </w:rPr>
        <w:t>Platelet-Oriented Inhibition in New TIA and Minor Ischemic Stroke</w:t>
      </w:r>
      <w:r w:rsidRPr="00B22D20">
        <w:rPr>
          <w:szCs w:val="22"/>
          <w:lang w:val="sr-Latn-CS"/>
        </w:rPr>
        <w:t>)</w:t>
      </w:r>
    </w:p>
    <w:p w14:paraId="3AEDE5F6" w14:textId="2B6C4667" w:rsidR="00474D89" w:rsidRPr="00B22D20" w:rsidRDefault="00474D89">
      <w:pPr>
        <w:pStyle w:val="Header"/>
        <w:spacing w:before="120"/>
        <w:rPr>
          <w:szCs w:val="22"/>
          <w:lang w:val="sr-Latn-CS"/>
        </w:rPr>
      </w:pPr>
      <w:r w:rsidRPr="00B22D20">
        <w:rPr>
          <w:szCs w:val="22"/>
          <w:lang w:val="sr-Latn-CS"/>
        </w:rPr>
        <w:t>Ovo randomizovano, d</w:t>
      </w:r>
      <w:r w:rsidR="002A7E0C" w:rsidRPr="00B22D20">
        <w:rPr>
          <w:szCs w:val="22"/>
          <w:lang w:val="sr-Latn-CS"/>
        </w:rPr>
        <w:t>vostruko</w:t>
      </w:r>
      <w:r w:rsidRPr="00B22D20">
        <w:rPr>
          <w:szCs w:val="22"/>
          <w:lang w:val="sr-Latn-CS"/>
        </w:rPr>
        <w:t xml:space="preserve"> sl</w:t>
      </w:r>
      <w:r w:rsidR="003E3986" w:rsidRPr="00B22D20">
        <w:rPr>
          <w:szCs w:val="22"/>
          <w:lang w:val="sr-Latn-CS"/>
        </w:rPr>
        <w:t>ij</w:t>
      </w:r>
      <w:r w:rsidRPr="00B22D20">
        <w:rPr>
          <w:szCs w:val="22"/>
          <w:lang w:val="sr-Latn-CS"/>
        </w:rPr>
        <w:t>epo, multricentrično, placebom kontrolisano kliničko ispitivanje uključivalo je 4 881 internacionalnih pacijenta sa akutnim TIA (ABCD2 skor ≥</w:t>
      </w:r>
      <w:r w:rsidR="002A7E0C" w:rsidRPr="00B22D20">
        <w:rPr>
          <w:szCs w:val="22"/>
          <w:lang w:val="sr-Latn-CS"/>
        </w:rPr>
        <w:t xml:space="preserve"> </w:t>
      </w:r>
      <w:r w:rsidRPr="00B22D20">
        <w:rPr>
          <w:szCs w:val="22"/>
          <w:lang w:val="sr-Latn-CS"/>
        </w:rPr>
        <w:t>4) ili blagim moždanim udarom (NIHSS ≤3).  Pacijenti iz ob</w:t>
      </w:r>
      <w:r w:rsidR="0041480F" w:rsidRPr="00B22D20">
        <w:rPr>
          <w:szCs w:val="22"/>
          <w:lang w:val="sr-Latn-CS"/>
        </w:rPr>
        <w:t>i</w:t>
      </w:r>
      <w:r w:rsidR="00E44C33" w:rsidRPr="00B22D20">
        <w:rPr>
          <w:szCs w:val="22"/>
          <w:lang w:val="sr-Latn-CS"/>
        </w:rPr>
        <w:t>j</w:t>
      </w:r>
      <w:r w:rsidRPr="00B22D20">
        <w:rPr>
          <w:szCs w:val="22"/>
          <w:lang w:val="sr-Latn-CS"/>
        </w:rPr>
        <w:t>e grupe dobijali su ASK od 1. do 90. dana (doze su se kretale od 50-325 mg u zavisnosti od slobodne proc</w:t>
      </w:r>
      <w:r w:rsidR="00E44C33" w:rsidRPr="00B22D20">
        <w:rPr>
          <w:szCs w:val="22"/>
          <w:lang w:val="sr-Latn-CS"/>
        </w:rPr>
        <w:t>j</w:t>
      </w:r>
      <w:r w:rsidRPr="00B22D20">
        <w:rPr>
          <w:szCs w:val="22"/>
          <w:lang w:val="sr-Latn-CS"/>
        </w:rPr>
        <w:t>ene l</w:t>
      </w:r>
      <w:r w:rsidR="00E44C33" w:rsidRPr="00B22D20">
        <w:rPr>
          <w:szCs w:val="22"/>
          <w:lang w:val="sr-Latn-CS"/>
        </w:rPr>
        <w:t>j</w:t>
      </w:r>
      <w:r w:rsidRPr="00B22D20">
        <w:rPr>
          <w:szCs w:val="22"/>
          <w:lang w:val="sr-Latn-CS"/>
        </w:rPr>
        <w:t xml:space="preserve">ekara). Pacijenti koji su randomizovani u klopidogrel </w:t>
      </w:r>
      <w:r w:rsidR="0041480F" w:rsidRPr="00B22D20">
        <w:rPr>
          <w:szCs w:val="22"/>
          <w:lang w:val="sr-Latn-CS"/>
        </w:rPr>
        <w:t xml:space="preserve">grupi </w:t>
      </w:r>
      <w:r w:rsidRPr="00B22D20">
        <w:rPr>
          <w:szCs w:val="22"/>
          <w:lang w:val="sr-Latn-CS"/>
        </w:rPr>
        <w:t>dobili su udarnu dozu od 600 mg klopidogrela 1.</w:t>
      </w:r>
      <w:r w:rsidR="006A1EE9" w:rsidRPr="00B22D20">
        <w:rPr>
          <w:szCs w:val="22"/>
          <w:lang w:val="sr-Latn-CS"/>
        </w:rPr>
        <w:t xml:space="preserve"> </w:t>
      </w:r>
      <w:r w:rsidRPr="00B22D20">
        <w:rPr>
          <w:szCs w:val="22"/>
          <w:lang w:val="sr-Latn-CS"/>
        </w:rPr>
        <w:t xml:space="preserve">dana, a od 2. do 90. dana su primali doze od 75 mg klopidogrela jednom dnevno. Pacijenti koji su randomizovani u placebo </w:t>
      </w:r>
      <w:r w:rsidR="002A7E0C" w:rsidRPr="00B22D20">
        <w:rPr>
          <w:szCs w:val="22"/>
          <w:lang w:val="sr-Latn-CS"/>
        </w:rPr>
        <w:t>grup</w:t>
      </w:r>
      <w:r w:rsidR="0041480F" w:rsidRPr="00B22D20">
        <w:rPr>
          <w:szCs w:val="22"/>
          <w:lang w:val="sr-Latn-CS"/>
        </w:rPr>
        <w:t>i</w:t>
      </w:r>
      <w:r w:rsidRPr="00B22D20">
        <w:rPr>
          <w:szCs w:val="22"/>
          <w:lang w:val="sr-Latn-CS"/>
        </w:rPr>
        <w:t xml:space="preserve"> dobijali su klopidogrel placebo od 1. do 90. dana.</w:t>
      </w:r>
    </w:p>
    <w:p w14:paraId="539BDE9D" w14:textId="73D599BC" w:rsidR="00474D89" w:rsidRPr="00B22D20" w:rsidRDefault="00474D89">
      <w:pPr>
        <w:pStyle w:val="Header"/>
        <w:spacing w:before="120"/>
        <w:rPr>
          <w:szCs w:val="22"/>
          <w:lang w:val="sr-Latn-CS"/>
        </w:rPr>
      </w:pPr>
      <w:r w:rsidRPr="00B22D20">
        <w:rPr>
          <w:szCs w:val="22"/>
          <w:lang w:val="sr-Latn-CS"/>
        </w:rPr>
        <w:t>Primarni ishod efikasnosti je bio neki od velikih ishemijsih događaja (IMU, MI ili smrt usl</w:t>
      </w:r>
      <w:r w:rsidR="00E44C33" w:rsidRPr="00B22D20">
        <w:rPr>
          <w:szCs w:val="22"/>
          <w:lang w:val="sr-Latn-CS"/>
        </w:rPr>
        <w:t>j</w:t>
      </w:r>
      <w:r w:rsidRPr="00B22D20">
        <w:rPr>
          <w:szCs w:val="22"/>
          <w:lang w:val="sr-Latn-CS"/>
        </w:rPr>
        <w:t>ed ishemijskog vaskularnog događaja) u 90. danu. On se pojavio kod 121 pacijenta (5.0%) koji su uzimali klopidogrel plus ASK u poređenju sa 160 pacijenata (6.5%) koji su uzimali samo ASK (HR, 0.75; 95% CI, 0.59 do 0.95; P =</w:t>
      </w:r>
    </w:p>
    <w:p w14:paraId="1DB81B7B" w14:textId="2B5B6736" w:rsidR="00474D89" w:rsidRPr="00B22D20" w:rsidRDefault="00474D89">
      <w:pPr>
        <w:pStyle w:val="Header"/>
        <w:rPr>
          <w:szCs w:val="22"/>
          <w:lang w:val="sr-Latn-CS"/>
        </w:rPr>
      </w:pPr>
      <w:r w:rsidRPr="00B22D20">
        <w:rPr>
          <w:szCs w:val="22"/>
          <w:lang w:val="sr-Latn-CS"/>
        </w:rPr>
        <w:t>0.02). Sekundarni ishod efikasnosti, IMU, pojavio se kod 112 pacijenata (4.6%) koji su uzimali klopidogrel plus ASK u odnosu na 155 pacijenata (6.3%) koji su uzimali samo ASK (HR, 0.72; 95% CI, 0.56 do 0.92; P = 0.01). Primarni ishod bezb</w:t>
      </w:r>
      <w:r w:rsidR="0079182F" w:rsidRPr="00B22D20">
        <w:rPr>
          <w:szCs w:val="22"/>
          <w:lang w:val="sr-Latn-CS"/>
        </w:rPr>
        <w:t>j</w:t>
      </w:r>
      <w:r w:rsidRPr="00B22D20">
        <w:rPr>
          <w:szCs w:val="22"/>
          <w:lang w:val="sr-Latn-CS"/>
        </w:rPr>
        <w:t>ednosti, velik</w:t>
      </w:r>
      <w:r w:rsidR="0052553A" w:rsidRPr="00B22D20">
        <w:rPr>
          <w:szCs w:val="22"/>
          <w:lang w:val="sr-Latn-CS"/>
        </w:rPr>
        <w:t>o</w:t>
      </w:r>
      <w:r w:rsidRPr="00B22D20">
        <w:rPr>
          <w:szCs w:val="22"/>
          <w:lang w:val="sr-Latn-CS"/>
        </w:rPr>
        <w:t xml:space="preserve"> krvarenj</w:t>
      </w:r>
      <w:r w:rsidR="0052553A" w:rsidRPr="00B22D20">
        <w:rPr>
          <w:szCs w:val="22"/>
          <w:lang w:val="sr-Latn-CS"/>
        </w:rPr>
        <w:t>e</w:t>
      </w:r>
      <w:r w:rsidRPr="00B22D20">
        <w:rPr>
          <w:szCs w:val="22"/>
          <w:lang w:val="sr-Latn-CS"/>
        </w:rPr>
        <w:t>, pojavio se kod 23 od 2 432 pacijenta (0.9%) koji su uzimali klopidogrel plus ASK i kod 10 od 2 449 pacijenata (0.4%) koji su uzimali samo ASK (HR, 2.32; 95% CI, 1.10 do 4.87; P = 0.02). Ma</w:t>
      </w:r>
      <w:r w:rsidR="0052553A" w:rsidRPr="00B22D20">
        <w:rPr>
          <w:szCs w:val="22"/>
          <w:lang w:val="sr-Latn-CS"/>
        </w:rPr>
        <w:t>nje</w:t>
      </w:r>
      <w:r w:rsidRPr="00B22D20">
        <w:rPr>
          <w:szCs w:val="22"/>
          <w:lang w:val="sr-Latn-CS"/>
        </w:rPr>
        <w:t xml:space="preserve"> krvarenj</w:t>
      </w:r>
      <w:r w:rsidR="0052553A" w:rsidRPr="00B22D20">
        <w:rPr>
          <w:szCs w:val="22"/>
          <w:lang w:val="sr-Latn-CS"/>
        </w:rPr>
        <w:t>e</w:t>
      </w:r>
      <w:r w:rsidRPr="00B22D20">
        <w:rPr>
          <w:szCs w:val="22"/>
          <w:lang w:val="sr-Latn-CS"/>
        </w:rPr>
        <w:t xml:space="preserve"> pojavil</w:t>
      </w:r>
      <w:r w:rsidR="0052553A" w:rsidRPr="00B22D20">
        <w:rPr>
          <w:szCs w:val="22"/>
          <w:lang w:val="sr-Latn-CS"/>
        </w:rPr>
        <w:t>o</w:t>
      </w:r>
      <w:r w:rsidRPr="00B22D20">
        <w:rPr>
          <w:szCs w:val="22"/>
          <w:lang w:val="sr-Latn-CS"/>
        </w:rPr>
        <w:t xml:space="preserve"> se kod 40 pacijenata (1.6%) koji su uzimali klopidogrel plus ASK i kod 13 (0.5%) koji su uzimali samo ASK (HR, 3.12; 95% CI, 1.67 do 5.83; P = 0.001).</w:t>
      </w:r>
    </w:p>
    <w:p w14:paraId="3B030D7C" w14:textId="6C935AA8" w:rsidR="00474D89" w:rsidRPr="00B22D20" w:rsidRDefault="0052553A">
      <w:pPr>
        <w:pStyle w:val="Header"/>
        <w:spacing w:before="120"/>
        <w:rPr>
          <w:szCs w:val="22"/>
          <w:lang w:val="sr-Latn-CS"/>
        </w:rPr>
      </w:pPr>
      <w:r w:rsidRPr="00B22D20">
        <w:rPr>
          <w:szCs w:val="22"/>
          <w:lang w:val="sr-Latn-CS"/>
        </w:rPr>
        <w:t xml:space="preserve">Analiza vremenske raspodjele u ispitivanjima </w:t>
      </w:r>
      <w:r w:rsidR="00474D89" w:rsidRPr="00B22D20">
        <w:rPr>
          <w:szCs w:val="22"/>
          <w:lang w:val="sr-Latn-CS"/>
        </w:rPr>
        <w:t xml:space="preserve">CHANCE i POINT </w:t>
      </w:r>
    </w:p>
    <w:p w14:paraId="30CE3390" w14:textId="4EEC14BC" w:rsidR="00533740" w:rsidRPr="00B22D20" w:rsidRDefault="00533740">
      <w:pPr>
        <w:pStyle w:val="Header"/>
        <w:spacing w:before="120"/>
        <w:rPr>
          <w:szCs w:val="22"/>
          <w:lang w:val="sr-Latn-CS"/>
        </w:rPr>
      </w:pPr>
      <w:r w:rsidRPr="00B22D20">
        <w:rPr>
          <w:szCs w:val="22"/>
          <w:lang w:val="sr-Latn-CS"/>
        </w:rPr>
        <w:t>Nastavak dualne anti</w:t>
      </w:r>
      <w:r w:rsidR="00B80831" w:rsidRPr="00B22D20">
        <w:rPr>
          <w:szCs w:val="22"/>
          <w:lang w:val="sr-Latn-CS"/>
        </w:rPr>
        <w:t>agregacione terapije duže od 21</w:t>
      </w:r>
      <w:r w:rsidRPr="00B22D20">
        <w:rPr>
          <w:szCs w:val="22"/>
          <w:lang w:val="sr-Latn-CS"/>
        </w:rPr>
        <w:t xml:space="preserve"> dana nije pokazao korist u pogledu efikasnosti. </w:t>
      </w:r>
      <w:r w:rsidR="00B80831" w:rsidRPr="00B22D20">
        <w:rPr>
          <w:szCs w:val="22"/>
          <w:lang w:val="sr-Latn-CS"/>
        </w:rPr>
        <w:t>Vremenski r</w:t>
      </w:r>
      <w:r w:rsidRPr="00B22D20">
        <w:rPr>
          <w:szCs w:val="22"/>
          <w:lang w:val="sr-Latn-CS"/>
        </w:rPr>
        <w:t xml:space="preserve">aspored velikih ishemijskih događaja </w:t>
      </w:r>
      <w:r w:rsidR="00B80831" w:rsidRPr="00B22D20">
        <w:rPr>
          <w:szCs w:val="22"/>
          <w:lang w:val="sr-Latn-CS"/>
        </w:rPr>
        <w:t>i velikog krvarenja</w:t>
      </w:r>
      <w:r w:rsidRPr="00B22D20">
        <w:rPr>
          <w:szCs w:val="22"/>
          <w:lang w:val="sr-Latn-CS"/>
        </w:rPr>
        <w:t>, prema dodijeljenom tretmanu napravljen je kako bi se analizirao efekat kratkoročne vremenske raspodjele dualne antiagregacione terapije.</w:t>
      </w:r>
    </w:p>
    <w:p w14:paraId="591D661F" w14:textId="7ADB2993" w:rsidR="00474D89" w:rsidRPr="00B22D20" w:rsidRDefault="00474D89">
      <w:pPr>
        <w:pStyle w:val="Header"/>
        <w:spacing w:before="120" w:after="120"/>
        <w:rPr>
          <w:b/>
          <w:bCs/>
          <w:szCs w:val="22"/>
          <w:lang w:val="sr-Latn-CS"/>
        </w:rPr>
      </w:pPr>
      <w:r w:rsidRPr="00B22D20">
        <w:rPr>
          <w:b/>
          <w:bCs/>
          <w:szCs w:val="22"/>
          <w:lang w:val="sr-Latn-CS"/>
        </w:rPr>
        <w:t>Tabela 1- Prikaz velikih ishemijskih događaja i velikih krvarenja po ned</w:t>
      </w:r>
      <w:r w:rsidR="00E36151" w:rsidRPr="00B22D20">
        <w:rPr>
          <w:b/>
          <w:bCs/>
          <w:szCs w:val="22"/>
          <w:lang w:val="sr-Latn-CS"/>
        </w:rPr>
        <w:t>j</w:t>
      </w:r>
      <w:r w:rsidRPr="00B22D20">
        <w:rPr>
          <w:b/>
          <w:bCs/>
          <w:szCs w:val="22"/>
          <w:lang w:val="sr-Latn-CS"/>
        </w:rPr>
        <w:t>eljama u odnosu na dod</w:t>
      </w:r>
      <w:r w:rsidR="00D64EE6" w:rsidRPr="00B22D20">
        <w:rPr>
          <w:b/>
          <w:bCs/>
          <w:szCs w:val="22"/>
          <w:lang w:val="sr-Latn-CS"/>
        </w:rPr>
        <w:t>ij</w:t>
      </w:r>
      <w:r w:rsidRPr="00B22D20">
        <w:rPr>
          <w:b/>
          <w:bCs/>
          <w:szCs w:val="22"/>
          <w:lang w:val="sr-Latn-CS"/>
        </w:rPr>
        <w:t>eljene terapije - objedinjena analiza</w:t>
      </w:r>
    </w:p>
    <w:tbl>
      <w:tblPr>
        <w:tblStyle w:val="TableGrid"/>
        <w:tblW w:w="7735" w:type="dxa"/>
        <w:jc w:val="center"/>
        <w:tblLayout w:type="fixed"/>
        <w:tblLook w:val="04A0" w:firstRow="1" w:lastRow="0" w:firstColumn="1" w:lastColumn="0" w:noHBand="0" w:noVBand="1"/>
      </w:tblPr>
      <w:tblGrid>
        <w:gridCol w:w="1314"/>
        <w:gridCol w:w="2145"/>
        <w:gridCol w:w="946"/>
        <w:gridCol w:w="1080"/>
        <w:gridCol w:w="1080"/>
        <w:gridCol w:w="1170"/>
      </w:tblGrid>
      <w:tr w:rsidR="00474D89" w:rsidRPr="00C25676" w14:paraId="5052887C" w14:textId="77777777" w:rsidTr="00E72A47">
        <w:trPr>
          <w:jc w:val="center"/>
        </w:trPr>
        <w:tc>
          <w:tcPr>
            <w:tcW w:w="7735" w:type="dxa"/>
            <w:gridSpan w:val="6"/>
          </w:tcPr>
          <w:p w14:paraId="57E39185" w14:textId="77777777" w:rsidR="00474D89" w:rsidRPr="00B22D20" w:rsidRDefault="00474D89">
            <w:pPr>
              <w:pStyle w:val="Header"/>
              <w:spacing w:before="120"/>
              <w:rPr>
                <w:szCs w:val="22"/>
              </w:rPr>
            </w:pPr>
            <w:r w:rsidRPr="00B22D20">
              <w:rPr>
                <w:szCs w:val="22"/>
              </w:rPr>
              <w:t>Broj događaja</w:t>
            </w:r>
          </w:p>
        </w:tc>
      </w:tr>
      <w:tr w:rsidR="007266D0" w:rsidRPr="00C25676" w14:paraId="3D2A03D4" w14:textId="77777777" w:rsidTr="00E72A47">
        <w:trPr>
          <w:jc w:val="center"/>
        </w:trPr>
        <w:tc>
          <w:tcPr>
            <w:tcW w:w="1314" w:type="dxa"/>
          </w:tcPr>
          <w:p w14:paraId="094AEFD7"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Ishodi objedinjeno CHANCE i POINT</w:t>
            </w:r>
          </w:p>
        </w:tc>
        <w:tc>
          <w:tcPr>
            <w:tcW w:w="2145" w:type="dxa"/>
          </w:tcPr>
          <w:p w14:paraId="1ADFC913" w14:textId="07D8D838"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Dodjeljena terapija</w:t>
            </w:r>
          </w:p>
        </w:tc>
        <w:tc>
          <w:tcPr>
            <w:tcW w:w="946" w:type="dxa"/>
          </w:tcPr>
          <w:p w14:paraId="163199B3"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Ukupan broj</w:t>
            </w:r>
          </w:p>
        </w:tc>
        <w:tc>
          <w:tcPr>
            <w:tcW w:w="1080" w:type="dxa"/>
          </w:tcPr>
          <w:p w14:paraId="07E2198F" w14:textId="24EB8435"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1.nedjelja</w:t>
            </w:r>
          </w:p>
        </w:tc>
        <w:tc>
          <w:tcPr>
            <w:tcW w:w="1080" w:type="dxa"/>
          </w:tcPr>
          <w:p w14:paraId="07FB38E7" w14:textId="2468078D"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2.nedjelj</w:t>
            </w:r>
            <w:r w:rsidR="00E72A47" w:rsidRPr="00B22D20">
              <w:rPr>
                <w:szCs w:val="22"/>
                <w:lang w:val="sr-Latn-RS"/>
              </w:rPr>
              <w:t>a</w:t>
            </w:r>
          </w:p>
        </w:tc>
        <w:tc>
          <w:tcPr>
            <w:tcW w:w="1170" w:type="dxa"/>
          </w:tcPr>
          <w:p w14:paraId="4BC2A100" w14:textId="6CD67691"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3.nedjelj</w:t>
            </w:r>
            <w:r w:rsidR="00E72A47" w:rsidRPr="00B22D20">
              <w:rPr>
                <w:szCs w:val="22"/>
                <w:lang w:val="sr-Latn-RS"/>
              </w:rPr>
              <w:t>a</w:t>
            </w:r>
          </w:p>
        </w:tc>
      </w:tr>
      <w:tr w:rsidR="007266D0" w:rsidRPr="00C25676" w14:paraId="48746F58" w14:textId="77777777" w:rsidTr="00E72A47">
        <w:trPr>
          <w:trHeight w:val="983"/>
          <w:jc w:val="center"/>
        </w:trPr>
        <w:tc>
          <w:tcPr>
            <w:tcW w:w="1314" w:type="dxa"/>
          </w:tcPr>
          <w:p w14:paraId="0FE1ADFE"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lastRenderedPageBreak/>
              <w:t>Veliki ishemijski događaji</w:t>
            </w:r>
          </w:p>
        </w:tc>
        <w:tc>
          <w:tcPr>
            <w:tcW w:w="2145" w:type="dxa"/>
          </w:tcPr>
          <w:p w14:paraId="7E9C6E12" w14:textId="3BC61488"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ASK (n=5,035) KLP+ASK(n=5,016)</w:t>
            </w:r>
          </w:p>
          <w:p w14:paraId="5FDC91CF" w14:textId="26AAB988"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Razlika</w:t>
            </w:r>
          </w:p>
        </w:tc>
        <w:tc>
          <w:tcPr>
            <w:tcW w:w="946" w:type="dxa"/>
          </w:tcPr>
          <w:p w14:paraId="2BD2964E"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458        328</w:t>
            </w:r>
          </w:p>
          <w:p w14:paraId="48DCFB96" w14:textId="04F047D5"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130</w:t>
            </w:r>
          </w:p>
        </w:tc>
        <w:tc>
          <w:tcPr>
            <w:tcW w:w="1080" w:type="dxa"/>
          </w:tcPr>
          <w:p w14:paraId="60AC8DBF"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330</w:t>
            </w:r>
          </w:p>
          <w:p w14:paraId="56C6B393"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217</w:t>
            </w:r>
          </w:p>
          <w:p w14:paraId="1FE3EA6B"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113</w:t>
            </w:r>
          </w:p>
        </w:tc>
        <w:tc>
          <w:tcPr>
            <w:tcW w:w="1080" w:type="dxa"/>
          </w:tcPr>
          <w:p w14:paraId="05A4C073"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36</w:t>
            </w:r>
          </w:p>
          <w:p w14:paraId="1C77AA63"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30</w:t>
            </w:r>
          </w:p>
          <w:p w14:paraId="35D04AB1"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6</w:t>
            </w:r>
          </w:p>
        </w:tc>
        <w:tc>
          <w:tcPr>
            <w:tcW w:w="1170" w:type="dxa"/>
          </w:tcPr>
          <w:p w14:paraId="12CE4105"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21</w:t>
            </w:r>
          </w:p>
          <w:p w14:paraId="0DA112B1"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14</w:t>
            </w:r>
          </w:p>
          <w:p w14:paraId="7756DAC7" w14:textId="77777777" w:rsidR="007266D0" w:rsidRPr="00B22D20" w:rsidRDefault="007266D0" w:rsidP="00B22D20">
            <w:pPr>
              <w:tabs>
                <w:tab w:val="clear" w:pos="284"/>
              </w:tabs>
              <w:autoSpaceDE w:val="0"/>
              <w:autoSpaceDN w:val="0"/>
              <w:adjustRightInd w:val="0"/>
              <w:rPr>
                <w:szCs w:val="22"/>
                <w:lang w:val="sr-Latn-RS"/>
              </w:rPr>
            </w:pPr>
            <w:r w:rsidRPr="00B22D20">
              <w:rPr>
                <w:szCs w:val="22"/>
                <w:lang w:val="sr-Latn-RS"/>
              </w:rPr>
              <w:t>7</w:t>
            </w:r>
          </w:p>
        </w:tc>
      </w:tr>
      <w:tr w:rsidR="007266D0" w:rsidRPr="00C25676" w14:paraId="0949AD10" w14:textId="77777777" w:rsidTr="00E72A47">
        <w:trPr>
          <w:jc w:val="center"/>
        </w:trPr>
        <w:tc>
          <w:tcPr>
            <w:tcW w:w="1314" w:type="dxa"/>
          </w:tcPr>
          <w:p w14:paraId="35E05C5C" w14:textId="77777777" w:rsidR="007266D0" w:rsidRPr="00B22D20" w:rsidRDefault="007266D0" w:rsidP="00B22D20">
            <w:pPr>
              <w:pStyle w:val="Header"/>
              <w:spacing w:before="120"/>
              <w:rPr>
                <w:szCs w:val="22"/>
              </w:rPr>
            </w:pPr>
            <w:r w:rsidRPr="00B22D20">
              <w:rPr>
                <w:szCs w:val="22"/>
              </w:rPr>
              <w:t>Velika krvarenja</w:t>
            </w:r>
          </w:p>
        </w:tc>
        <w:tc>
          <w:tcPr>
            <w:tcW w:w="2145" w:type="dxa"/>
          </w:tcPr>
          <w:p w14:paraId="7B4403A5" w14:textId="77777777" w:rsidR="007266D0" w:rsidRPr="00B22D20" w:rsidRDefault="007266D0" w:rsidP="00B22D20">
            <w:pPr>
              <w:pStyle w:val="Header"/>
              <w:rPr>
                <w:szCs w:val="22"/>
              </w:rPr>
            </w:pPr>
            <w:r w:rsidRPr="00B22D20">
              <w:rPr>
                <w:szCs w:val="22"/>
                <w:lang w:val="sr-Latn-RS"/>
              </w:rPr>
              <w:t>ASK (n=5,035) KLP+ASK(n=5,016) Razlika</w:t>
            </w:r>
          </w:p>
        </w:tc>
        <w:tc>
          <w:tcPr>
            <w:tcW w:w="946" w:type="dxa"/>
          </w:tcPr>
          <w:p w14:paraId="7B4CC30E" w14:textId="77777777" w:rsidR="007266D0" w:rsidRPr="00B22D20" w:rsidRDefault="007266D0" w:rsidP="00B22D20">
            <w:pPr>
              <w:pStyle w:val="Header"/>
              <w:rPr>
                <w:szCs w:val="22"/>
              </w:rPr>
            </w:pPr>
            <w:r w:rsidRPr="00B22D20">
              <w:rPr>
                <w:szCs w:val="22"/>
              </w:rPr>
              <w:t>18</w:t>
            </w:r>
          </w:p>
          <w:p w14:paraId="4AE3E280" w14:textId="77777777" w:rsidR="007266D0" w:rsidRPr="00B22D20" w:rsidRDefault="007266D0" w:rsidP="00B22D20">
            <w:pPr>
              <w:pStyle w:val="Header"/>
              <w:rPr>
                <w:szCs w:val="22"/>
              </w:rPr>
            </w:pPr>
            <w:r w:rsidRPr="00B22D20">
              <w:rPr>
                <w:szCs w:val="22"/>
              </w:rPr>
              <w:t>30</w:t>
            </w:r>
          </w:p>
          <w:p w14:paraId="2375306D" w14:textId="77777777" w:rsidR="007266D0" w:rsidRPr="00B22D20" w:rsidRDefault="007266D0" w:rsidP="00B22D20">
            <w:pPr>
              <w:pStyle w:val="Header"/>
              <w:rPr>
                <w:szCs w:val="22"/>
              </w:rPr>
            </w:pPr>
            <w:r w:rsidRPr="00B22D20">
              <w:rPr>
                <w:szCs w:val="22"/>
              </w:rPr>
              <w:t>-12</w:t>
            </w:r>
          </w:p>
        </w:tc>
        <w:tc>
          <w:tcPr>
            <w:tcW w:w="1080" w:type="dxa"/>
          </w:tcPr>
          <w:p w14:paraId="61CF9CF6" w14:textId="77777777" w:rsidR="007266D0" w:rsidRPr="00B22D20" w:rsidRDefault="007266D0" w:rsidP="00B22D20">
            <w:pPr>
              <w:pStyle w:val="Header"/>
              <w:rPr>
                <w:szCs w:val="22"/>
              </w:rPr>
            </w:pPr>
            <w:r w:rsidRPr="00B22D20">
              <w:rPr>
                <w:szCs w:val="22"/>
              </w:rPr>
              <w:t>4</w:t>
            </w:r>
          </w:p>
          <w:p w14:paraId="74C581A0" w14:textId="77777777" w:rsidR="007266D0" w:rsidRPr="00B22D20" w:rsidRDefault="007266D0" w:rsidP="00B22D20">
            <w:pPr>
              <w:pStyle w:val="Header"/>
              <w:rPr>
                <w:szCs w:val="22"/>
              </w:rPr>
            </w:pPr>
            <w:r w:rsidRPr="00B22D20">
              <w:rPr>
                <w:szCs w:val="22"/>
              </w:rPr>
              <w:t>10</w:t>
            </w:r>
          </w:p>
          <w:p w14:paraId="580AC56B" w14:textId="77777777" w:rsidR="007266D0" w:rsidRPr="00B22D20" w:rsidRDefault="007266D0" w:rsidP="00B22D20">
            <w:pPr>
              <w:pStyle w:val="Header"/>
              <w:rPr>
                <w:szCs w:val="22"/>
              </w:rPr>
            </w:pPr>
            <w:r w:rsidRPr="00B22D20">
              <w:rPr>
                <w:szCs w:val="22"/>
              </w:rPr>
              <w:t>-6</w:t>
            </w:r>
          </w:p>
        </w:tc>
        <w:tc>
          <w:tcPr>
            <w:tcW w:w="1080" w:type="dxa"/>
          </w:tcPr>
          <w:p w14:paraId="30448219" w14:textId="77777777" w:rsidR="007266D0" w:rsidRPr="00B22D20" w:rsidRDefault="007266D0" w:rsidP="00B22D20">
            <w:pPr>
              <w:pStyle w:val="Header"/>
              <w:rPr>
                <w:szCs w:val="22"/>
              </w:rPr>
            </w:pPr>
            <w:r w:rsidRPr="00B22D20">
              <w:rPr>
                <w:szCs w:val="22"/>
              </w:rPr>
              <w:t>2</w:t>
            </w:r>
          </w:p>
          <w:p w14:paraId="4F3FC5F5" w14:textId="77777777" w:rsidR="007266D0" w:rsidRPr="00B22D20" w:rsidRDefault="007266D0" w:rsidP="00B22D20">
            <w:pPr>
              <w:pStyle w:val="Header"/>
              <w:rPr>
                <w:szCs w:val="22"/>
              </w:rPr>
            </w:pPr>
            <w:r w:rsidRPr="00B22D20">
              <w:rPr>
                <w:szCs w:val="22"/>
              </w:rPr>
              <w:t>4</w:t>
            </w:r>
          </w:p>
          <w:p w14:paraId="5C9A2FC7" w14:textId="77777777" w:rsidR="007266D0" w:rsidRPr="00B22D20" w:rsidRDefault="007266D0" w:rsidP="00B22D20">
            <w:pPr>
              <w:pStyle w:val="Header"/>
              <w:rPr>
                <w:szCs w:val="22"/>
              </w:rPr>
            </w:pPr>
            <w:r w:rsidRPr="00B22D20">
              <w:rPr>
                <w:szCs w:val="22"/>
              </w:rPr>
              <w:t>-2</w:t>
            </w:r>
          </w:p>
        </w:tc>
        <w:tc>
          <w:tcPr>
            <w:tcW w:w="1170" w:type="dxa"/>
          </w:tcPr>
          <w:p w14:paraId="2227D517" w14:textId="77777777" w:rsidR="007266D0" w:rsidRPr="00B22D20" w:rsidRDefault="007266D0" w:rsidP="00B22D20">
            <w:pPr>
              <w:pStyle w:val="Header"/>
              <w:rPr>
                <w:szCs w:val="22"/>
              </w:rPr>
            </w:pPr>
            <w:r w:rsidRPr="00B22D20">
              <w:rPr>
                <w:szCs w:val="22"/>
              </w:rPr>
              <w:t>1</w:t>
            </w:r>
          </w:p>
          <w:p w14:paraId="6D268721" w14:textId="77777777" w:rsidR="007266D0" w:rsidRPr="00B22D20" w:rsidRDefault="007266D0" w:rsidP="00B22D20">
            <w:pPr>
              <w:pStyle w:val="Header"/>
              <w:rPr>
                <w:szCs w:val="22"/>
              </w:rPr>
            </w:pPr>
            <w:r w:rsidRPr="00B22D20">
              <w:rPr>
                <w:szCs w:val="22"/>
              </w:rPr>
              <w:t>2</w:t>
            </w:r>
          </w:p>
          <w:p w14:paraId="7A1AEA88" w14:textId="77777777" w:rsidR="007266D0" w:rsidRPr="00B22D20" w:rsidRDefault="007266D0" w:rsidP="00B22D20">
            <w:pPr>
              <w:pStyle w:val="Header"/>
              <w:rPr>
                <w:szCs w:val="22"/>
              </w:rPr>
            </w:pPr>
            <w:r w:rsidRPr="00B22D20">
              <w:rPr>
                <w:szCs w:val="22"/>
              </w:rPr>
              <w:t>-1</w:t>
            </w:r>
          </w:p>
        </w:tc>
      </w:tr>
    </w:tbl>
    <w:p w14:paraId="5CFDBF24" w14:textId="422DAE9D" w:rsidR="00F3137E" w:rsidRPr="00B22D20" w:rsidRDefault="00F3137E" w:rsidP="00C25676">
      <w:pPr>
        <w:pStyle w:val="Header"/>
        <w:tabs>
          <w:tab w:val="clear" w:pos="4536"/>
          <w:tab w:val="clear" w:pos="9072"/>
          <w:tab w:val="left" w:pos="284"/>
        </w:tabs>
        <w:spacing w:before="120" w:after="120"/>
        <w:rPr>
          <w:i/>
          <w:szCs w:val="22"/>
          <w:lang w:val="sr-Latn-CS"/>
        </w:rPr>
      </w:pPr>
      <w:r w:rsidRPr="00B22D20">
        <w:rPr>
          <w:i/>
          <w:szCs w:val="22"/>
          <w:lang w:val="sr-Latn-CS"/>
        </w:rPr>
        <w:t>Atrijalna fibrilacija</w:t>
      </w:r>
    </w:p>
    <w:p w14:paraId="0D9AC091" w14:textId="12C6D8D8" w:rsidR="00F3137E" w:rsidRPr="00B22D20" w:rsidRDefault="00F3137E">
      <w:pPr>
        <w:pStyle w:val="Header"/>
        <w:tabs>
          <w:tab w:val="clear" w:pos="4536"/>
          <w:tab w:val="clear" w:pos="9072"/>
          <w:tab w:val="left" w:pos="284"/>
        </w:tabs>
        <w:rPr>
          <w:szCs w:val="22"/>
          <w:lang w:val="sr-Latn-CS"/>
        </w:rPr>
      </w:pPr>
      <w:r w:rsidRPr="00B22D20">
        <w:rPr>
          <w:szCs w:val="22"/>
          <w:lang w:val="sr-Latn-CS"/>
        </w:rPr>
        <w:t xml:space="preserve">ACTIVE-W i ACTIVE-A studije, odvojene studije u ACTIVE programu, uključivale su pacijente sa atrijalnom fibrilacijom (AF) koji imaju bar jedan faktor rizika za pojavu vaskularnih događaja. Na osnovu kriterijuma za uključivanje, </w:t>
      </w:r>
      <w:r w:rsidR="00AC562A" w:rsidRPr="00B22D20">
        <w:rPr>
          <w:szCs w:val="22"/>
          <w:lang w:val="sr-Latn-CS"/>
        </w:rPr>
        <w:t>ljekar</w:t>
      </w:r>
      <w:r w:rsidRPr="00B22D20">
        <w:rPr>
          <w:szCs w:val="22"/>
          <w:lang w:val="sr-Latn-CS"/>
        </w:rPr>
        <w:t>i su uključivali pacijente u ACTIVE-W studiju ukoliko su bili kandidati za terapiju antagonistima vitamina K (AVK), kao što je varfarin. U ACTIVE-A studiju uključivani su pacijenti koji ni</w:t>
      </w:r>
      <w:r w:rsidR="006A1EE9" w:rsidRPr="00B22D20">
        <w:rPr>
          <w:szCs w:val="22"/>
          <w:lang w:val="sr-Latn-CS"/>
        </w:rPr>
        <w:t>je</w:t>
      </w:r>
      <w:r w:rsidRPr="00B22D20">
        <w:rPr>
          <w:szCs w:val="22"/>
          <w:lang w:val="sr-Latn-CS"/>
        </w:rPr>
        <w:t>su bili u stanju ili ni</w:t>
      </w:r>
      <w:r w:rsidR="006A1EE9" w:rsidRPr="00B22D20">
        <w:rPr>
          <w:szCs w:val="22"/>
          <w:lang w:val="sr-Latn-CS"/>
        </w:rPr>
        <w:t>je</w:t>
      </w:r>
      <w:r w:rsidRPr="00B22D20">
        <w:rPr>
          <w:szCs w:val="22"/>
          <w:lang w:val="sr-Latn-CS"/>
        </w:rPr>
        <w:t>su žel</w:t>
      </w:r>
      <w:r w:rsidR="00695B24" w:rsidRPr="00B22D20">
        <w:rPr>
          <w:szCs w:val="22"/>
          <w:lang w:val="sr-Latn-CS"/>
        </w:rPr>
        <w:t>j</w:t>
      </w:r>
      <w:r w:rsidRPr="00B22D20">
        <w:rPr>
          <w:szCs w:val="22"/>
          <w:lang w:val="sr-Latn-CS"/>
        </w:rPr>
        <w:t xml:space="preserve">eli da dobiju terapiju AVK. </w:t>
      </w:r>
    </w:p>
    <w:p w14:paraId="04DA3127" w14:textId="6D90948D" w:rsidR="00F3137E" w:rsidRPr="00B22D20" w:rsidRDefault="00F3137E">
      <w:pPr>
        <w:pStyle w:val="Header"/>
        <w:tabs>
          <w:tab w:val="clear" w:pos="4536"/>
          <w:tab w:val="clear" w:pos="9072"/>
          <w:tab w:val="left" w:pos="284"/>
        </w:tabs>
        <w:spacing w:before="120"/>
        <w:rPr>
          <w:szCs w:val="22"/>
          <w:lang w:val="sr-Latn-CS"/>
        </w:rPr>
      </w:pPr>
      <w:r w:rsidRPr="00B22D20">
        <w:rPr>
          <w:szCs w:val="22"/>
          <w:lang w:val="sr-Latn-CS"/>
        </w:rPr>
        <w:t>ACTIVE-W studija pokazala je da je l</w:t>
      </w:r>
      <w:r w:rsidR="006A1EE9" w:rsidRPr="00B22D20">
        <w:rPr>
          <w:szCs w:val="22"/>
          <w:lang w:val="sr-Latn-CS"/>
        </w:rPr>
        <w:t>i</w:t>
      </w:r>
      <w:r w:rsidR="00695B24" w:rsidRPr="00B22D20">
        <w:rPr>
          <w:szCs w:val="22"/>
          <w:lang w:val="sr-Latn-CS"/>
        </w:rPr>
        <w:t>j</w:t>
      </w:r>
      <w:r w:rsidRPr="00B22D20">
        <w:rPr>
          <w:szCs w:val="22"/>
          <w:lang w:val="sr-Latn-CS"/>
        </w:rPr>
        <w:t xml:space="preserve">ečenje zajedno sa antagonistima vitamina K efikasnije od </w:t>
      </w:r>
      <w:r w:rsidR="00533740" w:rsidRPr="00B22D20">
        <w:rPr>
          <w:szCs w:val="22"/>
          <w:lang w:val="sr-Latn-CS"/>
        </w:rPr>
        <w:t xml:space="preserve">terapije </w:t>
      </w:r>
      <w:r w:rsidRPr="00B22D20">
        <w:rPr>
          <w:szCs w:val="22"/>
          <w:lang w:val="sr-Latn-CS"/>
        </w:rPr>
        <w:t>klopidogrel</w:t>
      </w:r>
      <w:r w:rsidR="00533740" w:rsidRPr="00B22D20">
        <w:rPr>
          <w:szCs w:val="22"/>
          <w:lang w:val="sr-Latn-CS"/>
        </w:rPr>
        <w:t>om</w:t>
      </w:r>
      <w:r w:rsidRPr="00B22D20">
        <w:rPr>
          <w:szCs w:val="22"/>
          <w:lang w:val="sr-Latn-CS"/>
        </w:rPr>
        <w:t xml:space="preserve"> i </w:t>
      </w:r>
      <w:r w:rsidR="00465370" w:rsidRPr="00B22D20">
        <w:rPr>
          <w:szCs w:val="22"/>
          <w:lang w:val="sr-Latn-CS"/>
        </w:rPr>
        <w:t>AS</w:t>
      </w:r>
      <w:r w:rsidR="009A3102" w:rsidRPr="00B22D20">
        <w:rPr>
          <w:szCs w:val="22"/>
          <w:lang w:val="sr-Latn-CS"/>
        </w:rPr>
        <w:t>K</w:t>
      </w:r>
      <w:r w:rsidRPr="00B22D20">
        <w:rPr>
          <w:szCs w:val="22"/>
          <w:lang w:val="sr-Latn-CS"/>
        </w:rPr>
        <w:t>.</w:t>
      </w:r>
    </w:p>
    <w:p w14:paraId="419C5AAB" w14:textId="262E587C" w:rsidR="00F3137E" w:rsidRPr="00B22D20" w:rsidRDefault="00F3137E">
      <w:pPr>
        <w:pStyle w:val="Header"/>
        <w:tabs>
          <w:tab w:val="clear" w:pos="4536"/>
          <w:tab w:val="clear" w:pos="9072"/>
          <w:tab w:val="left" w:pos="284"/>
        </w:tabs>
        <w:spacing w:before="120"/>
        <w:rPr>
          <w:szCs w:val="22"/>
          <w:lang w:val="sr-Latn-CS"/>
        </w:rPr>
      </w:pPr>
      <w:r w:rsidRPr="00B22D20">
        <w:rPr>
          <w:szCs w:val="22"/>
          <w:lang w:val="sr-Latn-CS"/>
        </w:rPr>
        <w:t>ACTIVE-A studija (</w:t>
      </w:r>
      <w:r w:rsidR="00B80831" w:rsidRPr="00B22D20">
        <w:rPr>
          <w:szCs w:val="22"/>
          <w:lang w:val="sr-Latn-CS"/>
        </w:rPr>
        <w:t>n</w:t>
      </w:r>
      <w:r w:rsidRPr="00B22D20">
        <w:rPr>
          <w:szCs w:val="22"/>
          <w:lang w:val="sr-Latn-CS"/>
        </w:rPr>
        <w:t xml:space="preserve">=7554) je bila multicentrična, </w:t>
      </w:r>
      <w:r w:rsidRPr="00B22D20">
        <w:rPr>
          <w:szCs w:val="22"/>
          <w:lang w:val="hr-HR"/>
        </w:rPr>
        <w:t>randomiz</w:t>
      </w:r>
      <w:r w:rsidR="00566D25" w:rsidRPr="00B22D20">
        <w:rPr>
          <w:szCs w:val="22"/>
          <w:lang w:val="hr-HR"/>
        </w:rPr>
        <w:t>ov</w:t>
      </w:r>
      <w:r w:rsidRPr="00B22D20">
        <w:rPr>
          <w:szCs w:val="22"/>
          <w:lang w:val="hr-HR"/>
        </w:rPr>
        <w:t>ana, d</w:t>
      </w:r>
      <w:r w:rsidR="00EB4273" w:rsidRPr="00B22D20">
        <w:rPr>
          <w:szCs w:val="22"/>
          <w:lang w:val="hr-HR"/>
        </w:rPr>
        <w:t>vostruko</w:t>
      </w:r>
      <w:r w:rsidRPr="00B22D20">
        <w:rPr>
          <w:szCs w:val="22"/>
          <w:lang w:val="hr-HR"/>
        </w:rPr>
        <w:t xml:space="preserve"> sl</w:t>
      </w:r>
      <w:r w:rsidR="00695B24" w:rsidRPr="00B22D20">
        <w:rPr>
          <w:szCs w:val="22"/>
          <w:lang w:val="hr-HR"/>
        </w:rPr>
        <w:t>ij</w:t>
      </w:r>
      <w:r w:rsidRPr="00B22D20">
        <w:rPr>
          <w:szCs w:val="22"/>
          <w:lang w:val="hr-HR"/>
        </w:rPr>
        <w:t>epa, placebo</w:t>
      </w:r>
      <w:r w:rsidR="00EB4273" w:rsidRPr="00B22D20">
        <w:rPr>
          <w:szCs w:val="22"/>
          <w:lang w:val="hr-HR"/>
        </w:rPr>
        <w:t>m</w:t>
      </w:r>
      <w:r w:rsidRPr="00B22D20">
        <w:rPr>
          <w:szCs w:val="22"/>
          <w:lang w:val="hr-HR"/>
        </w:rPr>
        <w:t xml:space="preserve"> kontrolisana studija koja je poredila klopidogrel 75mg/dan</w:t>
      </w:r>
      <w:r w:rsidR="009259E7" w:rsidRPr="00B22D20">
        <w:rPr>
          <w:szCs w:val="22"/>
          <w:lang w:val="hr-HR"/>
        </w:rPr>
        <w:t xml:space="preserve"> uz </w:t>
      </w:r>
      <w:r w:rsidRPr="00B22D20">
        <w:rPr>
          <w:szCs w:val="22"/>
          <w:lang w:val="hr-HR"/>
        </w:rPr>
        <w:t>AS</w:t>
      </w:r>
      <w:r w:rsidR="009259E7" w:rsidRPr="00B22D20">
        <w:rPr>
          <w:szCs w:val="22"/>
          <w:lang w:val="hr-HR"/>
        </w:rPr>
        <w:t>K</w:t>
      </w:r>
      <w:r w:rsidRPr="00B22D20">
        <w:rPr>
          <w:szCs w:val="22"/>
          <w:lang w:val="hr-HR"/>
        </w:rPr>
        <w:t xml:space="preserve"> </w:t>
      </w:r>
      <w:r w:rsidRPr="00B22D20">
        <w:rPr>
          <w:szCs w:val="22"/>
          <w:lang w:val="sr-Latn-CS"/>
        </w:rPr>
        <w:t>(</w:t>
      </w:r>
      <w:r w:rsidR="00B80831" w:rsidRPr="00B22D20">
        <w:rPr>
          <w:szCs w:val="22"/>
          <w:lang w:val="sr-Latn-CS"/>
        </w:rPr>
        <w:t>n</w:t>
      </w:r>
      <w:r w:rsidRPr="00B22D20">
        <w:rPr>
          <w:szCs w:val="22"/>
          <w:lang w:val="sr-Latn-CS"/>
        </w:rPr>
        <w:t>=3772) i placebo</w:t>
      </w:r>
      <w:r w:rsidR="009259E7" w:rsidRPr="00B22D20">
        <w:rPr>
          <w:szCs w:val="22"/>
          <w:lang w:val="sr-Latn-CS"/>
        </w:rPr>
        <w:t xml:space="preserve"> uz </w:t>
      </w:r>
      <w:r w:rsidRPr="00B22D20">
        <w:rPr>
          <w:szCs w:val="22"/>
          <w:lang w:val="sr-Latn-CS"/>
        </w:rPr>
        <w:t>AS</w:t>
      </w:r>
      <w:r w:rsidR="009259E7" w:rsidRPr="00B22D20">
        <w:rPr>
          <w:szCs w:val="22"/>
          <w:lang w:val="sr-Latn-CS"/>
        </w:rPr>
        <w:t>K</w:t>
      </w:r>
      <w:r w:rsidRPr="00B22D20">
        <w:rPr>
          <w:szCs w:val="22"/>
          <w:lang w:val="sr-Latn-CS"/>
        </w:rPr>
        <w:t xml:space="preserve"> (</w:t>
      </w:r>
      <w:r w:rsidR="00B80831" w:rsidRPr="00B22D20">
        <w:rPr>
          <w:szCs w:val="22"/>
          <w:lang w:val="sr-Latn-CS"/>
        </w:rPr>
        <w:t>n</w:t>
      </w:r>
      <w:r w:rsidRPr="00B22D20">
        <w:rPr>
          <w:szCs w:val="22"/>
          <w:lang w:val="sr-Latn-CS"/>
        </w:rPr>
        <w:t>=37</w:t>
      </w:r>
      <w:r w:rsidR="00533740" w:rsidRPr="00B22D20">
        <w:rPr>
          <w:szCs w:val="22"/>
          <w:lang w:val="sr-Latn-CS"/>
        </w:rPr>
        <w:t>8</w:t>
      </w:r>
      <w:r w:rsidRPr="00B22D20">
        <w:rPr>
          <w:szCs w:val="22"/>
          <w:lang w:val="sr-Latn-CS"/>
        </w:rPr>
        <w:t>2). Preporučena doza AS</w:t>
      </w:r>
      <w:r w:rsidR="009259E7" w:rsidRPr="00B22D20">
        <w:rPr>
          <w:szCs w:val="22"/>
          <w:lang w:val="sr-Latn-CS"/>
        </w:rPr>
        <w:t>K</w:t>
      </w:r>
      <w:r w:rsidRPr="00B22D20">
        <w:rPr>
          <w:szCs w:val="22"/>
          <w:lang w:val="sr-Latn-CS"/>
        </w:rPr>
        <w:t xml:space="preserve"> je bila 75 do 100 mg/dan. Pacijenti su bili na terapiji do 5 godina.</w:t>
      </w:r>
    </w:p>
    <w:p w14:paraId="264F2020" w14:textId="1A4FCB44" w:rsidR="00F3137E" w:rsidRPr="00B22D20" w:rsidRDefault="00F3137E">
      <w:pPr>
        <w:pStyle w:val="Header"/>
        <w:tabs>
          <w:tab w:val="clear" w:pos="4536"/>
          <w:tab w:val="clear" w:pos="9072"/>
          <w:tab w:val="left" w:pos="284"/>
        </w:tabs>
        <w:spacing w:before="120"/>
        <w:rPr>
          <w:szCs w:val="22"/>
          <w:lang w:val="sr-Latn-CS"/>
        </w:rPr>
      </w:pPr>
      <w:r w:rsidRPr="00B22D20">
        <w:rPr>
          <w:szCs w:val="22"/>
          <w:lang w:val="sr-Latn-CS"/>
        </w:rPr>
        <w:t xml:space="preserve">Pacijenti randomizovani u ACTIVE </w:t>
      </w:r>
      <w:r w:rsidR="00533740" w:rsidRPr="00B22D20">
        <w:rPr>
          <w:szCs w:val="22"/>
          <w:lang w:val="sr-Latn-CS"/>
        </w:rPr>
        <w:t>ispitivanju</w:t>
      </w:r>
      <w:r w:rsidRPr="00B22D20">
        <w:rPr>
          <w:szCs w:val="22"/>
          <w:lang w:val="sr-Latn-CS"/>
        </w:rPr>
        <w:t xml:space="preserve"> imali su dokazanu AF tj. ili postojeću AF ili najmanje dv</w:t>
      </w:r>
      <w:r w:rsidR="00695B24" w:rsidRPr="00B22D20">
        <w:rPr>
          <w:szCs w:val="22"/>
          <w:lang w:val="sr-Latn-CS"/>
        </w:rPr>
        <w:t>ij</w:t>
      </w:r>
      <w:r w:rsidRPr="00B22D20">
        <w:rPr>
          <w:szCs w:val="22"/>
          <w:lang w:val="sr-Latn-CS"/>
        </w:rPr>
        <w:t>e epizode intermitentne AF u posl</w:t>
      </w:r>
      <w:r w:rsidR="00695B24" w:rsidRPr="00B22D20">
        <w:rPr>
          <w:szCs w:val="22"/>
          <w:lang w:val="sr-Latn-CS"/>
        </w:rPr>
        <w:t>j</w:t>
      </w:r>
      <w:r w:rsidRPr="00B22D20">
        <w:rPr>
          <w:szCs w:val="22"/>
          <w:lang w:val="sr-Latn-CS"/>
        </w:rPr>
        <w:t>ednjih 6 m</w:t>
      </w:r>
      <w:r w:rsidR="00695B24" w:rsidRPr="00B22D20">
        <w:rPr>
          <w:szCs w:val="22"/>
          <w:lang w:val="sr-Latn-CS"/>
        </w:rPr>
        <w:t>j</w:t>
      </w:r>
      <w:r w:rsidRPr="00B22D20">
        <w:rPr>
          <w:szCs w:val="22"/>
          <w:lang w:val="sr-Latn-CS"/>
        </w:rPr>
        <w:t xml:space="preserve">eseci i imali su najmanje jedan od navedenih faktora rizika: starost </w:t>
      </w:r>
      <w:bookmarkStart w:id="7" w:name="OLE_LINK6"/>
      <w:r w:rsidRPr="00B22D20">
        <w:rPr>
          <w:szCs w:val="22"/>
          <w:lang w:val="sr-Latn-CS"/>
        </w:rPr>
        <w:t xml:space="preserve">≥ 75 </w:t>
      </w:r>
      <w:bookmarkEnd w:id="7"/>
      <w:r w:rsidRPr="00B22D20">
        <w:rPr>
          <w:szCs w:val="22"/>
          <w:lang w:val="sr-Latn-CS"/>
        </w:rPr>
        <w:t>godina ili starost 55 do 74 godine sa dijabetes melitusom koji se mora l</w:t>
      </w:r>
      <w:r w:rsidR="006A1EE9" w:rsidRPr="00B22D20">
        <w:rPr>
          <w:szCs w:val="22"/>
          <w:lang w:val="sr-Latn-CS"/>
        </w:rPr>
        <w:t>i</w:t>
      </w:r>
      <w:r w:rsidR="00695B24" w:rsidRPr="00B22D20">
        <w:rPr>
          <w:szCs w:val="22"/>
          <w:lang w:val="sr-Latn-CS"/>
        </w:rPr>
        <w:t>j</w:t>
      </w:r>
      <w:r w:rsidRPr="00B22D20">
        <w:rPr>
          <w:szCs w:val="22"/>
          <w:lang w:val="sr-Latn-CS"/>
        </w:rPr>
        <w:t>ečiti ili sa dokazanim prethodnim IM ili sa dokazanom koronarnom arterijskom bolešću; pacijenti na terapiji usl</w:t>
      </w:r>
      <w:r w:rsidR="00695B24" w:rsidRPr="00B22D20">
        <w:rPr>
          <w:szCs w:val="22"/>
          <w:lang w:val="sr-Latn-CS"/>
        </w:rPr>
        <w:t>j</w:t>
      </w:r>
      <w:r w:rsidRPr="00B22D20">
        <w:rPr>
          <w:szCs w:val="22"/>
          <w:lang w:val="sr-Latn-CS"/>
        </w:rPr>
        <w:t>ed sistemske hipertenzije; prethodni moždani udar, tranzitorni ishemi</w:t>
      </w:r>
      <w:r w:rsidR="006A1EE9" w:rsidRPr="00B22D20">
        <w:rPr>
          <w:szCs w:val="22"/>
          <w:lang w:val="sr-Latn-CS"/>
        </w:rPr>
        <w:t>jski udar</w:t>
      </w:r>
      <w:r w:rsidRPr="00B22D20">
        <w:rPr>
          <w:szCs w:val="22"/>
          <w:lang w:val="sr-Latn-CS"/>
        </w:rPr>
        <w:t xml:space="preserve"> (</w:t>
      </w:r>
      <w:r w:rsidR="009259E7" w:rsidRPr="00B22D20">
        <w:rPr>
          <w:szCs w:val="22"/>
          <w:lang w:val="sr-Latn-CS"/>
        </w:rPr>
        <w:t>engl.</w:t>
      </w:r>
      <w:r w:rsidR="006A1EE9" w:rsidRPr="00B22D20">
        <w:rPr>
          <w:szCs w:val="22"/>
          <w:lang w:val="sr-Latn-CS"/>
        </w:rPr>
        <w:t xml:space="preserve"> </w:t>
      </w:r>
      <w:r w:rsidR="00DF0EEC" w:rsidRPr="00B22D20">
        <w:rPr>
          <w:i/>
          <w:szCs w:val="22"/>
          <w:lang w:val="sr-Latn-CS"/>
        </w:rPr>
        <w:t>transient ischaemic attack</w:t>
      </w:r>
      <w:r w:rsidR="009259E7" w:rsidRPr="00B22D20">
        <w:rPr>
          <w:szCs w:val="22"/>
          <w:lang w:val="sr-Latn-CS"/>
        </w:rPr>
        <w:t xml:space="preserve">, </w:t>
      </w:r>
      <w:r w:rsidRPr="00B22D20">
        <w:rPr>
          <w:szCs w:val="22"/>
          <w:lang w:val="sr-Latn-CS"/>
        </w:rPr>
        <w:t xml:space="preserve">TIA) ili </w:t>
      </w:r>
      <w:r w:rsidR="009259E7" w:rsidRPr="00B22D20">
        <w:rPr>
          <w:szCs w:val="22"/>
          <w:lang w:val="sr-Latn-CS"/>
        </w:rPr>
        <w:t xml:space="preserve">embolus koji se ne odnosi na </w:t>
      </w:r>
      <w:r w:rsidRPr="00B22D20">
        <w:rPr>
          <w:szCs w:val="22"/>
          <w:lang w:val="sr-Latn-CS"/>
        </w:rPr>
        <w:t>CNS; l</w:t>
      </w:r>
      <w:r w:rsidR="00695B24" w:rsidRPr="00B22D20">
        <w:rPr>
          <w:szCs w:val="22"/>
          <w:lang w:val="sr-Latn-CS"/>
        </w:rPr>
        <w:t>ij</w:t>
      </w:r>
      <w:r w:rsidRPr="00B22D20">
        <w:rPr>
          <w:szCs w:val="22"/>
          <w:lang w:val="sr-Latn-CS"/>
        </w:rPr>
        <w:t>eva ventrikularna disfunkcija sa l</w:t>
      </w:r>
      <w:r w:rsidR="00695B24" w:rsidRPr="00B22D20">
        <w:rPr>
          <w:szCs w:val="22"/>
          <w:lang w:val="sr-Latn-CS"/>
        </w:rPr>
        <w:t>ij</w:t>
      </w:r>
      <w:r w:rsidRPr="00B22D20">
        <w:rPr>
          <w:szCs w:val="22"/>
          <w:lang w:val="sr-Latn-CS"/>
        </w:rPr>
        <w:t xml:space="preserve">evom ventrikularnom </w:t>
      </w:r>
      <w:r w:rsidR="00B80831" w:rsidRPr="00B22D20">
        <w:rPr>
          <w:szCs w:val="22"/>
          <w:lang w:val="sr-Latn-CS"/>
        </w:rPr>
        <w:t xml:space="preserve">ejekcionom </w:t>
      </w:r>
      <w:r w:rsidR="009259E7" w:rsidRPr="00B22D20">
        <w:rPr>
          <w:szCs w:val="22"/>
          <w:lang w:val="sr-Latn-CS"/>
        </w:rPr>
        <w:t xml:space="preserve">frakcijom  </w:t>
      </w:r>
      <w:r w:rsidRPr="00B22D20">
        <w:rPr>
          <w:szCs w:val="22"/>
          <w:lang w:val="sr-Latn-CS"/>
        </w:rPr>
        <w:t>&lt;</w:t>
      </w:r>
      <w:r w:rsidR="00EB4273" w:rsidRPr="00B22D20">
        <w:rPr>
          <w:szCs w:val="22"/>
          <w:lang w:val="sr-Latn-CS"/>
        </w:rPr>
        <w:t xml:space="preserve"> </w:t>
      </w:r>
      <w:r w:rsidRPr="00B22D20">
        <w:rPr>
          <w:szCs w:val="22"/>
          <w:lang w:val="sr-Latn-CS"/>
        </w:rPr>
        <w:t>45%; ili dokazanu perifernu vaskularnu bolest. Pros</w:t>
      </w:r>
      <w:r w:rsidR="00695B24" w:rsidRPr="00B22D20">
        <w:rPr>
          <w:szCs w:val="22"/>
          <w:lang w:val="sr-Latn-CS"/>
        </w:rPr>
        <w:t>j</w:t>
      </w:r>
      <w:r w:rsidRPr="00B22D20">
        <w:rPr>
          <w:szCs w:val="22"/>
          <w:lang w:val="sr-Latn-CS"/>
        </w:rPr>
        <w:t>ečni CHADS</w:t>
      </w:r>
      <w:r w:rsidRPr="00B22D20">
        <w:rPr>
          <w:szCs w:val="22"/>
          <w:vertAlign w:val="subscript"/>
          <w:lang w:val="sr-Latn-CS"/>
        </w:rPr>
        <w:t>2</w:t>
      </w:r>
      <w:r w:rsidRPr="00B22D20">
        <w:rPr>
          <w:szCs w:val="22"/>
          <w:lang w:val="sr-Latn-CS"/>
        </w:rPr>
        <w:t xml:space="preserve"> skor bio je 2</w:t>
      </w:r>
      <w:r w:rsidR="009259E7" w:rsidRPr="00B22D20">
        <w:rPr>
          <w:szCs w:val="22"/>
          <w:lang w:val="sr-Latn-CS"/>
        </w:rPr>
        <w:t>,</w:t>
      </w:r>
      <w:r w:rsidRPr="00B22D20">
        <w:rPr>
          <w:szCs w:val="22"/>
          <w:lang w:val="sr-Latn-CS"/>
        </w:rPr>
        <w:t>0 (na skali 0-6).</w:t>
      </w:r>
    </w:p>
    <w:p w14:paraId="44902279" w14:textId="6B9B5519" w:rsidR="00F3137E" w:rsidRPr="00B22D20" w:rsidRDefault="00F3137E">
      <w:pPr>
        <w:tabs>
          <w:tab w:val="clear" w:pos="284"/>
        </w:tabs>
        <w:spacing w:before="120"/>
        <w:rPr>
          <w:szCs w:val="22"/>
          <w:lang w:val="sr-Latn-CS"/>
        </w:rPr>
      </w:pPr>
      <w:r w:rsidRPr="00B22D20">
        <w:rPr>
          <w:szCs w:val="22"/>
        </w:rPr>
        <w:t>Glavni</w:t>
      </w:r>
      <w:r w:rsidRPr="00B22D20">
        <w:rPr>
          <w:szCs w:val="22"/>
          <w:lang w:val="sr-Latn-CS"/>
        </w:rPr>
        <w:t xml:space="preserve"> </w:t>
      </w:r>
      <w:r w:rsidRPr="00B22D20">
        <w:rPr>
          <w:szCs w:val="22"/>
        </w:rPr>
        <w:t>kriterijum</w:t>
      </w:r>
      <w:r w:rsidR="00B80831" w:rsidRPr="00B22D20">
        <w:rPr>
          <w:szCs w:val="22"/>
        </w:rPr>
        <w:t>i</w:t>
      </w:r>
      <w:r w:rsidR="00B80831" w:rsidRPr="00B22D20">
        <w:rPr>
          <w:szCs w:val="22"/>
          <w:lang w:val="sr-Latn-CS"/>
        </w:rPr>
        <w:t xml:space="preserve"> </w:t>
      </w:r>
      <w:r w:rsidRPr="00B22D20">
        <w:rPr>
          <w:szCs w:val="22"/>
        </w:rPr>
        <w:t>za</w:t>
      </w:r>
      <w:r w:rsidRPr="00B22D20">
        <w:rPr>
          <w:szCs w:val="22"/>
          <w:lang w:val="sr-Latn-CS"/>
        </w:rPr>
        <w:t xml:space="preserve"> </w:t>
      </w:r>
      <w:r w:rsidRPr="00B22D20">
        <w:rPr>
          <w:szCs w:val="22"/>
        </w:rPr>
        <w:t>isklju</w:t>
      </w:r>
      <w:r w:rsidRPr="00B22D20">
        <w:rPr>
          <w:szCs w:val="22"/>
          <w:lang w:val="sr-Latn-CS"/>
        </w:rPr>
        <w:t>č</w:t>
      </w:r>
      <w:r w:rsidRPr="00B22D20">
        <w:rPr>
          <w:szCs w:val="22"/>
        </w:rPr>
        <w:t>ivanje</w:t>
      </w:r>
      <w:r w:rsidRPr="00B22D20">
        <w:rPr>
          <w:szCs w:val="22"/>
          <w:lang w:val="sr-Latn-CS"/>
        </w:rPr>
        <w:t xml:space="preserve"> </w:t>
      </w:r>
      <w:r w:rsidRPr="00B22D20">
        <w:rPr>
          <w:szCs w:val="22"/>
        </w:rPr>
        <w:t>pacijenata</w:t>
      </w:r>
      <w:r w:rsidRPr="00B22D20">
        <w:rPr>
          <w:szCs w:val="22"/>
          <w:lang w:val="sr-Latn-CS"/>
        </w:rPr>
        <w:t xml:space="preserve"> </w:t>
      </w:r>
      <w:r w:rsidRPr="00B22D20">
        <w:rPr>
          <w:szCs w:val="22"/>
        </w:rPr>
        <w:t>bili</w:t>
      </w:r>
      <w:r w:rsidRPr="00B22D20">
        <w:rPr>
          <w:szCs w:val="22"/>
          <w:lang w:val="sr-Latn-CS"/>
        </w:rPr>
        <w:t xml:space="preserve"> </w:t>
      </w:r>
      <w:r w:rsidRPr="00B22D20">
        <w:rPr>
          <w:szCs w:val="22"/>
        </w:rPr>
        <w:t>su</w:t>
      </w:r>
      <w:r w:rsidRPr="00B22D20">
        <w:rPr>
          <w:szCs w:val="22"/>
          <w:lang w:val="sr-Latn-CS"/>
        </w:rPr>
        <w:t xml:space="preserve"> </w:t>
      </w:r>
      <w:r w:rsidRPr="00B22D20">
        <w:rPr>
          <w:szCs w:val="22"/>
        </w:rPr>
        <w:t>dokumentovani</w:t>
      </w:r>
      <w:r w:rsidRPr="00B22D20">
        <w:rPr>
          <w:szCs w:val="22"/>
          <w:lang w:val="sr-Latn-CS"/>
        </w:rPr>
        <w:t xml:space="preserve"> </w:t>
      </w:r>
      <w:r w:rsidRPr="00B22D20">
        <w:rPr>
          <w:szCs w:val="22"/>
        </w:rPr>
        <w:t>pepti</w:t>
      </w:r>
      <w:r w:rsidRPr="00B22D20">
        <w:rPr>
          <w:szCs w:val="22"/>
          <w:lang w:val="sr-Latn-CS"/>
        </w:rPr>
        <w:t>č</w:t>
      </w:r>
      <w:r w:rsidRPr="00B22D20">
        <w:rPr>
          <w:szCs w:val="22"/>
        </w:rPr>
        <w:t>ki</w:t>
      </w:r>
      <w:r w:rsidRPr="00B22D20">
        <w:rPr>
          <w:szCs w:val="22"/>
          <w:lang w:val="sr-Latn-CS"/>
        </w:rPr>
        <w:t xml:space="preserve"> </w:t>
      </w:r>
      <w:r w:rsidRPr="00B22D20">
        <w:rPr>
          <w:szCs w:val="22"/>
        </w:rPr>
        <w:t>ulkus</w:t>
      </w:r>
      <w:r w:rsidRPr="00B22D20">
        <w:rPr>
          <w:szCs w:val="22"/>
          <w:lang w:val="sr-Latn-CS"/>
        </w:rPr>
        <w:t xml:space="preserve"> </w:t>
      </w:r>
      <w:r w:rsidRPr="00B22D20">
        <w:rPr>
          <w:szCs w:val="22"/>
        </w:rPr>
        <w:t>u</w:t>
      </w:r>
      <w:r w:rsidRPr="00B22D20">
        <w:rPr>
          <w:szCs w:val="22"/>
          <w:lang w:val="sr-Latn-CS"/>
        </w:rPr>
        <w:t xml:space="preserve"> </w:t>
      </w:r>
      <w:r w:rsidRPr="00B22D20">
        <w:rPr>
          <w:szCs w:val="22"/>
        </w:rPr>
        <w:t>toku</w:t>
      </w:r>
      <w:r w:rsidRPr="00B22D20">
        <w:rPr>
          <w:szCs w:val="22"/>
          <w:lang w:val="sr-Latn-CS"/>
        </w:rPr>
        <w:t xml:space="preserve"> </w:t>
      </w:r>
      <w:r w:rsidR="009259E7" w:rsidRPr="00B22D20">
        <w:rPr>
          <w:szCs w:val="22"/>
        </w:rPr>
        <w:t xml:space="preserve">prethodnih </w:t>
      </w:r>
      <w:r w:rsidRPr="00B22D20">
        <w:rPr>
          <w:szCs w:val="22"/>
          <w:lang w:val="sr-Latn-CS"/>
        </w:rPr>
        <w:t xml:space="preserve">6 </w:t>
      </w:r>
      <w:r w:rsidRPr="00B22D20">
        <w:rPr>
          <w:szCs w:val="22"/>
        </w:rPr>
        <w:t>m</w:t>
      </w:r>
      <w:r w:rsidR="00695B24" w:rsidRPr="00B22D20">
        <w:rPr>
          <w:szCs w:val="22"/>
        </w:rPr>
        <w:t>j</w:t>
      </w:r>
      <w:r w:rsidRPr="00B22D20">
        <w:rPr>
          <w:szCs w:val="22"/>
        </w:rPr>
        <w:t>eseci</w:t>
      </w:r>
      <w:r w:rsidRPr="00B22D20">
        <w:rPr>
          <w:szCs w:val="22"/>
          <w:lang w:val="sr-Latn-CS"/>
        </w:rPr>
        <w:t xml:space="preserve">; </w:t>
      </w:r>
      <w:r w:rsidRPr="00B22D20">
        <w:rPr>
          <w:szCs w:val="22"/>
        </w:rPr>
        <w:t>prethodno</w:t>
      </w:r>
      <w:r w:rsidRPr="00B22D20">
        <w:rPr>
          <w:szCs w:val="22"/>
          <w:lang w:val="sr-Latn-CS"/>
        </w:rPr>
        <w:t xml:space="preserve"> </w:t>
      </w:r>
      <w:r w:rsidRPr="00B22D20">
        <w:rPr>
          <w:szCs w:val="22"/>
        </w:rPr>
        <w:t>intracerebralno</w:t>
      </w:r>
      <w:r w:rsidRPr="00B22D20">
        <w:rPr>
          <w:szCs w:val="22"/>
          <w:lang w:val="sr-Latn-CS"/>
        </w:rPr>
        <w:t xml:space="preserve"> </w:t>
      </w:r>
      <w:r w:rsidRPr="00B22D20">
        <w:rPr>
          <w:szCs w:val="22"/>
        </w:rPr>
        <w:t>krvarenje</w:t>
      </w:r>
      <w:r w:rsidRPr="00B22D20">
        <w:rPr>
          <w:szCs w:val="22"/>
          <w:lang w:val="sr-Latn-CS"/>
        </w:rPr>
        <w:t xml:space="preserve">; </w:t>
      </w:r>
      <w:r w:rsidRPr="00B22D20">
        <w:rPr>
          <w:szCs w:val="22"/>
        </w:rPr>
        <w:t>zna</w:t>
      </w:r>
      <w:r w:rsidRPr="00B22D20">
        <w:rPr>
          <w:szCs w:val="22"/>
          <w:lang w:val="sr-Latn-CS"/>
        </w:rPr>
        <w:t>č</w:t>
      </w:r>
      <w:r w:rsidRPr="00B22D20">
        <w:rPr>
          <w:szCs w:val="22"/>
        </w:rPr>
        <w:t>ajna</w:t>
      </w:r>
      <w:r w:rsidRPr="00B22D20">
        <w:rPr>
          <w:szCs w:val="22"/>
          <w:lang w:val="sr-Latn-CS"/>
        </w:rPr>
        <w:t xml:space="preserve"> </w:t>
      </w:r>
      <w:r w:rsidRPr="00B22D20">
        <w:rPr>
          <w:szCs w:val="22"/>
        </w:rPr>
        <w:t>trombocitopenija</w:t>
      </w:r>
      <w:r w:rsidRPr="00B22D20">
        <w:rPr>
          <w:szCs w:val="22"/>
          <w:lang w:val="sr-Latn-CS"/>
        </w:rPr>
        <w:t xml:space="preserve"> (</w:t>
      </w:r>
      <w:r w:rsidRPr="00B22D20">
        <w:rPr>
          <w:szCs w:val="22"/>
        </w:rPr>
        <w:t>broj</w:t>
      </w:r>
      <w:r w:rsidRPr="00B22D20">
        <w:rPr>
          <w:szCs w:val="22"/>
          <w:lang w:val="sr-Latn-CS"/>
        </w:rPr>
        <w:t xml:space="preserve"> </w:t>
      </w:r>
      <w:r w:rsidRPr="00B22D20">
        <w:rPr>
          <w:szCs w:val="22"/>
        </w:rPr>
        <w:t>trombocita</w:t>
      </w:r>
      <w:r w:rsidRPr="00B22D20">
        <w:rPr>
          <w:szCs w:val="22"/>
          <w:lang w:val="sr-Latn-CS"/>
        </w:rPr>
        <w:t xml:space="preserve"> &lt; 50 </w:t>
      </w:r>
      <w:r w:rsidRPr="00B22D20">
        <w:rPr>
          <w:szCs w:val="22"/>
        </w:rPr>
        <w:t>x</w:t>
      </w:r>
      <w:r w:rsidRPr="00B22D20">
        <w:rPr>
          <w:szCs w:val="22"/>
          <w:lang w:val="sr-Latn-CS"/>
        </w:rPr>
        <w:t xml:space="preserve"> 10</w:t>
      </w:r>
      <w:r w:rsidRPr="00B22D20">
        <w:rPr>
          <w:szCs w:val="22"/>
          <w:vertAlign w:val="superscript"/>
          <w:lang w:val="sr-Latn-CS"/>
        </w:rPr>
        <w:t>9</w:t>
      </w:r>
      <w:r w:rsidRPr="00B22D20">
        <w:rPr>
          <w:szCs w:val="22"/>
          <w:lang w:val="sr-Latn-CS"/>
        </w:rPr>
        <w:t>/</w:t>
      </w:r>
      <w:r w:rsidR="00533740" w:rsidRPr="00B22D20">
        <w:rPr>
          <w:szCs w:val="22"/>
        </w:rPr>
        <w:t>l</w:t>
      </w:r>
      <w:r w:rsidRPr="00B22D20">
        <w:rPr>
          <w:szCs w:val="22"/>
          <w:lang w:val="sr-Latn-CS"/>
        </w:rPr>
        <w:t xml:space="preserve">); </w:t>
      </w:r>
      <w:r w:rsidRPr="00B22D20">
        <w:rPr>
          <w:szCs w:val="22"/>
        </w:rPr>
        <w:t>potreba</w:t>
      </w:r>
      <w:r w:rsidRPr="00B22D20">
        <w:rPr>
          <w:szCs w:val="22"/>
          <w:lang w:val="sr-Latn-CS"/>
        </w:rPr>
        <w:t xml:space="preserve"> </w:t>
      </w:r>
      <w:r w:rsidRPr="00B22D20">
        <w:rPr>
          <w:szCs w:val="22"/>
        </w:rPr>
        <w:t>za</w:t>
      </w:r>
      <w:r w:rsidRPr="00B22D20">
        <w:rPr>
          <w:szCs w:val="22"/>
          <w:lang w:val="sr-Latn-CS"/>
        </w:rPr>
        <w:t xml:space="preserve"> </w:t>
      </w:r>
      <w:r w:rsidRPr="00B22D20">
        <w:rPr>
          <w:szCs w:val="22"/>
        </w:rPr>
        <w:t>klopidogrelom</w:t>
      </w:r>
      <w:r w:rsidRPr="00B22D20">
        <w:rPr>
          <w:szCs w:val="22"/>
          <w:lang w:val="sr-Latn-CS"/>
        </w:rPr>
        <w:t xml:space="preserve"> </w:t>
      </w:r>
      <w:r w:rsidRPr="00B22D20">
        <w:rPr>
          <w:szCs w:val="22"/>
        </w:rPr>
        <w:t>ili</w:t>
      </w:r>
      <w:r w:rsidRPr="00B22D20">
        <w:rPr>
          <w:szCs w:val="22"/>
          <w:lang w:val="sr-Latn-CS"/>
        </w:rPr>
        <w:t xml:space="preserve"> </w:t>
      </w:r>
      <w:r w:rsidRPr="00B22D20">
        <w:rPr>
          <w:szCs w:val="22"/>
        </w:rPr>
        <w:t>oralnim</w:t>
      </w:r>
      <w:r w:rsidRPr="00B22D20">
        <w:rPr>
          <w:szCs w:val="22"/>
          <w:lang w:val="sr-Latn-CS"/>
        </w:rPr>
        <w:t xml:space="preserve"> </w:t>
      </w:r>
      <w:r w:rsidRPr="00B22D20">
        <w:rPr>
          <w:szCs w:val="22"/>
        </w:rPr>
        <w:t>antikoagulansima</w:t>
      </w:r>
      <w:r w:rsidRPr="00B22D20">
        <w:rPr>
          <w:szCs w:val="22"/>
          <w:lang w:val="sr-Latn-CS"/>
        </w:rPr>
        <w:t xml:space="preserve"> </w:t>
      </w:r>
      <w:r w:rsidRPr="00B22D20">
        <w:rPr>
          <w:szCs w:val="22"/>
        </w:rPr>
        <w:t>ili</w:t>
      </w:r>
      <w:r w:rsidRPr="00B22D20">
        <w:rPr>
          <w:szCs w:val="22"/>
          <w:lang w:val="sr-Latn-CS"/>
        </w:rPr>
        <w:t xml:space="preserve"> </w:t>
      </w:r>
      <w:r w:rsidR="004F45F6" w:rsidRPr="00B22D20">
        <w:rPr>
          <w:szCs w:val="22"/>
        </w:rPr>
        <w:t>in</w:t>
      </w:r>
      <w:r w:rsidRPr="00B22D20">
        <w:rPr>
          <w:szCs w:val="22"/>
        </w:rPr>
        <w:t>tolerancija</w:t>
      </w:r>
      <w:r w:rsidRPr="00B22D20">
        <w:rPr>
          <w:szCs w:val="22"/>
          <w:lang w:val="sr-Latn-CS"/>
        </w:rPr>
        <w:t xml:space="preserve"> </w:t>
      </w:r>
      <w:r w:rsidRPr="00B22D20">
        <w:rPr>
          <w:szCs w:val="22"/>
        </w:rPr>
        <w:t>prema</w:t>
      </w:r>
      <w:r w:rsidRPr="00B22D20">
        <w:rPr>
          <w:szCs w:val="22"/>
          <w:lang w:val="sr-Latn-CS"/>
        </w:rPr>
        <w:t xml:space="preserve"> </w:t>
      </w:r>
      <w:r w:rsidRPr="00B22D20">
        <w:rPr>
          <w:szCs w:val="22"/>
        </w:rPr>
        <w:t>bilo</w:t>
      </w:r>
      <w:r w:rsidRPr="00B22D20">
        <w:rPr>
          <w:szCs w:val="22"/>
          <w:lang w:val="sr-Latn-CS"/>
        </w:rPr>
        <w:t xml:space="preserve"> </w:t>
      </w:r>
      <w:r w:rsidRPr="00B22D20">
        <w:rPr>
          <w:szCs w:val="22"/>
        </w:rPr>
        <w:t>kojoj</w:t>
      </w:r>
      <w:r w:rsidRPr="00B22D20">
        <w:rPr>
          <w:szCs w:val="22"/>
          <w:lang w:val="sr-Latn-CS"/>
        </w:rPr>
        <w:t xml:space="preserve"> </w:t>
      </w:r>
      <w:r w:rsidRPr="00B22D20">
        <w:rPr>
          <w:szCs w:val="22"/>
        </w:rPr>
        <w:t>od</w:t>
      </w:r>
      <w:r w:rsidRPr="00B22D20">
        <w:rPr>
          <w:szCs w:val="22"/>
          <w:lang w:val="sr-Latn-CS"/>
        </w:rPr>
        <w:t xml:space="preserve"> </w:t>
      </w:r>
      <w:r w:rsidRPr="00B22D20">
        <w:rPr>
          <w:szCs w:val="22"/>
        </w:rPr>
        <w:t>dv</w:t>
      </w:r>
      <w:r w:rsidR="00695B24" w:rsidRPr="00B22D20">
        <w:rPr>
          <w:szCs w:val="22"/>
        </w:rPr>
        <w:t>ij</w:t>
      </w:r>
      <w:r w:rsidRPr="00B22D20">
        <w:rPr>
          <w:szCs w:val="22"/>
        </w:rPr>
        <w:t>e</w:t>
      </w:r>
      <w:r w:rsidRPr="00B22D20">
        <w:rPr>
          <w:szCs w:val="22"/>
          <w:lang w:val="sr-Latn-CS"/>
        </w:rPr>
        <w:t xml:space="preserve"> </w:t>
      </w:r>
      <w:r w:rsidRPr="00B22D20">
        <w:rPr>
          <w:szCs w:val="22"/>
        </w:rPr>
        <w:t>komponente</w:t>
      </w:r>
      <w:r w:rsidRPr="00B22D20">
        <w:rPr>
          <w:szCs w:val="22"/>
          <w:lang w:val="sr-Latn-CS"/>
        </w:rPr>
        <w:t>.</w:t>
      </w:r>
    </w:p>
    <w:p w14:paraId="6887544C" w14:textId="5D2CC6CB" w:rsidR="00F3137E" w:rsidRPr="00B22D20" w:rsidRDefault="00F3137E">
      <w:pPr>
        <w:pStyle w:val="Header"/>
        <w:tabs>
          <w:tab w:val="clear" w:pos="4536"/>
          <w:tab w:val="clear" w:pos="9072"/>
          <w:tab w:val="left" w:pos="284"/>
        </w:tabs>
        <w:rPr>
          <w:szCs w:val="22"/>
          <w:lang w:val="sr-Latn-CS"/>
        </w:rPr>
      </w:pPr>
      <w:r w:rsidRPr="00B22D20">
        <w:rPr>
          <w:szCs w:val="22"/>
          <w:lang w:val="sr-Latn-CS"/>
        </w:rPr>
        <w:t>Sedamdeset tri procenta (73%) pacijenata koji su u</w:t>
      </w:r>
      <w:r w:rsidR="00533740" w:rsidRPr="00B22D20">
        <w:rPr>
          <w:szCs w:val="22"/>
          <w:lang w:val="sr-Latn-CS"/>
        </w:rPr>
        <w:t>ključeni</w:t>
      </w:r>
      <w:r w:rsidRPr="00B22D20">
        <w:rPr>
          <w:szCs w:val="22"/>
          <w:lang w:val="sr-Latn-CS"/>
        </w:rPr>
        <w:t xml:space="preserve"> u studiju ACTIVE-A ni</w:t>
      </w:r>
      <w:r w:rsidR="00566D25" w:rsidRPr="00B22D20">
        <w:rPr>
          <w:szCs w:val="22"/>
          <w:lang w:val="sr-Latn-CS"/>
        </w:rPr>
        <w:t>je</w:t>
      </w:r>
      <w:r w:rsidRPr="00B22D20">
        <w:rPr>
          <w:szCs w:val="22"/>
          <w:lang w:val="sr-Latn-CS"/>
        </w:rPr>
        <w:t>su sm</w:t>
      </w:r>
      <w:r w:rsidR="00695B24" w:rsidRPr="00B22D20">
        <w:rPr>
          <w:szCs w:val="22"/>
          <w:lang w:val="sr-Latn-CS"/>
        </w:rPr>
        <w:t>j</w:t>
      </w:r>
      <w:r w:rsidRPr="00B22D20">
        <w:rPr>
          <w:szCs w:val="22"/>
          <w:lang w:val="sr-Latn-CS"/>
        </w:rPr>
        <w:t xml:space="preserve">eli da uzimaju terapiju AVK </w:t>
      </w:r>
      <w:r w:rsidR="009424A5" w:rsidRPr="00B22D20">
        <w:rPr>
          <w:szCs w:val="22"/>
          <w:lang w:val="sr-Latn-CS"/>
        </w:rPr>
        <w:t>prema</w:t>
      </w:r>
      <w:r w:rsidRPr="00B22D20">
        <w:rPr>
          <w:szCs w:val="22"/>
          <w:lang w:val="sr-Latn-CS"/>
        </w:rPr>
        <w:t xml:space="preserve"> proc</w:t>
      </w:r>
      <w:r w:rsidR="00695B24" w:rsidRPr="00B22D20">
        <w:rPr>
          <w:szCs w:val="22"/>
          <w:lang w:val="sr-Latn-CS"/>
        </w:rPr>
        <w:t>j</w:t>
      </w:r>
      <w:r w:rsidRPr="00B22D20">
        <w:rPr>
          <w:szCs w:val="22"/>
          <w:lang w:val="sr-Latn-CS"/>
        </w:rPr>
        <w:t>en</w:t>
      </w:r>
      <w:r w:rsidR="009424A5" w:rsidRPr="00B22D20">
        <w:rPr>
          <w:szCs w:val="22"/>
          <w:lang w:val="sr-Latn-CS"/>
        </w:rPr>
        <w:t>i</w:t>
      </w:r>
      <w:r w:rsidRPr="00B22D20">
        <w:rPr>
          <w:szCs w:val="22"/>
          <w:lang w:val="sr-Latn-CS"/>
        </w:rPr>
        <w:t xml:space="preserve"> </w:t>
      </w:r>
      <w:r w:rsidR="00AC562A" w:rsidRPr="00B22D20">
        <w:rPr>
          <w:szCs w:val="22"/>
          <w:lang w:val="sr-Latn-CS"/>
        </w:rPr>
        <w:t>ljekar</w:t>
      </w:r>
      <w:r w:rsidRPr="00B22D20">
        <w:rPr>
          <w:szCs w:val="22"/>
          <w:lang w:val="sr-Latn-CS"/>
        </w:rPr>
        <w:t xml:space="preserve">a, </w:t>
      </w:r>
      <w:r w:rsidR="00533740" w:rsidRPr="00B22D20">
        <w:rPr>
          <w:szCs w:val="22"/>
          <w:lang w:val="sr-Latn-CS"/>
        </w:rPr>
        <w:t xml:space="preserve">zbog </w:t>
      </w:r>
      <w:r w:rsidRPr="00B22D20">
        <w:rPr>
          <w:szCs w:val="22"/>
          <w:lang w:val="sr-Latn-CS"/>
        </w:rPr>
        <w:t>ne</w:t>
      </w:r>
      <w:r w:rsidR="00533740" w:rsidRPr="00B22D20">
        <w:rPr>
          <w:szCs w:val="22"/>
          <w:lang w:val="sr-Latn-CS"/>
        </w:rPr>
        <w:t>mogućnosti praćenja</w:t>
      </w:r>
      <w:r w:rsidR="009424A5" w:rsidRPr="00B22D20">
        <w:rPr>
          <w:szCs w:val="22"/>
          <w:lang w:val="sr-Latn-CS"/>
        </w:rPr>
        <w:t xml:space="preserve"> </w:t>
      </w:r>
      <w:r w:rsidRPr="00B22D20">
        <w:rPr>
          <w:szCs w:val="22"/>
          <w:lang w:val="sr-Latn-CS"/>
        </w:rPr>
        <w:t>INR (</w:t>
      </w:r>
      <w:r w:rsidR="009424A5" w:rsidRPr="00B22D20">
        <w:rPr>
          <w:szCs w:val="22"/>
          <w:lang w:val="sr-Latn-CS"/>
        </w:rPr>
        <w:t>engl.</w:t>
      </w:r>
      <w:r w:rsidR="004F45F6" w:rsidRPr="00B22D20">
        <w:rPr>
          <w:szCs w:val="22"/>
          <w:lang w:val="sr-Latn-CS"/>
        </w:rPr>
        <w:t xml:space="preserve"> </w:t>
      </w:r>
      <w:r w:rsidRPr="00B22D20">
        <w:rPr>
          <w:bCs/>
          <w:szCs w:val="22"/>
          <w:lang w:val="sr-Latn-CS"/>
        </w:rPr>
        <w:t>International Normalized Ratio</w:t>
      </w:r>
      <w:r w:rsidR="009424A5" w:rsidRPr="00B22D20">
        <w:rPr>
          <w:bCs/>
          <w:szCs w:val="22"/>
          <w:lang w:val="sr-Latn-CS"/>
        </w:rPr>
        <w:t>,</w:t>
      </w:r>
      <w:r w:rsidR="009424A5" w:rsidRPr="00B22D20">
        <w:rPr>
          <w:szCs w:val="22"/>
          <w:lang w:val="sr-Latn-CS"/>
        </w:rPr>
        <w:t xml:space="preserve"> INR</w:t>
      </w:r>
      <w:r w:rsidR="009424A5" w:rsidRPr="00B22D20">
        <w:rPr>
          <w:bCs/>
          <w:szCs w:val="22"/>
          <w:lang w:val="sr-Latn-CS"/>
        </w:rPr>
        <w:t xml:space="preserve"> </w:t>
      </w:r>
      <w:r w:rsidRPr="00B22D20">
        <w:rPr>
          <w:bCs/>
          <w:szCs w:val="22"/>
          <w:lang w:val="sr-Latn-CS"/>
        </w:rPr>
        <w:t>)</w:t>
      </w:r>
      <w:r w:rsidRPr="00B22D20">
        <w:rPr>
          <w:szCs w:val="22"/>
          <w:lang w:val="sr-Latn-CS"/>
        </w:rPr>
        <w:t xml:space="preserve">, predispozicije </w:t>
      </w:r>
      <w:r w:rsidR="009424A5" w:rsidRPr="00B22D20">
        <w:rPr>
          <w:szCs w:val="22"/>
          <w:lang w:val="sr-Latn-CS"/>
        </w:rPr>
        <w:t>z</w:t>
      </w:r>
      <w:r w:rsidRPr="00B22D20">
        <w:rPr>
          <w:szCs w:val="22"/>
          <w:lang w:val="sr-Latn-CS"/>
        </w:rPr>
        <w:t>a pad ili povred</w:t>
      </w:r>
      <w:r w:rsidR="00533740" w:rsidRPr="00B22D20">
        <w:rPr>
          <w:szCs w:val="22"/>
          <w:lang w:val="sr-Latn-CS"/>
        </w:rPr>
        <w:t>u</w:t>
      </w:r>
      <w:r w:rsidRPr="00B22D20">
        <w:rPr>
          <w:szCs w:val="22"/>
          <w:lang w:val="sr-Latn-CS"/>
        </w:rPr>
        <w:t xml:space="preserve"> glav</w:t>
      </w:r>
      <w:r w:rsidR="00533740" w:rsidRPr="00B22D20">
        <w:rPr>
          <w:szCs w:val="22"/>
          <w:lang w:val="sr-Latn-CS"/>
        </w:rPr>
        <w:t>e</w:t>
      </w:r>
      <w:r w:rsidRPr="00B22D20">
        <w:rPr>
          <w:szCs w:val="22"/>
          <w:lang w:val="sr-Latn-CS"/>
        </w:rPr>
        <w:t xml:space="preserve">, ili specifičnih rizika od krvarenja; za 26% pacijenata odluka </w:t>
      </w:r>
      <w:r w:rsidR="00AC562A" w:rsidRPr="00B22D20">
        <w:rPr>
          <w:szCs w:val="22"/>
          <w:lang w:val="sr-Latn-CS"/>
        </w:rPr>
        <w:t>ljekar</w:t>
      </w:r>
      <w:r w:rsidRPr="00B22D20">
        <w:rPr>
          <w:szCs w:val="22"/>
          <w:lang w:val="sr-Latn-CS"/>
        </w:rPr>
        <w:t xml:space="preserve">a zasnivala se na nespremnosti pacijenata da </w:t>
      </w:r>
      <w:r w:rsidR="00D77814" w:rsidRPr="00B22D20">
        <w:rPr>
          <w:szCs w:val="22"/>
          <w:lang w:val="sr-Latn-CS"/>
        </w:rPr>
        <w:t>prim</w:t>
      </w:r>
      <w:r w:rsidR="00695B24" w:rsidRPr="00B22D20">
        <w:rPr>
          <w:szCs w:val="22"/>
          <w:lang w:val="sr-Latn-CS"/>
        </w:rPr>
        <w:t>i</w:t>
      </w:r>
      <w:r w:rsidR="00D77814" w:rsidRPr="00B22D20">
        <w:rPr>
          <w:szCs w:val="22"/>
          <w:lang w:val="sr-Latn-CS"/>
        </w:rPr>
        <w:t>jen</w:t>
      </w:r>
      <w:r w:rsidRPr="00B22D20">
        <w:rPr>
          <w:szCs w:val="22"/>
          <w:lang w:val="sr-Latn-CS"/>
        </w:rPr>
        <w:t>e AVK.</w:t>
      </w:r>
    </w:p>
    <w:p w14:paraId="2AB9C75F" w14:textId="3B4C76ED" w:rsidR="00F3137E" w:rsidRPr="00B22D20" w:rsidRDefault="00F3137E">
      <w:pPr>
        <w:pStyle w:val="Header"/>
        <w:tabs>
          <w:tab w:val="clear" w:pos="4536"/>
          <w:tab w:val="clear" w:pos="9072"/>
          <w:tab w:val="left" w:pos="284"/>
        </w:tabs>
        <w:spacing w:before="120"/>
        <w:rPr>
          <w:szCs w:val="22"/>
          <w:lang w:val="sr-Latn-CS"/>
        </w:rPr>
      </w:pPr>
      <w:r w:rsidRPr="00B22D20">
        <w:rPr>
          <w:rFonts w:eastAsia="Calibri"/>
          <w:color w:val="000000"/>
          <w:szCs w:val="22"/>
        </w:rPr>
        <w:t>U populaciji pacijenata</w:t>
      </w:r>
      <w:r w:rsidRPr="00B22D20">
        <w:rPr>
          <w:szCs w:val="22"/>
          <w:lang w:val="sr-Latn-CS"/>
        </w:rPr>
        <w:t xml:space="preserve"> 41</w:t>
      </w:r>
      <w:proofErr w:type="gramStart"/>
      <w:r w:rsidRPr="00B22D20">
        <w:rPr>
          <w:szCs w:val="22"/>
          <w:lang w:val="sr-Latn-CS"/>
        </w:rPr>
        <w:t>,8</w:t>
      </w:r>
      <w:proofErr w:type="gramEnd"/>
      <w:r w:rsidRPr="00B22D20">
        <w:rPr>
          <w:szCs w:val="22"/>
          <w:lang w:val="sr-Latn-CS"/>
        </w:rPr>
        <w:t>% su bile žene. Pros</w:t>
      </w:r>
      <w:r w:rsidR="00695B24" w:rsidRPr="00B22D20">
        <w:rPr>
          <w:szCs w:val="22"/>
          <w:lang w:val="sr-Latn-CS"/>
        </w:rPr>
        <w:t>j</w:t>
      </w:r>
      <w:r w:rsidRPr="00B22D20">
        <w:rPr>
          <w:szCs w:val="22"/>
          <w:lang w:val="sr-Latn-CS"/>
        </w:rPr>
        <w:t>ek godina bio je 71 godina, 41</w:t>
      </w:r>
      <w:r w:rsidR="009424A5" w:rsidRPr="00B22D20">
        <w:rPr>
          <w:szCs w:val="22"/>
          <w:lang w:val="sr-Latn-CS"/>
        </w:rPr>
        <w:t>,</w:t>
      </w:r>
      <w:r w:rsidRPr="00B22D20">
        <w:rPr>
          <w:szCs w:val="22"/>
          <w:lang w:val="sr-Latn-CS"/>
        </w:rPr>
        <w:t>6% pacijenata je imalo ≥ 75 godina starosti. Ukupno 23</w:t>
      </w:r>
      <w:r w:rsidR="004F45F6" w:rsidRPr="00B22D20">
        <w:rPr>
          <w:szCs w:val="22"/>
          <w:lang w:val="sr-Latn-CS"/>
        </w:rPr>
        <w:t>,0</w:t>
      </w:r>
      <w:r w:rsidRPr="00B22D20">
        <w:rPr>
          <w:szCs w:val="22"/>
          <w:lang w:val="sr-Latn-CS"/>
        </w:rPr>
        <w:t>% pacijenata je primalo antiaritmike, 52</w:t>
      </w:r>
      <w:r w:rsidR="009424A5" w:rsidRPr="00B22D20">
        <w:rPr>
          <w:szCs w:val="22"/>
          <w:lang w:val="sr-Latn-CS"/>
        </w:rPr>
        <w:t>,</w:t>
      </w:r>
      <w:r w:rsidRPr="00B22D20">
        <w:rPr>
          <w:szCs w:val="22"/>
          <w:lang w:val="sr-Latn-CS"/>
        </w:rPr>
        <w:t>1% beta blokatore, 54.6% ACE inhibitore i 25</w:t>
      </w:r>
      <w:r w:rsidR="009424A5" w:rsidRPr="00B22D20">
        <w:rPr>
          <w:szCs w:val="22"/>
          <w:lang w:val="sr-Latn-CS"/>
        </w:rPr>
        <w:t>,</w:t>
      </w:r>
      <w:r w:rsidRPr="00B22D20">
        <w:rPr>
          <w:szCs w:val="22"/>
          <w:lang w:val="sr-Latn-CS"/>
        </w:rPr>
        <w:t>4% statine.</w:t>
      </w:r>
    </w:p>
    <w:p w14:paraId="3422403C" w14:textId="5A658583" w:rsidR="00F3137E" w:rsidRPr="00B22D20" w:rsidRDefault="00F3137E">
      <w:pPr>
        <w:pStyle w:val="Header"/>
        <w:tabs>
          <w:tab w:val="clear" w:pos="4536"/>
          <w:tab w:val="clear" w:pos="9072"/>
          <w:tab w:val="left" w:pos="284"/>
        </w:tabs>
        <w:spacing w:before="120"/>
        <w:rPr>
          <w:szCs w:val="22"/>
          <w:lang w:val="sr-Latn-CS"/>
        </w:rPr>
      </w:pPr>
      <w:r w:rsidRPr="00B22D20">
        <w:rPr>
          <w:szCs w:val="22"/>
          <w:lang w:val="sr-Latn-CS"/>
        </w:rPr>
        <w:t xml:space="preserve">Broj pacijenata koji su dosegli primarni </w:t>
      </w:r>
      <w:r w:rsidR="004F45F6" w:rsidRPr="00B22D20">
        <w:rPr>
          <w:szCs w:val="22"/>
          <w:lang w:val="sr-Latn-CS"/>
        </w:rPr>
        <w:t>parametar praćenja</w:t>
      </w:r>
      <w:r w:rsidRPr="00B22D20">
        <w:rPr>
          <w:szCs w:val="22"/>
          <w:lang w:val="sr-Latn-CS"/>
        </w:rPr>
        <w:t xml:space="preserve"> (vr</w:t>
      </w:r>
      <w:r w:rsidR="00695B24" w:rsidRPr="00B22D20">
        <w:rPr>
          <w:szCs w:val="22"/>
          <w:lang w:val="sr-Latn-CS"/>
        </w:rPr>
        <w:t>ij</w:t>
      </w:r>
      <w:r w:rsidRPr="00B22D20">
        <w:rPr>
          <w:szCs w:val="22"/>
          <w:lang w:val="sr-Latn-CS"/>
        </w:rPr>
        <w:t xml:space="preserve">eme do prve pojave moždanog udara, IM, </w:t>
      </w:r>
      <w:r w:rsidR="009424A5" w:rsidRPr="00B22D20">
        <w:rPr>
          <w:szCs w:val="22"/>
          <w:lang w:val="sr-Latn-CS"/>
        </w:rPr>
        <w:t xml:space="preserve">embolus koji se ne odnosi na </w:t>
      </w:r>
      <w:r w:rsidRPr="00B22D20">
        <w:rPr>
          <w:szCs w:val="22"/>
          <w:lang w:val="sr-Latn-CS"/>
        </w:rPr>
        <w:t>CNS ili smrti vaskularnog uzroka) bio je 832 (22,1%)</w:t>
      </w:r>
      <w:r w:rsidRPr="00B22D20">
        <w:rPr>
          <w:szCs w:val="22"/>
          <w:lang w:val="hr-HR"/>
        </w:rPr>
        <w:t xml:space="preserve"> u grupi koja je l</w:t>
      </w:r>
      <w:r w:rsidR="009958E7" w:rsidRPr="00B22D20">
        <w:rPr>
          <w:szCs w:val="22"/>
          <w:lang w:val="hr-HR"/>
        </w:rPr>
        <w:t>i</w:t>
      </w:r>
      <w:r w:rsidR="00695B24" w:rsidRPr="00B22D20">
        <w:rPr>
          <w:szCs w:val="22"/>
          <w:lang w:val="hr-HR"/>
        </w:rPr>
        <w:t>j</w:t>
      </w:r>
      <w:r w:rsidRPr="00B22D20">
        <w:rPr>
          <w:szCs w:val="22"/>
          <w:lang w:val="hr-HR"/>
        </w:rPr>
        <w:t>ečena klopidogrelom</w:t>
      </w:r>
      <w:r w:rsidR="009424A5" w:rsidRPr="00B22D20">
        <w:rPr>
          <w:szCs w:val="22"/>
          <w:lang w:val="hr-HR"/>
        </w:rPr>
        <w:t xml:space="preserve"> uz </w:t>
      </w:r>
      <w:r w:rsidR="00465370" w:rsidRPr="00B22D20">
        <w:rPr>
          <w:szCs w:val="22"/>
          <w:lang w:val="hr-HR"/>
        </w:rPr>
        <w:t>AS</w:t>
      </w:r>
      <w:r w:rsidR="009424A5" w:rsidRPr="00B22D20">
        <w:rPr>
          <w:szCs w:val="22"/>
          <w:lang w:val="hr-HR"/>
        </w:rPr>
        <w:t>K</w:t>
      </w:r>
      <w:r w:rsidRPr="00B22D20">
        <w:rPr>
          <w:szCs w:val="22"/>
          <w:lang w:val="sr-Latn-CS"/>
        </w:rPr>
        <w:t xml:space="preserve"> i 924 (24,4%) u </w:t>
      </w:r>
      <w:r w:rsidRPr="00B22D20">
        <w:rPr>
          <w:szCs w:val="22"/>
          <w:lang w:val="hr-HR"/>
        </w:rPr>
        <w:t xml:space="preserve">grupi </w:t>
      </w:r>
      <w:r w:rsidRPr="00B22D20">
        <w:rPr>
          <w:szCs w:val="22"/>
          <w:lang w:val="sr-Latn-CS"/>
        </w:rPr>
        <w:t>placebo</w:t>
      </w:r>
      <w:r w:rsidR="009424A5" w:rsidRPr="00B22D20">
        <w:rPr>
          <w:szCs w:val="22"/>
          <w:lang w:val="sr-Latn-CS"/>
        </w:rPr>
        <w:t xml:space="preserve"> uz </w:t>
      </w:r>
      <w:r w:rsidR="00465370" w:rsidRPr="00B22D20">
        <w:rPr>
          <w:szCs w:val="22"/>
          <w:lang w:val="sr-Latn-CS"/>
        </w:rPr>
        <w:t>AS</w:t>
      </w:r>
      <w:r w:rsidR="009424A5" w:rsidRPr="00B22D20">
        <w:rPr>
          <w:szCs w:val="22"/>
          <w:lang w:val="sr-Latn-CS"/>
        </w:rPr>
        <w:t>K</w:t>
      </w:r>
      <w:r w:rsidRPr="00B22D20">
        <w:rPr>
          <w:szCs w:val="22"/>
          <w:lang w:val="sr-Latn-CS"/>
        </w:rPr>
        <w:t xml:space="preserve"> (redukcija relativnog rizika od 11,1%; 95% CI od 2,4% do 19,1%; p=0,013) </w:t>
      </w:r>
      <w:r w:rsidRPr="00B22D20">
        <w:rPr>
          <w:rFonts w:eastAsia="Calibri"/>
          <w:color w:val="000000"/>
          <w:szCs w:val="22"/>
        </w:rPr>
        <w:t>primarno zbog velikog smanjenja inciden</w:t>
      </w:r>
      <w:r w:rsidR="00533740" w:rsidRPr="00B22D20">
        <w:rPr>
          <w:rFonts w:eastAsia="Calibri"/>
          <w:color w:val="000000"/>
          <w:szCs w:val="22"/>
        </w:rPr>
        <w:t>c</w:t>
      </w:r>
      <w:r w:rsidRPr="00B22D20">
        <w:rPr>
          <w:rFonts w:eastAsia="Calibri"/>
          <w:color w:val="000000"/>
          <w:szCs w:val="22"/>
        </w:rPr>
        <w:t xml:space="preserve">e moždanih udara. </w:t>
      </w:r>
      <w:r w:rsidRPr="00B22D20">
        <w:rPr>
          <w:szCs w:val="22"/>
          <w:lang w:val="hr-HR"/>
        </w:rPr>
        <w:t>Moždani udar se pojavio kod 296 (7,8%) pacijenata koji su l</w:t>
      </w:r>
      <w:r w:rsidR="009958E7" w:rsidRPr="00B22D20">
        <w:rPr>
          <w:szCs w:val="22"/>
          <w:lang w:val="hr-HR"/>
        </w:rPr>
        <w:t>i</w:t>
      </w:r>
      <w:r w:rsidR="00695B24" w:rsidRPr="00B22D20">
        <w:rPr>
          <w:szCs w:val="22"/>
          <w:lang w:val="hr-HR"/>
        </w:rPr>
        <w:t>j</w:t>
      </w:r>
      <w:r w:rsidRPr="00B22D20">
        <w:rPr>
          <w:szCs w:val="22"/>
          <w:lang w:val="hr-HR"/>
        </w:rPr>
        <w:t>ečeni klopidogrelom</w:t>
      </w:r>
      <w:r w:rsidR="00595F9F" w:rsidRPr="00B22D20">
        <w:rPr>
          <w:szCs w:val="22"/>
          <w:lang w:val="hr-HR"/>
        </w:rPr>
        <w:t xml:space="preserve"> uz </w:t>
      </w:r>
      <w:r w:rsidRPr="00B22D20">
        <w:rPr>
          <w:szCs w:val="22"/>
          <w:lang w:val="hr-HR"/>
        </w:rPr>
        <w:t>AS</w:t>
      </w:r>
      <w:r w:rsidR="00595F9F" w:rsidRPr="00B22D20">
        <w:rPr>
          <w:szCs w:val="22"/>
          <w:lang w:val="hr-HR"/>
        </w:rPr>
        <w:t>K</w:t>
      </w:r>
      <w:r w:rsidRPr="00B22D20">
        <w:rPr>
          <w:szCs w:val="22"/>
          <w:lang w:val="hr-HR"/>
        </w:rPr>
        <w:t xml:space="preserve"> i kod 408 (10,8%) pacijenata koji su primali </w:t>
      </w:r>
      <w:r w:rsidRPr="00B22D20">
        <w:rPr>
          <w:szCs w:val="22"/>
          <w:lang w:val="sr-Latn-CS"/>
        </w:rPr>
        <w:t>placebo</w:t>
      </w:r>
      <w:r w:rsidR="00595F9F" w:rsidRPr="00B22D20">
        <w:rPr>
          <w:szCs w:val="22"/>
          <w:lang w:val="sr-Latn-CS"/>
        </w:rPr>
        <w:t xml:space="preserve"> uz </w:t>
      </w:r>
      <w:r w:rsidR="00465370" w:rsidRPr="00B22D20">
        <w:rPr>
          <w:szCs w:val="22"/>
          <w:lang w:val="sr-Latn-CS"/>
        </w:rPr>
        <w:t>AS</w:t>
      </w:r>
      <w:r w:rsidR="00595F9F" w:rsidRPr="00B22D20">
        <w:rPr>
          <w:szCs w:val="22"/>
          <w:lang w:val="sr-Latn-CS"/>
        </w:rPr>
        <w:t>K</w:t>
      </w:r>
      <w:r w:rsidRPr="00B22D20">
        <w:rPr>
          <w:szCs w:val="22"/>
          <w:lang w:val="sr-Latn-CS"/>
        </w:rPr>
        <w:t xml:space="preserve"> (redukcija relativnog rizika 28,4%; 95% CI; od 16</w:t>
      </w:r>
      <w:r w:rsidR="00595F9F" w:rsidRPr="00B22D20">
        <w:rPr>
          <w:szCs w:val="22"/>
          <w:lang w:val="sr-Latn-CS"/>
        </w:rPr>
        <w:t>,</w:t>
      </w:r>
      <w:r w:rsidRPr="00B22D20">
        <w:rPr>
          <w:szCs w:val="22"/>
          <w:lang w:val="sr-Latn-CS"/>
        </w:rPr>
        <w:t>8% do 38</w:t>
      </w:r>
      <w:r w:rsidR="00595F9F" w:rsidRPr="00B22D20">
        <w:rPr>
          <w:szCs w:val="22"/>
          <w:lang w:val="sr-Latn-CS"/>
        </w:rPr>
        <w:t>,</w:t>
      </w:r>
      <w:r w:rsidRPr="00B22D20">
        <w:rPr>
          <w:szCs w:val="22"/>
          <w:lang w:val="sr-Latn-CS"/>
        </w:rPr>
        <w:t>3%; p=0</w:t>
      </w:r>
      <w:r w:rsidR="00595F9F" w:rsidRPr="00B22D20">
        <w:rPr>
          <w:szCs w:val="22"/>
          <w:lang w:val="sr-Latn-CS"/>
        </w:rPr>
        <w:t>,</w:t>
      </w:r>
      <w:r w:rsidRPr="00B22D20">
        <w:rPr>
          <w:szCs w:val="22"/>
          <w:lang w:val="sr-Latn-CS"/>
        </w:rPr>
        <w:t>00001).</w:t>
      </w:r>
    </w:p>
    <w:p w14:paraId="21070488" w14:textId="77777777" w:rsidR="0020098D" w:rsidRPr="00B22D20" w:rsidRDefault="00F3137E">
      <w:pPr>
        <w:pStyle w:val="Header"/>
        <w:tabs>
          <w:tab w:val="clear" w:pos="4536"/>
          <w:tab w:val="clear" w:pos="9072"/>
          <w:tab w:val="left" w:pos="284"/>
        </w:tabs>
        <w:spacing w:before="120"/>
        <w:rPr>
          <w:i/>
          <w:szCs w:val="22"/>
          <w:lang w:val="sr-Latn-CS"/>
        </w:rPr>
      </w:pPr>
      <w:r w:rsidRPr="00B22D20">
        <w:rPr>
          <w:i/>
          <w:szCs w:val="22"/>
          <w:lang w:val="sr-Latn-CS"/>
        </w:rPr>
        <w:t>Pedijatrijska populacija</w:t>
      </w:r>
    </w:p>
    <w:p w14:paraId="25459ADE" w14:textId="40B28F4A" w:rsidR="00F3137E" w:rsidRPr="00B22D20" w:rsidRDefault="00F3137E">
      <w:pPr>
        <w:pStyle w:val="Header"/>
        <w:tabs>
          <w:tab w:val="clear" w:pos="4536"/>
          <w:tab w:val="clear" w:pos="9072"/>
          <w:tab w:val="left" w:pos="284"/>
        </w:tabs>
        <w:spacing w:before="120" w:after="120"/>
        <w:rPr>
          <w:szCs w:val="22"/>
          <w:u w:val="single"/>
          <w:lang w:val="sr-Latn-CS"/>
        </w:rPr>
      </w:pPr>
      <w:r w:rsidRPr="00B22D20">
        <w:rPr>
          <w:szCs w:val="22"/>
          <w:lang w:val="sr-Latn-CS"/>
        </w:rPr>
        <w:t>U studiji s</w:t>
      </w:r>
      <w:r w:rsidR="00695B24" w:rsidRPr="00B22D20">
        <w:rPr>
          <w:szCs w:val="22"/>
          <w:lang w:val="sr-Latn-CS"/>
        </w:rPr>
        <w:t>a</w:t>
      </w:r>
      <w:r w:rsidRPr="00B22D20">
        <w:rPr>
          <w:szCs w:val="22"/>
          <w:lang w:val="sr-Latn-CS"/>
        </w:rPr>
        <w:t xml:space="preserve"> postepenim povećanjem doze, u koju je bilo uključeno 86-oro novorođenčadi ili </w:t>
      </w:r>
      <w:r w:rsidR="00533740" w:rsidRPr="00B22D20">
        <w:rPr>
          <w:szCs w:val="22"/>
          <w:lang w:val="sr-Latn-CS"/>
        </w:rPr>
        <w:t>odojčadi</w:t>
      </w:r>
      <w:r w:rsidRPr="00B22D20">
        <w:rPr>
          <w:szCs w:val="22"/>
          <w:lang w:val="sr-Latn-CS"/>
        </w:rPr>
        <w:t xml:space="preserve"> uzrasta do 24 m</w:t>
      </w:r>
      <w:r w:rsidR="00695B24" w:rsidRPr="00B22D20">
        <w:rPr>
          <w:szCs w:val="22"/>
          <w:lang w:val="sr-Latn-CS"/>
        </w:rPr>
        <w:t>j</w:t>
      </w:r>
      <w:r w:rsidRPr="00B22D20">
        <w:rPr>
          <w:szCs w:val="22"/>
          <w:lang w:val="sr-Latn-CS"/>
        </w:rPr>
        <w:t xml:space="preserve">eseca </w:t>
      </w:r>
      <w:r w:rsidR="006F7383" w:rsidRPr="00B22D20">
        <w:rPr>
          <w:szCs w:val="22"/>
          <w:lang w:val="sr-Latn-CS"/>
        </w:rPr>
        <w:t>sa</w:t>
      </w:r>
      <w:r w:rsidRPr="00B22D20">
        <w:rPr>
          <w:szCs w:val="22"/>
          <w:lang w:val="sr-Latn-CS"/>
        </w:rPr>
        <w:t xml:space="preserve"> rizikom od tromboze (PICOLO studija), proc</w:t>
      </w:r>
      <w:r w:rsidR="00695B24" w:rsidRPr="00B22D20">
        <w:rPr>
          <w:szCs w:val="22"/>
          <w:lang w:val="sr-Latn-CS"/>
        </w:rPr>
        <w:t>j</w:t>
      </w:r>
      <w:r w:rsidRPr="00B22D20">
        <w:rPr>
          <w:szCs w:val="22"/>
          <w:lang w:val="sr-Latn-CS"/>
        </w:rPr>
        <w:t>enjivano je dejstvo klopidogrela u konsekutivnim dozama od 0,01</w:t>
      </w:r>
      <w:r w:rsidR="00595F9F" w:rsidRPr="00B22D20">
        <w:rPr>
          <w:szCs w:val="22"/>
          <w:lang w:val="sr-Latn-CS"/>
        </w:rPr>
        <w:t>;</w:t>
      </w:r>
      <w:r w:rsidRPr="00B22D20">
        <w:rPr>
          <w:szCs w:val="22"/>
          <w:lang w:val="sr-Latn-CS"/>
        </w:rPr>
        <w:t xml:space="preserve"> 0,1 i 0,2 mg/kg t</w:t>
      </w:r>
      <w:r w:rsidR="00695B24" w:rsidRPr="00B22D20">
        <w:rPr>
          <w:szCs w:val="22"/>
          <w:lang w:val="sr-Latn-CS"/>
        </w:rPr>
        <w:t>j</w:t>
      </w:r>
      <w:r w:rsidRPr="00B22D20">
        <w:rPr>
          <w:szCs w:val="22"/>
          <w:lang w:val="sr-Latn-CS"/>
        </w:rPr>
        <w:t>elesne mase kod novorođenčadi</w:t>
      </w:r>
      <w:r w:rsidR="006F7383" w:rsidRPr="00B22D20">
        <w:rPr>
          <w:szCs w:val="22"/>
          <w:lang w:val="sr-Latn-CS"/>
        </w:rPr>
        <w:t xml:space="preserve"> i odojčadi</w:t>
      </w:r>
      <w:r w:rsidRPr="00B22D20">
        <w:rPr>
          <w:szCs w:val="22"/>
          <w:lang w:val="sr-Latn-CS"/>
        </w:rPr>
        <w:t>, a u dozi od 0,15 mg/kg t</w:t>
      </w:r>
      <w:r w:rsidR="00695B24" w:rsidRPr="00B22D20">
        <w:rPr>
          <w:szCs w:val="22"/>
          <w:lang w:val="sr-Latn-CS"/>
        </w:rPr>
        <w:t>j</w:t>
      </w:r>
      <w:r w:rsidRPr="00B22D20">
        <w:rPr>
          <w:szCs w:val="22"/>
          <w:lang w:val="sr-Latn-CS"/>
        </w:rPr>
        <w:t>elesne mase samo kod novorođenčadi. Sa dozom od 0,2 mg/kg t</w:t>
      </w:r>
      <w:r w:rsidR="00695B24" w:rsidRPr="00B22D20">
        <w:rPr>
          <w:szCs w:val="22"/>
          <w:lang w:val="sr-Latn-CS"/>
        </w:rPr>
        <w:t>j</w:t>
      </w:r>
      <w:r w:rsidRPr="00B22D20">
        <w:rPr>
          <w:szCs w:val="22"/>
          <w:lang w:val="sr-Latn-CS"/>
        </w:rPr>
        <w:t>elesne mase, postignuta je pros</w:t>
      </w:r>
      <w:r w:rsidR="00695B24" w:rsidRPr="00B22D20">
        <w:rPr>
          <w:szCs w:val="22"/>
          <w:lang w:val="sr-Latn-CS"/>
        </w:rPr>
        <w:t>j</w:t>
      </w:r>
      <w:r w:rsidRPr="00B22D20">
        <w:rPr>
          <w:szCs w:val="22"/>
          <w:lang w:val="sr-Latn-CS"/>
        </w:rPr>
        <w:t>ečna inhibicija od 49,3% (</w:t>
      </w:r>
      <w:r w:rsidR="006F7383" w:rsidRPr="00B22D20">
        <w:rPr>
          <w:szCs w:val="22"/>
          <w:lang w:val="sr-Latn-CS"/>
        </w:rPr>
        <w:t>5 μM</w:t>
      </w:r>
      <w:r w:rsidRPr="00B22D20">
        <w:rPr>
          <w:szCs w:val="22"/>
          <w:lang w:val="sr-Latn-CS"/>
        </w:rPr>
        <w:t xml:space="preserve"> ADP-om indukovane agregacije trombocita), što je uporedivo sa rezultatom koji je postignut kod odraslih pacijenata koji su klopidogrel </w:t>
      </w:r>
      <w:r w:rsidR="00D77814" w:rsidRPr="00B22D20">
        <w:rPr>
          <w:szCs w:val="22"/>
          <w:lang w:val="sr-Latn-CS"/>
        </w:rPr>
        <w:t>primjen</w:t>
      </w:r>
      <w:r w:rsidRPr="00B22D20">
        <w:rPr>
          <w:szCs w:val="22"/>
          <w:lang w:val="sr-Latn-CS"/>
        </w:rPr>
        <w:t>jivali u dozi od 75 mg dnevno.</w:t>
      </w:r>
    </w:p>
    <w:p w14:paraId="7A52F8BB" w14:textId="238214DA" w:rsidR="00F3137E" w:rsidRPr="00B22D20" w:rsidRDefault="00F3137E">
      <w:pPr>
        <w:pStyle w:val="Header"/>
        <w:tabs>
          <w:tab w:val="clear" w:pos="4536"/>
          <w:tab w:val="clear" w:pos="9072"/>
          <w:tab w:val="left" w:pos="284"/>
        </w:tabs>
        <w:spacing w:before="120" w:after="120"/>
        <w:rPr>
          <w:szCs w:val="22"/>
          <w:lang w:val="sr-Latn-CS"/>
        </w:rPr>
      </w:pPr>
      <w:r w:rsidRPr="00B22D20">
        <w:rPr>
          <w:szCs w:val="22"/>
          <w:lang w:val="sr-Latn-CS"/>
        </w:rPr>
        <w:lastRenderedPageBreak/>
        <w:t>U randomizovanoj, d</w:t>
      </w:r>
      <w:r w:rsidR="00595F9F" w:rsidRPr="00B22D20">
        <w:rPr>
          <w:szCs w:val="22"/>
          <w:lang w:val="sr-Latn-CS"/>
        </w:rPr>
        <w:t>vostruko</w:t>
      </w:r>
      <w:r w:rsidRPr="00B22D20">
        <w:rPr>
          <w:szCs w:val="22"/>
          <w:lang w:val="sr-Latn-CS"/>
        </w:rPr>
        <w:t xml:space="preserve"> sl</w:t>
      </w:r>
      <w:r w:rsidR="00695B24" w:rsidRPr="00B22D20">
        <w:rPr>
          <w:szCs w:val="22"/>
          <w:lang w:val="sr-Latn-CS"/>
        </w:rPr>
        <w:t>j</w:t>
      </w:r>
      <w:r w:rsidRPr="00B22D20">
        <w:rPr>
          <w:szCs w:val="22"/>
          <w:lang w:val="sr-Latn-CS"/>
        </w:rPr>
        <w:t>epoj studiji (CLARINET), 906 pedijatrijskih pacijenata (novorođenčad i odojčad) sa cijanoznom kongenitalnom bolešću srca, ublažen</w:t>
      </w:r>
      <w:r w:rsidR="00173D8C" w:rsidRPr="00B22D20">
        <w:rPr>
          <w:szCs w:val="22"/>
          <w:lang w:val="sr-Latn-CS"/>
        </w:rPr>
        <w:t>o</w:t>
      </w:r>
      <w:r w:rsidRPr="00B22D20">
        <w:rPr>
          <w:szCs w:val="22"/>
          <w:lang w:val="sr-Latn-CS"/>
        </w:rPr>
        <w:t>m sistemsko-pulmonarnim arterijskim šantom, pod</w:t>
      </w:r>
      <w:r w:rsidR="00695B24" w:rsidRPr="00B22D20">
        <w:rPr>
          <w:szCs w:val="22"/>
          <w:lang w:val="sr-Latn-CS"/>
        </w:rPr>
        <w:t>ij</w:t>
      </w:r>
      <w:r w:rsidRPr="00B22D20">
        <w:rPr>
          <w:szCs w:val="22"/>
          <w:lang w:val="sr-Latn-CS"/>
        </w:rPr>
        <w:t>eljeno je nasumično u dv</w:t>
      </w:r>
      <w:r w:rsidR="00695B24" w:rsidRPr="00B22D20">
        <w:rPr>
          <w:szCs w:val="22"/>
          <w:lang w:val="sr-Latn-CS"/>
        </w:rPr>
        <w:t>ij</w:t>
      </w:r>
      <w:r w:rsidRPr="00B22D20">
        <w:rPr>
          <w:szCs w:val="22"/>
          <w:lang w:val="sr-Latn-CS"/>
        </w:rPr>
        <w:t>e paralelne grupe, od kojih je jedna primala klopidogrel 0</w:t>
      </w:r>
      <w:r w:rsidR="00595F9F" w:rsidRPr="00B22D20">
        <w:rPr>
          <w:szCs w:val="22"/>
          <w:lang w:val="sr-Latn-CS"/>
        </w:rPr>
        <w:t>,</w:t>
      </w:r>
      <w:r w:rsidRPr="00B22D20">
        <w:rPr>
          <w:szCs w:val="22"/>
          <w:lang w:val="sr-Latn-CS"/>
        </w:rPr>
        <w:t>2 mg/m</w:t>
      </w:r>
      <w:r w:rsidR="00173D8C" w:rsidRPr="00B22D20">
        <w:rPr>
          <w:szCs w:val="22"/>
          <w:lang w:val="sr-Latn-CS"/>
        </w:rPr>
        <w:t>l</w:t>
      </w:r>
      <w:r w:rsidRPr="00B22D20">
        <w:rPr>
          <w:szCs w:val="22"/>
          <w:lang w:val="sr-Latn-CS"/>
        </w:rPr>
        <w:t xml:space="preserve"> (</w:t>
      </w:r>
      <w:r w:rsidR="006F7383" w:rsidRPr="00B22D20">
        <w:rPr>
          <w:szCs w:val="22"/>
          <w:lang w:val="sr-Latn-CS"/>
        </w:rPr>
        <w:t>n</w:t>
      </w:r>
      <w:r w:rsidRPr="00B22D20">
        <w:rPr>
          <w:szCs w:val="22"/>
          <w:lang w:val="sr-Latn-CS"/>
        </w:rPr>
        <w:t>= 467), a druga placebo (</w:t>
      </w:r>
      <w:r w:rsidR="006F7383" w:rsidRPr="00B22D20">
        <w:rPr>
          <w:szCs w:val="22"/>
          <w:lang w:val="sr-Latn-CS"/>
        </w:rPr>
        <w:t>n</w:t>
      </w:r>
      <w:r w:rsidRPr="00B22D20">
        <w:rPr>
          <w:szCs w:val="22"/>
          <w:lang w:val="sr-Latn-CS"/>
        </w:rPr>
        <w:t xml:space="preserve">=439) uz istovremenu </w:t>
      </w:r>
      <w:r w:rsidR="00D77814" w:rsidRPr="00B22D20">
        <w:rPr>
          <w:szCs w:val="22"/>
          <w:lang w:val="sr-Latn-CS"/>
        </w:rPr>
        <w:t>primjen</w:t>
      </w:r>
      <w:r w:rsidRPr="00B22D20">
        <w:rPr>
          <w:szCs w:val="22"/>
          <w:lang w:val="sr-Latn-CS"/>
        </w:rPr>
        <w:t>u već postojeće terapije do druge faze hirurškog zahvata. Vr</w:t>
      </w:r>
      <w:r w:rsidR="00695B24" w:rsidRPr="00B22D20">
        <w:rPr>
          <w:szCs w:val="22"/>
          <w:lang w:val="sr-Latn-CS"/>
        </w:rPr>
        <w:t>ij</w:t>
      </w:r>
      <w:r w:rsidRPr="00B22D20">
        <w:rPr>
          <w:szCs w:val="22"/>
          <w:lang w:val="sr-Latn-CS"/>
        </w:rPr>
        <w:t xml:space="preserve">eme između ublažavanja bolesti šantom i prve </w:t>
      </w:r>
      <w:r w:rsidR="00D77814" w:rsidRPr="00B22D20">
        <w:rPr>
          <w:szCs w:val="22"/>
          <w:lang w:val="sr-Latn-CS"/>
        </w:rPr>
        <w:t>primjen</w:t>
      </w:r>
      <w:r w:rsidRPr="00B22D20">
        <w:rPr>
          <w:szCs w:val="22"/>
          <w:lang w:val="sr-Latn-CS"/>
        </w:rPr>
        <w:t xml:space="preserve">e ispitivanog </w:t>
      </w:r>
      <w:r w:rsidR="00AC562A" w:rsidRPr="00B22D20">
        <w:rPr>
          <w:szCs w:val="22"/>
          <w:lang w:val="sr-Latn-CS"/>
        </w:rPr>
        <w:t>lijek</w:t>
      </w:r>
      <w:r w:rsidRPr="00B22D20">
        <w:rPr>
          <w:szCs w:val="22"/>
          <w:lang w:val="sr-Latn-CS"/>
        </w:rPr>
        <w:t>a iznosilo je u pros</w:t>
      </w:r>
      <w:r w:rsidR="00695B24" w:rsidRPr="00B22D20">
        <w:rPr>
          <w:szCs w:val="22"/>
          <w:lang w:val="sr-Latn-CS"/>
        </w:rPr>
        <w:t>j</w:t>
      </w:r>
      <w:r w:rsidRPr="00B22D20">
        <w:rPr>
          <w:szCs w:val="22"/>
          <w:lang w:val="sr-Latn-CS"/>
        </w:rPr>
        <w:t xml:space="preserve">eku 20 dana. Približno 88% pacijenata primalo je istovremeno </w:t>
      </w:r>
      <w:r w:rsidR="00465370" w:rsidRPr="00B22D20">
        <w:rPr>
          <w:szCs w:val="22"/>
          <w:lang w:val="sr-Latn-CS"/>
        </w:rPr>
        <w:t>AS</w:t>
      </w:r>
      <w:r w:rsidR="00713898" w:rsidRPr="00B22D20">
        <w:rPr>
          <w:szCs w:val="22"/>
          <w:lang w:val="sr-Latn-CS"/>
        </w:rPr>
        <w:t>K</w:t>
      </w:r>
      <w:r w:rsidRPr="00B22D20">
        <w:rPr>
          <w:szCs w:val="22"/>
          <w:lang w:val="sr-Latn-CS"/>
        </w:rPr>
        <w:t xml:space="preserve"> (u opsegu od 1 do 23 mg/kg/dan). Nije bilo značajne razlike među grupama u pogledu primarnih zajedničkih </w:t>
      </w:r>
      <w:r w:rsidR="006F7383" w:rsidRPr="00B22D20">
        <w:rPr>
          <w:szCs w:val="22"/>
          <w:lang w:val="sr-Latn-CS"/>
        </w:rPr>
        <w:t>parametara praćenja</w:t>
      </w:r>
      <w:r w:rsidR="00173D8C" w:rsidRPr="00B22D20">
        <w:rPr>
          <w:szCs w:val="22"/>
          <w:lang w:val="sr-Latn-CS"/>
        </w:rPr>
        <w:t xml:space="preserve"> što se odnosi na</w:t>
      </w:r>
      <w:r w:rsidRPr="00B22D20">
        <w:rPr>
          <w:szCs w:val="22"/>
          <w:lang w:val="sr-Latn-CS"/>
        </w:rPr>
        <w:t xml:space="preserve"> smrt, tromboz</w:t>
      </w:r>
      <w:r w:rsidR="00173D8C" w:rsidRPr="00B22D20">
        <w:rPr>
          <w:szCs w:val="22"/>
          <w:lang w:val="sr-Latn-CS"/>
        </w:rPr>
        <w:t>u</w:t>
      </w:r>
      <w:r w:rsidRPr="00B22D20">
        <w:rPr>
          <w:szCs w:val="22"/>
          <w:lang w:val="sr-Latn-CS"/>
        </w:rPr>
        <w:t xml:space="preserve"> šanta ili srčan</w:t>
      </w:r>
      <w:r w:rsidR="00173D8C" w:rsidRPr="00B22D20">
        <w:rPr>
          <w:szCs w:val="22"/>
          <w:lang w:val="sr-Latn-CS"/>
        </w:rPr>
        <w:t>u</w:t>
      </w:r>
      <w:r w:rsidRPr="00B22D20">
        <w:rPr>
          <w:color w:val="C00000"/>
          <w:szCs w:val="22"/>
          <w:lang w:val="sr-Latn-CS"/>
        </w:rPr>
        <w:t xml:space="preserve"> </w:t>
      </w:r>
      <w:r w:rsidRPr="00B22D20">
        <w:rPr>
          <w:szCs w:val="22"/>
          <w:lang w:val="sr-Latn-CS"/>
        </w:rPr>
        <w:t>intervencije u periodu od 120 dana od tromboembolijskog događaja (</w:t>
      </w:r>
      <w:r w:rsidRPr="00B22D20">
        <w:rPr>
          <w:rFonts w:eastAsia="Calibri"/>
          <w:color w:val="000000"/>
          <w:szCs w:val="22"/>
        </w:rPr>
        <w:t>(89 [19,1%] za grupu koja je primala klopidogrel i 90 [20,5%] za placebo grupu) (</w:t>
      </w:r>
      <w:r w:rsidR="00D77814" w:rsidRPr="00B22D20">
        <w:rPr>
          <w:rFonts w:eastAsia="Calibri"/>
          <w:color w:val="000000"/>
          <w:szCs w:val="22"/>
        </w:rPr>
        <w:t>vidjet</w:t>
      </w:r>
      <w:r w:rsidRPr="00B22D20">
        <w:rPr>
          <w:rFonts w:eastAsia="Calibri"/>
          <w:color w:val="000000"/>
          <w:szCs w:val="22"/>
        </w:rPr>
        <w:t xml:space="preserve">i </w:t>
      </w:r>
      <w:r w:rsidR="009958E7" w:rsidRPr="00B22D20">
        <w:rPr>
          <w:rFonts w:eastAsia="Calibri"/>
          <w:color w:val="000000"/>
          <w:szCs w:val="22"/>
        </w:rPr>
        <w:t>dio</w:t>
      </w:r>
      <w:r w:rsidRPr="00B22D20">
        <w:rPr>
          <w:rFonts w:eastAsia="Calibri"/>
          <w:color w:val="000000"/>
          <w:szCs w:val="22"/>
        </w:rPr>
        <w:t xml:space="preserve"> 4.2).</w:t>
      </w:r>
      <w:r w:rsidRPr="00B22D20">
        <w:rPr>
          <w:szCs w:val="22"/>
          <w:lang w:val="sr-Latn-CS"/>
        </w:rPr>
        <w:t xml:space="preserve"> Najčešće prijavljivano neželjeno dejstvo bilo je krvarenje i u grupi na plac</w:t>
      </w:r>
      <w:r w:rsidR="00173D8C" w:rsidRPr="00B22D20">
        <w:rPr>
          <w:szCs w:val="22"/>
          <w:lang w:val="sr-Latn-CS"/>
        </w:rPr>
        <w:t>e</w:t>
      </w:r>
      <w:r w:rsidRPr="00B22D20">
        <w:rPr>
          <w:szCs w:val="22"/>
          <w:lang w:val="sr-Latn-CS"/>
        </w:rPr>
        <w:t>bu i na klopidogrelu; međutim nije bilo značajne razlike u učestalosti krvarenja među grupama. U okviru dugoročnog praćenja bezb</w:t>
      </w:r>
      <w:r w:rsidR="00695B24" w:rsidRPr="00B22D20">
        <w:rPr>
          <w:szCs w:val="22"/>
          <w:lang w:val="sr-Latn-CS"/>
        </w:rPr>
        <w:t>j</w:t>
      </w:r>
      <w:r w:rsidRPr="00B22D20">
        <w:rPr>
          <w:szCs w:val="22"/>
          <w:lang w:val="sr-Latn-CS"/>
        </w:rPr>
        <w:t>ednosti u studiji, 26 pacijenata starosti jedne godine, koji su još uv</w:t>
      </w:r>
      <w:r w:rsidR="00695B24" w:rsidRPr="00B22D20">
        <w:rPr>
          <w:szCs w:val="22"/>
          <w:lang w:val="sr-Latn-CS"/>
        </w:rPr>
        <w:t>ij</w:t>
      </w:r>
      <w:r w:rsidRPr="00B22D20">
        <w:rPr>
          <w:szCs w:val="22"/>
          <w:lang w:val="sr-Latn-CS"/>
        </w:rPr>
        <w:t>ek imali šant, primalo je klopidogrel sve do 18 m</w:t>
      </w:r>
      <w:r w:rsidR="00695B24" w:rsidRPr="00B22D20">
        <w:rPr>
          <w:szCs w:val="22"/>
          <w:lang w:val="sr-Latn-CS"/>
        </w:rPr>
        <w:t>j</w:t>
      </w:r>
      <w:r w:rsidRPr="00B22D20">
        <w:rPr>
          <w:szCs w:val="22"/>
          <w:lang w:val="sr-Latn-CS"/>
        </w:rPr>
        <w:t>eseci starosti. Ni</w:t>
      </w:r>
      <w:r w:rsidR="009958E7" w:rsidRPr="00B22D20">
        <w:rPr>
          <w:szCs w:val="22"/>
          <w:lang w:val="sr-Latn-CS"/>
        </w:rPr>
        <w:t>je</w:t>
      </w:r>
      <w:r w:rsidRPr="00B22D20">
        <w:rPr>
          <w:szCs w:val="22"/>
          <w:lang w:val="sr-Latn-CS"/>
        </w:rPr>
        <w:t>su zapaženi novi podaci u pogledu bezb</w:t>
      </w:r>
      <w:r w:rsidR="00695B24" w:rsidRPr="00B22D20">
        <w:rPr>
          <w:szCs w:val="22"/>
          <w:lang w:val="sr-Latn-CS"/>
        </w:rPr>
        <w:t>j</w:t>
      </w:r>
      <w:r w:rsidRPr="00B22D20">
        <w:rPr>
          <w:szCs w:val="22"/>
          <w:lang w:val="sr-Latn-CS"/>
        </w:rPr>
        <w:t>ednosti tokom ovog dugoročnog praćenja.</w:t>
      </w:r>
    </w:p>
    <w:p w14:paraId="5C1D2614" w14:textId="0FFC49CF" w:rsidR="00F3137E" w:rsidRPr="00B22D20" w:rsidRDefault="00F3137E">
      <w:pPr>
        <w:pStyle w:val="Header"/>
        <w:tabs>
          <w:tab w:val="clear" w:pos="4536"/>
          <w:tab w:val="clear" w:pos="9072"/>
        </w:tabs>
        <w:spacing w:before="40"/>
        <w:rPr>
          <w:szCs w:val="22"/>
          <w:lang w:val="sr-Latn-CS"/>
        </w:rPr>
      </w:pPr>
      <w:r w:rsidRPr="00B22D20">
        <w:rPr>
          <w:szCs w:val="22"/>
          <w:lang w:val="sr-Latn-CS"/>
        </w:rPr>
        <w:t xml:space="preserve">Studije CLARINET i PICOLO sprovedene su upotrebom konstituisanog rastvora klopidogrela. U ispitivanju relativne bioraspoloživosti </w:t>
      </w:r>
      <w:r w:rsidR="00AC562A" w:rsidRPr="00B22D20">
        <w:rPr>
          <w:szCs w:val="22"/>
          <w:lang w:val="sr-Latn-CS"/>
        </w:rPr>
        <w:t>lijek</w:t>
      </w:r>
      <w:r w:rsidRPr="00B22D20">
        <w:rPr>
          <w:szCs w:val="22"/>
          <w:lang w:val="sr-Latn-CS"/>
        </w:rPr>
        <w:t>a kod odraslih, konstituisani rastvor klopidogrela pokazao je sličan obim i nešto veću brzinu resorpcije glavnog cirkulišućeg (neaktivnog) metabolita u poređenju sa film tabletom.</w:t>
      </w:r>
    </w:p>
    <w:p w14:paraId="654AA8C0" w14:textId="77777777" w:rsidR="00DE02E0" w:rsidRPr="00B22D20" w:rsidRDefault="00DE02E0">
      <w:pPr>
        <w:pStyle w:val="Header"/>
        <w:tabs>
          <w:tab w:val="clear" w:pos="4536"/>
          <w:tab w:val="clear" w:pos="9072"/>
        </w:tabs>
        <w:rPr>
          <w:b/>
          <w:bCs/>
          <w:szCs w:val="22"/>
        </w:rPr>
      </w:pPr>
    </w:p>
    <w:p w14:paraId="7C38C5A2" w14:textId="77777777" w:rsidR="00F3137E" w:rsidRPr="00B22D20" w:rsidRDefault="00F3137E">
      <w:pPr>
        <w:pStyle w:val="Header"/>
        <w:tabs>
          <w:tab w:val="clear" w:pos="4536"/>
          <w:tab w:val="clear" w:pos="9072"/>
        </w:tabs>
        <w:rPr>
          <w:b/>
          <w:bCs/>
          <w:szCs w:val="22"/>
        </w:rPr>
      </w:pPr>
      <w:r w:rsidRPr="00B22D20">
        <w:rPr>
          <w:b/>
          <w:bCs/>
          <w:szCs w:val="22"/>
        </w:rPr>
        <w:t>5.2. Farmakokinetički podaci</w:t>
      </w:r>
    </w:p>
    <w:p w14:paraId="2902C9AB" w14:textId="77777777" w:rsidR="00F3137E" w:rsidRPr="00B22D20" w:rsidRDefault="00F3137E">
      <w:pPr>
        <w:spacing w:before="120"/>
        <w:rPr>
          <w:i/>
          <w:szCs w:val="22"/>
          <w:lang w:val="sr-Latn-CS"/>
        </w:rPr>
      </w:pPr>
      <w:r w:rsidRPr="00B22D20">
        <w:rPr>
          <w:i/>
          <w:szCs w:val="22"/>
          <w:lang w:val="sr-Latn-CS"/>
        </w:rPr>
        <w:t>Resorpcija</w:t>
      </w:r>
    </w:p>
    <w:p w14:paraId="6AFF7BA9" w14:textId="400A8839" w:rsidR="00F3137E" w:rsidRPr="00B22D20" w:rsidRDefault="00F3137E">
      <w:pPr>
        <w:spacing w:before="120"/>
        <w:rPr>
          <w:szCs w:val="22"/>
          <w:lang w:val="sr-Latn-CS"/>
        </w:rPr>
      </w:pPr>
      <w:r w:rsidRPr="00B22D20">
        <w:rPr>
          <w:szCs w:val="22"/>
          <w:lang w:val="sr-Latn-CS"/>
        </w:rPr>
        <w:t>Posl</w:t>
      </w:r>
      <w:r w:rsidR="00695B24" w:rsidRPr="00B22D20">
        <w:rPr>
          <w:szCs w:val="22"/>
          <w:lang w:val="sr-Latn-CS"/>
        </w:rPr>
        <w:t>ij</w:t>
      </w:r>
      <w:r w:rsidRPr="00B22D20">
        <w:rPr>
          <w:szCs w:val="22"/>
          <w:lang w:val="sr-Latn-CS"/>
        </w:rPr>
        <w:t xml:space="preserve">e pojedinačne i ponovljene </w:t>
      </w:r>
      <w:r w:rsidR="00D77814" w:rsidRPr="00B22D20">
        <w:rPr>
          <w:szCs w:val="22"/>
          <w:lang w:val="sr-Latn-CS"/>
        </w:rPr>
        <w:t>primjen</w:t>
      </w:r>
      <w:r w:rsidRPr="00B22D20">
        <w:rPr>
          <w:szCs w:val="22"/>
          <w:lang w:val="sr-Latn-CS"/>
        </w:rPr>
        <w:t>e oralne doze od 75 mg dnevno, klopidogrel se brzo resorbuje. Srednje vr</w:t>
      </w:r>
      <w:r w:rsidR="00695B24" w:rsidRPr="00B22D20">
        <w:rPr>
          <w:szCs w:val="22"/>
          <w:lang w:val="sr-Latn-CS"/>
        </w:rPr>
        <w:t>ij</w:t>
      </w:r>
      <w:r w:rsidRPr="00B22D20">
        <w:rPr>
          <w:szCs w:val="22"/>
          <w:lang w:val="sr-Latn-CS"/>
        </w:rPr>
        <w:t>ednosti maksimalnih koncentracija neprom</w:t>
      </w:r>
      <w:r w:rsidR="00695B24" w:rsidRPr="00B22D20">
        <w:rPr>
          <w:szCs w:val="22"/>
          <w:lang w:val="sr-Latn-CS"/>
        </w:rPr>
        <w:t>ij</w:t>
      </w:r>
      <w:r w:rsidRPr="00B22D20">
        <w:rPr>
          <w:szCs w:val="22"/>
          <w:lang w:val="sr-Latn-CS"/>
        </w:rPr>
        <w:t xml:space="preserve">enjenog </w:t>
      </w:r>
      <w:r w:rsidR="00AC562A" w:rsidRPr="00B22D20">
        <w:rPr>
          <w:szCs w:val="22"/>
          <w:lang w:val="sr-Latn-CS"/>
        </w:rPr>
        <w:t>lijek</w:t>
      </w:r>
      <w:r w:rsidRPr="00B22D20">
        <w:rPr>
          <w:szCs w:val="22"/>
          <w:lang w:val="sr-Latn-CS"/>
        </w:rPr>
        <w:t>a u plazmi (oko 2,2</w:t>
      </w:r>
      <w:r w:rsidR="00173D8C" w:rsidRPr="00B22D20">
        <w:rPr>
          <w:szCs w:val="22"/>
          <w:lang w:val="sr-Latn-CS"/>
        </w:rPr>
        <w:t xml:space="preserve"> </w:t>
      </w:r>
      <w:r w:rsidRPr="00B22D20">
        <w:rPr>
          <w:szCs w:val="22"/>
          <w:lang w:val="sr-Latn-CS"/>
        </w:rPr>
        <w:t>-</w:t>
      </w:r>
      <w:r w:rsidR="00173D8C" w:rsidRPr="00B22D20">
        <w:rPr>
          <w:szCs w:val="22"/>
          <w:lang w:val="sr-Latn-CS"/>
        </w:rPr>
        <w:t xml:space="preserve"> </w:t>
      </w:r>
      <w:r w:rsidRPr="00B22D20">
        <w:rPr>
          <w:szCs w:val="22"/>
          <w:lang w:val="sr-Latn-CS"/>
        </w:rPr>
        <w:t>2,5 n</w:t>
      </w:r>
      <w:r w:rsidR="00E81BE6" w:rsidRPr="00B22D20">
        <w:rPr>
          <w:szCs w:val="22"/>
          <w:lang w:val="sr-Latn-CS"/>
        </w:rPr>
        <w:t>g</w:t>
      </w:r>
      <w:r w:rsidRPr="00B22D20">
        <w:rPr>
          <w:szCs w:val="22"/>
          <w:lang w:val="sr-Latn-CS"/>
        </w:rPr>
        <w:t>/m</w:t>
      </w:r>
      <w:r w:rsidR="00E81BE6" w:rsidRPr="00B22D20">
        <w:rPr>
          <w:szCs w:val="22"/>
          <w:lang w:val="sr-Latn-CS"/>
        </w:rPr>
        <w:t>l</w:t>
      </w:r>
      <w:r w:rsidRPr="00B22D20">
        <w:rPr>
          <w:szCs w:val="22"/>
          <w:lang w:val="sr-Latn-CS"/>
        </w:rPr>
        <w:t xml:space="preserve"> posl</w:t>
      </w:r>
      <w:r w:rsidR="00695B24" w:rsidRPr="00B22D20">
        <w:rPr>
          <w:szCs w:val="22"/>
          <w:lang w:val="sr-Latn-CS"/>
        </w:rPr>
        <w:t>ij</w:t>
      </w:r>
      <w:r w:rsidRPr="00B22D20">
        <w:rPr>
          <w:szCs w:val="22"/>
          <w:lang w:val="sr-Latn-CS"/>
        </w:rPr>
        <w:t xml:space="preserve">e pojedinačne oralne doze od 75 mg) javljaju se oko 45 minuta nakon </w:t>
      </w:r>
      <w:r w:rsidR="00D77814" w:rsidRPr="00B22D20">
        <w:rPr>
          <w:szCs w:val="22"/>
          <w:lang w:val="sr-Latn-CS"/>
        </w:rPr>
        <w:t>primjen</w:t>
      </w:r>
      <w:r w:rsidRPr="00B22D20">
        <w:rPr>
          <w:szCs w:val="22"/>
          <w:lang w:val="sr-Latn-CS"/>
        </w:rPr>
        <w:t>e doze. Na osnovu izlučivanja metabolita klopidogrela urinom, proc</w:t>
      </w:r>
      <w:r w:rsidR="00695B24" w:rsidRPr="00B22D20">
        <w:rPr>
          <w:szCs w:val="22"/>
          <w:lang w:val="sr-Latn-CS"/>
        </w:rPr>
        <w:t>ij</w:t>
      </w:r>
      <w:r w:rsidRPr="00B22D20">
        <w:rPr>
          <w:szCs w:val="22"/>
          <w:lang w:val="sr-Latn-CS"/>
        </w:rPr>
        <w:t>enjeno je da se najmanje 50% un</w:t>
      </w:r>
      <w:r w:rsidR="00173D8C" w:rsidRPr="00B22D20">
        <w:rPr>
          <w:szCs w:val="22"/>
          <w:lang w:val="sr-Latn-CS"/>
        </w:rPr>
        <w:t>ij</w:t>
      </w:r>
      <w:r w:rsidRPr="00B22D20">
        <w:rPr>
          <w:szCs w:val="22"/>
          <w:lang w:val="sr-Latn-CS"/>
        </w:rPr>
        <w:t xml:space="preserve">ete doze </w:t>
      </w:r>
      <w:r w:rsidR="00AC562A" w:rsidRPr="00B22D20">
        <w:rPr>
          <w:szCs w:val="22"/>
          <w:lang w:val="sr-Latn-CS"/>
        </w:rPr>
        <w:t>lijek</w:t>
      </w:r>
      <w:r w:rsidRPr="00B22D20">
        <w:rPr>
          <w:szCs w:val="22"/>
          <w:lang w:val="sr-Latn-CS"/>
        </w:rPr>
        <w:t>a resorbuje.</w:t>
      </w:r>
    </w:p>
    <w:p w14:paraId="6637FABA" w14:textId="77777777" w:rsidR="00F3137E" w:rsidRPr="00B22D20" w:rsidRDefault="00F3137E">
      <w:pPr>
        <w:spacing w:before="120"/>
        <w:rPr>
          <w:i/>
          <w:szCs w:val="22"/>
          <w:lang w:val="sr-Latn-CS"/>
        </w:rPr>
      </w:pPr>
      <w:r w:rsidRPr="00B22D20">
        <w:rPr>
          <w:i/>
          <w:szCs w:val="22"/>
          <w:lang w:val="sr-Latn-CS"/>
        </w:rPr>
        <w:t>Distribucija</w:t>
      </w:r>
    </w:p>
    <w:p w14:paraId="0C9AA6FD" w14:textId="2560690D" w:rsidR="00F3137E" w:rsidRPr="00B22D20" w:rsidRDefault="00F3137E">
      <w:pPr>
        <w:pStyle w:val="Header"/>
        <w:spacing w:before="120"/>
        <w:rPr>
          <w:iCs/>
          <w:color w:val="000000"/>
          <w:szCs w:val="22"/>
          <w:lang w:val="sr-Latn-CS"/>
        </w:rPr>
      </w:pPr>
      <w:r w:rsidRPr="00B22D20">
        <w:rPr>
          <w:szCs w:val="22"/>
          <w:lang w:val="sr-Latn-CS"/>
        </w:rPr>
        <w:t>Klopidogrel i njegov glavni (neaktivni) cirkulišući metabolit reverzibilno se</w:t>
      </w:r>
      <w:r w:rsidRPr="00B22D20">
        <w:rPr>
          <w:i/>
          <w:szCs w:val="22"/>
          <w:lang w:val="sr-Latn-CS"/>
        </w:rPr>
        <w:t xml:space="preserve"> </w:t>
      </w:r>
      <w:r w:rsidRPr="00B22D20">
        <w:rPr>
          <w:szCs w:val="22"/>
          <w:lang w:val="sr-Latn-CS"/>
        </w:rPr>
        <w:t xml:space="preserve">vezuju </w:t>
      </w:r>
      <w:r w:rsidRPr="00B22D20">
        <w:rPr>
          <w:i/>
          <w:szCs w:val="22"/>
          <w:lang w:val="sr-Latn-CS"/>
        </w:rPr>
        <w:t>in vitro</w:t>
      </w:r>
      <w:r w:rsidRPr="00B22D20">
        <w:rPr>
          <w:szCs w:val="22"/>
          <w:lang w:val="sr-Latn-CS"/>
        </w:rPr>
        <w:t xml:space="preserve"> za proteine </w:t>
      </w:r>
      <w:r w:rsidR="009958E7" w:rsidRPr="00B22D20">
        <w:rPr>
          <w:szCs w:val="22"/>
          <w:lang w:val="sr-Latn-CS"/>
        </w:rPr>
        <w:t xml:space="preserve">humane </w:t>
      </w:r>
      <w:r w:rsidRPr="00B22D20">
        <w:rPr>
          <w:szCs w:val="22"/>
          <w:lang w:val="sr-Latn-CS"/>
        </w:rPr>
        <w:t>p</w:t>
      </w:r>
      <w:r w:rsidR="009958E7" w:rsidRPr="00B22D20">
        <w:rPr>
          <w:szCs w:val="22"/>
          <w:lang w:val="sr-Latn-CS"/>
        </w:rPr>
        <w:t>la</w:t>
      </w:r>
      <w:r w:rsidRPr="00B22D20">
        <w:rPr>
          <w:szCs w:val="22"/>
          <w:lang w:val="sr-Latn-CS"/>
        </w:rPr>
        <w:t xml:space="preserve">zme (98%, odnosno 94%). </w:t>
      </w:r>
      <w:r w:rsidRPr="00B22D20">
        <w:rPr>
          <w:iCs/>
          <w:color w:val="000000"/>
          <w:szCs w:val="22"/>
          <w:lang w:val="sr-Latn-CS"/>
        </w:rPr>
        <w:t xml:space="preserve">U </w:t>
      </w:r>
      <w:r w:rsidRPr="00B22D20">
        <w:rPr>
          <w:i/>
          <w:iCs/>
          <w:color w:val="000000"/>
          <w:szCs w:val="22"/>
          <w:lang w:val="sr-Latn-CS"/>
        </w:rPr>
        <w:t xml:space="preserve">in vitro </w:t>
      </w:r>
      <w:r w:rsidRPr="00B22D20">
        <w:rPr>
          <w:iCs/>
          <w:color w:val="000000"/>
          <w:szCs w:val="22"/>
          <w:lang w:val="sr-Latn-CS"/>
        </w:rPr>
        <w:t>uslovima ovo vezivanje nije saturabilno unutar širokog opsega koncentracija.</w:t>
      </w:r>
    </w:p>
    <w:p w14:paraId="2404DD3A" w14:textId="77777777" w:rsidR="00F3137E" w:rsidRPr="00B22D20" w:rsidRDefault="00F73E93">
      <w:pPr>
        <w:spacing w:before="120"/>
        <w:rPr>
          <w:i/>
          <w:szCs w:val="22"/>
          <w:lang w:val="sr-Latn-CS"/>
        </w:rPr>
      </w:pPr>
      <w:r w:rsidRPr="00B22D20">
        <w:rPr>
          <w:i/>
          <w:szCs w:val="22"/>
          <w:lang w:val="sr-Latn-CS"/>
        </w:rPr>
        <w:t>Biotransformacija</w:t>
      </w:r>
    </w:p>
    <w:p w14:paraId="69A7BF14" w14:textId="07EEB323" w:rsidR="00F3137E" w:rsidRPr="00B22D20" w:rsidRDefault="00F3137E">
      <w:pPr>
        <w:spacing w:before="120"/>
        <w:rPr>
          <w:szCs w:val="22"/>
          <w:lang w:val="sr-Latn-CS"/>
        </w:rPr>
      </w:pPr>
      <w:r w:rsidRPr="00B22D20">
        <w:rPr>
          <w:szCs w:val="22"/>
          <w:lang w:val="sr-Latn-CS"/>
        </w:rPr>
        <w:t xml:space="preserve">Klopidogrel se </w:t>
      </w:r>
      <w:r w:rsidR="00327FD8" w:rsidRPr="00B22D20">
        <w:rPr>
          <w:szCs w:val="22"/>
          <w:lang w:val="sr-Latn-CS"/>
        </w:rPr>
        <w:t>intenzivno</w:t>
      </w:r>
      <w:r w:rsidRPr="00B22D20">
        <w:rPr>
          <w:szCs w:val="22"/>
          <w:lang w:val="sr-Latn-CS"/>
        </w:rPr>
        <w:t xml:space="preserve"> metaboliše u jetri. </w:t>
      </w:r>
      <w:r w:rsidRPr="00B22D20">
        <w:rPr>
          <w:i/>
          <w:szCs w:val="22"/>
          <w:lang w:val="sr-Latn-CS"/>
        </w:rPr>
        <w:t xml:space="preserve">In vitro </w:t>
      </w:r>
      <w:r w:rsidRPr="00B22D20">
        <w:rPr>
          <w:szCs w:val="22"/>
          <w:lang w:val="sr-Latn-CS"/>
        </w:rPr>
        <w:t>i</w:t>
      </w:r>
      <w:r w:rsidRPr="00B22D20">
        <w:rPr>
          <w:i/>
          <w:szCs w:val="22"/>
          <w:lang w:val="sr-Latn-CS"/>
        </w:rPr>
        <w:t xml:space="preserve"> in vivo</w:t>
      </w:r>
      <w:r w:rsidRPr="00B22D20">
        <w:rPr>
          <w:szCs w:val="22"/>
          <w:lang w:val="sr-Latn-CS"/>
        </w:rPr>
        <w:t xml:space="preserve">, klopidogrel se metaboliše pomoću dva osnovna metabolička puta: jedan posredovan esterazom koji dovodi do hidrolize </w:t>
      </w:r>
      <w:r w:rsidR="00AC562A" w:rsidRPr="00B22D20">
        <w:rPr>
          <w:szCs w:val="22"/>
          <w:lang w:val="sr-Latn-CS"/>
        </w:rPr>
        <w:t>lijek</w:t>
      </w:r>
      <w:r w:rsidRPr="00B22D20">
        <w:rPr>
          <w:szCs w:val="22"/>
          <w:lang w:val="sr-Latn-CS"/>
        </w:rPr>
        <w:t xml:space="preserve">a u neaktivni derivat karboksilne kiseline (85% cirkulišućih metabolita), a drugi put je posredovan sa više izoenzima </w:t>
      </w:r>
      <w:r w:rsidR="00700689" w:rsidRPr="00B22D20">
        <w:rPr>
          <w:szCs w:val="22"/>
          <w:lang w:val="sr-Latn-CS"/>
        </w:rPr>
        <w:t xml:space="preserve">citohrom </w:t>
      </w:r>
      <w:r w:rsidRPr="00B22D20">
        <w:rPr>
          <w:szCs w:val="22"/>
          <w:lang w:val="sr-Latn-CS"/>
        </w:rPr>
        <w:t xml:space="preserve">P450. Klopidogrel se prvo metaboliše do intermedijera 2-okso-klopidogrela, koji finalno prelazi u aktivni metabolit tiolni derivat klopidogrela. </w:t>
      </w:r>
      <w:r w:rsidR="00346A7F" w:rsidRPr="00B22D20">
        <w:rPr>
          <w:szCs w:val="22"/>
          <w:lang w:val="sr-Latn-CS"/>
        </w:rPr>
        <w:t>Aktivni metabolit nastaje većinom putem CYP2C19 uz d</w:t>
      </w:r>
      <w:r w:rsidR="00695B24" w:rsidRPr="00B22D20">
        <w:rPr>
          <w:szCs w:val="22"/>
          <w:lang w:val="sr-Latn-CS"/>
        </w:rPr>
        <w:t>j</w:t>
      </w:r>
      <w:r w:rsidR="00346A7F" w:rsidRPr="00B22D20">
        <w:rPr>
          <w:szCs w:val="22"/>
          <w:lang w:val="sr-Latn-CS"/>
        </w:rPr>
        <w:t>elovanje nekoliko drugih CYP enzima, uključujući CYP1A2, CYP2B6 i CYP3A4</w:t>
      </w:r>
      <w:r w:rsidR="00346A7F" w:rsidRPr="00B22D20">
        <w:rPr>
          <w:szCs w:val="22"/>
        </w:rPr>
        <w:t>.</w:t>
      </w:r>
      <w:r w:rsidR="000B31E3" w:rsidRPr="00B22D20">
        <w:rPr>
          <w:szCs w:val="22"/>
          <w:lang w:val="sr-Latn-CS"/>
        </w:rPr>
        <w:t xml:space="preserve"> </w:t>
      </w:r>
      <w:r w:rsidRPr="00B22D20">
        <w:rPr>
          <w:szCs w:val="22"/>
          <w:lang w:val="sr-Latn-CS"/>
        </w:rPr>
        <w:t xml:space="preserve">Aktivni tiolni derivat, koji je izolovan </w:t>
      </w:r>
      <w:r w:rsidRPr="00B22D20">
        <w:rPr>
          <w:i/>
          <w:szCs w:val="22"/>
          <w:lang w:val="sr-Latn-CS"/>
        </w:rPr>
        <w:t>in vitro</w:t>
      </w:r>
      <w:r w:rsidRPr="00B22D20">
        <w:rPr>
          <w:szCs w:val="22"/>
          <w:lang w:val="sr-Latn-CS"/>
        </w:rPr>
        <w:t>, brzo i ireverzibilno se vezuje za receptore na trombocitima i na taj način inhibira agregaciju trombocita.</w:t>
      </w:r>
    </w:p>
    <w:p w14:paraId="635A4744" w14:textId="73F2E5A5" w:rsidR="00F3137E" w:rsidRPr="00B22D20" w:rsidRDefault="00F3137E">
      <w:pPr>
        <w:spacing w:before="120"/>
        <w:rPr>
          <w:szCs w:val="22"/>
          <w:lang w:val="sr-Latn-CS"/>
        </w:rPr>
      </w:pPr>
      <w:bookmarkStart w:id="8" w:name="OLE_LINK11"/>
      <w:bookmarkStart w:id="9" w:name="OLE_LINK8"/>
      <w:r w:rsidRPr="00B22D20">
        <w:rPr>
          <w:szCs w:val="22"/>
          <w:lang w:val="sr-Latn-CS"/>
        </w:rPr>
        <w:t>Vr</w:t>
      </w:r>
      <w:r w:rsidR="00695B24" w:rsidRPr="00B22D20">
        <w:rPr>
          <w:szCs w:val="22"/>
          <w:lang w:val="sr-Latn-CS"/>
        </w:rPr>
        <w:t>ij</w:t>
      </w:r>
      <w:r w:rsidRPr="00B22D20">
        <w:rPr>
          <w:szCs w:val="22"/>
          <w:lang w:val="sr-Latn-CS"/>
        </w:rPr>
        <w:t>ednost C</w:t>
      </w:r>
      <w:r w:rsidRPr="00B22D20">
        <w:rPr>
          <w:szCs w:val="22"/>
          <w:vertAlign w:val="subscript"/>
          <w:lang w:val="sr-Latn-CS"/>
        </w:rPr>
        <w:t>max</w:t>
      </w:r>
      <w:bookmarkEnd w:id="8"/>
      <w:bookmarkEnd w:id="9"/>
      <w:r w:rsidRPr="00B22D20">
        <w:rPr>
          <w:szCs w:val="22"/>
          <w:lang w:val="sr-Latn-CS"/>
        </w:rPr>
        <w:t xml:space="preserve"> aktivnog metabolita je dva puta v</w:t>
      </w:r>
      <w:r w:rsidR="00576618" w:rsidRPr="00B22D20">
        <w:rPr>
          <w:szCs w:val="22"/>
          <w:lang w:val="sr-Latn-CS"/>
        </w:rPr>
        <w:t>eća</w:t>
      </w:r>
      <w:r w:rsidRPr="00B22D20">
        <w:rPr>
          <w:szCs w:val="22"/>
          <w:lang w:val="sr-Latn-CS"/>
        </w:rPr>
        <w:t xml:space="preserve"> nakon </w:t>
      </w:r>
      <w:r w:rsidRPr="00B22D20">
        <w:rPr>
          <w:rFonts w:eastAsia="Calibri"/>
          <w:szCs w:val="22"/>
        </w:rPr>
        <w:t xml:space="preserve">jednokratne udarne doze </w:t>
      </w:r>
      <w:r w:rsidRPr="00B22D20">
        <w:rPr>
          <w:szCs w:val="22"/>
          <w:lang w:val="sr-Latn-CS"/>
        </w:rPr>
        <w:t xml:space="preserve">od 300 mg </w:t>
      </w:r>
      <w:r w:rsidRPr="00B22D20">
        <w:rPr>
          <w:rFonts w:eastAsia="Calibri"/>
          <w:szCs w:val="22"/>
        </w:rPr>
        <w:t xml:space="preserve">klopidogrela, </w:t>
      </w:r>
      <w:r w:rsidRPr="00B22D20">
        <w:rPr>
          <w:szCs w:val="22"/>
          <w:lang w:val="sr-Latn-CS"/>
        </w:rPr>
        <w:t xml:space="preserve">nego nakon četvorodnevne </w:t>
      </w:r>
      <w:r w:rsidR="00D77814" w:rsidRPr="00B22D20">
        <w:rPr>
          <w:szCs w:val="22"/>
          <w:lang w:val="sr-Latn-CS"/>
        </w:rPr>
        <w:t>primjen</w:t>
      </w:r>
      <w:r w:rsidRPr="00B22D20">
        <w:rPr>
          <w:szCs w:val="22"/>
          <w:lang w:val="sr-Latn-CS"/>
        </w:rPr>
        <w:t>e doze održavanja od 75 mg. Vr</w:t>
      </w:r>
      <w:r w:rsidR="00695B24" w:rsidRPr="00B22D20">
        <w:rPr>
          <w:szCs w:val="22"/>
          <w:lang w:val="sr-Latn-CS"/>
        </w:rPr>
        <w:t>ij</w:t>
      </w:r>
      <w:r w:rsidRPr="00B22D20">
        <w:rPr>
          <w:szCs w:val="22"/>
          <w:lang w:val="sr-Latn-CS"/>
        </w:rPr>
        <w:t>ednost  C</w:t>
      </w:r>
      <w:r w:rsidRPr="00B22D20">
        <w:rPr>
          <w:szCs w:val="22"/>
          <w:vertAlign w:val="subscript"/>
          <w:lang w:val="sr-Latn-CS"/>
        </w:rPr>
        <w:t xml:space="preserve">max  </w:t>
      </w:r>
      <w:r w:rsidRPr="00B22D20">
        <w:rPr>
          <w:szCs w:val="22"/>
          <w:lang w:val="sr-Latn-CS"/>
        </w:rPr>
        <w:t>se postiže približno 30 do 60 minuta nakon doziranja.</w:t>
      </w:r>
    </w:p>
    <w:p w14:paraId="196CF637" w14:textId="77777777" w:rsidR="00F3137E" w:rsidRPr="00B22D20" w:rsidRDefault="00F3137E">
      <w:pPr>
        <w:spacing w:before="120"/>
        <w:rPr>
          <w:i/>
          <w:szCs w:val="22"/>
          <w:lang w:val="sr-Latn-CS"/>
        </w:rPr>
      </w:pPr>
      <w:r w:rsidRPr="00B22D20">
        <w:rPr>
          <w:i/>
          <w:szCs w:val="22"/>
          <w:lang w:val="sr-Latn-CS"/>
        </w:rPr>
        <w:t>Eliminacija</w:t>
      </w:r>
    </w:p>
    <w:p w14:paraId="042E4EC9" w14:textId="7BAF1943" w:rsidR="00F3137E" w:rsidRPr="00B22D20" w:rsidRDefault="00F3137E">
      <w:pPr>
        <w:spacing w:before="120"/>
        <w:rPr>
          <w:szCs w:val="22"/>
          <w:lang w:val="sr-Latn-CS"/>
        </w:rPr>
      </w:pPr>
      <w:r w:rsidRPr="00B22D20">
        <w:rPr>
          <w:szCs w:val="22"/>
          <w:lang w:val="sr-Latn-CS"/>
        </w:rPr>
        <w:t>Posl</w:t>
      </w:r>
      <w:r w:rsidR="00695B24" w:rsidRPr="00B22D20">
        <w:rPr>
          <w:szCs w:val="22"/>
          <w:lang w:val="sr-Latn-CS"/>
        </w:rPr>
        <w:t>ij</w:t>
      </w:r>
      <w:r w:rsidRPr="00B22D20">
        <w:rPr>
          <w:szCs w:val="22"/>
          <w:lang w:val="sr-Latn-CS"/>
        </w:rPr>
        <w:t xml:space="preserve">e uzimanja oralne doze </w:t>
      </w:r>
      <w:r w:rsidRPr="00B22D20">
        <w:rPr>
          <w:szCs w:val="22"/>
          <w:vertAlign w:val="superscript"/>
          <w:lang w:val="sr-Latn-CS"/>
        </w:rPr>
        <w:t>14</w:t>
      </w:r>
      <w:r w:rsidRPr="00B22D20">
        <w:rPr>
          <w:szCs w:val="22"/>
          <w:lang w:val="sr-Latn-CS"/>
        </w:rPr>
        <w:t>C ob</w:t>
      </w:r>
      <w:r w:rsidR="00173D8C" w:rsidRPr="00B22D20">
        <w:rPr>
          <w:szCs w:val="22"/>
          <w:lang w:val="sr-Latn-CS"/>
        </w:rPr>
        <w:t>i</w:t>
      </w:r>
      <w:r w:rsidRPr="00B22D20">
        <w:rPr>
          <w:szCs w:val="22"/>
          <w:lang w:val="sr-Latn-CS"/>
        </w:rPr>
        <w:t>l</w:t>
      </w:r>
      <w:r w:rsidR="00173D8C" w:rsidRPr="00B22D20">
        <w:rPr>
          <w:szCs w:val="22"/>
          <w:lang w:val="sr-Latn-CS"/>
        </w:rPr>
        <w:t>j</w:t>
      </w:r>
      <w:r w:rsidRPr="00B22D20">
        <w:rPr>
          <w:szCs w:val="22"/>
          <w:lang w:val="sr-Latn-CS"/>
        </w:rPr>
        <w:t>eženog klopidogrela, približno 50% un</w:t>
      </w:r>
      <w:r w:rsidR="009958E7" w:rsidRPr="00B22D20">
        <w:rPr>
          <w:szCs w:val="22"/>
          <w:lang w:val="sr-Latn-CS"/>
        </w:rPr>
        <w:t>ij</w:t>
      </w:r>
      <w:r w:rsidRPr="00B22D20">
        <w:rPr>
          <w:szCs w:val="22"/>
          <w:lang w:val="sr-Latn-CS"/>
        </w:rPr>
        <w:t>ete doze se izluči urinom i približno 46% fecesom, u periodu od 120 sati posl</w:t>
      </w:r>
      <w:r w:rsidR="00695B24" w:rsidRPr="00B22D20">
        <w:rPr>
          <w:szCs w:val="22"/>
          <w:lang w:val="sr-Latn-CS"/>
        </w:rPr>
        <w:t>ij</w:t>
      </w:r>
      <w:r w:rsidRPr="00B22D20">
        <w:rPr>
          <w:szCs w:val="22"/>
          <w:lang w:val="sr-Latn-CS"/>
        </w:rPr>
        <w:t xml:space="preserve">e uzimanja </w:t>
      </w:r>
      <w:r w:rsidR="00AC562A" w:rsidRPr="00B22D20">
        <w:rPr>
          <w:szCs w:val="22"/>
          <w:lang w:val="sr-Latn-CS"/>
        </w:rPr>
        <w:t>lijek</w:t>
      </w:r>
      <w:r w:rsidRPr="00B22D20">
        <w:rPr>
          <w:szCs w:val="22"/>
          <w:lang w:val="sr-Latn-CS"/>
        </w:rPr>
        <w:t>a. Posl</w:t>
      </w:r>
      <w:r w:rsidR="00695B24" w:rsidRPr="00B22D20">
        <w:rPr>
          <w:szCs w:val="22"/>
          <w:lang w:val="sr-Latn-CS"/>
        </w:rPr>
        <w:t>ij</w:t>
      </w:r>
      <w:r w:rsidRPr="00B22D20">
        <w:rPr>
          <w:szCs w:val="22"/>
          <w:lang w:val="sr-Latn-CS"/>
        </w:rPr>
        <w:t>e pojedinačne oralne doze od 75 mg, poluvr</w:t>
      </w:r>
      <w:r w:rsidR="00E81BE6" w:rsidRPr="00B22D20">
        <w:rPr>
          <w:szCs w:val="22"/>
          <w:lang w:val="sr-Latn-CS"/>
        </w:rPr>
        <w:t>ij</w:t>
      </w:r>
      <w:r w:rsidRPr="00B22D20">
        <w:rPr>
          <w:szCs w:val="22"/>
          <w:lang w:val="sr-Latn-CS"/>
        </w:rPr>
        <w:t>eme</w:t>
      </w:r>
      <w:r w:rsidR="00173D8C" w:rsidRPr="00B22D20">
        <w:rPr>
          <w:szCs w:val="22"/>
          <w:lang w:val="sr-Latn-CS"/>
        </w:rPr>
        <w:t xml:space="preserve"> </w:t>
      </w:r>
      <w:r w:rsidRPr="00B22D20">
        <w:rPr>
          <w:szCs w:val="22"/>
          <w:lang w:val="sr-Latn-CS"/>
        </w:rPr>
        <w:t xml:space="preserve">eliminacije klopidogrela </w:t>
      </w:r>
      <w:r w:rsidR="009958E7" w:rsidRPr="00B22D20">
        <w:rPr>
          <w:szCs w:val="22"/>
          <w:lang w:val="sr-Latn-CS"/>
        </w:rPr>
        <w:t xml:space="preserve">je </w:t>
      </w:r>
      <w:r w:rsidRPr="00B22D20">
        <w:rPr>
          <w:szCs w:val="22"/>
          <w:lang w:val="sr-Latn-CS"/>
        </w:rPr>
        <w:t>oko 6 sati. Poluvr</w:t>
      </w:r>
      <w:r w:rsidR="00E81BE6" w:rsidRPr="00B22D20">
        <w:rPr>
          <w:szCs w:val="22"/>
          <w:lang w:val="sr-Latn-CS"/>
        </w:rPr>
        <w:t>ij</w:t>
      </w:r>
      <w:r w:rsidRPr="00B22D20">
        <w:rPr>
          <w:szCs w:val="22"/>
          <w:lang w:val="sr-Latn-CS"/>
        </w:rPr>
        <w:t xml:space="preserve">eme eliminacije glavnog cirkulišućeg (neaktivnog) metabolita bilo je 8 sati i nakon </w:t>
      </w:r>
      <w:r w:rsidR="00D77814" w:rsidRPr="00B22D20">
        <w:rPr>
          <w:szCs w:val="22"/>
          <w:lang w:val="sr-Latn-CS"/>
        </w:rPr>
        <w:t>primjen</w:t>
      </w:r>
      <w:r w:rsidRPr="00B22D20">
        <w:rPr>
          <w:szCs w:val="22"/>
          <w:lang w:val="sr-Latn-CS"/>
        </w:rPr>
        <w:t>e pojedinačne doze i kod ponovljenog doziranja.</w:t>
      </w:r>
    </w:p>
    <w:p w14:paraId="7F912E56" w14:textId="77777777" w:rsidR="00F3137E" w:rsidRPr="00B22D20" w:rsidRDefault="00F3137E">
      <w:pPr>
        <w:spacing w:before="120"/>
        <w:rPr>
          <w:szCs w:val="22"/>
          <w:lang w:val="sr-Latn-CS"/>
        </w:rPr>
      </w:pPr>
      <w:r w:rsidRPr="00B22D20">
        <w:rPr>
          <w:i/>
          <w:szCs w:val="22"/>
          <w:lang w:val="sr-Latn-CS"/>
        </w:rPr>
        <w:t xml:space="preserve">Farmakogenetika </w:t>
      </w:r>
    </w:p>
    <w:p w14:paraId="7FAB97B8" w14:textId="7DAB23B0" w:rsidR="00F3137E" w:rsidRPr="00B22D20" w:rsidRDefault="00F3137E">
      <w:pPr>
        <w:spacing w:before="120"/>
        <w:rPr>
          <w:szCs w:val="22"/>
          <w:lang w:val="sr-Latn-CS"/>
        </w:rPr>
      </w:pPr>
      <w:r w:rsidRPr="00B22D20">
        <w:rPr>
          <w:szCs w:val="22"/>
          <w:lang w:val="sr-Latn-CS"/>
        </w:rPr>
        <w:t>CYP2C19 je uključen u formiranje aktivnog metabolita i intermedijernog metabolita 2-okso klopidogrel</w:t>
      </w:r>
      <w:r w:rsidR="00173D8C" w:rsidRPr="00B22D20">
        <w:rPr>
          <w:szCs w:val="22"/>
          <w:lang w:val="sr-Latn-CS"/>
        </w:rPr>
        <w:t>a</w:t>
      </w:r>
      <w:r w:rsidRPr="00B22D20">
        <w:rPr>
          <w:szCs w:val="22"/>
          <w:lang w:val="sr-Latn-CS"/>
        </w:rPr>
        <w:t>. Farmakokinetika i anti</w:t>
      </w:r>
      <w:r w:rsidR="00173D8C" w:rsidRPr="00B22D20">
        <w:rPr>
          <w:szCs w:val="22"/>
          <w:lang w:val="sr-Latn-CS"/>
        </w:rPr>
        <w:t>agregacioni efekat</w:t>
      </w:r>
      <w:r w:rsidRPr="00B22D20">
        <w:rPr>
          <w:szCs w:val="22"/>
          <w:lang w:val="sr-Latn-CS"/>
        </w:rPr>
        <w:t xml:space="preserve"> aktivnog metabolita klopidogrela, kako je izm</w:t>
      </w:r>
      <w:r w:rsidR="009958E7" w:rsidRPr="00B22D20">
        <w:rPr>
          <w:szCs w:val="22"/>
          <w:lang w:val="sr-Latn-CS"/>
        </w:rPr>
        <w:t>j</w:t>
      </w:r>
      <w:r w:rsidRPr="00B22D20">
        <w:rPr>
          <w:szCs w:val="22"/>
          <w:lang w:val="sr-Latn-CS"/>
        </w:rPr>
        <w:t xml:space="preserve">ereno u </w:t>
      </w:r>
      <w:r w:rsidRPr="00B22D20">
        <w:rPr>
          <w:i/>
          <w:szCs w:val="22"/>
          <w:lang w:val="sr-Latn-CS"/>
        </w:rPr>
        <w:t>ex vivo</w:t>
      </w:r>
      <w:r w:rsidRPr="00B22D20">
        <w:rPr>
          <w:szCs w:val="22"/>
          <w:lang w:val="sr-Latn-CS"/>
        </w:rPr>
        <w:t xml:space="preserve"> testovima agregacije trombocita, razlikuje se u zavisnosti od genotipa enzim</w:t>
      </w:r>
      <w:r w:rsidR="00173D8C" w:rsidRPr="00B22D20">
        <w:rPr>
          <w:szCs w:val="22"/>
          <w:lang w:val="sr-Latn-CS"/>
        </w:rPr>
        <w:t>a</w:t>
      </w:r>
      <w:r w:rsidRPr="00B22D20">
        <w:rPr>
          <w:szCs w:val="22"/>
          <w:lang w:val="sr-Latn-CS"/>
        </w:rPr>
        <w:t xml:space="preserve"> CYP2C19.</w:t>
      </w:r>
    </w:p>
    <w:p w14:paraId="74E85F0F" w14:textId="4F6E3C2B" w:rsidR="00F3137E" w:rsidRPr="00B22D20" w:rsidRDefault="00F3137E">
      <w:pPr>
        <w:spacing w:before="120"/>
        <w:rPr>
          <w:szCs w:val="22"/>
          <w:lang w:val="sr-Latn-CS"/>
        </w:rPr>
      </w:pPr>
      <w:r w:rsidRPr="00B22D20">
        <w:rPr>
          <w:szCs w:val="22"/>
          <w:lang w:val="sr-Latn-CS"/>
        </w:rPr>
        <w:t xml:space="preserve">CYP2C19*1 alel odgovara potpuno funkcionalnom metabolizmu, dok su CYP2C19*2 i CYP2C19*3 aleli nefunkcionalni. CYP2C19*2 i CYP2C19*3 aleli čine većinu alela sa smanjenom funkcijom kod slabih </w:t>
      </w:r>
      <w:r w:rsidRPr="00B22D20">
        <w:rPr>
          <w:szCs w:val="22"/>
          <w:lang w:val="sr-Latn-CS"/>
        </w:rPr>
        <w:lastRenderedPageBreak/>
        <w:t xml:space="preserve">metabolizera kod </w:t>
      </w:r>
      <w:r w:rsidR="00404525" w:rsidRPr="00B22D20">
        <w:rPr>
          <w:szCs w:val="22"/>
          <w:lang w:val="sr-Latn-CS"/>
        </w:rPr>
        <w:t>ljudi b</w:t>
      </w:r>
      <w:r w:rsidR="00695B24" w:rsidRPr="00B22D20">
        <w:rPr>
          <w:szCs w:val="22"/>
          <w:lang w:val="sr-Latn-CS"/>
        </w:rPr>
        <w:t>ij</w:t>
      </w:r>
      <w:r w:rsidR="00404525" w:rsidRPr="00B22D20">
        <w:rPr>
          <w:szCs w:val="22"/>
          <w:lang w:val="sr-Latn-CS"/>
        </w:rPr>
        <w:t>ele rase</w:t>
      </w:r>
      <w:r w:rsidRPr="00B22D20">
        <w:rPr>
          <w:szCs w:val="22"/>
          <w:lang w:val="sr-Latn-CS"/>
        </w:rPr>
        <w:t xml:space="preserve"> (85%) i Azijata (99%). Ostali aleli povezani sa smanjenim metabolizmom uključuju CYP2C19*4, *5, *6, *7 i *8, ali oni su manje zastupljeni. Pacijenti sa statusom slabih metabolizera imaju 2 nefunkcionalna alela. Učestalost pacijenata sa genotipom sporog metabolizma preko CYP2C19 izoenzima, prema objavljenim podacima, iznosi oko 2% kod b</w:t>
      </w:r>
      <w:r w:rsidR="00111807" w:rsidRPr="00B22D20">
        <w:rPr>
          <w:szCs w:val="22"/>
          <w:lang w:val="sr-Latn-CS"/>
        </w:rPr>
        <w:t>ij</w:t>
      </w:r>
      <w:r w:rsidRPr="00B22D20">
        <w:rPr>
          <w:szCs w:val="22"/>
          <w:lang w:val="sr-Latn-CS"/>
        </w:rPr>
        <w:t>elaca, 4% kod crnaca i čak 14% kod Kineza. Dostupni su testovi za određivanje CYP2C19 genotipa pacijenata.</w:t>
      </w:r>
    </w:p>
    <w:p w14:paraId="1193ADF9" w14:textId="11E45ED9" w:rsidR="00F3137E" w:rsidRPr="00B22D20" w:rsidRDefault="00F3137E">
      <w:pPr>
        <w:spacing w:before="120"/>
        <w:rPr>
          <w:szCs w:val="22"/>
          <w:lang w:val="sr-Latn-CS"/>
        </w:rPr>
      </w:pPr>
      <w:r w:rsidRPr="00B22D20">
        <w:rPr>
          <w:szCs w:val="22"/>
          <w:lang w:val="sr-Latn-CS"/>
        </w:rPr>
        <w:t>U ukrštenoj studiji na 40 zdravih osoba, po 10 iz svake grupe CYP2C19 metabolizer</w:t>
      </w:r>
      <w:r w:rsidR="006C4603" w:rsidRPr="00B22D20">
        <w:rPr>
          <w:szCs w:val="22"/>
          <w:lang w:val="sr-Latn-CS"/>
        </w:rPr>
        <w:t>a</w:t>
      </w:r>
      <w:r w:rsidRPr="00B22D20">
        <w:rPr>
          <w:szCs w:val="22"/>
          <w:lang w:val="sr-Latn-CS"/>
        </w:rPr>
        <w:t xml:space="preserve"> (ultrabrzi, brzi, um</w:t>
      </w:r>
      <w:r w:rsidR="00695B24" w:rsidRPr="00B22D20">
        <w:rPr>
          <w:szCs w:val="22"/>
          <w:lang w:val="sr-Latn-CS"/>
        </w:rPr>
        <w:t>j</w:t>
      </w:r>
      <w:r w:rsidRPr="00B22D20">
        <w:rPr>
          <w:szCs w:val="22"/>
          <w:lang w:val="sr-Latn-CS"/>
        </w:rPr>
        <w:t>ereni i slabi), proc</w:t>
      </w:r>
      <w:r w:rsidR="00111807" w:rsidRPr="00B22D20">
        <w:rPr>
          <w:szCs w:val="22"/>
          <w:lang w:val="sr-Latn-CS"/>
        </w:rPr>
        <w:t>ij</w:t>
      </w:r>
      <w:r w:rsidRPr="00B22D20">
        <w:rPr>
          <w:szCs w:val="22"/>
          <w:lang w:val="sr-Latn-CS"/>
        </w:rPr>
        <w:t>enjen je farmakokinetički i antiagregacioni odgovor upotrebom doze od 300 mg, nakon čega je sl</w:t>
      </w:r>
      <w:r w:rsidR="00695B24" w:rsidRPr="00B22D20">
        <w:rPr>
          <w:szCs w:val="22"/>
          <w:lang w:val="sr-Latn-CS"/>
        </w:rPr>
        <w:t>j</w:t>
      </w:r>
      <w:r w:rsidRPr="00B22D20">
        <w:rPr>
          <w:szCs w:val="22"/>
          <w:lang w:val="sr-Latn-CS"/>
        </w:rPr>
        <w:t>edila doza od 75 mg/dan i doze od 600 mg, nakon čega je sl</w:t>
      </w:r>
      <w:r w:rsidR="005804CD">
        <w:rPr>
          <w:szCs w:val="22"/>
          <w:lang w:val="sr-Latn-CS"/>
        </w:rPr>
        <w:t>i</w:t>
      </w:r>
      <w:r w:rsidR="00695B24" w:rsidRPr="00B22D20">
        <w:rPr>
          <w:szCs w:val="22"/>
          <w:lang w:val="sr-Latn-CS"/>
        </w:rPr>
        <w:t>j</w:t>
      </w:r>
      <w:r w:rsidRPr="00B22D20">
        <w:rPr>
          <w:szCs w:val="22"/>
          <w:lang w:val="sr-Latn-CS"/>
        </w:rPr>
        <w:t>edila doza od 150 mg/dan, u trajanju od ukupno 5 dana (stanje dinamičke ravnoteže). Ni</w:t>
      </w:r>
      <w:r w:rsidR="009958E7" w:rsidRPr="00B22D20">
        <w:rPr>
          <w:szCs w:val="22"/>
          <w:lang w:val="sr-Latn-CS"/>
        </w:rPr>
        <w:t>je</w:t>
      </w:r>
      <w:r w:rsidRPr="00B22D20">
        <w:rPr>
          <w:szCs w:val="22"/>
          <w:lang w:val="sr-Latn-CS"/>
        </w:rPr>
        <w:t>su zapažene značajne razlike u izloženosti aktivnom metabolitu i pros</w:t>
      </w:r>
      <w:r w:rsidR="00695B24" w:rsidRPr="00B22D20">
        <w:rPr>
          <w:szCs w:val="22"/>
          <w:lang w:val="sr-Latn-CS"/>
        </w:rPr>
        <w:t>j</w:t>
      </w:r>
      <w:r w:rsidRPr="00B22D20">
        <w:rPr>
          <w:szCs w:val="22"/>
          <w:lang w:val="sr-Latn-CS"/>
        </w:rPr>
        <w:t>ečnoj vr</w:t>
      </w:r>
      <w:r w:rsidR="00695B24" w:rsidRPr="00B22D20">
        <w:rPr>
          <w:szCs w:val="22"/>
          <w:lang w:val="sr-Latn-CS"/>
        </w:rPr>
        <w:t>ij</w:t>
      </w:r>
      <w:r w:rsidRPr="00B22D20">
        <w:rPr>
          <w:szCs w:val="22"/>
          <w:lang w:val="sr-Latn-CS"/>
        </w:rPr>
        <w:t>ednosti inhibicije agregacij</w:t>
      </w:r>
      <w:r w:rsidR="00D473DC" w:rsidRPr="00B22D20">
        <w:rPr>
          <w:szCs w:val="22"/>
          <w:lang w:val="sr-Latn-CS"/>
        </w:rPr>
        <w:t>e</w:t>
      </w:r>
      <w:r w:rsidRPr="00B22D20">
        <w:rPr>
          <w:szCs w:val="22"/>
          <w:lang w:val="sr-Latn-CS"/>
        </w:rPr>
        <w:t xml:space="preserve"> trombocita (</w:t>
      </w:r>
      <w:r w:rsidR="006C4603" w:rsidRPr="00B22D20">
        <w:rPr>
          <w:szCs w:val="22"/>
          <w:lang w:val="sr-Latn-CS"/>
        </w:rPr>
        <w:t xml:space="preserve">engl. </w:t>
      </w:r>
      <w:r w:rsidR="00DF0EEC" w:rsidRPr="00B22D20">
        <w:rPr>
          <w:i/>
          <w:szCs w:val="22"/>
          <w:lang w:val="sr-Latn-CS"/>
        </w:rPr>
        <w:t>Inhibition of plateled aggregation</w:t>
      </w:r>
      <w:r w:rsidR="006C4603" w:rsidRPr="00B22D20">
        <w:rPr>
          <w:szCs w:val="22"/>
          <w:lang w:val="sr-Latn-CS"/>
        </w:rPr>
        <w:t xml:space="preserve"> </w:t>
      </w:r>
      <w:r w:rsidRPr="00B22D20">
        <w:rPr>
          <w:szCs w:val="22"/>
          <w:lang w:val="sr-Latn-CS"/>
        </w:rPr>
        <w:t>IPA) među ultrabrzim, brzim i um</w:t>
      </w:r>
      <w:r w:rsidR="00111807" w:rsidRPr="00B22D20">
        <w:rPr>
          <w:szCs w:val="22"/>
          <w:lang w:val="sr-Latn-CS"/>
        </w:rPr>
        <w:t>j</w:t>
      </w:r>
      <w:r w:rsidRPr="00B22D20">
        <w:rPr>
          <w:szCs w:val="22"/>
          <w:lang w:val="sr-Latn-CS"/>
        </w:rPr>
        <w:t>erenim metabolizerima. Kod slabih metabolizera, izloženost aktivnom metabolitu bila je manja za 63-71% u poređenju sa brzim metabolizerima. Nakon doznog režima od</w:t>
      </w:r>
      <w:r w:rsidR="006C4603" w:rsidRPr="00B22D20">
        <w:rPr>
          <w:szCs w:val="22"/>
          <w:lang w:val="sr-Latn-CS"/>
        </w:rPr>
        <w:t xml:space="preserve"> </w:t>
      </w:r>
      <w:r w:rsidRPr="00B22D20">
        <w:rPr>
          <w:szCs w:val="22"/>
          <w:lang w:val="sr-Latn-CS"/>
        </w:rPr>
        <w:t>300 mg/75 mg,</w:t>
      </w:r>
      <w:r w:rsidR="002E34E1" w:rsidRPr="00B22D20">
        <w:rPr>
          <w:szCs w:val="22"/>
          <w:lang w:val="sr-Latn-CS"/>
        </w:rPr>
        <w:t xml:space="preserve"> </w:t>
      </w:r>
      <w:r w:rsidR="006C4603" w:rsidRPr="00B22D20">
        <w:rPr>
          <w:szCs w:val="22"/>
          <w:lang w:val="sr-Latn-CS"/>
        </w:rPr>
        <w:t>antiagregacioni</w:t>
      </w:r>
      <w:r w:rsidRPr="00B22D20">
        <w:rPr>
          <w:szCs w:val="22"/>
          <w:lang w:val="sr-Latn-CS"/>
        </w:rPr>
        <w:t xml:space="preserve"> odgovor bio je smanjen kod slabih metabolizera sa srednjom vr</w:t>
      </w:r>
      <w:r w:rsidR="00D70C12" w:rsidRPr="00B22D20">
        <w:rPr>
          <w:szCs w:val="22"/>
          <w:lang w:val="sr-Latn-CS"/>
        </w:rPr>
        <w:t>ij</w:t>
      </w:r>
      <w:r w:rsidRPr="00B22D20">
        <w:rPr>
          <w:szCs w:val="22"/>
          <w:lang w:val="sr-Latn-CS"/>
        </w:rPr>
        <w:t>ednošću IPA (5</w:t>
      </w:r>
      <w:r w:rsidR="006C4603" w:rsidRPr="00B22D20">
        <w:rPr>
          <w:szCs w:val="22"/>
          <w:lang w:val="sr-Latn-CS"/>
        </w:rPr>
        <w:t xml:space="preserve"> </w:t>
      </w:r>
      <w:r w:rsidR="009958E7" w:rsidRPr="00B22D20">
        <w:rPr>
          <w:szCs w:val="22"/>
          <w:lang w:val="sr-Latn-CS"/>
        </w:rPr>
        <w:t>μ</w:t>
      </w:r>
      <w:r w:rsidR="006C4603" w:rsidRPr="00B22D20">
        <w:rPr>
          <w:szCs w:val="22"/>
          <w:lang w:val="sr-Latn-CS"/>
        </w:rPr>
        <w:t xml:space="preserve">mola </w:t>
      </w:r>
      <w:r w:rsidRPr="00B22D20">
        <w:rPr>
          <w:szCs w:val="22"/>
          <w:lang w:val="sr-Latn-CS"/>
        </w:rPr>
        <w:t>ADP) od 24% (nakon 24 sata) i 37% (dan 5) u poređenju sa vr</w:t>
      </w:r>
      <w:r w:rsidR="00D70C12" w:rsidRPr="00B22D20">
        <w:rPr>
          <w:szCs w:val="22"/>
          <w:lang w:val="sr-Latn-CS"/>
        </w:rPr>
        <w:t>ij</w:t>
      </w:r>
      <w:r w:rsidRPr="00B22D20">
        <w:rPr>
          <w:szCs w:val="22"/>
          <w:lang w:val="sr-Latn-CS"/>
        </w:rPr>
        <w:t xml:space="preserve">ednostima IPA-e od </w:t>
      </w:r>
      <w:bookmarkStart w:id="10" w:name="OLE_LINK12"/>
      <w:bookmarkStart w:id="11" w:name="OLE_LINK13"/>
      <w:r w:rsidRPr="00B22D20">
        <w:rPr>
          <w:szCs w:val="22"/>
          <w:lang w:val="sr-Latn-CS"/>
        </w:rPr>
        <w:t>39% (24 sata) i 58% (peti dan)</w:t>
      </w:r>
      <w:bookmarkEnd w:id="10"/>
      <w:bookmarkEnd w:id="11"/>
      <w:r w:rsidRPr="00B22D20">
        <w:rPr>
          <w:szCs w:val="22"/>
          <w:lang w:val="sr-Latn-CS"/>
        </w:rPr>
        <w:t xml:space="preserve"> za brze metabolizere, a 37% (24 sata) i 60% (peti dan) za um</w:t>
      </w:r>
      <w:r w:rsidR="00D70C12" w:rsidRPr="00B22D20">
        <w:rPr>
          <w:szCs w:val="22"/>
          <w:lang w:val="sr-Latn-CS"/>
        </w:rPr>
        <w:t>j</w:t>
      </w:r>
      <w:r w:rsidRPr="00B22D20">
        <w:rPr>
          <w:szCs w:val="22"/>
          <w:lang w:val="sr-Latn-CS"/>
        </w:rPr>
        <w:t>erene metabolizere. Kad su slabi metablizeri primili dozu od 600 mg/150 mg, izloženost aktivnom metablitu bila je veća nego kod režima doziranja od 300 mg/75mg. Dodatno, vr</w:t>
      </w:r>
      <w:r w:rsidR="009958E7" w:rsidRPr="00B22D20">
        <w:rPr>
          <w:szCs w:val="22"/>
          <w:lang w:val="sr-Latn-CS"/>
        </w:rPr>
        <w:t>ij</w:t>
      </w:r>
      <w:r w:rsidRPr="00B22D20">
        <w:rPr>
          <w:szCs w:val="22"/>
          <w:lang w:val="sr-Latn-CS"/>
        </w:rPr>
        <w:t xml:space="preserve">ednost IPA iznosila je 32% (24 sata) i 61% (dan 5), što je više nego kod slabih metabolizera koji su primili režim doziranja od 300 mg/75 mg i slično je ostalim grupama CYP2C19 metabolizera koji su primali </w:t>
      </w:r>
      <w:r w:rsidR="008808EE" w:rsidRPr="00B22D20">
        <w:rPr>
          <w:szCs w:val="22"/>
          <w:lang w:val="sr-Latn-CS"/>
        </w:rPr>
        <w:t xml:space="preserve">režim </w:t>
      </w:r>
      <w:r w:rsidRPr="00B22D20">
        <w:rPr>
          <w:szCs w:val="22"/>
          <w:lang w:val="sr-Latn-CS"/>
        </w:rPr>
        <w:t>doz</w:t>
      </w:r>
      <w:r w:rsidR="008808EE" w:rsidRPr="00B22D20">
        <w:rPr>
          <w:szCs w:val="22"/>
          <w:lang w:val="sr-Latn-CS"/>
        </w:rPr>
        <w:t>iranja</w:t>
      </w:r>
      <w:r w:rsidRPr="00B22D20">
        <w:rPr>
          <w:szCs w:val="22"/>
          <w:lang w:val="sr-Latn-CS"/>
        </w:rPr>
        <w:t xml:space="preserve"> od 300 mg/75 mg. U kliničkim studijama nije utvrđen odgovarajući režim doziranja za ovu populaciju pacijenata.</w:t>
      </w:r>
    </w:p>
    <w:p w14:paraId="6985F61B" w14:textId="6D6F28E8" w:rsidR="00F3137E" w:rsidRPr="00B22D20" w:rsidRDefault="00F3137E">
      <w:pPr>
        <w:spacing w:before="120"/>
        <w:rPr>
          <w:szCs w:val="22"/>
          <w:lang w:val="sr-Latn-CS"/>
        </w:rPr>
      </w:pPr>
      <w:r w:rsidRPr="00B22D20">
        <w:rPr>
          <w:szCs w:val="22"/>
          <w:lang w:val="sr-Latn-CS"/>
        </w:rPr>
        <w:t xml:space="preserve">U skladu sa gore navedenim rezultatima, u meta-analizi koja je uključivala 6 studija sa 335 pacijenata </w:t>
      </w:r>
      <w:r w:rsidR="008808EE" w:rsidRPr="00B22D20">
        <w:rPr>
          <w:szCs w:val="22"/>
          <w:lang w:val="sr-Latn-CS"/>
        </w:rPr>
        <w:t>l</w:t>
      </w:r>
      <w:r w:rsidR="009958E7" w:rsidRPr="00B22D20">
        <w:rPr>
          <w:szCs w:val="22"/>
          <w:lang w:val="sr-Latn-CS"/>
        </w:rPr>
        <w:t>i</w:t>
      </w:r>
      <w:r w:rsidR="00D70C12" w:rsidRPr="00B22D20">
        <w:rPr>
          <w:szCs w:val="22"/>
          <w:lang w:val="sr-Latn-CS"/>
        </w:rPr>
        <w:t>j</w:t>
      </w:r>
      <w:r w:rsidR="008808EE" w:rsidRPr="00B22D20">
        <w:rPr>
          <w:szCs w:val="22"/>
          <w:lang w:val="sr-Latn-CS"/>
        </w:rPr>
        <w:t>ečenih</w:t>
      </w:r>
      <w:r w:rsidRPr="00B22D20">
        <w:rPr>
          <w:szCs w:val="22"/>
          <w:lang w:val="sr-Latn-CS"/>
        </w:rPr>
        <w:t xml:space="preserve"> klopidogrelom u stanju dinamičke ravnoteže, pokazano je da je izloženost aktivnom metabolitu smanjena za 28% za um</w:t>
      </w:r>
      <w:r w:rsidR="00D70C12" w:rsidRPr="00B22D20">
        <w:rPr>
          <w:szCs w:val="22"/>
          <w:lang w:val="sr-Latn-CS"/>
        </w:rPr>
        <w:t>j</w:t>
      </w:r>
      <w:r w:rsidRPr="00B22D20">
        <w:rPr>
          <w:szCs w:val="22"/>
          <w:lang w:val="sr-Latn-CS"/>
        </w:rPr>
        <w:t>erene metabolizere, a 72% za spore metabolizere, dok je inhibicija agregacije trombocita (</w:t>
      </w:r>
      <w:r w:rsidR="009958E7" w:rsidRPr="00B22D20">
        <w:rPr>
          <w:szCs w:val="22"/>
          <w:lang w:val="sr-Latn-CS"/>
        </w:rPr>
        <w:t>5 μ</w:t>
      </w:r>
      <w:r w:rsidR="00C3722C" w:rsidRPr="00B22D20">
        <w:rPr>
          <w:szCs w:val="22"/>
          <w:lang w:val="sr-Latn-CS"/>
        </w:rPr>
        <w:t xml:space="preserve">mola </w:t>
      </w:r>
      <w:r w:rsidRPr="00B22D20">
        <w:rPr>
          <w:szCs w:val="22"/>
          <w:lang w:val="sr-Latn-CS"/>
        </w:rPr>
        <w:t>ADP) smanjena s razlikama za vr</w:t>
      </w:r>
      <w:r w:rsidR="00D70C12" w:rsidRPr="00B22D20">
        <w:rPr>
          <w:szCs w:val="22"/>
          <w:lang w:val="sr-Latn-CS"/>
        </w:rPr>
        <w:t>ij</w:t>
      </w:r>
      <w:r w:rsidRPr="00B22D20">
        <w:rPr>
          <w:szCs w:val="22"/>
          <w:lang w:val="sr-Latn-CS"/>
        </w:rPr>
        <w:t>ednost IPA-e od 5,9%, odnosno 21,4% u poređenju sa brzim metabolizerima.</w:t>
      </w:r>
    </w:p>
    <w:p w14:paraId="533F630B" w14:textId="53072924" w:rsidR="00F3137E" w:rsidRPr="00B22D20" w:rsidRDefault="00F3137E">
      <w:pPr>
        <w:spacing w:before="120"/>
        <w:rPr>
          <w:szCs w:val="22"/>
          <w:lang w:val="sr-Latn-CS"/>
        </w:rPr>
      </w:pPr>
      <w:r w:rsidRPr="00B22D20">
        <w:rPr>
          <w:szCs w:val="22"/>
          <w:lang w:val="sr-Latn-CS"/>
        </w:rPr>
        <w:t>Uticaj CYP2C19 genotipa na kliničke ishode kod pacijenata l</w:t>
      </w:r>
      <w:r w:rsidR="009958E7" w:rsidRPr="00B22D20">
        <w:rPr>
          <w:szCs w:val="22"/>
          <w:lang w:val="sr-Latn-CS"/>
        </w:rPr>
        <w:t>i</w:t>
      </w:r>
      <w:r w:rsidR="00D70C12" w:rsidRPr="00B22D20">
        <w:rPr>
          <w:szCs w:val="22"/>
          <w:lang w:val="sr-Latn-CS"/>
        </w:rPr>
        <w:t>j</w:t>
      </w:r>
      <w:r w:rsidRPr="00B22D20">
        <w:rPr>
          <w:szCs w:val="22"/>
          <w:lang w:val="sr-Latn-CS"/>
        </w:rPr>
        <w:t>ečenih klopidogrelom nije proc</w:t>
      </w:r>
      <w:r w:rsidR="00D70C12" w:rsidRPr="00B22D20">
        <w:rPr>
          <w:szCs w:val="22"/>
          <w:lang w:val="sr-Latn-CS"/>
        </w:rPr>
        <w:t>j</w:t>
      </w:r>
      <w:r w:rsidRPr="00B22D20">
        <w:rPr>
          <w:szCs w:val="22"/>
          <w:lang w:val="sr-Latn-CS"/>
        </w:rPr>
        <w:t>enjivan u prospektivnim, randomizovanim, kontrolisanim ispitivanjima. Međutim, postoji veći broj retrospektivnih analiza za proc</w:t>
      </w:r>
      <w:r w:rsidR="00D70C12" w:rsidRPr="00B22D20">
        <w:rPr>
          <w:szCs w:val="22"/>
          <w:lang w:val="sr-Latn-CS"/>
        </w:rPr>
        <w:t>j</w:t>
      </w:r>
      <w:r w:rsidRPr="00B22D20">
        <w:rPr>
          <w:szCs w:val="22"/>
          <w:lang w:val="sr-Latn-CS"/>
        </w:rPr>
        <w:t>enu ovog efekta kod pacijenata l</w:t>
      </w:r>
      <w:r w:rsidR="009958E7" w:rsidRPr="00B22D20">
        <w:rPr>
          <w:szCs w:val="22"/>
          <w:lang w:val="sr-Latn-CS"/>
        </w:rPr>
        <w:t>i</w:t>
      </w:r>
      <w:r w:rsidR="00D70C12" w:rsidRPr="00B22D20">
        <w:rPr>
          <w:szCs w:val="22"/>
          <w:lang w:val="sr-Latn-CS"/>
        </w:rPr>
        <w:t>j</w:t>
      </w:r>
      <w:r w:rsidRPr="00B22D20">
        <w:rPr>
          <w:szCs w:val="22"/>
          <w:lang w:val="sr-Latn-CS"/>
        </w:rPr>
        <w:t>ečenih klopidogrelom za koje postoje rezultati genotipizacije: CURE (n=2721), CHARISMA (n=2428), CLARITY-TIMI 28 (</w:t>
      </w:r>
      <w:r w:rsidR="00C3722C" w:rsidRPr="00B22D20">
        <w:rPr>
          <w:szCs w:val="22"/>
          <w:lang w:val="sr-Latn-CS"/>
        </w:rPr>
        <w:t>N</w:t>
      </w:r>
      <w:r w:rsidRPr="00B22D20">
        <w:rPr>
          <w:szCs w:val="22"/>
          <w:lang w:val="sr-Latn-CS"/>
        </w:rPr>
        <w:t>=227), TRITON-TIMI 38 (</w:t>
      </w:r>
      <w:r w:rsidR="00C3722C" w:rsidRPr="00B22D20">
        <w:rPr>
          <w:szCs w:val="22"/>
          <w:lang w:val="sr-Latn-CS"/>
        </w:rPr>
        <w:t>N</w:t>
      </w:r>
      <w:r w:rsidRPr="00B22D20">
        <w:rPr>
          <w:szCs w:val="22"/>
          <w:lang w:val="sr-Latn-CS"/>
        </w:rPr>
        <w:t>=1477) i ACTIVE-A (n=601) kao i određeni broj objavljenih kohortnih kliničkih studija.</w:t>
      </w:r>
    </w:p>
    <w:p w14:paraId="41C772CA" w14:textId="4EDA4601" w:rsidR="00F3137E" w:rsidRPr="00B22D20" w:rsidRDefault="00F3137E">
      <w:pPr>
        <w:spacing w:before="120"/>
        <w:rPr>
          <w:szCs w:val="22"/>
          <w:lang w:val="sr-Latn-CS"/>
        </w:rPr>
      </w:pPr>
      <w:r w:rsidRPr="00B22D20">
        <w:rPr>
          <w:szCs w:val="22"/>
          <w:lang w:val="sr-Latn-CS"/>
        </w:rPr>
        <w:t>U studiji TRITON-TIMI 38 i 3 kohortne studije (Collet, Sibbing, Giusti), kombinovana grupa pacijenata sa statusom slabih ili um</w:t>
      </w:r>
      <w:r w:rsidR="00D70C12" w:rsidRPr="00B22D20">
        <w:rPr>
          <w:szCs w:val="22"/>
          <w:lang w:val="sr-Latn-CS"/>
        </w:rPr>
        <w:t>j</w:t>
      </w:r>
      <w:r w:rsidRPr="00B22D20">
        <w:rPr>
          <w:szCs w:val="22"/>
          <w:lang w:val="sr-Latn-CS"/>
        </w:rPr>
        <w:t xml:space="preserve">erenih metabolizera, imala je veću učestalost kardiovaskularnih događaja (smrt, infarkt miokarda i moždani udar) ili tromboza stenta, u poređenju sa </w:t>
      </w:r>
      <w:r w:rsidR="009958E7" w:rsidRPr="00B22D20">
        <w:rPr>
          <w:szCs w:val="22"/>
          <w:lang w:val="sr-Latn-CS"/>
        </w:rPr>
        <w:t xml:space="preserve">pacijentima sa </w:t>
      </w:r>
      <w:r w:rsidRPr="00B22D20">
        <w:rPr>
          <w:szCs w:val="22"/>
          <w:lang w:val="sr-Latn-CS"/>
        </w:rPr>
        <w:t>brzim metabolizmom.</w:t>
      </w:r>
    </w:p>
    <w:p w14:paraId="1B8B8866" w14:textId="627ABB2E" w:rsidR="00F3137E" w:rsidRPr="00B22D20" w:rsidRDefault="00F3137E">
      <w:pPr>
        <w:spacing w:before="120"/>
        <w:rPr>
          <w:szCs w:val="22"/>
          <w:lang w:val="sr-Latn-CS"/>
        </w:rPr>
      </w:pPr>
      <w:r w:rsidRPr="00B22D20">
        <w:rPr>
          <w:szCs w:val="22"/>
          <w:lang w:val="sr-Latn-CS"/>
        </w:rPr>
        <w:t>U studiji CHARISMA i jednoj kohortnoj studiji (Simon), povećan broj slučajeva bio je zapažen samo kod slabih metabolizera, u poređenju sa brzim metabolizerima.</w:t>
      </w:r>
    </w:p>
    <w:p w14:paraId="52FC82CD" w14:textId="196BADC7" w:rsidR="00F3137E" w:rsidRPr="00B22D20" w:rsidRDefault="00F3137E">
      <w:pPr>
        <w:spacing w:before="120"/>
        <w:rPr>
          <w:szCs w:val="22"/>
          <w:lang w:val="sr-Latn-CS"/>
        </w:rPr>
      </w:pPr>
      <w:r w:rsidRPr="00B22D20">
        <w:rPr>
          <w:szCs w:val="22"/>
          <w:lang w:val="sr-Latn-CS"/>
        </w:rPr>
        <w:t>U studijama CURE, CLARITY, ACTIVE-A i jednoj od kohortnih studija (Trenk) nije uočena povećana učestalost slučajeva zasnovano na metabol</w:t>
      </w:r>
      <w:r w:rsidR="009958E7" w:rsidRPr="00B22D20">
        <w:rPr>
          <w:szCs w:val="22"/>
          <w:lang w:val="sr-Latn-CS"/>
        </w:rPr>
        <w:t>ičkom</w:t>
      </w:r>
      <w:r w:rsidRPr="00B22D20">
        <w:rPr>
          <w:szCs w:val="22"/>
          <w:lang w:val="sr-Latn-CS"/>
        </w:rPr>
        <w:t xml:space="preserve"> statusu.</w:t>
      </w:r>
    </w:p>
    <w:p w14:paraId="3C32D2D5" w14:textId="77777777" w:rsidR="00F3137E" w:rsidRPr="00B22D20" w:rsidRDefault="00F3137E">
      <w:pPr>
        <w:spacing w:before="120"/>
        <w:rPr>
          <w:szCs w:val="22"/>
          <w:lang w:val="sr-Latn-CS"/>
        </w:rPr>
      </w:pPr>
      <w:r w:rsidRPr="00B22D20">
        <w:rPr>
          <w:szCs w:val="22"/>
          <w:lang w:val="sr-Latn-CS"/>
        </w:rPr>
        <w:t>Nijedna od ovih analiza nije bila odgovarajuće veličine da bi se zapazile razlike u ishodu kod slabih metabolizera.</w:t>
      </w:r>
    </w:p>
    <w:p w14:paraId="04CEFF7D" w14:textId="77777777" w:rsidR="00F3137E" w:rsidRPr="00B22D20" w:rsidRDefault="00F3137E">
      <w:pPr>
        <w:spacing w:before="120"/>
        <w:rPr>
          <w:szCs w:val="22"/>
          <w:lang w:val="sr-Latn-CS"/>
        </w:rPr>
      </w:pPr>
      <w:r w:rsidRPr="00B22D20">
        <w:rPr>
          <w:szCs w:val="22"/>
          <w:u w:val="single"/>
          <w:lang w:val="sr-Latn-CS"/>
        </w:rPr>
        <w:t>Posebne populacije</w:t>
      </w:r>
    </w:p>
    <w:p w14:paraId="142C042D" w14:textId="52F66B81" w:rsidR="00F3137E" w:rsidRPr="00B22D20" w:rsidRDefault="00F3137E">
      <w:pPr>
        <w:spacing w:before="120"/>
        <w:rPr>
          <w:szCs w:val="22"/>
          <w:lang w:val="sr-Latn-CS"/>
        </w:rPr>
      </w:pPr>
      <w:r w:rsidRPr="00B22D20">
        <w:rPr>
          <w:szCs w:val="22"/>
          <w:lang w:val="sr-Latn-CS"/>
        </w:rPr>
        <w:t>Nije poznata farmakokinetika aktivnog metabolita klopidogrela kod ovih posebnih populacija</w:t>
      </w:r>
      <w:r w:rsidR="00505C6B" w:rsidRPr="00B22D20">
        <w:rPr>
          <w:szCs w:val="22"/>
          <w:lang w:val="sr-Latn-CS"/>
        </w:rPr>
        <w:t>:</w:t>
      </w:r>
    </w:p>
    <w:p w14:paraId="77A8FACD" w14:textId="77777777" w:rsidR="00F3137E" w:rsidRPr="00B22D20" w:rsidRDefault="009D7782">
      <w:pPr>
        <w:spacing w:before="120"/>
        <w:rPr>
          <w:szCs w:val="22"/>
          <w:lang w:val="sr-Latn-CS"/>
        </w:rPr>
      </w:pPr>
      <w:r w:rsidRPr="00B22D20">
        <w:rPr>
          <w:i/>
          <w:szCs w:val="22"/>
          <w:lang w:val="sr-Latn-CS"/>
        </w:rPr>
        <w:t>Oštećenje funkcije bubrega</w:t>
      </w:r>
    </w:p>
    <w:p w14:paraId="28AA7D1D" w14:textId="25F9B7F7" w:rsidR="00F3137E" w:rsidRPr="00B22D20" w:rsidRDefault="00F3137E">
      <w:pPr>
        <w:pStyle w:val="Header"/>
        <w:tabs>
          <w:tab w:val="clear" w:pos="4536"/>
          <w:tab w:val="clear" w:pos="9072"/>
          <w:tab w:val="left" w:pos="284"/>
        </w:tabs>
        <w:spacing w:before="120"/>
        <w:rPr>
          <w:szCs w:val="22"/>
          <w:lang w:val="sr-Latn-CS"/>
        </w:rPr>
      </w:pPr>
      <w:r w:rsidRPr="00B22D20">
        <w:rPr>
          <w:szCs w:val="22"/>
          <w:lang w:eastAsia="zh-CN"/>
        </w:rPr>
        <w:t>Nakon</w:t>
      </w:r>
      <w:r w:rsidRPr="00B22D20">
        <w:rPr>
          <w:szCs w:val="22"/>
          <w:lang w:val="sr-Latn-CS" w:eastAsia="zh-CN"/>
        </w:rPr>
        <w:t xml:space="preserve"> </w:t>
      </w:r>
      <w:r w:rsidRPr="00B22D20">
        <w:rPr>
          <w:szCs w:val="22"/>
          <w:lang w:eastAsia="zh-CN"/>
        </w:rPr>
        <w:t>ponovljenih</w:t>
      </w:r>
      <w:r w:rsidRPr="00B22D20">
        <w:rPr>
          <w:szCs w:val="22"/>
          <w:lang w:val="sr-Latn-CS" w:eastAsia="zh-CN"/>
        </w:rPr>
        <w:t xml:space="preserve"> </w:t>
      </w:r>
      <w:r w:rsidRPr="00B22D20">
        <w:rPr>
          <w:szCs w:val="22"/>
          <w:lang w:eastAsia="zh-CN"/>
        </w:rPr>
        <w:t>doza</w:t>
      </w:r>
      <w:r w:rsidRPr="00B22D20">
        <w:rPr>
          <w:szCs w:val="22"/>
          <w:lang w:val="sr-Latn-CS" w:eastAsia="zh-CN"/>
        </w:rPr>
        <w:t xml:space="preserve"> </w:t>
      </w:r>
      <w:proofErr w:type="gramStart"/>
      <w:r w:rsidRPr="00B22D20">
        <w:rPr>
          <w:szCs w:val="22"/>
          <w:lang w:eastAsia="zh-CN"/>
        </w:rPr>
        <w:t>od</w:t>
      </w:r>
      <w:proofErr w:type="gramEnd"/>
      <w:r w:rsidRPr="00B22D20">
        <w:rPr>
          <w:szCs w:val="22"/>
          <w:lang w:val="sr-Latn-CS" w:eastAsia="zh-CN"/>
        </w:rPr>
        <w:t xml:space="preserve"> 75 </w:t>
      </w:r>
      <w:r w:rsidRPr="00B22D20">
        <w:rPr>
          <w:szCs w:val="22"/>
          <w:lang w:eastAsia="zh-CN"/>
        </w:rPr>
        <w:t>mg</w:t>
      </w:r>
      <w:r w:rsidRPr="00B22D20">
        <w:rPr>
          <w:szCs w:val="22"/>
          <w:lang w:val="sr-Latn-CS" w:eastAsia="zh-CN"/>
        </w:rPr>
        <w:t xml:space="preserve"> </w:t>
      </w:r>
      <w:r w:rsidRPr="00B22D20">
        <w:rPr>
          <w:szCs w:val="22"/>
          <w:lang w:eastAsia="zh-CN"/>
        </w:rPr>
        <w:t>klopidogrela</w:t>
      </w:r>
      <w:r w:rsidRPr="00B22D20">
        <w:rPr>
          <w:szCs w:val="22"/>
          <w:lang w:val="sr-Latn-CS" w:eastAsia="zh-CN"/>
        </w:rPr>
        <w:t xml:space="preserve"> </w:t>
      </w:r>
      <w:r w:rsidRPr="00B22D20">
        <w:rPr>
          <w:szCs w:val="22"/>
          <w:lang w:eastAsia="zh-CN"/>
        </w:rPr>
        <w:t>dnevno</w:t>
      </w:r>
      <w:r w:rsidRPr="00B22D20">
        <w:rPr>
          <w:szCs w:val="22"/>
          <w:lang w:val="sr-Latn-CS" w:eastAsia="zh-CN"/>
        </w:rPr>
        <w:t xml:space="preserve"> </w:t>
      </w:r>
      <w:r w:rsidRPr="00B22D20">
        <w:rPr>
          <w:szCs w:val="22"/>
          <w:lang w:eastAsia="zh-CN"/>
        </w:rPr>
        <w:t>kod</w:t>
      </w:r>
      <w:r w:rsidRPr="00B22D20">
        <w:rPr>
          <w:szCs w:val="22"/>
          <w:lang w:val="sr-Latn-CS" w:eastAsia="zh-CN"/>
        </w:rPr>
        <w:t xml:space="preserve"> </w:t>
      </w:r>
      <w:r w:rsidRPr="00B22D20">
        <w:rPr>
          <w:szCs w:val="22"/>
          <w:lang w:eastAsia="zh-CN"/>
        </w:rPr>
        <w:t>ispitanika</w:t>
      </w:r>
      <w:r w:rsidRPr="00B22D20">
        <w:rPr>
          <w:szCs w:val="22"/>
          <w:lang w:val="sr-Latn-CS" w:eastAsia="zh-CN"/>
        </w:rPr>
        <w:t xml:space="preserve"> </w:t>
      </w:r>
      <w:r w:rsidRPr="00B22D20">
        <w:rPr>
          <w:szCs w:val="22"/>
          <w:lang w:eastAsia="zh-CN"/>
        </w:rPr>
        <w:t>sa</w:t>
      </w:r>
      <w:r w:rsidRPr="00B22D20">
        <w:rPr>
          <w:szCs w:val="22"/>
          <w:lang w:val="sr-Latn-CS" w:eastAsia="zh-CN"/>
        </w:rPr>
        <w:t xml:space="preserve"> </w:t>
      </w:r>
      <w:r w:rsidRPr="00B22D20">
        <w:rPr>
          <w:szCs w:val="22"/>
          <w:lang w:eastAsia="zh-CN"/>
        </w:rPr>
        <w:t>ozbiljnim</w:t>
      </w:r>
      <w:r w:rsidRPr="00B22D20">
        <w:rPr>
          <w:szCs w:val="22"/>
          <w:lang w:val="sr-Latn-CS" w:eastAsia="zh-CN"/>
        </w:rPr>
        <w:t xml:space="preserve"> </w:t>
      </w:r>
      <w:r w:rsidRPr="00B22D20">
        <w:rPr>
          <w:szCs w:val="22"/>
          <w:lang w:eastAsia="zh-CN"/>
        </w:rPr>
        <w:t>oboljenjem</w:t>
      </w:r>
      <w:r w:rsidRPr="00B22D20">
        <w:rPr>
          <w:szCs w:val="22"/>
          <w:lang w:val="sr-Latn-CS" w:eastAsia="zh-CN"/>
        </w:rPr>
        <w:t xml:space="preserve"> </w:t>
      </w:r>
      <w:r w:rsidRPr="00B22D20">
        <w:rPr>
          <w:szCs w:val="22"/>
          <w:lang w:eastAsia="zh-CN"/>
        </w:rPr>
        <w:t>bubrega</w:t>
      </w:r>
      <w:r w:rsidRPr="00B22D20">
        <w:rPr>
          <w:szCs w:val="22"/>
          <w:lang w:val="sr-Latn-CS" w:eastAsia="zh-CN"/>
        </w:rPr>
        <w:t xml:space="preserve"> (</w:t>
      </w:r>
      <w:r w:rsidRPr="00B22D20">
        <w:rPr>
          <w:szCs w:val="22"/>
          <w:lang w:eastAsia="zh-CN"/>
        </w:rPr>
        <w:t>klirens</w:t>
      </w:r>
      <w:r w:rsidRPr="00B22D20">
        <w:rPr>
          <w:szCs w:val="22"/>
          <w:lang w:val="sr-Latn-CS" w:eastAsia="zh-CN"/>
        </w:rPr>
        <w:t xml:space="preserve"> </w:t>
      </w:r>
      <w:r w:rsidRPr="00B22D20">
        <w:rPr>
          <w:szCs w:val="22"/>
          <w:lang w:eastAsia="zh-CN"/>
        </w:rPr>
        <w:t>kreatinina</w:t>
      </w:r>
      <w:r w:rsidRPr="00B22D20">
        <w:rPr>
          <w:szCs w:val="22"/>
          <w:lang w:val="sr-Latn-CS" w:eastAsia="zh-CN"/>
        </w:rPr>
        <w:t xml:space="preserve"> </w:t>
      </w:r>
      <w:r w:rsidRPr="00B22D20">
        <w:rPr>
          <w:szCs w:val="22"/>
          <w:lang w:eastAsia="zh-CN"/>
        </w:rPr>
        <w:t>od</w:t>
      </w:r>
      <w:r w:rsidRPr="00B22D20">
        <w:rPr>
          <w:szCs w:val="22"/>
          <w:lang w:val="sr-Latn-CS" w:eastAsia="zh-CN"/>
        </w:rPr>
        <w:t xml:space="preserve"> 5 </w:t>
      </w:r>
      <w:r w:rsidRPr="00B22D20">
        <w:rPr>
          <w:szCs w:val="22"/>
          <w:lang w:eastAsia="zh-CN"/>
        </w:rPr>
        <w:t>do</w:t>
      </w:r>
      <w:r w:rsidRPr="00B22D20">
        <w:rPr>
          <w:szCs w:val="22"/>
          <w:lang w:val="sr-Latn-CS" w:eastAsia="zh-CN"/>
        </w:rPr>
        <w:t xml:space="preserve"> 15 </w:t>
      </w:r>
      <w:r w:rsidRPr="00B22D20">
        <w:rPr>
          <w:szCs w:val="22"/>
          <w:lang w:eastAsia="zh-CN"/>
        </w:rPr>
        <w:t>m</w:t>
      </w:r>
      <w:r w:rsidR="002E34E1" w:rsidRPr="00B22D20">
        <w:rPr>
          <w:szCs w:val="22"/>
          <w:lang w:eastAsia="zh-CN"/>
        </w:rPr>
        <w:t>l</w:t>
      </w:r>
      <w:r w:rsidRPr="00B22D20">
        <w:rPr>
          <w:szCs w:val="22"/>
          <w:lang w:val="sr-Latn-CS" w:eastAsia="zh-CN"/>
        </w:rPr>
        <w:t>/</w:t>
      </w:r>
      <w:r w:rsidRPr="00B22D20">
        <w:rPr>
          <w:szCs w:val="22"/>
          <w:lang w:eastAsia="zh-CN"/>
        </w:rPr>
        <w:t>min</w:t>
      </w:r>
      <w:r w:rsidRPr="00B22D20">
        <w:rPr>
          <w:szCs w:val="22"/>
          <w:lang w:val="sr-Latn-CS" w:eastAsia="zh-CN"/>
        </w:rPr>
        <w:t xml:space="preserve">), </w:t>
      </w:r>
      <w:r w:rsidRPr="00B22D20">
        <w:rPr>
          <w:szCs w:val="22"/>
          <w:lang w:eastAsia="zh-CN"/>
        </w:rPr>
        <w:t>inhibicija</w:t>
      </w:r>
      <w:r w:rsidRPr="00B22D20">
        <w:rPr>
          <w:szCs w:val="22"/>
          <w:lang w:val="sr-Latn-CS" w:eastAsia="zh-CN"/>
        </w:rPr>
        <w:t xml:space="preserve"> </w:t>
      </w:r>
      <w:r w:rsidRPr="00B22D20">
        <w:rPr>
          <w:szCs w:val="22"/>
          <w:lang w:eastAsia="zh-CN"/>
        </w:rPr>
        <w:t>agregacije</w:t>
      </w:r>
      <w:r w:rsidRPr="00B22D20">
        <w:rPr>
          <w:szCs w:val="22"/>
          <w:lang w:val="sr-Latn-CS" w:eastAsia="zh-CN"/>
        </w:rPr>
        <w:t xml:space="preserve"> </w:t>
      </w:r>
      <w:r w:rsidRPr="00B22D20">
        <w:rPr>
          <w:szCs w:val="22"/>
          <w:lang w:eastAsia="zh-CN"/>
        </w:rPr>
        <w:t>trombocita</w:t>
      </w:r>
      <w:r w:rsidRPr="00B22D20">
        <w:rPr>
          <w:szCs w:val="22"/>
          <w:lang w:val="sr-Latn-CS" w:eastAsia="zh-CN"/>
        </w:rPr>
        <w:t xml:space="preserve"> </w:t>
      </w:r>
      <w:r w:rsidRPr="00B22D20">
        <w:rPr>
          <w:szCs w:val="22"/>
          <w:lang w:eastAsia="zh-CN"/>
        </w:rPr>
        <w:t>indukovan</w:t>
      </w:r>
      <w:r w:rsidR="00505C6B" w:rsidRPr="00B22D20">
        <w:rPr>
          <w:szCs w:val="22"/>
          <w:lang w:eastAsia="zh-CN"/>
        </w:rPr>
        <w:t>e</w:t>
      </w:r>
      <w:r w:rsidRPr="00B22D20">
        <w:rPr>
          <w:szCs w:val="22"/>
          <w:lang w:val="sr-Latn-CS" w:eastAsia="zh-CN"/>
        </w:rPr>
        <w:t xml:space="preserve"> </w:t>
      </w:r>
      <w:r w:rsidRPr="00B22D20">
        <w:rPr>
          <w:szCs w:val="22"/>
          <w:lang w:eastAsia="zh-CN"/>
        </w:rPr>
        <w:t>pomo</w:t>
      </w:r>
      <w:r w:rsidRPr="00B22D20">
        <w:rPr>
          <w:szCs w:val="22"/>
          <w:lang w:val="sr-Latn-CS" w:eastAsia="zh-CN"/>
        </w:rPr>
        <w:t>ć</w:t>
      </w:r>
      <w:r w:rsidRPr="00B22D20">
        <w:rPr>
          <w:szCs w:val="22"/>
          <w:lang w:eastAsia="zh-CN"/>
        </w:rPr>
        <w:t>u</w:t>
      </w:r>
      <w:r w:rsidRPr="00B22D20">
        <w:rPr>
          <w:szCs w:val="22"/>
          <w:lang w:val="sr-Latn-CS" w:eastAsia="zh-CN"/>
        </w:rPr>
        <w:t xml:space="preserve"> </w:t>
      </w:r>
      <w:r w:rsidRPr="00B22D20">
        <w:rPr>
          <w:szCs w:val="22"/>
          <w:lang w:eastAsia="zh-CN"/>
        </w:rPr>
        <w:t>ADP</w:t>
      </w:r>
      <w:r w:rsidRPr="00B22D20">
        <w:rPr>
          <w:szCs w:val="22"/>
          <w:lang w:val="sr-Latn-CS" w:eastAsia="zh-CN"/>
        </w:rPr>
        <w:t xml:space="preserve"> </w:t>
      </w:r>
      <w:r w:rsidRPr="00B22D20">
        <w:rPr>
          <w:szCs w:val="22"/>
          <w:lang w:val="sr-Latn-CS"/>
        </w:rPr>
        <w:t xml:space="preserve">bila je </w:t>
      </w:r>
      <w:r w:rsidR="002637D4" w:rsidRPr="00B22D20">
        <w:rPr>
          <w:szCs w:val="22"/>
          <w:lang w:val="sr-Latn-CS"/>
        </w:rPr>
        <w:t>manja</w:t>
      </w:r>
      <w:r w:rsidRPr="00B22D20">
        <w:rPr>
          <w:szCs w:val="22"/>
          <w:lang w:val="sr-Latn-CS"/>
        </w:rPr>
        <w:t xml:space="preserve"> (25%) od one koja je registrovana kod zdravih ispitanika. Ipak, produžavanje vremena krvarenja bilo je slično onome kod zdravih ispitanika koji primaju 75 mg klopidogrela dnevno. Osim toga, kod svih pacijenata klinička podnošljivost </w:t>
      </w:r>
      <w:r w:rsidR="00AC562A" w:rsidRPr="00B22D20">
        <w:rPr>
          <w:szCs w:val="22"/>
          <w:lang w:val="sr-Latn-CS"/>
        </w:rPr>
        <w:t>lijek</w:t>
      </w:r>
      <w:r w:rsidRPr="00B22D20">
        <w:rPr>
          <w:szCs w:val="22"/>
          <w:lang w:val="sr-Latn-CS"/>
        </w:rPr>
        <w:t>a bila je dobra.</w:t>
      </w:r>
    </w:p>
    <w:p w14:paraId="2F8E9814" w14:textId="77777777" w:rsidR="00F3137E" w:rsidRPr="00B22D20" w:rsidRDefault="009D7782">
      <w:pPr>
        <w:spacing w:before="120"/>
        <w:rPr>
          <w:szCs w:val="22"/>
          <w:lang w:val="sr-Latn-CS"/>
        </w:rPr>
      </w:pPr>
      <w:r w:rsidRPr="00B22D20">
        <w:rPr>
          <w:i/>
          <w:szCs w:val="22"/>
          <w:lang w:val="sr-Latn-CS"/>
        </w:rPr>
        <w:t>Oštećenje funkcije</w:t>
      </w:r>
      <w:r w:rsidR="00F3137E" w:rsidRPr="00B22D20">
        <w:rPr>
          <w:i/>
          <w:szCs w:val="22"/>
          <w:lang w:val="sr-Latn-CS"/>
        </w:rPr>
        <w:t xml:space="preserve"> jetre</w:t>
      </w:r>
    </w:p>
    <w:p w14:paraId="0C6D093E" w14:textId="0839F865" w:rsidR="00F3137E" w:rsidRPr="00B22D20" w:rsidRDefault="00F3137E">
      <w:pPr>
        <w:spacing w:before="120"/>
        <w:rPr>
          <w:szCs w:val="22"/>
          <w:lang w:val="sr-Latn-CS"/>
        </w:rPr>
      </w:pPr>
      <w:r w:rsidRPr="00B22D20">
        <w:rPr>
          <w:szCs w:val="22"/>
          <w:lang w:val="sr-Latn-CS"/>
        </w:rPr>
        <w:lastRenderedPageBreak/>
        <w:t>Posl</w:t>
      </w:r>
      <w:r w:rsidR="00D70C12" w:rsidRPr="00B22D20">
        <w:rPr>
          <w:szCs w:val="22"/>
          <w:lang w:val="sr-Latn-CS"/>
        </w:rPr>
        <w:t>ij</w:t>
      </w:r>
      <w:r w:rsidRPr="00B22D20">
        <w:rPr>
          <w:szCs w:val="22"/>
          <w:lang w:val="sr-Latn-CS"/>
        </w:rPr>
        <w:t xml:space="preserve">e ponovljene </w:t>
      </w:r>
      <w:r w:rsidR="00D77814" w:rsidRPr="00B22D20">
        <w:rPr>
          <w:szCs w:val="22"/>
          <w:lang w:val="sr-Latn-CS"/>
        </w:rPr>
        <w:t>primjen</w:t>
      </w:r>
      <w:r w:rsidRPr="00B22D20">
        <w:rPr>
          <w:szCs w:val="22"/>
          <w:lang w:val="sr-Latn-CS"/>
        </w:rPr>
        <w:t>e doze od 75 mg klopidogrela dnevno, tokom 10 dana, kod pacijenata sa teškom insuficijencijom jetre, inhibicija ADP-om indukovane agregacije trombocita bila je slična onoj koja se javlja kod zdravih ispitanika. Pros</w:t>
      </w:r>
      <w:r w:rsidR="00D70C12" w:rsidRPr="00B22D20">
        <w:rPr>
          <w:szCs w:val="22"/>
          <w:lang w:val="sr-Latn-CS"/>
        </w:rPr>
        <w:t>j</w:t>
      </w:r>
      <w:r w:rsidRPr="00B22D20">
        <w:rPr>
          <w:szCs w:val="22"/>
          <w:lang w:val="sr-Latn-CS"/>
        </w:rPr>
        <w:t>ečno produženje vremena krvarenja bilo je takođe slično kao kod zdravih ispitanika.</w:t>
      </w:r>
    </w:p>
    <w:p w14:paraId="4E08380F" w14:textId="77777777" w:rsidR="00F3137E" w:rsidRPr="00B22D20" w:rsidRDefault="00F3137E">
      <w:pPr>
        <w:spacing w:before="120"/>
        <w:rPr>
          <w:szCs w:val="22"/>
          <w:lang w:val="sr-Latn-CS"/>
        </w:rPr>
      </w:pPr>
      <w:r w:rsidRPr="00B22D20">
        <w:rPr>
          <w:i/>
          <w:szCs w:val="22"/>
          <w:lang w:val="sr-Latn-CS"/>
        </w:rPr>
        <w:t>Rasa</w:t>
      </w:r>
    </w:p>
    <w:p w14:paraId="2C5B7B8E" w14:textId="527D330E" w:rsidR="00F3137E" w:rsidRPr="00B22D20" w:rsidRDefault="00F3137E">
      <w:pPr>
        <w:tabs>
          <w:tab w:val="clear" w:pos="284"/>
        </w:tabs>
        <w:spacing w:before="120"/>
        <w:rPr>
          <w:szCs w:val="22"/>
          <w:lang w:val="sr-Latn-CS"/>
        </w:rPr>
      </w:pPr>
      <w:r w:rsidRPr="00B22D20">
        <w:rPr>
          <w:szCs w:val="22"/>
          <w:lang w:val="sr-Latn-CS"/>
        </w:rPr>
        <w:t>Prevalenca alela CYP2C19 koji rezult</w:t>
      </w:r>
      <w:r w:rsidR="00691910" w:rsidRPr="00B22D20">
        <w:rPr>
          <w:szCs w:val="22"/>
          <w:lang w:val="sr-Latn-CS"/>
        </w:rPr>
        <w:t>iraj</w:t>
      </w:r>
      <w:r w:rsidRPr="00B22D20">
        <w:rPr>
          <w:szCs w:val="22"/>
          <w:lang w:val="sr-Latn-CS"/>
        </w:rPr>
        <w:t>u intermedijernim ili slabim CYP2C19 metabolizmom varira između rasa/etničkih grupa (</w:t>
      </w:r>
      <w:r w:rsidR="00D77814" w:rsidRPr="00B22D20">
        <w:rPr>
          <w:szCs w:val="22"/>
          <w:lang w:val="sr-Latn-CS"/>
        </w:rPr>
        <w:t>vidjet</w:t>
      </w:r>
      <w:r w:rsidRPr="00B22D20">
        <w:rPr>
          <w:szCs w:val="22"/>
          <w:lang w:val="sr-Latn-CS"/>
        </w:rPr>
        <w:t xml:space="preserve">i </w:t>
      </w:r>
      <w:r w:rsidR="009958E7" w:rsidRPr="00B22D20">
        <w:rPr>
          <w:szCs w:val="22"/>
          <w:lang w:val="sr-Latn-CS"/>
        </w:rPr>
        <w:t>dio</w:t>
      </w:r>
      <w:r w:rsidRPr="00B22D20">
        <w:rPr>
          <w:szCs w:val="22"/>
          <w:lang w:val="sr-Latn-CS"/>
        </w:rPr>
        <w:t xml:space="preserve"> F</w:t>
      </w:r>
      <w:r w:rsidR="00E81BE6" w:rsidRPr="00B22D20">
        <w:rPr>
          <w:szCs w:val="22"/>
          <w:lang w:val="sr-Latn-CS"/>
        </w:rPr>
        <w:t>a</w:t>
      </w:r>
      <w:r w:rsidRPr="00B22D20">
        <w:rPr>
          <w:szCs w:val="22"/>
          <w:lang w:val="sr-Latn-CS"/>
        </w:rPr>
        <w:t xml:space="preserve">rmakogenetika). U literaturi </w:t>
      </w:r>
      <w:r w:rsidR="002E34E1" w:rsidRPr="00B22D20">
        <w:rPr>
          <w:szCs w:val="22"/>
          <w:lang w:val="sr-Latn-CS"/>
        </w:rPr>
        <w:t xml:space="preserve">su dostupni ograničeni podaci za procjenu kliničkog uticaja genotipizacije ovog CYP enzima na ishode kliničkih događaja u azijskoj populaciji. </w:t>
      </w:r>
    </w:p>
    <w:p w14:paraId="4C9FC3D6" w14:textId="77777777" w:rsidR="00DE02E0" w:rsidRPr="00B22D20" w:rsidRDefault="00DE02E0">
      <w:pPr>
        <w:pStyle w:val="Header"/>
        <w:tabs>
          <w:tab w:val="clear" w:pos="4536"/>
          <w:tab w:val="clear" w:pos="9072"/>
        </w:tabs>
        <w:rPr>
          <w:b/>
          <w:bCs/>
          <w:szCs w:val="22"/>
          <w:lang w:val="sr-Latn-CS"/>
        </w:rPr>
      </w:pPr>
    </w:p>
    <w:p w14:paraId="2828CCFF" w14:textId="63A5B863" w:rsidR="00F3137E" w:rsidRPr="00B22D20" w:rsidRDefault="00F3137E">
      <w:pPr>
        <w:pStyle w:val="Header"/>
        <w:tabs>
          <w:tab w:val="clear" w:pos="4536"/>
          <w:tab w:val="clear" w:pos="9072"/>
        </w:tabs>
        <w:rPr>
          <w:b/>
          <w:bCs/>
          <w:szCs w:val="22"/>
          <w:lang w:val="sr-Latn-CS"/>
        </w:rPr>
      </w:pPr>
      <w:r w:rsidRPr="00B22D20">
        <w:rPr>
          <w:b/>
          <w:bCs/>
          <w:szCs w:val="22"/>
          <w:lang w:val="sr-Latn-CS"/>
        </w:rPr>
        <w:t xml:space="preserve">5.3. </w:t>
      </w:r>
      <w:r w:rsidRPr="00B22D20">
        <w:rPr>
          <w:b/>
          <w:bCs/>
          <w:szCs w:val="22"/>
        </w:rPr>
        <w:t>Pretklini</w:t>
      </w:r>
      <w:r w:rsidRPr="00B22D20">
        <w:rPr>
          <w:b/>
          <w:bCs/>
          <w:szCs w:val="22"/>
          <w:lang w:val="sr-Latn-CS"/>
        </w:rPr>
        <w:t>č</w:t>
      </w:r>
      <w:r w:rsidRPr="00B22D20">
        <w:rPr>
          <w:b/>
          <w:bCs/>
          <w:szCs w:val="22"/>
        </w:rPr>
        <w:t>ki</w:t>
      </w:r>
      <w:r w:rsidRPr="00B22D20">
        <w:rPr>
          <w:b/>
          <w:bCs/>
          <w:szCs w:val="22"/>
          <w:lang w:val="sr-Latn-CS"/>
        </w:rPr>
        <w:t xml:space="preserve"> </w:t>
      </w:r>
      <w:r w:rsidRPr="00B22D20">
        <w:rPr>
          <w:b/>
          <w:bCs/>
          <w:szCs w:val="22"/>
        </w:rPr>
        <w:t>podaci</w:t>
      </w:r>
      <w:r w:rsidRPr="00B22D20">
        <w:rPr>
          <w:b/>
          <w:bCs/>
          <w:szCs w:val="22"/>
          <w:lang w:val="sr-Latn-CS"/>
        </w:rPr>
        <w:t xml:space="preserve"> </w:t>
      </w:r>
      <w:r w:rsidRPr="00B22D20">
        <w:rPr>
          <w:b/>
          <w:bCs/>
          <w:szCs w:val="22"/>
        </w:rPr>
        <w:t>o</w:t>
      </w:r>
      <w:r w:rsidRPr="00B22D20">
        <w:rPr>
          <w:b/>
          <w:bCs/>
          <w:szCs w:val="22"/>
          <w:lang w:val="sr-Latn-CS"/>
        </w:rPr>
        <w:t xml:space="preserve"> </w:t>
      </w:r>
      <w:r w:rsidRPr="00B22D20">
        <w:rPr>
          <w:b/>
          <w:bCs/>
          <w:szCs w:val="22"/>
        </w:rPr>
        <w:t>bezb</w:t>
      </w:r>
      <w:r w:rsidR="00AC562A" w:rsidRPr="00B22D20">
        <w:rPr>
          <w:b/>
          <w:bCs/>
          <w:szCs w:val="22"/>
        </w:rPr>
        <w:t>j</w:t>
      </w:r>
      <w:r w:rsidRPr="00B22D20">
        <w:rPr>
          <w:b/>
          <w:bCs/>
          <w:szCs w:val="22"/>
        </w:rPr>
        <w:t>ednosti</w:t>
      </w:r>
      <w:r w:rsidRPr="00B22D20">
        <w:rPr>
          <w:b/>
          <w:bCs/>
          <w:szCs w:val="22"/>
          <w:lang w:val="sr-Latn-CS"/>
        </w:rPr>
        <w:t xml:space="preserve"> </w:t>
      </w:r>
    </w:p>
    <w:p w14:paraId="404D2DD3" w14:textId="281C86AA" w:rsidR="00F3137E" w:rsidRPr="00B22D20" w:rsidRDefault="00F3137E">
      <w:pPr>
        <w:spacing w:before="120"/>
        <w:rPr>
          <w:szCs w:val="22"/>
          <w:lang w:val="sr-Latn-CS"/>
        </w:rPr>
      </w:pPr>
      <w:r w:rsidRPr="00B22D20">
        <w:rPr>
          <w:szCs w:val="22"/>
          <w:lang w:val="sr-Latn-CS"/>
        </w:rPr>
        <w:t>U toku pretkliničkih ispitivanja na pacovima i pavijanima (</w:t>
      </w:r>
      <w:r w:rsidR="00981513" w:rsidRPr="00B22D20">
        <w:rPr>
          <w:szCs w:val="22"/>
          <w:lang w:val="sr-Latn-CS"/>
        </w:rPr>
        <w:t xml:space="preserve">engl. </w:t>
      </w:r>
      <w:r w:rsidRPr="00B22D20">
        <w:rPr>
          <w:i/>
          <w:szCs w:val="22"/>
          <w:lang w:val="sr-Latn-CS"/>
        </w:rPr>
        <w:t>baboon)</w:t>
      </w:r>
      <w:r w:rsidRPr="00B22D20">
        <w:rPr>
          <w:szCs w:val="22"/>
          <w:lang w:val="sr-Latn-CS"/>
        </w:rPr>
        <w:t xml:space="preserve">, najčešće </w:t>
      </w:r>
      <w:r w:rsidR="00EA5383" w:rsidRPr="00B22D20">
        <w:rPr>
          <w:rFonts w:eastAsia="Calibri"/>
          <w:szCs w:val="22"/>
        </w:rPr>
        <w:t>zabilježene</w:t>
      </w:r>
      <w:r w:rsidRPr="00B22D20">
        <w:rPr>
          <w:rFonts w:eastAsia="Calibri"/>
          <w:szCs w:val="22"/>
        </w:rPr>
        <w:t xml:space="preserve"> prom</w:t>
      </w:r>
      <w:r w:rsidR="00D70C12" w:rsidRPr="00B22D20">
        <w:rPr>
          <w:rFonts w:eastAsia="Calibri"/>
          <w:szCs w:val="22"/>
        </w:rPr>
        <w:t>j</w:t>
      </w:r>
      <w:r w:rsidRPr="00B22D20">
        <w:rPr>
          <w:rFonts w:eastAsia="Calibri"/>
          <w:szCs w:val="22"/>
        </w:rPr>
        <w:t xml:space="preserve">ene </w:t>
      </w:r>
      <w:r w:rsidRPr="00B22D20">
        <w:rPr>
          <w:szCs w:val="22"/>
          <w:lang w:val="sr-Latn-CS"/>
        </w:rPr>
        <w:t>bile su prom</w:t>
      </w:r>
      <w:r w:rsidR="00D70C12" w:rsidRPr="00B22D20">
        <w:rPr>
          <w:szCs w:val="22"/>
          <w:lang w:val="sr-Latn-CS"/>
        </w:rPr>
        <w:t>j</w:t>
      </w:r>
      <w:r w:rsidRPr="00B22D20">
        <w:rPr>
          <w:szCs w:val="22"/>
          <w:lang w:val="sr-Latn-CS"/>
        </w:rPr>
        <w:t xml:space="preserve">ene funkcije jetre. One su se javljale pri </w:t>
      </w:r>
      <w:r w:rsidR="00D77814" w:rsidRPr="00B22D20">
        <w:rPr>
          <w:szCs w:val="22"/>
          <w:lang w:val="sr-Latn-CS"/>
        </w:rPr>
        <w:t>primjen</w:t>
      </w:r>
      <w:r w:rsidRPr="00B22D20">
        <w:rPr>
          <w:szCs w:val="22"/>
          <w:lang w:val="sr-Latn-CS"/>
        </w:rPr>
        <w:t>i doza koje su predstavljale najmanje 25 puta veću izloženost od one kod ljudi koji primaju kliničku dozu od 75 mg dnevno, a bile su posl</w:t>
      </w:r>
      <w:r w:rsidR="00D70C12" w:rsidRPr="00B22D20">
        <w:rPr>
          <w:szCs w:val="22"/>
          <w:lang w:val="sr-Latn-CS"/>
        </w:rPr>
        <w:t>j</w:t>
      </w:r>
      <w:r w:rsidRPr="00B22D20">
        <w:rPr>
          <w:szCs w:val="22"/>
          <w:lang w:val="sr-Latn-CS"/>
        </w:rPr>
        <w:t>edica efekta na metaboličke enzime jetre. Ni</w:t>
      </w:r>
      <w:r w:rsidR="00E81BE6" w:rsidRPr="00B22D20">
        <w:rPr>
          <w:szCs w:val="22"/>
          <w:lang w:val="sr-Latn-CS"/>
        </w:rPr>
        <w:t>je</w:t>
      </w:r>
      <w:r w:rsidRPr="00B22D20">
        <w:rPr>
          <w:szCs w:val="22"/>
          <w:lang w:val="sr-Latn-CS"/>
        </w:rPr>
        <w:t xml:space="preserve">su registrovani efekti </w:t>
      </w:r>
      <w:r w:rsidR="00AC562A" w:rsidRPr="00B22D20">
        <w:rPr>
          <w:szCs w:val="22"/>
          <w:lang w:val="sr-Latn-CS"/>
        </w:rPr>
        <w:t>lijek</w:t>
      </w:r>
      <w:r w:rsidRPr="00B22D20">
        <w:rPr>
          <w:szCs w:val="22"/>
          <w:lang w:val="sr-Latn-CS"/>
        </w:rPr>
        <w:t>a na metaboličke enzime jetre kod ljudi koji su dobijali klopidogrel u terapijskoj dozi.</w:t>
      </w:r>
    </w:p>
    <w:p w14:paraId="6BE3D3A9" w14:textId="2DC9925F" w:rsidR="00F3137E" w:rsidRPr="00B22D20" w:rsidRDefault="00F3137E">
      <w:pPr>
        <w:spacing w:before="120"/>
        <w:rPr>
          <w:szCs w:val="22"/>
          <w:lang w:val="sr-Latn-CS"/>
        </w:rPr>
      </w:pPr>
      <w:r w:rsidRPr="00B22D20">
        <w:rPr>
          <w:szCs w:val="22"/>
          <w:lang w:val="sr-Latn-CS"/>
        </w:rPr>
        <w:t xml:space="preserve">Pri </w:t>
      </w:r>
      <w:r w:rsidR="00D77814" w:rsidRPr="00B22D20">
        <w:rPr>
          <w:szCs w:val="22"/>
          <w:lang w:val="sr-Latn-CS"/>
        </w:rPr>
        <w:t>primjen</w:t>
      </w:r>
      <w:r w:rsidRPr="00B22D20">
        <w:rPr>
          <w:szCs w:val="22"/>
          <w:lang w:val="sr-Latn-CS"/>
        </w:rPr>
        <w:t>i v</w:t>
      </w:r>
      <w:r w:rsidR="00981513" w:rsidRPr="00B22D20">
        <w:rPr>
          <w:szCs w:val="22"/>
          <w:lang w:val="sr-Latn-CS"/>
        </w:rPr>
        <w:t>eoma velikih</w:t>
      </w:r>
      <w:r w:rsidRPr="00B22D20">
        <w:rPr>
          <w:szCs w:val="22"/>
          <w:lang w:val="sr-Latn-CS"/>
        </w:rPr>
        <w:t xml:space="preserve"> doza klopidogrela uočena je slaba gastrič</w:t>
      </w:r>
      <w:r w:rsidR="00EA5383" w:rsidRPr="00B22D20">
        <w:rPr>
          <w:szCs w:val="22"/>
          <w:lang w:val="sr-Latn-CS"/>
        </w:rPr>
        <w:t>n</w:t>
      </w:r>
      <w:r w:rsidR="002E34E1" w:rsidRPr="00B22D20">
        <w:rPr>
          <w:szCs w:val="22"/>
          <w:lang w:val="sr-Latn-CS"/>
        </w:rPr>
        <w:t>a</w:t>
      </w:r>
      <w:r w:rsidRPr="00B22D20">
        <w:rPr>
          <w:szCs w:val="22"/>
          <w:lang w:val="sr-Latn-CS"/>
        </w:rPr>
        <w:t xml:space="preserve"> podnošljivost i kod pacova i kod pavijana (gastritis, erozije želuca i/ili povraćanje).</w:t>
      </w:r>
    </w:p>
    <w:p w14:paraId="1E3BFCB2" w14:textId="290107B3" w:rsidR="00F3137E" w:rsidRPr="00B22D20" w:rsidRDefault="00F3137E">
      <w:pPr>
        <w:spacing w:before="120"/>
        <w:rPr>
          <w:szCs w:val="22"/>
          <w:lang w:val="sr-Latn-CS"/>
        </w:rPr>
      </w:pPr>
      <w:r w:rsidRPr="00B22D20">
        <w:rPr>
          <w:szCs w:val="22"/>
          <w:lang w:val="sr-Latn-CS"/>
        </w:rPr>
        <w:t xml:space="preserve">Nakon </w:t>
      </w:r>
      <w:r w:rsidR="00D77814" w:rsidRPr="00B22D20">
        <w:rPr>
          <w:szCs w:val="22"/>
          <w:lang w:val="sr-Latn-CS"/>
        </w:rPr>
        <w:t>primjen</w:t>
      </w:r>
      <w:r w:rsidRPr="00B22D20">
        <w:rPr>
          <w:szCs w:val="22"/>
          <w:lang w:val="sr-Latn-CS"/>
        </w:rPr>
        <w:t>e klopidogrela tokom 78 ned</w:t>
      </w:r>
      <w:r w:rsidR="00D70C12" w:rsidRPr="00B22D20">
        <w:rPr>
          <w:szCs w:val="22"/>
          <w:lang w:val="sr-Latn-CS"/>
        </w:rPr>
        <w:t>j</w:t>
      </w:r>
      <w:r w:rsidRPr="00B22D20">
        <w:rPr>
          <w:szCs w:val="22"/>
          <w:lang w:val="sr-Latn-CS"/>
        </w:rPr>
        <w:t>elja kod miševa, odnosno 104 ned</w:t>
      </w:r>
      <w:r w:rsidR="00691910" w:rsidRPr="00B22D20">
        <w:rPr>
          <w:szCs w:val="22"/>
          <w:lang w:val="sr-Latn-CS"/>
        </w:rPr>
        <w:t>j</w:t>
      </w:r>
      <w:r w:rsidRPr="00B22D20">
        <w:rPr>
          <w:szCs w:val="22"/>
          <w:lang w:val="sr-Latn-CS"/>
        </w:rPr>
        <w:t xml:space="preserve">elje kod pacova u dozama do 77 mg/kg dnevno (tj. najmanje 25 puta veća izloženost od izloženosti ljudi koji dobijaju kliničku dozu od 75 mg dnevno), nije bilo dokaza o </w:t>
      </w:r>
      <w:r w:rsidR="00C40495" w:rsidRPr="00B22D20">
        <w:rPr>
          <w:szCs w:val="22"/>
          <w:lang w:val="sr-Latn-CS"/>
        </w:rPr>
        <w:t>ka</w:t>
      </w:r>
      <w:r w:rsidR="002E34E1" w:rsidRPr="00B22D20">
        <w:rPr>
          <w:szCs w:val="22"/>
          <w:lang w:val="sr-Latn-CS"/>
        </w:rPr>
        <w:t>ncer</w:t>
      </w:r>
      <w:r w:rsidR="00C40495" w:rsidRPr="00B22D20">
        <w:rPr>
          <w:szCs w:val="22"/>
          <w:lang w:val="sr-Latn-CS"/>
        </w:rPr>
        <w:t>ogenom</w:t>
      </w:r>
      <w:r w:rsidRPr="00B22D20">
        <w:rPr>
          <w:szCs w:val="22"/>
          <w:lang w:val="sr-Latn-CS"/>
        </w:rPr>
        <w:t xml:space="preserve"> dejstvu </w:t>
      </w:r>
      <w:r w:rsidR="00AC562A" w:rsidRPr="00B22D20">
        <w:rPr>
          <w:szCs w:val="22"/>
          <w:lang w:val="sr-Latn-CS"/>
        </w:rPr>
        <w:t>lijek</w:t>
      </w:r>
      <w:r w:rsidRPr="00B22D20">
        <w:rPr>
          <w:szCs w:val="22"/>
          <w:lang w:val="sr-Latn-CS"/>
        </w:rPr>
        <w:t>a.</w:t>
      </w:r>
    </w:p>
    <w:p w14:paraId="7E5A0DB4" w14:textId="77777777" w:rsidR="00F3137E" w:rsidRPr="00B22D20" w:rsidRDefault="00F3137E">
      <w:pPr>
        <w:pStyle w:val="Header"/>
        <w:tabs>
          <w:tab w:val="clear" w:pos="4536"/>
          <w:tab w:val="clear" w:pos="9072"/>
          <w:tab w:val="left" w:pos="284"/>
        </w:tabs>
        <w:spacing w:before="120"/>
        <w:rPr>
          <w:szCs w:val="22"/>
          <w:lang w:val="sr-Latn-CS"/>
        </w:rPr>
      </w:pPr>
      <w:r w:rsidRPr="00B22D20">
        <w:rPr>
          <w:szCs w:val="22"/>
          <w:lang w:val="sr-Latn-CS"/>
        </w:rPr>
        <w:t>Klopidogrel je ispitivan u velikom broju</w:t>
      </w:r>
      <w:r w:rsidRPr="00B22D20">
        <w:rPr>
          <w:i/>
          <w:szCs w:val="22"/>
          <w:lang w:val="sr-Latn-CS"/>
        </w:rPr>
        <w:t xml:space="preserve"> in vitro</w:t>
      </w:r>
      <w:r w:rsidRPr="00B22D20">
        <w:rPr>
          <w:szCs w:val="22"/>
          <w:lang w:val="sr-Latn-CS"/>
        </w:rPr>
        <w:t xml:space="preserve"> i </w:t>
      </w:r>
      <w:r w:rsidRPr="00B22D20">
        <w:rPr>
          <w:i/>
          <w:szCs w:val="22"/>
          <w:lang w:val="sr-Latn-CS"/>
        </w:rPr>
        <w:t>in</w:t>
      </w:r>
      <w:r w:rsidRPr="00B22D20">
        <w:rPr>
          <w:szCs w:val="22"/>
          <w:lang w:val="sr-Latn-CS"/>
        </w:rPr>
        <w:t xml:space="preserve"> </w:t>
      </w:r>
      <w:r w:rsidRPr="00B22D20">
        <w:rPr>
          <w:i/>
          <w:szCs w:val="22"/>
          <w:lang w:val="sr-Latn-CS"/>
        </w:rPr>
        <w:t>vivo</w:t>
      </w:r>
      <w:r w:rsidRPr="00B22D20">
        <w:rPr>
          <w:szCs w:val="22"/>
          <w:lang w:val="sr-Latn-CS"/>
        </w:rPr>
        <w:t xml:space="preserve"> studija genotoksičnosti i nije pokazao genotoksičnu aktivnost.</w:t>
      </w:r>
    </w:p>
    <w:p w14:paraId="5FCCB8CF" w14:textId="279138EB" w:rsidR="00F3137E" w:rsidRPr="00B22D20" w:rsidRDefault="00F3137E">
      <w:pPr>
        <w:pStyle w:val="Header"/>
        <w:tabs>
          <w:tab w:val="clear" w:pos="4536"/>
          <w:tab w:val="clear" w:pos="9072"/>
        </w:tabs>
        <w:spacing w:before="120" w:after="120"/>
        <w:rPr>
          <w:szCs w:val="22"/>
          <w:lang w:val="sr-Latn-CS"/>
        </w:rPr>
      </w:pPr>
      <w:r w:rsidRPr="00B22D20">
        <w:rPr>
          <w:szCs w:val="22"/>
          <w:lang w:val="sr-Latn-CS"/>
        </w:rPr>
        <w:t xml:space="preserve">Utvrđeno je da klopidogrel ne utiče na plodnost mužjaka i ženki pacova, kao i da ne ispoljava teratogeno dejstvo </w:t>
      </w:r>
      <w:r w:rsidR="00DE196C" w:rsidRPr="00B22D20">
        <w:rPr>
          <w:szCs w:val="22"/>
          <w:lang w:val="sr-Latn-CS"/>
        </w:rPr>
        <w:t>na pacov</w:t>
      </w:r>
      <w:r w:rsidR="002E34E1" w:rsidRPr="00B22D20">
        <w:rPr>
          <w:szCs w:val="22"/>
          <w:lang w:val="sr-Latn-CS"/>
        </w:rPr>
        <w:t>ima i na kunićima</w:t>
      </w:r>
      <w:r w:rsidRPr="00B22D20">
        <w:rPr>
          <w:szCs w:val="22"/>
          <w:lang w:val="sr-Latn-CS"/>
        </w:rPr>
        <w:t xml:space="preserve">. </w:t>
      </w:r>
      <w:r w:rsidR="00D77814" w:rsidRPr="00B22D20">
        <w:rPr>
          <w:szCs w:val="22"/>
          <w:lang w:val="sr-Latn-CS"/>
        </w:rPr>
        <w:t>Prim</w:t>
      </w:r>
      <w:r w:rsidR="00987CBE" w:rsidRPr="00B22D20">
        <w:rPr>
          <w:szCs w:val="22"/>
          <w:lang w:val="sr-Latn-CS"/>
        </w:rPr>
        <w:t>i</w:t>
      </w:r>
      <w:r w:rsidR="00D77814" w:rsidRPr="00B22D20">
        <w:rPr>
          <w:szCs w:val="22"/>
          <w:lang w:val="sr-Latn-CS"/>
        </w:rPr>
        <w:t>jen</w:t>
      </w:r>
      <w:r w:rsidRPr="00B22D20">
        <w:rPr>
          <w:szCs w:val="22"/>
          <w:lang w:val="sr-Latn-CS"/>
        </w:rPr>
        <w:t>jen kod ženki pacova tokom laktacije, klopidogrel je neznatno usporio razvoj mladunaca. Specifične farmakokinetičke studije, vršene sa radioaktivno ob</w:t>
      </w:r>
      <w:r w:rsidR="00D70C12" w:rsidRPr="00B22D20">
        <w:rPr>
          <w:szCs w:val="22"/>
          <w:lang w:val="sr-Latn-CS"/>
        </w:rPr>
        <w:t>ilj</w:t>
      </w:r>
      <w:r w:rsidRPr="00B22D20">
        <w:rPr>
          <w:szCs w:val="22"/>
          <w:lang w:val="sr-Latn-CS"/>
        </w:rPr>
        <w:t>eženim klopidogrelom, pokazale su da se osnovno jedinjenje ili njegovi metaboliti izlučuju m</w:t>
      </w:r>
      <w:r w:rsidR="00AC562A" w:rsidRPr="00B22D20">
        <w:rPr>
          <w:szCs w:val="22"/>
          <w:lang w:val="sr-Latn-CS"/>
        </w:rPr>
        <w:t>lijek</w:t>
      </w:r>
      <w:r w:rsidRPr="00B22D20">
        <w:rPr>
          <w:szCs w:val="22"/>
          <w:lang w:val="sr-Latn-CS"/>
        </w:rPr>
        <w:t>om. Shodno tome, ne može se isključiti direktni uticaj (blaga toksičnost), kao ni indirektni uticaj (neprijatan ukus m</w:t>
      </w:r>
      <w:r w:rsidR="00AC562A" w:rsidRPr="00B22D20">
        <w:rPr>
          <w:szCs w:val="22"/>
          <w:lang w:val="sr-Latn-CS"/>
        </w:rPr>
        <w:t>lijek</w:t>
      </w:r>
      <w:r w:rsidRPr="00B22D20">
        <w:rPr>
          <w:szCs w:val="22"/>
          <w:lang w:val="sr-Latn-CS"/>
        </w:rPr>
        <w:t>a) klopidogrela.</w:t>
      </w:r>
    </w:p>
    <w:p w14:paraId="4BDAD84E" w14:textId="77777777" w:rsidR="00DE02E0" w:rsidRPr="00B22D20" w:rsidRDefault="00DE02E0">
      <w:pPr>
        <w:pStyle w:val="Header"/>
        <w:tabs>
          <w:tab w:val="clear" w:pos="4536"/>
          <w:tab w:val="clear" w:pos="9072"/>
        </w:tabs>
        <w:spacing w:before="120"/>
        <w:rPr>
          <w:b/>
          <w:bCs/>
          <w:szCs w:val="22"/>
        </w:rPr>
      </w:pPr>
    </w:p>
    <w:p w14:paraId="25A912E3" w14:textId="77777777" w:rsidR="00F3137E" w:rsidRPr="00B22D20" w:rsidRDefault="00F3137E">
      <w:pPr>
        <w:pStyle w:val="Header"/>
        <w:tabs>
          <w:tab w:val="clear" w:pos="4536"/>
          <w:tab w:val="clear" w:pos="9072"/>
        </w:tabs>
        <w:rPr>
          <w:b/>
          <w:bCs/>
          <w:szCs w:val="22"/>
        </w:rPr>
      </w:pPr>
      <w:r w:rsidRPr="00B22D20">
        <w:rPr>
          <w:b/>
          <w:bCs/>
          <w:szCs w:val="22"/>
        </w:rPr>
        <w:t>6. FARMACEUTSKI PODACI</w:t>
      </w:r>
    </w:p>
    <w:p w14:paraId="62464D2E" w14:textId="77777777" w:rsidR="00AD0415" w:rsidRPr="00B22D20" w:rsidRDefault="00AD0415">
      <w:pPr>
        <w:pStyle w:val="Header"/>
        <w:tabs>
          <w:tab w:val="clear" w:pos="4536"/>
          <w:tab w:val="clear" w:pos="9072"/>
        </w:tabs>
        <w:rPr>
          <w:b/>
          <w:bCs/>
          <w:szCs w:val="22"/>
        </w:rPr>
      </w:pPr>
    </w:p>
    <w:p w14:paraId="3E0BB8D3" w14:textId="0CB6C07C" w:rsidR="00F3137E" w:rsidRPr="00B22D20" w:rsidRDefault="00F3137E">
      <w:pPr>
        <w:pStyle w:val="Header"/>
        <w:tabs>
          <w:tab w:val="clear" w:pos="4536"/>
          <w:tab w:val="clear" w:pos="9072"/>
        </w:tabs>
        <w:rPr>
          <w:b/>
          <w:bCs/>
          <w:szCs w:val="22"/>
          <w:lang w:val="sr-Latn-CS"/>
        </w:rPr>
      </w:pPr>
      <w:r w:rsidRPr="00B22D20">
        <w:rPr>
          <w:b/>
          <w:bCs/>
          <w:szCs w:val="22"/>
        </w:rPr>
        <w:t>6.1. Lista pomo</w:t>
      </w:r>
      <w:r w:rsidRPr="00B22D20">
        <w:rPr>
          <w:b/>
          <w:bCs/>
          <w:szCs w:val="22"/>
          <w:lang w:val="sr-Latn-CS"/>
        </w:rPr>
        <w:t>ćnih supstanci</w:t>
      </w:r>
      <w:r w:rsidR="00AC562A" w:rsidRPr="00B22D20">
        <w:rPr>
          <w:b/>
          <w:bCs/>
          <w:szCs w:val="22"/>
          <w:lang w:val="sr-Latn-CS"/>
        </w:rPr>
        <w:t xml:space="preserve"> (ekscipijenasa)</w:t>
      </w:r>
    </w:p>
    <w:p w14:paraId="62BE4BB2" w14:textId="77777777" w:rsidR="00F3137E" w:rsidRPr="00B22D20" w:rsidRDefault="00F3137E">
      <w:pPr>
        <w:spacing w:before="120"/>
        <w:rPr>
          <w:i/>
          <w:szCs w:val="22"/>
          <w:lang w:val="sr-Latn-CS"/>
        </w:rPr>
      </w:pPr>
      <w:r w:rsidRPr="00B22D20">
        <w:rPr>
          <w:i/>
          <w:szCs w:val="22"/>
          <w:lang w:val="sr-Latn-CS"/>
        </w:rPr>
        <w:t>Jezgro</w:t>
      </w:r>
      <w:r w:rsidR="006410D1" w:rsidRPr="00B22D20">
        <w:rPr>
          <w:i/>
          <w:szCs w:val="22"/>
          <w:lang w:val="sr-Latn-CS"/>
        </w:rPr>
        <w:t xml:space="preserve"> tablete</w:t>
      </w:r>
      <w:r w:rsidRPr="00B22D20">
        <w:rPr>
          <w:i/>
          <w:szCs w:val="22"/>
          <w:lang w:val="sr-Latn-CS"/>
        </w:rPr>
        <w:t>:</w:t>
      </w:r>
    </w:p>
    <w:p w14:paraId="396ACBB9" w14:textId="77777777" w:rsidR="00F3137E" w:rsidRPr="00B22D20" w:rsidRDefault="00F3137E">
      <w:pPr>
        <w:rPr>
          <w:szCs w:val="22"/>
          <w:lang w:val="sr-Latn-CS"/>
        </w:rPr>
      </w:pPr>
      <w:r w:rsidRPr="00B22D20">
        <w:rPr>
          <w:szCs w:val="22"/>
          <w:lang w:val="sr-Latn-CS"/>
        </w:rPr>
        <w:t>manitol (E421);</w:t>
      </w:r>
    </w:p>
    <w:p w14:paraId="51164CCD" w14:textId="77777777" w:rsidR="00F3137E" w:rsidRPr="00B22D20" w:rsidRDefault="00F3137E">
      <w:pPr>
        <w:rPr>
          <w:szCs w:val="22"/>
          <w:lang w:val="sr-Latn-CS"/>
        </w:rPr>
      </w:pPr>
      <w:r w:rsidRPr="00B22D20">
        <w:rPr>
          <w:szCs w:val="22"/>
          <w:lang w:val="sr-Latn-CS"/>
        </w:rPr>
        <w:t>makrogol 6000;</w:t>
      </w:r>
    </w:p>
    <w:p w14:paraId="5F8D3115" w14:textId="77777777" w:rsidR="00F3137E" w:rsidRPr="00B22D20" w:rsidRDefault="00F3137E">
      <w:pPr>
        <w:rPr>
          <w:szCs w:val="22"/>
          <w:lang w:val="sr-Latn-CS"/>
        </w:rPr>
      </w:pPr>
      <w:r w:rsidRPr="00B22D20">
        <w:rPr>
          <w:szCs w:val="22"/>
          <w:lang w:val="sr-Latn-CS"/>
        </w:rPr>
        <w:t xml:space="preserve">celuloza, mikrokristalna; </w:t>
      </w:r>
    </w:p>
    <w:p w14:paraId="46A0DFF3" w14:textId="77777777" w:rsidR="00F3137E" w:rsidRPr="00B22D20" w:rsidRDefault="00F3137E">
      <w:pPr>
        <w:rPr>
          <w:szCs w:val="22"/>
          <w:lang w:val="sr-Latn-CS"/>
        </w:rPr>
      </w:pPr>
      <w:r w:rsidRPr="00B22D20">
        <w:rPr>
          <w:szCs w:val="22"/>
          <w:lang w:val="sr-Latn-CS"/>
        </w:rPr>
        <w:t>ricinusovo ulje, hidrogenizovano;</w:t>
      </w:r>
    </w:p>
    <w:p w14:paraId="24BC47A5" w14:textId="7CEC856B" w:rsidR="00F3137E" w:rsidRPr="00B22D20" w:rsidRDefault="00F3137E">
      <w:pPr>
        <w:rPr>
          <w:szCs w:val="22"/>
          <w:lang w:val="sr-Latn-CS"/>
        </w:rPr>
      </w:pPr>
      <w:r w:rsidRPr="00B22D20">
        <w:rPr>
          <w:szCs w:val="22"/>
          <w:lang w:val="sr-Latn-CS"/>
        </w:rPr>
        <w:t>hidroksipropil</w:t>
      </w:r>
      <w:r w:rsidR="00F54D86" w:rsidRPr="00B22D20">
        <w:rPr>
          <w:szCs w:val="22"/>
          <w:lang w:val="sr-Latn-CS"/>
        </w:rPr>
        <w:t xml:space="preserve"> </w:t>
      </w:r>
      <w:r w:rsidRPr="00B22D20">
        <w:rPr>
          <w:szCs w:val="22"/>
          <w:lang w:val="sr-Latn-CS"/>
        </w:rPr>
        <w:t xml:space="preserve">celuloza, nisko supstituisana. </w:t>
      </w:r>
    </w:p>
    <w:p w14:paraId="66153AAA" w14:textId="54C23D04" w:rsidR="00F3137E" w:rsidRPr="00B22D20" w:rsidRDefault="006410D1">
      <w:pPr>
        <w:spacing w:before="120"/>
        <w:rPr>
          <w:i/>
          <w:szCs w:val="22"/>
          <w:lang w:val="sr-Latn-CS"/>
        </w:rPr>
      </w:pPr>
      <w:r w:rsidRPr="00B22D20">
        <w:rPr>
          <w:i/>
          <w:szCs w:val="22"/>
          <w:lang w:val="sr-Latn-CS"/>
        </w:rPr>
        <w:t>Film (o</w:t>
      </w:r>
      <w:r w:rsidR="00F3137E" w:rsidRPr="00B22D20">
        <w:rPr>
          <w:i/>
          <w:szCs w:val="22"/>
          <w:lang w:val="sr-Latn-CS"/>
        </w:rPr>
        <w:t>bloga</w:t>
      </w:r>
      <w:r w:rsidRPr="00B22D20">
        <w:rPr>
          <w:i/>
          <w:szCs w:val="22"/>
          <w:lang w:val="sr-Latn-CS"/>
        </w:rPr>
        <w:t>) tablete</w:t>
      </w:r>
      <w:r w:rsidR="0072588D" w:rsidRPr="00B22D20">
        <w:rPr>
          <w:i/>
          <w:szCs w:val="22"/>
          <w:lang w:val="sr-Latn-CS"/>
        </w:rPr>
        <w:t>, Opadry</w:t>
      </w:r>
      <w:r w:rsidR="00B73763" w:rsidRPr="00B22D20">
        <w:rPr>
          <w:i/>
          <w:szCs w:val="22"/>
          <w:vertAlign w:val="superscript"/>
          <w:lang w:val="sr-Latn-CS"/>
        </w:rPr>
        <w:t xml:space="preserve"> </w:t>
      </w:r>
      <w:r w:rsidR="0072588D" w:rsidRPr="00B22D20">
        <w:rPr>
          <w:i/>
          <w:szCs w:val="22"/>
          <w:lang w:val="sr-Latn-CS"/>
        </w:rPr>
        <w:t>32K 14834 tip II</w:t>
      </w:r>
      <w:r w:rsidR="00F3137E" w:rsidRPr="00B22D20">
        <w:rPr>
          <w:i/>
          <w:szCs w:val="22"/>
          <w:lang w:val="sr-Latn-CS"/>
        </w:rPr>
        <w:t>:</w:t>
      </w:r>
    </w:p>
    <w:p w14:paraId="57786EA9" w14:textId="77777777" w:rsidR="00F3137E" w:rsidRPr="00B22D20" w:rsidRDefault="00F3137E">
      <w:pPr>
        <w:rPr>
          <w:szCs w:val="22"/>
          <w:lang w:val="sr-Latn-CS"/>
        </w:rPr>
      </w:pPr>
      <w:r w:rsidRPr="00B22D20">
        <w:rPr>
          <w:szCs w:val="22"/>
          <w:lang w:val="sr-Latn-CS"/>
        </w:rPr>
        <w:t>hipromeloza (E464);</w:t>
      </w:r>
    </w:p>
    <w:p w14:paraId="423A409B" w14:textId="77777777" w:rsidR="00F3137E" w:rsidRPr="00B22D20" w:rsidRDefault="00F3137E">
      <w:pPr>
        <w:rPr>
          <w:szCs w:val="22"/>
          <w:lang w:val="sr-Latn-CS"/>
        </w:rPr>
      </w:pPr>
      <w:r w:rsidRPr="00B22D20">
        <w:rPr>
          <w:szCs w:val="22"/>
          <w:lang w:val="sr-Latn-CS"/>
        </w:rPr>
        <w:t>laktoza, monohidrat;</w:t>
      </w:r>
    </w:p>
    <w:p w14:paraId="4FCD53C6" w14:textId="77777777" w:rsidR="00F3137E" w:rsidRPr="00B22D20" w:rsidRDefault="00F3137E">
      <w:pPr>
        <w:rPr>
          <w:szCs w:val="22"/>
          <w:lang w:val="sr-Latn-CS"/>
        </w:rPr>
      </w:pPr>
      <w:r w:rsidRPr="00B22D20">
        <w:rPr>
          <w:szCs w:val="22"/>
          <w:lang w:val="sr-Latn-CS"/>
        </w:rPr>
        <w:t>triacetin (E1518);</w:t>
      </w:r>
    </w:p>
    <w:p w14:paraId="1313A820" w14:textId="29941AA6" w:rsidR="00F3137E" w:rsidRPr="00B22D20" w:rsidRDefault="00F3137E">
      <w:pPr>
        <w:rPr>
          <w:szCs w:val="22"/>
          <w:lang w:val="sr-Latn-CS"/>
        </w:rPr>
      </w:pPr>
      <w:r w:rsidRPr="00B22D20">
        <w:rPr>
          <w:szCs w:val="22"/>
          <w:lang w:val="sr-Latn-CS"/>
        </w:rPr>
        <w:t>titan</w:t>
      </w:r>
      <w:r w:rsidR="00F54D86" w:rsidRPr="00B22D20">
        <w:rPr>
          <w:szCs w:val="22"/>
          <w:lang w:val="sr-Latn-CS"/>
        </w:rPr>
        <w:t xml:space="preserve"> </w:t>
      </w:r>
      <w:r w:rsidRPr="00B22D20">
        <w:rPr>
          <w:szCs w:val="22"/>
          <w:lang w:val="sr-Latn-CS"/>
        </w:rPr>
        <w:t>dioksid (E171);</w:t>
      </w:r>
    </w:p>
    <w:p w14:paraId="74259B41" w14:textId="31CF25C7" w:rsidR="00F3137E" w:rsidRPr="00B22D20" w:rsidRDefault="00F3137E">
      <w:pPr>
        <w:rPr>
          <w:szCs w:val="22"/>
          <w:lang w:val="sr-Latn-CS"/>
        </w:rPr>
      </w:pPr>
      <w:r w:rsidRPr="00B22D20">
        <w:rPr>
          <w:szCs w:val="22"/>
          <w:lang w:val="sr-Latn-CS"/>
        </w:rPr>
        <w:t>gvožđe</w:t>
      </w:r>
      <w:r w:rsidR="00F54D86" w:rsidRPr="00B22D20">
        <w:rPr>
          <w:szCs w:val="22"/>
          <w:lang w:val="sr-Latn-CS"/>
        </w:rPr>
        <w:t xml:space="preserve"> </w:t>
      </w:r>
      <w:r w:rsidRPr="00B22D20">
        <w:rPr>
          <w:szCs w:val="22"/>
          <w:lang w:val="sr-Latn-CS"/>
        </w:rPr>
        <w:t>(III)</w:t>
      </w:r>
      <w:r w:rsidR="00F54D86" w:rsidRPr="00B22D20">
        <w:rPr>
          <w:szCs w:val="22"/>
          <w:lang w:val="sr-Latn-CS"/>
        </w:rPr>
        <w:t xml:space="preserve"> </w:t>
      </w:r>
      <w:r w:rsidRPr="00B22D20">
        <w:rPr>
          <w:szCs w:val="22"/>
          <w:lang w:val="sr-Latn-CS"/>
        </w:rPr>
        <w:t>oksid, crveni (E172)</w:t>
      </w:r>
      <w:r w:rsidR="009D7782" w:rsidRPr="00B22D20">
        <w:rPr>
          <w:szCs w:val="22"/>
          <w:lang w:val="sr-Latn-CS"/>
        </w:rPr>
        <w:t>.</w:t>
      </w:r>
    </w:p>
    <w:p w14:paraId="61C1FF54" w14:textId="77777777" w:rsidR="009D7782" w:rsidRPr="00B22D20" w:rsidRDefault="009D7782">
      <w:pPr>
        <w:pStyle w:val="Header"/>
        <w:tabs>
          <w:tab w:val="clear" w:pos="4536"/>
          <w:tab w:val="clear" w:pos="9072"/>
        </w:tabs>
        <w:spacing w:before="120"/>
        <w:rPr>
          <w:szCs w:val="22"/>
          <w:lang w:val="sr-Latn-CS"/>
        </w:rPr>
      </w:pPr>
      <w:r w:rsidRPr="00B22D20">
        <w:rPr>
          <w:i/>
          <w:szCs w:val="22"/>
          <w:lang w:val="sr-Latn-CS"/>
        </w:rPr>
        <w:t>Sredstvo za poliranje</w:t>
      </w:r>
      <w:r w:rsidRPr="00B22D20">
        <w:rPr>
          <w:szCs w:val="22"/>
          <w:lang w:val="sr-Latn-CS"/>
        </w:rPr>
        <w:t>:</w:t>
      </w:r>
    </w:p>
    <w:p w14:paraId="6A6D16F3" w14:textId="77777777" w:rsidR="00F3137E" w:rsidRPr="00B22D20" w:rsidRDefault="00F3137E">
      <w:pPr>
        <w:pStyle w:val="Header"/>
        <w:tabs>
          <w:tab w:val="clear" w:pos="4536"/>
          <w:tab w:val="clear" w:pos="9072"/>
        </w:tabs>
        <w:rPr>
          <w:szCs w:val="22"/>
          <w:lang w:val="sr-Latn-CS"/>
        </w:rPr>
      </w:pPr>
      <w:r w:rsidRPr="00B22D20">
        <w:rPr>
          <w:szCs w:val="22"/>
          <w:lang w:val="sr-Latn-CS"/>
        </w:rPr>
        <w:t>karnauba vosak.</w:t>
      </w:r>
    </w:p>
    <w:p w14:paraId="76165585" w14:textId="77777777" w:rsidR="00DE02E0" w:rsidRPr="00B22D20" w:rsidRDefault="00DE02E0">
      <w:pPr>
        <w:pStyle w:val="Header"/>
        <w:tabs>
          <w:tab w:val="clear" w:pos="4536"/>
          <w:tab w:val="clear" w:pos="9072"/>
        </w:tabs>
        <w:rPr>
          <w:b/>
          <w:bCs/>
          <w:szCs w:val="22"/>
        </w:rPr>
      </w:pPr>
    </w:p>
    <w:p w14:paraId="51DBC913" w14:textId="77777777" w:rsidR="00F3137E" w:rsidRPr="00B22D20" w:rsidRDefault="00F3137E">
      <w:pPr>
        <w:pStyle w:val="Header"/>
        <w:tabs>
          <w:tab w:val="clear" w:pos="4536"/>
          <w:tab w:val="clear" w:pos="9072"/>
        </w:tabs>
        <w:rPr>
          <w:b/>
          <w:bCs/>
          <w:szCs w:val="22"/>
        </w:rPr>
      </w:pPr>
      <w:r w:rsidRPr="00B22D20">
        <w:rPr>
          <w:b/>
          <w:bCs/>
          <w:szCs w:val="22"/>
        </w:rPr>
        <w:t>6.2. Inkompatibilnost</w:t>
      </w:r>
    </w:p>
    <w:p w14:paraId="77BDBE2F" w14:textId="77777777" w:rsidR="00DE02E0" w:rsidRPr="00B22D20" w:rsidRDefault="00DE02E0">
      <w:pPr>
        <w:pStyle w:val="Header"/>
        <w:tabs>
          <w:tab w:val="clear" w:pos="4536"/>
          <w:tab w:val="clear" w:pos="9072"/>
        </w:tabs>
        <w:spacing w:before="120"/>
        <w:rPr>
          <w:szCs w:val="22"/>
          <w:lang w:val="sr-Latn-CS"/>
        </w:rPr>
      </w:pPr>
      <w:r w:rsidRPr="00B22D20">
        <w:rPr>
          <w:szCs w:val="22"/>
          <w:lang w:val="sr-Latn-CS"/>
        </w:rPr>
        <w:t>Nema poznatih.</w:t>
      </w:r>
    </w:p>
    <w:p w14:paraId="4535FA93" w14:textId="77777777" w:rsidR="00DE02E0" w:rsidRPr="00B22D20" w:rsidRDefault="00DE02E0">
      <w:pPr>
        <w:pStyle w:val="Header"/>
        <w:tabs>
          <w:tab w:val="clear" w:pos="4536"/>
          <w:tab w:val="clear" w:pos="9072"/>
        </w:tabs>
        <w:rPr>
          <w:b/>
          <w:bCs/>
          <w:szCs w:val="22"/>
        </w:rPr>
      </w:pPr>
    </w:p>
    <w:p w14:paraId="42DAA9A7" w14:textId="77777777" w:rsidR="00F3137E" w:rsidRPr="00B22D20" w:rsidRDefault="00F3137E">
      <w:pPr>
        <w:pStyle w:val="Header"/>
        <w:tabs>
          <w:tab w:val="clear" w:pos="4536"/>
          <w:tab w:val="clear" w:pos="9072"/>
        </w:tabs>
        <w:rPr>
          <w:b/>
          <w:bCs/>
          <w:szCs w:val="22"/>
        </w:rPr>
      </w:pPr>
      <w:r w:rsidRPr="00B22D20">
        <w:rPr>
          <w:b/>
          <w:bCs/>
          <w:szCs w:val="22"/>
        </w:rPr>
        <w:t>6.3. Rok upotrebe</w:t>
      </w:r>
    </w:p>
    <w:p w14:paraId="59AB33BF" w14:textId="77777777" w:rsidR="00F3137E" w:rsidRPr="00B22D20" w:rsidRDefault="00F3137E">
      <w:pPr>
        <w:pStyle w:val="Header"/>
        <w:tabs>
          <w:tab w:val="clear" w:pos="4536"/>
          <w:tab w:val="clear" w:pos="9072"/>
        </w:tabs>
        <w:spacing w:before="120"/>
        <w:rPr>
          <w:szCs w:val="22"/>
        </w:rPr>
      </w:pPr>
      <w:r w:rsidRPr="00B22D20">
        <w:rPr>
          <w:szCs w:val="22"/>
          <w:lang w:val="sr-Latn-CS"/>
        </w:rPr>
        <w:lastRenderedPageBreak/>
        <w:t>3 godine</w:t>
      </w:r>
    </w:p>
    <w:p w14:paraId="17ED1C8D" w14:textId="77777777" w:rsidR="00DE02E0" w:rsidRPr="00B22D20" w:rsidRDefault="00DE02E0">
      <w:pPr>
        <w:pStyle w:val="Header"/>
        <w:tabs>
          <w:tab w:val="clear" w:pos="4536"/>
          <w:tab w:val="clear" w:pos="9072"/>
        </w:tabs>
        <w:rPr>
          <w:b/>
          <w:bCs/>
          <w:szCs w:val="22"/>
        </w:rPr>
      </w:pPr>
    </w:p>
    <w:p w14:paraId="7E6D11DA" w14:textId="53FCD3F8" w:rsidR="00F3137E" w:rsidRPr="00B22D20" w:rsidRDefault="00F3137E">
      <w:pPr>
        <w:pStyle w:val="Header"/>
        <w:tabs>
          <w:tab w:val="clear" w:pos="4536"/>
          <w:tab w:val="clear" w:pos="9072"/>
        </w:tabs>
        <w:rPr>
          <w:b/>
          <w:bCs/>
          <w:szCs w:val="22"/>
        </w:rPr>
      </w:pPr>
      <w:r w:rsidRPr="00B22D20">
        <w:rPr>
          <w:b/>
          <w:bCs/>
          <w:szCs w:val="22"/>
        </w:rPr>
        <w:t>6.4. Posebne m</w:t>
      </w:r>
      <w:r w:rsidR="00AC562A" w:rsidRPr="00B22D20">
        <w:rPr>
          <w:b/>
          <w:bCs/>
          <w:szCs w:val="22"/>
        </w:rPr>
        <w:t>j</w:t>
      </w:r>
      <w:r w:rsidRPr="00B22D20">
        <w:rPr>
          <w:b/>
          <w:bCs/>
          <w:szCs w:val="22"/>
        </w:rPr>
        <w:t xml:space="preserve">ere </w:t>
      </w:r>
      <w:r w:rsidR="00AC562A" w:rsidRPr="00B22D20">
        <w:rPr>
          <w:b/>
          <w:bCs/>
          <w:szCs w:val="22"/>
        </w:rPr>
        <w:t>upozorenja pri čuvanju lijeka</w:t>
      </w:r>
    </w:p>
    <w:p w14:paraId="3952E716" w14:textId="355A7D0E" w:rsidR="00F3137E" w:rsidRPr="00B22D20" w:rsidRDefault="00AC562A">
      <w:pPr>
        <w:spacing w:before="120"/>
        <w:rPr>
          <w:szCs w:val="22"/>
          <w:lang w:val="sr-Latn-CS"/>
        </w:rPr>
      </w:pPr>
      <w:r w:rsidRPr="00B22D20">
        <w:rPr>
          <w:szCs w:val="22"/>
          <w:lang w:val="sr-Latn-CS"/>
        </w:rPr>
        <w:t>Lijek</w:t>
      </w:r>
      <w:r w:rsidR="00F3137E" w:rsidRPr="00B22D20">
        <w:rPr>
          <w:szCs w:val="22"/>
          <w:lang w:val="sr-Latn-CS"/>
        </w:rPr>
        <w:t xml:space="preserve"> pakovan u PVC/PVDC/aluminijumske b</w:t>
      </w:r>
      <w:r w:rsidR="00892C42" w:rsidRPr="00B22D20">
        <w:rPr>
          <w:szCs w:val="22"/>
          <w:lang w:val="sr-Latn-CS"/>
        </w:rPr>
        <w:t>listere</w:t>
      </w:r>
      <w:r w:rsidR="00F3137E" w:rsidRPr="00B22D20">
        <w:rPr>
          <w:szCs w:val="22"/>
          <w:lang w:val="sr-Latn-CS"/>
        </w:rPr>
        <w:t>, čuva se na temperaturi do 30ºC.</w:t>
      </w:r>
    </w:p>
    <w:p w14:paraId="3C77F974" w14:textId="076C41A0" w:rsidR="00F3137E" w:rsidRPr="00B22D20" w:rsidRDefault="00AC562A">
      <w:pPr>
        <w:pStyle w:val="Header"/>
        <w:tabs>
          <w:tab w:val="clear" w:pos="4536"/>
          <w:tab w:val="clear" w:pos="9072"/>
        </w:tabs>
        <w:rPr>
          <w:szCs w:val="22"/>
          <w:lang w:val="sr-Latn-CS"/>
        </w:rPr>
      </w:pPr>
      <w:r w:rsidRPr="00B22D20">
        <w:rPr>
          <w:szCs w:val="22"/>
          <w:lang w:val="sr-Latn-CS"/>
        </w:rPr>
        <w:t>Lijek</w:t>
      </w:r>
      <w:r w:rsidR="00F3137E" w:rsidRPr="00B22D20">
        <w:rPr>
          <w:szCs w:val="22"/>
          <w:lang w:val="sr-Latn-CS"/>
        </w:rPr>
        <w:t xml:space="preserve"> pakovan u </w:t>
      </w:r>
      <w:r w:rsidR="00FD492B" w:rsidRPr="00B22D20">
        <w:rPr>
          <w:szCs w:val="22"/>
          <w:lang w:val="sr-Latn-CS"/>
        </w:rPr>
        <w:t xml:space="preserve">(Al-Al) </w:t>
      </w:r>
      <w:r w:rsidR="00F3137E" w:rsidRPr="00B22D20">
        <w:rPr>
          <w:szCs w:val="22"/>
          <w:lang w:val="sr-Latn-CS"/>
        </w:rPr>
        <w:t>aluminijumske blistere ne zaht</w:t>
      </w:r>
      <w:r w:rsidR="00D70C12" w:rsidRPr="00B22D20">
        <w:rPr>
          <w:szCs w:val="22"/>
          <w:lang w:val="sr-Latn-CS"/>
        </w:rPr>
        <w:t>ij</w:t>
      </w:r>
      <w:r w:rsidR="00F3137E" w:rsidRPr="00B22D20">
        <w:rPr>
          <w:szCs w:val="22"/>
          <w:lang w:val="sr-Latn-CS"/>
        </w:rPr>
        <w:t>eva posebne uslove čuvanja.</w:t>
      </w:r>
    </w:p>
    <w:p w14:paraId="61A9B566" w14:textId="77777777" w:rsidR="00DE02E0" w:rsidRPr="00B22D20" w:rsidRDefault="00DE02E0">
      <w:pPr>
        <w:rPr>
          <w:b/>
          <w:bCs/>
          <w:szCs w:val="22"/>
          <w:lang w:val="sr-Latn-CS"/>
        </w:rPr>
      </w:pPr>
    </w:p>
    <w:p w14:paraId="46A0F73A" w14:textId="7D9988BF" w:rsidR="002214AB" w:rsidRPr="00B22D20" w:rsidRDefault="002214AB">
      <w:pPr>
        <w:rPr>
          <w:b/>
          <w:bCs/>
          <w:szCs w:val="22"/>
          <w:lang w:val="ru-RU"/>
        </w:rPr>
      </w:pPr>
      <w:r w:rsidRPr="00B22D20">
        <w:rPr>
          <w:b/>
          <w:bCs/>
          <w:szCs w:val="22"/>
          <w:lang w:val="sr-Latn-CS"/>
        </w:rPr>
        <w:t xml:space="preserve">6.5. </w:t>
      </w:r>
      <w:r w:rsidR="001D250F" w:rsidRPr="00B22D20">
        <w:rPr>
          <w:b/>
          <w:bCs/>
          <w:szCs w:val="22"/>
          <w:lang w:val="sr-Latn-CS"/>
        </w:rPr>
        <w:t>Vrsta i sadržaj pakovanja</w:t>
      </w:r>
    </w:p>
    <w:p w14:paraId="28393880" w14:textId="61A966C9" w:rsidR="003F4FE3" w:rsidRPr="00B22D20" w:rsidRDefault="00AC562A">
      <w:pPr>
        <w:spacing w:before="120"/>
        <w:rPr>
          <w:szCs w:val="22"/>
          <w:lang w:val="sr-Latn-CS"/>
        </w:rPr>
      </w:pPr>
      <w:r w:rsidRPr="00B22D20">
        <w:rPr>
          <w:szCs w:val="22"/>
          <w:lang w:val="sr-Latn-CS"/>
        </w:rPr>
        <w:t>Lijek</w:t>
      </w:r>
      <w:r w:rsidR="003F4FE3" w:rsidRPr="00B22D20">
        <w:rPr>
          <w:szCs w:val="22"/>
          <w:lang w:val="sr-Latn-CS"/>
        </w:rPr>
        <w:t xml:space="preserve"> Plavix, 75 mg, film tablete, PVC/PVDC/Aluminijumski blister</w:t>
      </w:r>
    </w:p>
    <w:p w14:paraId="36394477" w14:textId="121A3BCC" w:rsidR="003F4FE3" w:rsidRPr="00B22D20" w:rsidRDefault="003F4FE3">
      <w:pPr>
        <w:spacing w:before="120"/>
        <w:rPr>
          <w:szCs w:val="22"/>
          <w:lang w:val="sr-Latn-CS"/>
        </w:rPr>
      </w:pPr>
      <w:r w:rsidRPr="00B22D20">
        <w:rPr>
          <w:szCs w:val="22"/>
          <w:lang w:val="sr-Latn-CS"/>
        </w:rPr>
        <w:t>Unutrašnje pakovanje je  PVC/PVDC/Aluminijumski blister u kome se nalazi 28 film tableta.</w:t>
      </w:r>
    </w:p>
    <w:p w14:paraId="1A988CDC" w14:textId="5F1E5251" w:rsidR="003F4FE3" w:rsidRPr="00B22D20" w:rsidRDefault="003F4FE3">
      <w:pPr>
        <w:tabs>
          <w:tab w:val="clear" w:pos="284"/>
        </w:tabs>
        <w:rPr>
          <w:szCs w:val="22"/>
          <w:lang w:val="sr-Latn-CS"/>
        </w:rPr>
      </w:pPr>
      <w:r w:rsidRPr="00B22D20">
        <w:rPr>
          <w:szCs w:val="22"/>
          <w:lang w:val="sr-Latn-CS"/>
        </w:rPr>
        <w:t xml:space="preserve">Spoljašnje pakovanje je složiva kartonska kutija u kojoj se nalazi jedan blister sa 28 film tableta (ukupno 28 film tableta) i Uputstvo za </w:t>
      </w:r>
      <w:r w:rsidR="00AC562A" w:rsidRPr="00B22D20">
        <w:rPr>
          <w:szCs w:val="22"/>
          <w:lang w:val="sr-Latn-CS"/>
        </w:rPr>
        <w:t>lijek</w:t>
      </w:r>
      <w:r w:rsidRPr="00B22D20">
        <w:rPr>
          <w:szCs w:val="22"/>
          <w:lang w:val="sr-Latn-CS"/>
        </w:rPr>
        <w:t xml:space="preserve">. </w:t>
      </w:r>
    </w:p>
    <w:p w14:paraId="696089DE" w14:textId="2601E80A" w:rsidR="003F4FE3" w:rsidRPr="00B22D20" w:rsidRDefault="00AC562A">
      <w:pPr>
        <w:spacing w:before="120"/>
        <w:rPr>
          <w:szCs w:val="22"/>
          <w:lang w:val="sr-Latn-CS"/>
        </w:rPr>
      </w:pPr>
      <w:r w:rsidRPr="00B22D20">
        <w:rPr>
          <w:szCs w:val="22"/>
          <w:lang w:val="sr-Latn-CS"/>
        </w:rPr>
        <w:t>Lijek</w:t>
      </w:r>
      <w:r w:rsidR="003F4FE3" w:rsidRPr="00B22D20">
        <w:rPr>
          <w:szCs w:val="22"/>
          <w:lang w:val="sr-Latn-CS"/>
        </w:rPr>
        <w:t xml:space="preserve"> Plavix, 75 mg, film tablete, (Al-Al) Aluminijumski blister</w:t>
      </w:r>
    </w:p>
    <w:p w14:paraId="37960176" w14:textId="546F0A6D" w:rsidR="003F4FE3" w:rsidRPr="00B22D20" w:rsidRDefault="003F4FE3">
      <w:pPr>
        <w:spacing w:before="120"/>
        <w:rPr>
          <w:szCs w:val="22"/>
          <w:lang w:val="sr-Latn-CS"/>
        </w:rPr>
      </w:pPr>
      <w:r w:rsidRPr="00B22D20">
        <w:rPr>
          <w:szCs w:val="22"/>
          <w:lang w:val="sr-Latn-CS"/>
        </w:rPr>
        <w:t>Unutrašnje pakovanje je (Al-Al) Aluminijumski blister u kome se nalazi 28 film tableta</w:t>
      </w:r>
      <w:r w:rsidR="00F54D86" w:rsidRPr="00B22D20">
        <w:rPr>
          <w:szCs w:val="22"/>
          <w:lang w:val="sr-Latn-CS"/>
        </w:rPr>
        <w:t>.</w:t>
      </w:r>
      <w:r w:rsidRPr="00B22D20">
        <w:rPr>
          <w:szCs w:val="22"/>
          <w:lang w:val="sr-Latn-CS"/>
        </w:rPr>
        <w:t xml:space="preserve"> </w:t>
      </w:r>
    </w:p>
    <w:p w14:paraId="10C2D05B" w14:textId="62D1EFFF" w:rsidR="003F4FE3" w:rsidRPr="00B22D20" w:rsidRDefault="003F4FE3">
      <w:pPr>
        <w:tabs>
          <w:tab w:val="clear" w:pos="284"/>
        </w:tabs>
        <w:rPr>
          <w:szCs w:val="22"/>
          <w:lang w:val="sr-Latn-CS"/>
        </w:rPr>
      </w:pPr>
      <w:r w:rsidRPr="00B22D20">
        <w:rPr>
          <w:szCs w:val="22"/>
          <w:lang w:val="sr-Latn-CS"/>
        </w:rPr>
        <w:t xml:space="preserve">Spoljašnje pakovanje je složiva kartonska kutija u kojoj se nalazi jedan blister sa 28 film tableta (ukupno 28 film tableta) i Uputstvo za </w:t>
      </w:r>
      <w:r w:rsidR="00AC562A" w:rsidRPr="00B22D20">
        <w:rPr>
          <w:szCs w:val="22"/>
          <w:lang w:val="sr-Latn-CS"/>
        </w:rPr>
        <w:t>lijek</w:t>
      </w:r>
      <w:r w:rsidRPr="00B22D20">
        <w:rPr>
          <w:szCs w:val="22"/>
          <w:lang w:val="sr-Latn-CS"/>
        </w:rPr>
        <w:t>.</w:t>
      </w:r>
    </w:p>
    <w:p w14:paraId="1CBFE749" w14:textId="77777777" w:rsidR="00DE02E0" w:rsidRPr="00B22D20" w:rsidRDefault="00DE02E0">
      <w:pPr>
        <w:rPr>
          <w:b/>
          <w:bCs/>
          <w:szCs w:val="22"/>
          <w:lang w:val="ru-RU"/>
        </w:rPr>
      </w:pPr>
    </w:p>
    <w:p w14:paraId="11AAD65A" w14:textId="2FCD7094" w:rsidR="00892C42" w:rsidRPr="00B22D20" w:rsidRDefault="002214AB">
      <w:pPr>
        <w:rPr>
          <w:szCs w:val="22"/>
        </w:rPr>
      </w:pPr>
      <w:r w:rsidRPr="00B22D20">
        <w:rPr>
          <w:b/>
          <w:bCs/>
          <w:szCs w:val="22"/>
          <w:lang w:val="ru-RU"/>
        </w:rPr>
        <w:t xml:space="preserve">6.6. Posebne </w:t>
      </w:r>
      <w:r w:rsidR="001D250F" w:rsidRPr="00B22D20">
        <w:rPr>
          <w:b/>
          <w:bCs/>
          <w:szCs w:val="22"/>
          <w:lang w:val="ru-RU"/>
        </w:rPr>
        <w:t>mjere opreza pri odlaganju materijala koji treba odbaciti nakon primjene lijeka (i druga uputstva za rukovanje lijekom)</w:t>
      </w:r>
    </w:p>
    <w:p w14:paraId="61EDE64D" w14:textId="0A7230E8" w:rsidR="00892C42" w:rsidRPr="00B22D20" w:rsidRDefault="00892C42">
      <w:pPr>
        <w:spacing w:before="120"/>
        <w:rPr>
          <w:szCs w:val="22"/>
        </w:rPr>
      </w:pPr>
      <w:r w:rsidRPr="00B22D20">
        <w:rPr>
          <w:szCs w:val="22"/>
        </w:rPr>
        <w:t xml:space="preserve">Svu neiskorišćenu količinu </w:t>
      </w:r>
      <w:r w:rsidR="00AC562A" w:rsidRPr="00B22D20">
        <w:rPr>
          <w:szCs w:val="22"/>
        </w:rPr>
        <w:t>lijek</w:t>
      </w:r>
      <w:r w:rsidRPr="00B22D20">
        <w:rPr>
          <w:szCs w:val="22"/>
        </w:rPr>
        <w:t xml:space="preserve">a </w:t>
      </w:r>
      <w:proofErr w:type="gramStart"/>
      <w:r w:rsidRPr="00B22D20">
        <w:rPr>
          <w:szCs w:val="22"/>
        </w:rPr>
        <w:t>ili</w:t>
      </w:r>
      <w:proofErr w:type="gramEnd"/>
      <w:r w:rsidRPr="00B22D20">
        <w:rPr>
          <w:szCs w:val="22"/>
        </w:rPr>
        <w:t xml:space="preserve"> otpadnog materijala nakon njegove upotrebe treba ukloniti, u skladu sa važećim propisima.</w:t>
      </w:r>
    </w:p>
    <w:p w14:paraId="7EA90D3B" w14:textId="77777777" w:rsidR="00DF0EEC" w:rsidRPr="00B22D20" w:rsidRDefault="00DF0EEC">
      <w:pPr>
        <w:pStyle w:val="Header"/>
        <w:tabs>
          <w:tab w:val="clear" w:pos="4536"/>
          <w:tab w:val="clear" w:pos="9072"/>
        </w:tabs>
        <w:spacing w:before="120"/>
        <w:rPr>
          <w:szCs w:val="22"/>
          <w:lang w:val="sr-Latn-CS"/>
        </w:rPr>
      </w:pPr>
    </w:p>
    <w:p w14:paraId="366D9AE7" w14:textId="61BB4E1F" w:rsidR="00F3137E" w:rsidRPr="00B22D20" w:rsidRDefault="00F3137E">
      <w:pPr>
        <w:pStyle w:val="Header"/>
        <w:tabs>
          <w:tab w:val="clear" w:pos="4536"/>
          <w:tab w:val="clear" w:pos="9072"/>
        </w:tabs>
        <w:rPr>
          <w:b/>
          <w:bCs/>
          <w:szCs w:val="22"/>
        </w:rPr>
      </w:pPr>
      <w:r w:rsidRPr="00B22D20">
        <w:rPr>
          <w:b/>
          <w:bCs/>
          <w:szCs w:val="22"/>
        </w:rPr>
        <w:t>7. NOSILAC DOZVOLE</w:t>
      </w:r>
    </w:p>
    <w:p w14:paraId="23CA4B70" w14:textId="77777777" w:rsidR="00381CAE" w:rsidRPr="00B22D20" w:rsidRDefault="00381CAE">
      <w:pPr>
        <w:tabs>
          <w:tab w:val="center" w:pos="4536"/>
          <w:tab w:val="right" w:pos="9072"/>
        </w:tabs>
        <w:rPr>
          <w:bCs/>
          <w:szCs w:val="22"/>
          <w:lang w:val="sl-SI"/>
        </w:rPr>
      </w:pPr>
    </w:p>
    <w:p w14:paraId="68009CDF" w14:textId="3D5FEB15" w:rsidR="00047E82" w:rsidRPr="00B22D20" w:rsidRDefault="00050D36">
      <w:pPr>
        <w:tabs>
          <w:tab w:val="center" w:pos="4536"/>
          <w:tab w:val="right" w:pos="9072"/>
        </w:tabs>
        <w:rPr>
          <w:szCs w:val="22"/>
          <w:lang w:val="fr-FR"/>
        </w:rPr>
      </w:pPr>
      <w:r w:rsidRPr="00B22D20">
        <w:rPr>
          <w:bCs/>
          <w:szCs w:val="22"/>
          <w:lang w:val="sl-SI"/>
        </w:rPr>
        <w:t>Amicus Pharma</w:t>
      </w:r>
      <w:r w:rsidR="00047E82" w:rsidRPr="00B22D20">
        <w:rPr>
          <w:szCs w:val="22"/>
          <w:lang w:val="fr-FR"/>
        </w:rPr>
        <w:t xml:space="preserve"> </w:t>
      </w:r>
      <w:r w:rsidR="005020BB" w:rsidRPr="00B22D20">
        <w:rPr>
          <w:szCs w:val="22"/>
          <w:lang w:val="fr-FR"/>
        </w:rPr>
        <w:t xml:space="preserve">d.o.o. </w:t>
      </w:r>
      <w:r w:rsidRPr="00B22D20">
        <w:rPr>
          <w:szCs w:val="22"/>
          <w:lang w:val="fr-FR"/>
        </w:rPr>
        <w:t>Podgorica</w:t>
      </w:r>
    </w:p>
    <w:p w14:paraId="7A8F0B5F" w14:textId="2FDE5F17" w:rsidR="00047E82" w:rsidRPr="00B22D20" w:rsidRDefault="00047E82">
      <w:pPr>
        <w:rPr>
          <w:szCs w:val="22"/>
          <w:lang w:val="fr-FR"/>
        </w:rPr>
      </w:pPr>
      <w:r w:rsidRPr="00B22D20">
        <w:rPr>
          <w:szCs w:val="22"/>
          <w:lang w:val="fr-FR"/>
        </w:rPr>
        <w:t xml:space="preserve">Bulevar </w:t>
      </w:r>
      <w:r w:rsidR="00050D36" w:rsidRPr="00B22D20">
        <w:rPr>
          <w:szCs w:val="22"/>
          <w:lang w:val="fr-FR"/>
        </w:rPr>
        <w:t>Džordža Vašingtona br. 51</w:t>
      </w:r>
      <w:r w:rsidRPr="00B22D20">
        <w:rPr>
          <w:szCs w:val="22"/>
          <w:lang w:val="fr-FR"/>
        </w:rPr>
        <w:t>, 81 000 Podgorica</w:t>
      </w:r>
      <w:r w:rsidR="00050D36" w:rsidRPr="00B22D20">
        <w:rPr>
          <w:szCs w:val="22"/>
          <w:lang w:val="fr-FR"/>
        </w:rPr>
        <w:t>, Crna Gora</w:t>
      </w:r>
    </w:p>
    <w:p w14:paraId="1D805291" w14:textId="5CB43F16" w:rsidR="002214AB" w:rsidRPr="00B22D20" w:rsidRDefault="002214AB">
      <w:pPr>
        <w:pStyle w:val="NASLOV123"/>
        <w:spacing w:before="120" w:after="0"/>
        <w:jc w:val="both"/>
        <w:rPr>
          <w:lang w:val="it-IT"/>
        </w:rPr>
      </w:pPr>
    </w:p>
    <w:p w14:paraId="5EEC3A53" w14:textId="57215B0C" w:rsidR="00F3137E" w:rsidRPr="00B22D20" w:rsidRDefault="00F3137E">
      <w:pPr>
        <w:pStyle w:val="Header"/>
        <w:tabs>
          <w:tab w:val="clear" w:pos="4536"/>
          <w:tab w:val="clear" w:pos="9072"/>
        </w:tabs>
        <w:rPr>
          <w:b/>
          <w:bCs/>
          <w:szCs w:val="22"/>
          <w:lang w:val="sv-SE"/>
        </w:rPr>
      </w:pPr>
      <w:r w:rsidRPr="00B22D20">
        <w:rPr>
          <w:b/>
          <w:bCs/>
          <w:szCs w:val="22"/>
        </w:rPr>
        <w:t xml:space="preserve">8. </w:t>
      </w:r>
      <w:r w:rsidR="00DE02E0" w:rsidRPr="00B22D20">
        <w:rPr>
          <w:b/>
          <w:bCs/>
          <w:szCs w:val="22"/>
          <w:lang w:val="sv-SE"/>
        </w:rPr>
        <w:t>BROJ DOZVOLE</w:t>
      </w:r>
      <w:r w:rsidR="002214AB" w:rsidRPr="00B22D20">
        <w:rPr>
          <w:b/>
          <w:bCs/>
          <w:szCs w:val="22"/>
          <w:lang w:val="sv-SE"/>
        </w:rPr>
        <w:t xml:space="preserve"> ZA STAVLJANJE </w:t>
      </w:r>
      <w:r w:rsidR="00AC562A" w:rsidRPr="00B22D20">
        <w:rPr>
          <w:b/>
          <w:bCs/>
          <w:szCs w:val="22"/>
          <w:lang w:val="sv-SE"/>
        </w:rPr>
        <w:t>LIJEK</w:t>
      </w:r>
      <w:r w:rsidR="002214AB" w:rsidRPr="00B22D20">
        <w:rPr>
          <w:b/>
          <w:bCs/>
          <w:szCs w:val="22"/>
          <w:lang w:val="sv-SE"/>
        </w:rPr>
        <w:t>A U PROMET</w:t>
      </w:r>
    </w:p>
    <w:p w14:paraId="43088317" w14:textId="77777777" w:rsidR="00692733" w:rsidRPr="00B22D20" w:rsidRDefault="00692733">
      <w:pPr>
        <w:pStyle w:val="Header"/>
        <w:tabs>
          <w:tab w:val="clear" w:pos="4536"/>
          <w:tab w:val="clear" w:pos="9072"/>
        </w:tabs>
        <w:rPr>
          <w:szCs w:val="22"/>
        </w:rPr>
      </w:pPr>
    </w:p>
    <w:p w14:paraId="56FECBC8" w14:textId="2900E03B" w:rsidR="00692733" w:rsidRPr="00B22D20" w:rsidRDefault="00692733">
      <w:pPr>
        <w:pStyle w:val="Header"/>
        <w:tabs>
          <w:tab w:val="clear" w:pos="4536"/>
          <w:tab w:val="clear" w:pos="9072"/>
        </w:tabs>
        <w:rPr>
          <w:szCs w:val="22"/>
        </w:rPr>
      </w:pPr>
      <w:r w:rsidRPr="00B22D20">
        <w:rPr>
          <w:szCs w:val="22"/>
        </w:rPr>
        <w:t>2030/23/1838-7869</w:t>
      </w:r>
    </w:p>
    <w:p w14:paraId="046872EC" w14:textId="77777777" w:rsidR="00692733" w:rsidRPr="00B22D20" w:rsidRDefault="00692733">
      <w:pPr>
        <w:pStyle w:val="NASLOV123"/>
        <w:spacing w:before="0" w:after="0"/>
        <w:jc w:val="both"/>
        <w:rPr>
          <w:lang w:val="ru-RU"/>
        </w:rPr>
      </w:pPr>
    </w:p>
    <w:p w14:paraId="68D46D52" w14:textId="3899EEBC" w:rsidR="00771A39" w:rsidRPr="00B22D20" w:rsidRDefault="00771A39">
      <w:pPr>
        <w:pStyle w:val="NASLOV123"/>
        <w:spacing w:before="120" w:after="0"/>
        <w:jc w:val="both"/>
      </w:pPr>
      <w:r w:rsidRPr="00B22D20">
        <w:rPr>
          <w:lang w:val="ru-RU"/>
        </w:rPr>
        <w:t xml:space="preserve">9. DATUM PRVE </w:t>
      </w:r>
      <w:r w:rsidR="002E07E5" w:rsidRPr="00B22D20">
        <w:rPr>
          <w:lang w:val="ru-RU"/>
        </w:rPr>
        <w:t>DOZVOLE/OBNOVE DOZVOLE ZA STAVLJANJE LIJEKA U PROMET</w:t>
      </w:r>
    </w:p>
    <w:p w14:paraId="40CBFACE" w14:textId="77777777" w:rsidR="00692733" w:rsidRPr="00B22D20" w:rsidRDefault="00692733">
      <w:pPr>
        <w:pStyle w:val="Header"/>
        <w:tabs>
          <w:tab w:val="clear" w:pos="4536"/>
          <w:tab w:val="clear" w:pos="9072"/>
          <w:tab w:val="left" w:pos="284"/>
        </w:tabs>
        <w:rPr>
          <w:szCs w:val="22"/>
        </w:rPr>
      </w:pPr>
    </w:p>
    <w:p w14:paraId="3872E23E" w14:textId="360D8C4B" w:rsidR="00F3137E" w:rsidRPr="00B22D20" w:rsidRDefault="00F3137E">
      <w:pPr>
        <w:pStyle w:val="Header"/>
        <w:tabs>
          <w:tab w:val="clear" w:pos="4536"/>
          <w:tab w:val="clear" w:pos="9072"/>
          <w:tab w:val="left" w:pos="284"/>
        </w:tabs>
        <w:rPr>
          <w:szCs w:val="22"/>
        </w:rPr>
      </w:pPr>
      <w:r w:rsidRPr="00B22D20">
        <w:rPr>
          <w:szCs w:val="22"/>
        </w:rPr>
        <w:t xml:space="preserve">Datum prve dozvole: </w:t>
      </w:r>
      <w:r w:rsidR="000973FD" w:rsidRPr="00B22D20">
        <w:rPr>
          <w:szCs w:val="22"/>
        </w:rPr>
        <w:t>20.01.2010</w:t>
      </w:r>
      <w:r w:rsidR="00050D36" w:rsidRPr="00B22D20">
        <w:rPr>
          <w:szCs w:val="22"/>
        </w:rPr>
        <w:t xml:space="preserve">. </w:t>
      </w:r>
      <w:proofErr w:type="gramStart"/>
      <w:r w:rsidR="00050D36" w:rsidRPr="00B22D20">
        <w:rPr>
          <w:szCs w:val="22"/>
        </w:rPr>
        <w:t>godine</w:t>
      </w:r>
      <w:proofErr w:type="gramEnd"/>
      <w:r w:rsidRPr="00B22D20">
        <w:rPr>
          <w:szCs w:val="22"/>
        </w:rPr>
        <w:t xml:space="preserve"> </w:t>
      </w:r>
    </w:p>
    <w:p w14:paraId="2A5E3D3D" w14:textId="7563B0C0" w:rsidR="002214AB" w:rsidRPr="00B22D20" w:rsidRDefault="00F3137E">
      <w:pPr>
        <w:pStyle w:val="Header"/>
        <w:tabs>
          <w:tab w:val="clear" w:pos="4536"/>
          <w:tab w:val="clear" w:pos="9072"/>
        </w:tabs>
        <w:rPr>
          <w:szCs w:val="22"/>
          <w:lang w:val="de-DE"/>
        </w:rPr>
      </w:pPr>
      <w:r w:rsidRPr="00B22D20">
        <w:rPr>
          <w:szCs w:val="22"/>
          <w:lang w:val="de-DE"/>
        </w:rPr>
        <w:t xml:space="preserve">Datum </w:t>
      </w:r>
      <w:r w:rsidR="00F54D86" w:rsidRPr="00B22D20">
        <w:rPr>
          <w:szCs w:val="22"/>
          <w:lang w:val="de-DE"/>
        </w:rPr>
        <w:t xml:space="preserve">poslednje </w:t>
      </w:r>
      <w:r w:rsidRPr="00B22D20">
        <w:rPr>
          <w:szCs w:val="22"/>
          <w:lang w:val="de-DE"/>
        </w:rPr>
        <w:t>obnove dozvole:</w:t>
      </w:r>
      <w:r w:rsidR="009E1219" w:rsidRPr="00B22D20">
        <w:rPr>
          <w:szCs w:val="22"/>
          <w:lang w:val="de-DE"/>
        </w:rPr>
        <w:t xml:space="preserve"> 10.05.2023. godine</w:t>
      </w:r>
      <w:r w:rsidRPr="00B22D20">
        <w:rPr>
          <w:szCs w:val="22"/>
          <w:lang w:val="de-DE"/>
        </w:rPr>
        <w:t xml:space="preserve">  </w:t>
      </w:r>
    </w:p>
    <w:p w14:paraId="7C602965" w14:textId="77777777" w:rsidR="00F3137E" w:rsidRPr="00B22D20" w:rsidRDefault="00F3137E">
      <w:pPr>
        <w:pStyle w:val="Header"/>
        <w:tabs>
          <w:tab w:val="clear" w:pos="4536"/>
          <w:tab w:val="clear" w:pos="9072"/>
        </w:tabs>
        <w:spacing w:before="120"/>
        <w:rPr>
          <w:szCs w:val="22"/>
          <w:lang w:val="de-DE"/>
        </w:rPr>
      </w:pPr>
      <w:r w:rsidRPr="00B22D20">
        <w:rPr>
          <w:szCs w:val="22"/>
          <w:lang w:val="de-DE"/>
        </w:rPr>
        <w:t xml:space="preserve">                </w:t>
      </w:r>
    </w:p>
    <w:p w14:paraId="1020F889" w14:textId="77777777" w:rsidR="00F3137E" w:rsidRPr="00B22D20" w:rsidRDefault="00F3137E">
      <w:pPr>
        <w:pStyle w:val="Header"/>
        <w:tabs>
          <w:tab w:val="clear" w:pos="4536"/>
          <w:tab w:val="clear" w:pos="9072"/>
        </w:tabs>
        <w:rPr>
          <w:b/>
          <w:bCs/>
          <w:szCs w:val="22"/>
          <w:lang w:val="de-DE"/>
        </w:rPr>
      </w:pPr>
      <w:r w:rsidRPr="00B22D20">
        <w:rPr>
          <w:b/>
          <w:bCs/>
          <w:szCs w:val="22"/>
          <w:lang w:val="de-DE"/>
        </w:rPr>
        <w:t>10. DATUM REVIZIJE TEKSTA</w:t>
      </w:r>
    </w:p>
    <w:p w14:paraId="722C41E2" w14:textId="77777777" w:rsidR="00692733" w:rsidRPr="00B22D20" w:rsidRDefault="00692733">
      <w:pPr>
        <w:pStyle w:val="Header"/>
        <w:tabs>
          <w:tab w:val="clear" w:pos="4536"/>
          <w:tab w:val="clear" w:pos="9072"/>
        </w:tabs>
        <w:rPr>
          <w:b/>
          <w:bCs/>
          <w:szCs w:val="22"/>
          <w:lang w:val="de-DE"/>
        </w:rPr>
      </w:pPr>
    </w:p>
    <w:p w14:paraId="3E1A44BE" w14:textId="3F0C0FA1" w:rsidR="00692733" w:rsidRPr="00B22D20" w:rsidRDefault="006E6F91">
      <w:pPr>
        <w:pStyle w:val="Header"/>
        <w:tabs>
          <w:tab w:val="clear" w:pos="4536"/>
          <w:tab w:val="clear" w:pos="9072"/>
        </w:tabs>
        <w:rPr>
          <w:szCs w:val="22"/>
          <w:lang w:val="de-DE"/>
        </w:rPr>
      </w:pPr>
      <w:r>
        <w:rPr>
          <w:szCs w:val="22"/>
          <w:lang w:val="de-DE"/>
        </w:rPr>
        <w:t>Jun</w:t>
      </w:r>
      <w:r w:rsidR="00692733" w:rsidRPr="00B22D20">
        <w:rPr>
          <w:szCs w:val="22"/>
          <w:lang w:val="de-DE"/>
        </w:rPr>
        <w:t>, 202</w:t>
      </w:r>
      <w:r w:rsidR="00B73763" w:rsidRPr="00B22D20">
        <w:rPr>
          <w:szCs w:val="22"/>
          <w:lang w:val="de-DE"/>
        </w:rPr>
        <w:t>4</w:t>
      </w:r>
      <w:r w:rsidR="00692733" w:rsidRPr="00B22D20">
        <w:rPr>
          <w:szCs w:val="22"/>
          <w:lang w:val="de-DE"/>
        </w:rPr>
        <w:t>. godine</w:t>
      </w:r>
    </w:p>
    <w:p w14:paraId="7115C4D4" w14:textId="77777777" w:rsidR="00923865" w:rsidRPr="00C25676" w:rsidRDefault="00923865" w:rsidP="00B22D20">
      <w:pPr>
        <w:pStyle w:val="NASLOV123"/>
        <w:jc w:val="both"/>
        <w:rPr>
          <w:bCs/>
        </w:rPr>
      </w:pPr>
    </w:p>
    <w:sectPr w:rsidR="00923865" w:rsidRPr="00C25676" w:rsidSect="00EB51DA">
      <w:footerReference w:type="even" r:id="rId12"/>
      <w:footerReference w:type="default" r:id="rId13"/>
      <w:pgSz w:w="11907" w:h="16840" w:code="9"/>
      <w:pgMar w:top="1440" w:right="1080" w:bottom="1440" w:left="108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3E5D7" w14:textId="77777777" w:rsidR="0040621A" w:rsidRDefault="0040621A">
      <w:r>
        <w:separator/>
      </w:r>
    </w:p>
  </w:endnote>
  <w:endnote w:type="continuationSeparator" w:id="0">
    <w:p w14:paraId="5025D56C" w14:textId="77777777" w:rsidR="0040621A" w:rsidRDefault="0040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en Light">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87" w:usb1="00000000" w:usb2="00000000" w:usb3="00000000" w:csb0="0000000B"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A79B" w14:textId="3105D449" w:rsidR="00C25676" w:rsidRDefault="00C25676"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A6D34E" w14:textId="77777777" w:rsidR="00C25676" w:rsidRDefault="00C256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EDE4" w14:textId="3BF26D09" w:rsidR="00C25676" w:rsidRPr="00BA174B" w:rsidRDefault="0040621A" w:rsidP="000F694A">
    <w:pPr>
      <w:pStyle w:val="Footer"/>
      <w:tabs>
        <w:tab w:val="left" w:pos="5448"/>
      </w:tabs>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C25676" w:rsidRPr="00BA174B">
              <w:rPr>
                <w:sz w:val="18"/>
                <w:szCs w:val="18"/>
              </w:rPr>
              <w:fldChar w:fldCharType="begin"/>
            </w:r>
            <w:r w:rsidR="00C25676">
              <w:rPr>
                <w:sz w:val="18"/>
                <w:szCs w:val="18"/>
              </w:rPr>
              <w:instrText xml:space="preserve"> PAGE </w:instrText>
            </w:r>
            <w:r w:rsidR="00C25676" w:rsidRPr="00BA174B">
              <w:rPr>
                <w:sz w:val="18"/>
                <w:szCs w:val="18"/>
              </w:rPr>
              <w:fldChar w:fldCharType="separate"/>
            </w:r>
            <w:r w:rsidR="009E2CF8">
              <w:rPr>
                <w:noProof/>
                <w:sz w:val="18"/>
                <w:szCs w:val="18"/>
              </w:rPr>
              <w:t>22</w:t>
            </w:r>
            <w:r w:rsidR="00C25676" w:rsidRPr="00BA174B">
              <w:rPr>
                <w:sz w:val="18"/>
                <w:szCs w:val="18"/>
              </w:rPr>
              <w:fldChar w:fldCharType="end"/>
            </w:r>
            <w:r w:rsidR="00C25676">
              <w:rPr>
                <w:sz w:val="18"/>
                <w:szCs w:val="18"/>
              </w:rPr>
              <w:t xml:space="preserve"> / </w:t>
            </w:r>
            <w:r w:rsidR="00C25676" w:rsidRPr="00BA174B">
              <w:rPr>
                <w:sz w:val="18"/>
                <w:szCs w:val="18"/>
              </w:rPr>
              <w:fldChar w:fldCharType="begin"/>
            </w:r>
            <w:r w:rsidR="00C25676">
              <w:rPr>
                <w:sz w:val="18"/>
                <w:szCs w:val="18"/>
              </w:rPr>
              <w:instrText xml:space="preserve"> NUMPAGES  </w:instrText>
            </w:r>
            <w:r w:rsidR="00C25676" w:rsidRPr="00BA174B">
              <w:rPr>
                <w:sz w:val="18"/>
                <w:szCs w:val="18"/>
              </w:rPr>
              <w:fldChar w:fldCharType="separate"/>
            </w:r>
            <w:r w:rsidR="009E2CF8">
              <w:rPr>
                <w:noProof/>
                <w:sz w:val="18"/>
                <w:szCs w:val="18"/>
              </w:rPr>
              <w:t>22</w:t>
            </w:r>
            <w:r w:rsidR="00C25676" w:rsidRPr="00BA174B">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8518" w14:textId="77777777" w:rsidR="0040621A" w:rsidRDefault="0040621A">
      <w:r>
        <w:separator/>
      </w:r>
    </w:p>
  </w:footnote>
  <w:footnote w:type="continuationSeparator" w:id="0">
    <w:p w14:paraId="4FC301EE" w14:textId="77777777" w:rsidR="0040621A" w:rsidRDefault="00406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44DC8"/>
    <w:multiLevelType w:val="hybridMultilevel"/>
    <w:tmpl w:val="2FC7A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CE1B51"/>
    <w:multiLevelType w:val="hybridMultilevel"/>
    <w:tmpl w:val="E20CEC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4E8F28"/>
    <w:multiLevelType w:val="hybridMultilevel"/>
    <w:tmpl w:val="2EB32C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0920DE"/>
    <w:multiLevelType w:val="multilevel"/>
    <w:tmpl w:val="3C2A7D28"/>
    <w:lvl w:ilvl="0">
      <w:start w:val="1"/>
      <w:numFmt w:val="bullet"/>
      <w:lvlText w:val=""/>
      <w:lvlJc w:val="left"/>
      <w:pPr>
        <w:tabs>
          <w:tab w:val="num" w:pos="720"/>
        </w:tabs>
        <w:ind w:left="720" w:hanging="360"/>
      </w:pPr>
      <w:rPr>
        <w:rFonts w:ascii="Wingdings" w:hAnsi="Wingdings" w:hint="default"/>
      </w:rPr>
    </w:lvl>
    <w:lvl w:ilvl="1">
      <w:start w:val="4"/>
      <w:numFmt w:val="bullet"/>
      <w:lvlText w:val="–"/>
      <w:lvlJc w:val="left"/>
      <w:pPr>
        <w:tabs>
          <w:tab w:val="num" w:pos="1440"/>
        </w:tabs>
        <w:ind w:left="1440" w:hanging="360"/>
      </w:pPr>
      <w:rPr>
        <w:rFonts w:ascii="Franklin Gothic Book" w:eastAsia="Times New Roman" w:hAnsi="Franklin Gothic Book"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5" w15:restartNumberingAfterBreak="0">
    <w:nsid w:val="0D872C38"/>
    <w:multiLevelType w:val="hybridMultilevel"/>
    <w:tmpl w:val="F5CE82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941AB"/>
    <w:multiLevelType w:val="hybridMultilevel"/>
    <w:tmpl w:val="13726EB2"/>
    <w:lvl w:ilvl="0" w:tplc="081A0001">
      <w:start w:val="1"/>
      <w:numFmt w:val="bullet"/>
      <w:lvlText w:val=""/>
      <w:lvlJc w:val="left"/>
      <w:pPr>
        <w:tabs>
          <w:tab w:val="num" w:pos="720"/>
        </w:tabs>
        <w:ind w:left="720" w:hanging="360"/>
      </w:pPr>
      <w:rPr>
        <w:rFonts w:ascii="Symbol" w:hAnsi="Symbol" w:hint="default"/>
      </w:rPr>
    </w:lvl>
    <w:lvl w:ilvl="1" w:tplc="A2D09832">
      <w:start w:val="4"/>
      <w:numFmt w:val="bullet"/>
      <w:lvlText w:val="–"/>
      <w:lvlJc w:val="left"/>
      <w:pPr>
        <w:tabs>
          <w:tab w:val="num" w:pos="1440"/>
        </w:tabs>
        <w:ind w:left="1440" w:hanging="360"/>
      </w:pPr>
      <w:rPr>
        <w:rFonts w:ascii="Franklin Gothic Book" w:eastAsia="Times New Roman" w:hAnsi="Franklin Gothic Book"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DA956"/>
    <w:multiLevelType w:val="hybridMultilevel"/>
    <w:tmpl w:val="48AE62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241F86"/>
    <w:multiLevelType w:val="hybridMultilevel"/>
    <w:tmpl w:val="9AA07D14"/>
    <w:lvl w:ilvl="0" w:tplc="4C48CA1E">
      <w:start w:val="4"/>
      <w:numFmt w:val="bullet"/>
      <w:lvlText w:val="–"/>
      <w:lvlJc w:val="left"/>
      <w:pPr>
        <w:tabs>
          <w:tab w:val="num" w:pos="720"/>
        </w:tabs>
        <w:ind w:left="720" w:hanging="360"/>
      </w:pPr>
      <w:rPr>
        <w:rFonts w:ascii="Franklin Gothic Book" w:eastAsia="Times New Roman" w:hAnsi="Franklin Gothic Book"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8B77D4"/>
    <w:multiLevelType w:val="hybridMultilevel"/>
    <w:tmpl w:val="52FAC1CE"/>
    <w:lvl w:ilvl="0" w:tplc="DE7AAAE0">
      <w:start w:val="1"/>
      <w:numFmt w:val="bullet"/>
      <w:lvlText w:val=""/>
      <w:lvlJc w:val="left"/>
      <w:pPr>
        <w:tabs>
          <w:tab w:val="num" w:pos="720"/>
        </w:tabs>
        <w:ind w:left="720" w:hanging="360"/>
      </w:pPr>
      <w:rPr>
        <w:rFonts w:ascii="Symbol" w:hAnsi="Symbol" w:hint="default"/>
        <w:sz w:val="24"/>
      </w:rPr>
    </w:lvl>
    <w:lvl w:ilvl="1" w:tplc="987AF7BC">
      <w:start w:val="1"/>
      <w:numFmt w:val="bullet"/>
      <w:lvlText w:val=""/>
      <w:lvlJc w:val="left"/>
      <w:pPr>
        <w:tabs>
          <w:tab w:val="num" w:pos="1440"/>
        </w:tabs>
        <w:ind w:left="1440" w:hanging="360"/>
      </w:pPr>
      <w:rPr>
        <w:rFonts w:ascii="Symbol" w:hAnsi="Symbol" w:hint="default"/>
        <w:sz w:val="24"/>
      </w:rPr>
    </w:lvl>
    <w:lvl w:ilvl="2" w:tplc="D89C9266">
      <w:numFmt w:val="bullet"/>
      <w:lvlText w:val=""/>
      <w:lvlJc w:val="left"/>
      <w:pPr>
        <w:tabs>
          <w:tab w:val="num" w:pos="2160"/>
        </w:tabs>
        <w:ind w:left="2160" w:hanging="360"/>
      </w:pPr>
      <w:rPr>
        <w:rFonts w:ascii="Symbol" w:eastAsia="Teen Light" w:hAnsi="Symbol" w:cs="Arial"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8B0B2"/>
    <w:multiLevelType w:val="hybridMultilevel"/>
    <w:tmpl w:val="CCE098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871BCB"/>
    <w:multiLevelType w:val="hybridMultilevel"/>
    <w:tmpl w:val="908CD438"/>
    <w:lvl w:ilvl="0" w:tplc="4C48CA1E">
      <w:start w:val="4"/>
      <w:numFmt w:val="bullet"/>
      <w:lvlText w:val="–"/>
      <w:lvlJc w:val="left"/>
      <w:pPr>
        <w:ind w:left="900" w:hanging="360"/>
      </w:pPr>
      <w:rPr>
        <w:rFonts w:ascii="Franklin Gothic Book" w:eastAsia="Times New Roman" w:hAnsi="Franklin Gothic Book"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624675B"/>
    <w:multiLevelType w:val="hybridMultilevel"/>
    <w:tmpl w:val="AD94994C"/>
    <w:lvl w:ilvl="0" w:tplc="DE7AAAE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806839"/>
    <w:multiLevelType w:val="hybridMultilevel"/>
    <w:tmpl w:val="0066A5B0"/>
    <w:lvl w:ilvl="0" w:tplc="081A0001">
      <w:start w:val="1"/>
      <w:numFmt w:val="bullet"/>
      <w:lvlText w:val=""/>
      <w:lvlJc w:val="left"/>
      <w:pPr>
        <w:tabs>
          <w:tab w:val="num" w:pos="720"/>
        </w:tabs>
        <w:ind w:left="720" w:hanging="360"/>
      </w:pPr>
      <w:rPr>
        <w:rFonts w:ascii="Symbol" w:hAnsi="Symbol" w:hint="default"/>
      </w:rPr>
    </w:lvl>
    <w:lvl w:ilvl="1" w:tplc="FB8A94F4">
      <w:start w:val="1"/>
      <w:numFmt w:val="bullet"/>
      <w:lvlText w:val=""/>
      <w:lvlJc w:val="left"/>
      <w:pPr>
        <w:tabs>
          <w:tab w:val="num" w:pos="1440"/>
        </w:tabs>
        <w:ind w:left="1440" w:hanging="360"/>
      </w:pPr>
      <w:rPr>
        <w:rFonts w:ascii="Symbol" w:hAnsi="Symbol" w:hint="default"/>
      </w:rPr>
    </w:lvl>
    <w:lvl w:ilvl="2" w:tplc="32843EF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23E03"/>
    <w:multiLevelType w:val="hybridMultilevel"/>
    <w:tmpl w:val="945C281E"/>
    <w:lvl w:ilvl="0" w:tplc="4C48CA1E">
      <w:start w:val="4"/>
      <w:numFmt w:val="bullet"/>
      <w:lvlText w:val="–"/>
      <w:lvlJc w:val="left"/>
      <w:pPr>
        <w:ind w:left="900" w:hanging="360"/>
      </w:pPr>
      <w:rPr>
        <w:rFonts w:ascii="Franklin Gothic Book" w:eastAsia="Times New Roman" w:hAnsi="Franklin Gothic Book"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FC1912"/>
    <w:multiLevelType w:val="hybridMultilevel"/>
    <w:tmpl w:val="A1B4E2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12276"/>
    <w:multiLevelType w:val="hybridMultilevel"/>
    <w:tmpl w:val="6A7C7552"/>
    <w:lvl w:ilvl="0" w:tplc="D220AD1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F24FF"/>
    <w:multiLevelType w:val="hybridMultilevel"/>
    <w:tmpl w:val="B4640EBC"/>
    <w:lvl w:ilvl="0" w:tplc="E9B0A8A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4B110463"/>
    <w:multiLevelType w:val="hybridMultilevel"/>
    <w:tmpl w:val="542EBFD8"/>
    <w:lvl w:ilvl="0" w:tplc="14BCE6B6">
      <w:numFmt w:val="bullet"/>
      <w:lvlText w:val="-"/>
      <w:lvlJc w:val="left"/>
      <w:pPr>
        <w:ind w:left="720" w:hanging="360"/>
      </w:pPr>
      <w:rPr>
        <w:rFonts w:ascii="TimesNewRoman" w:eastAsia="Times New Roman" w:hAnsi="TimesNewRoman" w:cs="TimesNewRoman" w:hint="default"/>
        <w:i w:val="0"/>
        <w:sz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4E1831F0"/>
    <w:multiLevelType w:val="hybridMultilevel"/>
    <w:tmpl w:val="EA6CC47E"/>
    <w:lvl w:ilvl="0" w:tplc="987AF7B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4F7E4C94"/>
    <w:multiLevelType w:val="hybridMultilevel"/>
    <w:tmpl w:val="3244C714"/>
    <w:lvl w:ilvl="0" w:tplc="4C48CA1E">
      <w:start w:val="4"/>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54EBA"/>
    <w:multiLevelType w:val="hybridMultilevel"/>
    <w:tmpl w:val="F13C1018"/>
    <w:lvl w:ilvl="0" w:tplc="987AF7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93409"/>
    <w:multiLevelType w:val="hybridMultilevel"/>
    <w:tmpl w:val="181E76D6"/>
    <w:lvl w:ilvl="0" w:tplc="4C48CA1E">
      <w:start w:val="4"/>
      <w:numFmt w:val="bullet"/>
      <w:lvlText w:val="–"/>
      <w:lvlJc w:val="left"/>
      <w:pPr>
        <w:ind w:left="720" w:hanging="360"/>
      </w:pPr>
      <w:rPr>
        <w:rFonts w:ascii="Franklin Gothic Book" w:eastAsia="Times New Roman" w:hAnsi="Franklin Gothic Book"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27B554B"/>
    <w:multiLevelType w:val="hybridMultilevel"/>
    <w:tmpl w:val="AB160BAE"/>
    <w:lvl w:ilvl="0" w:tplc="2D407368">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5" w15:restartNumberingAfterBreak="0">
    <w:nsid w:val="62B73F7F"/>
    <w:multiLevelType w:val="multilevel"/>
    <w:tmpl w:val="36304CC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A54D7"/>
    <w:multiLevelType w:val="hybridMultilevel"/>
    <w:tmpl w:val="125C8F8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4"/>
    <w:lvlOverride w:ilvl="0">
      <w:startOverride w:val="7"/>
    </w:lvlOverride>
  </w:num>
  <w:num w:numId="3">
    <w:abstractNumId w:val="27"/>
  </w:num>
  <w:num w:numId="4">
    <w:abstractNumId w:val="5"/>
  </w:num>
  <w:num w:numId="5">
    <w:abstractNumId w:val="16"/>
  </w:num>
  <w:num w:numId="6">
    <w:abstractNumId w:val="8"/>
  </w:num>
  <w:num w:numId="7">
    <w:abstractNumId w:val="13"/>
  </w:num>
  <w:num w:numId="8">
    <w:abstractNumId w:val="10"/>
  </w:num>
  <w:num w:numId="9">
    <w:abstractNumId w:val="22"/>
  </w:num>
  <w:num w:numId="10">
    <w:abstractNumId w:val="24"/>
  </w:num>
  <w:num w:numId="11">
    <w:abstractNumId w:val="19"/>
  </w:num>
  <w:num w:numId="12">
    <w:abstractNumId w:val="20"/>
  </w:num>
  <w:num w:numId="13">
    <w:abstractNumId w:val="11"/>
  </w:num>
  <w:num w:numId="14">
    <w:abstractNumId w:val="2"/>
  </w:num>
  <w:num w:numId="15">
    <w:abstractNumId w:val="3"/>
  </w:num>
  <w:num w:numId="16">
    <w:abstractNumId w:val="6"/>
  </w:num>
  <w:num w:numId="17">
    <w:abstractNumId w:val="25"/>
  </w:num>
  <w:num w:numId="18">
    <w:abstractNumId w:val="14"/>
  </w:num>
  <w:num w:numId="19">
    <w:abstractNumId w:val="1"/>
  </w:num>
  <w:num w:numId="20">
    <w:abstractNumId w:val="0"/>
  </w:num>
  <w:num w:numId="21">
    <w:abstractNumId w:val="7"/>
  </w:num>
  <w:num w:numId="22">
    <w:abstractNumId w:val="18"/>
  </w:num>
  <w:num w:numId="23">
    <w:abstractNumId w:val="15"/>
  </w:num>
  <w:num w:numId="24">
    <w:abstractNumId w:val="21"/>
  </w:num>
  <w:num w:numId="25">
    <w:abstractNumId w:val="17"/>
  </w:num>
  <w:num w:numId="26">
    <w:abstractNumId w:val="23"/>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fr-FR"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506"/>
    <w:rsid w:val="00002BE4"/>
    <w:rsid w:val="000069C1"/>
    <w:rsid w:val="00015295"/>
    <w:rsid w:val="00015D53"/>
    <w:rsid w:val="000177E3"/>
    <w:rsid w:val="00017801"/>
    <w:rsid w:val="00024DB2"/>
    <w:rsid w:val="00026DAA"/>
    <w:rsid w:val="00027BE3"/>
    <w:rsid w:val="00030007"/>
    <w:rsid w:val="0004036F"/>
    <w:rsid w:val="00041306"/>
    <w:rsid w:val="000425A4"/>
    <w:rsid w:val="00047B49"/>
    <w:rsid w:val="00047E82"/>
    <w:rsid w:val="00050D36"/>
    <w:rsid w:val="0005798D"/>
    <w:rsid w:val="0006243F"/>
    <w:rsid w:val="00064273"/>
    <w:rsid w:val="0006505D"/>
    <w:rsid w:val="0006510C"/>
    <w:rsid w:val="00073B00"/>
    <w:rsid w:val="00074E62"/>
    <w:rsid w:val="0008082D"/>
    <w:rsid w:val="00083BE0"/>
    <w:rsid w:val="00090C10"/>
    <w:rsid w:val="00091A34"/>
    <w:rsid w:val="0009471D"/>
    <w:rsid w:val="00095FB6"/>
    <w:rsid w:val="00096CA9"/>
    <w:rsid w:val="000973FD"/>
    <w:rsid w:val="0009758B"/>
    <w:rsid w:val="00097959"/>
    <w:rsid w:val="000A0BB8"/>
    <w:rsid w:val="000A0F4A"/>
    <w:rsid w:val="000A51CE"/>
    <w:rsid w:val="000B31E3"/>
    <w:rsid w:val="000C5E73"/>
    <w:rsid w:val="000C65D0"/>
    <w:rsid w:val="000D247E"/>
    <w:rsid w:val="000D516A"/>
    <w:rsid w:val="000D5631"/>
    <w:rsid w:val="000D5D63"/>
    <w:rsid w:val="000E28A3"/>
    <w:rsid w:val="000E59CD"/>
    <w:rsid w:val="000E5C25"/>
    <w:rsid w:val="000E75C0"/>
    <w:rsid w:val="000F241F"/>
    <w:rsid w:val="000F63AA"/>
    <w:rsid w:val="000F694A"/>
    <w:rsid w:val="00111807"/>
    <w:rsid w:val="00122D4B"/>
    <w:rsid w:val="001248CD"/>
    <w:rsid w:val="001278EE"/>
    <w:rsid w:val="00133233"/>
    <w:rsid w:val="00141639"/>
    <w:rsid w:val="0014180A"/>
    <w:rsid w:val="00142D75"/>
    <w:rsid w:val="001616E1"/>
    <w:rsid w:val="0016718B"/>
    <w:rsid w:val="001673C6"/>
    <w:rsid w:val="001708B2"/>
    <w:rsid w:val="00173523"/>
    <w:rsid w:val="00173D18"/>
    <w:rsid w:val="00173D8C"/>
    <w:rsid w:val="00175772"/>
    <w:rsid w:val="00175A7E"/>
    <w:rsid w:val="00176DD3"/>
    <w:rsid w:val="0018462E"/>
    <w:rsid w:val="00184CA8"/>
    <w:rsid w:val="0018601D"/>
    <w:rsid w:val="0019053C"/>
    <w:rsid w:val="00193EDD"/>
    <w:rsid w:val="001949A4"/>
    <w:rsid w:val="00196A07"/>
    <w:rsid w:val="001A16AC"/>
    <w:rsid w:val="001A507D"/>
    <w:rsid w:val="001B4E43"/>
    <w:rsid w:val="001B63CA"/>
    <w:rsid w:val="001B706A"/>
    <w:rsid w:val="001B7CB9"/>
    <w:rsid w:val="001C06BF"/>
    <w:rsid w:val="001C0A8E"/>
    <w:rsid w:val="001C0ECE"/>
    <w:rsid w:val="001C3F84"/>
    <w:rsid w:val="001C636B"/>
    <w:rsid w:val="001D0385"/>
    <w:rsid w:val="001D10C9"/>
    <w:rsid w:val="001D250F"/>
    <w:rsid w:val="001E0A07"/>
    <w:rsid w:val="001E12C6"/>
    <w:rsid w:val="001E35EA"/>
    <w:rsid w:val="001E6145"/>
    <w:rsid w:val="001E6299"/>
    <w:rsid w:val="001E7E0F"/>
    <w:rsid w:val="001F2061"/>
    <w:rsid w:val="001F2D4E"/>
    <w:rsid w:val="001F39B6"/>
    <w:rsid w:val="001F4E4C"/>
    <w:rsid w:val="0020098D"/>
    <w:rsid w:val="00204BDE"/>
    <w:rsid w:val="00210A94"/>
    <w:rsid w:val="00212AF5"/>
    <w:rsid w:val="002214AB"/>
    <w:rsid w:val="00221559"/>
    <w:rsid w:val="0022218E"/>
    <w:rsid w:val="0022223A"/>
    <w:rsid w:val="002237C1"/>
    <w:rsid w:val="00227CBA"/>
    <w:rsid w:val="00233887"/>
    <w:rsid w:val="00237BB1"/>
    <w:rsid w:val="002409CB"/>
    <w:rsid w:val="0024132F"/>
    <w:rsid w:val="00242DCD"/>
    <w:rsid w:val="00247C5C"/>
    <w:rsid w:val="0025035A"/>
    <w:rsid w:val="00254612"/>
    <w:rsid w:val="00260685"/>
    <w:rsid w:val="002637D4"/>
    <w:rsid w:val="00273BE0"/>
    <w:rsid w:val="00280949"/>
    <w:rsid w:val="00285BCA"/>
    <w:rsid w:val="0028707C"/>
    <w:rsid w:val="00287419"/>
    <w:rsid w:val="00291499"/>
    <w:rsid w:val="002938FD"/>
    <w:rsid w:val="002A2432"/>
    <w:rsid w:val="002A7E0C"/>
    <w:rsid w:val="002B1D8E"/>
    <w:rsid w:val="002B6F6A"/>
    <w:rsid w:val="002B7A92"/>
    <w:rsid w:val="002C082D"/>
    <w:rsid w:val="002C0FBF"/>
    <w:rsid w:val="002D3F26"/>
    <w:rsid w:val="002E07E5"/>
    <w:rsid w:val="002E34E1"/>
    <w:rsid w:val="002E5445"/>
    <w:rsid w:val="002E7909"/>
    <w:rsid w:val="002F533B"/>
    <w:rsid w:val="002F5421"/>
    <w:rsid w:val="002F5C07"/>
    <w:rsid w:val="002F5E2F"/>
    <w:rsid w:val="003035A7"/>
    <w:rsid w:val="0031420F"/>
    <w:rsid w:val="00314A41"/>
    <w:rsid w:val="003158D6"/>
    <w:rsid w:val="00316FC0"/>
    <w:rsid w:val="0032291A"/>
    <w:rsid w:val="00325358"/>
    <w:rsid w:val="00327FD8"/>
    <w:rsid w:val="003325FE"/>
    <w:rsid w:val="00336D9E"/>
    <w:rsid w:val="00337C63"/>
    <w:rsid w:val="00340192"/>
    <w:rsid w:val="0034451C"/>
    <w:rsid w:val="003452C0"/>
    <w:rsid w:val="00346A7F"/>
    <w:rsid w:val="00357365"/>
    <w:rsid w:val="00362323"/>
    <w:rsid w:val="00364192"/>
    <w:rsid w:val="0037243B"/>
    <w:rsid w:val="00373038"/>
    <w:rsid w:val="00374F52"/>
    <w:rsid w:val="00377419"/>
    <w:rsid w:val="00380111"/>
    <w:rsid w:val="00381329"/>
    <w:rsid w:val="00381CAE"/>
    <w:rsid w:val="00382FC7"/>
    <w:rsid w:val="00383195"/>
    <w:rsid w:val="003930D0"/>
    <w:rsid w:val="003958B5"/>
    <w:rsid w:val="003A2DF8"/>
    <w:rsid w:val="003A52A5"/>
    <w:rsid w:val="003A79CE"/>
    <w:rsid w:val="003B2082"/>
    <w:rsid w:val="003B2DA3"/>
    <w:rsid w:val="003B4A6B"/>
    <w:rsid w:val="003C18A4"/>
    <w:rsid w:val="003C2999"/>
    <w:rsid w:val="003E0880"/>
    <w:rsid w:val="003E3986"/>
    <w:rsid w:val="003E3EC7"/>
    <w:rsid w:val="003E5B82"/>
    <w:rsid w:val="003E7337"/>
    <w:rsid w:val="003F37B7"/>
    <w:rsid w:val="003F4FE3"/>
    <w:rsid w:val="004018F9"/>
    <w:rsid w:val="0040443F"/>
    <w:rsid w:val="00404525"/>
    <w:rsid w:val="0040621A"/>
    <w:rsid w:val="004123CD"/>
    <w:rsid w:val="0041480F"/>
    <w:rsid w:val="004169F3"/>
    <w:rsid w:val="004234ED"/>
    <w:rsid w:val="0042363A"/>
    <w:rsid w:val="00425047"/>
    <w:rsid w:val="00427D41"/>
    <w:rsid w:val="004306B9"/>
    <w:rsid w:val="0043071B"/>
    <w:rsid w:val="00445991"/>
    <w:rsid w:val="00450922"/>
    <w:rsid w:val="00455F0C"/>
    <w:rsid w:val="004615BE"/>
    <w:rsid w:val="00461A2D"/>
    <w:rsid w:val="00462C33"/>
    <w:rsid w:val="00465370"/>
    <w:rsid w:val="0046583A"/>
    <w:rsid w:val="00466DC6"/>
    <w:rsid w:val="00474D89"/>
    <w:rsid w:val="004765E5"/>
    <w:rsid w:val="00482C56"/>
    <w:rsid w:val="004901AB"/>
    <w:rsid w:val="00490AC7"/>
    <w:rsid w:val="00492248"/>
    <w:rsid w:val="00497648"/>
    <w:rsid w:val="004B5A11"/>
    <w:rsid w:val="004B6C0B"/>
    <w:rsid w:val="004B7A50"/>
    <w:rsid w:val="004D230F"/>
    <w:rsid w:val="004D23EC"/>
    <w:rsid w:val="004D2504"/>
    <w:rsid w:val="004E03CC"/>
    <w:rsid w:val="004E12FF"/>
    <w:rsid w:val="004E613E"/>
    <w:rsid w:val="004F45F6"/>
    <w:rsid w:val="004F572F"/>
    <w:rsid w:val="004F6EA4"/>
    <w:rsid w:val="004F74F3"/>
    <w:rsid w:val="00501A96"/>
    <w:rsid w:val="005020BB"/>
    <w:rsid w:val="00503503"/>
    <w:rsid w:val="00503974"/>
    <w:rsid w:val="00505C6B"/>
    <w:rsid w:val="00516345"/>
    <w:rsid w:val="00521FB9"/>
    <w:rsid w:val="0052230B"/>
    <w:rsid w:val="0052553A"/>
    <w:rsid w:val="00525A8A"/>
    <w:rsid w:val="005276F0"/>
    <w:rsid w:val="00530909"/>
    <w:rsid w:val="00533740"/>
    <w:rsid w:val="00536C16"/>
    <w:rsid w:val="00553C79"/>
    <w:rsid w:val="00555D7F"/>
    <w:rsid w:val="00565F8D"/>
    <w:rsid w:val="00566D25"/>
    <w:rsid w:val="005719F3"/>
    <w:rsid w:val="00571C95"/>
    <w:rsid w:val="00576618"/>
    <w:rsid w:val="00577294"/>
    <w:rsid w:val="005772AE"/>
    <w:rsid w:val="00577B11"/>
    <w:rsid w:val="005804CD"/>
    <w:rsid w:val="00591912"/>
    <w:rsid w:val="00595F9F"/>
    <w:rsid w:val="00597727"/>
    <w:rsid w:val="005A484D"/>
    <w:rsid w:val="005B053D"/>
    <w:rsid w:val="005B1FD7"/>
    <w:rsid w:val="005B3388"/>
    <w:rsid w:val="005B359E"/>
    <w:rsid w:val="005C152E"/>
    <w:rsid w:val="005C2E17"/>
    <w:rsid w:val="005C3CF3"/>
    <w:rsid w:val="005C3F73"/>
    <w:rsid w:val="005C7891"/>
    <w:rsid w:val="005D5DD1"/>
    <w:rsid w:val="005D6E84"/>
    <w:rsid w:val="005D753A"/>
    <w:rsid w:val="005F172A"/>
    <w:rsid w:val="005F52B2"/>
    <w:rsid w:val="005F70AC"/>
    <w:rsid w:val="005F7F98"/>
    <w:rsid w:val="00603302"/>
    <w:rsid w:val="00604E4F"/>
    <w:rsid w:val="006054EE"/>
    <w:rsid w:val="006079FE"/>
    <w:rsid w:val="006118B6"/>
    <w:rsid w:val="00614AF6"/>
    <w:rsid w:val="00623570"/>
    <w:rsid w:val="006270C0"/>
    <w:rsid w:val="00630195"/>
    <w:rsid w:val="006355A0"/>
    <w:rsid w:val="00635627"/>
    <w:rsid w:val="00636246"/>
    <w:rsid w:val="006406E7"/>
    <w:rsid w:val="006410D1"/>
    <w:rsid w:val="0064578F"/>
    <w:rsid w:val="006519BD"/>
    <w:rsid w:val="006519F6"/>
    <w:rsid w:val="006559AF"/>
    <w:rsid w:val="00660ED5"/>
    <w:rsid w:val="00670027"/>
    <w:rsid w:val="006709EC"/>
    <w:rsid w:val="00673F39"/>
    <w:rsid w:val="00674520"/>
    <w:rsid w:val="00674B66"/>
    <w:rsid w:val="00674BCD"/>
    <w:rsid w:val="006773FD"/>
    <w:rsid w:val="006806D5"/>
    <w:rsid w:val="00691296"/>
    <w:rsid w:val="00691910"/>
    <w:rsid w:val="00691CE9"/>
    <w:rsid w:val="00692733"/>
    <w:rsid w:val="00693874"/>
    <w:rsid w:val="00693F46"/>
    <w:rsid w:val="00695B24"/>
    <w:rsid w:val="00695CD3"/>
    <w:rsid w:val="006A1EE9"/>
    <w:rsid w:val="006A203F"/>
    <w:rsid w:val="006C0657"/>
    <w:rsid w:val="006C0C2C"/>
    <w:rsid w:val="006C442B"/>
    <w:rsid w:val="006C4603"/>
    <w:rsid w:val="006C5BE4"/>
    <w:rsid w:val="006D2647"/>
    <w:rsid w:val="006D31A2"/>
    <w:rsid w:val="006D76E0"/>
    <w:rsid w:val="006E259C"/>
    <w:rsid w:val="006E4474"/>
    <w:rsid w:val="006E6F91"/>
    <w:rsid w:val="006F12BE"/>
    <w:rsid w:val="006F158F"/>
    <w:rsid w:val="006F25AC"/>
    <w:rsid w:val="006F2BC9"/>
    <w:rsid w:val="006F6045"/>
    <w:rsid w:val="006F7383"/>
    <w:rsid w:val="00700689"/>
    <w:rsid w:val="007067BA"/>
    <w:rsid w:val="007079C7"/>
    <w:rsid w:val="00713898"/>
    <w:rsid w:val="00714F5C"/>
    <w:rsid w:val="00716BB0"/>
    <w:rsid w:val="00720C87"/>
    <w:rsid w:val="0072588D"/>
    <w:rsid w:val="007258E1"/>
    <w:rsid w:val="007266D0"/>
    <w:rsid w:val="00732E92"/>
    <w:rsid w:val="007378A7"/>
    <w:rsid w:val="00737E29"/>
    <w:rsid w:val="007470A1"/>
    <w:rsid w:val="00750393"/>
    <w:rsid w:val="00750A8D"/>
    <w:rsid w:val="0075103B"/>
    <w:rsid w:val="007611BD"/>
    <w:rsid w:val="00764648"/>
    <w:rsid w:val="007672F3"/>
    <w:rsid w:val="00771A39"/>
    <w:rsid w:val="00776C54"/>
    <w:rsid w:val="007806AB"/>
    <w:rsid w:val="007815EB"/>
    <w:rsid w:val="00784BF7"/>
    <w:rsid w:val="0079182F"/>
    <w:rsid w:val="00793068"/>
    <w:rsid w:val="0079413C"/>
    <w:rsid w:val="007A418E"/>
    <w:rsid w:val="007B0669"/>
    <w:rsid w:val="007B0F04"/>
    <w:rsid w:val="007B16C4"/>
    <w:rsid w:val="007B4B23"/>
    <w:rsid w:val="007B655B"/>
    <w:rsid w:val="007C2D7E"/>
    <w:rsid w:val="007C32F1"/>
    <w:rsid w:val="007C4086"/>
    <w:rsid w:val="007D17FD"/>
    <w:rsid w:val="007D48C5"/>
    <w:rsid w:val="007D609B"/>
    <w:rsid w:val="007D711E"/>
    <w:rsid w:val="007E06F0"/>
    <w:rsid w:val="007E1809"/>
    <w:rsid w:val="007F66D3"/>
    <w:rsid w:val="00802DFC"/>
    <w:rsid w:val="008074E8"/>
    <w:rsid w:val="008116F0"/>
    <w:rsid w:val="00814781"/>
    <w:rsid w:val="00815204"/>
    <w:rsid w:val="00827EFC"/>
    <w:rsid w:val="00832357"/>
    <w:rsid w:val="008328D3"/>
    <w:rsid w:val="00833C61"/>
    <w:rsid w:val="00834DBB"/>
    <w:rsid w:val="0083513E"/>
    <w:rsid w:val="00837830"/>
    <w:rsid w:val="00842FFB"/>
    <w:rsid w:val="00850F63"/>
    <w:rsid w:val="008546EE"/>
    <w:rsid w:val="008565EF"/>
    <w:rsid w:val="00862625"/>
    <w:rsid w:val="00862982"/>
    <w:rsid w:val="00863186"/>
    <w:rsid w:val="0086351A"/>
    <w:rsid w:val="0086482B"/>
    <w:rsid w:val="00870B8C"/>
    <w:rsid w:val="00874B61"/>
    <w:rsid w:val="008752E1"/>
    <w:rsid w:val="008808EE"/>
    <w:rsid w:val="00885E6E"/>
    <w:rsid w:val="00885F77"/>
    <w:rsid w:val="00892C42"/>
    <w:rsid w:val="00893BDD"/>
    <w:rsid w:val="00895B30"/>
    <w:rsid w:val="00895DC4"/>
    <w:rsid w:val="00896548"/>
    <w:rsid w:val="008A48B7"/>
    <w:rsid w:val="008B3EB5"/>
    <w:rsid w:val="008B7115"/>
    <w:rsid w:val="008C3992"/>
    <w:rsid w:val="008C3AA9"/>
    <w:rsid w:val="008C5809"/>
    <w:rsid w:val="008D121E"/>
    <w:rsid w:val="008D2497"/>
    <w:rsid w:val="008D4DBC"/>
    <w:rsid w:val="008D78C9"/>
    <w:rsid w:val="008E0FC9"/>
    <w:rsid w:val="008E3192"/>
    <w:rsid w:val="008E5931"/>
    <w:rsid w:val="008E7E7B"/>
    <w:rsid w:val="008F1C3B"/>
    <w:rsid w:val="008F3C8C"/>
    <w:rsid w:val="008F4709"/>
    <w:rsid w:val="009011F3"/>
    <w:rsid w:val="009041B6"/>
    <w:rsid w:val="00904A86"/>
    <w:rsid w:val="00905956"/>
    <w:rsid w:val="00911F4C"/>
    <w:rsid w:val="00913684"/>
    <w:rsid w:val="009167D4"/>
    <w:rsid w:val="0092346B"/>
    <w:rsid w:val="00923865"/>
    <w:rsid w:val="00925248"/>
    <w:rsid w:val="009259E7"/>
    <w:rsid w:val="0093016E"/>
    <w:rsid w:val="00933166"/>
    <w:rsid w:val="009342A9"/>
    <w:rsid w:val="00934B4D"/>
    <w:rsid w:val="00934BCB"/>
    <w:rsid w:val="009424A5"/>
    <w:rsid w:val="00943DC2"/>
    <w:rsid w:val="009478BC"/>
    <w:rsid w:val="009549CC"/>
    <w:rsid w:val="00955C75"/>
    <w:rsid w:val="00961E90"/>
    <w:rsid w:val="009677DF"/>
    <w:rsid w:val="0096790D"/>
    <w:rsid w:val="0097784F"/>
    <w:rsid w:val="00981513"/>
    <w:rsid w:val="00982948"/>
    <w:rsid w:val="00986EAA"/>
    <w:rsid w:val="00987CBE"/>
    <w:rsid w:val="009946F8"/>
    <w:rsid w:val="00994B21"/>
    <w:rsid w:val="009958E7"/>
    <w:rsid w:val="009960CC"/>
    <w:rsid w:val="00996E6B"/>
    <w:rsid w:val="009A1D64"/>
    <w:rsid w:val="009A3102"/>
    <w:rsid w:val="009A5F6D"/>
    <w:rsid w:val="009B0647"/>
    <w:rsid w:val="009B1292"/>
    <w:rsid w:val="009B2430"/>
    <w:rsid w:val="009B338B"/>
    <w:rsid w:val="009B58AD"/>
    <w:rsid w:val="009B5FAC"/>
    <w:rsid w:val="009B7935"/>
    <w:rsid w:val="009C15F6"/>
    <w:rsid w:val="009C6DAB"/>
    <w:rsid w:val="009C7BA2"/>
    <w:rsid w:val="009D0184"/>
    <w:rsid w:val="009D086E"/>
    <w:rsid w:val="009D1161"/>
    <w:rsid w:val="009D2C04"/>
    <w:rsid w:val="009D3EB4"/>
    <w:rsid w:val="009D3FF4"/>
    <w:rsid w:val="009D667B"/>
    <w:rsid w:val="009D7782"/>
    <w:rsid w:val="009E0336"/>
    <w:rsid w:val="009E11A2"/>
    <w:rsid w:val="009E1219"/>
    <w:rsid w:val="009E2CF8"/>
    <w:rsid w:val="009E3871"/>
    <w:rsid w:val="009E6D92"/>
    <w:rsid w:val="009F19EE"/>
    <w:rsid w:val="009F4449"/>
    <w:rsid w:val="009F7589"/>
    <w:rsid w:val="009F7B61"/>
    <w:rsid w:val="00A02252"/>
    <w:rsid w:val="00A11991"/>
    <w:rsid w:val="00A127F1"/>
    <w:rsid w:val="00A15157"/>
    <w:rsid w:val="00A16DA1"/>
    <w:rsid w:val="00A27130"/>
    <w:rsid w:val="00A36014"/>
    <w:rsid w:val="00A41896"/>
    <w:rsid w:val="00A5095C"/>
    <w:rsid w:val="00A5226F"/>
    <w:rsid w:val="00A572FF"/>
    <w:rsid w:val="00A64DEC"/>
    <w:rsid w:val="00A6628D"/>
    <w:rsid w:val="00A66B9A"/>
    <w:rsid w:val="00A7147C"/>
    <w:rsid w:val="00A7660B"/>
    <w:rsid w:val="00A81CD0"/>
    <w:rsid w:val="00A86897"/>
    <w:rsid w:val="00A95733"/>
    <w:rsid w:val="00AA1A6F"/>
    <w:rsid w:val="00AA3779"/>
    <w:rsid w:val="00AB5465"/>
    <w:rsid w:val="00AB5A07"/>
    <w:rsid w:val="00AC562A"/>
    <w:rsid w:val="00AC6174"/>
    <w:rsid w:val="00AD0415"/>
    <w:rsid w:val="00AD2F00"/>
    <w:rsid w:val="00AD55F7"/>
    <w:rsid w:val="00AE06FC"/>
    <w:rsid w:val="00AE09B4"/>
    <w:rsid w:val="00AE2C37"/>
    <w:rsid w:val="00AE2DE9"/>
    <w:rsid w:val="00AE7740"/>
    <w:rsid w:val="00AE7E81"/>
    <w:rsid w:val="00AF045F"/>
    <w:rsid w:val="00AF3BA6"/>
    <w:rsid w:val="00AF5501"/>
    <w:rsid w:val="00B00C61"/>
    <w:rsid w:val="00B014CB"/>
    <w:rsid w:val="00B22D20"/>
    <w:rsid w:val="00B26CF9"/>
    <w:rsid w:val="00B26FAC"/>
    <w:rsid w:val="00B30AE9"/>
    <w:rsid w:val="00B31784"/>
    <w:rsid w:val="00B31AA2"/>
    <w:rsid w:val="00B4007A"/>
    <w:rsid w:val="00B4245D"/>
    <w:rsid w:val="00B45425"/>
    <w:rsid w:val="00B5690D"/>
    <w:rsid w:val="00B73763"/>
    <w:rsid w:val="00B74C0B"/>
    <w:rsid w:val="00B75CB2"/>
    <w:rsid w:val="00B77A2F"/>
    <w:rsid w:val="00B80831"/>
    <w:rsid w:val="00B8177B"/>
    <w:rsid w:val="00B8400D"/>
    <w:rsid w:val="00B87FD1"/>
    <w:rsid w:val="00B904B8"/>
    <w:rsid w:val="00B93423"/>
    <w:rsid w:val="00B93A37"/>
    <w:rsid w:val="00B974A5"/>
    <w:rsid w:val="00BA174B"/>
    <w:rsid w:val="00BA1819"/>
    <w:rsid w:val="00BA5A22"/>
    <w:rsid w:val="00BA6224"/>
    <w:rsid w:val="00BB526D"/>
    <w:rsid w:val="00BB55E5"/>
    <w:rsid w:val="00BC0392"/>
    <w:rsid w:val="00BC04FF"/>
    <w:rsid w:val="00BC1BD4"/>
    <w:rsid w:val="00BC2658"/>
    <w:rsid w:val="00BC2ACD"/>
    <w:rsid w:val="00BD0757"/>
    <w:rsid w:val="00BD725A"/>
    <w:rsid w:val="00BD7EC9"/>
    <w:rsid w:val="00BE0B47"/>
    <w:rsid w:val="00BE4E1C"/>
    <w:rsid w:val="00BE7782"/>
    <w:rsid w:val="00BF0234"/>
    <w:rsid w:val="00BF3750"/>
    <w:rsid w:val="00C01E05"/>
    <w:rsid w:val="00C043F5"/>
    <w:rsid w:val="00C05DED"/>
    <w:rsid w:val="00C06244"/>
    <w:rsid w:val="00C10D5C"/>
    <w:rsid w:val="00C1636E"/>
    <w:rsid w:val="00C224EB"/>
    <w:rsid w:val="00C2312F"/>
    <w:rsid w:val="00C25676"/>
    <w:rsid w:val="00C269B8"/>
    <w:rsid w:val="00C26ECD"/>
    <w:rsid w:val="00C3403A"/>
    <w:rsid w:val="00C3487E"/>
    <w:rsid w:val="00C36411"/>
    <w:rsid w:val="00C3722C"/>
    <w:rsid w:val="00C40495"/>
    <w:rsid w:val="00C536C2"/>
    <w:rsid w:val="00C55F47"/>
    <w:rsid w:val="00C56E2E"/>
    <w:rsid w:val="00C64A31"/>
    <w:rsid w:val="00C64C61"/>
    <w:rsid w:val="00C65DE8"/>
    <w:rsid w:val="00C70369"/>
    <w:rsid w:val="00C7608E"/>
    <w:rsid w:val="00C80038"/>
    <w:rsid w:val="00C81935"/>
    <w:rsid w:val="00C82E8B"/>
    <w:rsid w:val="00C83331"/>
    <w:rsid w:val="00CA1C6C"/>
    <w:rsid w:val="00CA2606"/>
    <w:rsid w:val="00CB4C09"/>
    <w:rsid w:val="00CC317F"/>
    <w:rsid w:val="00CC4C88"/>
    <w:rsid w:val="00CC5C5A"/>
    <w:rsid w:val="00CD0B1F"/>
    <w:rsid w:val="00CD3F96"/>
    <w:rsid w:val="00CD4A13"/>
    <w:rsid w:val="00CD599E"/>
    <w:rsid w:val="00CD7EEB"/>
    <w:rsid w:val="00CE09F3"/>
    <w:rsid w:val="00CE23BA"/>
    <w:rsid w:val="00CE728C"/>
    <w:rsid w:val="00CE76DA"/>
    <w:rsid w:val="00CF2320"/>
    <w:rsid w:val="00CF3A72"/>
    <w:rsid w:val="00CF51DA"/>
    <w:rsid w:val="00D01716"/>
    <w:rsid w:val="00D02D5D"/>
    <w:rsid w:val="00D04782"/>
    <w:rsid w:val="00D04CA5"/>
    <w:rsid w:val="00D06419"/>
    <w:rsid w:val="00D1145E"/>
    <w:rsid w:val="00D11E94"/>
    <w:rsid w:val="00D1348B"/>
    <w:rsid w:val="00D13ED5"/>
    <w:rsid w:val="00D15C97"/>
    <w:rsid w:val="00D2169E"/>
    <w:rsid w:val="00D30389"/>
    <w:rsid w:val="00D325F9"/>
    <w:rsid w:val="00D337F6"/>
    <w:rsid w:val="00D473DC"/>
    <w:rsid w:val="00D52CDB"/>
    <w:rsid w:val="00D55404"/>
    <w:rsid w:val="00D560CF"/>
    <w:rsid w:val="00D6090A"/>
    <w:rsid w:val="00D60C49"/>
    <w:rsid w:val="00D61710"/>
    <w:rsid w:val="00D6291F"/>
    <w:rsid w:val="00D64EE6"/>
    <w:rsid w:val="00D6611E"/>
    <w:rsid w:val="00D70C12"/>
    <w:rsid w:val="00D77814"/>
    <w:rsid w:val="00D822BA"/>
    <w:rsid w:val="00D82340"/>
    <w:rsid w:val="00D85F37"/>
    <w:rsid w:val="00D91B83"/>
    <w:rsid w:val="00D97323"/>
    <w:rsid w:val="00D97E56"/>
    <w:rsid w:val="00DA0CF4"/>
    <w:rsid w:val="00DA5E87"/>
    <w:rsid w:val="00DA628A"/>
    <w:rsid w:val="00DA6A63"/>
    <w:rsid w:val="00DA6B0D"/>
    <w:rsid w:val="00DB4534"/>
    <w:rsid w:val="00DB4A82"/>
    <w:rsid w:val="00DC12AB"/>
    <w:rsid w:val="00DC3624"/>
    <w:rsid w:val="00DC535F"/>
    <w:rsid w:val="00DD2A82"/>
    <w:rsid w:val="00DD2CEA"/>
    <w:rsid w:val="00DE02E0"/>
    <w:rsid w:val="00DE196C"/>
    <w:rsid w:val="00DE325D"/>
    <w:rsid w:val="00DE4754"/>
    <w:rsid w:val="00DF0EEC"/>
    <w:rsid w:val="00DF1029"/>
    <w:rsid w:val="00DF1543"/>
    <w:rsid w:val="00DF458D"/>
    <w:rsid w:val="00DF46E4"/>
    <w:rsid w:val="00E04856"/>
    <w:rsid w:val="00E05437"/>
    <w:rsid w:val="00E12BAE"/>
    <w:rsid w:val="00E1719E"/>
    <w:rsid w:val="00E21EE5"/>
    <w:rsid w:val="00E23A9E"/>
    <w:rsid w:val="00E2649A"/>
    <w:rsid w:val="00E3455D"/>
    <w:rsid w:val="00E36151"/>
    <w:rsid w:val="00E44C33"/>
    <w:rsid w:val="00E454CE"/>
    <w:rsid w:val="00E46D02"/>
    <w:rsid w:val="00E50CD3"/>
    <w:rsid w:val="00E52E2E"/>
    <w:rsid w:val="00E53A53"/>
    <w:rsid w:val="00E556CD"/>
    <w:rsid w:val="00E56089"/>
    <w:rsid w:val="00E60B6A"/>
    <w:rsid w:val="00E61519"/>
    <w:rsid w:val="00E62151"/>
    <w:rsid w:val="00E64866"/>
    <w:rsid w:val="00E72A47"/>
    <w:rsid w:val="00E7505E"/>
    <w:rsid w:val="00E81BE6"/>
    <w:rsid w:val="00E87BE1"/>
    <w:rsid w:val="00E96A40"/>
    <w:rsid w:val="00EA020F"/>
    <w:rsid w:val="00EA1F85"/>
    <w:rsid w:val="00EA5383"/>
    <w:rsid w:val="00EA7447"/>
    <w:rsid w:val="00EB1203"/>
    <w:rsid w:val="00EB4273"/>
    <w:rsid w:val="00EB51DA"/>
    <w:rsid w:val="00EB6F41"/>
    <w:rsid w:val="00EC688F"/>
    <w:rsid w:val="00ED4585"/>
    <w:rsid w:val="00ED5A96"/>
    <w:rsid w:val="00ED735F"/>
    <w:rsid w:val="00EF09DF"/>
    <w:rsid w:val="00F01482"/>
    <w:rsid w:val="00F01E04"/>
    <w:rsid w:val="00F02DF3"/>
    <w:rsid w:val="00F05C4D"/>
    <w:rsid w:val="00F1112D"/>
    <w:rsid w:val="00F13C12"/>
    <w:rsid w:val="00F273C2"/>
    <w:rsid w:val="00F3137E"/>
    <w:rsid w:val="00F4182E"/>
    <w:rsid w:val="00F42610"/>
    <w:rsid w:val="00F5071B"/>
    <w:rsid w:val="00F531D0"/>
    <w:rsid w:val="00F54D86"/>
    <w:rsid w:val="00F5775F"/>
    <w:rsid w:val="00F61AE5"/>
    <w:rsid w:val="00F639BF"/>
    <w:rsid w:val="00F63F24"/>
    <w:rsid w:val="00F670E7"/>
    <w:rsid w:val="00F71BBB"/>
    <w:rsid w:val="00F73E93"/>
    <w:rsid w:val="00F81414"/>
    <w:rsid w:val="00F86920"/>
    <w:rsid w:val="00F9072F"/>
    <w:rsid w:val="00F92F20"/>
    <w:rsid w:val="00F93B66"/>
    <w:rsid w:val="00FA257B"/>
    <w:rsid w:val="00FA4E5B"/>
    <w:rsid w:val="00FA7236"/>
    <w:rsid w:val="00FB7D7B"/>
    <w:rsid w:val="00FC2F67"/>
    <w:rsid w:val="00FC38BA"/>
    <w:rsid w:val="00FC4847"/>
    <w:rsid w:val="00FC5C14"/>
    <w:rsid w:val="00FD25C5"/>
    <w:rsid w:val="00FD492B"/>
    <w:rsid w:val="00FE3866"/>
    <w:rsid w:val="00FF0D13"/>
    <w:rsid w:val="00FF387A"/>
    <w:rsid w:val="00FF48EF"/>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482F1"/>
  <w15:docId w15:val="{0CE46F25-6018-4E9D-9EDA-2591C4D2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FA4E5B"/>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locked/>
    <w:rsid w:val="0008082D"/>
    <w:rPr>
      <w:sz w:val="22"/>
      <w:szCs w:val="24"/>
    </w:rPr>
  </w:style>
  <w:style w:type="table" w:styleId="TableGrid">
    <w:name w:val="Table Grid"/>
    <w:basedOn w:val="TableNormal"/>
    <w:rsid w:val="00F3137E"/>
    <w:rPr>
      <w:rFonts w:eastAsia="MS Mincho"/>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137E"/>
    <w:pPr>
      <w:autoSpaceDE w:val="0"/>
      <w:autoSpaceDN w:val="0"/>
      <w:adjustRightInd w:val="0"/>
    </w:pPr>
    <w:rPr>
      <w:rFonts w:eastAsia="MS Mincho"/>
      <w:color w:val="000000"/>
      <w:sz w:val="24"/>
      <w:szCs w:val="24"/>
      <w:lang w:val="sr-Latn-CS" w:eastAsia="ja-JP"/>
    </w:rPr>
  </w:style>
  <w:style w:type="paragraph" w:styleId="EndnoteText">
    <w:name w:val="endnote text"/>
    <w:basedOn w:val="Default"/>
    <w:next w:val="Default"/>
    <w:link w:val="EndnoteTextChar"/>
    <w:semiHidden/>
    <w:rsid w:val="00F3137E"/>
    <w:rPr>
      <w:color w:val="auto"/>
    </w:rPr>
  </w:style>
  <w:style w:type="character" w:customStyle="1" w:styleId="EndnoteTextChar">
    <w:name w:val="Endnote Text Char"/>
    <w:basedOn w:val="DefaultParagraphFont"/>
    <w:link w:val="EndnoteText"/>
    <w:semiHidden/>
    <w:rsid w:val="00F3137E"/>
    <w:rPr>
      <w:rFonts w:eastAsia="MS Mincho"/>
      <w:sz w:val="24"/>
      <w:szCs w:val="24"/>
      <w:lang w:val="sr-Latn-CS" w:eastAsia="ja-JP"/>
    </w:rPr>
  </w:style>
  <w:style w:type="paragraph" w:customStyle="1" w:styleId="TableHeading">
    <w:name w:val="Table Heading"/>
    <w:basedOn w:val="Heading1"/>
    <w:rsid w:val="00F3137E"/>
    <w:pPr>
      <w:tabs>
        <w:tab w:val="clear" w:pos="284"/>
        <w:tab w:val="left" w:pos="360"/>
      </w:tabs>
      <w:autoSpaceDE w:val="0"/>
      <w:autoSpaceDN w:val="0"/>
      <w:adjustRightInd w:val="0"/>
      <w:spacing w:after="120"/>
      <w:jc w:val="left"/>
    </w:pPr>
    <w:rPr>
      <w:rFonts w:ascii="Arial" w:eastAsia="MS Mincho" w:hAnsi="Arial"/>
      <w:i w:val="0"/>
      <w:iCs w:val="0"/>
      <w:sz w:val="24"/>
      <w:szCs w:val="16"/>
      <w:u w:val="none"/>
      <w:lang w:val="en-US"/>
    </w:rPr>
  </w:style>
  <w:style w:type="paragraph" w:customStyle="1" w:styleId="TblTextCenter">
    <w:name w:val="Tbl Text Center"/>
    <w:basedOn w:val="Normal"/>
    <w:rsid w:val="00F3137E"/>
    <w:pPr>
      <w:tabs>
        <w:tab w:val="clear" w:pos="284"/>
      </w:tabs>
      <w:spacing w:before="60" w:after="60"/>
      <w:jc w:val="center"/>
    </w:pPr>
    <w:rPr>
      <w:rFonts w:ascii="Arial Narrow" w:hAnsi="Arial Narrow"/>
      <w:sz w:val="20"/>
      <w:szCs w:val="20"/>
    </w:rPr>
  </w:style>
  <w:style w:type="paragraph" w:customStyle="1" w:styleId="TblHeadingCenter">
    <w:name w:val="Tbl Heading Center"/>
    <w:basedOn w:val="Normal"/>
    <w:rsid w:val="00F3137E"/>
    <w:pPr>
      <w:tabs>
        <w:tab w:val="clear" w:pos="284"/>
      </w:tabs>
      <w:spacing w:before="60" w:after="60"/>
      <w:jc w:val="center"/>
    </w:pPr>
    <w:rPr>
      <w:rFonts w:ascii="Arial" w:hAnsi="Arial"/>
      <w:b/>
      <w:sz w:val="20"/>
      <w:szCs w:val="20"/>
    </w:rPr>
  </w:style>
  <w:style w:type="character" w:styleId="Hyperlink">
    <w:name w:val="Hyperlink"/>
    <w:rsid w:val="00F3137E"/>
    <w:rPr>
      <w:color w:val="0000FF"/>
      <w:u w:val="single"/>
    </w:rPr>
  </w:style>
  <w:style w:type="paragraph" w:styleId="NoSpacing">
    <w:name w:val="No Spacing"/>
    <w:link w:val="NoSpacingChar"/>
    <w:uiPriority w:val="1"/>
    <w:qFormat/>
    <w:rsid w:val="00F3137E"/>
    <w:rPr>
      <w:rFonts w:ascii="Calibri" w:eastAsia="MS Mincho" w:hAnsi="Calibri" w:cs="Arial"/>
      <w:sz w:val="22"/>
      <w:szCs w:val="22"/>
      <w:lang w:eastAsia="ja-JP"/>
    </w:rPr>
  </w:style>
  <w:style w:type="character" w:customStyle="1" w:styleId="NoSpacingChar">
    <w:name w:val="No Spacing Char"/>
    <w:link w:val="NoSpacing"/>
    <w:uiPriority w:val="1"/>
    <w:rsid w:val="00F3137E"/>
    <w:rPr>
      <w:rFonts w:ascii="Calibri" w:eastAsia="MS Mincho" w:hAnsi="Calibri" w:cs="Arial"/>
      <w:sz w:val="22"/>
      <w:szCs w:val="22"/>
      <w:lang w:eastAsia="ja-JP"/>
    </w:rPr>
  </w:style>
  <w:style w:type="character" w:customStyle="1" w:styleId="UnresolvedMention1">
    <w:name w:val="Unresolved Mention1"/>
    <w:basedOn w:val="DefaultParagraphFont"/>
    <w:uiPriority w:val="99"/>
    <w:semiHidden/>
    <w:unhideWhenUsed/>
    <w:rsid w:val="00A36014"/>
    <w:rPr>
      <w:color w:val="605E5C"/>
      <w:shd w:val="clear" w:color="auto" w:fill="E1DFDD"/>
    </w:rPr>
  </w:style>
  <w:style w:type="paragraph" w:styleId="Revision">
    <w:name w:val="Revision"/>
    <w:hidden/>
    <w:uiPriority w:val="99"/>
    <w:semiHidden/>
    <w:rsid w:val="000F694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EC87-6BFD-439A-8F4D-639E044B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12078</Words>
  <Characters>68850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sanofi-aventis</Company>
  <LinksUpToDate>false</LinksUpToDate>
  <CharactersWithSpaces>80767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Gordana Boljević</cp:lastModifiedBy>
  <cp:revision>3</cp:revision>
  <cp:lastPrinted>2018-03-13T09:33:00Z</cp:lastPrinted>
  <dcterms:created xsi:type="dcterms:W3CDTF">2024-06-13T07:34:00Z</dcterms:created>
  <dcterms:modified xsi:type="dcterms:W3CDTF">2024-06-14T05:35:00Z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