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FF6E" w14:textId="77777777" w:rsidR="002510A5" w:rsidRPr="001D23DB" w:rsidRDefault="002510A5" w:rsidP="002510A5">
      <w:pPr>
        <w:jc w:val="center"/>
        <w:rPr>
          <w:b/>
          <w:bCs/>
          <w:iCs/>
          <w:sz w:val="22"/>
          <w:szCs w:val="22"/>
          <w:u w:val="single"/>
          <w:lang w:val="sr-Latn-RS"/>
        </w:rPr>
      </w:pPr>
      <w:r w:rsidRPr="001D23DB">
        <w:rPr>
          <w:b/>
          <w:bCs/>
          <w:iCs/>
          <w:sz w:val="22"/>
          <w:szCs w:val="22"/>
          <w:u w:val="single"/>
          <w:lang w:val="sr-Latn-RS"/>
        </w:rPr>
        <w:t>SAŽETAK KARAKTERISTIKA LIJEKA</w:t>
      </w:r>
    </w:p>
    <w:p w14:paraId="50B5F83B" w14:textId="77777777" w:rsidR="003C17AB" w:rsidRDefault="003C17AB" w:rsidP="00F5167F">
      <w:pPr>
        <w:tabs>
          <w:tab w:val="left" w:pos="540"/>
          <w:tab w:val="left" w:pos="569"/>
        </w:tabs>
        <w:rPr>
          <w:noProof/>
          <w:sz w:val="22"/>
          <w:szCs w:val="22"/>
          <w:lang w:val="hr-HR"/>
        </w:rPr>
      </w:pPr>
    </w:p>
    <w:p w14:paraId="7000C72C" w14:textId="77777777" w:rsidR="00C37FD7" w:rsidRPr="00243EDC" w:rsidRDefault="00C37FD7" w:rsidP="00F5167F">
      <w:pPr>
        <w:tabs>
          <w:tab w:val="left" w:pos="540"/>
          <w:tab w:val="left" w:pos="569"/>
        </w:tabs>
        <w:rPr>
          <w:bCs/>
          <w:sz w:val="22"/>
          <w:szCs w:val="22"/>
          <w:lang w:val="hr-HR"/>
        </w:rPr>
      </w:pPr>
    </w:p>
    <w:p w14:paraId="68E5D7B8" w14:textId="77777777" w:rsidR="00411B4B" w:rsidRPr="00243EDC" w:rsidRDefault="00411B4B" w:rsidP="00F5167F">
      <w:pPr>
        <w:tabs>
          <w:tab w:val="left" w:pos="540"/>
          <w:tab w:val="left" w:pos="569"/>
        </w:tabs>
        <w:rPr>
          <w:b/>
          <w:bCs/>
          <w:sz w:val="22"/>
          <w:szCs w:val="22"/>
          <w:lang w:val="hr-HR"/>
        </w:rPr>
      </w:pPr>
      <w:r w:rsidRPr="00243EDC">
        <w:rPr>
          <w:b/>
          <w:bCs/>
          <w:sz w:val="22"/>
          <w:szCs w:val="22"/>
          <w:lang w:val="hr-HR"/>
        </w:rPr>
        <w:t>1.</w:t>
      </w:r>
      <w:r w:rsidR="00F5167F" w:rsidRPr="00243EDC">
        <w:rPr>
          <w:b/>
          <w:bCs/>
          <w:sz w:val="22"/>
          <w:szCs w:val="22"/>
          <w:lang w:val="hr-HR"/>
        </w:rPr>
        <w:tab/>
      </w:r>
      <w:r w:rsidR="002846DB" w:rsidRPr="00243EDC">
        <w:rPr>
          <w:b/>
          <w:bCs/>
          <w:sz w:val="22"/>
          <w:szCs w:val="22"/>
          <w:lang w:val="hr-HR"/>
        </w:rPr>
        <w:t xml:space="preserve">NAZIV </w:t>
      </w:r>
      <w:r w:rsidRPr="00243EDC">
        <w:rPr>
          <w:b/>
          <w:bCs/>
          <w:sz w:val="22"/>
          <w:szCs w:val="22"/>
          <w:lang w:val="hr-HR"/>
        </w:rPr>
        <w:t>LIJEKA</w:t>
      </w:r>
    </w:p>
    <w:p w14:paraId="5491AE0C" w14:textId="77777777" w:rsidR="00EC2532" w:rsidRPr="00786071" w:rsidRDefault="00EC2532">
      <w:pPr>
        <w:rPr>
          <w:sz w:val="22"/>
          <w:szCs w:val="22"/>
          <w:lang w:val="pl-PL"/>
        </w:rPr>
      </w:pPr>
    </w:p>
    <w:p w14:paraId="73CED407" w14:textId="7E5458C7" w:rsidR="00F15B18" w:rsidRPr="00A0323D" w:rsidRDefault="00F15B18" w:rsidP="00F15B18">
      <w:pPr>
        <w:rPr>
          <w:sz w:val="22"/>
          <w:szCs w:val="22"/>
          <w:lang w:val="sr-Latn-CS"/>
        </w:rPr>
      </w:pPr>
      <w:r w:rsidRPr="00A0323D">
        <w:rPr>
          <w:sz w:val="22"/>
          <w:szCs w:val="22"/>
          <w:lang w:val="sr-Latn-CS"/>
        </w:rPr>
        <w:t>Fiasp FlexTouch, 100 jedinica/m</w:t>
      </w:r>
      <w:r w:rsidR="00F74A6F">
        <w:rPr>
          <w:sz w:val="22"/>
          <w:szCs w:val="22"/>
          <w:lang w:val="sr-Latn-CS"/>
        </w:rPr>
        <w:t>l</w:t>
      </w:r>
      <w:r w:rsidRPr="00A0323D">
        <w:rPr>
          <w:sz w:val="22"/>
          <w:szCs w:val="22"/>
          <w:lang w:val="sr-Latn-CS"/>
        </w:rPr>
        <w:t>, rastvor za injekciju u napunjenom injekcionom penu</w:t>
      </w:r>
    </w:p>
    <w:p w14:paraId="60A9104B" w14:textId="75D95414" w:rsidR="00F15B18" w:rsidRPr="00A0323D" w:rsidRDefault="00F15B18" w:rsidP="00F15B18">
      <w:pPr>
        <w:rPr>
          <w:sz w:val="22"/>
          <w:szCs w:val="22"/>
          <w:lang w:val="sr-Latn-CS"/>
        </w:rPr>
      </w:pPr>
      <w:r w:rsidRPr="00A0323D">
        <w:rPr>
          <w:sz w:val="22"/>
          <w:szCs w:val="22"/>
          <w:lang w:val="sr-Latn-CS"/>
        </w:rPr>
        <w:t>Fiasp Penfill, 100 jedinica/m</w:t>
      </w:r>
      <w:r w:rsidR="00F74A6F">
        <w:rPr>
          <w:sz w:val="22"/>
          <w:szCs w:val="22"/>
          <w:lang w:val="sr-Latn-CS"/>
        </w:rPr>
        <w:t>l</w:t>
      </w:r>
      <w:r w:rsidRPr="00A0323D">
        <w:rPr>
          <w:sz w:val="22"/>
          <w:szCs w:val="22"/>
          <w:lang w:val="sr-Latn-CS"/>
        </w:rPr>
        <w:t>, rastvor za injekciju u ulošku</w:t>
      </w:r>
    </w:p>
    <w:p w14:paraId="50E301E9" w14:textId="08C8A642" w:rsidR="00F15B18" w:rsidRPr="00A0323D" w:rsidRDefault="00F15B18" w:rsidP="00F15B18">
      <w:pPr>
        <w:rPr>
          <w:sz w:val="22"/>
          <w:szCs w:val="22"/>
          <w:lang w:val="sr-Latn-CS"/>
        </w:rPr>
      </w:pPr>
      <w:r w:rsidRPr="00A0323D">
        <w:rPr>
          <w:sz w:val="22"/>
          <w:szCs w:val="22"/>
          <w:lang w:val="sr-Latn-CS"/>
        </w:rPr>
        <w:t>Fiasp, 100 jedinica/m</w:t>
      </w:r>
      <w:r w:rsidR="00F74A6F">
        <w:rPr>
          <w:sz w:val="22"/>
          <w:szCs w:val="22"/>
          <w:lang w:val="sr-Latn-CS"/>
        </w:rPr>
        <w:t>l</w:t>
      </w:r>
      <w:r w:rsidRPr="00A0323D">
        <w:rPr>
          <w:sz w:val="22"/>
          <w:szCs w:val="22"/>
          <w:lang w:val="sr-Latn-CS"/>
        </w:rPr>
        <w:t>, rastvor za injekciju u bočici</w:t>
      </w:r>
    </w:p>
    <w:p w14:paraId="2FCD1A5E" w14:textId="77777777" w:rsidR="00F15B18" w:rsidRPr="00A0323D" w:rsidRDefault="00F15B18" w:rsidP="00F15B18">
      <w:pPr>
        <w:rPr>
          <w:sz w:val="22"/>
          <w:szCs w:val="22"/>
          <w:lang w:val="sr-Latn-CS"/>
        </w:rPr>
      </w:pPr>
    </w:p>
    <w:p w14:paraId="6A795001" w14:textId="77777777" w:rsidR="006D20A5" w:rsidRPr="00A0323D" w:rsidRDefault="00F15B18" w:rsidP="00F15B18">
      <w:pPr>
        <w:rPr>
          <w:sz w:val="22"/>
          <w:szCs w:val="22"/>
          <w:lang w:val="sr-Latn-CS"/>
        </w:rPr>
      </w:pPr>
      <w:r w:rsidRPr="00A0323D">
        <w:rPr>
          <w:sz w:val="22"/>
          <w:szCs w:val="22"/>
          <w:lang w:val="sr-Latn-CS"/>
        </w:rPr>
        <w:t>INN: insulin aspart</w:t>
      </w:r>
    </w:p>
    <w:p w14:paraId="4AFF179F" w14:textId="77777777" w:rsidR="00530BD7" w:rsidRDefault="00530BD7">
      <w:pPr>
        <w:rPr>
          <w:bCs/>
          <w:sz w:val="22"/>
          <w:szCs w:val="22"/>
          <w:lang w:val="sv-SE"/>
        </w:rPr>
      </w:pPr>
    </w:p>
    <w:p w14:paraId="3739FFC3" w14:textId="77777777" w:rsidR="006513A1" w:rsidRPr="00786071" w:rsidRDefault="006513A1">
      <w:pPr>
        <w:rPr>
          <w:bCs/>
          <w:sz w:val="22"/>
          <w:szCs w:val="22"/>
          <w:lang w:val="sv-SE"/>
        </w:rPr>
      </w:pPr>
    </w:p>
    <w:p w14:paraId="47159CE1" w14:textId="77777777" w:rsidR="00411B4B" w:rsidRPr="00243EDC" w:rsidRDefault="00411B4B" w:rsidP="00F5167F">
      <w:pPr>
        <w:tabs>
          <w:tab w:val="left" w:pos="540"/>
          <w:tab w:val="left" w:pos="569"/>
        </w:tabs>
        <w:rPr>
          <w:b/>
          <w:bCs/>
          <w:sz w:val="22"/>
          <w:szCs w:val="22"/>
          <w:lang w:val="it-IT"/>
        </w:rPr>
      </w:pPr>
      <w:r w:rsidRPr="00243EDC">
        <w:rPr>
          <w:b/>
          <w:bCs/>
          <w:sz w:val="22"/>
          <w:szCs w:val="22"/>
          <w:lang w:val="it-IT"/>
        </w:rPr>
        <w:t xml:space="preserve">2. </w:t>
      </w:r>
      <w:r w:rsidR="00F5167F" w:rsidRPr="00243EDC">
        <w:rPr>
          <w:b/>
          <w:bCs/>
          <w:sz w:val="22"/>
          <w:szCs w:val="22"/>
          <w:lang w:val="it-IT"/>
        </w:rPr>
        <w:tab/>
      </w:r>
      <w:r w:rsidRPr="00243EDC">
        <w:rPr>
          <w:b/>
          <w:bCs/>
          <w:sz w:val="22"/>
          <w:szCs w:val="22"/>
          <w:lang w:val="it-IT"/>
        </w:rPr>
        <w:t>KVALITATIVNI I KVANTITATIVNI SASTAV</w:t>
      </w:r>
    </w:p>
    <w:p w14:paraId="233030B1" w14:textId="77777777" w:rsidR="005A0B2E" w:rsidRPr="00786071" w:rsidRDefault="005A0B2E">
      <w:pPr>
        <w:rPr>
          <w:sz w:val="22"/>
          <w:szCs w:val="22"/>
          <w:lang w:val="sr-Latn-CS"/>
        </w:rPr>
      </w:pPr>
    </w:p>
    <w:p w14:paraId="0AC8BEAF" w14:textId="77777777" w:rsidR="00A0323D" w:rsidRPr="00A0323D" w:rsidRDefault="00A0323D" w:rsidP="00A0323D">
      <w:pPr>
        <w:rPr>
          <w:sz w:val="22"/>
          <w:szCs w:val="22"/>
          <w:lang w:val="sr-Latn-CS"/>
        </w:rPr>
      </w:pPr>
      <w:r w:rsidRPr="00A0323D">
        <w:rPr>
          <w:sz w:val="22"/>
          <w:szCs w:val="22"/>
          <w:lang w:val="sr-Latn-CS"/>
        </w:rPr>
        <w:t>1 m</w:t>
      </w:r>
      <w:r w:rsidR="00F74A6F">
        <w:rPr>
          <w:sz w:val="22"/>
          <w:szCs w:val="22"/>
          <w:lang w:val="sr-Latn-CS"/>
        </w:rPr>
        <w:t>l</w:t>
      </w:r>
      <w:r w:rsidRPr="00A0323D">
        <w:rPr>
          <w:sz w:val="22"/>
          <w:szCs w:val="22"/>
          <w:lang w:val="sr-Latn-CS"/>
        </w:rPr>
        <w:t xml:space="preserve"> rastvora sadrži 100 jedinica insulin asparta* (</w:t>
      </w:r>
      <w:r w:rsidR="00D01D64">
        <w:rPr>
          <w:sz w:val="22"/>
          <w:szCs w:val="22"/>
          <w:lang w:val="sr-Latn-CS"/>
        </w:rPr>
        <w:t xml:space="preserve">što </w:t>
      </w:r>
      <w:r w:rsidRPr="00A0323D">
        <w:rPr>
          <w:sz w:val="22"/>
          <w:szCs w:val="22"/>
          <w:lang w:val="sr-Latn-CS"/>
        </w:rPr>
        <w:t>odgovara 3,5 mg).</w:t>
      </w:r>
    </w:p>
    <w:p w14:paraId="524804E2" w14:textId="77777777" w:rsidR="00A0323D" w:rsidRPr="00A0323D" w:rsidRDefault="00A0323D" w:rsidP="00A0323D">
      <w:pPr>
        <w:rPr>
          <w:sz w:val="22"/>
          <w:szCs w:val="22"/>
          <w:lang w:val="sr-Latn-CS"/>
        </w:rPr>
      </w:pPr>
    </w:p>
    <w:p w14:paraId="2FF02C9E" w14:textId="0CF3D26F" w:rsidR="00A0323D" w:rsidRPr="00A0323D" w:rsidRDefault="00A0323D" w:rsidP="00A0323D">
      <w:pPr>
        <w:rPr>
          <w:sz w:val="22"/>
          <w:szCs w:val="22"/>
          <w:u w:val="single"/>
          <w:lang w:val="sr-Latn-CS"/>
        </w:rPr>
      </w:pPr>
      <w:r w:rsidRPr="00A0323D">
        <w:rPr>
          <w:sz w:val="22"/>
          <w:szCs w:val="22"/>
          <w:u w:val="single"/>
          <w:lang w:val="sr-Latn-CS"/>
        </w:rPr>
        <w:t>Fiasp FlexTouch, 100 jedinica/m</w:t>
      </w:r>
      <w:r w:rsidR="00F74A6F">
        <w:rPr>
          <w:sz w:val="22"/>
          <w:szCs w:val="22"/>
          <w:u w:val="single"/>
          <w:lang w:val="sr-Latn-CS"/>
        </w:rPr>
        <w:t>l</w:t>
      </w:r>
      <w:r w:rsidRPr="00A0323D">
        <w:rPr>
          <w:sz w:val="22"/>
          <w:szCs w:val="22"/>
          <w:u w:val="single"/>
          <w:lang w:val="sr-Latn-CS"/>
        </w:rPr>
        <w:t>, rastvor za injekciju u napunjenom injekcionom penu</w:t>
      </w:r>
    </w:p>
    <w:p w14:paraId="2BEC6D0F" w14:textId="61256D38" w:rsidR="00A0323D" w:rsidRPr="00A0323D" w:rsidRDefault="00A0323D" w:rsidP="00A0323D">
      <w:pPr>
        <w:rPr>
          <w:sz w:val="22"/>
          <w:szCs w:val="22"/>
          <w:lang w:val="sr-Latn-CS"/>
        </w:rPr>
      </w:pPr>
      <w:r w:rsidRPr="00A0323D">
        <w:rPr>
          <w:sz w:val="22"/>
          <w:szCs w:val="22"/>
          <w:lang w:val="sr-Latn-CS"/>
        </w:rPr>
        <w:t>1 napunjen injekcioni pen sadrži 300 jedinica insulin asparta u 3 m</w:t>
      </w:r>
      <w:r w:rsidR="00F74A6F">
        <w:rPr>
          <w:sz w:val="22"/>
          <w:szCs w:val="22"/>
          <w:lang w:val="sr-Latn-CS"/>
        </w:rPr>
        <w:t>l</w:t>
      </w:r>
      <w:r w:rsidRPr="00A0323D">
        <w:rPr>
          <w:sz w:val="22"/>
          <w:szCs w:val="22"/>
          <w:lang w:val="sr-Latn-CS"/>
        </w:rPr>
        <w:t xml:space="preserve"> rastvora.</w:t>
      </w:r>
    </w:p>
    <w:p w14:paraId="2820B31D" w14:textId="77777777" w:rsidR="00A0323D" w:rsidRPr="00A0323D" w:rsidRDefault="00A0323D" w:rsidP="00A0323D">
      <w:pPr>
        <w:rPr>
          <w:sz w:val="22"/>
          <w:szCs w:val="22"/>
          <w:lang w:val="sr-Latn-CS"/>
        </w:rPr>
      </w:pPr>
    </w:p>
    <w:p w14:paraId="09843123" w14:textId="60360711" w:rsidR="00A0323D" w:rsidRPr="00A0323D" w:rsidRDefault="00A0323D" w:rsidP="00A0323D">
      <w:pPr>
        <w:rPr>
          <w:sz w:val="22"/>
          <w:szCs w:val="22"/>
          <w:u w:val="single"/>
          <w:lang w:val="sr-Latn-CS"/>
        </w:rPr>
      </w:pPr>
      <w:r w:rsidRPr="00A0323D">
        <w:rPr>
          <w:sz w:val="22"/>
          <w:szCs w:val="22"/>
          <w:u w:val="single"/>
          <w:lang w:val="sr-Latn-CS"/>
        </w:rPr>
        <w:t>Fiasp Penfill, 100 jedinica/m</w:t>
      </w:r>
      <w:r w:rsidR="00F74A6F">
        <w:rPr>
          <w:sz w:val="22"/>
          <w:szCs w:val="22"/>
          <w:u w:val="single"/>
          <w:lang w:val="sr-Latn-CS"/>
        </w:rPr>
        <w:t>l</w:t>
      </w:r>
      <w:r w:rsidRPr="00A0323D">
        <w:rPr>
          <w:sz w:val="22"/>
          <w:szCs w:val="22"/>
          <w:u w:val="single"/>
          <w:lang w:val="sr-Latn-CS"/>
        </w:rPr>
        <w:t>, rastvor za injekciju u ulošku</w:t>
      </w:r>
    </w:p>
    <w:p w14:paraId="2F5DB7C6" w14:textId="358C61F5" w:rsidR="00A0323D" w:rsidRPr="00A0323D" w:rsidRDefault="00A0323D" w:rsidP="00A0323D">
      <w:pPr>
        <w:rPr>
          <w:sz w:val="22"/>
          <w:szCs w:val="22"/>
          <w:lang w:val="sr-Latn-CS"/>
        </w:rPr>
      </w:pPr>
      <w:r w:rsidRPr="00A0323D">
        <w:rPr>
          <w:sz w:val="22"/>
          <w:szCs w:val="22"/>
          <w:lang w:val="sr-Latn-CS"/>
        </w:rPr>
        <w:t>1 uložak sadrži 300 jedinica insulin asparta u 3 m</w:t>
      </w:r>
      <w:r w:rsidR="00F74A6F">
        <w:rPr>
          <w:sz w:val="22"/>
          <w:szCs w:val="22"/>
          <w:lang w:val="sr-Latn-CS"/>
        </w:rPr>
        <w:t>l</w:t>
      </w:r>
      <w:r w:rsidRPr="00A0323D">
        <w:rPr>
          <w:sz w:val="22"/>
          <w:szCs w:val="22"/>
          <w:lang w:val="sr-Latn-CS"/>
        </w:rPr>
        <w:t xml:space="preserve"> rastvora.</w:t>
      </w:r>
    </w:p>
    <w:p w14:paraId="395FF947" w14:textId="77777777" w:rsidR="00A0323D" w:rsidRPr="00A0323D" w:rsidRDefault="00A0323D" w:rsidP="00A0323D">
      <w:pPr>
        <w:rPr>
          <w:sz w:val="22"/>
          <w:szCs w:val="22"/>
          <w:lang w:val="sr-Latn-CS"/>
        </w:rPr>
      </w:pPr>
    </w:p>
    <w:p w14:paraId="31EAE42C" w14:textId="0D21D88C" w:rsidR="00A0323D" w:rsidRPr="00A0323D" w:rsidRDefault="00A0323D" w:rsidP="00A0323D">
      <w:pPr>
        <w:rPr>
          <w:sz w:val="22"/>
          <w:szCs w:val="22"/>
          <w:u w:val="single"/>
          <w:lang w:val="sr-Latn-CS"/>
        </w:rPr>
      </w:pPr>
      <w:r w:rsidRPr="00A0323D">
        <w:rPr>
          <w:sz w:val="22"/>
          <w:szCs w:val="22"/>
          <w:u w:val="single"/>
          <w:lang w:val="sr-Latn-CS"/>
        </w:rPr>
        <w:t>Fiasp, 100 jedinica/m</w:t>
      </w:r>
      <w:r w:rsidR="00F74A6F">
        <w:rPr>
          <w:sz w:val="22"/>
          <w:szCs w:val="22"/>
          <w:u w:val="single"/>
          <w:lang w:val="sr-Latn-CS"/>
        </w:rPr>
        <w:t>l</w:t>
      </w:r>
      <w:r w:rsidRPr="00A0323D">
        <w:rPr>
          <w:sz w:val="22"/>
          <w:szCs w:val="22"/>
          <w:u w:val="single"/>
          <w:lang w:val="sr-Latn-CS"/>
        </w:rPr>
        <w:t>, rastvor za injekciju u bočici</w:t>
      </w:r>
    </w:p>
    <w:p w14:paraId="1B403B7C" w14:textId="2223EA5A" w:rsidR="00A0323D" w:rsidRPr="00A0323D" w:rsidRDefault="00A0323D" w:rsidP="00A0323D">
      <w:pPr>
        <w:rPr>
          <w:sz w:val="22"/>
          <w:szCs w:val="22"/>
          <w:lang w:val="sr-Latn-CS"/>
        </w:rPr>
      </w:pPr>
      <w:r w:rsidRPr="00A0323D">
        <w:rPr>
          <w:sz w:val="22"/>
          <w:szCs w:val="22"/>
          <w:lang w:val="sr-Latn-CS"/>
        </w:rPr>
        <w:t>1 bočica sadrži 1000 jedinica insulin asparta u 10 m</w:t>
      </w:r>
      <w:r w:rsidR="00F74A6F">
        <w:rPr>
          <w:sz w:val="22"/>
          <w:szCs w:val="22"/>
          <w:lang w:val="sr-Latn-CS"/>
        </w:rPr>
        <w:t>l</w:t>
      </w:r>
      <w:r w:rsidRPr="00A0323D">
        <w:rPr>
          <w:sz w:val="22"/>
          <w:szCs w:val="22"/>
          <w:lang w:val="sr-Latn-CS"/>
        </w:rPr>
        <w:t xml:space="preserve"> rastvora.</w:t>
      </w:r>
    </w:p>
    <w:p w14:paraId="0A36D32D" w14:textId="77777777" w:rsidR="00A0323D" w:rsidRPr="00A0323D" w:rsidRDefault="00A0323D" w:rsidP="00A0323D">
      <w:pPr>
        <w:rPr>
          <w:sz w:val="22"/>
          <w:szCs w:val="22"/>
          <w:lang w:val="sr-Latn-CS"/>
        </w:rPr>
      </w:pPr>
    </w:p>
    <w:p w14:paraId="745011A1" w14:textId="77777777" w:rsidR="00A0323D" w:rsidRDefault="00A0323D" w:rsidP="00A0323D">
      <w:pPr>
        <w:rPr>
          <w:sz w:val="22"/>
          <w:szCs w:val="22"/>
          <w:lang w:val="sr-Latn-CS"/>
        </w:rPr>
      </w:pPr>
      <w:r w:rsidRPr="00A0323D">
        <w:rPr>
          <w:sz w:val="22"/>
          <w:szCs w:val="22"/>
          <w:lang w:val="sr-Latn-CS"/>
        </w:rPr>
        <w:t xml:space="preserve">*Insulin aspart je proizveden na </w:t>
      </w:r>
      <w:r w:rsidRPr="00A0323D">
        <w:rPr>
          <w:i/>
          <w:iCs/>
          <w:sz w:val="22"/>
          <w:szCs w:val="22"/>
          <w:lang w:val="sr-Latn-CS"/>
        </w:rPr>
        <w:t>Saccharomyces cerevisiae</w:t>
      </w:r>
      <w:r w:rsidRPr="00A0323D">
        <w:rPr>
          <w:sz w:val="22"/>
          <w:szCs w:val="22"/>
          <w:lang w:val="sr-Latn-CS"/>
        </w:rPr>
        <w:t xml:space="preserve"> tehnologijom rekombinantne DNK.</w:t>
      </w:r>
    </w:p>
    <w:p w14:paraId="3EC134BD" w14:textId="77777777" w:rsidR="00A0323D" w:rsidRDefault="00A0323D">
      <w:pPr>
        <w:rPr>
          <w:sz w:val="22"/>
          <w:szCs w:val="22"/>
          <w:lang w:val="sr-Latn-CS"/>
        </w:rPr>
      </w:pPr>
    </w:p>
    <w:p w14:paraId="15111C31" w14:textId="77777777" w:rsidR="0003793F" w:rsidRPr="00786071" w:rsidRDefault="0003793F">
      <w:pPr>
        <w:rPr>
          <w:sz w:val="22"/>
          <w:szCs w:val="22"/>
          <w:lang w:val="sr-Latn-CS"/>
        </w:rPr>
      </w:pPr>
      <w:r w:rsidRPr="00786071">
        <w:rPr>
          <w:sz w:val="22"/>
          <w:szCs w:val="22"/>
          <w:lang w:val="sr-Latn-CS"/>
        </w:rPr>
        <w:t>Za spisak svih ekscipijenasa, pogledati dio 6.1.</w:t>
      </w:r>
    </w:p>
    <w:p w14:paraId="4C733BFF" w14:textId="77777777" w:rsidR="0003793F" w:rsidRDefault="0003793F">
      <w:pPr>
        <w:rPr>
          <w:sz w:val="22"/>
          <w:szCs w:val="22"/>
          <w:lang w:val="sr-Latn-CS"/>
        </w:rPr>
      </w:pPr>
    </w:p>
    <w:p w14:paraId="7BD18850" w14:textId="77777777" w:rsidR="00C37FD7" w:rsidRPr="00786071" w:rsidRDefault="00C37FD7">
      <w:pPr>
        <w:rPr>
          <w:sz w:val="22"/>
          <w:szCs w:val="22"/>
          <w:lang w:val="sr-Latn-CS"/>
        </w:rPr>
      </w:pPr>
    </w:p>
    <w:p w14:paraId="30676DBC" w14:textId="77777777" w:rsidR="00411B4B" w:rsidRPr="00243EDC" w:rsidRDefault="00411B4B" w:rsidP="00F5167F">
      <w:pPr>
        <w:tabs>
          <w:tab w:val="left" w:pos="540"/>
          <w:tab w:val="left" w:pos="569"/>
        </w:tabs>
        <w:rPr>
          <w:b/>
          <w:bCs/>
          <w:sz w:val="22"/>
          <w:szCs w:val="22"/>
          <w:lang w:val="sr-Latn-CS"/>
        </w:rPr>
      </w:pPr>
      <w:r w:rsidRPr="00243EDC">
        <w:rPr>
          <w:b/>
          <w:bCs/>
          <w:sz w:val="22"/>
          <w:szCs w:val="22"/>
          <w:lang w:val="sr-Latn-CS"/>
        </w:rPr>
        <w:t xml:space="preserve">3. </w:t>
      </w:r>
      <w:r w:rsidR="00F5167F" w:rsidRPr="00243EDC">
        <w:rPr>
          <w:b/>
          <w:bCs/>
          <w:sz w:val="22"/>
          <w:szCs w:val="22"/>
          <w:lang w:val="sr-Latn-CS"/>
        </w:rPr>
        <w:tab/>
      </w:r>
      <w:r w:rsidRPr="00786071">
        <w:rPr>
          <w:b/>
          <w:bCs/>
          <w:sz w:val="22"/>
          <w:szCs w:val="22"/>
        </w:rPr>
        <w:t>FARMACEUTSKI</w:t>
      </w:r>
      <w:r w:rsidRPr="00243EDC">
        <w:rPr>
          <w:b/>
          <w:bCs/>
          <w:sz w:val="22"/>
          <w:szCs w:val="22"/>
          <w:lang w:val="sr-Latn-CS"/>
        </w:rPr>
        <w:t xml:space="preserve"> </w:t>
      </w:r>
      <w:r w:rsidRPr="00786071">
        <w:rPr>
          <w:b/>
          <w:bCs/>
          <w:sz w:val="22"/>
          <w:szCs w:val="22"/>
        </w:rPr>
        <w:t>OBLIK</w:t>
      </w:r>
      <w:r w:rsidR="009F2D23" w:rsidRPr="00243EDC">
        <w:rPr>
          <w:b/>
          <w:bCs/>
          <w:sz w:val="22"/>
          <w:szCs w:val="22"/>
          <w:lang w:val="sr-Latn-CS"/>
        </w:rPr>
        <w:t xml:space="preserve"> </w:t>
      </w:r>
    </w:p>
    <w:p w14:paraId="0AE984C4" w14:textId="77777777" w:rsidR="00411B4B" w:rsidRDefault="00411B4B">
      <w:pPr>
        <w:rPr>
          <w:bCs/>
          <w:sz w:val="22"/>
          <w:szCs w:val="22"/>
          <w:lang w:val="sr-Latn-CS"/>
        </w:rPr>
      </w:pPr>
    </w:p>
    <w:p w14:paraId="3B9700E9" w14:textId="33A1672D" w:rsidR="00A0323D" w:rsidRPr="00A0323D" w:rsidRDefault="00A0323D" w:rsidP="00A0323D">
      <w:pPr>
        <w:rPr>
          <w:bCs/>
          <w:sz w:val="22"/>
          <w:szCs w:val="22"/>
          <w:u w:val="single"/>
          <w:lang w:val="sr-Latn-CS"/>
        </w:rPr>
      </w:pPr>
      <w:r w:rsidRPr="00A0323D">
        <w:rPr>
          <w:bCs/>
          <w:sz w:val="22"/>
          <w:szCs w:val="22"/>
          <w:u w:val="single"/>
          <w:lang w:val="sr-Latn-CS"/>
        </w:rPr>
        <w:t>Fiasp FlexTouch, 100 j./m</w:t>
      </w:r>
      <w:r w:rsidR="00F74A6F">
        <w:rPr>
          <w:bCs/>
          <w:sz w:val="22"/>
          <w:szCs w:val="22"/>
          <w:u w:val="single"/>
          <w:lang w:val="sr-Latn-CS"/>
        </w:rPr>
        <w:t>l</w:t>
      </w:r>
      <w:r w:rsidRPr="00A0323D">
        <w:rPr>
          <w:bCs/>
          <w:sz w:val="22"/>
          <w:szCs w:val="22"/>
          <w:u w:val="single"/>
          <w:lang w:val="sr-Latn-CS"/>
        </w:rPr>
        <w:t>, rastvor za injekciju u napunjenom injekcionom penu</w:t>
      </w:r>
    </w:p>
    <w:p w14:paraId="2B0ABCD8" w14:textId="69B56A5E" w:rsidR="00A0323D" w:rsidRPr="00A0323D" w:rsidRDefault="00A0323D" w:rsidP="00A0323D">
      <w:pPr>
        <w:rPr>
          <w:bCs/>
          <w:sz w:val="22"/>
          <w:szCs w:val="22"/>
          <w:lang w:val="sr-Latn-CS"/>
        </w:rPr>
      </w:pPr>
      <w:r w:rsidRPr="00A0323D">
        <w:rPr>
          <w:bCs/>
          <w:sz w:val="22"/>
          <w:szCs w:val="22"/>
          <w:lang w:val="sr-Latn-CS"/>
        </w:rPr>
        <w:t>Rastvor za injekciju u napunjenom injekcionom penu (FlexTouch).</w:t>
      </w:r>
    </w:p>
    <w:p w14:paraId="55FB67E9" w14:textId="77777777" w:rsidR="00A0323D" w:rsidRPr="00A0323D" w:rsidRDefault="00A0323D" w:rsidP="00A0323D">
      <w:pPr>
        <w:rPr>
          <w:bCs/>
          <w:sz w:val="22"/>
          <w:szCs w:val="22"/>
          <w:lang w:val="sr-Latn-CS"/>
        </w:rPr>
      </w:pPr>
    </w:p>
    <w:p w14:paraId="28CE2D63" w14:textId="7000E5BC" w:rsidR="00A0323D" w:rsidRPr="00A0323D" w:rsidRDefault="00A0323D" w:rsidP="00A0323D">
      <w:pPr>
        <w:rPr>
          <w:bCs/>
          <w:sz w:val="22"/>
          <w:szCs w:val="22"/>
          <w:u w:val="single"/>
          <w:lang w:val="sr-Latn-CS"/>
        </w:rPr>
      </w:pPr>
      <w:r w:rsidRPr="00A0323D">
        <w:rPr>
          <w:bCs/>
          <w:sz w:val="22"/>
          <w:szCs w:val="22"/>
          <w:u w:val="single"/>
          <w:lang w:val="sr-Latn-CS"/>
        </w:rPr>
        <w:t>Fiasp Penfill, 100 jedinica/m</w:t>
      </w:r>
      <w:r w:rsidR="00F74A6F">
        <w:rPr>
          <w:bCs/>
          <w:sz w:val="22"/>
          <w:szCs w:val="22"/>
          <w:u w:val="single"/>
          <w:lang w:val="sr-Latn-CS"/>
        </w:rPr>
        <w:t>l</w:t>
      </w:r>
      <w:r w:rsidRPr="00A0323D">
        <w:rPr>
          <w:bCs/>
          <w:sz w:val="22"/>
          <w:szCs w:val="22"/>
          <w:u w:val="single"/>
          <w:lang w:val="sr-Latn-CS"/>
        </w:rPr>
        <w:t>, rastvor za injekciju u ulošku</w:t>
      </w:r>
    </w:p>
    <w:p w14:paraId="08AFFD58" w14:textId="5D814B15" w:rsidR="00A0323D" w:rsidRPr="00A0323D" w:rsidRDefault="00A0323D" w:rsidP="00A0323D">
      <w:pPr>
        <w:rPr>
          <w:bCs/>
          <w:sz w:val="22"/>
          <w:szCs w:val="22"/>
          <w:lang w:val="sr-Latn-CS"/>
        </w:rPr>
      </w:pPr>
      <w:r w:rsidRPr="00A0323D">
        <w:rPr>
          <w:bCs/>
          <w:sz w:val="22"/>
          <w:szCs w:val="22"/>
          <w:lang w:val="sr-Latn-CS"/>
        </w:rPr>
        <w:t>Rastvor za injekciju u ulošku (Penfill).</w:t>
      </w:r>
    </w:p>
    <w:p w14:paraId="6296CC4B" w14:textId="77777777" w:rsidR="00A0323D" w:rsidRPr="00A0323D" w:rsidRDefault="00A0323D" w:rsidP="00A0323D">
      <w:pPr>
        <w:rPr>
          <w:bCs/>
          <w:sz w:val="22"/>
          <w:szCs w:val="22"/>
          <w:lang w:val="sr-Latn-CS"/>
        </w:rPr>
      </w:pPr>
    </w:p>
    <w:p w14:paraId="4E284358" w14:textId="6756780C" w:rsidR="00A0323D" w:rsidRPr="00A0323D" w:rsidRDefault="00A0323D" w:rsidP="00A0323D">
      <w:pPr>
        <w:rPr>
          <w:bCs/>
          <w:sz w:val="22"/>
          <w:szCs w:val="22"/>
          <w:u w:val="single"/>
          <w:lang w:val="sr-Latn-CS"/>
        </w:rPr>
      </w:pPr>
      <w:r w:rsidRPr="00A0323D">
        <w:rPr>
          <w:bCs/>
          <w:sz w:val="22"/>
          <w:szCs w:val="22"/>
          <w:u w:val="single"/>
          <w:lang w:val="sr-Latn-CS"/>
        </w:rPr>
        <w:t>Fiasp, 100 jedinica/m</w:t>
      </w:r>
      <w:r w:rsidR="00F74A6F">
        <w:rPr>
          <w:bCs/>
          <w:sz w:val="22"/>
          <w:szCs w:val="22"/>
          <w:u w:val="single"/>
          <w:lang w:val="sr-Latn-CS"/>
        </w:rPr>
        <w:t>l</w:t>
      </w:r>
      <w:r w:rsidRPr="00A0323D">
        <w:rPr>
          <w:bCs/>
          <w:sz w:val="22"/>
          <w:szCs w:val="22"/>
          <w:u w:val="single"/>
          <w:lang w:val="sr-Latn-CS"/>
        </w:rPr>
        <w:t>, rastvor za injekciju u bočici</w:t>
      </w:r>
    </w:p>
    <w:p w14:paraId="79AC6899" w14:textId="77777777" w:rsidR="00A0323D" w:rsidRPr="00A0323D" w:rsidRDefault="00A0323D" w:rsidP="00A0323D">
      <w:pPr>
        <w:rPr>
          <w:bCs/>
          <w:sz w:val="22"/>
          <w:szCs w:val="22"/>
          <w:lang w:val="sr-Latn-CS"/>
        </w:rPr>
      </w:pPr>
      <w:r w:rsidRPr="00A0323D">
        <w:rPr>
          <w:bCs/>
          <w:sz w:val="22"/>
          <w:szCs w:val="22"/>
          <w:lang w:val="sr-Latn-CS"/>
        </w:rPr>
        <w:t>Rastvor za injekciju.</w:t>
      </w:r>
    </w:p>
    <w:p w14:paraId="6635A96B" w14:textId="77777777" w:rsidR="00A0323D" w:rsidRPr="00A0323D" w:rsidRDefault="00A0323D" w:rsidP="00A0323D">
      <w:pPr>
        <w:rPr>
          <w:bCs/>
          <w:sz w:val="22"/>
          <w:szCs w:val="22"/>
          <w:lang w:val="sr-Latn-CS"/>
        </w:rPr>
      </w:pPr>
    </w:p>
    <w:p w14:paraId="33B1672E" w14:textId="77777777" w:rsidR="00A0323D" w:rsidRPr="00786071" w:rsidRDefault="00A0323D" w:rsidP="00A0323D">
      <w:pPr>
        <w:rPr>
          <w:bCs/>
          <w:sz w:val="22"/>
          <w:szCs w:val="22"/>
          <w:lang w:val="sr-Latn-CS"/>
        </w:rPr>
      </w:pPr>
      <w:r w:rsidRPr="00A0323D">
        <w:rPr>
          <w:bCs/>
          <w:sz w:val="22"/>
          <w:szCs w:val="22"/>
          <w:lang w:val="sr-Latn-CS"/>
        </w:rPr>
        <w:t>Bistar, bezbojan, vodeni rastvor.</w:t>
      </w:r>
    </w:p>
    <w:p w14:paraId="37D02C79" w14:textId="77777777" w:rsidR="00EC2532" w:rsidRDefault="00EC2532">
      <w:pPr>
        <w:rPr>
          <w:bCs/>
          <w:sz w:val="22"/>
          <w:szCs w:val="22"/>
          <w:lang w:val="sr-Latn-CS"/>
        </w:rPr>
      </w:pPr>
    </w:p>
    <w:p w14:paraId="4846F2DA" w14:textId="77777777" w:rsidR="006513A1" w:rsidRPr="00786071" w:rsidRDefault="006513A1">
      <w:pPr>
        <w:rPr>
          <w:bCs/>
          <w:sz w:val="22"/>
          <w:szCs w:val="22"/>
          <w:lang w:val="sr-Latn-CS"/>
        </w:rPr>
      </w:pPr>
    </w:p>
    <w:p w14:paraId="64DF6751" w14:textId="77777777" w:rsidR="00411B4B" w:rsidRPr="00243EDC" w:rsidRDefault="00411B4B" w:rsidP="000F6B37">
      <w:pPr>
        <w:tabs>
          <w:tab w:val="left" w:pos="540"/>
          <w:tab w:val="left" w:pos="569"/>
        </w:tabs>
        <w:jc w:val="both"/>
        <w:rPr>
          <w:b/>
          <w:bCs/>
          <w:sz w:val="22"/>
          <w:szCs w:val="22"/>
          <w:lang w:val="sr-Latn-CS"/>
        </w:rPr>
      </w:pPr>
      <w:r w:rsidRPr="00243EDC">
        <w:rPr>
          <w:b/>
          <w:bCs/>
          <w:sz w:val="22"/>
          <w:szCs w:val="22"/>
          <w:lang w:val="sr-Latn-CS"/>
        </w:rPr>
        <w:t xml:space="preserve">4. </w:t>
      </w:r>
      <w:r w:rsidR="00480FB1" w:rsidRPr="00243EDC">
        <w:rPr>
          <w:b/>
          <w:bCs/>
          <w:sz w:val="22"/>
          <w:szCs w:val="22"/>
          <w:lang w:val="sr-Latn-CS"/>
        </w:rPr>
        <w:tab/>
      </w:r>
      <w:r w:rsidRPr="00786071">
        <w:rPr>
          <w:b/>
          <w:bCs/>
          <w:sz w:val="22"/>
          <w:szCs w:val="22"/>
        </w:rPr>
        <w:t>KLINI</w:t>
      </w:r>
      <w:r w:rsidRPr="00243EDC">
        <w:rPr>
          <w:b/>
          <w:bCs/>
          <w:sz w:val="22"/>
          <w:szCs w:val="22"/>
          <w:lang w:val="sr-Latn-CS"/>
        </w:rPr>
        <w:t>Č</w:t>
      </w:r>
      <w:r w:rsidRPr="00786071">
        <w:rPr>
          <w:b/>
          <w:bCs/>
          <w:sz w:val="22"/>
          <w:szCs w:val="22"/>
        </w:rPr>
        <w:t>KI</w:t>
      </w:r>
      <w:r w:rsidRPr="00243EDC">
        <w:rPr>
          <w:b/>
          <w:bCs/>
          <w:sz w:val="22"/>
          <w:szCs w:val="22"/>
          <w:lang w:val="sr-Latn-CS"/>
        </w:rPr>
        <w:t xml:space="preserve"> </w:t>
      </w:r>
      <w:r w:rsidRPr="00786071">
        <w:rPr>
          <w:b/>
          <w:bCs/>
          <w:sz w:val="22"/>
          <w:szCs w:val="22"/>
        </w:rPr>
        <w:t>PODACI</w:t>
      </w:r>
    </w:p>
    <w:p w14:paraId="698B6B42" w14:textId="77777777" w:rsidR="00CD6F02" w:rsidRPr="00243EDC" w:rsidRDefault="00CD6F02" w:rsidP="000F6B37">
      <w:pPr>
        <w:tabs>
          <w:tab w:val="left" w:pos="540"/>
          <w:tab w:val="left" w:pos="569"/>
        </w:tabs>
        <w:jc w:val="both"/>
        <w:rPr>
          <w:bCs/>
          <w:sz w:val="22"/>
          <w:szCs w:val="22"/>
          <w:lang w:val="sr-Latn-CS"/>
        </w:rPr>
      </w:pPr>
    </w:p>
    <w:p w14:paraId="249EC534" w14:textId="77777777" w:rsidR="00411B4B" w:rsidRPr="00243EDC" w:rsidRDefault="00411B4B" w:rsidP="000F6B37">
      <w:pPr>
        <w:tabs>
          <w:tab w:val="left" w:pos="540"/>
          <w:tab w:val="left" w:pos="569"/>
        </w:tabs>
        <w:jc w:val="both"/>
        <w:rPr>
          <w:b/>
          <w:bCs/>
          <w:sz w:val="22"/>
          <w:szCs w:val="22"/>
          <w:lang w:val="sr-Latn-CS"/>
        </w:rPr>
      </w:pPr>
      <w:r w:rsidRPr="00243EDC">
        <w:rPr>
          <w:b/>
          <w:bCs/>
          <w:sz w:val="22"/>
          <w:szCs w:val="22"/>
          <w:lang w:val="sr-Latn-CS"/>
        </w:rPr>
        <w:t xml:space="preserve">4.1. </w:t>
      </w:r>
      <w:r w:rsidR="00480FB1" w:rsidRPr="00243EDC">
        <w:rPr>
          <w:b/>
          <w:bCs/>
          <w:sz w:val="22"/>
          <w:szCs w:val="22"/>
          <w:lang w:val="sr-Latn-CS"/>
        </w:rPr>
        <w:tab/>
      </w:r>
      <w:proofErr w:type="spellStart"/>
      <w:r w:rsidRPr="00786071">
        <w:rPr>
          <w:b/>
          <w:bCs/>
          <w:sz w:val="22"/>
          <w:szCs w:val="22"/>
        </w:rPr>
        <w:t>Terapijske</w:t>
      </w:r>
      <w:proofErr w:type="spellEnd"/>
      <w:r w:rsidRPr="00243EDC">
        <w:rPr>
          <w:b/>
          <w:bCs/>
          <w:sz w:val="22"/>
          <w:szCs w:val="22"/>
          <w:lang w:val="sr-Latn-CS"/>
        </w:rPr>
        <w:t xml:space="preserve"> </w:t>
      </w:r>
      <w:proofErr w:type="spellStart"/>
      <w:r w:rsidRPr="00786071">
        <w:rPr>
          <w:b/>
          <w:bCs/>
          <w:sz w:val="22"/>
          <w:szCs w:val="22"/>
        </w:rPr>
        <w:t>indikacije</w:t>
      </w:r>
      <w:proofErr w:type="spellEnd"/>
    </w:p>
    <w:p w14:paraId="7A0029E3" w14:textId="77777777" w:rsidR="00411B4B" w:rsidRDefault="00411B4B" w:rsidP="000F6B37">
      <w:pPr>
        <w:tabs>
          <w:tab w:val="left" w:pos="540"/>
          <w:tab w:val="left" w:pos="569"/>
        </w:tabs>
        <w:jc w:val="both"/>
        <w:rPr>
          <w:bCs/>
          <w:sz w:val="22"/>
          <w:szCs w:val="22"/>
          <w:lang w:val="sr-Latn-CS"/>
        </w:rPr>
      </w:pPr>
    </w:p>
    <w:p w14:paraId="7353ED09" w14:textId="77777777" w:rsidR="00A0323D" w:rsidRDefault="00A0323D" w:rsidP="000F6B37">
      <w:pPr>
        <w:tabs>
          <w:tab w:val="left" w:pos="540"/>
          <w:tab w:val="left" w:pos="569"/>
        </w:tabs>
        <w:jc w:val="both"/>
        <w:rPr>
          <w:bCs/>
          <w:sz w:val="22"/>
          <w:szCs w:val="22"/>
          <w:lang w:val="sr-Latn-CS"/>
        </w:rPr>
      </w:pPr>
      <w:r w:rsidRPr="00A0323D">
        <w:rPr>
          <w:bCs/>
          <w:sz w:val="22"/>
          <w:szCs w:val="22"/>
          <w:lang w:val="sr-Latn-CS"/>
        </w:rPr>
        <w:t>Liječenje dijabetes melitusa kod odraslih osoba</w:t>
      </w:r>
      <w:r w:rsidR="00A452D0">
        <w:rPr>
          <w:bCs/>
          <w:sz w:val="22"/>
          <w:szCs w:val="22"/>
          <w:lang w:val="sr-Latn-CS"/>
        </w:rPr>
        <w:t xml:space="preserve">, </w:t>
      </w:r>
      <w:r w:rsidR="00A452D0" w:rsidRPr="00A452D0">
        <w:rPr>
          <w:bCs/>
          <w:sz w:val="22"/>
          <w:szCs w:val="22"/>
          <w:lang w:val="sr-Latn-CS"/>
        </w:rPr>
        <w:t xml:space="preserve">adolescenata i djece </w:t>
      </w:r>
      <w:r w:rsidR="00624548">
        <w:rPr>
          <w:bCs/>
          <w:sz w:val="22"/>
          <w:szCs w:val="22"/>
          <w:lang w:val="sr-Latn-CS"/>
        </w:rPr>
        <w:t>uzrasta od</w:t>
      </w:r>
      <w:r w:rsidR="00A452D0" w:rsidRPr="00A452D0">
        <w:rPr>
          <w:bCs/>
          <w:sz w:val="22"/>
          <w:szCs w:val="22"/>
          <w:lang w:val="sr-Latn-CS"/>
        </w:rPr>
        <w:t xml:space="preserve"> 1 godin</w:t>
      </w:r>
      <w:r w:rsidR="005265AE">
        <w:rPr>
          <w:bCs/>
          <w:sz w:val="22"/>
          <w:szCs w:val="22"/>
          <w:lang w:val="sr-Latn-CS"/>
        </w:rPr>
        <w:t>e</w:t>
      </w:r>
      <w:r w:rsidR="00624548">
        <w:rPr>
          <w:bCs/>
          <w:sz w:val="22"/>
          <w:szCs w:val="22"/>
          <w:lang w:val="sr-Latn-CS"/>
        </w:rPr>
        <w:t xml:space="preserve"> i starije</w:t>
      </w:r>
      <w:r w:rsidRPr="00A0323D">
        <w:rPr>
          <w:bCs/>
          <w:sz w:val="22"/>
          <w:szCs w:val="22"/>
          <w:lang w:val="sr-Latn-CS"/>
        </w:rPr>
        <w:t>.</w:t>
      </w:r>
    </w:p>
    <w:p w14:paraId="75B970F8" w14:textId="77777777" w:rsidR="005F7C00" w:rsidRDefault="005F7C00" w:rsidP="000F6B37">
      <w:pPr>
        <w:tabs>
          <w:tab w:val="left" w:pos="540"/>
          <w:tab w:val="left" w:pos="569"/>
        </w:tabs>
        <w:jc w:val="both"/>
        <w:rPr>
          <w:bCs/>
          <w:sz w:val="22"/>
          <w:szCs w:val="22"/>
          <w:lang w:val="sr-Latn-CS"/>
        </w:rPr>
      </w:pPr>
    </w:p>
    <w:p w14:paraId="662FE04A" w14:textId="77777777" w:rsidR="00411B4B" w:rsidRPr="00243EDC" w:rsidRDefault="00411B4B" w:rsidP="000F6B37">
      <w:pPr>
        <w:tabs>
          <w:tab w:val="left" w:pos="540"/>
          <w:tab w:val="left" w:pos="569"/>
        </w:tabs>
        <w:jc w:val="both"/>
        <w:rPr>
          <w:b/>
          <w:bCs/>
          <w:sz w:val="22"/>
          <w:szCs w:val="22"/>
          <w:lang w:val="sr-Latn-CS"/>
        </w:rPr>
      </w:pPr>
      <w:r w:rsidRPr="00243EDC">
        <w:rPr>
          <w:b/>
          <w:bCs/>
          <w:sz w:val="22"/>
          <w:szCs w:val="22"/>
          <w:lang w:val="sr-Latn-CS"/>
        </w:rPr>
        <w:t xml:space="preserve">4.2. </w:t>
      </w:r>
      <w:r w:rsidR="00480FB1" w:rsidRPr="00243EDC">
        <w:rPr>
          <w:b/>
          <w:bCs/>
          <w:sz w:val="22"/>
          <w:szCs w:val="22"/>
          <w:lang w:val="sr-Latn-CS"/>
        </w:rPr>
        <w:tab/>
      </w:r>
      <w:proofErr w:type="spellStart"/>
      <w:r w:rsidRPr="00786071">
        <w:rPr>
          <w:b/>
          <w:bCs/>
          <w:sz w:val="22"/>
          <w:szCs w:val="22"/>
        </w:rPr>
        <w:t>Doziranje</w:t>
      </w:r>
      <w:proofErr w:type="spellEnd"/>
      <w:r w:rsidRPr="00243EDC">
        <w:rPr>
          <w:b/>
          <w:bCs/>
          <w:sz w:val="22"/>
          <w:szCs w:val="22"/>
          <w:lang w:val="sr-Latn-CS"/>
        </w:rPr>
        <w:t xml:space="preserve"> </w:t>
      </w:r>
      <w:r w:rsidRPr="00786071">
        <w:rPr>
          <w:b/>
          <w:bCs/>
          <w:sz w:val="22"/>
          <w:szCs w:val="22"/>
        </w:rPr>
        <w:t>i</w:t>
      </w:r>
      <w:r w:rsidRPr="00243EDC">
        <w:rPr>
          <w:b/>
          <w:bCs/>
          <w:sz w:val="22"/>
          <w:szCs w:val="22"/>
          <w:lang w:val="sr-Latn-CS"/>
        </w:rPr>
        <w:t xml:space="preserve"> </w:t>
      </w:r>
      <w:proofErr w:type="spellStart"/>
      <w:r w:rsidRPr="00786071">
        <w:rPr>
          <w:b/>
          <w:bCs/>
          <w:sz w:val="22"/>
          <w:szCs w:val="22"/>
        </w:rPr>
        <w:t>na</w:t>
      </w:r>
      <w:proofErr w:type="spellEnd"/>
      <w:r w:rsidRPr="00243EDC">
        <w:rPr>
          <w:b/>
          <w:bCs/>
          <w:sz w:val="22"/>
          <w:szCs w:val="22"/>
          <w:lang w:val="sr-Latn-CS"/>
        </w:rPr>
        <w:t>č</w:t>
      </w:r>
      <w:r w:rsidRPr="00786071">
        <w:rPr>
          <w:b/>
          <w:bCs/>
          <w:sz w:val="22"/>
          <w:szCs w:val="22"/>
        </w:rPr>
        <w:t>in</w:t>
      </w:r>
      <w:r w:rsidRPr="00243EDC">
        <w:rPr>
          <w:b/>
          <w:bCs/>
          <w:sz w:val="22"/>
          <w:szCs w:val="22"/>
          <w:lang w:val="sr-Latn-CS"/>
        </w:rPr>
        <w:t xml:space="preserve"> </w:t>
      </w:r>
      <w:proofErr w:type="spellStart"/>
      <w:r w:rsidRPr="00786071">
        <w:rPr>
          <w:b/>
          <w:bCs/>
          <w:sz w:val="22"/>
          <w:szCs w:val="22"/>
        </w:rPr>
        <w:t>primjene</w:t>
      </w:r>
      <w:proofErr w:type="spellEnd"/>
    </w:p>
    <w:p w14:paraId="55BC5D02" w14:textId="77777777" w:rsidR="0072020E" w:rsidRPr="00243EDC" w:rsidRDefault="0072020E" w:rsidP="000F6B37">
      <w:pPr>
        <w:tabs>
          <w:tab w:val="left" w:pos="540"/>
          <w:tab w:val="left" w:pos="569"/>
        </w:tabs>
        <w:jc w:val="both"/>
        <w:rPr>
          <w:bCs/>
          <w:sz w:val="22"/>
          <w:szCs w:val="22"/>
          <w:lang w:val="sr-Latn-CS"/>
        </w:rPr>
      </w:pPr>
    </w:p>
    <w:p w14:paraId="364905AC" w14:textId="77777777" w:rsidR="00452E9D" w:rsidRPr="00243EDC" w:rsidRDefault="00452E9D" w:rsidP="000F6B37">
      <w:pPr>
        <w:tabs>
          <w:tab w:val="left" w:pos="540"/>
          <w:tab w:val="left" w:pos="569"/>
        </w:tabs>
        <w:jc w:val="both"/>
        <w:rPr>
          <w:bCs/>
          <w:sz w:val="22"/>
          <w:szCs w:val="22"/>
          <w:u w:val="single"/>
          <w:lang w:val="sr-Latn-CS"/>
        </w:rPr>
      </w:pPr>
      <w:proofErr w:type="spellStart"/>
      <w:r w:rsidRPr="00786071">
        <w:rPr>
          <w:bCs/>
          <w:sz w:val="22"/>
          <w:szCs w:val="22"/>
          <w:u w:val="single"/>
        </w:rPr>
        <w:t>Doziranje</w:t>
      </w:r>
      <w:proofErr w:type="spellEnd"/>
    </w:p>
    <w:p w14:paraId="2A6B5933" w14:textId="77777777" w:rsidR="00452E9D" w:rsidRDefault="00452E9D" w:rsidP="000F6B37">
      <w:pPr>
        <w:tabs>
          <w:tab w:val="left" w:pos="540"/>
          <w:tab w:val="left" w:pos="569"/>
        </w:tabs>
        <w:jc w:val="both"/>
        <w:rPr>
          <w:bCs/>
          <w:sz w:val="22"/>
          <w:szCs w:val="22"/>
          <w:lang w:val="sr-Latn-CS"/>
        </w:rPr>
      </w:pPr>
    </w:p>
    <w:p w14:paraId="7349B877" w14:textId="5B33CFBA" w:rsidR="00A0323D" w:rsidRPr="00A0323D" w:rsidRDefault="00A0323D" w:rsidP="00981470">
      <w:pPr>
        <w:tabs>
          <w:tab w:val="left" w:pos="540"/>
          <w:tab w:val="left" w:pos="569"/>
        </w:tabs>
        <w:jc w:val="both"/>
        <w:rPr>
          <w:bCs/>
          <w:sz w:val="22"/>
          <w:szCs w:val="22"/>
          <w:lang w:val="sr-Latn-CS"/>
        </w:rPr>
      </w:pPr>
      <w:r w:rsidRPr="00A0323D">
        <w:rPr>
          <w:bCs/>
          <w:sz w:val="22"/>
          <w:szCs w:val="22"/>
          <w:lang w:val="sr-Latn-CS"/>
        </w:rPr>
        <w:t xml:space="preserve">Lijek Fiasp je insulin koji se koristi uz obrok, namijenjen za supkutanu primjenu do 2 minuta prije početka obroka, uz mogućnost primjene do 20 minuta nakon početka obroka (vidjeti </w:t>
      </w:r>
      <w:r w:rsidR="00AD3C88">
        <w:rPr>
          <w:bCs/>
          <w:sz w:val="22"/>
          <w:szCs w:val="22"/>
          <w:lang w:val="sr-Latn-CS"/>
        </w:rPr>
        <w:t xml:space="preserve">dio </w:t>
      </w:r>
      <w:r w:rsidRPr="00A0323D">
        <w:rPr>
          <w:bCs/>
          <w:sz w:val="22"/>
          <w:szCs w:val="22"/>
          <w:lang w:val="sr-Latn-CS"/>
        </w:rPr>
        <w:t>5.1).</w:t>
      </w:r>
    </w:p>
    <w:p w14:paraId="6E369D3F" w14:textId="77777777" w:rsidR="00A0323D" w:rsidRPr="00A0323D" w:rsidRDefault="00A0323D" w:rsidP="00152247">
      <w:pPr>
        <w:tabs>
          <w:tab w:val="left" w:pos="540"/>
          <w:tab w:val="left" w:pos="569"/>
        </w:tabs>
        <w:jc w:val="both"/>
        <w:rPr>
          <w:bCs/>
          <w:sz w:val="22"/>
          <w:szCs w:val="22"/>
          <w:lang w:val="sr-Latn-CS"/>
        </w:rPr>
      </w:pPr>
    </w:p>
    <w:p w14:paraId="403B6901" w14:textId="77777777" w:rsidR="00A0323D" w:rsidRPr="00A0323D" w:rsidRDefault="00A0323D" w:rsidP="00442BD2">
      <w:pPr>
        <w:tabs>
          <w:tab w:val="left" w:pos="540"/>
          <w:tab w:val="left" w:pos="569"/>
        </w:tabs>
        <w:jc w:val="both"/>
        <w:rPr>
          <w:bCs/>
          <w:sz w:val="22"/>
          <w:szCs w:val="22"/>
          <w:lang w:val="sr-Latn-CS"/>
        </w:rPr>
      </w:pPr>
      <w:r w:rsidRPr="00A0323D">
        <w:rPr>
          <w:bCs/>
          <w:sz w:val="22"/>
          <w:szCs w:val="22"/>
          <w:lang w:val="sr-Latn-CS"/>
        </w:rPr>
        <w:lastRenderedPageBreak/>
        <w:t xml:space="preserve">Doziranje lijeka Fiasp je individualno i određuje se prema potrebama pacijenta. </w:t>
      </w:r>
      <w:r w:rsidR="009C46C8">
        <w:rPr>
          <w:bCs/>
          <w:sz w:val="22"/>
          <w:szCs w:val="22"/>
          <w:lang w:val="sr-Latn-CS"/>
        </w:rPr>
        <w:t xml:space="preserve">Lijek </w:t>
      </w:r>
      <w:r w:rsidRPr="00A0323D">
        <w:rPr>
          <w:bCs/>
          <w:sz w:val="22"/>
          <w:szCs w:val="22"/>
          <w:lang w:val="sr-Latn-CS"/>
        </w:rPr>
        <w:t>Fiasp prim</w:t>
      </w:r>
      <w:r w:rsidR="00981470">
        <w:rPr>
          <w:bCs/>
          <w:sz w:val="22"/>
          <w:szCs w:val="22"/>
          <w:lang w:val="sr-Latn-CS"/>
        </w:rPr>
        <w:t>i</w:t>
      </w:r>
      <w:r w:rsidRPr="00A0323D">
        <w:rPr>
          <w:bCs/>
          <w:sz w:val="22"/>
          <w:szCs w:val="22"/>
          <w:lang w:val="sr-Latn-CS"/>
        </w:rPr>
        <w:t>jenjen supkutanom injekcijom bi trebalo koristiti u kombinaciji sa insulinima srednje dugog ili dugog dejstva, prim</w:t>
      </w:r>
      <w:r w:rsidR="00981470">
        <w:rPr>
          <w:bCs/>
          <w:sz w:val="22"/>
          <w:szCs w:val="22"/>
          <w:lang w:val="sr-Latn-CS"/>
        </w:rPr>
        <w:t>i</w:t>
      </w:r>
      <w:r w:rsidRPr="00A0323D">
        <w:rPr>
          <w:bCs/>
          <w:sz w:val="22"/>
          <w:szCs w:val="22"/>
          <w:lang w:val="sr-Latn-CS"/>
        </w:rPr>
        <w:t>jenjenim najmanje jednom dnevno. U bazal-bolusnom insulinskom terapijskom režimu</w:t>
      </w:r>
      <w:r w:rsidR="00981470">
        <w:rPr>
          <w:bCs/>
          <w:sz w:val="22"/>
          <w:szCs w:val="22"/>
          <w:lang w:val="sr-Latn-CS"/>
        </w:rPr>
        <w:t>,</w:t>
      </w:r>
      <w:r w:rsidRPr="00A0323D">
        <w:rPr>
          <w:bCs/>
          <w:sz w:val="22"/>
          <w:szCs w:val="22"/>
          <w:lang w:val="sr-Latn-CS"/>
        </w:rPr>
        <w:t xml:space="preserve"> približno 50% ovih potreba se može obezb</w:t>
      </w:r>
      <w:r w:rsidR="00981470">
        <w:rPr>
          <w:bCs/>
          <w:sz w:val="22"/>
          <w:szCs w:val="22"/>
          <w:lang w:val="sr-Latn-CS"/>
        </w:rPr>
        <w:t>i</w:t>
      </w:r>
      <w:r w:rsidRPr="00A0323D">
        <w:rPr>
          <w:bCs/>
          <w:sz w:val="22"/>
          <w:szCs w:val="22"/>
          <w:lang w:val="sr-Latn-CS"/>
        </w:rPr>
        <w:t>jediti primjenom lijeka Fiasp, a ostatak primjenom insulina srednje dugog ili dugog dejstva.</w:t>
      </w:r>
    </w:p>
    <w:p w14:paraId="42383397" w14:textId="77777777" w:rsidR="00A0323D" w:rsidRPr="00A0323D" w:rsidRDefault="00A0323D" w:rsidP="005A154F">
      <w:pPr>
        <w:tabs>
          <w:tab w:val="left" w:pos="540"/>
          <w:tab w:val="left" w:pos="569"/>
        </w:tabs>
        <w:jc w:val="both"/>
        <w:rPr>
          <w:bCs/>
          <w:sz w:val="22"/>
          <w:szCs w:val="22"/>
          <w:lang w:val="sr-Latn-CS"/>
        </w:rPr>
      </w:pPr>
    </w:p>
    <w:p w14:paraId="011FF4BC" w14:textId="28678B1A" w:rsidR="00A0323D" w:rsidRPr="00A0323D" w:rsidRDefault="00A0323D" w:rsidP="006579F8">
      <w:pPr>
        <w:tabs>
          <w:tab w:val="left" w:pos="540"/>
          <w:tab w:val="left" w:pos="569"/>
        </w:tabs>
        <w:jc w:val="both"/>
        <w:rPr>
          <w:bCs/>
          <w:sz w:val="22"/>
          <w:szCs w:val="22"/>
          <w:lang w:val="sr-Latn-CS"/>
        </w:rPr>
      </w:pPr>
      <w:r w:rsidRPr="00A0323D">
        <w:rPr>
          <w:bCs/>
          <w:sz w:val="22"/>
          <w:szCs w:val="22"/>
          <w:lang w:val="sr-Latn-CS"/>
        </w:rPr>
        <w:t>Individualna ukupna dnevna potreba za insulinom kod odraslih</w:t>
      </w:r>
      <w:r w:rsidR="00A452D0">
        <w:rPr>
          <w:bCs/>
          <w:sz w:val="22"/>
          <w:szCs w:val="22"/>
          <w:lang w:val="sr-Latn-CS"/>
        </w:rPr>
        <w:t xml:space="preserve">, </w:t>
      </w:r>
      <w:r w:rsidR="00A452D0" w:rsidRPr="00A452D0">
        <w:rPr>
          <w:bCs/>
          <w:sz w:val="22"/>
          <w:szCs w:val="22"/>
          <w:lang w:val="sr-Latn-CS"/>
        </w:rPr>
        <w:t>adolescenata i djece</w:t>
      </w:r>
      <w:r w:rsidRPr="00A0323D">
        <w:rPr>
          <w:bCs/>
          <w:sz w:val="22"/>
          <w:szCs w:val="22"/>
          <w:lang w:val="sr-Latn-CS"/>
        </w:rPr>
        <w:t xml:space="preserve"> može varirati i obično se kreće u rasponu između 0,5 i 1 jedinica/kg/dan.</w:t>
      </w:r>
    </w:p>
    <w:p w14:paraId="41FC91B6"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Za postizanje optimalne regulacije glikemije preporučuje se praćenje nivoa glukoze u krvi i prilagođavanje doze insulina.</w:t>
      </w:r>
    </w:p>
    <w:p w14:paraId="116EBC8D" w14:textId="77777777" w:rsidR="00A0323D" w:rsidRPr="00A0323D" w:rsidRDefault="00A0323D">
      <w:pPr>
        <w:tabs>
          <w:tab w:val="left" w:pos="540"/>
          <w:tab w:val="left" w:pos="569"/>
        </w:tabs>
        <w:jc w:val="both"/>
        <w:rPr>
          <w:bCs/>
          <w:sz w:val="22"/>
          <w:szCs w:val="22"/>
          <w:lang w:val="sr-Latn-CS"/>
        </w:rPr>
      </w:pPr>
    </w:p>
    <w:p w14:paraId="60442C76"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Prilagođavanje doze može biti neophodno ako pacijent poveća fizičku aktivnost, prom</w:t>
      </w:r>
      <w:r w:rsidR="00981470">
        <w:rPr>
          <w:bCs/>
          <w:sz w:val="22"/>
          <w:szCs w:val="22"/>
          <w:lang w:val="sr-Latn-CS"/>
        </w:rPr>
        <w:t>i</w:t>
      </w:r>
      <w:r w:rsidRPr="00A0323D">
        <w:rPr>
          <w:bCs/>
          <w:sz w:val="22"/>
          <w:szCs w:val="22"/>
          <w:lang w:val="sr-Latn-CS"/>
        </w:rPr>
        <w:t>jeni uobičajeni režim ishrane ili u slučaju uporednog oboljenja. U ovim uslovima, potrebno je odgovarajuće praćenje nivoa glukoze u krvi.</w:t>
      </w:r>
    </w:p>
    <w:p w14:paraId="326A9065" w14:textId="77777777" w:rsidR="00A0323D" w:rsidRPr="00A0323D" w:rsidRDefault="00A0323D">
      <w:pPr>
        <w:tabs>
          <w:tab w:val="left" w:pos="540"/>
          <w:tab w:val="left" w:pos="569"/>
        </w:tabs>
        <w:jc w:val="both"/>
        <w:rPr>
          <w:bCs/>
          <w:sz w:val="22"/>
          <w:szCs w:val="22"/>
          <w:lang w:val="sr-Latn-CS"/>
        </w:rPr>
      </w:pPr>
    </w:p>
    <w:p w14:paraId="3D325140"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Dužina trajanja dejstva će varirati u zavisnosti od prim</w:t>
      </w:r>
      <w:r w:rsidR="00981470">
        <w:rPr>
          <w:bCs/>
          <w:sz w:val="22"/>
          <w:szCs w:val="22"/>
          <w:lang w:val="sr-Latn-CS"/>
        </w:rPr>
        <w:t>i</w:t>
      </w:r>
      <w:r w:rsidRPr="00A0323D">
        <w:rPr>
          <w:bCs/>
          <w:sz w:val="22"/>
          <w:szCs w:val="22"/>
          <w:lang w:val="sr-Latn-CS"/>
        </w:rPr>
        <w:t>jenjene doze, mjesta ubrizgavanja, prokrvljenosti predjela tijela gd</w:t>
      </w:r>
      <w:r w:rsidR="00981470">
        <w:rPr>
          <w:bCs/>
          <w:sz w:val="22"/>
          <w:szCs w:val="22"/>
          <w:lang w:val="sr-Latn-CS"/>
        </w:rPr>
        <w:t>j</w:t>
      </w:r>
      <w:r w:rsidRPr="00A0323D">
        <w:rPr>
          <w:bCs/>
          <w:sz w:val="22"/>
          <w:szCs w:val="22"/>
          <w:lang w:val="sr-Latn-CS"/>
        </w:rPr>
        <w:t>e je ubrizgan, tjelesne temperature i stepena fizičke aktivnosti.</w:t>
      </w:r>
    </w:p>
    <w:p w14:paraId="4E63E6EE" w14:textId="77777777" w:rsidR="00A0323D" w:rsidRPr="00A0323D" w:rsidRDefault="00A0323D">
      <w:pPr>
        <w:tabs>
          <w:tab w:val="left" w:pos="540"/>
          <w:tab w:val="left" w:pos="569"/>
        </w:tabs>
        <w:jc w:val="both"/>
        <w:rPr>
          <w:bCs/>
          <w:sz w:val="22"/>
          <w:szCs w:val="22"/>
          <w:lang w:val="sr-Latn-CS"/>
        </w:rPr>
      </w:pPr>
    </w:p>
    <w:p w14:paraId="699F1AC4"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Pacijentima u bazal-bolusnom terapijskom režimu koji zaborave da prim</w:t>
      </w:r>
      <w:r w:rsidR="00981470">
        <w:rPr>
          <w:bCs/>
          <w:sz w:val="22"/>
          <w:szCs w:val="22"/>
          <w:lang w:val="sr-Latn-CS"/>
        </w:rPr>
        <w:t>i</w:t>
      </w:r>
      <w:r w:rsidRPr="00A0323D">
        <w:rPr>
          <w:bCs/>
          <w:sz w:val="22"/>
          <w:szCs w:val="22"/>
          <w:lang w:val="sr-Latn-CS"/>
        </w:rPr>
        <w:t>jene dozu uz obrok</w:t>
      </w:r>
      <w:r w:rsidR="00981470">
        <w:rPr>
          <w:bCs/>
          <w:sz w:val="22"/>
          <w:szCs w:val="22"/>
          <w:lang w:val="sr-Latn-CS"/>
        </w:rPr>
        <w:t>,</w:t>
      </w:r>
      <w:r w:rsidRPr="00A0323D">
        <w:rPr>
          <w:bCs/>
          <w:sz w:val="22"/>
          <w:szCs w:val="22"/>
          <w:lang w:val="sr-Latn-CS"/>
        </w:rPr>
        <w:t xml:space="preserve"> preporučuje se praćenje nivoa glukoze u krvi da bi donijeli odluku da li je potrebno prim</w:t>
      </w:r>
      <w:r w:rsidR="00981470">
        <w:rPr>
          <w:bCs/>
          <w:sz w:val="22"/>
          <w:szCs w:val="22"/>
          <w:lang w:val="sr-Latn-CS"/>
        </w:rPr>
        <w:t>i</w:t>
      </w:r>
      <w:r w:rsidRPr="00A0323D">
        <w:rPr>
          <w:bCs/>
          <w:sz w:val="22"/>
          <w:szCs w:val="22"/>
          <w:lang w:val="sr-Latn-CS"/>
        </w:rPr>
        <w:t>jeniti dozu insulina. Pacijenti treba da nastave sa uobičajenim režimom doziranja uz sl</w:t>
      </w:r>
      <w:r w:rsidR="00981470">
        <w:rPr>
          <w:bCs/>
          <w:sz w:val="22"/>
          <w:szCs w:val="22"/>
          <w:lang w:val="sr-Latn-CS"/>
        </w:rPr>
        <w:t>j</w:t>
      </w:r>
      <w:r w:rsidRPr="00A0323D">
        <w:rPr>
          <w:bCs/>
          <w:sz w:val="22"/>
          <w:szCs w:val="22"/>
          <w:lang w:val="sr-Latn-CS"/>
        </w:rPr>
        <w:t>edeći obrok.</w:t>
      </w:r>
    </w:p>
    <w:p w14:paraId="17D2B709" w14:textId="77777777" w:rsidR="00A0323D" w:rsidRPr="00A0323D" w:rsidRDefault="00A0323D">
      <w:pPr>
        <w:tabs>
          <w:tab w:val="left" w:pos="540"/>
          <w:tab w:val="left" w:pos="569"/>
        </w:tabs>
        <w:jc w:val="both"/>
        <w:rPr>
          <w:bCs/>
          <w:sz w:val="22"/>
          <w:szCs w:val="22"/>
          <w:lang w:val="sr-Latn-CS"/>
        </w:rPr>
      </w:pPr>
    </w:p>
    <w:p w14:paraId="09C481FB" w14:textId="77777777" w:rsidR="00A0323D" w:rsidRDefault="00A0323D">
      <w:pPr>
        <w:tabs>
          <w:tab w:val="left" w:pos="540"/>
          <w:tab w:val="left" w:pos="569"/>
        </w:tabs>
        <w:jc w:val="both"/>
        <w:rPr>
          <w:bCs/>
          <w:sz w:val="22"/>
          <w:szCs w:val="22"/>
          <w:lang w:val="sr-Latn-CS"/>
        </w:rPr>
      </w:pPr>
      <w:r w:rsidRPr="00A0323D">
        <w:rPr>
          <w:bCs/>
          <w:sz w:val="22"/>
          <w:szCs w:val="22"/>
          <w:lang w:val="sr-Latn-CS"/>
        </w:rPr>
        <w:t xml:space="preserve">Kod insulinskih analoga, uključujući i </w:t>
      </w:r>
      <w:r w:rsidR="00981470">
        <w:rPr>
          <w:bCs/>
          <w:sz w:val="22"/>
          <w:szCs w:val="22"/>
          <w:lang w:val="sr-Latn-CS"/>
        </w:rPr>
        <w:t xml:space="preserve">lijek </w:t>
      </w:r>
      <w:r w:rsidRPr="00A0323D">
        <w:rPr>
          <w:bCs/>
          <w:sz w:val="22"/>
          <w:szCs w:val="22"/>
          <w:lang w:val="sr-Latn-CS"/>
        </w:rPr>
        <w:t>Fiasp, jačina je izražena u jedinicama. Jedna (1) jedinica lijeka Fiasp odgovara 1 internacionalnoj jedinici humanog insulina ili 1 jedinici drugih brzodjelujućih insulinskih analoga.</w:t>
      </w:r>
    </w:p>
    <w:p w14:paraId="52BB2604" w14:textId="77777777" w:rsidR="00A452D0" w:rsidRDefault="00A452D0">
      <w:pPr>
        <w:tabs>
          <w:tab w:val="left" w:pos="540"/>
          <w:tab w:val="left" w:pos="569"/>
        </w:tabs>
        <w:jc w:val="both"/>
        <w:rPr>
          <w:bCs/>
          <w:sz w:val="22"/>
          <w:szCs w:val="22"/>
          <w:lang w:val="sr-Latn-CS"/>
        </w:rPr>
      </w:pPr>
    </w:p>
    <w:p w14:paraId="70AE4B41" w14:textId="503D510F" w:rsidR="00A452D0" w:rsidRDefault="001423A3">
      <w:pPr>
        <w:tabs>
          <w:tab w:val="left" w:pos="540"/>
          <w:tab w:val="left" w:pos="569"/>
        </w:tabs>
        <w:jc w:val="both"/>
        <w:rPr>
          <w:bCs/>
          <w:sz w:val="22"/>
          <w:szCs w:val="22"/>
          <w:lang w:val="sr-Latn-CS"/>
        </w:rPr>
      </w:pPr>
      <w:r>
        <w:rPr>
          <w:bCs/>
          <w:sz w:val="22"/>
          <w:szCs w:val="22"/>
          <w:lang w:val="sr-Latn-CS"/>
        </w:rPr>
        <w:t>B</w:t>
      </w:r>
      <w:r w:rsidRPr="00A452D0">
        <w:rPr>
          <w:bCs/>
          <w:sz w:val="22"/>
          <w:szCs w:val="22"/>
          <w:lang w:val="sr-Latn-CS"/>
        </w:rPr>
        <w:t>rz nastup djelovanja lijeka Fiasp  se mora uzeti u obzir</w:t>
      </w:r>
      <w:r>
        <w:rPr>
          <w:bCs/>
          <w:sz w:val="22"/>
          <w:szCs w:val="22"/>
          <w:lang w:val="sr-Latn-CS"/>
        </w:rPr>
        <w:t xml:space="preserve"> p</w:t>
      </w:r>
      <w:r w:rsidR="00624548">
        <w:rPr>
          <w:bCs/>
          <w:sz w:val="22"/>
          <w:szCs w:val="22"/>
          <w:lang w:val="sr-Latn-CS"/>
        </w:rPr>
        <w:t>rilikom</w:t>
      </w:r>
      <w:r w:rsidR="00A452D0" w:rsidRPr="00A452D0">
        <w:rPr>
          <w:bCs/>
          <w:sz w:val="22"/>
          <w:szCs w:val="22"/>
          <w:lang w:val="sr-Latn-CS"/>
        </w:rPr>
        <w:t xml:space="preserve"> </w:t>
      </w:r>
      <w:r w:rsidRPr="00A452D0">
        <w:rPr>
          <w:bCs/>
          <w:sz w:val="22"/>
          <w:szCs w:val="22"/>
          <w:lang w:val="sr-Latn-CS"/>
        </w:rPr>
        <w:t>njegov</w:t>
      </w:r>
      <w:r>
        <w:rPr>
          <w:bCs/>
          <w:sz w:val="22"/>
          <w:szCs w:val="22"/>
          <w:lang w:val="sr-Latn-CS"/>
        </w:rPr>
        <w:t>og</w:t>
      </w:r>
      <w:r w:rsidRPr="00A452D0">
        <w:rPr>
          <w:bCs/>
          <w:sz w:val="22"/>
          <w:szCs w:val="22"/>
          <w:lang w:val="sr-Latn-CS"/>
        </w:rPr>
        <w:t xml:space="preserve"> </w:t>
      </w:r>
      <w:r w:rsidR="00A452D0" w:rsidRPr="00A452D0">
        <w:rPr>
          <w:bCs/>
          <w:sz w:val="22"/>
          <w:szCs w:val="22"/>
          <w:lang w:val="sr-Latn-CS"/>
        </w:rPr>
        <w:t xml:space="preserve">propisivanja (vidjeti </w:t>
      </w:r>
      <w:r w:rsidR="00AD3C88">
        <w:rPr>
          <w:bCs/>
          <w:sz w:val="22"/>
          <w:szCs w:val="22"/>
          <w:lang w:val="sr-Latn-CS"/>
        </w:rPr>
        <w:t>dio</w:t>
      </w:r>
      <w:r w:rsidR="00AD3C88" w:rsidRPr="00A452D0">
        <w:rPr>
          <w:bCs/>
          <w:sz w:val="22"/>
          <w:szCs w:val="22"/>
          <w:lang w:val="sr-Latn-CS"/>
        </w:rPr>
        <w:t xml:space="preserve"> </w:t>
      </w:r>
      <w:r w:rsidR="00A452D0" w:rsidRPr="00A452D0">
        <w:rPr>
          <w:bCs/>
          <w:sz w:val="22"/>
          <w:szCs w:val="22"/>
          <w:lang w:val="sr-Latn-CS"/>
        </w:rPr>
        <w:t>5.1).</w:t>
      </w:r>
    </w:p>
    <w:p w14:paraId="6989FAB7" w14:textId="77777777" w:rsidR="00A0323D" w:rsidRDefault="00A0323D" w:rsidP="000F6B37">
      <w:pPr>
        <w:tabs>
          <w:tab w:val="left" w:pos="540"/>
          <w:tab w:val="left" w:pos="569"/>
        </w:tabs>
        <w:jc w:val="both"/>
        <w:rPr>
          <w:bCs/>
          <w:sz w:val="22"/>
          <w:szCs w:val="22"/>
          <w:lang w:val="sr-Latn-CS"/>
        </w:rPr>
      </w:pPr>
    </w:p>
    <w:p w14:paraId="6D64334B" w14:textId="77777777" w:rsidR="00A0323D" w:rsidRPr="00A0323D" w:rsidRDefault="00A0323D" w:rsidP="000F6B37">
      <w:pPr>
        <w:tabs>
          <w:tab w:val="left" w:pos="540"/>
          <w:tab w:val="left" w:pos="569"/>
        </w:tabs>
        <w:jc w:val="both"/>
        <w:rPr>
          <w:bCs/>
          <w:i/>
          <w:iCs/>
          <w:sz w:val="22"/>
          <w:szCs w:val="22"/>
          <w:lang w:val="sr-Latn-CS"/>
        </w:rPr>
      </w:pPr>
      <w:r w:rsidRPr="00A0323D">
        <w:rPr>
          <w:bCs/>
          <w:i/>
          <w:iCs/>
          <w:sz w:val="22"/>
          <w:szCs w:val="22"/>
          <w:lang w:val="sr-Latn-CS"/>
        </w:rPr>
        <w:t>Početak primjene</w:t>
      </w:r>
    </w:p>
    <w:p w14:paraId="3810A4E8" w14:textId="77777777" w:rsidR="00A0323D" w:rsidRPr="00A0323D" w:rsidRDefault="00A0323D" w:rsidP="000F6B37">
      <w:pPr>
        <w:tabs>
          <w:tab w:val="left" w:pos="540"/>
          <w:tab w:val="left" w:pos="569"/>
        </w:tabs>
        <w:jc w:val="both"/>
        <w:rPr>
          <w:bCs/>
          <w:i/>
          <w:iCs/>
          <w:sz w:val="22"/>
          <w:szCs w:val="22"/>
          <w:u w:val="single"/>
          <w:lang w:val="sr-Latn-CS"/>
        </w:rPr>
      </w:pPr>
      <w:r w:rsidRPr="00A0323D">
        <w:rPr>
          <w:bCs/>
          <w:i/>
          <w:iCs/>
          <w:sz w:val="22"/>
          <w:szCs w:val="22"/>
          <w:u w:val="single"/>
          <w:lang w:val="sr-Latn-CS"/>
        </w:rPr>
        <w:t>Pacijenti sa dijabetes melitusom tip</w:t>
      </w:r>
      <w:r w:rsidR="009C46C8">
        <w:rPr>
          <w:bCs/>
          <w:i/>
          <w:iCs/>
          <w:sz w:val="22"/>
          <w:szCs w:val="22"/>
          <w:u w:val="single"/>
          <w:lang w:val="sr-Latn-CS"/>
        </w:rPr>
        <w:t>a</w:t>
      </w:r>
      <w:r w:rsidRPr="00A0323D">
        <w:rPr>
          <w:bCs/>
          <w:i/>
          <w:iCs/>
          <w:sz w:val="22"/>
          <w:szCs w:val="22"/>
          <w:u w:val="single"/>
          <w:lang w:val="sr-Latn-CS"/>
        </w:rPr>
        <w:t xml:space="preserve"> 1</w:t>
      </w:r>
    </w:p>
    <w:p w14:paraId="7193180B" w14:textId="77777777" w:rsidR="00A0323D" w:rsidRPr="00A0323D" w:rsidRDefault="00A0323D" w:rsidP="000F6B37">
      <w:pPr>
        <w:tabs>
          <w:tab w:val="left" w:pos="540"/>
          <w:tab w:val="left" w:pos="569"/>
        </w:tabs>
        <w:jc w:val="both"/>
        <w:rPr>
          <w:bCs/>
          <w:sz w:val="22"/>
          <w:szCs w:val="22"/>
          <w:lang w:val="sr-Latn-CS"/>
        </w:rPr>
      </w:pPr>
      <w:r w:rsidRPr="00A0323D">
        <w:rPr>
          <w:bCs/>
          <w:sz w:val="22"/>
          <w:szCs w:val="22"/>
          <w:lang w:val="sr-Latn-CS"/>
        </w:rPr>
        <w:t>Preporučena početna doza kod pacijenata sa dijabetesom tip</w:t>
      </w:r>
      <w:r w:rsidR="009C46C8">
        <w:rPr>
          <w:bCs/>
          <w:sz w:val="22"/>
          <w:szCs w:val="22"/>
          <w:lang w:val="sr-Latn-CS"/>
        </w:rPr>
        <w:t>a</w:t>
      </w:r>
      <w:r w:rsidRPr="00A0323D">
        <w:rPr>
          <w:bCs/>
          <w:sz w:val="22"/>
          <w:szCs w:val="22"/>
          <w:lang w:val="sr-Latn-CS"/>
        </w:rPr>
        <w:t xml:space="preserve"> 1 koji prethodno nijesu liječeni insulinom iznosi približno 50% ukupne dnevne doze insulina i treba da bude pod</w:t>
      </w:r>
      <w:r w:rsidR="009F4A89">
        <w:rPr>
          <w:bCs/>
          <w:sz w:val="22"/>
          <w:szCs w:val="22"/>
          <w:lang w:val="sr-Latn-CS"/>
        </w:rPr>
        <w:t>i</w:t>
      </w:r>
      <w:r w:rsidRPr="00A0323D">
        <w:rPr>
          <w:bCs/>
          <w:sz w:val="22"/>
          <w:szCs w:val="22"/>
          <w:lang w:val="sr-Latn-CS"/>
        </w:rPr>
        <w:t xml:space="preserve">jeljena između obroka zavisno od njihove veličine i sadržaja. Preostali </w:t>
      </w:r>
      <w:r w:rsidR="009F4A89" w:rsidRPr="00A0323D">
        <w:rPr>
          <w:bCs/>
          <w:sz w:val="22"/>
          <w:szCs w:val="22"/>
          <w:lang w:val="sr-Latn-CS"/>
        </w:rPr>
        <w:t>d</w:t>
      </w:r>
      <w:r w:rsidR="009F4A89">
        <w:rPr>
          <w:bCs/>
          <w:sz w:val="22"/>
          <w:szCs w:val="22"/>
          <w:lang w:val="sr-Latn-CS"/>
        </w:rPr>
        <w:t>i</w:t>
      </w:r>
      <w:r w:rsidR="009F4A89" w:rsidRPr="00A0323D">
        <w:rPr>
          <w:bCs/>
          <w:sz w:val="22"/>
          <w:szCs w:val="22"/>
          <w:lang w:val="sr-Latn-CS"/>
        </w:rPr>
        <w:t xml:space="preserve">o </w:t>
      </w:r>
      <w:r w:rsidRPr="00A0323D">
        <w:rPr>
          <w:bCs/>
          <w:sz w:val="22"/>
          <w:szCs w:val="22"/>
          <w:lang w:val="sr-Latn-CS"/>
        </w:rPr>
        <w:t>ukupne dnevne doze insulina treba prim</w:t>
      </w:r>
      <w:r w:rsidR="009F4A89">
        <w:rPr>
          <w:bCs/>
          <w:sz w:val="22"/>
          <w:szCs w:val="22"/>
          <w:lang w:val="sr-Latn-CS"/>
        </w:rPr>
        <w:t>i</w:t>
      </w:r>
      <w:r w:rsidRPr="00A0323D">
        <w:rPr>
          <w:bCs/>
          <w:sz w:val="22"/>
          <w:szCs w:val="22"/>
          <w:lang w:val="sr-Latn-CS"/>
        </w:rPr>
        <w:t>jeniti kao insulin srednje dugog ili dugog dejstva. Prilikom izračunavanja početne ukupne dnevne doze insulina kod pacijenata sa dijabetesom tip</w:t>
      </w:r>
      <w:r w:rsidR="009C46C8">
        <w:rPr>
          <w:bCs/>
          <w:sz w:val="22"/>
          <w:szCs w:val="22"/>
          <w:lang w:val="sr-Latn-CS"/>
        </w:rPr>
        <w:t>a</w:t>
      </w:r>
      <w:r w:rsidRPr="00A0323D">
        <w:rPr>
          <w:bCs/>
          <w:sz w:val="22"/>
          <w:szCs w:val="22"/>
          <w:lang w:val="sr-Latn-CS"/>
        </w:rPr>
        <w:t xml:space="preserve"> 1 koji prethodno nijesu liječeni insulinom, kao opšte pravilo može se koristiti 0,2 do 0,4 jedinice insulina po kilogramu tjelesne mase.</w:t>
      </w:r>
    </w:p>
    <w:p w14:paraId="330E4DF1" w14:textId="77777777" w:rsidR="00A0323D" w:rsidRPr="00A0323D" w:rsidRDefault="00A0323D" w:rsidP="000F6B37">
      <w:pPr>
        <w:tabs>
          <w:tab w:val="left" w:pos="540"/>
          <w:tab w:val="left" w:pos="569"/>
        </w:tabs>
        <w:jc w:val="both"/>
        <w:rPr>
          <w:bCs/>
          <w:sz w:val="22"/>
          <w:szCs w:val="22"/>
          <w:lang w:val="sr-Latn-CS"/>
        </w:rPr>
      </w:pPr>
    </w:p>
    <w:p w14:paraId="46D0D86A" w14:textId="77777777" w:rsidR="00A0323D" w:rsidRPr="00A0323D" w:rsidRDefault="00A0323D" w:rsidP="000F6B37">
      <w:pPr>
        <w:tabs>
          <w:tab w:val="left" w:pos="540"/>
          <w:tab w:val="left" w:pos="569"/>
        </w:tabs>
        <w:jc w:val="both"/>
        <w:rPr>
          <w:bCs/>
          <w:i/>
          <w:iCs/>
          <w:sz w:val="22"/>
          <w:szCs w:val="22"/>
          <w:u w:val="single"/>
          <w:lang w:val="sr-Latn-CS"/>
        </w:rPr>
      </w:pPr>
      <w:r w:rsidRPr="00A0323D">
        <w:rPr>
          <w:bCs/>
          <w:i/>
          <w:iCs/>
          <w:sz w:val="22"/>
          <w:szCs w:val="22"/>
          <w:u w:val="single"/>
          <w:lang w:val="sr-Latn-CS"/>
        </w:rPr>
        <w:t>Pacijenti sa dijabetes melitusom tip</w:t>
      </w:r>
      <w:r w:rsidR="009C46C8">
        <w:rPr>
          <w:bCs/>
          <w:i/>
          <w:iCs/>
          <w:sz w:val="22"/>
          <w:szCs w:val="22"/>
          <w:u w:val="single"/>
          <w:lang w:val="sr-Latn-CS"/>
        </w:rPr>
        <w:t>a</w:t>
      </w:r>
      <w:r w:rsidRPr="00A0323D">
        <w:rPr>
          <w:bCs/>
          <w:i/>
          <w:iCs/>
          <w:sz w:val="22"/>
          <w:szCs w:val="22"/>
          <w:u w:val="single"/>
          <w:lang w:val="sr-Latn-CS"/>
        </w:rPr>
        <w:t xml:space="preserve"> 2</w:t>
      </w:r>
    </w:p>
    <w:p w14:paraId="550B2762" w14:textId="77777777" w:rsidR="00A0323D" w:rsidRPr="00A0323D" w:rsidRDefault="00A0323D" w:rsidP="000F6B37">
      <w:pPr>
        <w:tabs>
          <w:tab w:val="left" w:pos="540"/>
          <w:tab w:val="left" w:pos="569"/>
        </w:tabs>
        <w:jc w:val="both"/>
        <w:rPr>
          <w:bCs/>
          <w:sz w:val="22"/>
          <w:szCs w:val="22"/>
          <w:lang w:val="sr-Latn-CS"/>
        </w:rPr>
      </w:pPr>
      <w:r w:rsidRPr="00A0323D">
        <w:rPr>
          <w:bCs/>
          <w:sz w:val="22"/>
          <w:szCs w:val="22"/>
          <w:lang w:val="sr-Latn-CS"/>
        </w:rPr>
        <w:t>Preporučena početna doza je 4 jedinice uz jedan ili više obroka. Broj injekcija i naknadna titracija će zavisiti od individualnog glikemijskog cilja, kao i veličine i sadržaja obroka.</w:t>
      </w:r>
    </w:p>
    <w:p w14:paraId="27F2C261" w14:textId="77777777" w:rsidR="00A0323D" w:rsidRPr="00A0323D" w:rsidRDefault="00A0323D" w:rsidP="000F6B37">
      <w:pPr>
        <w:tabs>
          <w:tab w:val="left" w:pos="540"/>
          <w:tab w:val="left" w:pos="569"/>
        </w:tabs>
        <w:jc w:val="both"/>
        <w:rPr>
          <w:bCs/>
          <w:sz w:val="22"/>
          <w:szCs w:val="22"/>
          <w:lang w:val="sr-Latn-CS"/>
        </w:rPr>
      </w:pPr>
    </w:p>
    <w:p w14:paraId="2717CCAB" w14:textId="77777777" w:rsidR="00A0323D" w:rsidRPr="00A0323D" w:rsidRDefault="00A0323D" w:rsidP="000F6B37">
      <w:pPr>
        <w:tabs>
          <w:tab w:val="left" w:pos="540"/>
          <w:tab w:val="left" w:pos="569"/>
        </w:tabs>
        <w:jc w:val="both"/>
        <w:rPr>
          <w:bCs/>
          <w:sz w:val="22"/>
          <w:szCs w:val="22"/>
          <w:lang w:val="sr-Latn-CS"/>
        </w:rPr>
      </w:pPr>
      <w:r w:rsidRPr="00A0323D">
        <w:rPr>
          <w:bCs/>
          <w:sz w:val="22"/>
          <w:szCs w:val="22"/>
          <w:lang w:val="sr-Latn-CS"/>
        </w:rPr>
        <w:t xml:space="preserve">Može se razmatrati dnevno prilagođavanje doze na osnovu vrijednosti glukoze u plazmi koju je pacijent samostalno izmjerio (engl. </w:t>
      </w:r>
      <w:r w:rsidRPr="000F6B37">
        <w:rPr>
          <w:bCs/>
          <w:i/>
          <w:sz w:val="22"/>
          <w:szCs w:val="22"/>
          <w:lang w:val="sr-Latn-CS"/>
        </w:rPr>
        <w:t>self-measured plasma glucose</w:t>
      </w:r>
      <w:r w:rsidRPr="00A0323D">
        <w:rPr>
          <w:bCs/>
          <w:sz w:val="22"/>
          <w:szCs w:val="22"/>
          <w:lang w:val="sr-Latn-CS"/>
        </w:rPr>
        <w:t>, SMPG) prethodnog dana u skladu sa Tabelom 1.</w:t>
      </w:r>
    </w:p>
    <w:p w14:paraId="57139642" w14:textId="77777777" w:rsidR="00A0323D" w:rsidRDefault="00A0323D" w:rsidP="000F6B37">
      <w:pPr>
        <w:pStyle w:val="ListParagraph"/>
        <w:numPr>
          <w:ilvl w:val="0"/>
          <w:numId w:val="12"/>
        </w:numPr>
        <w:tabs>
          <w:tab w:val="left" w:pos="567"/>
        </w:tabs>
        <w:ind w:left="567" w:hanging="207"/>
        <w:jc w:val="both"/>
        <w:rPr>
          <w:bCs/>
          <w:sz w:val="22"/>
          <w:szCs w:val="22"/>
          <w:lang w:val="sr-Latn-CS"/>
        </w:rPr>
      </w:pPr>
      <w:r w:rsidRPr="00A0323D">
        <w:rPr>
          <w:bCs/>
          <w:sz w:val="22"/>
          <w:szCs w:val="22"/>
          <w:lang w:val="sr-Latn-CS"/>
        </w:rPr>
        <w:t>Dozu prije doručka treba prilagoditi u skladu sa samostalno izmjerenom glukozom u plazmi (SMPG) prije ručka prethodnog dana</w:t>
      </w:r>
      <w:r w:rsidR="009F4A89">
        <w:rPr>
          <w:bCs/>
          <w:sz w:val="22"/>
          <w:szCs w:val="22"/>
          <w:lang w:val="sr-Latn-CS"/>
        </w:rPr>
        <w:t>.</w:t>
      </w:r>
    </w:p>
    <w:p w14:paraId="25784F86" w14:textId="77777777" w:rsidR="00A0323D" w:rsidRDefault="00A0323D" w:rsidP="000F6B37">
      <w:pPr>
        <w:pStyle w:val="ListParagraph"/>
        <w:numPr>
          <w:ilvl w:val="0"/>
          <w:numId w:val="12"/>
        </w:numPr>
        <w:tabs>
          <w:tab w:val="left" w:pos="567"/>
        </w:tabs>
        <w:ind w:left="567" w:hanging="207"/>
        <w:jc w:val="both"/>
        <w:rPr>
          <w:bCs/>
          <w:sz w:val="22"/>
          <w:szCs w:val="22"/>
          <w:lang w:val="sr-Latn-CS"/>
        </w:rPr>
      </w:pPr>
      <w:r w:rsidRPr="00A0323D">
        <w:rPr>
          <w:bCs/>
          <w:sz w:val="22"/>
          <w:szCs w:val="22"/>
          <w:lang w:val="sr-Latn-CS"/>
        </w:rPr>
        <w:t>Dozu prije ručka treba prilagoditi u skladu sa samostalno izmjerenom glukozom u plazmi (SMPG) prije večere prethodnog dana</w:t>
      </w:r>
      <w:r w:rsidR="009F4A89">
        <w:rPr>
          <w:bCs/>
          <w:sz w:val="22"/>
          <w:szCs w:val="22"/>
          <w:lang w:val="sr-Latn-CS"/>
        </w:rPr>
        <w:t>.</w:t>
      </w:r>
    </w:p>
    <w:p w14:paraId="138F9097" w14:textId="77777777" w:rsidR="00A0323D" w:rsidRPr="00A0323D" w:rsidRDefault="00A0323D" w:rsidP="000F6B37">
      <w:pPr>
        <w:pStyle w:val="ListParagraph"/>
        <w:numPr>
          <w:ilvl w:val="0"/>
          <w:numId w:val="12"/>
        </w:numPr>
        <w:tabs>
          <w:tab w:val="left" w:pos="567"/>
        </w:tabs>
        <w:ind w:left="567" w:hanging="207"/>
        <w:jc w:val="both"/>
        <w:rPr>
          <w:bCs/>
          <w:sz w:val="22"/>
          <w:szCs w:val="22"/>
          <w:lang w:val="sr-Latn-CS"/>
        </w:rPr>
      </w:pPr>
      <w:r w:rsidRPr="00A0323D">
        <w:rPr>
          <w:bCs/>
          <w:sz w:val="22"/>
          <w:szCs w:val="22"/>
          <w:lang w:val="sr-Latn-CS"/>
        </w:rPr>
        <w:t>Dozu prije večere treba prilagoditi u skladu sa samostalno izmjerenom glukozom u plazmi (SMPG) prije spavanja prethodnog dana.</w:t>
      </w:r>
    </w:p>
    <w:p w14:paraId="05AA9A38" w14:textId="77777777" w:rsidR="00A0323D" w:rsidRDefault="00A0323D" w:rsidP="000F6B37">
      <w:pPr>
        <w:tabs>
          <w:tab w:val="left" w:pos="540"/>
          <w:tab w:val="left" w:pos="569"/>
        </w:tabs>
        <w:jc w:val="both"/>
        <w:rPr>
          <w:bCs/>
          <w:sz w:val="22"/>
          <w:szCs w:val="22"/>
          <w:lang w:val="sr-Latn-CS"/>
        </w:rPr>
      </w:pPr>
    </w:p>
    <w:p w14:paraId="7CEB1402" w14:textId="77777777" w:rsidR="00A0323D" w:rsidRPr="00A0323D" w:rsidRDefault="00A0323D" w:rsidP="00981470">
      <w:pPr>
        <w:tabs>
          <w:tab w:val="left" w:pos="284"/>
        </w:tabs>
        <w:jc w:val="both"/>
        <w:rPr>
          <w:b/>
          <w:sz w:val="22"/>
          <w:szCs w:val="22"/>
        </w:rPr>
      </w:pPr>
      <w:proofErr w:type="spellStart"/>
      <w:r w:rsidRPr="00A0323D">
        <w:rPr>
          <w:b/>
          <w:sz w:val="22"/>
          <w:szCs w:val="22"/>
        </w:rPr>
        <w:t>Tabela</w:t>
      </w:r>
      <w:proofErr w:type="spellEnd"/>
      <w:r w:rsidRPr="00A0323D">
        <w:rPr>
          <w:b/>
          <w:sz w:val="22"/>
          <w:szCs w:val="22"/>
        </w:rPr>
        <w:t xml:space="preserve"> 1 </w:t>
      </w:r>
      <w:proofErr w:type="spellStart"/>
      <w:r w:rsidRPr="00A0323D">
        <w:rPr>
          <w:b/>
          <w:sz w:val="22"/>
          <w:szCs w:val="22"/>
        </w:rPr>
        <w:t>Prilagođavanje</w:t>
      </w:r>
      <w:proofErr w:type="spellEnd"/>
      <w:r w:rsidRPr="00A0323D">
        <w:rPr>
          <w:b/>
          <w:sz w:val="22"/>
          <w:szCs w:val="22"/>
        </w:rPr>
        <w:t xml:space="preserve"> doze</w:t>
      </w: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3002"/>
        <w:gridCol w:w="2988"/>
        <w:gridCol w:w="3095"/>
      </w:tblGrid>
      <w:tr w:rsidR="00A0323D" w:rsidRPr="00A0323D" w14:paraId="1716D806" w14:textId="77777777" w:rsidTr="00152247">
        <w:tc>
          <w:tcPr>
            <w:tcW w:w="6570" w:type="dxa"/>
            <w:gridSpan w:val="2"/>
            <w:tcBorders>
              <w:top w:val="single" w:sz="4" w:space="0" w:color="auto"/>
              <w:left w:val="nil"/>
              <w:bottom w:val="single" w:sz="4" w:space="0" w:color="auto"/>
              <w:right w:val="single" w:sz="4" w:space="0" w:color="auto"/>
            </w:tcBorders>
            <w:shd w:val="clear" w:color="auto" w:fill="auto"/>
            <w:hideMark/>
          </w:tcPr>
          <w:p w14:paraId="616B7D5F" w14:textId="77777777" w:rsidR="00A0323D" w:rsidRPr="00A0323D" w:rsidRDefault="00A0323D" w:rsidP="00A0323D">
            <w:pPr>
              <w:tabs>
                <w:tab w:val="left" w:pos="284"/>
              </w:tabs>
              <w:jc w:val="both"/>
              <w:rPr>
                <w:b/>
                <w:sz w:val="22"/>
                <w:szCs w:val="22"/>
              </w:rPr>
            </w:pPr>
            <w:proofErr w:type="spellStart"/>
            <w:r w:rsidRPr="00A0323D">
              <w:rPr>
                <w:b/>
                <w:sz w:val="22"/>
                <w:szCs w:val="22"/>
              </w:rPr>
              <w:t>Samostalno</w:t>
            </w:r>
            <w:proofErr w:type="spellEnd"/>
            <w:r w:rsidRPr="00A0323D">
              <w:rPr>
                <w:b/>
                <w:sz w:val="22"/>
                <w:szCs w:val="22"/>
              </w:rPr>
              <w:t xml:space="preserve"> </w:t>
            </w:r>
            <w:proofErr w:type="spellStart"/>
            <w:r w:rsidRPr="00A0323D">
              <w:rPr>
                <w:b/>
                <w:sz w:val="22"/>
                <w:szCs w:val="22"/>
              </w:rPr>
              <w:t>izmjerena</w:t>
            </w:r>
            <w:proofErr w:type="spellEnd"/>
            <w:r w:rsidRPr="00A0323D">
              <w:rPr>
                <w:b/>
                <w:sz w:val="22"/>
                <w:szCs w:val="22"/>
              </w:rPr>
              <w:t xml:space="preserve"> </w:t>
            </w:r>
            <w:proofErr w:type="spellStart"/>
            <w:r w:rsidRPr="00A0323D">
              <w:rPr>
                <w:b/>
                <w:sz w:val="22"/>
                <w:szCs w:val="22"/>
              </w:rPr>
              <w:t>glukoza</w:t>
            </w:r>
            <w:proofErr w:type="spellEnd"/>
            <w:r w:rsidRPr="00A0323D">
              <w:rPr>
                <w:b/>
                <w:sz w:val="22"/>
                <w:szCs w:val="22"/>
              </w:rPr>
              <w:t xml:space="preserve"> u </w:t>
            </w:r>
            <w:proofErr w:type="spellStart"/>
            <w:r w:rsidRPr="00A0323D">
              <w:rPr>
                <w:b/>
                <w:sz w:val="22"/>
                <w:szCs w:val="22"/>
              </w:rPr>
              <w:t>plazmi</w:t>
            </w:r>
            <w:proofErr w:type="spellEnd"/>
            <w:r w:rsidRPr="00A0323D">
              <w:rPr>
                <w:b/>
                <w:sz w:val="22"/>
                <w:szCs w:val="22"/>
              </w:rPr>
              <w:t xml:space="preserve"> (SMPG) (</w:t>
            </w:r>
            <w:proofErr w:type="spellStart"/>
            <w:r w:rsidRPr="00A0323D">
              <w:rPr>
                <w:b/>
                <w:sz w:val="22"/>
                <w:szCs w:val="22"/>
              </w:rPr>
              <w:t>vidjeti</w:t>
            </w:r>
            <w:proofErr w:type="spellEnd"/>
            <w:r w:rsidRPr="00A0323D">
              <w:rPr>
                <w:b/>
                <w:sz w:val="22"/>
                <w:szCs w:val="22"/>
              </w:rPr>
              <w:t xml:space="preserve"> gore)</w:t>
            </w:r>
          </w:p>
        </w:tc>
        <w:tc>
          <w:tcPr>
            <w:tcW w:w="3285" w:type="dxa"/>
            <w:tcBorders>
              <w:top w:val="single" w:sz="4" w:space="0" w:color="auto"/>
              <w:left w:val="single" w:sz="4" w:space="0" w:color="auto"/>
              <w:bottom w:val="single" w:sz="4" w:space="0" w:color="auto"/>
              <w:right w:val="nil"/>
            </w:tcBorders>
            <w:shd w:val="clear" w:color="auto" w:fill="auto"/>
            <w:hideMark/>
          </w:tcPr>
          <w:p w14:paraId="73B58E09" w14:textId="77777777" w:rsidR="00A0323D" w:rsidRPr="00A0323D" w:rsidRDefault="00A0323D" w:rsidP="00A0323D">
            <w:pPr>
              <w:tabs>
                <w:tab w:val="left" w:pos="284"/>
              </w:tabs>
              <w:jc w:val="both"/>
              <w:rPr>
                <w:b/>
                <w:sz w:val="22"/>
                <w:szCs w:val="22"/>
              </w:rPr>
            </w:pPr>
            <w:proofErr w:type="spellStart"/>
            <w:r w:rsidRPr="00A0323D">
              <w:rPr>
                <w:b/>
                <w:sz w:val="22"/>
                <w:szCs w:val="22"/>
              </w:rPr>
              <w:t>Prilagođavanje</w:t>
            </w:r>
            <w:proofErr w:type="spellEnd"/>
            <w:r w:rsidRPr="00A0323D">
              <w:rPr>
                <w:b/>
                <w:sz w:val="22"/>
                <w:szCs w:val="22"/>
              </w:rPr>
              <w:t xml:space="preserve"> doze</w:t>
            </w:r>
          </w:p>
        </w:tc>
      </w:tr>
      <w:tr w:rsidR="00A0323D" w:rsidRPr="00A0323D" w14:paraId="23F8CD65" w14:textId="77777777" w:rsidTr="00152247">
        <w:tc>
          <w:tcPr>
            <w:tcW w:w="3285" w:type="dxa"/>
            <w:tcBorders>
              <w:top w:val="single" w:sz="4" w:space="0" w:color="auto"/>
              <w:left w:val="nil"/>
              <w:bottom w:val="single" w:sz="4" w:space="0" w:color="auto"/>
              <w:right w:val="single" w:sz="4" w:space="0" w:color="auto"/>
            </w:tcBorders>
            <w:shd w:val="clear" w:color="auto" w:fill="auto"/>
            <w:hideMark/>
          </w:tcPr>
          <w:p w14:paraId="626A0F42" w14:textId="5B5B8696" w:rsidR="00A0323D" w:rsidRPr="00A0323D" w:rsidRDefault="00A0323D" w:rsidP="00C46C9C">
            <w:pPr>
              <w:tabs>
                <w:tab w:val="left" w:pos="284"/>
              </w:tabs>
              <w:jc w:val="center"/>
              <w:rPr>
                <w:sz w:val="22"/>
                <w:szCs w:val="22"/>
              </w:rPr>
            </w:pPr>
            <w:r w:rsidRPr="00A0323D">
              <w:rPr>
                <w:sz w:val="22"/>
                <w:szCs w:val="22"/>
              </w:rPr>
              <w:t>mmol/</w:t>
            </w:r>
            <w:r w:rsidR="00AD3C88">
              <w:rPr>
                <w:sz w:val="22"/>
                <w:szCs w:val="22"/>
              </w:rPr>
              <w:t>l</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19D82FD8" w14:textId="61471609" w:rsidR="00A0323D" w:rsidRPr="00A0323D" w:rsidRDefault="00A0323D" w:rsidP="00C46C9C">
            <w:pPr>
              <w:tabs>
                <w:tab w:val="left" w:pos="284"/>
              </w:tabs>
              <w:jc w:val="center"/>
              <w:rPr>
                <w:sz w:val="22"/>
                <w:szCs w:val="22"/>
              </w:rPr>
            </w:pPr>
            <w:r w:rsidRPr="00A0323D">
              <w:rPr>
                <w:sz w:val="22"/>
                <w:szCs w:val="22"/>
              </w:rPr>
              <w:t>mg/d</w:t>
            </w:r>
            <w:r w:rsidR="00AD3C88">
              <w:rPr>
                <w:sz w:val="22"/>
                <w:szCs w:val="22"/>
              </w:rPr>
              <w:t>l</w:t>
            </w:r>
          </w:p>
        </w:tc>
        <w:tc>
          <w:tcPr>
            <w:tcW w:w="3285" w:type="dxa"/>
            <w:tcBorders>
              <w:top w:val="single" w:sz="4" w:space="0" w:color="auto"/>
              <w:left w:val="single" w:sz="4" w:space="0" w:color="auto"/>
              <w:bottom w:val="single" w:sz="4" w:space="0" w:color="auto"/>
              <w:right w:val="nil"/>
            </w:tcBorders>
            <w:shd w:val="clear" w:color="auto" w:fill="auto"/>
            <w:hideMark/>
          </w:tcPr>
          <w:p w14:paraId="15B03548" w14:textId="77777777" w:rsidR="00A0323D" w:rsidRPr="00A0323D" w:rsidRDefault="00A0323D" w:rsidP="00C46C9C">
            <w:pPr>
              <w:tabs>
                <w:tab w:val="left" w:pos="284"/>
              </w:tabs>
              <w:jc w:val="center"/>
              <w:rPr>
                <w:sz w:val="22"/>
                <w:szCs w:val="22"/>
              </w:rPr>
            </w:pPr>
            <w:proofErr w:type="spellStart"/>
            <w:r w:rsidRPr="00A0323D">
              <w:rPr>
                <w:sz w:val="22"/>
                <w:szCs w:val="22"/>
              </w:rPr>
              <w:t>Jedinica</w:t>
            </w:r>
            <w:proofErr w:type="spellEnd"/>
          </w:p>
        </w:tc>
      </w:tr>
      <w:tr w:rsidR="00A0323D" w:rsidRPr="00A0323D" w14:paraId="0220DABA" w14:textId="77777777" w:rsidTr="00152247">
        <w:tc>
          <w:tcPr>
            <w:tcW w:w="3285" w:type="dxa"/>
            <w:tcBorders>
              <w:top w:val="single" w:sz="4" w:space="0" w:color="auto"/>
              <w:left w:val="nil"/>
              <w:bottom w:val="single" w:sz="4" w:space="0" w:color="auto"/>
              <w:right w:val="single" w:sz="4" w:space="0" w:color="auto"/>
            </w:tcBorders>
            <w:shd w:val="clear" w:color="auto" w:fill="auto"/>
            <w:hideMark/>
          </w:tcPr>
          <w:p w14:paraId="1AEC650C" w14:textId="7F254689" w:rsidR="00A0323D" w:rsidRPr="00A0323D" w:rsidRDefault="00A0323D" w:rsidP="00C46C9C">
            <w:pPr>
              <w:tabs>
                <w:tab w:val="left" w:pos="284"/>
              </w:tabs>
              <w:jc w:val="center"/>
              <w:rPr>
                <w:sz w:val="22"/>
                <w:szCs w:val="22"/>
              </w:rPr>
            </w:pPr>
            <w:r w:rsidRPr="00A0323D">
              <w:rPr>
                <w:sz w:val="22"/>
                <w:szCs w:val="22"/>
              </w:rPr>
              <w:t>&lt;4</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79ED5087" w14:textId="77777777" w:rsidR="00A0323D" w:rsidRPr="00A0323D" w:rsidRDefault="00A0323D" w:rsidP="00C46C9C">
            <w:pPr>
              <w:tabs>
                <w:tab w:val="left" w:pos="284"/>
              </w:tabs>
              <w:jc w:val="center"/>
              <w:rPr>
                <w:sz w:val="22"/>
                <w:szCs w:val="22"/>
              </w:rPr>
            </w:pPr>
            <w:r w:rsidRPr="00A0323D">
              <w:rPr>
                <w:sz w:val="22"/>
                <w:szCs w:val="22"/>
              </w:rPr>
              <w:t>&lt;71</w:t>
            </w:r>
          </w:p>
        </w:tc>
        <w:tc>
          <w:tcPr>
            <w:tcW w:w="3285" w:type="dxa"/>
            <w:tcBorders>
              <w:top w:val="single" w:sz="4" w:space="0" w:color="auto"/>
              <w:left w:val="single" w:sz="4" w:space="0" w:color="auto"/>
              <w:bottom w:val="single" w:sz="4" w:space="0" w:color="auto"/>
              <w:right w:val="nil"/>
            </w:tcBorders>
            <w:shd w:val="clear" w:color="auto" w:fill="auto"/>
            <w:hideMark/>
          </w:tcPr>
          <w:p w14:paraId="20373CB6" w14:textId="06291546" w:rsidR="00A0323D" w:rsidRPr="00A0323D" w:rsidRDefault="00A0323D" w:rsidP="00C46C9C">
            <w:pPr>
              <w:tabs>
                <w:tab w:val="left" w:pos="284"/>
              </w:tabs>
              <w:jc w:val="center"/>
              <w:rPr>
                <w:sz w:val="22"/>
                <w:szCs w:val="22"/>
              </w:rPr>
            </w:pPr>
            <w:r w:rsidRPr="00A0323D">
              <w:rPr>
                <w:sz w:val="22"/>
                <w:szCs w:val="22"/>
              </w:rPr>
              <w:t>-1</w:t>
            </w:r>
          </w:p>
        </w:tc>
      </w:tr>
      <w:tr w:rsidR="00A0323D" w:rsidRPr="00A0323D" w14:paraId="1C357E26" w14:textId="77777777" w:rsidTr="00152247">
        <w:tc>
          <w:tcPr>
            <w:tcW w:w="3285" w:type="dxa"/>
            <w:tcBorders>
              <w:top w:val="single" w:sz="4" w:space="0" w:color="auto"/>
              <w:left w:val="nil"/>
              <w:bottom w:val="single" w:sz="4" w:space="0" w:color="auto"/>
              <w:right w:val="single" w:sz="4" w:space="0" w:color="auto"/>
            </w:tcBorders>
            <w:shd w:val="clear" w:color="auto" w:fill="auto"/>
            <w:hideMark/>
          </w:tcPr>
          <w:p w14:paraId="4173C56C" w14:textId="01D81498" w:rsidR="00A0323D" w:rsidRPr="00A0323D" w:rsidRDefault="00A0323D" w:rsidP="00C46C9C">
            <w:pPr>
              <w:tabs>
                <w:tab w:val="left" w:pos="284"/>
              </w:tabs>
              <w:jc w:val="center"/>
              <w:rPr>
                <w:sz w:val="22"/>
                <w:szCs w:val="22"/>
              </w:rPr>
            </w:pPr>
            <w:r w:rsidRPr="00A0323D">
              <w:rPr>
                <w:sz w:val="22"/>
                <w:szCs w:val="22"/>
              </w:rPr>
              <w:t>4-6</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11698E64" w14:textId="77777777" w:rsidR="00A0323D" w:rsidRPr="00A0323D" w:rsidRDefault="00A0323D" w:rsidP="00C46C9C">
            <w:pPr>
              <w:tabs>
                <w:tab w:val="left" w:pos="284"/>
              </w:tabs>
              <w:jc w:val="center"/>
              <w:rPr>
                <w:sz w:val="22"/>
                <w:szCs w:val="22"/>
              </w:rPr>
            </w:pPr>
            <w:r w:rsidRPr="00A0323D">
              <w:rPr>
                <w:sz w:val="22"/>
                <w:szCs w:val="22"/>
              </w:rPr>
              <w:t>71-108</w:t>
            </w:r>
          </w:p>
        </w:tc>
        <w:tc>
          <w:tcPr>
            <w:tcW w:w="3285" w:type="dxa"/>
            <w:tcBorders>
              <w:top w:val="single" w:sz="4" w:space="0" w:color="auto"/>
              <w:left w:val="single" w:sz="4" w:space="0" w:color="auto"/>
              <w:bottom w:val="single" w:sz="4" w:space="0" w:color="auto"/>
              <w:right w:val="nil"/>
            </w:tcBorders>
            <w:shd w:val="clear" w:color="auto" w:fill="auto"/>
            <w:hideMark/>
          </w:tcPr>
          <w:p w14:paraId="198847C1" w14:textId="77777777" w:rsidR="00A0323D" w:rsidRPr="00A0323D" w:rsidRDefault="00A0323D" w:rsidP="00C46C9C">
            <w:pPr>
              <w:tabs>
                <w:tab w:val="left" w:pos="284"/>
              </w:tabs>
              <w:jc w:val="center"/>
              <w:rPr>
                <w:sz w:val="22"/>
                <w:szCs w:val="22"/>
              </w:rPr>
            </w:pPr>
            <w:r w:rsidRPr="00A0323D">
              <w:rPr>
                <w:sz w:val="22"/>
                <w:szCs w:val="22"/>
              </w:rPr>
              <w:t xml:space="preserve">Bez </w:t>
            </w:r>
            <w:proofErr w:type="spellStart"/>
            <w:r w:rsidRPr="00A0323D">
              <w:rPr>
                <w:sz w:val="22"/>
                <w:szCs w:val="22"/>
              </w:rPr>
              <w:t>prilagođavanja</w:t>
            </w:r>
            <w:proofErr w:type="spellEnd"/>
            <w:r w:rsidRPr="00A0323D">
              <w:rPr>
                <w:sz w:val="22"/>
                <w:szCs w:val="22"/>
              </w:rPr>
              <w:t xml:space="preserve"> doze</w:t>
            </w:r>
          </w:p>
        </w:tc>
      </w:tr>
      <w:tr w:rsidR="00A0323D" w:rsidRPr="00A0323D" w14:paraId="2E2EA849" w14:textId="77777777" w:rsidTr="00152247">
        <w:tc>
          <w:tcPr>
            <w:tcW w:w="3285" w:type="dxa"/>
            <w:tcBorders>
              <w:top w:val="single" w:sz="4" w:space="0" w:color="auto"/>
              <w:left w:val="nil"/>
              <w:bottom w:val="nil"/>
              <w:right w:val="single" w:sz="4" w:space="0" w:color="auto"/>
            </w:tcBorders>
            <w:shd w:val="clear" w:color="auto" w:fill="auto"/>
            <w:hideMark/>
          </w:tcPr>
          <w:p w14:paraId="4B3532C6" w14:textId="5DC34507" w:rsidR="00A0323D" w:rsidRPr="00A0323D" w:rsidRDefault="00A0323D" w:rsidP="00C46C9C">
            <w:pPr>
              <w:tabs>
                <w:tab w:val="left" w:pos="284"/>
              </w:tabs>
              <w:jc w:val="center"/>
              <w:rPr>
                <w:sz w:val="22"/>
                <w:szCs w:val="22"/>
              </w:rPr>
            </w:pPr>
            <w:r w:rsidRPr="00A0323D">
              <w:rPr>
                <w:sz w:val="22"/>
                <w:szCs w:val="22"/>
              </w:rPr>
              <w:lastRenderedPageBreak/>
              <w:t>&gt;6</w:t>
            </w:r>
          </w:p>
        </w:tc>
        <w:tc>
          <w:tcPr>
            <w:tcW w:w="3285" w:type="dxa"/>
            <w:tcBorders>
              <w:top w:val="single" w:sz="4" w:space="0" w:color="auto"/>
              <w:left w:val="single" w:sz="4" w:space="0" w:color="auto"/>
              <w:bottom w:val="nil"/>
              <w:right w:val="single" w:sz="4" w:space="0" w:color="auto"/>
            </w:tcBorders>
            <w:shd w:val="clear" w:color="auto" w:fill="auto"/>
            <w:hideMark/>
          </w:tcPr>
          <w:p w14:paraId="52E9ADE5" w14:textId="77777777" w:rsidR="00A0323D" w:rsidRPr="00A0323D" w:rsidRDefault="00A0323D" w:rsidP="00C46C9C">
            <w:pPr>
              <w:tabs>
                <w:tab w:val="left" w:pos="284"/>
              </w:tabs>
              <w:jc w:val="center"/>
              <w:rPr>
                <w:sz w:val="22"/>
                <w:szCs w:val="22"/>
              </w:rPr>
            </w:pPr>
            <w:r w:rsidRPr="00A0323D">
              <w:rPr>
                <w:sz w:val="22"/>
                <w:szCs w:val="22"/>
              </w:rPr>
              <w:t>&gt;108</w:t>
            </w:r>
          </w:p>
        </w:tc>
        <w:tc>
          <w:tcPr>
            <w:tcW w:w="3285" w:type="dxa"/>
            <w:tcBorders>
              <w:top w:val="single" w:sz="4" w:space="0" w:color="auto"/>
              <w:left w:val="single" w:sz="4" w:space="0" w:color="auto"/>
              <w:bottom w:val="nil"/>
              <w:right w:val="nil"/>
            </w:tcBorders>
            <w:shd w:val="clear" w:color="auto" w:fill="auto"/>
            <w:hideMark/>
          </w:tcPr>
          <w:p w14:paraId="69C10D78" w14:textId="7121C324" w:rsidR="00A0323D" w:rsidRPr="00A0323D" w:rsidRDefault="00A0323D" w:rsidP="00C46C9C">
            <w:pPr>
              <w:tabs>
                <w:tab w:val="left" w:pos="284"/>
              </w:tabs>
              <w:jc w:val="center"/>
              <w:rPr>
                <w:sz w:val="22"/>
                <w:szCs w:val="22"/>
              </w:rPr>
            </w:pPr>
            <w:r w:rsidRPr="00A0323D">
              <w:rPr>
                <w:sz w:val="22"/>
                <w:szCs w:val="22"/>
              </w:rPr>
              <w:t>+ 1</w:t>
            </w:r>
          </w:p>
        </w:tc>
      </w:tr>
    </w:tbl>
    <w:p w14:paraId="4EFABD61" w14:textId="77777777" w:rsidR="00A0323D" w:rsidRPr="00A0323D" w:rsidRDefault="00A0323D" w:rsidP="00A0323D">
      <w:pPr>
        <w:tabs>
          <w:tab w:val="left" w:pos="284"/>
        </w:tabs>
        <w:jc w:val="both"/>
        <w:rPr>
          <w:sz w:val="22"/>
          <w:szCs w:val="22"/>
        </w:rPr>
      </w:pPr>
    </w:p>
    <w:p w14:paraId="0440094F" w14:textId="77777777" w:rsidR="00A0323D" w:rsidRPr="00A0323D" w:rsidRDefault="00A0323D" w:rsidP="00981470">
      <w:pPr>
        <w:tabs>
          <w:tab w:val="left" w:pos="284"/>
        </w:tabs>
        <w:jc w:val="both"/>
        <w:rPr>
          <w:i/>
          <w:sz w:val="22"/>
          <w:szCs w:val="22"/>
        </w:rPr>
      </w:pPr>
      <w:proofErr w:type="spellStart"/>
      <w:r w:rsidRPr="00A0323D">
        <w:rPr>
          <w:i/>
          <w:sz w:val="22"/>
          <w:szCs w:val="22"/>
        </w:rPr>
        <w:t>Posebne</w:t>
      </w:r>
      <w:proofErr w:type="spellEnd"/>
      <w:r w:rsidRPr="00A0323D">
        <w:rPr>
          <w:i/>
          <w:sz w:val="22"/>
          <w:szCs w:val="22"/>
        </w:rPr>
        <w:t xml:space="preserve"> </w:t>
      </w:r>
      <w:proofErr w:type="spellStart"/>
      <w:r w:rsidRPr="00A0323D">
        <w:rPr>
          <w:i/>
          <w:sz w:val="22"/>
          <w:szCs w:val="22"/>
        </w:rPr>
        <w:t>populacije</w:t>
      </w:r>
      <w:proofErr w:type="spellEnd"/>
    </w:p>
    <w:p w14:paraId="27B1D1B9" w14:textId="77777777" w:rsidR="00A0323D" w:rsidRPr="00A0323D" w:rsidRDefault="00A0323D" w:rsidP="00152247">
      <w:pPr>
        <w:tabs>
          <w:tab w:val="left" w:pos="284"/>
        </w:tabs>
        <w:jc w:val="both"/>
        <w:rPr>
          <w:i/>
          <w:sz w:val="22"/>
          <w:szCs w:val="22"/>
          <w:u w:val="single"/>
        </w:rPr>
      </w:pPr>
      <w:proofErr w:type="spellStart"/>
      <w:r w:rsidRPr="00A0323D">
        <w:rPr>
          <w:i/>
          <w:sz w:val="22"/>
          <w:szCs w:val="22"/>
          <w:u w:val="single"/>
        </w:rPr>
        <w:t>Stariji</w:t>
      </w:r>
      <w:proofErr w:type="spellEnd"/>
      <w:r w:rsidRPr="00A0323D">
        <w:rPr>
          <w:i/>
          <w:sz w:val="22"/>
          <w:szCs w:val="22"/>
          <w:u w:val="single"/>
        </w:rPr>
        <w:t xml:space="preserve"> </w:t>
      </w:r>
      <w:proofErr w:type="spellStart"/>
      <w:r w:rsidRPr="00A0323D">
        <w:rPr>
          <w:i/>
          <w:sz w:val="22"/>
          <w:szCs w:val="22"/>
          <w:u w:val="single"/>
        </w:rPr>
        <w:t>pacijenti</w:t>
      </w:r>
      <w:proofErr w:type="spellEnd"/>
      <w:r w:rsidRPr="00A0323D">
        <w:rPr>
          <w:i/>
          <w:sz w:val="22"/>
          <w:szCs w:val="22"/>
          <w:u w:val="single"/>
        </w:rPr>
        <w:t xml:space="preserve"> (≥ 65 </w:t>
      </w:r>
      <w:proofErr w:type="spellStart"/>
      <w:r w:rsidRPr="00A0323D">
        <w:rPr>
          <w:i/>
          <w:sz w:val="22"/>
          <w:szCs w:val="22"/>
          <w:u w:val="single"/>
        </w:rPr>
        <w:t>godina</w:t>
      </w:r>
      <w:proofErr w:type="spellEnd"/>
      <w:r w:rsidRPr="00A0323D">
        <w:rPr>
          <w:i/>
          <w:sz w:val="22"/>
          <w:szCs w:val="22"/>
          <w:u w:val="single"/>
        </w:rPr>
        <w:t>)</w:t>
      </w:r>
    </w:p>
    <w:p w14:paraId="6BC77E9F" w14:textId="599AAB23" w:rsidR="00A0323D" w:rsidRPr="00A0323D" w:rsidRDefault="00A0323D" w:rsidP="00442BD2">
      <w:pPr>
        <w:tabs>
          <w:tab w:val="left" w:pos="284"/>
        </w:tabs>
        <w:jc w:val="both"/>
        <w:rPr>
          <w:sz w:val="22"/>
          <w:szCs w:val="22"/>
        </w:rPr>
      </w:pPr>
      <w:proofErr w:type="spellStart"/>
      <w:r w:rsidRPr="00A0323D">
        <w:rPr>
          <w:sz w:val="22"/>
          <w:szCs w:val="22"/>
        </w:rPr>
        <w:t>Bezbjednost</w:t>
      </w:r>
      <w:proofErr w:type="spellEnd"/>
      <w:r w:rsidRPr="00A0323D">
        <w:rPr>
          <w:sz w:val="22"/>
          <w:szCs w:val="22"/>
        </w:rPr>
        <w:t xml:space="preserve"> i </w:t>
      </w:r>
      <w:proofErr w:type="spellStart"/>
      <w:r w:rsidRPr="00A0323D">
        <w:rPr>
          <w:sz w:val="22"/>
          <w:szCs w:val="22"/>
        </w:rPr>
        <w:t>efikasnost</w:t>
      </w:r>
      <w:proofErr w:type="spellEnd"/>
      <w:r w:rsidRPr="00A0323D">
        <w:rPr>
          <w:sz w:val="22"/>
          <w:szCs w:val="22"/>
        </w:rPr>
        <w:t xml:space="preserve"> </w:t>
      </w:r>
      <w:proofErr w:type="spellStart"/>
      <w:r w:rsidRPr="00A0323D">
        <w:rPr>
          <w:sz w:val="22"/>
          <w:szCs w:val="22"/>
        </w:rPr>
        <w:t>lijeka</w:t>
      </w:r>
      <w:proofErr w:type="spellEnd"/>
      <w:r w:rsidRPr="00A0323D">
        <w:rPr>
          <w:sz w:val="22"/>
          <w:szCs w:val="22"/>
        </w:rPr>
        <w:t xml:space="preserve"> </w:t>
      </w:r>
      <w:proofErr w:type="spellStart"/>
      <w:r w:rsidRPr="00A0323D">
        <w:rPr>
          <w:sz w:val="22"/>
          <w:szCs w:val="22"/>
        </w:rPr>
        <w:t>Fiasp</w:t>
      </w:r>
      <w:proofErr w:type="spellEnd"/>
      <w:r w:rsidRPr="00A0323D">
        <w:rPr>
          <w:sz w:val="22"/>
          <w:szCs w:val="22"/>
        </w:rPr>
        <w:t xml:space="preserve"> </w:t>
      </w:r>
      <w:proofErr w:type="spellStart"/>
      <w:r w:rsidRPr="00A0323D">
        <w:rPr>
          <w:sz w:val="22"/>
          <w:szCs w:val="22"/>
        </w:rPr>
        <w:t>ustanovljene</w:t>
      </w:r>
      <w:proofErr w:type="spellEnd"/>
      <w:r w:rsidRPr="00A0323D">
        <w:rPr>
          <w:sz w:val="22"/>
          <w:szCs w:val="22"/>
        </w:rPr>
        <w:t xml:space="preserve"> </w:t>
      </w:r>
      <w:proofErr w:type="spellStart"/>
      <w:r w:rsidRPr="00A0323D">
        <w:rPr>
          <w:sz w:val="22"/>
          <w:szCs w:val="22"/>
        </w:rPr>
        <w:t>su</w:t>
      </w:r>
      <w:proofErr w:type="spellEnd"/>
      <w:r w:rsidRPr="00A0323D">
        <w:rPr>
          <w:sz w:val="22"/>
          <w:szCs w:val="22"/>
        </w:rPr>
        <w:t xml:space="preserve"> </w:t>
      </w:r>
      <w:proofErr w:type="spellStart"/>
      <w:r w:rsidRPr="00A0323D">
        <w:rPr>
          <w:sz w:val="22"/>
          <w:szCs w:val="22"/>
        </w:rPr>
        <w:t>kod</w:t>
      </w:r>
      <w:proofErr w:type="spellEnd"/>
      <w:r w:rsidRPr="00A0323D">
        <w:rPr>
          <w:sz w:val="22"/>
          <w:szCs w:val="22"/>
        </w:rPr>
        <w:t xml:space="preserve"> </w:t>
      </w:r>
      <w:proofErr w:type="spellStart"/>
      <w:r w:rsidRPr="00A0323D">
        <w:rPr>
          <w:sz w:val="22"/>
          <w:szCs w:val="22"/>
        </w:rPr>
        <w:t>starijih</w:t>
      </w:r>
      <w:proofErr w:type="spellEnd"/>
      <w:r w:rsidRPr="00A0323D">
        <w:rPr>
          <w:sz w:val="22"/>
          <w:szCs w:val="22"/>
        </w:rPr>
        <w:t xml:space="preserve"> </w:t>
      </w:r>
      <w:proofErr w:type="spellStart"/>
      <w:r w:rsidRPr="00A0323D">
        <w:rPr>
          <w:sz w:val="22"/>
          <w:szCs w:val="22"/>
        </w:rPr>
        <w:t>pacijenata</w:t>
      </w:r>
      <w:proofErr w:type="spellEnd"/>
      <w:r w:rsidRPr="00A0323D">
        <w:rPr>
          <w:sz w:val="22"/>
          <w:szCs w:val="22"/>
        </w:rPr>
        <w:t xml:space="preserve"> od 65 do 75 </w:t>
      </w:r>
      <w:proofErr w:type="spellStart"/>
      <w:r w:rsidRPr="00A0323D">
        <w:rPr>
          <w:sz w:val="22"/>
          <w:szCs w:val="22"/>
        </w:rPr>
        <w:t>godina</w:t>
      </w:r>
      <w:proofErr w:type="spellEnd"/>
      <w:r w:rsidRPr="00A0323D">
        <w:rPr>
          <w:sz w:val="22"/>
          <w:szCs w:val="22"/>
        </w:rPr>
        <w:t xml:space="preserve">. </w:t>
      </w:r>
      <w:proofErr w:type="spellStart"/>
      <w:r w:rsidRPr="00A0323D">
        <w:rPr>
          <w:sz w:val="22"/>
          <w:szCs w:val="22"/>
        </w:rPr>
        <w:t>Preporučuje</w:t>
      </w:r>
      <w:proofErr w:type="spellEnd"/>
      <w:r w:rsidRPr="00A0323D">
        <w:rPr>
          <w:sz w:val="22"/>
          <w:szCs w:val="22"/>
        </w:rPr>
        <w:t xml:space="preserve"> se </w:t>
      </w:r>
      <w:proofErr w:type="spellStart"/>
      <w:r w:rsidRPr="00A0323D">
        <w:rPr>
          <w:sz w:val="22"/>
          <w:szCs w:val="22"/>
        </w:rPr>
        <w:t>stroga</w:t>
      </w:r>
      <w:proofErr w:type="spellEnd"/>
      <w:r w:rsidRPr="00A0323D">
        <w:rPr>
          <w:sz w:val="22"/>
          <w:szCs w:val="22"/>
        </w:rPr>
        <w:t xml:space="preserve"> </w:t>
      </w:r>
      <w:proofErr w:type="spellStart"/>
      <w:r w:rsidRPr="00A0323D">
        <w:rPr>
          <w:sz w:val="22"/>
          <w:szCs w:val="22"/>
        </w:rPr>
        <w:t>kontrola</w:t>
      </w:r>
      <w:proofErr w:type="spellEnd"/>
      <w:r w:rsidRPr="00A0323D">
        <w:rPr>
          <w:sz w:val="22"/>
          <w:szCs w:val="22"/>
        </w:rPr>
        <w:t xml:space="preserve"> </w:t>
      </w:r>
      <w:proofErr w:type="spellStart"/>
      <w:r w:rsidRPr="00A0323D">
        <w:rPr>
          <w:sz w:val="22"/>
          <w:szCs w:val="22"/>
        </w:rPr>
        <w:t>vrijednosti</w:t>
      </w:r>
      <w:proofErr w:type="spellEnd"/>
      <w:r w:rsidRPr="00A0323D">
        <w:rPr>
          <w:sz w:val="22"/>
          <w:szCs w:val="22"/>
        </w:rPr>
        <w:t xml:space="preserve"> </w:t>
      </w:r>
      <w:proofErr w:type="spellStart"/>
      <w:r w:rsidRPr="00A0323D">
        <w:rPr>
          <w:sz w:val="22"/>
          <w:szCs w:val="22"/>
        </w:rPr>
        <w:t>glukoze</w:t>
      </w:r>
      <w:proofErr w:type="spellEnd"/>
      <w:r w:rsidRPr="00A0323D">
        <w:rPr>
          <w:sz w:val="22"/>
          <w:szCs w:val="22"/>
        </w:rPr>
        <w:t xml:space="preserve">, </w:t>
      </w:r>
      <w:proofErr w:type="spellStart"/>
      <w:r w:rsidRPr="00A0323D">
        <w:rPr>
          <w:sz w:val="22"/>
          <w:szCs w:val="22"/>
        </w:rPr>
        <w:t>dok</w:t>
      </w:r>
      <w:proofErr w:type="spellEnd"/>
      <w:r w:rsidRPr="00A0323D">
        <w:rPr>
          <w:sz w:val="22"/>
          <w:szCs w:val="22"/>
        </w:rPr>
        <w:t xml:space="preserve"> je </w:t>
      </w:r>
      <w:proofErr w:type="spellStart"/>
      <w:r w:rsidRPr="00A0323D">
        <w:rPr>
          <w:sz w:val="22"/>
          <w:szCs w:val="22"/>
        </w:rPr>
        <w:t>dozu</w:t>
      </w:r>
      <w:proofErr w:type="spellEnd"/>
      <w:r w:rsidRPr="00A0323D">
        <w:rPr>
          <w:sz w:val="22"/>
          <w:szCs w:val="22"/>
        </w:rPr>
        <w:t xml:space="preserve"> </w:t>
      </w:r>
      <w:proofErr w:type="spellStart"/>
      <w:r w:rsidRPr="00A0323D">
        <w:rPr>
          <w:sz w:val="22"/>
          <w:szCs w:val="22"/>
        </w:rPr>
        <w:t>insulina</w:t>
      </w:r>
      <w:proofErr w:type="spellEnd"/>
      <w:r w:rsidRPr="00A0323D">
        <w:rPr>
          <w:sz w:val="22"/>
          <w:szCs w:val="22"/>
        </w:rPr>
        <w:t xml:space="preserve"> </w:t>
      </w:r>
      <w:proofErr w:type="spellStart"/>
      <w:r w:rsidRPr="00A0323D">
        <w:rPr>
          <w:sz w:val="22"/>
          <w:szCs w:val="22"/>
        </w:rPr>
        <w:t>potrebno</w:t>
      </w:r>
      <w:proofErr w:type="spellEnd"/>
      <w:r w:rsidRPr="00A0323D">
        <w:rPr>
          <w:sz w:val="22"/>
          <w:szCs w:val="22"/>
        </w:rPr>
        <w:t xml:space="preserve"> </w:t>
      </w:r>
      <w:proofErr w:type="spellStart"/>
      <w:r w:rsidRPr="00A0323D">
        <w:rPr>
          <w:sz w:val="22"/>
          <w:szCs w:val="22"/>
        </w:rPr>
        <w:t>individualno</w:t>
      </w:r>
      <w:proofErr w:type="spellEnd"/>
      <w:r w:rsidRPr="00A0323D">
        <w:rPr>
          <w:sz w:val="22"/>
          <w:szCs w:val="22"/>
        </w:rPr>
        <w:t xml:space="preserve"> </w:t>
      </w:r>
      <w:proofErr w:type="spellStart"/>
      <w:r w:rsidRPr="00A0323D">
        <w:rPr>
          <w:sz w:val="22"/>
          <w:szCs w:val="22"/>
        </w:rPr>
        <w:t>prilagoditi</w:t>
      </w:r>
      <w:proofErr w:type="spellEnd"/>
      <w:r w:rsidRPr="00A0323D">
        <w:rPr>
          <w:sz w:val="22"/>
          <w:szCs w:val="22"/>
        </w:rPr>
        <w:t xml:space="preserve"> (</w:t>
      </w:r>
      <w:proofErr w:type="spellStart"/>
      <w:r w:rsidRPr="00A0323D">
        <w:rPr>
          <w:sz w:val="22"/>
          <w:szCs w:val="22"/>
        </w:rPr>
        <w:t>vidjeti</w:t>
      </w:r>
      <w:proofErr w:type="spellEnd"/>
      <w:r w:rsidRPr="00A0323D">
        <w:rPr>
          <w:sz w:val="22"/>
          <w:szCs w:val="22"/>
        </w:rPr>
        <w:t xml:space="preserve"> </w:t>
      </w:r>
      <w:proofErr w:type="spellStart"/>
      <w:r w:rsidR="00AD3C88">
        <w:rPr>
          <w:sz w:val="22"/>
          <w:szCs w:val="22"/>
        </w:rPr>
        <w:t>djelove</w:t>
      </w:r>
      <w:proofErr w:type="spellEnd"/>
      <w:r w:rsidR="00AD3C88" w:rsidRPr="00A0323D">
        <w:rPr>
          <w:sz w:val="22"/>
          <w:szCs w:val="22"/>
        </w:rPr>
        <w:t xml:space="preserve"> </w:t>
      </w:r>
      <w:r w:rsidRPr="00A0323D">
        <w:rPr>
          <w:sz w:val="22"/>
          <w:szCs w:val="22"/>
        </w:rPr>
        <w:t xml:space="preserve">5.1 i 5.2). </w:t>
      </w:r>
      <w:proofErr w:type="spellStart"/>
      <w:r w:rsidRPr="00A0323D">
        <w:rPr>
          <w:sz w:val="22"/>
          <w:szCs w:val="22"/>
        </w:rPr>
        <w:t>Terapijsko</w:t>
      </w:r>
      <w:proofErr w:type="spellEnd"/>
      <w:r w:rsidRPr="00A0323D">
        <w:rPr>
          <w:sz w:val="22"/>
          <w:szCs w:val="22"/>
        </w:rPr>
        <w:t xml:space="preserve"> </w:t>
      </w:r>
      <w:proofErr w:type="spellStart"/>
      <w:r w:rsidRPr="00A0323D">
        <w:rPr>
          <w:sz w:val="22"/>
          <w:szCs w:val="22"/>
        </w:rPr>
        <w:t>iskustvo</w:t>
      </w:r>
      <w:proofErr w:type="spellEnd"/>
      <w:r w:rsidRPr="00A0323D">
        <w:rPr>
          <w:sz w:val="22"/>
          <w:szCs w:val="22"/>
        </w:rPr>
        <w:t xml:space="preserve"> </w:t>
      </w:r>
      <w:proofErr w:type="spellStart"/>
      <w:r w:rsidRPr="00A0323D">
        <w:rPr>
          <w:sz w:val="22"/>
          <w:szCs w:val="22"/>
        </w:rPr>
        <w:t>kod</w:t>
      </w:r>
      <w:proofErr w:type="spellEnd"/>
      <w:r w:rsidRPr="00A0323D">
        <w:rPr>
          <w:sz w:val="22"/>
          <w:szCs w:val="22"/>
        </w:rPr>
        <w:t xml:space="preserve"> </w:t>
      </w:r>
      <w:proofErr w:type="spellStart"/>
      <w:r w:rsidRPr="00A0323D">
        <w:rPr>
          <w:sz w:val="22"/>
          <w:szCs w:val="22"/>
        </w:rPr>
        <w:t>pacijenata</w:t>
      </w:r>
      <w:proofErr w:type="spellEnd"/>
      <w:r w:rsidRPr="00A0323D">
        <w:rPr>
          <w:sz w:val="22"/>
          <w:szCs w:val="22"/>
        </w:rPr>
        <w:t xml:space="preserve"> </w:t>
      </w:r>
      <w:proofErr w:type="spellStart"/>
      <w:r w:rsidRPr="00A0323D">
        <w:rPr>
          <w:sz w:val="22"/>
          <w:szCs w:val="22"/>
        </w:rPr>
        <w:t>starosti</w:t>
      </w:r>
      <w:proofErr w:type="spellEnd"/>
      <w:r w:rsidRPr="00A0323D">
        <w:rPr>
          <w:sz w:val="22"/>
          <w:szCs w:val="22"/>
        </w:rPr>
        <w:t xml:space="preserve"> ≥</w:t>
      </w:r>
      <w:r w:rsidR="00A652D7">
        <w:rPr>
          <w:sz w:val="22"/>
          <w:szCs w:val="22"/>
        </w:rPr>
        <w:t xml:space="preserve"> </w:t>
      </w:r>
      <w:r w:rsidRPr="00A0323D">
        <w:rPr>
          <w:sz w:val="22"/>
          <w:szCs w:val="22"/>
        </w:rPr>
        <w:t xml:space="preserve">75 </w:t>
      </w:r>
      <w:proofErr w:type="spellStart"/>
      <w:r w:rsidRPr="00A0323D">
        <w:rPr>
          <w:sz w:val="22"/>
          <w:szCs w:val="22"/>
        </w:rPr>
        <w:t>godina</w:t>
      </w:r>
      <w:proofErr w:type="spellEnd"/>
      <w:r w:rsidRPr="00A0323D">
        <w:rPr>
          <w:sz w:val="22"/>
          <w:szCs w:val="22"/>
        </w:rPr>
        <w:t xml:space="preserve"> je </w:t>
      </w:r>
      <w:proofErr w:type="spellStart"/>
      <w:r w:rsidRPr="00A0323D">
        <w:rPr>
          <w:sz w:val="22"/>
          <w:szCs w:val="22"/>
        </w:rPr>
        <w:t>ograničeno</w:t>
      </w:r>
      <w:proofErr w:type="spellEnd"/>
      <w:r w:rsidRPr="00A0323D">
        <w:rPr>
          <w:sz w:val="22"/>
          <w:szCs w:val="22"/>
        </w:rPr>
        <w:t>.</w:t>
      </w:r>
    </w:p>
    <w:p w14:paraId="5F51807D" w14:textId="77777777" w:rsidR="00A0323D" w:rsidRPr="00A0323D" w:rsidRDefault="00A0323D" w:rsidP="005A154F">
      <w:pPr>
        <w:tabs>
          <w:tab w:val="left" w:pos="284"/>
        </w:tabs>
        <w:jc w:val="both"/>
        <w:rPr>
          <w:sz w:val="22"/>
          <w:szCs w:val="22"/>
        </w:rPr>
      </w:pPr>
    </w:p>
    <w:p w14:paraId="54BB1672" w14:textId="016C26BD" w:rsidR="00A0323D" w:rsidRPr="00A0323D" w:rsidRDefault="00A0323D" w:rsidP="006579F8">
      <w:pPr>
        <w:tabs>
          <w:tab w:val="left" w:pos="284"/>
        </w:tabs>
        <w:jc w:val="both"/>
        <w:rPr>
          <w:i/>
          <w:sz w:val="22"/>
          <w:szCs w:val="22"/>
          <w:u w:val="single"/>
        </w:rPr>
      </w:pPr>
      <w:proofErr w:type="spellStart"/>
      <w:r w:rsidRPr="00A0323D">
        <w:rPr>
          <w:i/>
          <w:sz w:val="22"/>
          <w:szCs w:val="22"/>
          <w:u w:val="single"/>
        </w:rPr>
        <w:t>Oštećenje</w:t>
      </w:r>
      <w:proofErr w:type="spellEnd"/>
      <w:r w:rsidRPr="00A0323D">
        <w:rPr>
          <w:i/>
          <w:sz w:val="22"/>
          <w:szCs w:val="22"/>
          <w:u w:val="single"/>
        </w:rPr>
        <w:t xml:space="preserve"> </w:t>
      </w:r>
      <w:proofErr w:type="spellStart"/>
      <w:r w:rsidRPr="00A0323D">
        <w:rPr>
          <w:i/>
          <w:sz w:val="22"/>
          <w:szCs w:val="22"/>
          <w:u w:val="single"/>
        </w:rPr>
        <w:t>funkcije</w:t>
      </w:r>
      <w:proofErr w:type="spellEnd"/>
      <w:r w:rsidRPr="00A0323D">
        <w:rPr>
          <w:i/>
          <w:sz w:val="22"/>
          <w:szCs w:val="22"/>
          <w:u w:val="single"/>
        </w:rPr>
        <w:t xml:space="preserve"> </w:t>
      </w:r>
      <w:proofErr w:type="spellStart"/>
      <w:r w:rsidRPr="00A0323D">
        <w:rPr>
          <w:i/>
          <w:sz w:val="22"/>
          <w:szCs w:val="22"/>
          <w:u w:val="single"/>
        </w:rPr>
        <w:t>bubrega</w:t>
      </w:r>
      <w:proofErr w:type="spellEnd"/>
    </w:p>
    <w:p w14:paraId="285907DB" w14:textId="237A4A6A" w:rsidR="00A0323D" w:rsidRPr="00A0323D" w:rsidRDefault="00A0323D">
      <w:pPr>
        <w:tabs>
          <w:tab w:val="left" w:pos="284"/>
        </w:tabs>
        <w:jc w:val="both"/>
        <w:rPr>
          <w:sz w:val="22"/>
          <w:szCs w:val="22"/>
        </w:rPr>
      </w:pPr>
      <w:proofErr w:type="spellStart"/>
      <w:r w:rsidRPr="00A0323D">
        <w:rPr>
          <w:sz w:val="22"/>
          <w:szCs w:val="22"/>
        </w:rPr>
        <w:t>Oštećenje</w:t>
      </w:r>
      <w:proofErr w:type="spellEnd"/>
      <w:r w:rsidRPr="00A0323D">
        <w:rPr>
          <w:sz w:val="22"/>
          <w:szCs w:val="22"/>
        </w:rPr>
        <w:t xml:space="preserve"> </w:t>
      </w:r>
      <w:proofErr w:type="spellStart"/>
      <w:r w:rsidRPr="00A0323D">
        <w:rPr>
          <w:sz w:val="22"/>
          <w:szCs w:val="22"/>
        </w:rPr>
        <w:t>funkcije</w:t>
      </w:r>
      <w:proofErr w:type="spellEnd"/>
      <w:r w:rsidRPr="00A0323D">
        <w:rPr>
          <w:sz w:val="22"/>
          <w:szCs w:val="22"/>
        </w:rPr>
        <w:t xml:space="preserve"> </w:t>
      </w:r>
      <w:proofErr w:type="spellStart"/>
      <w:r w:rsidRPr="00A0323D">
        <w:rPr>
          <w:sz w:val="22"/>
          <w:szCs w:val="22"/>
        </w:rPr>
        <w:t>bubrega</w:t>
      </w:r>
      <w:proofErr w:type="spellEnd"/>
      <w:r w:rsidRPr="00A0323D">
        <w:rPr>
          <w:sz w:val="22"/>
          <w:szCs w:val="22"/>
        </w:rPr>
        <w:t xml:space="preserve"> </w:t>
      </w:r>
      <w:proofErr w:type="spellStart"/>
      <w:r w:rsidRPr="00A0323D">
        <w:rPr>
          <w:sz w:val="22"/>
          <w:szCs w:val="22"/>
        </w:rPr>
        <w:t>može</w:t>
      </w:r>
      <w:proofErr w:type="spellEnd"/>
      <w:r w:rsidRPr="00A0323D">
        <w:rPr>
          <w:sz w:val="22"/>
          <w:szCs w:val="22"/>
        </w:rPr>
        <w:t xml:space="preserve"> </w:t>
      </w:r>
      <w:proofErr w:type="spellStart"/>
      <w:r w:rsidRPr="00A0323D">
        <w:rPr>
          <w:sz w:val="22"/>
          <w:szCs w:val="22"/>
        </w:rPr>
        <w:t>umanjiti</w:t>
      </w:r>
      <w:proofErr w:type="spellEnd"/>
      <w:r w:rsidRPr="00A0323D">
        <w:rPr>
          <w:sz w:val="22"/>
          <w:szCs w:val="22"/>
        </w:rPr>
        <w:t xml:space="preserve"> </w:t>
      </w:r>
      <w:proofErr w:type="spellStart"/>
      <w:r w:rsidRPr="00A0323D">
        <w:rPr>
          <w:sz w:val="22"/>
          <w:szCs w:val="22"/>
        </w:rPr>
        <w:t>potrebu</w:t>
      </w:r>
      <w:proofErr w:type="spellEnd"/>
      <w:r w:rsidRPr="00A0323D">
        <w:rPr>
          <w:sz w:val="22"/>
          <w:szCs w:val="22"/>
        </w:rPr>
        <w:t xml:space="preserve"> </w:t>
      </w:r>
      <w:proofErr w:type="spellStart"/>
      <w:r w:rsidRPr="00A0323D">
        <w:rPr>
          <w:sz w:val="22"/>
          <w:szCs w:val="22"/>
        </w:rPr>
        <w:t>pacijenta</w:t>
      </w:r>
      <w:proofErr w:type="spellEnd"/>
      <w:r w:rsidRPr="00A0323D">
        <w:rPr>
          <w:sz w:val="22"/>
          <w:szCs w:val="22"/>
        </w:rPr>
        <w:t xml:space="preserve"> za </w:t>
      </w:r>
      <w:proofErr w:type="spellStart"/>
      <w:r w:rsidRPr="00A0323D">
        <w:rPr>
          <w:sz w:val="22"/>
          <w:szCs w:val="22"/>
        </w:rPr>
        <w:t>insulinom</w:t>
      </w:r>
      <w:proofErr w:type="spellEnd"/>
      <w:r w:rsidRPr="00A0323D">
        <w:rPr>
          <w:sz w:val="22"/>
          <w:szCs w:val="22"/>
        </w:rPr>
        <w:t xml:space="preserve">. </w:t>
      </w:r>
      <w:proofErr w:type="spellStart"/>
      <w:r w:rsidRPr="00A0323D">
        <w:rPr>
          <w:sz w:val="22"/>
          <w:szCs w:val="22"/>
        </w:rPr>
        <w:t>Kod</w:t>
      </w:r>
      <w:proofErr w:type="spellEnd"/>
      <w:r w:rsidRPr="00A0323D">
        <w:rPr>
          <w:sz w:val="22"/>
          <w:szCs w:val="22"/>
        </w:rPr>
        <w:t xml:space="preserve"> </w:t>
      </w:r>
      <w:proofErr w:type="spellStart"/>
      <w:r w:rsidRPr="00A0323D">
        <w:rPr>
          <w:sz w:val="22"/>
          <w:szCs w:val="22"/>
        </w:rPr>
        <w:t>pacijenata</w:t>
      </w:r>
      <w:proofErr w:type="spellEnd"/>
      <w:r w:rsidRPr="00A0323D">
        <w:rPr>
          <w:sz w:val="22"/>
          <w:szCs w:val="22"/>
        </w:rPr>
        <w:t xml:space="preserve"> </w:t>
      </w:r>
      <w:proofErr w:type="spellStart"/>
      <w:r w:rsidRPr="00A0323D">
        <w:rPr>
          <w:sz w:val="22"/>
          <w:szCs w:val="22"/>
        </w:rPr>
        <w:t>sa</w:t>
      </w:r>
      <w:proofErr w:type="spellEnd"/>
      <w:r w:rsidRPr="00A0323D">
        <w:rPr>
          <w:sz w:val="22"/>
          <w:szCs w:val="22"/>
        </w:rPr>
        <w:t xml:space="preserve"> </w:t>
      </w:r>
      <w:proofErr w:type="spellStart"/>
      <w:r w:rsidRPr="00A0323D">
        <w:rPr>
          <w:sz w:val="22"/>
          <w:szCs w:val="22"/>
        </w:rPr>
        <w:t>oštećenjem</w:t>
      </w:r>
      <w:proofErr w:type="spellEnd"/>
      <w:r w:rsidRPr="00A0323D">
        <w:rPr>
          <w:sz w:val="22"/>
          <w:szCs w:val="22"/>
        </w:rPr>
        <w:t xml:space="preserve"> </w:t>
      </w:r>
      <w:proofErr w:type="spellStart"/>
      <w:r w:rsidRPr="00A0323D">
        <w:rPr>
          <w:sz w:val="22"/>
          <w:szCs w:val="22"/>
        </w:rPr>
        <w:t>funkcije</w:t>
      </w:r>
      <w:proofErr w:type="spellEnd"/>
      <w:r w:rsidRPr="00A0323D">
        <w:rPr>
          <w:sz w:val="22"/>
          <w:szCs w:val="22"/>
        </w:rPr>
        <w:t xml:space="preserve"> </w:t>
      </w:r>
      <w:proofErr w:type="spellStart"/>
      <w:r w:rsidRPr="00A0323D">
        <w:rPr>
          <w:sz w:val="22"/>
          <w:szCs w:val="22"/>
        </w:rPr>
        <w:t>bubrega</w:t>
      </w:r>
      <w:proofErr w:type="spellEnd"/>
      <w:r w:rsidRPr="00A0323D">
        <w:rPr>
          <w:sz w:val="22"/>
          <w:szCs w:val="22"/>
        </w:rPr>
        <w:t xml:space="preserve"> </w:t>
      </w:r>
      <w:proofErr w:type="spellStart"/>
      <w:r w:rsidRPr="00A0323D">
        <w:rPr>
          <w:sz w:val="22"/>
          <w:szCs w:val="22"/>
        </w:rPr>
        <w:t>treba</w:t>
      </w:r>
      <w:proofErr w:type="spellEnd"/>
      <w:r w:rsidRPr="00A0323D">
        <w:rPr>
          <w:sz w:val="22"/>
          <w:szCs w:val="22"/>
        </w:rPr>
        <w:t xml:space="preserve"> </w:t>
      </w:r>
      <w:proofErr w:type="spellStart"/>
      <w:r w:rsidRPr="00A0323D">
        <w:rPr>
          <w:sz w:val="22"/>
          <w:szCs w:val="22"/>
        </w:rPr>
        <w:t>pojačano</w:t>
      </w:r>
      <w:proofErr w:type="spellEnd"/>
      <w:r w:rsidRPr="00A0323D">
        <w:rPr>
          <w:sz w:val="22"/>
          <w:szCs w:val="22"/>
        </w:rPr>
        <w:t xml:space="preserve"> </w:t>
      </w:r>
      <w:proofErr w:type="spellStart"/>
      <w:r w:rsidRPr="00A0323D">
        <w:rPr>
          <w:sz w:val="22"/>
          <w:szCs w:val="22"/>
        </w:rPr>
        <w:t>pratiti</w:t>
      </w:r>
      <w:proofErr w:type="spellEnd"/>
      <w:r w:rsidRPr="00A0323D">
        <w:rPr>
          <w:sz w:val="22"/>
          <w:szCs w:val="22"/>
        </w:rPr>
        <w:t xml:space="preserve"> </w:t>
      </w:r>
      <w:proofErr w:type="spellStart"/>
      <w:r w:rsidRPr="00A0323D">
        <w:rPr>
          <w:sz w:val="22"/>
          <w:szCs w:val="22"/>
        </w:rPr>
        <w:t>nivo</w:t>
      </w:r>
      <w:proofErr w:type="spellEnd"/>
      <w:r w:rsidRPr="00A0323D">
        <w:rPr>
          <w:sz w:val="22"/>
          <w:szCs w:val="22"/>
        </w:rPr>
        <w:t xml:space="preserve"> </w:t>
      </w:r>
      <w:proofErr w:type="spellStart"/>
      <w:r w:rsidRPr="00A0323D">
        <w:rPr>
          <w:sz w:val="22"/>
          <w:szCs w:val="22"/>
        </w:rPr>
        <w:t>glukoze</w:t>
      </w:r>
      <w:proofErr w:type="spellEnd"/>
      <w:r w:rsidRPr="00A0323D">
        <w:rPr>
          <w:sz w:val="22"/>
          <w:szCs w:val="22"/>
        </w:rPr>
        <w:t xml:space="preserve"> u </w:t>
      </w:r>
      <w:proofErr w:type="spellStart"/>
      <w:r w:rsidRPr="00A0323D">
        <w:rPr>
          <w:sz w:val="22"/>
          <w:szCs w:val="22"/>
        </w:rPr>
        <w:t>krvi</w:t>
      </w:r>
      <w:proofErr w:type="spellEnd"/>
      <w:r w:rsidRPr="00A0323D">
        <w:rPr>
          <w:sz w:val="22"/>
          <w:szCs w:val="22"/>
        </w:rPr>
        <w:t xml:space="preserve"> i </w:t>
      </w:r>
      <w:proofErr w:type="spellStart"/>
      <w:r w:rsidRPr="00A0323D">
        <w:rPr>
          <w:sz w:val="22"/>
          <w:szCs w:val="22"/>
        </w:rPr>
        <w:t>individualno</w:t>
      </w:r>
      <w:proofErr w:type="spellEnd"/>
      <w:r w:rsidRPr="00A0323D">
        <w:rPr>
          <w:sz w:val="22"/>
          <w:szCs w:val="22"/>
        </w:rPr>
        <w:t xml:space="preserve"> </w:t>
      </w:r>
      <w:proofErr w:type="spellStart"/>
      <w:r w:rsidRPr="00A0323D">
        <w:rPr>
          <w:sz w:val="22"/>
          <w:szCs w:val="22"/>
        </w:rPr>
        <w:t>prilagoditi</w:t>
      </w:r>
      <w:proofErr w:type="spellEnd"/>
      <w:r w:rsidRPr="00A0323D">
        <w:rPr>
          <w:sz w:val="22"/>
          <w:szCs w:val="22"/>
        </w:rPr>
        <w:t xml:space="preserve"> </w:t>
      </w:r>
      <w:proofErr w:type="spellStart"/>
      <w:r w:rsidRPr="00A0323D">
        <w:rPr>
          <w:sz w:val="22"/>
          <w:szCs w:val="22"/>
        </w:rPr>
        <w:t>dozu</w:t>
      </w:r>
      <w:proofErr w:type="spellEnd"/>
      <w:r w:rsidRPr="00A0323D">
        <w:rPr>
          <w:sz w:val="22"/>
          <w:szCs w:val="22"/>
        </w:rPr>
        <w:t xml:space="preserve"> (</w:t>
      </w:r>
      <w:proofErr w:type="spellStart"/>
      <w:r w:rsidRPr="00A0323D">
        <w:rPr>
          <w:sz w:val="22"/>
          <w:szCs w:val="22"/>
        </w:rPr>
        <w:t>vidjeti</w:t>
      </w:r>
      <w:proofErr w:type="spellEnd"/>
      <w:r w:rsidRPr="00A0323D">
        <w:rPr>
          <w:sz w:val="22"/>
          <w:szCs w:val="22"/>
        </w:rPr>
        <w:t xml:space="preserve"> </w:t>
      </w:r>
      <w:proofErr w:type="spellStart"/>
      <w:r w:rsidR="00AD3C88">
        <w:rPr>
          <w:sz w:val="22"/>
          <w:szCs w:val="22"/>
        </w:rPr>
        <w:t>dio</w:t>
      </w:r>
      <w:proofErr w:type="spellEnd"/>
      <w:r w:rsidR="00AD3C88">
        <w:rPr>
          <w:sz w:val="22"/>
          <w:szCs w:val="22"/>
        </w:rPr>
        <w:t xml:space="preserve"> </w:t>
      </w:r>
      <w:r w:rsidRPr="00A0323D">
        <w:rPr>
          <w:sz w:val="22"/>
          <w:szCs w:val="22"/>
        </w:rPr>
        <w:t>5.2).</w:t>
      </w:r>
    </w:p>
    <w:p w14:paraId="5A22C1C3" w14:textId="77777777" w:rsidR="0026366B" w:rsidRDefault="0026366B" w:rsidP="0026366B">
      <w:pPr>
        <w:tabs>
          <w:tab w:val="left" w:pos="284"/>
        </w:tabs>
        <w:jc w:val="both"/>
        <w:rPr>
          <w:i/>
          <w:sz w:val="22"/>
          <w:szCs w:val="22"/>
          <w:u w:val="single"/>
        </w:rPr>
      </w:pPr>
    </w:p>
    <w:p w14:paraId="35DD7852" w14:textId="613F72C4" w:rsidR="0026366B" w:rsidRPr="00A0323D" w:rsidRDefault="0026366B" w:rsidP="0026366B">
      <w:pPr>
        <w:tabs>
          <w:tab w:val="left" w:pos="284"/>
        </w:tabs>
        <w:jc w:val="both"/>
        <w:rPr>
          <w:i/>
          <w:sz w:val="22"/>
          <w:szCs w:val="22"/>
          <w:u w:val="single"/>
        </w:rPr>
      </w:pPr>
      <w:proofErr w:type="spellStart"/>
      <w:r w:rsidRPr="00A0323D">
        <w:rPr>
          <w:i/>
          <w:sz w:val="22"/>
          <w:szCs w:val="22"/>
          <w:u w:val="single"/>
        </w:rPr>
        <w:t>Oštećenje</w:t>
      </w:r>
      <w:proofErr w:type="spellEnd"/>
      <w:r w:rsidRPr="00A0323D">
        <w:rPr>
          <w:i/>
          <w:sz w:val="22"/>
          <w:szCs w:val="22"/>
          <w:u w:val="single"/>
        </w:rPr>
        <w:t xml:space="preserve"> </w:t>
      </w:r>
      <w:proofErr w:type="spellStart"/>
      <w:r w:rsidRPr="00A0323D">
        <w:rPr>
          <w:i/>
          <w:sz w:val="22"/>
          <w:szCs w:val="22"/>
          <w:u w:val="single"/>
        </w:rPr>
        <w:t>funkcije</w:t>
      </w:r>
      <w:proofErr w:type="spellEnd"/>
      <w:r w:rsidRPr="00A0323D">
        <w:rPr>
          <w:i/>
          <w:sz w:val="22"/>
          <w:szCs w:val="22"/>
          <w:u w:val="single"/>
        </w:rPr>
        <w:t xml:space="preserve"> </w:t>
      </w:r>
      <w:proofErr w:type="spellStart"/>
      <w:r>
        <w:rPr>
          <w:i/>
          <w:sz w:val="22"/>
          <w:szCs w:val="22"/>
          <w:u w:val="single"/>
        </w:rPr>
        <w:t>jetre</w:t>
      </w:r>
      <w:proofErr w:type="spellEnd"/>
    </w:p>
    <w:p w14:paraId="0C5DA6A7" w14:textId="77777777" w:rsidR="0026366B" w:rsidRPr="00A0323D" w:rsidRDefault="0026366B" w:rsidP="0026366B">
      <w:pPr>
        <w:tabs>
          <w:tab w:val="left" w:pos="284"/>
        </w:tabs>
        <w:jc w:val="both"/>
        <w:rPr>
          <w:sz w:val="22"/>
          <w:szCs w:val="22"/>
        </w:rPr>
      </w:pPr>
      <w:proofErr w:type="spellStart"/>
      <w:r w:rsidRPr="00A0323D">
        <w:rPr>
          <w:sz w:val="22"/>
          <w:szCs w:val="22"/>
        </w:rPr>
        <w:t>Oštećenje</w:t>
      </w:r>
      <w:proofErr w:type="spellEnd"/>
      <w:r w:rsidRPr="00A0323D">
        <w:rPr>
          <w:sz w:val="22"/>
          <w:szCs w:val="22"/>
        </w:rPr>
        <w:t xml:space="preserve"> </w:t>
      </w:r>
      <w:proofErr w:type="spellStart"/>
      <w:r w:rsidRPr="00A0323D">
        <w:rPr>
          <w:sz w:val="22"/>
          <w:szCs w:val="22"/>
        </w:rPr>
        <w:t>funkcije</w:t>
      </w:r>
      <w:proofErr w:type="spellEnd"/>
      <w:r w:rsidRPr="00A0323D">
        <w:rPr>
          <w:sz w:val="22"/>
          <w:szCs w:val="22"/>
        </w:rPr>
        <w:t xml:space="preserve"> </w:t>
      </w:r>
      <w:proofErr w:type="spellStart"/>
      <w:r w:rsidRPr="00A0323D">
        <w:rPr>
          <w:sz w:val="22"/>
          <w:szCs w:val="22"/>
        </w:rPr>
        <w:t>jetre</w:t>
      </w:r>
      <w:proofErr w:type="spellEnd"/>
      <w:r w:rsidRPr="00A0323D">
        <w:rPr>
          <w:sz w:val="22"/>
          <w:szCs w:val="22"/>
        </w:rPr>
        <w:t xml:space="preserve"> </w:t>
      </w:r>
      <w:proofErr w:type="spellStart"/>
      <w:r w:rsidRPr="00A0323D">
        <w:rPr>
          <w:sz w:val="22"/>
          <w:szCs w:val="22"/>
        </w:rPr>
        <w:t>može</w:t>
      </w:r>
      <w:proofErr w:type="spellEnd"/>
      <w:r w:rsidRPr="00A0323D">
        <w:rPr>
          <w:sz w:val="22"/>
          <w:szCs w:val="22"/>
        </w:rPr>
        <w:t xml:space="preserve"> </w:t>
      </w:r>
      <w:proofErr w:type="spellStart"/>
      <w:r w:rsidRPr="00A0323D">
        <w:rPr>
          <w:sz w:val="22"/>
          <w:szCs w:val="22"/>
        </w:rPr>
        <w:t>umanjiti</w:t>
      </w:r>
      <w:proofErr w:type="spellEnd"/>
      <w:r w:rsidRPr="00A0323D">
        <w:rPr>
          <w:sz w:val="22"/>
          <w:szCs w:val="22"/>
        </w:rPr>
        <w:t xml:space="preserve"> </w:t>
      </w:r>
      <w:proofErr w:type="spellStart"/>
      <w:r w:rsidRPr="00A0323D">
        <w:rPr>
          <w:sz w:val="22"/>
          <w:szCs w:val="22"/>
        </w:rPr>
        <w:t>potrebu</w:t>
      </w:r>
      <w:proofErr w:type="spellEnd"/>
      <w:r w:rsidRPr="00A0323D">
        <w:rPr>
          <w:sz w:val="22"/>
          <w:szCs w:val="22"/>
        </w:rPr>
        <w:t xml:space="preserve"> </w:t>
      </w:r>
      <w:proofErr w:type="spellStart"/>
      <w:r w:rsidRPr="00A0323D">
        <w:rPr>
          <w:sz w:val="22"/>
          <w:szCs w:val="22"/>
        </w:rPr>
        <w:t>pacijenta</w:t>
      </w:r>
      <w:proofErr w:type="spellEnd"/>
      <w:r w:rsidRPr="00A0323D">
        <w:rPr>
          <w:sz w:val="22"/>
          <w:szCs w:val="22"/>
        </w:rPr>
        <w:t xml:space="preserve"> za </w:t>
      </w:r>
      <w:proofErr w:type="spellStart"/>
      <w:r w:rsidRPr="00A0323D">
        <w:rPr>
          <w:sz w:val="22"/>
          <w:szCs w:val="22"/>
        </w:rPr>
        <w:t>insulinom</w:t>
      </w:r>
      <w:proofErr w:type="spellEnd"/>
      <w:r w:rsidRPr="00A0323D">
        <w:rPr>
          <w:sz w:val="22"/>
          <w:szCs w:val="22"/>
        </w:rPr>
        <w:t xml:space="preserve">. </w:t>
      </w:r>
      <w:proofErr w:type="spellStart"/>
      <w:r w:rsidRPr="00A0323D">
        <w:rPr>
          <w:sz w:val="22"/>
          <w:szCs w:val="22"/>
        </w:rPr>
        <w:t>Kod</w:t>
      </w:r>
      <w:proofErr w:type="spellEnd"/>
      <w:r w:rsidRPr="00A0323D">
        <w:rPr>
          <w:sz w:val="22"/>
          <w:szCs w:val="22"/>
        </w:rPr>
        <w:t xml:space="preserve"> </w:t>
      </w:r>
      <w:proofErr w:type="spellStart"/>
      <w:r w:rsidRPr="00A0323D">
        <w:rPr>
          <w:sz w:val="22"/>
          <w:szCs w:val="22"/>
        </w:rPr>
        <w:t>pacijenata</w:t>
      </w:r>
      <w:proofErr w:type="spellEnd"/>
      <w:r w:rsidRPr="00A0323D">
        <w:rPr>
          <w:sz w:val="22"/>
          <w:szCs w:val="22"/>
        </w:rPr>
        <w:t xml:space="preserve"> </w:t>
      </w:r>
      <w:proofErr w:type="spellStart"/>
      <w:r w:rsidRPr="00A0323D">
        <w:rPr>
          <w:sz w:val="22"/>
          <w:szCs w:val="22"/>
        </w:rPr>
        <w:t>sa</w:t>
      </w:r>
      <w:proofErr w:type="spellEnd"/>
      <w:r w:rsidRPr="00A0323D">
        <w:rPr>
          <w:sz w:val="22"/>
          <w:szCs w:val="22"/>
        </w:rPr>
        <w:t xml:space="preserve"> </w:t>
      </w:r>
      <w:proofErr w:type="spellStart"/>
      <w:r w:rsidRPr="00A0323D">
        <w:rPr>
          <w:sz w:val="22"/>
          <w:szCs w:val="22"/>
        </w:rPr>
        <w:t>oštećenjem</w:t>
      </w:r>
      <w:proofErr w:type="spellEnd"/>
      <w:r w:rsidRPr="00A0323D">
        <w:rPr>
          <w:sz w:val="22"/>
          <w:szCs w:val="22"/>
        </w:rPr>
        <w:t xml:space="preserve"> </w:t>
      </w:r>
      <w:proofErr w:type="spellStart"/>
      <w:r w:rsidRPr="00A0323D">
        <w:rPr>
          <w:sz w:val="22"/>
          <w:szCs w:val="22"/>
        </w:rPr>
        <w:t>funkcije</w:t>
      </w:r>
      <w:proofErr w:type="spellEnd"/>
      <w:r w:rsidRPr="00A0323D">
        <w:rPr>
          <w:sz w:val="22"/>
          <w:szCs w:val="22"/>
        </w:rPr>
        <w:t xml:space="preserve"> </w:t>
      </w:r>
      <w:proofErr w:type="spellStart"/>
      <w:r w:rsidRPr="00A0323D">
        <w:rPr>
          <w:sz w:val="22"/>
          <w:szCs w:val="22"/>
        </w:rPr>
        <w:t>jetre</w:t>
      </w:r>
      <w:proofErr w:type="spellEnd"/>
      <w:r w:rsidRPr="00A0323D">
        <w:rPr>
          <w:sz w:val="22"/>
          <w:szCs w:val="22"/>
        </w:rPr>
        <w:t xml:space="preserve"> </w:t>
      </w:r>
      <w:proofErr w:type="spellStart"/>
      <w:r w:rsidRPr="00A0323D">
        <w:rPr>
          <w:sz w:val="22"/>
          <w:szCs w:val="22"/>
        </w:rPr>
        <w:t>treba</w:t>
      </w:r>
      <w:proofErr w:type="spellEnd"/>
      <w:r w:rsidRPr="00A0323D">
        <w:rPr>
          <w:sz w:val="22"/>
          <w:szCs w:val="22"/>
        </w:rPr>
        <w:t xml:space="preserve"> </w:t>
      </w:r>
      <w:proofErr w:type="spellStart"/>
      <w:r w:rsidRPr="00A0323D">
        <w:rPr>
          <w:sz w:val="22"/>
          <w:szCs w:val="22"/>
        </w:rPr>
        <w:t>pojačano</w:t>
      </w:r>
      <w:proofErr w:type="spellEnd"/>
      <w:r w:rsidRPr="00A0323D">
        <w:rPr>
          <w:sz w:val="22"/>
          <w:szCs w:val="22"/>
        </w:rPr>
        <w:t xml:space="preserve"> </w:t>
      </w:r>
      <w:proofErr w:type="spellStart"/>
      <w:r w:rsidRPr="00A0323D">
        <w:rPr>
          <w:sz w:val="22"/>
          <w:szCs w:val="22"/>
        </w:rPr>
        <w:t>pratiti</w:t>
      </w:r>
      <w:proofErr w:type="spellEnd"/>
      <w:r w:rsidRPr="00A0323D">
        <w:rPr>
          <w:sz w:val="22"/>
          <w:szCs w:val="22"/>
        </w:rPr>
        <w:t xml:space="preserve"> </w:t>
      </w:r>
      <w:proofErr w:type="spellStart"/>
      <w:r w:rsidRPr="00A0323D">
        <w:rPr>
          <w:sz w:val="22"/>
          <w:szCs w:val="22"/>
        </w:rPr>
        <w:t>nivo</w:t>
      </w:r>
      <w:proofErr w:type="spellEnd"/>
      <w:r w:rsidRPr="00A0323D">
        <w:rPr>
          <w:sz w:val="22"/>
          <w:szCs w:val="22"/>
        </w:rPr>
        <w:t xml:space="preserve"> </w:t>
      </w:r>
      <w:proofErr w:type="spellStart"/>
      <w:r w:rsidRPr="00A0323D">
        <w:rPr>
          <w:sz w:val="22"/>
          <w:szCs w:val="22"/>
        </w:rPr>
        <w:t>glukoze</w:t>
      </w:r>
      <w:proofErr w:type="spellEnd"/>
      <w:r w:rsidRPr="00A0323D">
        <w:rPr>
          <w:sz w:val="22"/>
          <w:szCs w:val="22"/>
        </w:rPr>
        <w:t xml:space="preserve"> u </w:t>
      </w:r>
      <w:proofErr w:type="spellStart"/>
      <w:r w:rsidRPr="00A0323D">
        <w:rPr>
          <w:sz w:val="22"/>
          <w:szCs w:val="22"/>
        </w:rPr>
        <w:t>krvi</w:t>
      </w:r>
      <w:proofErr w:type="spellEnd"/>
      <w:r w:rsidRPr="00A0323D">
        <w:rPr>
          <w:sz w:val="22"/>
          <w:szCs w:val="22"/>
        </w:rPr>
        <w:t xml:space="preserve"> i </w:t>
      </w:r>
      <w:proofErr w:type="spellStart"/>
      <w:r w:rsidRPr="00A0323D">
        <w:rPr>
          <w:sz w:val="22"/>
          <w:szCs w:val="22"/>
        </w:rPr>
        <w:t>individualno</w:t>
      </w:r>
      <w:proofErr w:type="spellEnd"/>
      <w:r w:rsidRPr="00A0323D">
        <w:rPr>
          <w:sz w:val="22"/>
          <w:szCs w:val="22"/>
        </w:rPr>
        <w:t xml:space="preserve"> </w:t>
      </w:r>
      <w:proofErr w:type="spellStart"/>
      <w:r w:rsidRPr="00A0323D">
        <w:rPr>
          <w:sz w:val="22"/>
          <w:szCs w:val="22"/>
        </w:rPr>
        <w:t>prilagoditi</w:t>
      </w:r>
      <w:proofErr w:type="spellEnd"/>
      <w:r w:rsidRPr="00A0323D">
        <w:rPr>
          <w:sz w:val="22"/>
          <w:szCs w:val="22"/>
        </w:rPr>
        <w:t xml:space="preserve"> </w:t>
      </w:r>
      <w:proofErr w:type="spellStart"/>
      <w:r w:rsidRPr="00A0323D">
        <w:rPr>
          <w:sz w:val="22"/>
          <w:szCs w:val="22"/>
        </w:rPr>
        <w:t>dozu</w:t>
      </w:r>
      <w:proofErr w:type="spellEnd"/>
      <w:r w:rsidRPr="00A0323D">
        <w:rPr>
          <w:sz w:val="22"/>
          <w:szCs w:val="22"/>
        </w:rPr>
        <w:t xml:space="preserve"> (</w:t>
      </w:r>
      <w:proofErr w:type="spellStart"/>
      <w:r w:rsidRPr="00A0323D">
        <w:rPr>
          <w:sz w:val="22"/>
          <w:szCs w:val="22"/>
        </w:rPr>
        <w:t>vidjeti</w:t>
      </w:r>
      <w:proofErr w:type="spellEnd"/>
      <w:r w:rsidRPr="00A0323D">
        <w:rPr>
          <w:sz w:val="22"/>
          <w:szCs w:val="22"/>
        </w:rPr>
        <w:t xml:space="preserve"> </w:t>
      </w:r>
      <w:proofErr w:type="spellStart"/>
      <w:r w:rsidRPr="00A0323D">
        <w:rPr>
          <w:sz w:val="22"/>
          <w:szCs w:val="22"/>
        </w:rPr>
        <w:t>odjeljak</w:t>
      </w:r>
      <w:proofErr w:type="spellEnd"/>
      <w:r w:rsidRPr="00A0323D">
        <w:rPr>
          <w:sz w:val="22"/>
          <w:szCs w:val="22"/>
        </w:rPr>
        <w:t xml:space="preserve"> 5.2).</w:t>
      </w:r>
    </w:p>
    <w:p w14:paraId="7A8F1A5F" w14:textId="77777777" w:rsidR="00A0323D" w:rsidRPr="001D23DB" w:rsidRDefault="00A0323D" w:rsidP="000F6B37">
      <w:pPr>
        <w:tabs>
          <w:tab w:val="left" w:pos="540"/>
          <w:tab w:val="left" w:pos="569"/>
        </w:tabs>
        <w:jc w:val="both"/>
        <w:rPr>
          <w:bCs/>
          <w:sz w:val="22"/>
          <w:szCs w:val="22"/>
        </w:rPr>
      </w:pPr>
    </w:p>
    <w:p w14:paraId="5EF3A918" w14:textId="77777777" w:rsidR="00A0323D" w:rsidRPr="00A0323D" w:rsidRDefault="00A0323D" w:rsidP="00981470">
      <w:pPr>
        <w:tabs>
          <w:tab w:val="left" w:pos="540"/>
          <w:tab w:val="left" w:pos="569"/>
        </w:tabs>
        <w:jc w:val="both"/>
        <w:rPr>
          <w:bCs/>
          <w:i/>
          <w:iCs/>
          <w:sz w:val="22"/>
          <w:szCs w:val="22"/>
          <w:u w:val="single"/>
          <w:lang w:val="sr-Latn-CS"/>
        </w:rPr>
      </w:pPr>
      <w:r w:rsidRPr="00A0323D">
        <w:rPr>
          <w:bCs/>
          <w:i/>
          <w:iCs/>
          <w:sz w:val="22"/>
          <w:szCs w:val="22"/>
          <w:u w:val="single"/>
          <w:lang w:val="sr-Latn-CS"/>
        </w:rPr>
        <w:t>Pedijatrijska populacija</w:t>
      </w:r>
    </w:p>
    <w:p w14:paraId="44AADDDA" w14:textId="2688B874" w:rsidR="00A452D0" w:rsidRPr="00A452D0" w:rsidRDefault="00AD3C88" w:rsidP="00A452D0">
      <w:pPr>
        <w:tabs>
          <w:tab w:val="left" w:pos="540"/>
          <w:tab w:val="left" w:pos="569"/>
        </w:tabs>
        <w:jc w:val="both"/>
        <w:rPr>
          <w:bCs/>
          <w:sz w:val="22"/>
          <w:szCs w:val="22"/>
          <w:lang w:val="sr-Latn-CS"/>
        </w:rPr>
      </w:pPr>
      <w:r>
        <w:rPr>
          <w:bCs/>
          <w:sz w:val="22"/>
          <w:szCs w:val="22"/>
          <w:lang w:val="sr-Latn-CS"/>
        </w:rPr>
        <w:t xml:space="preserve">Lijek </w:t>
      </w:r>
      <w:r w:rsidR="00A452D0" w:rsidRPr="00A452D0">
        <w:rPr>
          <w:bCs/>
          <w:sz w:val="22"/>
          <w:szCs w:val="22"/>
          <w:lang w:val="sr-Latn-CS"/>
        </w:rPr>
        <w:t xml:space="preserve">Fiasp se može primjenjivati </w:t>
      </w:r>
      <w:r w:rsidR="002E6586">
        <w:rPr>
          <w:bCs/>
          <w:sz w:val="22"/>
          <w:szCs w:val="22"/>
          <w:lang w:val="sr-Latn-CS"/>
        </w:rPr>
        <w:t>kod</w:t>
      </w:r>
      <w:r w:rsidR="00A452D0" w:rsidRPr="00A452D0">
        <w:rPr>
          <w:bCs/>
          <w:sz w:val="22"/>
          <w:szCs w:val="22"/>
          <w:lang w:val="sr-Latn-CS"/>
        </w:rPr>
        <w:t xml:space="preserve"> adolescenata i djece </w:t>
      </w:r>
      <w:r w:rsidR="001423A3">
        <w:rPr>
          <w:bCs/>
          <w:sz w:val="22"/>
          <w:szCs w:val="22"/>
          <w:lang w:val="sr-Latn-CS"/>
        </w:rPr>
        <w:t>uzrasta</w:t>
      </w:r>
      <w:r w:rsidR="002E6586">
        <w:rPr>
          <w:bCs/>
          <w:sz w:val="22"/>
          <w:szCs w:val="22"/>
          <w:lang w:val="sr-Latn-CS"/>
        </w:rPr>
        <w:t xml:space="preserve"> od 1</w:t>
      </w:r>
      <w:r w:rsidR="00A452D0" w:rsidRPr="00A452D0">
        <w:rPr>
          <w:bCs/>
          <w:sz w:val="22"/>
          <w:szCs w:val="22"/>
          <w:lang w:val="sr-Latn-CS"/>
        </w:rPr>
        <w:t xml:space="preserve"> godin</w:t>
      </w:r>
      <w:r w:rsidR="002E6586">
        <w:rPr>
          <w:bCs/>
          <w:sz w:val="22"/>
          <w:szCs w:val="22"/>
          <w:lang w:val="sr-Latn-CS"/>
        </w:rPr>
        <w:t>e</w:t>
      </w:r>
      <w:r w:rsidR="001423A3">
        <w:rPr>
          <w:bCs/>
          <w:sz w:val="22"/>
          <w:szCs w:val="22"/>
          <w:lang w:val="sr-Latn-CS"/>
        </w:rPr>
        <w:t xml:space="preserve"> i starije</w:t>
      </w:r>
      <w:r w:rsidR="00A452D0" w:rsidRPr="00A452D0">
        <w:rPr>
          <w:bCs/>
          <w:sz w:val="22"/>
          <w:szCs w:val="22"/>
          <w:lang w:val="sr-Latn-CS"/>
        </w:rPr>
        <w:t xml:space="preserve"> (vidjeti </w:t>
      </w:r>
      <w:r>
        <w:rPr>
          <w:bCs/>
          <w:sz w:val="22"/>
          <w:szCs w:val="22"/>
          <w:lang w:val="sr-Latn-CS"/>
        </w:rPr>
        <w:t xml:space="preserve">dio </w:t>
      </w:r>
      <w:r w:rsidR="00A452D0" w:rsidRPr="00A452D0">
        <w:rPr>
          <w:bCs/>
          <w:sz w:val="22"/>
          <w:szCs w:val="22"/>
          <w:lang w:val="sr-Latn-CS"/>
        </w:rPr>
        <w:t>5.1). Nema kliničkog iskustva s</w:t>
      </w:r>
      <w:r w:rsidR="002E6586">
        <w:rPr>
          <w:bCs/>
          <w:sz w:val="22"/>
          <w:szCs w:val="22"/>
          <w:lang w:val="sr-Latn-CS"/>
        </w:rPr>
        <w:t>a</w:t>
      </w:r>
      <w:r w:rsidR="00A452D0" w:rsidRPr="00A452D0">
        <w:rPr>
          <w:bCs/>
          <w:sz w:val="22"/>
          <w:szCs w:val="22"/>
          <w:lang w:val="sr-Latn-CS"/>
        </w:rPr>
        <w:t xml:space="preserve"> primjenom lijeka Fiasp </w:t>
      </w:r>
      <w:r w:rsidR="002E6586">
        <w:rPr>
          <w:bCs/>
          <w:sz w:val="22"/>
          <w:szCs w:val="22"/>
          <w:lang w:val="sr-Latn-CS"/>
        </w:rPr>
        <w:t>kod</w:t>
      </w:r>
      <w:r w:rsidR="00A452D0" w:rsidRPr="00A452D0">
        <w:rPr>
          <w:bCs/>
          <w:sz w:val="22"/>
          <w:szCs w:val="22"/>
          <w:lang w:val="sr-Latn-CS"/>
        </w:rPr>
        <w:t xml:space="preserve"> djece mlađe od 2 godine.</w:t>
      </w:r>
    </w:p>
    <w:p w14:paraId="6A0DCFC1" w14:textId="0E62CA3D" w:rsidR="00A0323D" w:rsidRPr="00A0323D" w:rsidRDefault="00A452D0" w:rsidP="00A452D0">
      <w:pPr>
        <w:tabs>
          <w:tab w:val="left" w:pos="540"/>
          <w:tab w:val="left" w:pos="569"/>
        </w:tabs>
        <w:jc w:val="both"/>
        <w:rPr>
          <w:bCs/>
          <w:sz w:val="22"/>
          <w:szCs w:val="22"/>
          <w:lang w:val="sr-Latn-CS"/>
        </w:rPr>
      </w:pPr>
      <w:r w:rsidRPr="00A452D0">
        <w:rPr>
          <w:bCs/>
          <w:sz w:val="22"/>
          <w:szCs w:val="22"/>
          <w:lang w:val="sr-Latn-CS"/>
        </w:rPr>
        <w:t xml:space="preserve">Preporučuje se </w:t>
      </w:r>
      <w:r w:rsidR="002E6586">
        <w:rPr>
          <w:bCs/>
          <w:sz w:val="22"/>
          <w:szCs w:val="22"/>
          <w:lang w:val="sr-Latn-CS"/>
        </w:rPr>
        <w:t xml:space="preserve">da lijek </w:t>
      </w:r>
      <w:r w:rsidRPr="00A452D0">
        <w:rPr>
          <w:bCs/>
          <w:sz w:val="22"/>
          <w:szCs w:val="22"/>
          <w:lang w:val="sr-Latn-CS"/>
        </w:rPr>
        <w:t xml:space="preserve">Fiasp </w:t>
      </w:r>
      <w:r w:rsidR="002E6586">
        <w:rPr>
          <w:bCs/>
          <w:sz w:val="22"/>
          <w:szCs w:val="22"/>
          <w:lang w:val="sr-Latn-CS"/>
        </w:rPr>
        <w:t xml:space="preserve">bude </w:t>
      </w:r>
      <w:r w:rsidR="002E6586" w:rsidRPr="00A452D0">
        <w:rPr>
          <w:bCs/>
          <w:sz w:val="22"/>
          <w:szCs w:val="22"/>
          <w:lang w:val="sr-Latn-CS"/>
        </w:rPr>
        <w:t>prim</w:t>
      </w:r>
      <w:r w:rsidR="00AD3C88">
        <w:rPr>
          <w:bCs/>
          <w:sz w:val="22"/>
          <w:szCs w:val="22"/>
          <w:lang w:val="sr-Latn-CS"/>
        </w:rPr>
        <w:t>i</w:t>
      </w:r>
      <w:r w:rsidR="002E6586" w:rsidRPr="00A452D0">
        <w:rPr>
          <w:bCs/>
          <w:sz w:val="22"/>
          <w:szCs w:val="22"/>
          <w:lang w:val="sr-Latn-CS"/>
        </w:rPr>
        <w:t>jenj</w:t>
      </w:r>
      <w:r w:rsidR="002E6586">
        <w:rPr>
          <w:bCs/>
          <w:sz w:val="22"/>
          <w:szCs w:val="22"/>
          <w:lang w:val="sr-Latn-CS"/>
        </w:rPr>
        <w:t>en</w:t>
      </w:r>
      <w:r w:rsidR="002E6586" w:rsidRPr="00A452D0">
        <w:rPr>
          <w:bCs/>
          <w:sz w:val="22"/>
          <w:szCs w:val="22"/>
          <w:lang w:val="sr-Latn-CS"/>
        </w:rPr>
        <w:t xml:space="preserve"> </w:t>
      </w:r>
      <w:r w:rsidRPr="00A452D0">
        <w:rPr>
          <w:bCs/>
          <w:sz w:val="22"/>
          <w:szCs w:val="22"/>
          <w:lang w:val="sr-Latn-CS"/>
        </w:rPr>
        <w:t>prije obroka (0-2 minut</w:t>
      </w:r>
      <w:r w:rsidR="002E6586">
        <w:rPr>
          <w:bCs/>
          <w:sz w:val="22"/>
          <w:szCs w:val="22"/>
          <w:lang w:val="sr-Latn-CS"/>
        </w:rPr>
        <w:t>a</w:t>
      </w:r>
      <w:r w:rsidRPr="00A452D0">
        <w:rPr>
          <w:bCs/>
          <w:sz w:val="22"/>
          <w:szCs w:val="22"/>
          <w:lang w:val="sr-Latn-CS"/>
        </w:rPr>
        <w:t xml:space="preserve">), ali u situacijama kada postoji neizvjesnost oko unosa obroka može </w:t>
      </w:r>
      <w:r w:rsidR="00CB37B9">
        <w:rPr>
          <w:bCs/>
          <w:sz w:val="22"/>
          <w:szCs w:val="22"/>
          <w:lang w:val="sr-Latn-CS"/>
        </w:rPr>
        <w:t xml:space="preserve">se </w:t>
      </w:r>
      <w:r w:rsidRPr="00A452D0">
        <w:rPr>
          <w:bCs/>
          <w:sz w:val="22"/>
          <w:szCs w:val="22"/>
          <w:lang w:val="sr-Latn-CS"/>
        </w:rPr>
        <w:t>primijeniti i do 20 minuta nakon početka obroka.</w:t>
      </w:r>
    </w:p>
    <w:p w14:paraId="2EE81DF8" w14:textId="77777777" w:rsidR="00A0323D" w:rsidRPr="00A0323D" w:rsidRDefault="00A0323D" w:rsidP="00442BD2">
      <w:pPr>
        <w:tabs>
          <w:tab w:val="left" w:pos="540"/>
          <w:tab w:val="left" w:pos="569"/>
        </w:tabs>
        <w:jc w:val="both"/>
        <w:rPr>
          <w:bCs/>
          <w:sz w:val="22"/>
          <w:szCs w:val="22"/>
          <w:lang w:val="sr-Latn-CS"/>
        </w:rPr>
      </w:pPr>
    </w:p>
    <w:p w14:paraId="19D27A6E" w14:textId="77777777" w:rsidR="00A0323D" w:rsidRPr="00A0323D" w:rsidRDefault="00A0323D" w:rsidP="005A154F">
      <w:pPr>
        <w:tabs>
          <w:tab w:val="left" w:pos="540"/>
          <w:tab w:val="left" w:pos="569"/>
        </w:tabs>
        <w:jc w:val="both"/>
        <w:rPr>
          <w:bCs/>
          <w:i/>
          <w:iCs/>
          <w:sz w:val="22"/>
          <w:szCs w:val="22"/>
          <w:lang w:val="sr-Latn-CS"/>
        </w:rPr>
      </w:pPr>
      <w:r w:rsidRPr="00A0323D">
        <w:rPr>
          <w:bCs/>
          <w:i/>
          <w:iCs/>
          <w:sz w:val="22"/>
          <w:szCs w:val="22"/>
          <w:lang w:val="sr-Latn-CS"/>
        </w:rPr>
        <w:t>Prevođenje sa drugih insulinskih preparata</w:t>
      </w:r>
    </w:p>
    <w:p w14:paraId="3AAF7E71" w14:textId="77777777" w:rsidR="00A0323D" w:rsidRPr="00A0323D" w:rsidRDefault="00A0323D" w:rsidP="006579F8">
      <w:pPr>
        <w:tabs>
          <w:tab w:val="left" w:pos="540"/>
          <w:tab w:val="left" w:pos="569"/>
        </w:tabs>
        <w:jc w:val="both"/>
        <w:rPr>
          <w:bCs/>
          <w:sz w:val="22"/>
          <w:szCs w:val="22"/>
          <w:lang w:val="sr-Latn-CS"/>
        </w:rPr>
      </w:pPr>
      <w:r w:rsidRPr="00A0323D">
        <w:rPr>
          <w:bCs/>
          <w:sz w:val="22"/>
          <w:szCs w:val="22"/>
          <w:lang w:val="sr-Latn-CS"/>
        </w:rPr>
        <w:t xml:space="preserve">Tokom prevođenja sa drugih insulina koji se uzimaju uz obrok i u prvim nedjeljama nakon toga preporučuje se strogo praćenje glikemije. Prevođenje sa drugog insulina koji se uzima uz obrok može se sprovesti uzimajući jednak broj jedinica. Prevođenje pacijenata sa insulina druge vrste, drugog zaštićenog imena ili drugog proizvođača na </w:t>
      </w:r>
      <w:r w:rsidR="009F4A89">
        <w:rPr>
          <w:bCs/>
          <w:sz w:val="22"/>
          <w:szCs w:val="22"/>
          <w:lang w:val="sr-Latn-CS"/>
        </w:rPr>
        <w:t xml:space="preserve">lijek </w:t>
      </w:r>
      <w:r w:rsidRPr="00A0323D">
        <w:rPr>
          <w:bCs/>
          <w:sz w:val="22"/>
          <w:szCs w:val="22"/>
          <w:lang w:val="sr-Latn-CS"/>
        </w:rPr>
        <w:t>Fiasp mora se sprovesti pod</w:t>
      </w:r>
      <w:r w:rsidR="00A452D0">
        <w:rPr>
          <w:bCs/>
          <w:sz w:val="22"/>
          <w:szCs w:val="22"/>
          <w:lang w:val="sr-Latn-CS"/>
        </w:rPr>
        <w:t xml:space="preserve"> strogim</w:t>
      </w:r>
      <w:r w:rsidRPr="00A0323D">
        <w:rPr>
          <w:bCs/>
          <w:sz w:val="22"/>
          <w:szCs w:val="22"/>
          <w:lang w:val="sr-Latn-CS"/>
        </w:rPr>
        <w:t xml:space="preserve"> nadzorom ljekara i može rezultirati potrebom za promjenom doze.</w:t>
      </w:r>
    </w:p>
    <w:p w14:paraId="79927C87" w14:textId="77777777" w:rsidR="00A0323D" w:rsidRPr="00A0323D" w:rsidRDefault="00A0323D">
      <w:pPr>
        <w:tabs>
          <w:tab w:val="left" w:pos="540"/>
          <w:tab w:val="left" w:pos="569"/>
        </w:tabs>
        <w:jc w:val="both"/>
        <w:rPr>
          <w:bCs/>
          <w:sz w:val="22"/>
          <w:szCs w:val="22"/>
          <w:lang w:val="sr-Latn-CS"/>
        </w:rPr>
      </w:pPr>
    </w:p>
    <w:p w14:paraId="03C05230"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 xml:space="preserve">Možda će biti potrebno prilagođavanje doze i vremena primjene istovremeno primjenjivanih insulinskih preparata srednje dugog ili dugog dejstva ili druge uporedno primjenjivane </w:t>
      </w:r>
      <w:r w:rsidR="00152247" w:rsidRPr="00A0323D">
        <w:rPr>
          <w:bCs/>
          <w:sz w:val="22"/>
          <w:szCs w:val="22"/>
          <w:lang w:val="sr-Latn-CS"/>
        </w:rPr>
        <w:t>antidijabet</w:t>
      </w:r>
      <w:r w:rsidR="00152247">
        <w:rPr>
          <w:bCs/>
          <w:sz w:val="22"/>
          <w:szCs w:val="22"/>
          <w:lang w:val="sr-Latn-CS"/>
        </w:rPr>
        <w:t>esn</w:t>
      </w:r>
      <w:r w:rsidR="00152247" w:rsidRPr="00A0323D">
        <w:rPr>
          <w:bCs/>
          <w:sz w:val="22"/>
          <w:szCs w:val="22"/>
          <w:lang w:val="sr-Latn-CS"/>
        </w:rPr>
        <w:t xml:space="preserve">e </w:t>
      </w:r>
      <w:r w:rsidRPr="00A0323D">
        <w:rPr>
          <w:bCs/>
          <w:sz w:val="22"/>
          <w:szCs w:val="22"/>
          <w:lang w:val="sr-Latn-CS"/>
        </w:rPr>
        <w:t>terapije.</w:t>
      </w:r>
    </w:p>
    <w:p w14:paraId="041DBAC2" w14:textId="77777777" w:rsidR="00A0323D" w:rsidRPr="00A0323D" w:rsidRDefault="00A0323D" w:rsidP="000F6B37">
      <w:pPr>
        <w:tabs>
          <w:tab w:val="left" w:pos="540"/>
          <w:tab w:val="left" w:pos="569"/>
        </w:tabs>
        <w:jc w:val="both"/>
        <w:rPr>
          <w:bCs/>
          <w:sz w:val="22"/>
          <w:szCs w:val="22"/>
          <w:lang w:val="sr-Latn-CS"/>
        </w:rPr>
      </w:pPr>
    </w:p>
    <w:p w14:paraId="03924440" w14:textId="77777777" w:rsidR="00452E9D" w:rsidRPr="00243EDC" w:rsidRDefault="00452E9D" w:rsidP="000F6B37">
      <w:pPr>
        <w:tabs>
          <w:tab w:val="left" w:pos="540"/>
          <w:tab w:val="left" w:pos="569"/>
        </w:tabs>
        <w:jc w:val="both"/>
        <w:rPr>
          <w:bCs/>
          <w:sz w:val="22"/>
          <w:szCs w:val="22"/>
          <w:u w:val="single"/>
          <w:lang w:val="sr-Latn-CS"/>
        </w:rPr>
      </w:pPr>
      <w:r w:rsidRPr="00786071">
        <w:rPr>
          <w:bCs/>
          <w:sz w:val="22"/>
          <w:szCs w:val="22"/>
          <w:u w:val="single"/>
        </w:rPr>
        <w:t>Na</w:t>
      </w:r>
      <w:r w:rsidRPr="00243EDC">
        <w:rPr>
          <w:bCs/>
          <w:sz w:val="22"/>
          <w:szCs w:val="22"/>
          <w:u w:val="single"/>
          <w:lang w:val="sr-Latn-CS"/>
        </w:rPr>
        <w:t>č</w:t>
      </w:r>
      <w:r w:rsidRPr="00786071">
        <w:rPr>
          <w:bCs/>
          <w:sz w:val="22"/>
          <w:szCs w:val="22"/>
          <w:u w:val="single"/>
        </w:rPr>
        <w:t>in</w:t>
      </w:r>
      <w:r w:rsidRPr="00243EDC">
        <w:rPr>
          <w:bCs/>
          <w:sz w:val="22"/>
          <w:szCs w:val="22"/>
          <w:u w:val="single"/>
          <w:lang w:val="sr-Latn-CS"/>
        </w:rPr>
        <w:t xml:space="preserve"> </w:t>
      </w:r>
      <w:proofErr w:type="spellStart"/>
      <w:r w:rsidRPr="00786071">
        <w:rPr>
          <w:bCs/>
          <w:sz w:val="22"/>
          <w:szCs w:val="22"/>
          <w:u w:val="single"/>
        </w:rPr>
        <w:t>primjene</w:t>
      </w:r>
      <w:proofErr w:type="spellEnd"/>
    </w:p>
    <w:p w14:paraId="1D50FF54" w14:textId="77777777" w:rsidR="00452E9D" w:rsidRDefault="00452E9D" w:rsidP="000F6B37">
      <w:pPr>
        <w:tabs>
          <w:tab w:val="left" w:pos="540"/>
          <w:tab w:val="left" w:pos="569"/>
        </w:tabs>
        <w:jc w:val="both"/>
        <w:rPr>
          <w:bCs/>
          <w:sz w:val="22"/>
          <w:szCs w:val="22"/>
          <w:lang w:val="sr-Latn-CS"/>
        </w:rPr>
      </w:pPr>
    </w:p>
    <w:p w14:paraId="475FF635" w14:textId="77777777" w:rsidR="00A0323D" w:rsidRPr="00A0323D" w:rsidRDefault="00A0323D" w:rsidP="00981470">
      <w:pPr>
        <w:tabs>
          <w:tab w:val="left" w:pos="540"/>
          <w:tab w:val="left" w:pos="569"/>
        </w:tabs>
        <w:jc w:val="both"/>
        <w:rPr>
          <w:bCs/>
          <w:i/>
          <w:iCs/>
          <w:sz w:val="22"/>
          <w:szCs w:val="22"/>
          <w:lang w:val="sr-Latn-CS"/>
        </w:rPr>
      </w:pPr>
      <w:r w:rsidRPr="00A0323D">
        <w:rPr>
          <w:bCs/>
          <w:i/>
          <w:iCs/>
          <w:sz w:val="22"/>
          <w:szCs w:val="22"/>
          <w:lang w:val="sr-Latn-CS"/>
        </w:rPr>
        <w:t>Supkutana injekcija</w:t>
      </w:r>
    </w:p>
    <w:p w14:paraId="47752E0A" w14:textId="532225A1" w:rsidR="00A0323D" w:rsidRPr="00A0323D" w:rsidRDefault="00A0323D" w:rsidP="00152247">
      <w:pPr>
        <w:tabs>
          <w:tab w:val="left" w:pos="540"/>
          <w:tab w:val="left" w:pos="569"/>
        </w:tabs>
        <w:jc w:val="both"/>
        <w:rPr>
          <w:bCs/>
          <w:sz w:val="22"/>
          <w:szCs w:val="22"/>
          <w:lang w:val="sr-Latn-CS"/>
        </w:rPr>
      </w:pPr>
      <w:r w:rsidRPr="00A0323D">
        <w:rPr>
          <w:bCs/>
          <w:sz w:val="22"/>
          <w:szCs w:val="22"/>
          <w:lang w:val="sr-Latn-CS"/>
        </w:rPr>
        <w:t xml:space="preserve">Preporučuje se primjena lijeka Fiasp supkutanom injekcijom u trbušni zid ili nadlakticu (vidjeti </w:t>
      </w:r>
      <w:r w:rsidR="00716185">
        <w:rPr>
          <w:bCs/>
          <w:sz w:val="22"/>
          <w:szCs w:val="22"/>
          <w:lang w:val="sr-Latn-CS"/>
        </w:rPr>
        <w:t>dio</w:t>
      </w:r>
      <w:r w:rsidR="00716185" w:rsidRPr="00A0323D">
        <w:rPr>
          <w:bCs/>
          <w:sz w:val="22"/>
          <w:szCs w:val="22"/>
          <w:lang w:val="sr-Latn-CS"/>
        </w:rPr>
        <w:t xml:space="preserve"> </w:t>
      </w:r>
      <w:r w:rsidRPr="00A0323D">
        <w:rPr>
          <w:bCs/>
          <w:sz w:val="22"/>
          <w:szCs w:val="22"/>
          <w:lang w:val="sr-Latn-CS"/>
        </w:rPr>
        <w:t>5.2). Mjesta ubrizgavanja treba mijenjati unutar istog predjela</w:t>
      </w:r>
      <w:r w:rsidR="003D7EE9">
        <w:rPr>
          <w:bCs/>
          <w:sz w:val="22"/>
          <w:szCs w:val="22"/>
          <w:lang w:val="sr-Latn-CS"/>
        </w:rPr>
        <w:t>,</w:t>
      </w:r>
      <w:r w:rsidRPr="00A0323D">
        <w:rPr>
          <w:bCs/>
          <w:sz w:val="22"/>
          <w:szCs w:val="22"/>
          <w:lang w:val="sr-Latn-CS"/>
        </w:rPr>
        <w:t xml:space="preserve"> kako bi se umanjio rizik od lipodistrofije</w:t>
      </w:r>
      <w:r w:rsidR="00716185">
        <w:rPr>
          <w:bCs/>
          <w:sz w:val="22"/>
          <w:szCs w:val="22"/>
          <w:lang w:val="sr-Latn-CS"/>
        </w:rPr>
        <w:t xml:space="preserve"> i </w:t>
      </w:r>
      <w:r w:rsidR="00C46C9C">
        <w:rPr>
          <w:bCs/>
          <w:sz w:val="22"/>
          <w:szCs w:val="22"/>
          <w:lang w:val="sr-Latn-CS"/>
        </w:rPr>
        <w:t xml:space="preserve">kutane </w:t>
      </w:r>
      <w:r w:rsidR="00716185">
        <w:rPr>
          <w:bCs/>
          <w:sz w:val="22"/>
          <w:szCs w:val="22"/>
          <w:lang w:val="sr-Latn-CS"/>
        </w:rPr>
        <w:t>amiloidoze (vidjeti djelove 4.4 i 4.8)</w:t>
      </w:r>
      <w:r w:rsidRPr="00A0323D">
        <w:rPr>
          <w:bCs/>
          <w:sz w:val="22"/>
          <w:szCs w:val="22"/>
          <w:lang w:val="sr-Latn-CS"/>
        </w:rPr>
        <w:t>.</w:t>
      </w:r>
    </w:p>
    <w:p w14:paraId="757406DA" w14:textId="77777777" w:rsidR="00A0323D" w:rsidRPr="00A0323D" w:rsidRDefault="00A0323D" w:rsidP="00442BD2">
      <w:pPr>
        <w:tabs>
          <w:tab w:val="left" w:pos="540"/>
          <w:tab w:val="left" w:pos="569"/>
        </w:tabs>
        <w:jc w:val="both"/>
        <w:rPr>
          <w:bCs/>
          <w:sz w:val="22"/>
          <w:szCs w:val="22"/>
          <w:lang w:val="sr-Latn-CS"/>
        </w:rPr>
      </w:pPr>
    </w:p>
    <w:p w14:paraId="7F37D57F" w14:textId="77777777" w:rsidR="00A0323D" w:rsidRPr="00A0323D" w:rsidRDefault="003D7EE9" w:rsidP="005A154F">
      <w:pPr>
        <w:tabs>
          <w:tab w:val="left" w:pos="540"/>
          <w:tab w:val="left" w:pos="569"/>
        </w:tabs>
        <w:jc w:val="both"/>
        <w:rPr>
          <w:bCs/>
          <w:sz w:val="22"/>
          <w:szCs w:val="22"/>
          <w:u w:val="single"/>
          <w:lang w:val="sr-Latn-CS"/>
        </w:rPr>
      </w:pPr>
      <w:r>
        <w:rPr>
          <w:bCs/>
          <w:sz w:val="22"/>
          <w:szCs w:val="22"/>
          <w:u w:val="single"/>
          <w:lang w:val="sr-Latn-CS"/>
        </w:rPr>
        <w:t xml:space="preserve">Lijek </w:t>
      </w:r>
      <w:r w:rsidR="00A0323D" w:rsidRPr="00A0323D">
        <w:rPr>
          <w:bCs/>
          <w:sz w:val="22"/>
          <w:szCs w:val="22"/>
          <w:u w:val="single"/>
          <w:lang w:val="sr-Latn-CS"/>
        </w:rPr>
        <w:t>Fiasp FlexTouch, 100 jedinica/m</w:t>
      </w:r>
      <w:r w:rsidR="00F74A6F">
        <w:rPr>
          <w:bCs/>
          <w:sz w:val="22"/>
          <w:szCs w:val="22"/>
          <w:u w:val="single"/>
          <w:lang w:val="sr-Latn-CS"/>
        </w:rPr>
        <w:t>l</w:t>
      </w:r>
      <w:r w:rsidR="00A0323D" w:rsidRPr="00A0323D">
        <w:rPr>
          <w:bCs/>
          <w:sz w:val="22"/>
          <w:szCs w:val="22"/>
          <w:u w:val="single"/>
          <w:lang w:val="sr-Latn-CS"/>
        </w:rPr>
        <w:t>, rastvor za injekciju u napunjenom injekcionom penu</w:t>
      </w:r>
    </w:p>
    <w:p w14:paraId="3EFDE997" w14:textId="7748C724" w:rsidR="00A0323D" w:rsidRPr="00A0323D" w:rsidRDefault="00A0323D" w:rsidP="0075503A">
      <w:pPr>
        <w:tabs>
          <w:tab w:val="left" w:pos="540"/>
          <w:tab w:val="left" w:pos="569"/>
        </w:tabs>
        <w:jc w:val="both"/>
        <w:rPr>
          <w:bCs/>
          <w:sz w:val="22"/>
          <w:szCs w:val="22"/>
          <w:lang w:val="sr-Latn-CS"/>
        </w:rPr>
      </w:pPr>
      <w:r w:rsidRPr="00A0323D">
        <w:rPr>
          <w:bCs/>
          <w:sz w:val="22"/>
          <w:szCs w:val="22"/>
          <w:lang w:val="sr-Latn-CS"/>
        </w:rPr>
        <w:t xml:space="preserve"> Napunjenim injekcionim penom </w:t>
      </w:r>
      <w:r w:rsidR="0075503A" w:rsidRPr="0075503A">
        <w:rPr>
          <w:bCs/>
          <w:sz w:val="22"/>
          <w:szCs w:val="22"/>
          <w:lang w:val="sr-Latn-CS"/>
        </w:rPr>
        <w:t xml:space="preserve">(FlexTouch) </w:t>
      </w:r>
      <w:r w:rsidRPr="00A0323D">
        <w:rPr>
          <w:bCs/>
          <w:sz w:val="22"/>
          <w:szCs w:val="22"/>
          <w:lang w:val="sr-Latn-CS"/>
        </w:rPr>
        <w:t>mogu se prim</w:t>
      </w:r>
      <w:r w:rsidR="009F4A89">
        <w:rPr>
          <w:bCs/>
          <w:sz w:val="22"/>
          <w:szCs w:val="22"/>
          <w:lang w:val="sr-Latn-CS"/>
        </w:rPr>
        <w:t>i</w:t>
      </w:r>
      <w:r w:rsidRPr="00A0323D">
        <w:rPr>
          <w:bCs/>
          <w:sz w:val="22"/>
          <w:szCs w:val="22"/>
          <w:lang w:val="sr-Latn-CS"/>
        </w:rPr>
        <w:t xml:space="preserve">jeniti doze u rasponu od 1 do 80 jedinica, odabiranjem doze u </w:t>
      </w:r>
      <w:r w:rsidR="003D7EE9" w:rsidRPr="00A0323D">
        <w:rPr>
          <w:bCs/>
          <w:sz w:val="22"/>
          <w:szCs w:val="22"/>
          <w:lang w:val="sr-Latn-CS"/>
        </w:rPr>
        <w:t>pod</w:t>
      </w:r>
      <w:r w:rsidR="003D7EE9">
        <w:rPr>
          <w:bCs/>
          <w:sz w:val="22"/>
          <w:szCs w:val="22"/>
          <w:lang w:val="sr-Latn-CS"/>
        </w:rPr>
        <w:t>i</w:t>
      </w:r>
      <w:r w:rsidR="003D7EE9" w:rsidRPr="00A0323D">
        <w:rPr>
          <w:bCs/>
          <w:sz w:val="22"/>
          <w:szCs w:val="22"/>
          <w:lang w:val="sr-Latn-CS"/>
        </w:rPr>
        <w:t xml:space="preserve">ocima </w:t>
      </w:r>
      <w:r w:rsidRPr="00A0323D">
        <w:rPr>
          <w:bCs/>
          <w:sz w:val="22"/>
          <w:szCs w:val="22"/>
          <w:lang w:val="sr-Latn-CS"/>
        </w:rPr>
        <w:t xml:space="preserve">od po 1 jedinice. </w:t>
      </w:r>
    </w:p>
    <w:p w14:paraId="2DF729D0" w14:textId="5E63AAD6" w:rsidR="00A0323D" w:rsidRPr="00A0323D" w:rsidRDefault="0075503A" w:rsidP="0075503A">
      <w:pPr>
        <w:tabs>
          <w:tab w:val="left" w:pos="540"/>
          <w:tab w:val="left" w:pos="569"/>
        </w:tabs>
        <w:jc w:val="both"/>
        <w:rPr>
          <w:bCs/>
          <w:sz w:val="22"/>
          <w:szCs w:val="22"/>
          <w:lang w:val="sr-Latn-CS"/>
        </w:rPr>
      </w:pPr>
      <w:r>
        <w:rPr>
          <w:bCs/>
          <w:sz w:val="22"/>
          <w:szCs w:val="22"/>
          <w:lang w:val="sr-Latn-CS"/>
        </w:rPr>
        <w:t>Uz n</w:t>
      </w:r>
      <w:r w:rsidR="00A0323D" w:rsidRPr="00A0323D">
        <w:rPr>
          <w:bCs/>
          <w:sz w:val="22"/>
          <w:szCs w:val="22"/>
          <w:lang w:val="sr-Latn-CS"/>
        </w:rPr>
        <w:t>apunjen pen FlexTouch priloženo je detaljno uputstvo za upotrebu lijeka</w:t>
      </w:r>
      <w:r w:rsidR="00E95E43">
        <w:rPr>
          <w:bCs/>
          <w:sz w:val="22"/>
          <w:szCs w:val="22"/>
          <w:lang w:val="sr-Latn-CS"/>
        </w:rPr>
        <w:t>,</w:t>
      </w:r>
      <w:r w:rsidR="00A0323D" w:rsidRPr="00A0323D">
        <w:rPr>
          <w:bCs/>
          <w:sz w:val="22"/>
          <w:szCs w:val="22"/>
          <w:lang w:val="sr-Latn-CS"/>
        </w:rPr>
        <w:t xml:space="preserve"> koga se treba pridržavati.</w:t>
      </w:r>
      <w:r>
        <w:rPr>
          <w:bCs/>
          <w:sz w:val="22"/>
          <w:szCs w:val="22"/>
          <w:lang w:val="sr-Latn-CS"/>
        </w:rPr>
        <w:t xml:space="preserve"> </w:t>
      </w:r>
      <w:r w:rsidRPr="0075503A">
        <w:rPr>
          <w:bCs/>
          <w:sz w:val="22"/>
          <w:szCs w:val="22"/>
          <w:lang w:val="sr-Latn-CS"/>
        </w:rPr>
        <w:t>Za uputstva o primjeni vidjeti “Uputstvo za upotrebu” na kraju Uputstva za lijek.</w:t>
      </w:r>
    </w:p>
    <w:p w14:paraId="7E0BCFE0"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Napunjeni injekcioni pen se može koristiti samo za primjenu potkožne injekcije. Ako je neophodno prim</w:t>
      </w:r>
      <w:r w:rsidR="003D7EE9">
        <w:rPr>
          <w:bCs/>
          <w:sz w:val="22"/>
          <w:szCs w:val="22"/>
          <w:lang w:val="sr-Latn-CS"/>
        </w:rPr>
        <w:t>i</w:t>
      </w:r>
      <w:r w:rsidRPr="00A0323D">
        <w:rPr>
          <w:bCs/>
          <w:sz w:val="22"/>
          <w:szCs w:val="22"/>
          <w:lang w:val="sr-Latn-CS"/>
        </w:rPr>
        <w:t xml:space="preserve">jeniti lijek pomoću šprica, intravenske injekcije ili infuzione pumpe, potrebno je koristiti </w:t>
      </w:r>
      <w:r w:rsidR="003D7EE9">
        <w:rPr>
          <w:bCs/>
          <w:sz w:val="22"/>
          <w:szCs w:val="22"/>
          <w:lang w:val="sr-Latn-CS"/>
        </w:rPr>
        <w:t xml:space="preserve">lijek </w:t>
      </w:r>
      <w:r w:rsidRPr="00A0323D">
        <w:rPr>
          <w:bCs/>
          <w:sz w:val="22"/>
          <w:szCs w:val="22"/>
          <w:lang w:val="sr-Latn-CS"/>
        </w:rPr>
        <w:t>Fiasp u bočici.</w:t>
      </w:r>
    </w:p>
    <w:p w14:paraId="2632B0E0" w14:textId="77777777" w:rsidR="00A0323D" w:rsidRPr="00A0323D" w:rsidRDefault="00A0323D">
      <w:pPr>
        <w:tabs>
          <w:tab w:val="left" w:pos="540"/>
          <w:tab w:val="left" w:pos="569"/>
        </w:tabs>
        <w:jc w:val="both"/>
        <w:rPr>
          <w:bCs/>
          <w:sz w:val="22"/>
          <w:szCs w:val="22"/>
          <w:lang w:val="sr-Latn-CS"/>
        </w:rPr>
      </w:pPr>
    </w:p>
    <w:p w14:paraId="01B83574" w14:textId="77777777" w:rsidR="00A0323D" w:rsidRPr="00A0323D" w:rsidRDefault="003D7EE9">
      <w:pPr>
        <w:tabs>
          <w:tab w:val="left" w:pos="540"/>
          <w:tab w:val="left" w:pos="569"/>
        </w:tabs>
        <w:jc w:val="both"/>
        <w:rPr>
          <w:bCs/>
          <w:sz w:val="22"/>
          <w:szCs w:val="22"/>
          <w:u w:val="single"/>
          <w:lang w:val="sr-Latn-CS"/>
        </w:rPr>
      </w:pPr>
      <w:r>
        <w:rPr>
          <w:bCs/>
          <w:sz w:val="22"/>
          <w:szCs w:val="22"/>
          <w:u w:val="single"/>
          <w:lang w:val="sr-Latn-CS"/>
        </w:rPr>
        <w:t xml:space="preserve">Lijek </w:t>
      </w:r>
      <w:r w:rsidR="00A0323D" w:rsidRPr="00A0323D">
        <w:rPr>
          <w:bCs/>
          <w:sz w:val="22"/>
          <w:szCs w:val="22"/>
          <w:u w:val="single"/>
          <w:lang w:val="sr-Latn-CS"/>
        </w:rPr>
        <w:t>Fiasp Penfill, 100 jedinica/m</w:t>
      </w:r>
      <w:r w:rsidR="00F74A6F">
        <w:rPr>
          <w:bCs/>
          <w:sz w:val="22"/>
          <w:szCs w:val="22"/>
          <w:u w:val="single"/>
          <w:lang w:val="sr-Latn-CS"/>
        </w:rPr>
        <w:t>l</w:t>
      </w:r>
      <w:r w:rsidR="00A0323D" w:rsidRPr="00A0323D">
        <w:rPr>
          <w:bCs/>
          <w:sz w:val="22"/>
          <w:szCs w:val="22"/>
          <w:u w:val="single"/>
          <w:lang w:val="sr-Latn-CS"/>
        </w:rPr>
        <w:t>, rastvor za injekciju u ulošku</w:t>
      </w:r>
    </w:p>
    <w:p w14:paraId="12E75FD6" w14:textId="588DE416" w:rsidR="00A0323D" w:rsidRPr="00A0323D" w:rsidRDefault="00A0323D" w:rsidP="0075503A">
      <w:pPr>
        <w:tabs>
          <w:tab w:val="left" w:pos="540"/>
          <w:tab w:val="left" w:pos="569"/>
        </w:tabs>
        <w:jc w:val="both"/>
        <w:rPr>
          <w:bCs/>
          <w:i/>
          <w:iCs/>
          <w:sz w:val="22"/>
          <w:szCs w:val="22"/>
          <w:lang w:val="sr-Latn-CS"/>
        </w:rPr>
      </w:pPr>
      <w:r w:rsidRPr="00A0323D">
        <w:rPr>
          <w:bCs/>
          <w:i/>
          <w:iCs/>
          <w:sz w:val="22"/>
          <w:szCs w:val="22"/>
          <w:lang w:val="sr-Latn-CS"/>
        </w:rPr>
        <w:t xml:space="preserve">Primjena </w:t>
      </w:r>
      <w:r w:rsidR="0075503A" w:rsidRPr="0075503A">
        <w:rPr>
          <w:bCs/>
          <w:i/>
          <w:iCs/>
          <w:sz w:val="22"/>
          <w:szCs w:val="22"/>
          <w:lang w:val="sr-Latn-CS"/>
        </w:rPr>
        <w:t>pomoću pena za primjenu insulina za višekratnu upotrebu</w:t>
      </w:r>
    </w:p>
    <w:p w14:paraId="51544D2A" w14:textId="6698E7E5" w:rsidR="00A0323D" w:rsidRDefault="00A0323D" w:rsidP="0075503A">
      <w:pPr>
        <w:tabs>
          <w:tab w:val="left" w:pos="540"/>
          <w:tab w:val="left" w:pos="569"/>
        </w:tabs>
        <w:jc w:val="both"/>
        <w:rPr>
          <w:bCs/>
          <w:sz w:val="22"/>
          <w:szCs w:val="22"/>
          <w:lang w:val="sr-Latn-CS"/>
        </w:rPr>
      </w:pPr>
      <w:r w:rsidRPr="00A0323D">
        <w:rPr>
          <w:bCs/>
          <w:sz w:val="22"/>
          <w:szCs w:val="22"/>
          <w:lang w:val="sr-Latn-CS"/>
        </w:rPr>
        <w:t>Ako je neophodno prim</w:t>
      </w:r>
      <w:r w:rsidR="003D7EE9">
        <w:rPr>
          <w:bCs/>
          <w:sz w:val="22"/>
          <w:szCs w:val="22"/>
          <w:lang w:val="sr-Latn-CS"/>
        </w:rPr>
        <w:t>i</w:t>
      </w:r>
      <w:r w:rsidRPr="00A0323D">
        <w:rPr>
          <w:bCs/>
          <w:sz w:val="22"/>
          <w:szCs w:val="22"/>
          <w:lang w:val="sr-Latn-CS"/>
        </w:rPr>
        <w:t xml:space="preserve">jeniti lijek pomoću šprica, intravenske injekcije ili infuzione pumpe, potrebno je koristiti </w:t>
      </w:r>
      <w:r w:rsidR="003D7EE9">
        <w:rPr>
          <w:bCs/>
          <w:sz w:val="22"/>
          <w:szCs w:val="22"/>
          <w:lang w:val="sr-Latn-CS"/>
        </w:rPr>
        <w:t xml:space="preserve">lijek </w:t>
      </w:r>
      <w:r w:rsidRPr="00A0323D">
        <w:rPr>
          <w:bCs/>
          <w:sz w:val="22"/>
          <w:szCs w:val="22"/>
          <w:lang w:val="sr-Latn-CS"/>
        </w:rPr>
        <w:t>Fiasp u bočici</w:t>
      </w:r>
      <w:r w:rsidR="0075503A">
        <w:rPr>
          <w:bCs/>
          <w:sz w:val="22"/>
          <w:szCs w:val="22"/>
          <w:lang w:val="sr-Latn-CS"/>
        </w:rPr>
        <w:t xml:space="preserve"> </w:t>
      </w:r>
      <w:r w:rsidR="0075503A" w:rsidRPr="0075503A">
        <w:rPr>
          <w:bCs/>
          <w:sz w:val="22"/>
          <w:szCs w:val="22"/>
          <w:lang w:val="sr-Latn-CS"/>
        </w:rPr>
        <w:t xml:space="preserve">(vidjeti </w:t>
      </w:r>
      <w:r w:rsidR="0077787F">
        <w:rPr>
          <w:bCs/>
          <w:sz w:val="22"/>
          <w:szCs w:val="22"/>
          <w:lang w:val="sr-Latn-CS"/>
        </w:rPr>
        <w:t>dio</w:t>
      </w:r>
      <w:r w:rsidR="0075503A" w:rsidRPr="0075503A">
        <w:rPr>
          <w:bCs/>
          <w:sz w:val="22"/>
          <w:szCs w:val="22"/>
          <w:lang w:val="sr-Latn-CS"/>
        </w:rPr>
        <w:t xml:space="preserve"> 6.6)</w:t>
      </w:r>
      <w:r w:rsidRPr="00A0323D">
        <w:rPr>
          <w:bCs/>
          <w:sz w:val="22"/>
          <w:szCs w:val="22"/>
          <w:lang w:val="sr-Latn-CS"/>
        </w:rPr>
        <w:t>.</w:t>
      </w:r>
    </w:p>
    <w:p w14:paraId="2A212C7C" w14:textId="77777777" w:rsidR="00A0323D" w:rsidRDefault="00A0323D" w:rsidP="000F6B37">
      <w:pPr>
        <w:tabs>
          <w:tab w:val="left" w:pos="540"/>
          <w:tab w:val="left" w:pos="569"/>
        </w:tabs>
        <w:jc w:val="both"/>
        <w:rPr>
          <w:bCs/>
          <w:sz w:val="22"/>
          <w:szCs w:val="22"/>
          <w:lang w:val="sr-Latn-CS"/>
        </w:rPr>
      </w:pPr>
    </w:p>
    <w:p w14:paraId="55B45DEC" w14:textId="77777777" w:rsidR="00A0323D" w:rsidRPr="00A0323D" w:rsidRDefault="003D7EE9" w:rsidP="00981470">
      <w:pPr>
        <w:tabs>
          <w:tab w:val="left" w:pos="540"/>
          <w:tab w:val="left" w:pos="569"/>
        </w:tabs>
        <w:jc w:val="both"/>
        <w:rPr>
          <w:bCs/>
          <w:sz w:val="22"/>
          <w:szCs w:val="22"/>
          <w:u w:val="single"/>
          <w:lang w:val="sr-Latn-CS"/>
        </w:rPr>
      </w:pPr>
      <w:r>
        <w:rPr>
          <w:bCs/>
          <w:sz w:val="22"/>
          <w:szCs w:val="22"/>
          <w:u w:val="single"/>
          <w:lang w:val="sr-Latn-CS"/>
        </w:rPr>
        <w:t xml:space="preserve">Lijek </w:t>
      </w:r>
      <w:r w:rsidR="00A0323D" w:rsidRPr="00A0323D">
        <w:rPr>
          <w:bCs/>
          <w:sz w:val="22"/>
          <w:szCs w:val="22"/>
          <w:u w:val="single"/>
          <w:lang w:val="sr-Latn-CS"/>
        </w:rPr>
        <w:t>Fiasp, 100 jedinica/m</w:t>
      </w:r>
      <w:r w:rsidR="00F74A6F">
        <w:rPr>
          <w:bCs/>
          <w:sz w:val="22"/>
          <w:szCs w:val="22"/>
          <w:u w:val="single"/>
          <w:lang w:val="sr-Latn-CS"/>
        </w:rPr>
        <w:t>l</w:t>
      </w:r>
      <w:r w:rsidR="00A0323D" w:rsidRPr="00A0323D">
        <w:rPr>
          <w:bCs/>
          <w:sz w:val="22"/>
          <w:szCs w:val="22"/>
          <w:u w:val="single"/>
          <w:lang w:val="sr-Latn-CS"/>
        </w:rPr>
        <w:t>, rastvor za injekciju u bočici</w:t>
      </w:r>
    </w:p>
    <w:p w14:paraId="03840E84" w14:textId="77777777" w:rsidR="00A0323D" w:rsidRPr="00A0323D" w:rsidRDefault="00A0323D" w:rsidP="00981470">
      <w:pPr>
        <w:tabs>
          <w:tab w:val="left" w:pos="540"/>
          <w:tab w:val="left" w:pos="569"/>
        </w:tabs>
        <w:jc w:val="both"/>
        <w:rPr>
          <w:bCs/>
          <w:i/>
          <w:iCs/>
          <w:sz w:val="22"/>
          <w:szCs w:val="22"/>
          <w:lang w:val="sr-Latn-CS"/>
        </w:rPr>
      </w:pPr>
      <w:r w:rsidRPr="00A0323D">
        <w:rPr>
          <w:bCs/>
          <w:i/>
          <w:iCs/>
          <w:sz w:val="22"/>
          <w:szCs w:val="22"/>
          <w:lang w:val="sr-Latn-CS"/>
        </w:rPr>
        <w:lastRenderedPageBreak/>
        <w:t>Primjena pomoću šprica</w:t>
      </w:r>
    </w:p>
    <w:p w14:paraId="05960DF2" w14:textId="01ED3219" w:rsidR="00471977" w:rsidRPr="00A0323D" w:rsidRDefault="00A0323D" w:rsidP="00152247">
      <w:pPr>
        <w:tabs>
          <w:tab w:val="left" w:pos="540"/>
          <w:tab w:val="left" w:pos="569"/>
        </w:tabs>
        <w:jc w:val="both"/>
        <w:rPr>
          <w:bCs/>
          <w:sz w:val="22"/>
          <w:szCs w:val="22"/>
          <w:lang w:val="sr-Latn-CS"/>
        </w:rPr>
      </w:pPr>
      <w:r w:rsidRPr="00A0323D">
        <w:rPr>
          <w:bCs/>
          <w:sz w:val="22"/>
          <w:szCs w:val="22"/>
          <w:lang w:val="sr-Latn-CS"/>
        </w:rPr>
        <w:t>Bočice se koriste sa insulinskim špricevima sa odgovarajućom jediničnom skalom (j</w:t>
      </w:r>
      <w:r w:rsidR="0075503A">
        <w:rPr>
          <w:bCs/>
          <w:sz w:val="22"/>
          <w:szCs w:val="22"/>
          <w:lang w:val="sr-Latn-CS"/>
        </w:rPr>
        <w:t xml:space="preserve">edinice </w:t>
      </w:r>
      <w:r w:rsidRPr="00A0323D">
        <w:rPr>
          <w:bCs/>
          <w:sz w:val="22"/>
          <w:szCs w:val="22"/>
          <w:lang w:val="sr-Latn-CS"/>
        </w:rPr>
        <w:t>-100 ili 100 j</w:t>
      </w:r>
      <w:r w:rsidR="0075503A">
        <w:rPr>
          <w:bCs/>
          <w:sz w:val="22"/>
          <w:szCs w:val="22"/>
          <w:lang w:val="sr-Latn-CS"/>
        </w:rPr>
        <w:t>edinica</w:t>
      </w:r>
      <w:r w:rsidRPr="00A0323D">
        <w:rPr>
          <w:bCs/>
          <w:sz w:val="22"/>
          <w:szCs w:val="22"/>
          <w:lang w:val="sr-Latn-CS"/>
        </w:rPr>
        <w:t>/m</w:t>
      </w:r>
      <w:r w:rsidR="00F74A6F">
        <w:rPr>
          <w:bCs/>
          <w:sz w:val="22"/>
          <w:szCs w:val="22"/>
          <w:lang w:val="sr-Latn-CS"/>
        </w:rPr>
        <w:t>l</w:t>
      </w:r>
      <w:r w:rsidRPr="00A0323D">
        <w:rPr>
          <w:bCs/>
          <w:sz w:val="22"/>
          <w:szCs w:val="22"/>
          <w:lang w:val="sr-Latn-CS"/>
        </w:rPr>
        <w:t xml:space="preserve">). </w:t>
      </w:r>
    </w:p>
    <w:p w14:paraId="78BB76F4" w14:textId="77777777" w:rsidR="00A0323D" w:rsidRPr="00A0323D" w:rsidRDefault="00A0323D" w:rsidP="00442BD2">
      <w:pPr>
        <w:tabs>
          <w:tab w:val="left" w:pos="540"/>
          <w:tab w:val="left" w:pos="569"/>
        </w:tabs>
        <w:jc w:val="both"/>
        <w:rPr>
          <w:bCs/>
          <w:sz w:val="22"/>
          <w:szCs w:val="22"/>
          <w:lang w:val="sr-Latn-CS"/>
        </w:rPr>
      </w:pPr>
    </w:p>
    <w:p w14:paraId="4ACF5C43" w14:textId="77777777" w:rsidR="00A0323D" w:rsidRPr="00A0323D" w:rsidRDefault="00A0323D" w:rsidP="005A154F">
      <w:pPr>
        <w:tabs>
          <w:tab w:val="left" w:pos="540"/>
          <w:tab w:val="left" w:pos="569"/>
        </w:tabs>
        <w:jc w:val="both"/>
        <w:rPr>
          <w:bCs/>
          <w:i/>
          <w:iCs/>
          <w:sz w:val="22"/>
          <w:szCs w:val="22"/>
          <w:lang w:val="sr-Latn-CS"/>
        </w:rPr>
      </w:pPr>
      <w:r w:rsidRPr="00A0323D">
        <w:rPr>
          <w:bCs/>
          <w:i/>
          <w:iCs/>
          <w:sz w:val="22"/>
          <w:szCs w:val="22"/>
          <w:lang w:val="sr-Latn-CS"/>
        </w:rPr>
        <w:t>Kontinuirana supkutana insulinska infuzija (KSII)</w:t>
      </w:r>
    </w:p>
    <w:p w14:paraId="1013464B" w14:textId="158AC795" w:rsidR="00A0323D" w:rsidRPr="00471977" w:rsidRDefault="00A0323D" w:rsidP="0075503A">
      <w:pPr>
        <w:tabs>
          <w:tab w:val="left" w:pos="540"/>
          <w:tab w:val="left" w:pos="569"/>
        </w:tabs>
        <w:jc w:val="both"/>
        <w:rPr>
          <w:bCs/>
          <w:sz w:val="22"/>
          <w:szCs w:val="22"/>
          <w:lang w:val="sr-Latn-CS"/>
        </w:rPr>
      </w:pPr>
      <w:r w:rsidRPr="00471977">
        <w:rPr>
          <w:bCs/>
          <w:sz w:val="22"/>
          <w:szCs w:val="22"/>
          <w:lang w:val="sr-Latn-CS"/>
        </w:rPr>
        <w:t>Lijek Fiasp</w:t>
      </w:r>
      <w:r w:rsidR="0075503A">
        <w:rPr>
          <w:bCs/>
          <w:sz w:val="22"/>
          <w:szCs w:val="22"/>
          <w:lang w:val="sr-Latn-CS"/>
        </w:rPr>
        <w:t xml:space="preserve">, </w:t>
      </w:r>
      <w:r w:rsidR="0075503A" w:rsidRPr="0075503A">
        <w:rPr>
          <w:bCs/>
          <w:sz w:val="22"/>
          <w:szCs w:val="22"/>
          <w:lang w:val="sr-Latn-CS"/>
        </w:rPr>
        <w:t>rastvor za injekciju u bočici</w:t>
      </w:r>
      <w:r w:rsidR="0075503A">
        <w:rPr>
          <w:bCs/>
          <w:sz w:val="22"/>
          <w:szCs w:val="22"/>
          <w:lang w:val="sr-Latn-CS"/>
        </w:rPr>
        <w:t>,</w:t>
      </w:r>
      <w:r w:rsidRPr="00471977">
        <w:rPr>
          <w:bCs/>
          <w:sz w:val="22"/>
          <w:szCs w:val="22"/>
          <w:lang w:val="sr-Latn-CS"/>
        </w:rPr>
        <w:t xml:space="preserve"> se može koristiti za KSII pomoću pumpe pogodne za insulinsku infuziju, zadovoljavajući potrebe i za bolus insulinom (približno 50%) i za bazalnim insulinom. Može se prim</w:t>
      </w:r>
      <w:r w:rsidR="003D7EE9" w:rsidRPr="00471977">
        <w:rPr>
          <w:bCs/>
          <w:sz w:val="22"/>
          <w:szCs w:val="22"/>
          <w:lang w:val="sr-Latn-CS"/>
        </w:rPr>
        <w:t>i</w:t>
      </w:r>
      <w:r w:rsidRPr="00471977">
        <w:rPr>
          <w:bCs/>
          <w:sz w:val="22"/>
          <w:szCs w:val="22"/>
          <w:lang w:val="sr-Latn-CS"/>
        </w:rPr>
        <w:t>jeniti u skladu sa odgovarajućim uputstvima koje je naveo proizvođač pumpe, poželjno u abdomen. Kad se primjenjuje u insulinskoj infuzionoj pumpi, ne smije se razblaživati, niti miješati ni sa jednim drugim insulinskim preparatom.</w:t>
      </w:r>
    </w:p>
    <w:p w14:paraId="4E7C5774" w14:textId="018A4D6F" w:rsidR="00A0323D" w:rsidRPr="00471977" w:rsidRDefault="00A0323D">
      <w:pPr>
        <w:tabs>
          <w:tab w:val="left" w:pos="540"/>
          <w:tab w:val="left" w:pos="569"/>
        </w:tabs>
        <w:jc w:val="both"/>
        <w:rPr>
          <w:bCs/>
          <w:sz w:val="22"/>
          <w:szCs w:val="22"/>
          <w:lang w:val="sr-Latn-CS"/>
        </w:rPr>
      </w:pPr>
    </w:p>
    <w:p w14:paraId="1333DD6D" w14:textId="54ABC702" w:rsidR="00A0323D" w:rsidRPr="00471977" w:rsidRDefault="00A0323D">
      <w:pPr>
        <w:tabs>
          <w:tab w:val="left" w:pos="540"/>
          <w:tab w:val="left" w:pos="569"/>
        </w:tabs>
        <w:jc w:val="both"/>
        <w:rPr>
          <w:bCs/>
          <w:sz w:val="22"/>
          <w:szCs w:val="22"/>
          <w:lang w:val="sr-Latn-CS"/>
        </w:rPr>
      </w:pPr>
      <w:r w:rsidRPr="00471977">
        <w:rPr>
          <w:bCs/>
          <w:sz w:val="22"/>
          <w:szCs w:val="22"/>
          <w:lang w:val="sr-Latn-CS"/>
        </w:rPr>
        <w:t>Pacijenti koji primjenjuju KSII treba da budu obučeni za korišćenje pumpe i za upotrebu odgovarajućeg rezervoara i c</w:t>
      </w:r>
      <w:r w:rsidR="003D7EE9" w:rsidRPr="00471977">
        <w:rPr>
          <w:bCs/>
          <w:sz w:val="22"/>
          <w:szCs w:val="22"/>
          <w:lang w:val="sr-Latn-CS"/>
        </w:rPr>
        <w:t>j</w:t>
      </w:r>
      <w:r w:rsidRPr="00471977">
        <w:rPr>
          <w:bCs/>
          <w:sz w:val="22"/>
          <w:szCs w:val="22"/>
          <w:lang w:val="sr-Latn-CS"/>
        </w:rPr>
        <w:t xml:space="preserve">evčice za pumpu (vidjeti </w:t>
      </w:r>
      <w:r w:rsidR="0077787F">
        <w:rPr>
          <w:bCs/>
          <w:sz w:val="22"/>
          <w:szCs w:val="22"/>
          <w:lang w:val="sr-Latn-CS"/>
        </w:rPr>
        <w:t>dio</w:t>
      </w:r>
      <w:r w:rsidR="0077787F" w:rsidRPr="00471977">
        <w:rPr>
          <w:bCs/>
          <w:sz w:val="22"/>
          <w:szCs w:val="22"/>
          <w:lang w:val="sr-Latn-CS"/>
        </w:rPr>
        <w:t xml:space="preserve"> </w:t>
      </w:r>
      <w:r w:rsidRPr="00471977">
        <w:rPr>
          <w:bCs/>
          <w:sz w:val="22"/>
          <w:szCs w:val="22"/>
          <w:lang w:val="sr-Latn-CS"/>
        </w:rPr>
        <w:t>6.6). Infuzioni set (c</w:t>
      </w:r>
      <w:r w:rsidR="003D7EE9" w:rsidRPr="00471977">
        <w:rPr>
          <w:bCs/>
          <w:sz w:val="22"/>
          <w:szCs w:val="22"/>
          <w:lang w:val="sr-Latn-CS"/>
        </w:rPr>
        <w:t>j</w:t>
      </w:r>
      <w:r w:rsidRPr="00471977">
        <w:rPr>
          <w:bCs/>
          <w:sz w:val="22"/>
          <w:szCs w:val="22"/>
          <w:lang w:val="sr-Latn-CS"/>
        </w:rPr>
        <w:t>evčicu i kanilu) treba mijenjati u skladu sa uputstvom za upotrebu koje je priloženo uz infuzioni set.</w:t>
      </w:r>
    </w:p>
    <w:p w14:paraId="47C261BC" w14:textId="1D62CA27" w:rsidR="00A0323D" w:rsidRPr="00471977" w:rsidRDefault="00A0323D">
      <w:pPr>
        <w:tabs>
          <w:tab w:val="left" w:pos="540"/>
          <w:tab w:val="left" w:pos="569"/>
        </w:tabs>
        <w:jc w:val="both"/>
        <w:rPr>
          <w:bCs/>
          <w:sz w:val="22"/>
          <w:szCs w:val="22"/>
          <w:lang w:val="sr-Latn-CS"/>
        </w:rPr>
      </w:pPr>
    </w:p>
    <w:p w14:paraId="072C398D" w14:textId="598E9538" w:rsidR="00A0323D" w:rsidRPr="00471977" w:rsidRDefault="00A0323D">
      <w:pPr>
        <w:tabs>
          <w:tab w:val="left" w:pos="540"/>
          <w:tab w:val="left" w:pos="569"/>
        </w:tabs>
        <w:jc w:val="both"/>
        <w:rPr>
          <w:bCs/>
          <w:sz w:val="22"/>
          <w:szCs w:val="22"/>
          <w:lang w:val="sr-Latn-CS"/>
        </w:rPr>
      </w:pPr>
      <w:r w:rsidRPr="00471977">
        <w:rPr>
          <w:bCs/>
          <w:sz w:val="22"/>
          <w:szCs w:val="22"/>
          <w:lang w:val="sr-Latn-CS"/>
        </w:rPr>
        <w:t xml:space="preserve">Pacijenti koji primjenjuju </w:t>
      </w:r>
      <w:r w:rsidR="003D7EE9" w:rsidRPr="00471977">
        <w:rPr>
          <w:bCs/>
          <w:sz w:val="22"/>
          <w:szCs w:val="22"/>
          <w:lang w:val="sr-Latn-CS"/>
        </w:rPr>
        <w:t xml:space="preserve">lijek </w:t>
      </w:r>
      <w:r w:rsidRPr="00471977">
        <w:rPr>
          <w:bCs/>
          <w:sz w:val="22"/>
          <w:szCs w:val="22"/>
          <w:lang w:val="sr-Latn-CS"/>
        </w:rPr>
        <w:t>Fiasp pomoću KSII moraju biti obučeni kako da prim</w:t>
      </w:r>
      <w:r w:rsidR="003D7EE9" w:rsidRPr="00471977">
        <w:rPr>
          <w:bCs/>
          <w:sz w:val="22"/>
          <w:szCs w:val="22"/>
          <w:lang w:val="sr-Latn-CS"/>
        </w:rPr>
        <w:t>i</w:t>
      </w:r>
      <w:r w:rsidRPr="00471977">
        <w:rPr>
          <w:bCs/>
          <w:sz w:val="22"/>
          <w:szCs w:val="22"/>
          <w:lang w:val="sr-Latn-CS"/>
        </w:rPr>
        <w:t>jene insulin ubrizgavanjem i moraju imati na raspolaganju neku drugu insulinsku terapiju u slučaju neispravnosti insulinske pumpe.</w:t>
      </w:r>
    </w:p>
    <w:p w14:paraId="46A877F1" w14:textId="77777777" w:rsidR="00A0323D" w:rsidRPr="00471977" w:rsidRDefault="00A0323D">
      <w:pPr>
        <w:tabs>
          <w:tab w:val="left" w:pos="540"/>
          <w:tab w:val="left" w:pos="569"/>
        </w:tabs>
        <w:jc w:val="both"/>
        <w:rPr>
          <w:bCs/>
          <w:sz w:val="22"/>
          <w:szCs w:val="22"/>
          <w:lang w:val="sr-Latn-CS"/>
        </w:rPr>
      </w:pPr>
    </w:p>
    <w:p w14:paraId="480E2859" w14:textId="1146EFA4" w:rsidR="00A0323D" w:rsidRDefault="00A0323D">
      <w:pPr>
        <w:tabs>
          <w:tab w:val="left" w:pos="540"/>
          <w:tab w:val="left" w:pos="569"/>
        </w:tabs>
        <w:jc w:val="both"/>
        <w:rPr>
          <w:bCs/>
          <w:i/>
          <w:iCs/>
          <w:sz w:val="22"/>
          <w:szCs w:val="22"/>
          <w:lang w:val="sr-Latn-CS"/>
        </w:rPr>
      </w:pPr>
      <w:r w:rsidRPr="00A0323D">
        <w:rPr>
          <w:bCs/>
          <w:i/>
          <w:iCs/>
          <w:sz w:val="22"/>
          <w:szCs w:val="22"/>
          <w:lang w:val="sr-Latn-CS"/>
        </w:rPr>
        <w:t>Intravenska primjena</w:t>
      </w:r>
    </w:p>
    <w:p w14:paraId="696417F4" w14:textId="21B0D0B0" w:rsidR="0075503A" w:rsidRPr="00A0323D" w:rsidRDefault="0075503A" w:rsidP="0075503A">
      <w:pPr>
        <w:tabs>
          <w:tab w:val="left" w:pos="540"/>
          <w:tab w:val="left" w:pos="569"/>
        </w:tabs>
        <w:jc w:val="both"/>
        <w:rPr>
          <w:bCs/>
          <w:i/>
          <w:iCs/>
          <w:sz w:val="22"/>
          <w:szCs w:val="22"/>
          <w:lang w:val="sr-Latn-CS"/>
        </w:rPr>
      </w:pPr>
      <w:r w:rsidRPr="0075503A">
        <w:rPr>
          <w:bCs/>
          <w:i/>
          <w:iCs/>
          <w:sz w:val="22"/>
          <w:szCs w:val="22"/>
          <w:u w:val="single"/>
          <w:lang w:val="sr-Latn-CS"/>
        </w:rPr>
        <w:t>Lijek Fiasp, 100 jedinica/ml, rastvor za injekciju u bočici</w:t>
      </w:r>
    </w:p>
    <w:p w14:paraId="622EC954"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Ako je neophodno, lijek Fiasp mogu intravenski prim</w:t>
      </w:r>
      <w:r w:rsidR="00BA3AA4">
        <w:rPr>
          <w:bCs/>
          <w:sz w:val="22"/>
          <w:szCs w:val="22"/>
          <w:lang w:val="sr-Latn-CS"/>
        </w:rPr>
        <w:t>i</w:t>
      </w:r>
      <w:r w:rsidRPr="00A0323D">
        <w:rPr>
          <w:bCs/>
          <w:sz w:val="22"/>
          <w:szCs w:val="22"/>
          <w:lang w:val="sr-Latn-CS"/>
        </w:rPr>
        <w:t>jeniti zdravstveni radnici.</w:t>
      </w:r>
    </w:p>
    <w:p w14:paraId="37EE840B" w14:textId="25FBB063" w:rsidR="00A0323D" w:rsidRPr="00A0323D" w:rsidRDefault="00A0323D" w:rsidP="0075503A">
      <w:pPr>
        <w:tabs>
          <w:tab w:val="left" w:pos="540"/>
          <w:tab w:val="left" w:pos="569"/>
        </w:tabs>
        <w:jc w:val="both"/>
        <w:rPr>
          <w:bCs/>
          <w:sz w:val="22"/>
          <w:szCs w:val="22"/>
          <w:lang w:val="sr-Latn-CS"/>
        </w:rPr>
      </w:pPr>
      <w:r w:rsidRPr="00A0323D">
        <w:rPr>
          <w:bCs/>
          <w:sz w:val="22"/>
          <w:szCs w:val="22"/>
          <w:lang w:val="sr-Latn-CS"/>
        </w:rPr>
        <w:t>Za intravensku primjenu, treba ga koristiti u koncentraciji od 0,5 jedinica/m</w:t>
      </w:r>
      <w:r w:rsidR="00F74A6F">
        <w:rPr>
          <w:bCs/>
          <w:sz w:val="22"/>
          <w:szCs w:val="22"/>
          <w:lang w:val="sr-Latn-CS"/>
        </w:rPr>
        <w:t>l</w:t>
      </w:r>
      <w:r w:rsidRPr="00A0323D">
        <w:rPr>
          <w:bCs/>
          <w:sz w:val="22"/>
          <w:szCs w:val="22"/>
          <w:lang w:val="sr-Latn-CS"/>
        </w:rPr>
        <w:t xml:space="preserve"> do 1 jedinica/m</w:t>
      </w:r>
      <w:r w:rsidR="00F74A6F">
        <w:rPr>
          <w:bCs/>
          <w:sz w:val="22"/>
          <w:szCs w:val="22"/>
          <w:lang w:val="sr-Latn-CS"/>
        </w:rPr>
        <w:t>l</w:t>
      </w:r>
      <w:r w:rsidRPr="00A0323D">
        <w:rPr>
          <w:bCs/>
          <w:sz w:val="22"/>
          <w:szCs w:val="22"/>
          <w:lang w:val="sr-Latn-CS"/>
        </w:rPr>
        <w:t xml:space="preserve"> insulin asparta u infuzionom sistemu – koristeći polipropilenske infuzione kese. </w:t>
      </w:r>
      <w:r w:rsidR="0075503A" w:rsidRPr="0075503A">
        <w:rPr>
          <w:bCs/>
          <w:sz w:val="22"/>
          <w:szCs w:val="22"/>
          <w:lang w:val="sr-Latn-CS"/>
        </w:rPr>
        <w:t xml:space="preserve">Lijek Fiasp se ne smije miješati ni sa jednim drugim insulinom, niti bilo kojim drugim lijekom, osim onih pomenutih u </w:t>
      </w:r>
      <w:r w:rsidR="0077787F">
        <w:rPr>
          <w:bCs/>
          <w:sz w:val="22"/>
          <w:szCs w:val="22"/>
          <w:lang w:val="sr-Latn-CS"/>
        </w:rPr>
        <w:t>dijelu</w:t>
      </w:r>
      <w:r w:rsidR="0075503A" w:rsidRPr="0075503A">
        <w:rPr>
          <w:bCs/>
          <w:sz w:val="22"/>
          <w:szCs w:val="22"/>
          <w:lang w:val="sr-Latn-CS"/>
        </w:rPr>
        <w:t xml:space="preserve"> 6.6. Za uputstva o razblaživanju proizvoda prije upotrebe vidjeti </w:t>
      </w:r>
      <w:r w:rsidR="0077787F">
        <w:rPr>
          <w:bCs/>
          <w:sz w:val="22"/>
          <w:szCs w:val="22"/>
          <w:lang w:val="sr-Latn-CS"/>
        </w:rPr>
        <w:t>dio</w:t>
      </w:r>
      <w:r w:rsidR="0075503A" w:rsidRPr="0075503A">
        <w:rPr>
          <w:bCs/>
          <w:sz w:val="22"/>
          <w:szCs w:val="22"/>
          <w:lang w:val="sr-Latn-CS"/>
        </w:rPr>
        <w:t xml:space="preserve"> 6.6</w:t>
      </w:r>
      <w:r w:rsidRPr="00A0323D">
        <w:rPr>
          <w:bCs/>
          <w:sz w:val="22"/>
          <w:szCs w:val="22"/>
          <w:lang w:val="sr-Latn-CS"/>
        </w:rPr>
        <w:t>.</w:t>
      </w:r>
    </w:p>
    <w:p w14:paraId="544C5C62" w14:textId="77777777" w:rsidR="00A0323D" w:rsidRPr="00A0323D" w:rsidRDefault="00A0323D">
      <w:pPr>
        <w:tabs>
          <w:tab w:val="left" w:pos="540"/>
          <w:tab w:val="left" w:pos="569"/>
        </w:tabs>
        <w:jc w:val="both"/>
        <w:rPr>
          <w:bCs/>
          <w:sz w:val="22"/>
          <w:szCs w:val="22"/>
          <w:lang w:val="sr-Latn-CS"/>
        </w:rPr>
      </w:pPr>
    </w:p>
    <w:p w14:paraId="1080F2E5" w14:textId="77777777" w:rsidR="00A0323D" w:rsidRDefault="00A0323D">
      <w:pPr>
        <w:tabs>
          <w:tab w:val="left" w:pos="540"/>
          <w:tab w:val="left" w:pos="569"/>
        </w:tabs>
        <w:jc w:val="both"/>
        <w:rPr>
          <w:bCs/>
          <w:sz w:val="22"/>
          <w:szCs w:val="22"/>
          <w:lang w:val="sr-Latn-CS"/>
        </w:rPr>
      </w:pPr>
      <w:r w:rsidRPr="00A0323D">
        <w:rPr>
          <w:bCs/>
          <w:sz w:val="22"/>
          <w:szCs w:val="22"/>
          <w:lang w:val="sr-Latn-CS"/>
        </w:rPr>
        <w:t>Tokom infuzije insulina neophodno je praćenje nivoa glukoze u krvi. Potrebno je obratiti pažnju da se insulin ubrizga u infuzionu kesu, a ne samo u ulazni priključak.</w:t>
      </w:r>
    </w:p>
    <w:p w14:paraId="3DF3061F" w14:textId="77777777" w:rsidR="00A0323D" w:rsidRPr="00243EDC" w:rsidRDefault="00A0323D" w:rsidP="000F6B37">
      <w:pPr>
        <w:tabs>
          <w:tab w:val="left" w:pos="540"/>
          <w:tab w:val="left" w:pos="569"/>
        </w:tabs>
        <w:jc w:val="both"/>
        <w:rPr>
          <w:bCs/>
          <w:sz w:val="22"/>
          <w:szCs w:val="22"/>
          <w:lang w:val="sr-Latn-CS"/>
        </w:rPr>
      </w:pPr>
    </w:p>
    <w:p w14:paraId="2F3E9F51" w14:textId="77777777" w:rsidR="00411B4B" w:rsidRPr="00243EDC" w:rsidRDefault="00411B4B" w:rsidP="000F6B37">
      <w:pPr>
        <w:tabs>
          <w:tab w:val="left" w:pos="540"/>
          <w:tab w:val="left" w:pos="569"/>
        </w:tabs>
        <w:jc w:val="both"/>
        <w:rPr>
          <w:b/>
          <w:bCs/>
          <w:sz w:val="22"/>
          <w:szCs w:val="22"/>
          <w:lang w:val="sr-Latn-CS"/>
        </w:rPr>
      </w:pPr>
      <w:r w:rsidRPr="00243EDC">
        <w:rPr>
          <w:b/>
          <w:bCs/>
          <w:sz w:val="22"/>
          <w:szCs w:val="22"/>
          <w:lang w:val="sr-Latn-CS"/>
        </w:rPr>
        <w:t xml:space="preserve">4.3. </w:t>
      </w:r>
      <w:r w:rsidR="00480FB1" w:rsidRPr="00243EDC">
        <w:rPr>
          <w:b/>
          <w:bCs/>
          <w:sz w:val="22"/>
          <w:szCs w:val="22"/>
          <w:lang w:val="sr-Latn-CS"/>
        </w:rPr>
        <w:tab/>
      </w:r>
      <w:proofErr w:type="spellStart"/>
      <w:r w:rsidRPr="00786071">
        <w:rPr>
          <w:b/>
          <w:bCs/>
          <w:sz w:val="22"/>
          <w:szCs w:val="22"/>
        </w:rPr>
        <w:t>Kontraindikacije</w:t>
      </w:r>
      <w:proofErr w:type="spellEnd"/>
    </w:p>
    <w:p w14:paraId="1072A7EB" w14:textId="77777777" w:rsidR="0072020E" w:rsidRDefault="0072020E" w:rsidP="000F6B37">
      <w:pPr>
        <w:tabs>
          <w:tab w:val="left" w:pos="540"/>
          <w:tab w:val="left" w:pos="569"/>
        </w:tabs>
        <w:jc w:val="both"/>
        <w:rPr>
          <w:bCs/>
          <w:sz w:val="22"/>
          <w:szCs w:val="22"/>
          <w:lang w:val="sr-Latn-CS"/>
        </w:rPr>
      </w:pPr>
    </w:p>
    <w:p w14:paraId="19A08C69" w14:textId="0B5566F8" w:rsidR="00A0323D" w:rsidRPr="00A0323D" w:rsidRDefault="00A0323D" w:rsidP="000F6B37">
      <w:pPr>
        <w:tabs>
          <w:tab w:val="left" w:pos="540"/>
          <w:tab w:val="left" w:pos="569"/>
        </w:tabs>
        <w:jc w:val="both"/>
        <w:rPr>
          <w:bCs/>
          <w:sz w:val="22"/>
          <w:szCs w:val="22"/>
          <w:lang w:val="sr-Latn-CS"/>
        </w:rPr>
      </w:pPr>
      <w:r w:rsidRPr="00A0323D">
        <w:rPr>
          <w:bCs/>
          <w:sz w:val="22"/>
          <w:szCs w:val="22"/>
          <w:lang w:val="sr-Latn-CS"/>
        </w:rPr>
        <w:t xml:space="preserve">Preosjetljivost na aktivnu supstancu ili </w:t>
      </w:r>
      <w:r w:rsidR="00BA3AA4">
        <w:rPr>
          <w:bCs/>
          <w:sz w:val="22"/>
          <w:szCs w:val="22"/>
          <w:lang w:val="sr-Latn-CS"/>
        </w:rPr>
        <w:t xml:space="preserve">na </w:t>
      </w:r>
      <w:r w:rsidRPr="00A0323D">
        <w:rPr>
          <w:bCs/>
          <w:sz w:val="22"/>
          <w:szCs w:val="22"/>
          <w:lang w:val="sr-Latn-CS"/>
        </w:rPr>
        <w:t xml:space="preserve">neku od pomoćnih supstanci navedenih u </w:t>
      </w:r>
      <w:r w:rsidR="0077787F">
        <w:rPr>
          <w:bCs/>
          <w:sz w:val="22"/>
          <w:szCs w:val="22"/>
          <w:lang w:val="sr-Latn-CS"/>
        </w:rPr>
        <w:t>dijelu</w:t>
      </w:r>
      <w:r w:rsidR="0077787F" w:rsidRPr="00A0323D">
        <w:rPr>
          <w:bCs/>
          <w:sz w:val="22"/>
          <w:szCs w:val="22"/>
          <w:lang w:val="sr-Latn-CS"/>
        </w:rPr>
        <w:t xml:space="preserve"> </w:t>
      </w:r>
      <w:r w:rsidRPr="00A0323D">
        <w:rPr>
          <w:bCs/>
          <w:sz w:val="22"/>
          <w:szCs w:val="22"/>
          <w:lang w:val="sr-Latn-CS"/>
        </w:rPr>
        <w:t>6.1.</w:t>
      </w:r>
    </w:p>
    <w:p w14:paraId="3F3747CD" w14:textId="77777777" w:rsidR="00A0323D" w:rsidRPr="00243EDC" w:rsidRDefault="00A0323D" w:rsidP="000F6B37">
      <w:pPr>
        <w:tabs>
          <w:tab w:val="left" w:pos="540"/>
          <w:tab w:val="left" w:pos="569"/>
        </w:tabs>
        <w:jc w:val="both"/>
        <w:rPr>
          <w:bCs/>
          <w:sz w:val="22"/>
          <w:szCs w:val="22"/>
          <w:lang w:val="sr-Latn-CS"/>
        </w:rPr>
      </w:pPr>
    </w:p>
    <w:p w14:paraId="46CA4B07" w14:textId="49462A7C" w:rsidR="00411B4B" w:rsidRPr="00C46C9C" w:rsidRDefault="00411B4B" w:rsidP="000F6B37">
      <w:pPr>
        <w:tabs>
          <w:tab w:val="left" w:pos="540"/>
          <w:tab w:val="left" w:pos="569"/>
        </w:tabs>
        <w:jc w:val="both"/>
        <w:rPr>
          <w:b/>
          <w:bCs/>
          <w:sz w:val="22"/>
          <w:szCs w:val="22"/>
          <w:lang w:val="sr-Latn-CS"/>
        </w:rPr>
      </w:pPr>
      <w:r w:rsidRPr="00243EDC">
        <w:rPr>
          <w:b/>
          <w:bCs/>
          <w:sz w:val="22"/>
          <w:szCs w:val="22"/>
          <w:lang w:val="sr-Latn-CS"/>
        </w:rPr>
        <w:t xml:space="preserve">4.4. </w:t>
      </w:r>
      <w:r w:rsidR="00480FB1" w:rsidRPr="00243EDC">
        <w:rPr>
          <w:b/>
          <w:bCs/>
          <w:sz w:val="22"/>
          <w:szCs w:val="22"/>
          <w:lang w:val="sr-Latn-CS"/>
        </w:rPr>
        <w:tab/>
      </w:r>
      <w:proofErr w:type="spellStart"/>
      <w:r w:rsidRPr="000F6B37">
        <w:rPr>
          <w:b/>
          <w:bCs/>
          <w:sz w:val="22"/>
          <w:szCs w:val="22"/>
          <w:lang w:val="it-IT"/>
        </w:rPr>
        <w:t>Posebna</w:t>
      </w:r>
      <w:proofErr w:type="spellEnd"/>
      <w:r w:rsidRPr="00243EDC">
        <w:rPr>
          <w:b/>
          <w:bCs/>
          <w:sz w:val="22"/>
          <w:szCs w:val="22"/>
          <w:lang w:val="sr-Latn-CS"/>
        </w:rPr>
        <w:t xml:space="preserve"> </w:t>
      </w:r>
      <w:proofErr w:type="spellStart"/>
      <w:r w:rsidRPr="000F6B37">
        <w:rPr>
          <w:b/>
          <w:bCs/>
          <w:sz w:val="22"/>
          <w:szCs w:val="22"/>
          <w:lang w:val="it-IT"/>
        </w:rPr>
        <w:t>upozorenja</w:t>
      </w:r>
      <w:proofErr w:type="spellEnd"/>
      <w:r w:rsidRPr="00243EDC">
        <w:rPr>
          <w:b/>
          <w:bCs/>
          <w:sz w:val="22"/>
          <w:szCs w:val="22"/>
          <w:lang w:val="sr-Latn-CS"/>
        </w:rPr>
        <w:t xml:space="preserve"> </w:t>
      </w:r>
      <w:r w:rsidRPr="000F6B37">
        <w:rPr>
          <w:b/>
          <w:bCs/>
          <w:sz w:val="22"/>
          <w:szCs w:val="22"/>
          <w:lang w:val="it-IT"/>
        </w:rPr>
        <w:t>i</w:t>
      </w:r>
      <w:r w:rsidRPr="00243EDC">
        <w:rPr>
          <w:b/>
          <w:bCs/>
          <w:sz w:val="22"/>
          <w:szCs w:val="22"/>
          <w:lang w:val="sr-Latn-CS"/>
        </w:rPr>
        <w:t xml:space="preserve"> </w:t>
      </w:r>
      <w:proofErr w:type="spellStart"/>
      <w:r w:rsidRPr="000F6B37">
        <w:rPr>
          <w:b/>
          <w:bCs/>
          <w:sz w:val="22"/>
          <w:szCs w:val="22"/>
          <w:lang w:val="it-IT"/>
        </w:rPr>
        <w:t>mjere</w:t>
      </w:r>
      <w:proofErr w:type="spellEnd"/>
      <w:r w:rsidRPr="00243EDC">
        <w:rPr>
          <w:b/>
          <w:bCs/>
          <w:sz w:val="22"/>
          <w:szCs w:val="22"/>
          <w:lang w:val="sr-Latn-CS"/>
        </w:rPr>
        <w:t xml:space="preserve"> </w:t>
      </w:r>
      <w:proofErr w:type="spellStart"/>
      <w:r w:rsidRPr="000F6B37">
        <w:rPr>
          <w:b/>
          <w:bCs/>
          <w:sz w:val="22"/>
          <w:szCs w:val="22"/>
          <w:lang w:val="it-IT"/>
        </w:rPr>
        <w:t>opreza</w:t>
      </w:r>
      <w:proofErr w:type="spellEnd"/>
      <w:r w:rsidRPr="00243EDC">
        <w:rPr>
          <w:b/>
          <w:bCs/>
          <w:sz w:val="22"/>
          <w:szCs w:val="22"/>
          <w:lang w:val="sr-Latn-CS"/>
        </w:rPr>
        <w:t xml:space="preserve"> </w:t>
      </w:r>
      <w:proofErr w:type="spellStart"/>
      <w:r w:rsidRPr="000F6B37">
        <w:rPr>
          <w:b/>
          <w:bCs/>
          <w:sz w:val="22"/>
          <w:szCs w:val="22"/>
          <w:lang w:val="it-IT"/>
        </w:rPr>
        <w:t>pri</w:t>
      </w:r>
      <w:proofErr w:type="spellEnd"/>
      <w:r w:rsidRPr="00243EDC">
        <w:rPr>
          <w:b/>
          <w:bCs/>
          <w:sz w:val="22"/>
          <w:szCs w:val="22"/>
          <w:lang w:val="sr-Latn-CS"/>
        </w:rPr>
        <w:t xml:space="preserve"> </w:t>
      </w:r>
      <w:proofErr w:type="spellStart"/>
      <w:r w:rsidRPr="000F6B37">
        <w:rPr>
          <w:b/>
          <w:bCs/>
          <w:sz w:val="22"/>
          <w:szCs w:val="22"/>
          <w:lang w:val="it-IT"/>
        </w:rPr>
        <w:t>upotrebi</w:t>
      </w:r>
      <w:proofErr w:type="spellEnd"/>
      <w:r w:rsidRPr="00243EDC">
        <w:rPr>
          <w:b/>
          <w:bCs/>
          <w:sz w:val="22"/>
          <w:szCs w:val="22"/>
          <w:lang w:val="sr-Latn-CS"/>
        </w:rPr>
        <w:t xml:space="preserve"> </w:t>
      </w:r>
      <w:proofErr w:type="spellStart"/>
      <w:r w:rsidRPr="000F6B37">
        <w:rPr>
          <w:b/>
          <w:bCs/>
          <w:sz w:val="22"/>
          <w:szCs w:val="22"/>
          <w:lang w:val="it-IT"/>
        </w:rPr>
        <w:t>lijeka</w:t>
      </w:r>
      <w:proofErr w:type="spellEnd"/>
    </w:p>
    <w:p w14:paraId="23D8B5D5" w14:textId="68C61C58" w:rsidR="001779E8" w:rsidRPr="00C46C9C" w:rsidRDefault="001779E8" w:rsidP="000F6B37">
      <w:pPr>
        <w:tabs>
          <w:tab w:val="left" w:pos="540"/>
          <w:tab w:val="left" w:pos="569"/>
        </w:tabs>
        <w:jc w:val="both"/>
        <w:rPr>
          <w:b/>
          <w:bCs/>
          <w:sz w:val="22"/>
          <w:szCs w:val="22"/>
          <w:lang w:val="sr-Latn-CS"/>
        </w:rPr>
      </w:pPr>
    </w:p>
    <w:p w14:paraId="069704C1" w14:textId="77777777" w:rsidR="00C46C9C" w:rsidRPr="00C46C9C" w:rsidRDefault="00C46C9C" w:rsidP="00C46C9C">
      <w:pPr>
        <w:tabs>
          <w:tab w:val="left" w:pos="540"/>
          <w:tab w:val="left" w:pos="569"/>
        </w:tabs>
        <w:jc w:val="both"/>
        <w:rPr>
          <w:bCs/>
          <w:sz w:val="22"/>
          <w:szCs w:val="22"/>
          <w:u w:val="single"/>
          <w:lang w:val="sr-Latn-CS"/>
        </w:rPr>
      </w:pPr>
      <w:r w:rsidRPr="00C46C9C">
        <w:rPr>
          <w:bCs/>
          <w:sz w:val="22"/>
          <w:szCs w:val="22"/>
          <w:u w:val="single"/>
          <w:lang w:val="sr-Latn-CS"/>
        </w:rPr>
        <w:t>Praćenje</w:t>
      </w:r>
    </w:p>
    <w:p w14:paraId="133A52E2" w14:textId="01555EE6" w:rsidR="001779E8" w:rsidRPr="00C46C9C" w:rsidRDefault="00C46C9C" w:rsidP="00C46C9C">
      <w:pPr>
        <w:tabs>
          <w:tab w:val="left" w:pos="540"/>
          <w:tab w:val="left" w:pos="569"/>
        </w:tabs>
        <w:jc w:val="both"/>
        <w:rPr>
          <w:bCs/>
          <w:sz w:val="22"/>
          <w:szCs w:val="22"/>
          <w:lang w:val="sr-Latn-CS"/>
        </w:rPr>
      </w:pPr>
      <w:r w:rsidRPr="00C46C9C">
        <w:rPr>
          <w:bCs/>
          <w:sz w:val="22"/>
          <w:szCs w:val="22"/>
          <w:lang w:val="sr-Latn-CS"/>
        </w:rPr>
        <w:t>Kako bi se olakšalo praćenje bioloških medicinskih proizvoda, treba jasno zabeležiti ime i serijski broj primjenjenog proizvoda.</w:t>
      </w:r>
    </w:p>
    <w:p w14:paraId="59AD374A" w14:textId="77777777" w:rsidR="0072020E" w:rsidRDefault="0072020E" w:rsidP="000F6B37">
      <w:pPr>
        <w:tabs>
          <w:tab w:val="left" w:pos="540"/>
          <w:tab w:val="left" w:pos="569"/>
        </w:tabs>
        <w:jc w:val="both"/>
        <w:rPr>
          <w:bCs/>
          <w:sz w:val="22"/>
          <w:szCs w:val="22"/>
          <w:lang w:val="sr-Latn-CS"/>
        </w:rPr>
      </w:pPr>
    </w:p>
    <w:p w14:paraId="652EF35D" w14:textId="77777777" w:rsidR="00A0323D" w:rsidRPr="00A0323D" w:rsidRDefault="00A0323D" w:rsidP="00981470">
      <w:pPr>
        <w:tabs>
          <w:tab w:val="left" w:pos="540"/>
          <w:tab w:val="left" w:pos="569"/>
        </w:tabs>
        <w:jc w:val="both"/>
        <w:rPr>
          <w:bCs/>
          <w:sz w:val="22"/>
          <w:szCs w:val="22"/>
          <w:u w:val="single"/>
          <w:lang w:val="sr-Latn-CS"/>
        </w:rPr>
      </w:pPr>
      <w:r w:rsidRPr="00A0323D">
        <w:rPr>
          <w:bCs/>
          <w:sz w:val="22"/>
          <w:szCs w:val="22"/>
          <w:u w:val="single"/>
          <w:lang w:val="sr-Latn-CS"/>
        </w:rPr>
        <w:t>Hipoglikemija</w:t>
      </w:r>
    </w:p>
    <w:p w14:paraId="553B1CB0" w14:textId="77777777" w:rsidR="00A0323D" w:rsidRPr="00A0323D" w:rsidRDefault="00A0323D" w:rsidP="00152247">
      <w:pPr>
        <w:tabs>
          <w:tab w:val="left" w:pos="540"/>
          <w:tab w:val="left" w:pos="569"/>
        </w:tabs>
        <w:jc w:val="both"/>
        <w:rPr>
          <w:bCs/>
          <w:sz w:val="22"/>
          <w:szCs w:val="22"/>
          <w:lang w:val="sr-Latn-CS"/>
        </w:rPr>
      </w:pPr>
    </w:p>
    <w:p w14:paraId="57C866F9" w14:textId="77777777" w:rsidR="00A0323D" w:rsidRPr="00A0323D" w:rsidRDefault="00A0323D" w:rsidP="00442BD2">
      <w:pPr>
        <w:tabs>
          <w:tab w:val="left" w:pos="540"/>
          <w:tab w:val="left" w:pos="569"/>
        </w:tabs>
        <w:jc w:val="both"/>
        <w:rPr>
          <w:bCs/>
          <w:sz w:val="22"/>
          <w:szCs w:val="22"/>
          <w:lang w:val="sr-Latn-CS"/>
        </w:rPr>
      </w:pPr>
      <w:r w:rsidRPr="00A0323D">
        <w:rPr>
          <w:bCs/>
          <w:sz w:val="22"/>
          <w:szCs w:val="22"/>
          <w:lang w:val="sr-Latn-CS"/>
        </w:rPr>
        <w:t>Izostavljanje obroka ili neplanirana naporna fizička aktivnost mogu dovesti do hipoglikemije.</w:t>
      </w:r>
    </w:p>
    <w:p w14:paraId="3E2352E5" w14:textId="77777777" w:rsidR="00A0323D" w:rsidRPr="00A0323D" w:rsidRDefault="00A0323D" w:rsidP="005A154F">
      <w:pPr>
        <w:tabs>
          <w:tab w:val="left" w:pos="540"/>
          <w:tab w:val="left" w:pos="569"/>
        </w:tabs>
        <w:jc w:val="both"/>
        <w:rPr>
          <w:bCs/>
          <w:sz w:val="22"/>
          <w:szCs w:val="22"/>
          <w:lang w:val="sr-Latn-CS"/>
        </w:rPr>
      </w:pPr>
    </w:p>
    <w:p w14:paraId="6C2FFF5E" w14:textId="68E72F76" w:rsidR="00A0323D" w:rsidRPr="00A0323D" w:rsidRDefault="00A0323D" w:rsidP="006579F8">
      <w:pPr>
        <w:tabs>
          <w:tab w:val="left" w:pos="540"/>
          <w:tab w:val="left" w:pos="569"/>
        </w:tabs>
        <w:jc w:val="both"/>
        <w:rPr>
          <w:bCs/>
          <w:sz w:val="22"/>
          <w:szCs w:val="22"/>
          <w:lang w:val="sr-Latn-CS"/>
        </w:rPr>
      </w:pPr>
      <w:r w:rsidRPr="00A0323D">
        <w:rPr>
          <w:bCs/>
          <w:sz w:val="22"/>
          <w:szCs w:val="22"/>
          <w:lang w:val="sr-Latn-CS"/>
        </w:rPr>
        <w:t xml:space="preserve">Hipoglikemija može nastupiti ako je doza insulina prevelika u odnosu na potrebu za insulinom (vidjeti </w:t>
      </w:r>
      <w:r w:rsidR="008701AF">
        <w:rPr>
          <w:bCs/>
          <w:sz w:val="22"/>
          <w:szCs w:val="22"/>
          <w:lang w:val="sr-Latn-CS"/>
        </w:rPr>
        <w:t>djelove</w:t>
      </w:r>
      <w:r w:rsidR="00973FAC">
        <w:rPr>
          <w:bCs/>
          <w:sz w:val="22"/>
          <w:szCs w:val="22"/>
          <w:lang w:val="sr-Latn-CS"/>
        </w:rPr>
        <w:t xml:space="preserve"> </w:t>
      </w:r>
      <w:r w:rsidRPr="00A0323D">
        <w:rPr>
          <w:bCs/>
          <w:sz w:val="22"/>
          <w:szCs w:val="22"/>
          <w:lang w:val="sr-Latn-CS"/>
        </w:rPr>
        <w:t>4.8 i 4.9).</w:t>
      </w:r>
    </w:p>
    <w:p w14:paraId="0864B3BC" w14:textId="77777777" w:rsidR="00A0323D" w:rsidRPr="00A0323D" w:rsidRDefault="00A0323D">
      <w:pPr>
        <w:tabs>
          <w:tab w:val="left" w:pos="540"/>
          <w:tab w:val="left" w:pos="569"/>
        </w:tabs>
        <w:jc w:val="both"/>
        <w:rPr>
          <w:bCs/>
          <w:sz w:val="22"/>
          <w:szCs w:val="22"/>
          <w:lang w:val="sr-Latn-CS"/>
        </w:rPr>
      </w:pPr>
    </w:p>
    <w:p w14:paraId="1A4FED12"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Kod pacijenata kod kojih se regulacija glukoze u krvi znatno poboljšala, npr. intenziviranom insulinskom terapijom, uobičajeni upozoravajući simptomi hipoglikemije se mogu promijeniti, pa ih shodno tome treba posavjetovati da obrate pažnju. Uobičajeni upozoravajući simptomi hipoglikemije mogu nestati kod pacijenata koji dugo boluju od dijabetesa.</w:t>
      </w:r>
    </w:p>
    <w:p w14:paraId="074680BE" w14:textId="77777777" w:rsidR="00A0323D" w:rsidRPr="00A0323D" w:rsidRDefault="00A0323D">
      <w:pPr>
        <w:tabs>
          <w:tab w:val="left" w:pos="540"/>
          <w:tab w:val="left" w:pos="569"/>
        </w:tabs>
        <w:jc w:val="both"/>
        <w:rPr>
          <w:bCs/>
          <w:sz w:val="22"/>
          <w:szCs w:val="22"/>
          <w:lang w:val="sr-Latn-CS"/>
        </w:rPr>
      </w:pPr>
    </w:p>
    <w:p w14:paraId="36C5AB27" w14:textId="1B21AF5B" w:rsidR="00A0323D" w:rsidRPr="00A0323D" w:rsidRDefault="00A0323D">
      <w:pPr>
        <w:tabs>
          <w:tab w:val="left" w:pos="540"/>
          <w:tab w:val="left" w:pos="569"/>
        </w:tabs>
        <w:jc w:val="both"/>
        <w:rPr>
          <w:bCs/>
          <w:sz w:val="22"/>
          <w:szCs w:val="22"/>
          <w:lang w:val="sr-Latn-CS"/>
        </w:rPr>
      </w:pPr>
      <w:r w:rsidRPr="00A0323D">
        <w:rPr>
          <w:bCs/>
          <w:sz w:val="22"/>
          <w:szCs w:val="22"/>
          <w:lang w:val="sr-Latn-CS"/>
        </w:rPr>
        <w:t>Trenutak nastupa hipoglikemije obično odražava profil vremena/djelovanja prim</w:t>
      </w:r>
      <w:r w:rsidR="00152247">
        <w:rPr>
          <w:bCs/>
          <w:sz w:val="22"/>
          <w:szCs w:val="22"/>
          <w:lang w:val="sr-Latn-CS"/>
        </w:rPr>
        <w:t>i</w:t>
      </w:r>
      <w:r w:rsidRPr="00A0323D">
        <w:rPr>
          <w:bCs/>
          <w:sz w:val="22"/>
          <w:szCs w:val="22"/>
          <w:lang w:val="sr-Latn-CS"/>
        </w:rPr>
        <w:t xml:space="preserve">jenjene formulacije insulina. Hipoglikemija može nastupiti ranije nakon davanja injekcije/infuzije u poređenju sa drugim insulinima koji se uzimaju uz obrok zbog bržeg početka djelovanja lijeka Fiasp (vidjeti </w:t>
      </w:r>
      <w:r w:rsidR="008701AF">
        <w:rPr>
          <w:bCs/>
          <w:sz w:val="22"/>
          <w:szCs w:val="22"/>
          <w:lang w:val="sr-Latn-CS"/>
        </w:rPr>
        <w:t>dio</w:t>
      </w:r>
      <w:r w:rsidR="008701AF" w:rsidRPr="00A0323D">
        <w:rPr>
          <w:bCs/>
          <w:sz w:val="22"/>
          <w:szCs w:val="22"/>
          <w:lang w:val="sr-Latn-CS"/>
        </w:rPr>
        <w:t xml:space="preserve"> </w:t>
      </w:r>
      <w:r w:rsidRPr="00A0323D">
        <w:rPr>
          <w:bCs/>
          <w:sz w:val="22"/>
          <w:szCs w:val="22"/>
          <w:lang w:val="sr-Latn-CS"/>
        </w:rPr>
        <w:t>5.1).</w:t>
      </w:r>
    </w:p>
    <w:p w14:paraId="5843BE80" w14:textId="77777777" w:rsidR="00A0323D" w:rsidRPr="00A0323D" w:rsidRDefault="00A0323D">
      <w:pPr>
        <w:tabs>
          <w:tab w:val="left" w:pos="540"/>
          <w:tab w:val="left" w:pos="569"/>
        </w:tabs>
        <w:jc w:val="both"/>
        <w:rPr>
          <w:bCs/>
          <w:sz w:val="22"/>
          <w:szCs w:val="22"/>
          <w:lang w:val="sr-Latn-CS"/>
        </w:rPr>
      </w:pPr>
    </w:p>
    <w:p w14:paraId="39F00B58" w14:textId="77777777" w:rsidR="00A0323D" w:rsidRDefault="00A0323D">
      <w:pPr>
        <w:tabs>
          <w:tab w:val="left" w:pos="540"/>
          <w:tab w:val="left" w:pos="569"/>
        </w:tabs>
        <w:jc w:val="both"/>
        <w:rPr>
          <w:bCs/>
          <w:sz w:val="22"/>
          <w:szCs w:val="22"/>
          <w:lang w:val="sr-Latn-CS"/>
        </w:rPr>
      </w:pPr>
      <w:r w:rsidRPr="00A0323D">
        <w:rPr>
          <w:bCs/>
          <w:sz w:val="22"/>
          <w:szCs w:val="22"/>
          <w:lang w:val="sr-Latn-CS"/>
        </w:rPr>
        <w:lastRenderedPageBreak/>
        <w:t xml:space="preserve">S obzirom na to da </w:t>
      </w:r>
      <w:r w:rsidR="00152247">
        <w:rPr>
          <w:bCs/>
          <w:sz w:val="22"/>
          <w:szCs w:val="22"/>
          <w:lang w:val="sr-Latn-CS"/>
        </w:rPr>
        <w:t xml:space="preserve">lijek </w:t>
      </w:r>
      <w:r w:rsidRPr="00A0323D">
        <w:rPr>
          <w:bCs/>
          <w:sz w:val="22"/>
          <w:szCs w:val="22"/>
          <w:lang w:val="sr-Latn-CS"/>
        </w:rPr>
        <w:t>Fiasp treba prim</w:t>
      </w:r>
      <w:r w:rsidR="00152247">
        <w:rPr>
          <w:bCs/>
          <w:sz w:val="22"/>
          <w:szCs w:val="22"/>
          <w:lang w:val="sr-Latn-CS"/>
        </w:rPr>
        <w:t>i</w:t>
      </w:r>
      <w:r w:rsidRPr="00A0323D">
        <w:rPr>
          <w:bCs/>
          <w:sz w:val="22"/>
          <w:szCs w:val="22"/>
          <w:lang w:val="sr-Latn-CS"/>
        </w:rPr>
        <w:t>jeniti do 2 minuta prije početka obroka, sa mogućnošću primjene do 20 minuta nakon početka obroka, potrebno je imati u vidu vrijeme do početka djelovanja kada se propisuje pacijentima koji boluju od uporednih bolesti ili su podvrgnuti liječenju kod kojeg se može očekivati usporena resorpcija hrane.</w:t>
      </w:r>
    </w:p>
    <w:p w14:paraId="48EFF673" w14:textId="77777777" w:rsidR="00A452D0" w:rsidRDefault="00A452D0">
      <w:pPr>
        <w:tabs>
          <w:tab w:val="left" w:pos="540"/>
          <w:tab w:val="left" w:pos="569"/>
        </w:tabs>
        <w:jc w:val="both"/>
        <w:rPr>
          <w:bCs/>
          <w:sz w:val="22"/>
          <w:szCs w:val="22"/>
          <w:lang w:val="sr-Latn-CS"/>
        </w:rPr>
      </w:pPr>
    </w:p>
    <w:p w14:paraId="38CE7E8F" w14:textId="77777777" w:rsidR="00A452D0" w:rsidRPr="00D0533D" w:rsidRDefault="00A452D0" w:rsidP="00A452D0">
      <w:pPr>
        <w:tabs>
          <w:tab w:val="left" w:pos="540"/>
          <w:tab w:val="left" w:pos="569"/>
        </w:tabs>
        <w:jc w:val="both"/>
        <w:rPr>
          <w:bCs/>
          <w:i/>
          <w:iCs/>
          <w:sz w:val="22"/>
          <w:szCs w:val="22"/>
          <w:lang w:val="sr-Latn-CS"/>
        </w:rPr>
      </w:pPr>
      <w:r w:rsidRPr="00D0533D">
        <w:rPr>
          <w:bCs/>
          <w:i/>
          <w:iCs/>
          <w:sz w:val="22"/>
          <w:szCs w:val="22"/>
          <w:lang w:val="sr-Latn-CS"/>
        </w:rPr>
        <w:t>Pedijatrijska populacija</w:t>
      </w:r>
    </w:p>
    <w:p w14:paraId="64D9F330" w14:textId="77777777" w:rsidR="00A452D0" w:rsidRDefault="00A452D0" w:rsidP="00A452D0">
      <w:pPr>
        <w:tabs>
          <w:tab w:val="left" w:pos="540"/>
          <w:tab w:val="left" w:pos="569"/>
        </w:tabs>
        <w:jc w:val="both"/>
        <w:rPr>
          <w:bCs/>
          <w:sz w:val="22"/>
          <w:szCs w:val="22"/>
          <w:lang w:val="sr-Latn-CS"/>
        </w:rPr>
      </w:pPr>
      <w:r w:rsidRPr="00A452D0">
        <w:rPr>
          <w:bCs/>
          <w:sz w:val="22"/>
          <w:szCs w:val="22"/>
          <w:lang w:val="sr-Latn-CS"/>
        </w:rPr>
        <w:t>Preporučuje se pažljivo pra</w:t>
      </w:r>
      <w:r w:rsidR="00E17F72">
        <w:rPr>
          <w:bCs/>
          <w:sz w:val="22"/>
          <w:szCs w:val="22"/>
          <w:lang w:val="sr-Latn-CS"/>
        </w:rPr>
        <w:t>ćenje</w:t>
      </w:r>
      <w:r w:rsidRPr="00A452D0">
        <w:rPr>
          <w:bCs/>
          <w:sz w:val="22"/>
          <w:szCs w:val="22"/>
          <w:lang w:val="sr-Latn-CS"/>
        </w:rPr>
        <w:t xml:space="preserve"> </w:t>
      </w:r>
      <w:r w:rsidR="00E17F72">
        <w:rPr>
          <w:bCs/>
          <w:sz w:val="22"/>
          <w:szCs w:val="22"/>
          <w:lang w:val="sr-Latn-CS"/>
        </w:rPr>
        <w:t>nivoa</w:t>
      </w:r>
      <w:r w:rsidRPr="00A452D0">
        <w:rPr>
          <w:bCs/>
          <w:sz w:val="22"/>
          <w:szCs w:val="22"/>
          <w:lang w:val="sr-Latn-CS"/>
        </w:rPr>
        <w:t xml:space="preserve"> glukoze u krvi ako se lijek primijeni nakon početka posljednjeg obroka u danu, kako bi se izbjegla noćna hipoglikemija.</w:t>
      </w:r>
    </w:p>
    <w:p w14:paraId="18535DF8" w14:textId="77777777" w:rsidR="00A0323D" w:rsidRDefault="00A0323D" w:rsidP="000F6B37">
      <w:pPr>
        <w:tabs>
          <w:tab w:val="left" w:pos="540"/>
          <w:tab w:val="left" w:pos="569"/>
        </w:tabs>
        <w:jc w:val="both"/>
        <w:rPr>
          <w:bCs/>
          <w:sz w:val="22"/>
          <w:szCs w:val="22"/>
          <w:lang w:val="sr-Latn-CS"/>
        </w:rPr>
      </w:pPr>
    </w:p>
    <w:p w14:paraId="5148AB4A" w14:textId="083200F7" w:rsidR="00A0323D" w:rsidRPr="00A0323D" w:rsidRDefault="00A0323D" w:rsidP="00981470">
      <w:pPr>
        <w:tabs>
          <w:tab w:val="left" w:pos="540"/>
          <w:tab w:val="left" w:pos="569"/>
        </w:tabs>
        <w:jc w:val="both"/>
        <w:rPr>
          <w:bCs/>
          <w:sz w:val="22"/>
          <w:szCs w:val="22"/>
          <w:u w:val="single"/>
          <w:lang w:val="sr-Latn-CS"/>
        </w:rPr>
      </w:pPr>
      <w:r w:rsidRPr="00A0323D">
        <w:rPr>
          <w:bCs/>
          <w:sz w:val="22"/>
          <w:szCs w:val="22"/>
          <w:u w:val="single"/>
          <w:lang w:val="sr-Latn-CS"/>
        </w:rPr>
        <w:t>Hiperglikemija</w:t>
      </w:r>
      <w:r w:rsidR="008701AF">
        <w:rPr>
          <w:bCs/>
          <w:sz w:val="22"/>
          <w:szCs w:val="22"/>
          <w:u w:val="single"/>
          <w:lang w:val="sr-Latn-CS"/>
        </w:rPr>
        <w:t xml:space="preserve"> i dijabetesna ketoacidoza</w:t>
      </w:r>
    </w:p>
    <w:p w14:paraId="6BE01890" w14:textId="77777777" w:rsidR="00A0323D" w:rsidRPr="00A0323D" w:rsidRDefault="00A0323D" w:rsidP="00152247">
      <w:pPr>
        <w:tabs>
          <w:tab w:val="left" w:pos="540"/>
          <w:tab w:val="left" w:pos="569"/>
        </w:tabs>
        <w:jc w:val="both"/>
        <w:rPr>
          <w:bCs/>
          <w:sz w:val="22"/>
          <w:szCs w:val="22"/>
          <w:lang w:val="sr-Latn-CS"/>
        </w:rPr>
      </w:pPr>
    </w:p>
    <w:p w14:paraId="0F1B2E9F" w14:textId="77777777" w:rsidR="00A0323D" w:rsidRPr="00A0323D" w:rsidRDefault="00A0323D" w:rsidP="00442BD2">
      <w:pPr>
        <w:tabs>
          <w:tab w:val="left" w:pos="540"/>
          <w:tab w:val="left" w:pos="569"/>
        </w:tabs>
        <w:jc w:val="both"/>
        <w:rPr>
          <w:bCs/>
          <w:sz w:val="22"/>
          <w:szCs w:val="22"/>
          <w:lang w:val="sr-Latn-CS"/>
        </w:rPr>
      </w:pPr>
      <w:r w:rsidRPr="00A0323D">
        <w:rPr>
          <w:bCs/>
          <w:sz w:val="22"/>
          <w:szCs w:val="22"/>
          <w:lang w:val="sr-Latn-CS"/>
        </w:rPr>
        <w:t>Neadekvatno doziranje ili prekid terapije, naročito kod pacijenata kojima je potreban insulin, mogu dovesti do hiperglikemije i dijabetesne ketoacidoze; stanja koja mogu biti smrtonosna.</w:t>
      </w:r>
    </w:p>
    <w:p w14:paraId="20D8493A" w14:textId="77777777" w:rsidR="00A0323D" w:rsidRPr="00A0323D" w:rsidRDefault="00A0323D" w:rsidP="005A154F">
      <w:pPr>
        <w:tabs>
          <w:tab w:val="left" w:pos="540"/>
          <w:tab w:val="left" w:pos="569"/>
        </w:tabs>
        <w:jc w:val="both"/>
        <w:rPr>
          <w:bCs/>
          <w:sz w:val="22"/>
          <w:szCs w:val="22"/>
          <w:lang w:val="sr-Latn-CS"/>
        </w:rPr>
      </w:pPr>
    </w:p>
    <w:p w14:paraId="247E0A24" w14:textId="77777777" w:rsidR="00A0323D" w:rsidRPr="00A0323D" w:rsidRDefault="00A0323D" w:rsidP="006579F8">
      <w:pPr>
        <w:tabs>
          <w:tab w:val="left" w:pos="540"/>
          <w:tab w:val="left" w:pos="569"/>
        </w:tabs>
        <w:jc w:val="both"/>
        <w:rPr>
          <w:bCs/>
          <w:i/>
          <w:iCs/>
          <w:sz w:val="22"/>
          <w:szCs w:val="22"/>
          <w:lang w:val="sr-Latn-CS"/>
        </w:rPr>
      </w:pPr>
      <w:r w:rsidRPr="00A0323D">
        <w:rPr>
          <w:bCs/>
          <w:i/>
          <w:iCs/>
          <w:sz w:val="22"/>
          <w:szCs w:val="22"/>
          <w:lang w:val="sr-Latn-CS"/>
        </w:rPr>
        <w:t>Kontinuirana supkutana insulinska infuzija (KSII)</w:t>
      </w:r>
    </w:p>
    <w:p w14:paraId="1257D947" w14:textId="5EF944E4" w:rsidR="00A0323D" w:rsidRDefault="00A0323D">
      <w:pPr>
        <w:tabs>
          <w:tab w:val="left" w:pos="540"/>
          <w:tab w:val="left" w:pos="569"/>
        </w:tabs>
        <w:jc w:val="both"/>
        <w:rPr>
          <w:bCs/>
          <w:sz w:val="22"/>
          <w:szCs w:val="22"/>
          <w:lang w:val="sr-Latn-CS"/>
        </w:rPr>
      </w:pPr>
      <w:r w:rsidRPr="00A0323D">
        <w:rPr>
          <w:bCs/>
          <w:sz w:val="22"/>
          <w:szCs w:val="22"/>
          <w:lang w:val="sr-Latn-CS"/>
        </w:rPr>
        <w:t>Neispravnost pumpe ili infuzionog seta mogu dovesti do brzog nastupa hiperglikemije i ketoze. Neophodno je brzo prepoznavanje i rješavanje uzroka hiperglikemije ili ketoze. Možda će biti potrebna privremena terapija supkutanom injekcijom.</w:t>
      </w:r>
    </w:p>
    <w:p w14:paraId="1BD4CF73" w14:textId="1E577856" w:rsidR="00844366" w:rsidRDefault="00844366">
      <w:pPr>
        <w:tabs>
          <w:tab w:val="left" w:pos="540"/>
          <w:tab w:val="left" w:pos="569"/>
        </w:tabs>
        <w:jc w:val="both"/>
        <w:rPr>
          <w:bCs/>
          <w:sz w:val="22"/>
          <w:szCs w:val="22"/>
          <w:lang w:val="sr-Latn-CS"/>
        </w:rPr>
      </w:pPr>
    </w:p>
    <w:p w14:paraId="29BFCF71" w14:textId="77777777" w:rsidR="00C46C9C" w:rsidRPr="00C46C9C" w:rsidRDefault="00C46C9C" w:rsidP="00C46C9C">
      <w:pPr>
        <w:jc w:val="both"/>
        <w:rPr>
          <w:sz w:val="22"/>
          <w:u w:val="single"/>
          <w:lang w:val="pl-PL"/>
        </w:rPr>
      </w:pPr>
      <w:r w:rsidRPr="00C46C9C">
        <w:rPr>
          <w:sz w:val="22"/>
          <w:u w:val="single"/>
          <w:lang w:val="pl-PL"/>
        </w:rPr>
        <w:t>Promjene na koži i potkožnom tkivu</w:t>
      </w:r>
    </w:p>
    <w:p w14:paraId="3E85E051" w14:textId="77777777" w:rsidR="00C46C9C" w:rsidRPr="00C46C9C" w:rsidRDefault="00C46C9C" w:rsidP="00C46C9C">
      <w:pPr>
        <w:jc w:val="both"/>
        <w:rPr>
          <w:bCs/>
          <w:sz w:val="22"/>
          <w:u w:val="single"/>
          <w:lang w:val="pl-PL"/>
        </w:rPr>
      </w:pPr>
    </w:p>
    <w:p w14:paraId="30FB5B18" w14:textId="77777777" w:rsidR="00C46C9C" w:rsidRPr="001D23DB" w:rsidRDefault="00C46C9C" w:rsidP="00C46C9C">
      <w:pPr>
        <w:jc w:val="both"/>
        <w:rPr>
          <w:bCs/>
          <w:sz w:val="22"/>
          <w:lang w:val="pl-PL"/>
        </w:rPr>
      </w:pPr>
      <w:r w:rsidRPr="001D23DB">
        <w:rPr>
          <w:bCs/>
          <w:sz w:val="22"/>
          <w:lang w:val="pl-PL"/>
        </w:rPr>
        <w:t>Pacijenti moraju biti obavješteni da kontinuirano kružno mjenjaju mjesto injektovanja kako bi smanjili rizik od nastanka lipodistrofije i kutane amiloidoze. Postoji potencijalni rizik od odložene apsorpcije insulina i pogoršanja kontrole glikemije nakon injektovanja insulina na regije sa ovim reakcijama. Prijavljeno je da iznenadna promjena mjesta injektovanja na netaknuto područje rezultuje hipoglikemijom.</w:t>
      </w:r>
    </w:p>
    <w:p w14:paraId="1CB04CB1" w14:textId="193D1F2E" w:rsidR="00844366" w:rsidRPr="0079798C" w:rsidRDefault="00C46C9C" w:rsidP="00C46C9C">
      <w:pPr>
        <w:jc w:val="both"/>
        <w:rPr>
          <w:sz w:val="22"/>
          <w:lang w:val="sr-Latn-CS"/>
        </w:rPr>
      </w:pPr>
      <w:r w:rsidRPr="001D23DB">
        <w:rPr>
          <w:bCs/>
          <w:sz w:val="22"/>
          <w:lang w:val="pl-PL"/>
        </w:rPr>
        <w:t>Preporučeno je praćenje nivoa glukoze nakon promjene mjesta injektovanja sa korišćenog na netaknuto područje, kao i razmatranje prilagođavanja doze antidijabetika.</w:t>
      </w:r>
    </w:p>
    <w:p w14:paraId="1F087F9B" w14:textId="2414319B" w:rsidR="003A619F" w:rsidRDefault="003A619F">
      <w:pPr>
        <w:tabs>
          <w:tab w:val="left" w:pos="540"/>
          <w:tab w:val="left" w:pos="569"/>
        </w:tabs>
        <w:jc w:val="both"/>
        <w:rPr>
          <w:bCs/>
          <w:sz w:val="22"/>
          <w:szCs w:val="22"/>
          <w:lang w:val="sr-Latn-CS"/>
        </w:rPr>
      </w:pPr>
    </w:p>
    <w:p w14:paraId="65E181AF" w14:textId="77777777" w:rsidR="003A619F" w:rsidRPr="00734F45" w:rsidRDefault="003A619F" w:rsidP="003A619F">
      <w:pPr>
        <w:tabs>
          <w:tab w:val="left" w:pos="540"/>
          <w:tab w:val="left" w:pos="569"/>
        </w:tabs>
        <w:jc w:val="both"/>
        <w:rPr>
          <w:bCs/>
          <w:sz w:val="22"/>
          <w:szCs w:val="22"/>
          <w:u w:val="single"/>
          <w:lang w:val="sr-Latn-CS"/>
        </w:rPr>
      </w:pPr>
      <w:proofErr w:type="spellStart"/>
      <w:r w:rsidRPr="003A619F">
        <w:rPr>
          <w:bCs/>
          <w:sz w:val="22"/>
          <w:szCs w:val="22"/>
          <w:u w:val="single"/>
          <w:lang w:val="it-IT"/>
        </w:rPr>
        <w:t>Prevo</w:t>
      </w:r>
      <w:proofErr w:type="spellEnd"/>
      <w:r w:rsidRPr="00734F45">
        <w:rPr>
          <w:bCs/>
          <w:sz w:val="22"/>
          <w:szCs w:val="22"/>
          <w:u w:val="single"/>
          <w:lang w:val="sr-Latn-CS"/>
        </w:rPr>
        <w:t>đ</w:t>
      </w:r>
      <w:proofErr w:type="spellStart"/>
      <w:r w:rsidRPr="003A619F">
        <w:rPr>
          <w:bCs/>
          <w:sz w:val="22"/>
          <w:szCs w:val="22"/>
          <w:u w:val="single"/>
          <w:lang w:val="it-IT"/>
        </w:rPr>
        <w:t>enje</w:t>
      </w:r>
      <w:proofErr w:type="spellEnd"/>
      <w:r w:rsidRPr="00734F45">
        <w:rPr>
          <w:bCs/>
          <w:sz w:val="22"/>
          <w:szCs w:val="22"/>
          <w:u w:val="single"/>
          <w:lang w:val="sr-Latn-CS"/>
        </w:rPr>
        <w:t xml:space="preserve"> </w:t>
      </w:r>
      <w:r w:rsidRPr="003A619F">
        <w:rPr>
          <w:bCs/>
          <w:sz w:val="22"/>
          <w:szCs w:val="22"/>
          <w:u w:val="single"/>
          <w:lang w:val="it-IT"/>
        </w:rPr>
        <w:t>sa</w:t>
      </w:r>
      <w:r w:rsidRPr="00734F45">
        <w:rPr>
          <w:bCs/>
          <w:sz w:val="22"/>
          <w:szCs w:val="22"/>
          <w:u w:val="single"/>
          <w:lang w:val="sr-Latn-CS"/>
        </w:rPr>
        <w:t xml:space="preserve"> </w:t>
      </w:r>
      <w:proofErr w:type="spellStart"/>
      <w:r w:rsidRPr="003A619F">
        <w:rPr>
          <w:bCs/>
          <w:sz w:val="22"/>
          <w:szCs w:val="22"/>
          <w:u w:val="single"/>
          <w:lang w:val="it-IT"/>
        </w:rPr>
        <w:t>drugih</w:t>
      </w:r>
      <w:proofErr w:type="spellEnd"/>
      <w:r w:rsidRPr="00734F45">
        <w:rPr>
          <w:bCs/>
          <w:sz w:val="22"/>
          <w:szCs w:val="22"/>
          <w:u w:val="single"/>
          <w:lang w:val="sr-Latn-CS"/>
        </w:rPr>
        <w:t xml:space="preserve"> </w:t>
      </w:r>
      <w:proofErr w:type="spellStart"/>
      <w:r w:rsidRPr="003A619F">
        <w:rPr>
          <w:bCs/>
          <w:sz w:val="22"/>
          <w:szCs w:val="22"/>
          <w:u w:val="single"/>
          <w:lang w:val="it-IT"/>
        </w:rPr>
        <w:t>insulinskih</w:t>
      </w:r>
      <w:proofErr w:type="spellEnd"/>
      <w:r w:rsidRPr="00734F45">
        <w:rPr>
          <w:bCs/>
          <w:sz w:val="22"/>
          <w:szCs w:val="22"/>
          <w:u w:val="single"/>
          <w:lang w:val="sr-Latn-CS"/>
        </w:rPr>
        <w:t xml:space="preserve"> </w:t>
      </w:r>
      <w:proofErr w:type="spellStart"/>
      <w:r w:rsidRPr="003A619F">
        <w:rPr>
          <w:bCs/>
          <w:sz w:val="22"/>
          <w:szCs w:val="22"/>
          <w:u w:val="single"/>
          <w:lang w:val="it-IT"/>
        </w:rPr>
        <w:t>medicinskih</w:t>
      </w:r>
      <w:proofErr w:type="spellEnd"/>
      <w:r w:rsidRPr="00734F45">
        <w:rPr>
          <w:bCs/>
          <w:sz w:val="22"/>
          <w:szCs w:val="22"/>
          <w:u w:val="single"/>
          <w:lang w:val="sr-Latn-CS"/>
        </w:rPr>
        <w:t xml:space="preserve"> </w:t>
      </w:r>
      <w:proofErr w:type="spellStart"/>
      <w:r w:rsidRPr="003A619F">
        <w:rPr>
          <w:bCs/>
          <w:sz w:val="22"/>
          <w:szCs w:val="22"/>
          <w:u w:val="single"/>
          <w:lang w:val="it-IT"/>
        </w:rPr>
        <w:t>proizvoda</w:t>
      </w:r>
      <w:proofErr w:type="spellEnd"/>
    </w:p>
    <w:p w14:paraId="1738FB21" w14:textId="77777777" w:rsidR="003A619F" w:rsidRPr="00734F45" w:rsidRDefault="003A619F" w:rsidP="003A619F">
      <w:pPr>
        <w:tabs>
          <w:tab w:val="left" w:pos="540"/>
          <w:tab w:val="left" w:pos="569"/>
        </w:tabs>
        <w:jc w:val="both"/>
        <w:rPr>
          <w:bCs/>
          <w:sz w:val="22"/>
          <w:szCs w:val="22"/>
          <w:u w:val="single"/>
          <w:lang w:val="sr-Latn-CS"/>
        </w:rPr>
      </w:pPr>
    </w:p>
    <w:p w14:paraId="35BFC80C" w14:textId="1356DBCD" w:rsidR="003A619F" w:rsidRPr="00A0323D" w:rsidRDefault="003A619F" w:rsidP="003A619F">
      <w:pPr>
        <w:tabs>
          <w:tab w:val="left" w:pos="540"/>
          <w:tab w:val="left" w:pos="569"/>
        </w:tabs>
        <w:jc w:val="both"/>
        <w:rPr>
          <w:bCs/>
          <w:sz w:val="22"/>
          <w:szCs w:val="22"/>
          <w:lang w:val="sr-Latn-CS"/>
        </w:rPr>
      </w:pPr>
      <w:proofErr w:type="spellStart"/>
      <w:r w:rsidRPr="003A619F">
        <w:rPr>
          <w:bCs/>
          <w:sz w:val="22"/>
          <w:szCs w:val="22"/>
          <w:lang w:val="it-IT"/>
        </w:rPr>
        <w:t>Prevo</w:t>
      </w:r>
      <w:proofErr w:type="spellEnd"/>
      <w:r w:rsidRPr="00734F45">
        <w:rPr>
          <w:bCs/>
          <w:sz w:val="22"/>
          <w:szCs w:val="22"/>
          <w:lang w:val="sr-Latn-CS"/>
        </w:rPr>
        <w:t>đ</w:t>
      </w:r>
      <w:proofErr w:type="spellStart"/>
      <w:r w:rsidRPr="003A619F">
        <w:rPr>
          <w:bCs/>
          <w:sz w:val="22"/>
          <w:szCs w:val="22"/>
          <w:lang w:val="it-IT"/>
        </w:rPr>
        <w:t>enje</w:t>
      </w:r>
      <w:proofErr w:type="spellEnd"/>
      <w:r w:rsidRPr="00734F45">
        <w:rPr>
          <w:bCs/>
          <w:sz w:val="22"/>
          <w:szCs w:val="22"/>
          <w:lang w:val="sr-Latn-CS"/>
        </w:rPr>
        <w:t xml:space="preserve"> </w:t>
      </w:r>
      <w:proofErr w:type="spellStart"/>
      <w:r w:rsidRPr="003A619F">
        <w:rPr>
          <w:bCs/>
          <w:sz w:val="22"/>
          <w:szCs w:val="22"/>
          <w:lang w:val="it-IT"/>
        </w:rPr>
        <w:t>pacijenta</w:t>
      </w:r>
      <w:proofErr w:type="spellEnd"/>
      <w:r w:rsidRPr="00734F45">
        <w:rPr>
          <w:bCs/>
          <w:sz w:val="22"/>
          <w:szCs w:val="22"/>
          <w:lang w:val="sr-Latn-CS"/>
        </w:rPr>
        <w:t xml:space="preserve"> </w:t>
      </w:r>
      <w:proofErr w:type="spellStart"/>
      <w:r w:rsidRPr="003A619F">
        <w:rPr>
          <w:bCs/>
          <w:sz w:val="22"/>
          <w:szCs w:val="22"/>
          <w:lang w:val="it-IT"/>
        </w:rPr>
        <w:t>na</w:t>
      </w:r>
      <w:proofErr w:type="spellEnd"/>
      <w:r w:rsidRPr="00734F45">
        <w:rPr>
          <w:bCs/>
          <w:sz w:val="22"/>
          <w:szCs w:val="22"/>
          <w:lang w:val="sr-Latn-CS"/>
        </w:rPr>
        <w:t xml:space="preserve"> </w:t>
      </w:r>
      <w:proofErr w:type="spellStart"/>
      <w:r w:rsidRPr="003A619F">
        <w:rPr>
          <w:bCs/>
          <w:sz w:val="22"/>
          <w:szCs w:val="22"/>
          <w:lang w:val="it-IT"/>
        </w:rPr>
        <w:t>drugi</w:t>
      </w:r>
      <w:proofErr w:type="spellEnd"/>
      <w:r w:rsidRPr="00734F45">
        <w:rPr>
          <w:bCs/>
          <w:sz w:val="22"/>
          <w:szCs w:val="22"/>
          <w:lang w:val="sr-Latn-CS"/>
        </w:rPr>
        <w:t xml:space="preserve"> </w:t>
      </w:r>
      <w:proofErr w:type="spellStart"/>
      <w:r w:rsidRPr="003A619F">
        <w:rPr>
          <w:bCs/>
          <w:sz w:val="22"/>
          <w:szCs w:val="22"/>
          <w:lang w:val="it-IT"/>
        </w:rPr>
        <w:t>tip</w:t>
      </w:r>
      <w:proofErr w:type="spellEnd"/>
      <w:r w:rsidRPr="00734F45">
        <w:rPr>
          <w:bCs/>
          <w:sz w:val="22"/>
          <w:szCs w:val="22"/>
          <w:lang w:val="sr-Latn-CS"/>
        </w:rPr>
        <w:t xml:space="preserve"> </w:t>
      </w:r>
      <w:r w:rsidRPr="003A619F">
        <w:rPr>
          <w:bCs/>
          <w:sz w:val="22"/>
          <w:szCs w:val="22"/>
          <w:lang w:val="it-IT"/>
        </w:rPr>
        <w:t>insulina</w:t>
      </w:r>
      <w:r w:rsidRPr="00734F45">
        <w:rPr>
          <w:bCs/>
          <w:sz w:val="22"/>
          <w:szCs w:val="22"/>
          <w:lang w:val="sr-Latn-CS"/>
        </w:rPr>
        <w:t xml:space="preserve"> </w:t>
      </w:r>
      <w:r w:rsidRPr="003A619F">
        <w:rPr>
          <w:bCs/>
          <w:sz w:val="22"/>
          <w:szCs w:val="22"/>
          <w:lang w:val="it-IT"/>
        </w:rPr>
        <w:t>ili</w:t>
      </w:r>
      <w:r w:rsidRPr="00734F45">
        <w:rPr>
          <w:bCs/>
          <w:sz w:val="22"/>
          <w:szCs w:val="22"/>
          <w:lang w:val="sr-Latn-CS"/>
        </w:rPr>
        <w:t xml:space="preserve"> </w:t>
      </w:r>
      <w:proofErr w:type="spellStart"/>
      <w:r w:rsidRPr="003A619F">
        <w:rPr>
          <w:bCs/>
          <w:sz w:val="22"/>
          <w:szCs w:val="22"/>
          <w:lang w:val="it-IT"/>
        </w:rPr>
        <w:t>na</w:t>
      </w:r>
      <w:proofErr w:type="spellEnd"/>
      <w:r w:rsidRPr="00734F45">
        <w:rPr>
          <w:bCs/>
          <w:sz w:val="22"/>
          <w:szCs w:val="22"/>
          <w:lang w:val="sr-Latn-CS"/>
        </w:rPr>
        <w:t xml:space="preserve"> </w:t>
      </w:r>
      <w:r w:rsidRPr="003A619F">
        <w:rPr>
          <w:bCs/>
          <w:sz w:val="22"/>
          <w:szCs w:val="22"/>
          <w:lang w:val="it-IT"/>
        </w:rPr>
        <w:t>insuline</w:t>
      </w:r>
      <w:r w:rsidRPr="00734F45">
        <w:rPr>
          <w:bCs/>
          <w:sz w:val="22"/>
          <w:szCs w:val="22"/>
          <w:lang w:val="sr-Latn-CS"/>
        </w:rPr>
        <w:t xml:space="preserve"> </w:t>
      </w:r>
      <w:proofErr w:type="spellStart"/>
      <w:r w:rsidRPr="003A619F">
        <w:rPr>
          <w:bCs/>
          <w:sz w:val="22"/>
          <w:szCs w:val="22"/>
          <w:lang w:val="it-IT"/>
        </w:rPr>
        <w:t>druge</w:t>
      </w:r>
      <w:proofErr w:type="spellEnd"/>
      <w:r w:rsidRPr="00734F45">
        <w:rPr>
          <w:bCs/>
          <w:sz w:val="22"/>
          <w:szCs w:val="22"/>
          <w:lang w:val="sr-Latn-CS"/>
        </w:rPr>
        <w:t xml:space="preserve"> </w:t>
      </w:r>
      <w:proofErr w:type="spellStart"/>
      <w:r w:rsidRPr="003A619F">
        <w:rPr>
          <w:bCs/>
          <w:sz w:val="22"/>
          <w:szCs w:val="22"/>
          <w:lang w:val="it-IT"/>
        </w:rPr>
        <w:t>kompanije</w:t>
      </w:r>
      <w:proofErr w:type="spellEnd"/>
      <w:r w:rsidRPr="00734F45">
        <w:rPr>
          <w:bCs/>
          <w:sz w:val="22"/>
          <w:szCs w:val="22"/>
          <w:lang w:val="sr-Latn-CS"/>
        </w:rPr>
        <w:t xml:space="preserve">, </w:t>
      </w:r>
      <w:proofErr w:type="spellStart"/>
      <w:r w:rsidRPr="003A619F">
        <w:rPr>
          <w:bCs/>
          <w:sz w:val="22"/>
          <w:szCs w:val="22"/>
          <w:lang w:val="it-IT"/>
        </w:rPr>
        <w:t>treba</w:t>
      </w:r>
      <w:proofErr w:type="spellEnd"/>
      <w:r w:rsidRPr="00734F45">
        <w:rPr>
          <w:bCs/>
          <w:sz w:val="22"/>
          <w:szCs w:val="22"/>
          <w:lang w:val="sr-Latn-CS"/>
        </w:rPr>
        <w:t xml:space="preserve"> </w:t>
      </w:r>
      <w:proofErr w:type="spellStart"/>
      <w:r w:rsidRPr="003A619F">
        <w:rPr>
          <w:bCs/>
          <w:sz w:val="22"/>
          <w:szCs w:val="22"/>
          <w:lang w:val="it-IT"/>
        </w:rPr>
        <w:t>sprovesti</w:t>
      </w:r>
      <w:proofErr w:type="spellEnd"/>
      <w:r w:rsidRPr="00734F45">
        <w:rPr>
          <w:bCs/>
          <w:sz w:val="22"/>
          <w:szCs w:val="22"/>
          <w:lang w:val="sr-Latn-CS"/>
        </w:rPr>
        <w:t xml:space="preserve"> </w:t>
      </w:r>
      <w:proofErr w:type="spellStart"/>
      <w:r w:rsidRPr="003A619F">
        <w:rPr>
          <w:bCs/>
          <w:sz w:val="22"/>
          <w:szCs w:val="22"/>
          <w:lang w:val="it-IT"/>
        </w:rPr>
        <w:t>pod</w:t>
      </w:r>
      <w:proofErr w:type="spellEnd"/>
      <w:r w:rsidRPr="00734F45">
        <w:rPr>
          <w:bCs/>
          <w:sz w:val="22"/>
          <w:szCs w:val="22"/>
          <w:lang w:val="sr-Latn-CS"/>
        </w:rPr>
        <w:t xml:space="preserve"> </w:t>
      </w:r>
      <w:proofErr w:type="spellStart"/>
      <w:r w:rsidRPr="003A619F">
        <w:rPr>
          <w:bCs/>
          <w:sz w:val="22"/>
          <w:szCs w:val="22"/>
          <w:lang w:val="it-IT"/>
        </w:rPr>
        <w:t>striktnim</w:t>
      </w:r>
      <w:proofErr w:type="spellEnd"/>
      <w:r w:rsidRPr="00734F45">
        <w:rPr>
          <w:bCs/>
          <w:sz w:val="22"/>
          <w:szCs w:val="22"/>
          <w:lang w:val="sr-Latn-CS"/>
        </w:rPr>
        <w:t xml:space="preserve"> </w:t>
      </w:r>
      <w:proofErr w:type="spellStart"/>
      <w:r w:rsidRPr="003A619F">
        <w:rPr>
          <w:bCs/>
          <w:sz w:val="22"/>
          <w:szCs w:val="22"/>
          <w:lang w:val="it-IT"/>
        </w:rPr>
        <w:t>medicinskim</w:t>
      </w:r>
      <w:proofErr w:type="spellEnd"/>
      <w:r w:rsidRPr="00734F45">
        <w:rPr>
          <w:bCs/>
          <w:sz w:val="22"/>
          <w:szCs w:val="22"/>
          <w:lang w:val="sr-Latn-CS"/>
        </w:rPr>
        <w:t xml:space="preserve"> </w:t>
      </w:r>
      <w:proofErr w:type="spellStart"/>
      <w:r w:rsidRPr="003A619F">
        <w:rPr>
          <w:bCs/>
          <w:sz w:val="22"/>
          <w:szCs w:val="22"/>
          <w:lang w:val="it-IT"/>
        </w:rPr>
        <w:t>nadzorom</w:t>
      </w:r>
      <w:proofErr w:type="spellEnd"/>
      <w:r w:rsidRPr="00734F45">
        <w:rPr>
          <w:bCs/>
          <w:sz w:val="22"/>
          <w:szCs w:val="22"/>
          <w:lang w:val="sr-Latn-CS"/>
        </w:rPr>
        <w:t xml:space="preserve">. </w:t>
      </w:r>
      <w:proofErr w:type="spellStart"/>
      <w:r w:rsidRPr="003A619F">
        <w:rPr>
          <w:bCs/>
          <w:sz w:val="22"/>
          <w:szCs w:val="22"/>
          <w:lang w:val="it-IT"/>
        </w:rPr>
        <w:t>Prom</w:t>
      </w:r>
      <w:r>
        <w:rPr>
          <w:bCs/>
          <w:sz w:val="22"/>
          <w:szCs w:val="22"/>
          <w:lang w:val="it-IT"/>
        </w:rPr>
        <w:t>j</w:t>
      </w:r>
      <w:r w:rsidRPr="003A619F">
        <w:rPr>
          <w:bCs/>
          <w:sz w:val="22"/>
          <w:szCs w:val="22"/>
          <w:lang w:val="it-IT"/>
        </w:rPr>
        <w:t>ene</w:t>
      </w:r>
      <w:proofErr w:type="spellEnd"/>
      <w:r w:rsidRPr="00734F45">
        <w:rPr>
          <w:bCs/>
          <w:sz w:val="22"/>
          <w:szCs w:val="22"/>
          <w:lang w:val="sr-Latn-CS"/>
        </w:rPr>
        <w:t xml:space="preserve"> </w:t>
      </w:r>
      <w:proofErr w:type="spellStart"/>
      <w:r w:rsidRPr="003A619F">
        <w:rPr>
          <w:bCs/>
          <w:sz w:val="22"/>
          <w:szCs w:val="22"/>
          <w:lang w:val="it-IT"/>
        </w:rPr>
        <w:t>ja</w:t>
      </w:r>
      <w:proofErr w:type="spellEnd"/>
      <w:r w:rsidRPr="00734F45">
        <w:rPr>
          <w:bCs/>
          <w:sz w:val="22"/>
          <w:szCs w:val="22"/>
          <w:lang w:val="sr-Latn-CS"/>
        </w:rPr>
        <w:t>č</w:t>
      </w:r>
      <w:r w:rsidRPr="003A619F">
        <w:rPr>
          <w:bCs/>
          <w:sz w:val="22"/>
          <w:szCs w:val="22"/>
          <w:lang w:val="it-IT"/>
        </w:rPr>
        <w:t>ine</w:t>
      </w:r>
      <w:r w:rsidRPr="00734F45">
        <w:rPr>
          <w:bCs/>
          <w:sz w:val="22"/>
          <w:szCs w:val="22"/>
          <w:lang w:val="sr-Latn-CS"/>
        </w:rPr>
        <w:t xml:space="preserve">, </w:t>
      </w:r>
      <w:proofErr w:type="spellStart"/>
      <w:r w:rsidRPr="003A619F">
        <w:rPr>
          <w:bCs/>
          <w:sz w:val="22"/>
          <w:szCs w:val="22"/>
          <w:lang w:val="it-IT"/>
        </w:rPr>
        <w:t>kompanije</w:t>
      </w:r>
      <w:proofErr w:type="spellEnd"/>
      <w:r w:rsidRPr="00734F45">
        <w:rPr>
          <w:bCs/>
          <w:sz w:val="22"/>
          <w:szCs w:val="22"/>
          <w:lang w:val="sr-Latn-CS"/>
        </w:rPr>
        <w:t xml:space="preserve"> (</w:t>
      </w:r>
      <w:proofErr w:type="spellStart"/>
      <w:r w:rsidRPr="003A619F">
        <w:rPr>
          <w:bCs/>
          <w:sz w:val="22"/>
          <w:szCs w:val="22"/>
          <w:lang w:val="it-IT"/>
        </w:rPr>
        <w:t>proizvo</w:t>
      </w:r>
      <w:proofErr w:type="spellEnd"/>
      <w:r w:rsidRPr="00734F45">
        <w:rPr>
          <w:bCs/>
          <w:sz w:val="22"/>
          <w:szCs w:val="22"/>
          <w:lang w:val="sr-Latn-CS"/>
        </w:rPr>
        <w:t>đ</w:t>
      </w:r>
      <w:r w:rsidRPr="003A619F">
        <w:rPr>
          <w:bCs/>
          <w:sz w:val="22"/>
          <w:szCs w:val="22"/>
          <w:lang w:val="it-IT"/>
        </w:rPr>
        <w:t>a</w:t>
      </w:r>
      <w:r w:rsidRPr="00734F45">
        <w:rPr>
          <w:bCs/>
          <w:sz w:val="22"/>
          <w:szCs w:val="22"/>
          <w:lang w:val="sr-Latn-CS"/>
        </w:rPr>
        <w:t>č</w:t>
      </w:r>
      <w:r w:rsidRPr="003A619F">
        <w:rPr>
          <w:bCs/>
          <w:sz w:val="22"/>
          <w:szCs w:val="22"/>
          <w:lang w:val="it-IT"/>
        </w:rPr>
        <w:t>a</w:t>
      </w:r>
      <w:r w:rsidRPr="00734F45">
        <w:rPr>
          <w:bCs/>
          <w:sz w:val="22"/>
          <w:szCs w:val="22"/>
          <w:lang w:val="sr-Latn-CS"/>
        </w:rPr>
        <w:t xml:space="preserve">), </w:t>
      </w:r>
      <w:r w:rsidRPr="003A619F">
        <w:rPr>
          <w:bCs/>
          <w:sz w:val="22"/>
          <w:szCs w:val="22"/>
          <w:lang w:val="it-IT"/>
        </w:rPr>
        <w:t>tipa</w:t>
      </w:r>
      <w:r w:rsidRPr="00734F45">
        <w:rPr>
          <w:bCs/>
          <w:sz w:val="22"/>
          <w:szCs w:val="22"/>
          <w:lang w:val="sr-Latn-CS"/>
        </w:rPr>
        <w:t xml:space="preserve">, </w:t>
      </w:r>
      <w:proofErr w:type="spellStart"/>
      <w:r w:rsidRPr="003A619F">
        <w:rPr>
          <w:bCs/>
          <w:sz w:val="22"/>
          <w:szCs w:val="22"/>
          <w:lang w:val="it-IT"/>
        </w:rPr>
        <w:t>por</w:t>
      </w:r>
      <w:r w:rsidR="008701AF">
        <w:rPr>
          <w:bCs/>
          <w:sz w:val="22"/>
          <w:szCs w:val="22"/>
          <w:lang w:val="it-IT"/>
        </w:rPr>
        <w:t>ij</w:t>
      </w:r>
      <w:r w:rsidRPr="003A619F">
        <w:rPr>
          <w:bCs/>
          <w:sz w:val="22"/>
          <w:szCs w:val="22"/>
          <w:lang w:val="it-IT"/>
        </w:rPr>
        <w:t>ekla</w:t>
      </w:r>
      <w:proofErr w:type="spellEnd"/>
      <w:r w:rsidRPr="00734F45">
        <w:rPr>
          <w:bCs/>
          <w:sz w:val="22"/>
          <w:szCs w:val="22"/>
          <w:lang w:val="sr-Latn-CS"/>
        </w:rPr>
        <w:t xml:space="preserve"> (ž</w:t>
      </w:r>
      <w:proofErr w:type="spellStart"/>
      <w:r w:rsidRPr="003A619F">
        <w:rPr>
          <w:bCs/>
          <w:sz w:val="22"/>
          <w:szCs w:val="22"/>
          <w:lang w:val="it-IT"/>
        </w:rPr>
        <w:t>ivotinjski</w:t>
      </w:r>
      <w:proofErr w:type="spellEnd"/>
      <w:r w:rsidRPr="00734F45">
        <w:rPr>
          <w:bCs/>
          <w:sz w:val="22"/>
          <w:szCs w:val="22"/>
          <w:lang w:val="sr-Latn-CS"/>
        </w:rPr>
        <w:t xml:space="preserve">, </w:t>
      </w:r>
      <w:proofErr w:type="spellStart"/>
      <w:r w:rsidRPr="003A619F">
        <w:rPr>
          <w:bCs/>
          <w:sz w:val="22"/>
          <w:szCs w:val="22"/>
          <w:lang w:val="it-IT"/>
        </w:rPr>
        <w:t>humani</w:t>
      </w:r>
      <w:proofErr w:type="spellEnd"/>
      <w:r w:rsidRPr="00734F45">
        <w:rPr>
          <w:bCs/>
          <w:sz w:val="22"/>
          <w:szCs w:val="22"/>
          <w:lang w:val="sr-Latn-CS"/>
        </w:rPr>
        <w:t xml:space="preserve"> </w:t>
      </w:r>
      <w:proofErr w:type="spellStart"/>
      <w:r w:rsidRPr="003A619F">
        <w:rPr>
          <w:bCs/>
          <w:sz w:val="22"/>
          <w:szCs w:val="22"/>
          <w:lang w:val="it-IT"/>
        </w:rPr>
        <w:t>insulin</w:t>
      </w:r>
      <w:proofErr w:type="spellEnd"/>
      <w:r w:rsidRPr="00734F45">
        <w:rPr>
          <w:bCs/>
          <w:sz w:val="22"/>
          <w:szCs w:val="22"/>
          <w:lang w:val="sr-Latn-CS"/>
        </w:rPr>
        <w:t xml:space="preserve"> </w:t>
      </w:r>
      <w:r w:rsidRPr="003A619F">
        <w:rPr>
          <w:bCs/>
          <w:sz w:val="22"/>
          <w:szCs w:val="22"/>
          <w:lang w:val="it-IT"/>
        </w:rPr>
        <w:t>ili</w:t>
      </w:r>
      <w:r w:rsidRPr="00734F45">
        <w:rPr>
          <w:bCs/>
          <w:sz w:val="22"/>
          <w:szCs w:val="22"/>
          <w:lang w:val="sr-Latn-CS"/>
        </w:rPr>
        <w:t xml:space="preserve"> </w:t>
      </w:r>
      <w:proofErr w:type="spellStart"/>
      <w:r w:rsidRPr="003A619F">
        <w:rPr>
          <w:bCs/>
          <w:sz w:val="22"/>
          <w:szCs w:val="22"/>
          <w:lang w:val="it-IT"/>
        </w:rPr>
        <w:t>humani</w:t>
      </w:r>
      <w:proofErr w:type="spellEnd"/>
      <w:r w:rsidRPr="00734F45">
        <w:rPr>
          <w:bCs/>
          <w:sz w:val="22"/>
          <w:szCs w:val="22"/>
          <w:lang w:val="sr-Latn-CS"/>
        </w:rPr>
        <w:t xml:space="preserve"> </w:t>
      </w:r>
      <w:proofErr w:type="spellStart"/>
      <w:r w:rsidRPr="003A619F">
        <w:rPr>
          <w:bCs/>
          <w:sz w:val="22"/>
          <w:szCs w:val="22"/>
          <w:lang w:val="it-IT"/>
        </w:rPr>
        <w:t>analozi</w:t>
      </w:r>
      <w:proofErr w:type="spellEnd"/>
      <w:r w:rsidRPr="00734F45">
        <w:rPr>
          <w:bCs/>
          <w:sz w:val="22"/>
          <w:szCs w:val="22"/>
          <w:lang w:val="sr-Latn-CS"/>
        </w:rPr>
        <w:t xml:space="preserve"> </w:t>
      </w:r>
      <w:r w:rsidRPr="003A619F">
        <w:rPr>
          <w:bCs/>
          <w:sz w:val="22"/>
          <w:szCs w:val="22"/>
          <w:lang w:val="it-IT"/>
        </w:rPr>
        <w:t>insulina</w:t>
      </w:r>
      <w:r w:rsidRPr="00734F45">
        <w:rPr>
          <w:bCs/>
          <w:sz w:val="22"/>
          <w:szCs w:val="22"/>
          <w:lang w:val="sr-Latn-CS"/>
        </w:rPr>
        <w:t xml:space="preserve">) </w:t>
      </w:r>
      <w:r w:rsidRPr="003A619F">
        <w:rPr>
          <w:bCs/>
          <w:sz w:val="22"/>
          <w:szCs w:val="22"/>
          <w:lang w:val="it-IT"/>
        </w:rPr>
        <w:t>i</w:t>
      </w:r>
      <w:r w:rsidRPr="00734F45">
        <w:rPr>
          <w:bCs/>
          <w:sz w:val="22"/>
          <w:szCs w:val="22"/>
          <w:lang w:val="sr-Latn-CS"/>
        </w:rPr>
        <w:t>/</w:t>
      </w:r>
      <w:r w:rsidRPr="003A619F">
        <w:rPr>
          <w:bCs/>
          <w:sz w:val="22"/>
          <w:szCs w:val="22"/>
          <w:lang w:val="it-IT"/>
        </w:rPr>
        <w:t>ili</w:t>
      </w:r>
      <w:r w:rsidRPr="00734F45">
        <w:rPr>
          <w:bCs/>
          <w:sz w:val="22"/>
          <w:szCs w:val="22"/>
          <w:lang w:val="sr-Latn-CS"/>
        </w:rPr>
        <w:t xml:space="preserve"> </w:t>
      </w:r>
      <w:proofErr w:type="spellStart"/>
      <w:r w:rsidRPr="003A619F">
        <w:rPr>
          <w:bCs/>
          <w:sz w:val="22"/>
          <w:szCs w:val="22"/>
          <w:lang w:val="it-IT"/>
        </w:rPr>
        <w:t>na</w:t>
      </w:r>
      <w:proofErr w:type="spellEnd"/>
      <w:r w:rsidRPr="00734F45">
        <w:rPr>
          <w:bCs/>
          <w:sz w:val="22"/>
          <w:szCs w:val="22"/>
          <w:lang w:val="sr-Latn-CS"/>
        </w:rPr>
        <w:t>č</w:t>
      </w:r>
      <w:r w:rsidRPr="003A619F">
        <w:rPr>
          <w:bCs/>
          <w:sz w:val="22"/>
          <w:szCs w:val="22"/>
          <w:lang w:val="it-IT"/>
        </w:rPr>
        <w:t>ina</w:t>
      </w:r>
      <w:r w:rsidRPr="00734F45">
        <w:rPr>
          <w:bCs/>
          <w:sz w:val="22"/>
          <w:szCs w:val="22"/>
          <w:lang w:val="sr-Latn-CS"/>
        </w:rPr>
        <w:t xml:space="preserve"> </w:t>
      </w:r>
      <w:proofErr w:type="spellStart"/>
      <w:r w:rsidRPr="003A619F">
        <w:rPr>
          <w:bCs/>
          <w:sz w:val="22"/>
          <w:szCs w:val="22"/>
          <w:lang w:val="it-IT"/>
        </w:rPr>
        <w:t>proizvodnje</w:t>
      </w:r>
      <w:proofErr w:type="spellEnd"/>
      <w:r w:rsidRPr="00734F45">
        <w:rPr>
          <w:bCs/>
          <w:sz w:val="22"/>
          <w:szCs w:val="22"/>
          <w:lang w:val="sr-Latn-CS"/>
        </w:rPr>
        <w:t xml:space="preserve"> (</w:t>
      </w:r>
      <w:proofErr w:type="spellStart"/>
      <w:r w:rsidRPr="003A619F">
        <w:rPr>
          <w:bCs/>
          <w:sz w:val="22"/>
          <w:szCs w:val="22"/>
          <w:lang w:val="it-IT"/>
        </w:rPr>
        <w:t>rekombinantna</w:t>
      </w:r>
      <w:proofErr w:type="spellEnd"/>
      <w:r w:rsidRPr="00734F45">
        <w:rPr>
          <w:bCs/>
          <w:sz w:val="22"/>
          <w:szCs w:val="22"/>
          <w:lang w:val="sr-Latn-CS"/>
        </w:rPr>
        <w:t xml:space="preserve"> </w:t>
      </w:r>
      <w:r w:rsidRPr="003A619F">
        <w:rPr>
          <w:bCs/>
          <w:sz w:val="22"/>
          <w:szCs w:val="22"/>
          <w:lang w:val="it-IT"/>
        </w:rPr>
        <w:t>DNK</w:t>
      </w:r>
      <w:r w:rsidRPr="00734F45">
        <w:rPr>
          <w:bCs/>
          <w:sz w:val="22"/>
          <w:szCs w:val="22"/>
          <w:lang w:val="sr-Latn-CS"/>
        </w:rPr>
        <w:t xml:space="preserve"> </w:t>
      </w:r>
      <w:proofErr w:type="spellStart"/>
      <w:r w:rsidRPr="003A619F">
        <w:rPr>
          <w:bCs/>
          <w:sz w:val="22"/>
          <w:szCs w:val="22"/>
          <w:lang w:val="it-IT"/>
        </w:rPr>
        <w:t>nasuprot</w:t>
      </w:r>
      <w:proofErr w:type="spellEnd"/>
      <w:r w:rsidRPr="00734F45">
        <w:rPr>
          <w:bCs/>
          <w:sz w:val="22"/>
          <w:szCs w:val="22"/>
          <w:lang w:val="sr-Latn-CS"/>
        </w:rPr>
        <w:t xml:space="preserve"> ž</w:t>
      </w:r>
      <w:proofErr w:type="spellStart"/>
      <w:r w:rsidRPr="003A619F">
        <w:rPr>
          <w:bCs/>
          <w:sz w:val="22"/>
          <w:szCs w:val="22"/>
          <w:lang w:val="it-IT"/>
        </w:rPr>
        <w:t>ivotinjskom</w:t>
      </w:r>
      <w:proofErr w:type="spellEnd"/>
      <w:r w:rsidRPr="00734F45">
        <w:rPr>
          <w:bCs/>
          <w:sz w:val="22"/>
          <w:szCs w:val="22"/>
          <w:lang w:val="sr-Latn-CS"/>
        </w:rPr>
        <w:t xml:space="preserve"> </w:t>
      </w:r>
      <w:proofErr w:type="spellStart"/>
      <w:r w:rsidRPr="003A619F">
        <w:rPr>
          <w:bCs/>
          <w:sz w:val="22"/>
          <w:szCs w:val="22"/>
          <w:lang w:val="it-IT"/>
        </w:rPr>
        <w:t>izvoru</w:t>
      </w:r>
      <w:proofErr w:type="spellEnd"/>
      <w:r w:rsidRPr="00734F45">
        <w:rPr>
          <w:bCs/>
          <w:sz w:val="22"/>
          <w:szCs w:val="22"/>
          <w:lang w:val="sr-Latn-CS"/>
        </w:rPr>
        <w:t xml:space="preserve"> </w:t>
      </w:r>
      <w:r w:rsidRPr="003A619F">
        <w:rPr>
          <w:bCs/>
          <w:sz w:val="22"/>
          <w:szCs w:val="22"/>
          <w:lang w:val="it-IT"/>
        </w:rPr>
        <w:t>insulina</w:t>
      </w:r>
      <w:r w:rsidRPr="00734F45">
        <w:rPr>
          <w:bCs/>
          <w:sz w:val="22"/>
          <w:szCs w:val="22"/>
          <w:lang w:val="sr-Latn-CS"/>
        </w:rPr>
        <w:t xml:space="preserve">) </w:t>
      </w:r>
      <w:proofErr w:type="spellStart"/>
      <w:r w:rsidRPr="003A619F">
        <w:rPr>
          <w:bCs/>
          <w:sz w:val="22"/>
          <w:szCs w:val="22"/>
          <w:lang w:val="it-IT"/>
        </w:rPr>
        <w:t>mogu</w:t>
      </w:r>
      <w:proofErr w:type="spellEnd"/>
      <w:r w:rsidRPr="00734F45">
        <w:rPr>
          <w:bCs/>
          <w:sz w:val="22"/>
          <w:szCs w:val="22"/>
          <w:lang w:val="sr-Latn-CS"/>
        </w:rPr>
        <w:t xml:space="preserve"> </w:t>
      </w:r>
      <w:proofErr w:type="spellStart"/>
      <w:r w:rsidRPr="003A619F">
        <w:rPr>
          <w:bCs/>
          <w:sz w:val="22"/>
          <w:szCs w:val="22"/>
          <w:lang w:val="it-IT"/>
        </w:rPr>
        <w:t>rezultirati</w:t>
      </w:r>
      <w:proofErr w:type="spellEnd"/>
      <w:r w:rsidRPr="00734F45">
        <w:rPr>
          <w:bCs/>
          <w:sz w:val="22"/>
          <w:szCs w:val="22"/>
          <w:lang w:val="sr-Latn-CS"/>
        </w:rPr>
        <w:t xml:space="preserve"> </w:t>
      </w:r>
      <w:proofErr w:type="spellStart"/>
      <w:r w:rsidRPr="003A619F">
        <w:rPr>
          <w:bCs/>
          <w:sz w:val="22"/>
          <w:szCs w:val="22"/>
          <w:lang w:val="it-IT"/>
        </w:rPr>
        <w:t>potrebom</w:t>
      </w:r>
      <w:proofErr w:type="spellEnd"/>
      <w:r w:rsidRPr="00734F45">
        <w:rPr>
          <w:bCs/>
          <w:sz w:val="22"/>
          <w:szCs w:val="22"/>
          <w:lang w:val="sr-Latn-CS"/>
        </w:rPr>
        <w:t xml:space="preserve"> </w:t>
      </w:r>
      <w:r w:rsidRPr="003A619F">
        <w:rPr>
          <w:bCs/>
          <w:sz w:val="22"/>
          <w:szCs w:val="22"/>
          <w:lang w:val="it-IT"/>
        </w:rPr>
        <w:t>za</w:t>
      </w:r>
      <w:r w:rsidRPr="00734F45">
        <w:rPr>
          <w:bCs/>
          <w:sz w:val="22"/>
          <w:szCs w:val="22"/>
          <w:lang w:val="sr-Latn-CS"/>
        </w:rPr>
        <w:t xml:space="preserve"> </w:t>
      </w:r>
      <w:proofErr w:type="spellStart"/>
      <w:r w:rsidRPr="003A619F">
        <w:rPr>
          <w:bCs/>
          <w:sz w:val="22"/>
          <w:szCs w:val="22"/>
          <w:lang w:val="it-IT"/>
        </w:rPr>
        <w:t>korigovanjem</w:t>
      </w:r>
      <w:proofErr w:type="spellEnd"/>
      <w:r w:rsidRPr="00734F45">
        <w:rPr>
          <w:bCs/>
          <w:sz w:val="22"/>
          <w:szCs w:val="22"/>
          <w:lang w:val="sr-Latn-CS"/>
        </w:rPr>
        <w:t xml:space="preserve"> </w:t>
      </w:r>
      <w:proofErr w:type="spellStart"/>
      <w:r w:rsidRPr="003A619F">
        <w:rPr>
          <w:bCs/>
          <w:sz w:val="22"/>
          <w:szCs w:val="22"/>
          <w:lang w:val="it-IT"/>
        </w:rPr>
        <w:t>doze</w:t>
      </w:r>
      <w:proofErr w:type="spellEnd"/>
      <w:r w:rsidRPr="00734F45">
        <w:rPr>
          <w:bCs/>
          <w:sz w:val="22"/>
          <w:szCs w:val="22"/>
          <w:lang w:val="sr-Latn-CS"/>
        </w:rPr>
        <w:t xml:space="preserve">. </w:t>
      </w:r>
      <w:proofErr w:type="spellStart"/>
      <w:r w:rsidRPr="003A619F">
        <w:rPr>
          <w:bCs/>
          <w:sz w:val="22"/>
          <w:szCs w:val="22"/>
          <w:lang w:val="it-IT"/>
        </w:rPr>
        <w:t>Pacijentima</w:t>
      </w:r>
      <w:proofErr w:type="spellEnd"/>
      <w:r w:rsidRPr="00734F45">
        <w:rPr>
          <w:bCs/>
          <w:sz w:val="22"/>
          <w:szCs w:val="22"/>
          <w:lang w:val="sr-Latn-CS"/>
        </w:rPr>
        <w:t xml:space="preserve">, </w:t>
      </w:r>
      <w:proofErr w:type="spellStart"/>
      <w:r w:rsidRPr="003A619F">
        <w:rPr>
          <w:bCs/>
          <w:sz w:val="22"/>
          <w:szCs w:val="22"/>
          <w:lang w:val="it-IT"/>
        </w:rPr>
        <w:t>koji</w:t>
      </w:r>
      <w:proofErr w:type="spellEnd"/>
      <w:r w:rsidRPr="00734F45">
        <w:rPr>
          <w:bCs/>
          <w:sz w:val="22"/>
          <w:szCs w:val="22"/>
          <w:lang w:val="sr-Latn-CS"/>
        </w:rPr>
        <w:t xml:space="preserve"> </w:t>
      </w:r>
      <w:r w:rsidRPr="003A619F">
        <w:rPr>
          <w:bCs/>
          <w:sz w:val="22"/>
          <w:szCs w:val="22"/>
          <w:lang w:val="it-IT"/>
        </w:rPr>
        <w:t>su</w:t>
      </w:r>
      <w:r w:rsidRPr="00734F45">
        <w:rPr>
          <w:bCs/>
          <w:sz w:val="22"/>
          <w:szCs w:val="22"/>
          <w:lang w:val="sr-Latn-CS"/>
        </w:rPr>
        <w:t xml:space="preserve"> </w:t>
      </w:r>
      <w:r w:rsidRPr="003A619F">
        <w:rPr>
          <w:bCs/>
          <w:sz w:val="22"/>
          <w:szCs w:val="22"/>
          <w:lang w:val="it-IT"/>
        </w:rPr>
        <w:t>sa</w:t>
      </w:r>
      <w:r w:rsidRPr="00734F45">
        <w:rPr>
          <w:bCs/>
          <w:sz w:val="22"/>
          <w:szCs w:val="22"/>
          <w:lang w:val="sr-Latn-CS"/>
        </w:rPr>
        <w:t xml:space="preserve"> </w:t>
      </w:r>
      <w:proofErr w:type="spellStart"/>
      <w:r w:rsidRPr="003A619F">
        <w:rPr>
          <w:bCs/>
          <w:sz w:val="22"/>
          <w:szCs w:val="22"/>
          <w:lang w:val="it-IT"/>
        </w:rPr>
        <w:t>drugog</w:t>
      </w:r>
      <w:proofErr w:type="spellEnd"/>
      <w:r w:rsidRPr="00734F45">
        <w:rPr>
          <w:bCs/>
          <w:sz w:val="22"/>
          <w:szCs w:val="22"/>
          <w:lang w:val="sr-Latn-CS"/>
        </w:rPr>
        <w:t xml:space="preserve"> </w:t>
      </w:r>
      <w:r w:rsidRPr="003A619F">
        <w:rPr>
          <w:bCs/>
          <w:sz w:val="22"/>
          <w:szCs w:val="22"/>
          <w:lang w:val="it-IT"/>
        </w:rPr>
        <w:t>tipa</w:t>
      </w:r>
      <w:r w:rsidRPr="00734F45">
        <w:rPr>
          <w:bCs/>
          <w:sz w:val="22"/>
          <w:szCs w:val="22"/>
          <w:lang w:val="sr-Latn-CS"/>
        </w:rPr>
        <w:t xml:space="preserve"> </w:t>
      </w:r>
      <w:r w:rsidRPr="003A619F">
        <w:rPr>
          <w:bCs/>
          <w:sz w:val="22"/>
          <w:szCs w:val="22"/>
          <w:lang w:val="it-IT"/>
        </w:rPr>
        <w:t>insulina</w:t>
      </w:r>
      <w:r w:rsidRPr="00734F45">
        <w:rPr>
          <w:bCs/>
          <w:sz w:val="22"/>
          <w:szCs w:val="22"/>
          <w:lang w:val="sr-Latn-CS"/>
        </w:rPr>
        <w:t xml:space="preserve"> </w:t>
      </w:r>
      <w:proofErr w:type="spellStart"/>
      <w:r w:rsidRPr="003A619F">
        <w:rPr>
          <w:bCs/>
          <w:sz w:val="22"/>
          <w:szCs w:val="22"/>
          <w:lang w:val="it-IT"/>
        </w:rPr>
        <w:t>prevedeni</w:t>
      </w:r>
      <w:proofErr w:type="spellEnd"/>
      <w:r w:rsidRPr="00734F45">
        <w:rPr>
          <w:bCs/>
          <w:sz w:val="22"/>
          <w:szCs w:val="22"/>
          <w:lang w:val="sr-Latn-CS"/>
        </w:rPr>
        <w:t xml:space="preserve"> </w:t>
      </w:r>
      <w:proofErr w:type="spellStart"/>
      <w:r w:rsidRPr="003A619F">
        <w:rPr>
          <w:bCs/>
          <w:sz w:val="22"/>
          <w:szCs w:val="22"/>
          <w:lang w:val="it-IT"/>
        </w:rPr>
        <w:t>na</w:t>
      </w:r>
      <w:proofErr w:type="spellEnd"/>
      <w:r w:rsidRPr="00734F45">
        <w:rPr>
          <w:bCs/>
          <w:sz w:val="22"/>
          <w:szCs w:val="22"/>
          <w:lang w:val="sr-Latn-CS"/>
        </w:rPr>
        <w:t xml:space="preserve"> </w:t>
      </w:r>
      <w:r w:rsidR="008701AF">
        <w:rPr>
          <w:bCs/>
          <w:sz w:val="22"/>
          <w:szCs w:val="22"/>
          <w:lang w:val="sr-Latn-CS"/>
        </w:rPr>
        <w:t xml:space="preserve">lijek </w:t>
      </w:r>
      <w:proofErr w:type="spellStart"/>
      <w:r w:rsidRPr="003A619F">
        <w:rPr>
          <w:bCs/>
          <w:sz w:val="22"/>
          <w:szCs w:val="22"/>
          <w:lang w:val="it-IT"/>
        </w:rPr>
        <w:t>Fiasp</w:t>
      </w:r>
      <w:proofErr w:type="spellEnd"/>
      <w:r w:rsidRPr="00734F45">
        <w:rPr>
          <w:bCs/>
          <w:sz w:val="22"/>
          <w:szCs w:val="22"/>
          <w:lang w:val="sr-Latn-CS"/>
        </w:rPr>
        <w:t xml:space="preserve">, </w:t>
      </w:r>
      <w:proofErr w:type="spellStart"/>
      <w:r w:rsidRPr="003A619F">
        <w:rPr>
          <w:bCs/>
          <w:sz w:val="22"/>
          <w:szCs w:val="22"/>
          <w:lang w:val="it-IT"/>
        </w:rPr>
        <w:t>mo</w:t>
      </w:r>
      <w:proofErr w:type="spellEnd"/>
      <w:r w:rsidRPr="00734F45">
        <w:rPr>
          <w:bCs/>
          <w:sz w:val="22"/>
          <w:szCs w:val="22"/>
          <w:lang w:val="sr-Latn-CS"/>
        </w:rPr>
        <w:t>ž</w:t>
      </w:r>
      <w:r w:rsidRPr="003A619F">
        <w:rPr>
          <w:bCs/>
          <w:sz w:val="22"/>
          <w:szCs w:val="22"/>
          <w:lang w:val="it-IT"/>
        </w:rPr>
        <w:t>e</w:t>
      </w:r>
      <w:r w:rsidRPr="00734F45">
        <w:rPr>
          <w:bCs/>
          <w:sz w:val="22"/>
          <w:szCs w:val="22"/>
          <w:lang w:val="sr-Latn-CS"/>
        </w:rPr>
        <w:t xml:space="preserve"> </w:t>
      </w:r>
      <w:proofErr w:type="spellStart"/>
      <w:r w:rsidRPr="003A619F">
        <w:rPr>
          <w:bCs/>
          <w:sz w:val="22"/>
          <w:szCs w:val="22"/>
          <w:lang w:val="it-IT"/>
        </w:rPr>
        <w:t>biti</w:t>
      </w:r>
      <w:proofErr w:type="spellEnd"/>
      <w:r w:rsidRPr="00734F45">
        <w:rPr>
          <w:bCs/>
          <w:sz w:val="22"/>
          <w:szCs w:val="22"/>
          <w:lang w:val="sr-Latn-CS"/>
        </w:rPr>
        <w:t xml:space="preserve"> </w:t>
      </w:r>
      <w:proofErr w:type="spellStart"/>
      <w:r w:rsidRPr="003A619F">
        <w:rPr>
          <w:bCs/>
          <w:sz w:val="22"/>
          <w:szCs w:val="22"/>
          <w:lang w:val="it-IT"/>
        </w:rPr>
        <w:t>potrebna</w:t>
      </w:r>
      <w:proofErr w:type="spellEnd"/>
      <w:r w:rsidRPr="00734F45">
        <w:rPr>
          <w:bCs/>
          <w:sz w:val="22"/>
          <w:szCs w:val="22"/>
          <w:lang w:val="sr-Latn-CS"/>
        </w:rPr>
        <w:t xml:space="preserve"> </w:t>
      </w:r>
      <w:proofErr w:type="spellStart"/>
      <w:r w:rsidRPr="003A619F">
        <w:rPr>
          <w:bCs/>
          <w:sz w:val="22"/>
          <w:szCs w:val="22"/>
          <w:lang w:val="it-IT"/>
        </w:rPr>
        <w:t>prom</w:t>
      </w:r>
      <w:r>
        <w:rPr>
          <w:bCs/>
          <w:sz w:val="22"/>
          <w:szCs w:val="22"/>
          <w:lang w:val="it-IT"/>
        </w:rPr>
        <w:t>j</w:t>
      </w:r>
      <w:r w:rsidRPr="003A619F">
        <w:rPr>
          <w:bCs/>
          <w:sz w:val="22"/>
          <w:szCs w:val="22"/>
          <w:lang w:val="it-IT"/>
        </w:rPr>
        <w:t>ena</w:t>
      </w:r>
      <w:proofErr w:type="spellEnd"/>
      <w:r w:rsidRPr="00734F45">
        <w:rPr>
          <w:bCs/>
          <w:sz w:val="22"/>
          <w:szCs w:val="22"/>
          <w:lang w:val="sr-Latn-CS"/>
        </w:rPr>
        <w:t xml:space="preserve"> </w:t>
      </w:r>
      <w:proofErr w:type="spellStart"/>
      <w:r w:rsidRPr="003A619F">
        <w:rPr>
          <w:bCs/>
          <w:sz w:val="22"/>
          <w:szCs w:val="22"/>
          <w:lang w:val="it-IT"/>
        </w:rPr>
        <w:t>doze</w:t>
      </w:r>
      <w:proofErr w:type="spellEnd"/>
      <w:r w:rsidRPr="00734F45">
        <w:rPr>
          <w:bCs/>
          <w:sz w:val="22"/>
          <w:szCs w:val="22"/>
          <w:lang w:val="sr-Latn-CS"/>
        </w:rPr>
        <w:t xml:space="preserve"> </w:t>
      </w:r>
      <w:proofErr w:type="spellStart"/>
      <w:r w:rsidRPr="003A619F">
        <w:rPr>
          <w:bCs/>
          <w:sz w:val="22"/>
          <w:szCs w:val="22"/>
          <w:lang w:val="it-IT"/>
        </w:rPr>
        <w:t>koju</w:t>
      </w:r>
      <w:proofErr w:type="spellEnd"/>
      <w:r w:rsidRPr="00734F45">
        <w:rPr>
          <w:bCs/>
          <w:sz w:val="22"/>
          <w:szCs w:val="22"/>
          <w:lang w:val="sr-Latn-CS"/>
        </w:rPr>
        <w:t xml:space="preserve"> </w:t>
      </w:r>
      <w:r w:rsidRPr="003A619F">
        <w:rPr>
          <w:bCs/>
          <w:sz w:val="22"/>
          <w:szCs w:val="22"/>
          <w:lang w:val="it-IT"/>
        </w:rPr>
        <w:t>su</w:t>
      </w:r>
      <w:r w:rsidRPr="00734F45">
        <w:rPr>
          <w:bCs/>
          <w:sz w:val="22"/>
          <w:szCs w:val="22"/>
          <w:lang w:val="sr-Latn-CS"/>
        </w:rPr>
        <w:t xml:space="preserve"> </w:t>
      </w:r>
      <w:proofErr w:type="spellStart"/>
      <w:r w:rsidRPr="003A619F">
        <w:rPr>
          <w:bCs/>
          <w:sz w:val="22"/>
          <w:szCs w:val="22"/>
          <w:lang w:val="it-IT"/>
        </w:rPr>
        <w:t>koristili</w:t>
      </w:r>
      <w:proofErr w:type="spellEnd"/>
      <w:r w:rsidRPr="00734F45">
        <w:rPr>
          <w:bCs/>
          <w:sz w:val="22"/>
          <w:szCs w:val="22"/>
          <w:lang w:val="sr-Latn-CS"/>
        </w:rPr>
        <w:t xml:space="preserve"> </w:t>
      </w:r>
      <w:proofErr w:type="spellStart"/>
      <w:r w:rsidRPr="003A619F">
        <w:rPr>
          <w:bCs/>
          <w:sz w:val="22"/>
          <w:szCs w:val="22"/>
          <w:lang w:val="it-IT"/>
        </w:rPr>
        <w:t>uz</w:t>
      </w:r>
      <w:proofErr w:type="spellEnd"/>
      <w:r w:rsidRPr="00734F45">
        <w:rPr>
          <w:bCs/>
          <w:sz w:val="22"/>
          <w:szCs w:val="22"/>
          <w:lang w:val="sr-Latn-CS"/>
        </w:rPr>
        <w:t xml:space="preserve"> </w:t>
      </w:r>
      <w:proofErr w:type="spellStart"/>
      <w:r w:rsidRPr="003A619F">
        <w:rPr>
          <w:bCs/>
          <w:sz w:val="22"/>
          <w:szCs w:val="22"/>
          <w:lang w:val="it-IT"/>
        </w:rPr>
        <w:t>svoje</w:t>
      </w:r>
      <w:proofErr w:type="spellEnd"/>
      <w:r w:rsidRPr="00734F45">
        <w:rPr>
          <w:bCs/>
          <w:sz w:val="22"/>
          <w:szCs w:val="22"/>
          <w:lang w:val="sr-Latn-CS"/>
        </w:rPr>
        <w:t xml:space="preserve"> </w:t>
      </w:r>
      <w:proofErr w:type="spellStart"/>
      <w:r w:rsidRPr="003A619F">
        <w:rPr>
          <w:bCs/>
          <w:sz w:val="22"/>
          <w:szCs w:val="22"/>
          <w:lang w:val="it-IT"/>
        </w:rPr>
        <w:t>uobi</w:t>
      </w:r>
      <w:proofErr w:type="spellEnd"/>
      <w:r w:rsidRPr="00734F45">
        <w:rPr>
          <w:bCs/>
          <w:sz w:val="22"/>
          <w:szCs w:val="22"/>
          <w:lang w:val="sr-Latn-CS"/>
        </w:rPr>
        <w:t>č</w:t>
      </w:r>
      <w:proofErr w:type="spellStart"/>
      <w:r w:rsidRPr="003A619F">
        <w:rPr>
          <w:bCs/>
          <w:sz w:val="22"/>
          <w:szCs w:val="22"/>
          <w:lang w:val="it-IT"/>
        </w:rPr>
        <w:t>ajene</w:t>
      </w:r>
      <w:proofErr w:type="spellEnd"/>
      <w:r w:rsidRPr="00734F45">
        <w:rPr>
          <w:bCs/>
          <w:sz w:val="22"/>
          <w:szCs w:val="22"/>
          <w:lang w:val="sr-Latn-CS"/>
        </w:rPr>
        <w:t xml:space="preserve"> </w:t>
      </w:r>
      <w:proofErr w:type="spellStart"/>
      <w:r w:rsidRPr="003A619F">
        <w:rPr>
          <w:bCs/>
          <w:sz w:val="22"/>
          <w:szCs w:val="22"/>
          <w:lang w:val="it-IT"/>
        </w:rPr>
        <w:t>insulinske</w:t>
      </w:r>
      <w:proofErr w:type="spellEnd"/>
      <w:r w:rsidRPr="00734F45">
        <w:rPr>
          <w:bCs/>
          <w:sz w:val="22"/>
          <w:szCs w:val="22"/>
          <w:lang w:val="sr-Latn-CS"/>
        </w:rPr>
        <w:t xml:space="preserve"> </w:t>
      </w:r>
      <w:proofErr w:type="spellStart"/>
      <w:r w:rsidRPr="003A619F">
        <w:rPr>
          <w:bCs/>
          <w:sz w:val="22"/>
          <w:szCs w:val="22"/>
          <w:lang w:val="it-IT"/>
        </w:rPr>
        <w:t>proizvode</w:t>
      </w:r>
      <w:proofErr w:type="spellEnd"/>
      <w:r w:rsidRPr="00734F45">
        <w:rPr>
          <w:bCs/>
          <w:sz w:val="22"/>
          <w:szCs w:val="22"/>
          <w:lang w:val="sr-Latn-CS"/>
        </w:rPr>
        <w:t>.</w:t>
      </w:r>
    </w:p>
    <w:p w14:paraId="4F37363C" w14:textId="77777777" w:rsidR="00A0323D" w:rsidRPr="00A0323D" w:rsidRDefault="00A0323D">
      <w:pPr>
        <w:tabs>
          <w:tab w:val="left" w:pos="540"/>
          <w:tab w:val="left" w:pos="569"/>
        </w:tabs>
        <w:jc w:val="both"/>
        <w:rPr>
          <w:bCs/>
          <w:sz w:val="22"/>
          <w:szCs w:val="22"/>
          <w:lang w:val="sr-Latn-CS"/>
        </w:rPr>
      </w:pPr>
    </w:p>
    <w:p w14:paraId="1428738A" w14:textId="77777777" w:rsidR="00A0323D" w:rsidRPr="00A0323D" w:rsidRDefault="00A0323D">
      <w:pPr>
        <w:tabs>
          <w:tab w:val="left" w:pos="540"/>
          <w:tab w:val="left" w:pos="569"/>
        </w:tabs>
        <w:jc w:val="both"/>
        <w:rPr>
          <w:bCs/>
          <w:sz w:val="22"/>
          <w:szCs w:val="22"/>
          <w:u w:val="single"/>
          <w:lang w:val="sr-Latn-CS"/>
        </w:rPr>
      </w:pPr>
      <w:r w:rsidRPr="00A0323D">
        <w:rPr>
          <w:bCs/>
          <w:sz w:val="22"/>
          <w:szCs w:val="22"/>
          <w:u w:val="single"/>
          <w:lang w:val="sr-Latn-CS"/>
        </w:rPr>
        <w:t>Uporedne bolesti</w:t>
      </w:r>
    </w:p>
    <w:p w14:paraId="6EE54381" w14:textId="77777777" w:rsidR="00A0323D" w:rsidRPr="00A0323D" w:rsidRDefault="00A0323D">
      <w:pPr>
        <w:tabs>
          <w:tab w:val="left" w:pos="540"/>
          <w:tab w:val="left" w:pos="569"/>
        </w:tabs>
        <w:jc w:val="both"/>
        <w:rPr>
          <w:bCs/>
          <w:sz w:val="22"/>
          <w:szCs w:val="22"/>
          <w:lang w:val="sr-Latn-CS"/>
        </w:rPr>
      </w:pPr>
    </w:p>
    <w:p w14:paraId="6C5BABEA" w14:textId="7651088D" w:rsidR="00A0323D" w:rsidRPr="00A0323D" w:rsidRDefault="00A0323D">
      <w:pPr>
        <w:tabs>
          <w:tab w:val="left" w:pos="540"/>
          <w:tab w:val="left" w:pos="569"/>
        </w:tabs>
        <w:jc w:val="both"/>
        <w:rPr>
          <w:bCs/>
          <w:sz w:val="22"/>
          <w:szCs w:val="22"/>
          <w:lang w:val="sr-Latn-CS"/>
        </w:rPr>
      </w:pPr>
      <w:r w:rsidRPr="00A0323D">
        <w:rPr>
          <w:bCs/>
          <w:sz w:val="22"/>
          <w:szCs w:val="22"/>
          <w:lang w:val="sr-Latn-CS"/>
        </w:rPr>
        <w:t>Uporedne bolesti, naročito infekcije i stanja praćena groznicom, obično povećavaju potrebu pacijenta za insulinom. Uporedne bolesti bubrega, jetre ili one koje zahvataju nadbubrežnu žlijezdu, hipofizu ili štit</w:t>
      </w:r>
      <w:r w:rsidR="0048425F">
        <w:rPr>
          <w:bCs/>
          <w:sz w:val="22"/>
          <w:szCs w:val="22"/>
          <w:lang w:val="sr-Latn-CS"/>
        </w:rPr>
        <w:t>astu</w:t>
      </w:r>
      <w:r w:rsidRPr="00A0323D">
        <w:rPr>
          <w:bCs/>
          <w:sz w:val="22"/>
          <w:szCs w:val="22"/>
          <w:lang w:val="sr-Latn-CS"/>
        </w:rPr>
        <w:t xml:space="preserve"> žlijezdu mogu usloviti promjenu doze insulina.</w:t>
      </w:r>
    </w:p>
    <w:p w14:paraId="13DF1A2F" w14:textId="77777777" w:rsidR="00A0323D" w:rsidRPr="00A0323D" w:rsidRDefault="00A0323D">
      <w:pPr>
        <w:tabs>
          <w:tab w:val="left" w:pos="540"/>
          <w:tab w:val="left" w:pos="569"/>
        </w:tabs>
        <w:jc w:val="both"/>
        <w:rPr>
          <w:bCs/>
          <w:sz w:val="22"/>
          <w:szCs w:val="22"/>
          <w:lang w:val="sr-Latn-CS"/>
        </w:rPr>
      </w:pPr>
    </w:p>
    <w:p w14:paraId="70FC3F62" w14:textId="69EC9F91" w:rsidR="00A0323D" w:rsidRPr="00A0323D" w:rsidRDefault="00A0323D">
      <w:pPr>
        <w:tabs>
          <w:tab w:val="left" w:pos="540"/>
          <w:tab w:val="left" w:pos="569"/>
        </w:tabs>
        <w:jc w:val="both"/>
        <w:rPr>
          <w:bCs/>
          <w:sz w:val="22"/>
          <w:szCs w:val="22"/>
          <w:u w:val="single"/>
          <w:lang w:val="sr-Latn-CS"/>
        </w:rPr>
      </w:pPr>
      <w:r w:rsidRPr="00A0323D">
        <w:rPr>
          <w:bCs/>
          <w:sz w:val="22"/>
          <w:szCs w:val="22"/>
          <w:u w:val="single"/>
          <w:lang w:val="sr-Latn-CS"/>
        </w:rPr>
        <w:t xml:space="preserve">Kombinacija </w:t>
      </w:r>
      <w:r w:rsidR="0026366B">
        <w:rPr>
          <w:bCs/>
          <w:sz w:val="22"/>
          <w:szCs w:val="22"/>
          <w:u w:val="single"/>
          <w:lang w:val="sr-Latn-CS"/>
        </w:rPr>
        <w:t>pioglitazona</w:t>
      </w:r>
      <w:r w:rsidR="0026366B" w:rsidRPr="00A0323D">
        <w:rPr>
          <w:bCs/>
          <w:sz w:val="22"/>
          <w:szCs w:val="22"/>
          <w:u w:val="single"/>
          <w:lang w:val="sr-Latn-CS"/>
        </w:rPr>
        <w:t xml:space="preserve"> </w:t>
      </w:r>
      <w:r w:rsidRPr="00A0323D">
        <w:rPr>
          <w:bCs/>
          <w:sz w:val="22"/>
          <w:szCs w:val="22"/>
          <w:u w:val="single"/>
          <w:lang w:val="sr-Latn-CS"/>
        </w:rPr>
        <w:t>i insulinskih preparata</w:t>
      </w:r>
    </w:p>
    <w:p w14:paraId="1818894A" w14:textId="77777777" w:rsidR="00A0323D" w:rsidRPr="00A0323D" w:rsidRDefault="00A0323D">
      <w:pPr>
        <w:tabs>
          <w:tab w:val="left" w:pos="540"/>
          <w:tab w:val="left" w:pos="569"/>
        </w:tabs>
        <w:jc w:val="both"/>
        <w:rPr>
          <w:bCs/>
          <w:sz w:val="22"/>
          <w:szCs w:val="22"/>
          <w:lang w:val="sr-Latn-CS"/>
        </w:rPr>
      </w:pPr>
    </w:p>
    <w:p w14:paraId="0057AAF0" w14:textId="4F7DA299" w:rsidR="00A0323D" w:rsidRPr="00A0323D" w:rsidRDefault="00A0323D">
      <w:pPr>
        <w:tabs>
          <w:tab w:val="left" w:pos="540"/>
          <w:tab w:val="left" w:pos="569"/>
        </w:tabs>
        <w:jc w:val="both"/>
        <w:rPr>
          <w:bCs/>
          <w:sz w:val="22"/>
          <w:szCs w:val="22"/>
          <w:lang w:val="sr-Latn-CS"/>
        </w:rPr>
      </w:pPr>
      <w:r w:rsidRPr="00A0323D">
        <w:rPr>
          <w:bCs/>
          <w:sz w:val="22"/>
          <w:szCs w:val="22"/>
          <w:lang w:val="sr-Latn-CS"/>
        </w:rPr>
        <w:t>Prijavljeni su slučajevi kongestivne srčane insuficijencije kada</w:t>
      </w:r>
      <w:r w:rsidR="0026366B">
        <w:rPr>
          <w:bCs/>
          <w:sz w:val="22"/>
          <w:szCs w:val="22"/>
          <w:lang w:val="sr-Latn-CS"/>
        </w:rPr>
        <w:t xml:space="preserve"> </w:t>
      </w:r>
      <w:r w:rsidRPr="00A0323D">
        <w:rPr>
          <w:bCs/>
          <w:sz w:val="22"/>
          <w:szCs w:val="22"/>
          <w:lang w:val="sr-Latn-CS"/>
        </w:rPr>
        <w:t xml:space="preserve">se </w:t>
      </w:r>
      <w:r w:rsidR="0026366B" w:rsidRPr="0026366B">
        <w:rPr>
          <w:bCs/>
          <w:sz w:val="22"/>
          <w:szCs w:val="22"/>
          <w:lang w:val="sr-Latn-CS"/>
        </w:rPr>
        <w:t xml:space="preserve">pioglitazon </w:t>
      </w:r>
      <w:r w:rsidRPr="00A0323D">
        <w:rPr>
          <w:bCs/>
          <w:sz w:val="22"/>
          <w:szCs w:val="22"/>
          <w:lang w:val="sr-Latn-CS"/>
        </w:rPr>
        <w:t xml:space="preserve">koristi u kombinaciji sa insulinom, naročito kod pacijenata koji su imali faktore rizika za razvoj kongestivne srčane insuficijencije. Ovu činjenicu bi trebalo imati na umu ako se razmatra kombinovana terapija </w:t>
      </w:r>
      <w:r w:rsidR="0026366B">
        <w:rPr>
          <w:bCs/>
          <w:sz w:val="22"/>
          <w:szCs w:val="22"/>
          <w:lang w:val="sr-Latn-CS"/>
        </w:rPr>
        <w:t>pioglitazonom</w:t>
      </w:r>
      <w:r w:rsidR="0026366B" w:rsidRPr="0026366B">
        <w:rPr>
          <w:bCs/>
          <w:sz w:val="22"/>
          <w:szCs w:val="22"/>
          <w:lang w:val="sr-Latn-CS"/>
        </w:rPr>
        <w:t xml:space="preserve"> </w:t>
      </w:r>
      <w:r w:rsidRPr="00A0323D">
        <w:rPr>
          <w:bCs/>
          <w:sz w:val="22"/>
          <w:szCs w:val="22"/>
          <w:lang w:val="sr-Latn-CS"/>
        </w:rPr>
        <w:t xml:space="preserve">i </w:t>
      </w:r>
      <w:r w:rsidR="00152247" w:rsidRPr="00A0323D">
        <w:rPr>
          <w:bCs/>
          <w:sz w:val="22"/>
          <w:szCs w:val="22"/>
          <w:lang w:val="sr-Latn-CS"/>
        </w:rPr>
        <w:t>insulinski</w:t>
      </w:r>
      <w:r w:rsidR="00152247">
        <w:rPr>
          <w:bCs/>
          <w:sz w:val="22"/>
          <w:szCs w:val="22"/>
          <w:lang w:val="sr-Latn-CS"/>
        </w:rPr>
        <w:t>m</w:t>
      </w:r>
      <w:r w:rsidR="00152247" w:rsidRPr="00A0323D">
        <w:rPr>
          <w:bCs/>
          <w:sz w:val="22"/>
          <w:szCs w:val="22"/>
          <w:lang w:val="sr-Latn-CS"/>
        </w:rPr>
        <w:t xml:space="preserve"> </w:t>
      </w:r>
      <w:r w:rsidRPr="00A0323D">
        <w:rPr>
          <w:bCs/>
          <w:sz w:val="22"/>
          <w:szCs w:val="22"/>
          <w:lang w:val="sr-Latn-CS"/>
        </w:rPr>
        <w:t>preparat</w:t>
      </w:r>
      <w:r w:rsidR="00152247">
        <w:rPr>
          <w:bCs/>
          <w:sz w:val="22"/>
          <w:szCs w:val="22"/>
          <w:lang w:val="sr-Latn-CS"/>
        </w:rPr>
        <w:t>im</w:t>
      </w:r>
      <w:r w:rsidRPr="00A0323D">
        <w:rPr>
          <w:bCs/>
          <w:sz w:val="22"/>
          <w:szCs w:val="22"/>
          <w:lang w:val="sr-Latn-CS"/>
        </w:rPr>
        <w:t xml:space="preserve">a. Ukoliko se kombinovana terapija </w:t>
      </w:r>
      <w:r w:rsidR="00152247" w:rsidRPr="00A0323D">
        <w:rPr>
          <w:bCs/>
          <w:sz w:val="22"/>
          <w:szCs w:val="22"/>
          <w:lang w:val="sr-Latn-CS"/>
        </w:rPr>
        <w:t>ovi</w:t>
      </w:r>
      <w:r w:rsidR="00152247">
        <w:rPr>
          <w:bCs/>
          <w:sz w:val="22"/>
          <w:szCs w:val="22"/>
          <w:lang w:val="sr-Latn-CS"/>
        </w:rPr>
        <w:t>m</w:t>
      </w:r>
      <w:r w:rsidR="00152247" w:rsidRPr="00A0323D">
        <w:rPr>
          <w:bCs/>
          <w:sz w:val="22"/>
          <w:szCs w:val="22"/>
          <w:lang w:val="sr-Latn-CS"/>
        </w:rPr>
        <w:t xml:space="preserve"> </w:t>
      </w:r>
      <w:r w:rsidRPr="00A0323D">
        <w:rPr>
          <w:bCs/>
          <w:sz w:val="22"/>
          <w:szCs w:val="22"/>
          <w:lang w:val="sr-Latn-CS"/>
        </w:rPr>
        <w:t>ljekov</w:t>
      </w:r>
      <w:r w:rsidR="00152247">
        <w:rPr>
          <w:bCs/>
          <w:sz w:val="22"/>
          <w:szCs w:val="22"/>
          <w:lang w:val="sr-Latn-CS"/>
        </w:rPr>
        <w:t>im</w:t>
      </w:r>
      <w:r w:rsidRPr="00A0323D">
        <w:rPr>
          <w:bCs/>
          <w:sz w:val="22"/>
          <w:szCs w:val="22"/>
          <w:lang w:val="sr-Latn-CS"/>
        </w:rPr>
        <w:t xml:space="preserve">a primjenjuje, kod pacijenata bi trebalo pratiti pojavu znakova i simptoma kongestivne srčane insuficijencije, povećanja tjelesne mase i edema. Liječenje </w:t>
      </w:r>
      <w:r w:rsidR="0026366B">
        <w:rPr>
          <w:bCs/>
          <w:sz w:val="22"/>
          <w:szCs w:val="22"/>
          <w:lang w:val="sr-Latn-CS"/>
        </w:rPr>
        <w:t>pioglitazonom</w:t>
      </w:r>
      <w:r w:rsidR="0026366B" w:rsidRPr="0026366B">
        <w:rPr>
          <w:bCs/>
          <w:sz w:val="22"/>
          <w:szCs w:val="22"/>
          <w:lang w:val="sr-Latn-CS"/>
        </w:rPr>
        <w:t xml:space="preserve"> </w:t>
      </w:r>
      <w:r w:rsidRPr="00A0323D">
        <w:rPr>
          <w:bCs/>
          <w:sz w:val="22"/>
          <w:szCs w:val="22"/>
          <w:lang w:val="sr-Latn-CS"/>
        </w:rPr>
        <w:t>treba prekinuti ako dođe do bilo kakvog pogoršanja srčanih simptoma.</w:t>
      </w:r>
    </w:p>
    <w:p w14:paraId="3E455E81" w14:textId="77777777" w:rsidR="00A0323D" w:rsidRPr="00A0323D" w:rsidRDefault="00A0323D">
      <w:pPr>
        <w:tabs>
          <w:tab w:val="left" w:pos="540"/>
          <w:tab w:val="left" w:pos="569"/>
        </w:tabs>
        <w:jc w:val="both"/>
        <w:rPr>
          <w:bCs/>
          <w:sz w:val="22"/>
          <w:szCs w:val="22"/>
          <w:lang w:val="sr-Latn-CS"/>
        </w:rPr>
      </w:pPr>
    </w:p>
    <w:p w14:paraId="06473FE1" w14:textId="77777777" w:rsidR="00A0323D" w:rsidRPr="00A0323D" w:rsidRDefault="00A0323D">
      <w:pPr>
        <w:tabs>
          <w:tab w:val="left" w:pos="540"/>
          <w:tab w:val="left" w:pos="569"/>
        </w:tabs>
        <w:jc w:val="both"/>
        <w:rPr>
          <w:bCs/>
          <w:sz w:val="22"/>
          <w:szCs w:val="22"/>
          <w:u w:val="single"/>
          <w:lang w:val="sr-Latn-CS"/>
        </w:rPr>
      </w:pPr>
      <w:r w:rsidRPr="00A0323D">
        <w:rPr>
          <w:bCs/>
          <w:sz w:val="22"/>
          <w:szCs w:val="22"/>
          <w:u w:val="single"/>
          <w:lang w:val="sr-Latn-CS"/>
        </w:rPr>
        <w:t>Početak primjene insulina i intenziviranje regulacije glikemije</w:t>
      </w:r>
    </w:p>
    <w:p w14:paraId="766A4166" w14:textId="77777777" w:rsidR="00A0323D" w:rsidRPr="00A0323D" w:rsidRDefault="00A0323D">
      <w:pPr>
        <w:tabs>
          <w:tab w:val="left" w:pos="540"/>
          <w:tab w:val="left" w:pos="569"/>
        </w:tabs>
        <w:jc w:val="both"/>
        <w:rPr>
          <w:bCs/>
          <w:sz w:val="22"/>
          <w:szCs w:val="22"/>
          <w:lang w:val="sr-Latn-CS"/>
        </w:rPr>
      </w:pPr>
    </w:p>
    <w:p w14:paraId="655BDBC4" w14:textId="77777777" w:rsidR="00A0323D" w:rsidRDefault="00A0323D">
      <w:pPr>
        <w:tabs>
          <w:tab w:val="left" w:pos="540"/>
          <w:tab w:val="left" w:pos="569"/>
        </w:tabs>
        <w:jc w:val="both"/>
        <w:rPr>
          <w:bCs/>
          <w:sz w:val="22"/>
          <w:szCs w:val="22"/>
          <w:lang w:val="sr-Latn-CS"/>
        </w:rPr>
      </w:pPr>
      <w:r w:rsidRPr="00A0323D">
        <w:rPr>
          <w:bCs/>
          <w:sz w:val="22"/>
          <w:szCs w:val="22"/>
          <w:lang w:val="sr-Latn-CS"/>
        </w:rPr>
        <w:lastRenderedPageBreak/>
        <w:t>Intenziviranje ili brzo poboljšanje regulacije glikemije povezano je sa privremenim, reverzibilnim poremećajem oftalmološke refrakcije, pogoršanjem dijabetesne retinopatije, akutnom bolnom perifernom neuropatijom i perifernim edemom. Međutim, dugoročna regulacija glikemije smanjuje rizik od dijabetesne retinopatije i neuropatije.</w:t>
      </w:r>
    </w:p>
    <w:p w14:paraId="100AD5D5" w14:textId="77777777" w:rsidR="00A0323D" w:rsidRDefault="00A0323D" w:rsidP="000F6B37">
      <w:pPr>
        <w:tabs>
          <w:tab w:val="left" w:pos="540"/>
          <w:tab w:val="left" w:pos="569"/>
        </w:tabs>
        <w:jc w:val="both"/>
        <w:rPr>
          <w:bCs/>
          <w:sz w:val="22"/>
          <w:szCs w:val="22"/>
          <w:lang w:val="sr-Latn-CS"/>
        </w:rPr>
      </w:pPr>
    </w:p>
    <w:p w14:paraId="0ABA07E0" w14:textId="77777777" w:rsidR="00A0323D" w:rsidRPr="00A0323D" w:rsidRDefault="00A0323D" w:rsidP="00981470">
      <w:pPr>
        <w:tabs>
          <w:tab w:val="left" w:pos="540"/>
          <w:tab w:val="left" w:pos="569"/>
        </w:tabs>
        <w:jc w:val="both"/>
        <w:rPr>
          <w:bCs/>
          <w:sz w:val="22"/>
          <w:szCs w:val="22"/>
          <w:u w:val="single"/>
          <w:lang w:val="sr-Latn-CS"/>
        </w:rPr>
      </w:pPr>
      <w:r w:rsidRPr="00A0323D">
        <w:rPr>
          <w:bCs/>
          <w:sz w:val="22"/>
          <w:szCs w:val="22"/>
          <w:u w:val="single"/>
          <w:lang w:val="sr-Latn-CS"/>
        </w:rPr>
        <w:t>Insulinska antit</w:t>
      </w:r>
      <w:r w:rsidR="00F453CB">
        <w:rPr>
          <w:bCs/>
          <w:sz w:val="22"/>
          <w:szCs w:val="22"/>
          <w:u w:val="single"/>
          <w:lang w:val="sr-Latn-CS"/>
        </w:rPr>
        <w:t>i</w:t>
      </w:r>
      <w:r w:rsidRPr="00A0323D">
        <w:rPr>
          <w:bCs/>
          <w:sz w:val="22"/>
          <w:szCs w:val="22"/>
          <w:u w:val="single"/>
          <w:lang w:val="sr-Latn-CS"/>
        </w:rPr>
        <w:t>jela</w:t>
      </w:r>
    </w:p>
    <w:p w14:paraId="1DCCD865" w14:textId="77777777" w:rsidR="00A0323D" w:rsidRPr="00A0323D" w:rsidRDefault="00A0323D" w:rsidP="00152247">
      <w:pPr>
        <w:tabs>
          <w:tab w:val="left" w:pos="540"/>
          <w:tab w:val="left" w:pos="569"/>
        </w:tabs>
        <w:jc w:val="both"/>
        <w:rPr>
          <w:bCs/>
          <w:sz w:val="22"/>
          <w:szCs w:val="22"/>
          <w:lang w:val="sr-Latn-CS"/>
        </w:rPr>
      </w:pPr>
    </w:p>
    <w:p w14:paraId="5696611F" w14:textId="77777777" w:rsidR="00A0323D" w:rsidRPr="00A0323D" w:rsidRDefault="00A0323D" w:rsidP="00442BD2">
      <w:pPr>
        <w:tabs>
          <w:tab w:val="left" w:pos="540"/>
          <w:tab w:val="left" w:pos="569"/>
        </w:tabs>
        <w:jc w:val="both"/>
        <w:rPr>
          <w:bCs/>
          <w:sz w:val="22"/>
          <w:szCs w:val="22"/>
          <w:lang w:val="sr-Latn-CS"/>
        </w:rPr>
      </w:pPr>
      <w:r w:rsidRPr="00A0323D">
        <w:rPr>
          <w:bCs/>
          <w:sz w:val="22"/>
          <w:szCs w:val="22"/>
          <w:lang w:val="sr-Latn-CS"/>
        </w:rPr>
        <w:t>Primjena insulina može uzrokovati pojavu insulinskih antit</w:t>
      </w:r>
      <w:r w:rsidR="00F453CB">
        <w:rPr>
          <w:bCs/>
          <w:sz w:val="22"/>
          <w:szCs w:val="22"/>
          <w:lang w:val="sr-Latn-CS"/>
        </w:rPr>
        <w:t>i</w:t>
      </w:r>
      <w:r w:rsidRPr="00A0323D">
        <w:rPr>
          <w:bCs/>
          <w:sz w:val="22"/>
          <w:szCs w:val="22"/>
          <w:lang w:val="sr-Latn-CS"/>
        </w:rPr>
        <w:t>jela. U r</w:t>
      </w:r>
      <w:r w:rsidR="00F453CB">
        <w:rPr>
          <w:bCs/>
          <w:sz w:val="22"/>
          <w:szCs w:val="22"/>
          <w:lang w:val="sr-Latn-CS"/>
        </w:rPr>
        <w:t>ij</w:t>
      </w:r>
      <w:r w:rsidRPr="00A0323D">
        <w:rPr>
          <w:bCs/>
          <w:sz w:val="22"/>
          <w:szCs w:val="22"/>
          <w:lang w:val="sr-Latn-CS"/>
        </w:rPr>
        <w:t>etkim slučajevima, prisustvo takvih antit</w:t>
      </w:r>
      <w:r w:rsidR="00F453CB">
        <w:rPr>
          <w:bCs/>
          <w:sz w:val="22"/>
          <w:szCs w:val="22"/>
          <w:lang w:val="sr-Latn-CS"/>
        </w:rPr>
        <w:t>i</w:t>
      </w:r>
      <w:r w:rsidRPr="00A0323D">
        <w:rPr>
          <w:bCs/>
          <w:sz w:val="22"/>
          <w:szCs w:val="22"/>
          <w:lang w:val="sr-Latn-CS"/>
        </w:rPr>
        <w:t>jela na insulin može zaht</w:t>
      </w:r>
      <w:r w:rsidR="00F453CB">
        <w:rPr>
          <w:bCs/>
          <w:sz w:val="22"/>
          <w:szCs w:val="22"/>
          <w:lang w:val="sr-Latn-CS"/>
        </w:rPr>
        <w:t>i</w:t>
      </w:r>
      <w:r w:rsidRPr="00A0323D">
        <w:rPr>
          <w:bCs/>
          <w:sz w:val="22"/>
          <w:szCs w:val="22"/>
          <w:lang w:val="sr-Latn-CS"/>
        </w:rPr>
        <w:t>jevati prilagođavanje doze insulina kako bi se korigovala tendencija ka hiperglikemiji ili hipoglikemiji.</w:t>
      </w:r>
    </w:p>
    <w:p w14:paraId="6218D892" w14:textId="77777777" w:rsidR="00A0323D" w:rsidRPr="00A0323D" w:rsidRDefault="00A0323D" w:rsidP="005A154F">
      <w:pPr>
        <w:tabs>
          <w:tab w:val="left" w:pos="540"/>
          <w:tab w:val="left" w:pos="569"/>
        </w:tabs>
        <w:jc w:val="both"/>
        <w:rPr>
          <w:bCs/>
          <w:sz w:val="22"/>
          <w:szCs w:val="22"/>
          <w:lang w:val="sr-Latn-CS"/>
        </w:rPr>
      </w:pPr>
    </w:p>
    <w:p w14:paraId="6E3951F9" w14:textId="77777777" w:rsidR="00A0323D" w:rsidRPr="00A0323D" w:rsidRDefault="00A0323D" w:rsidP="006579F8">
      <w:pPr>
        <w:tabs>
          <w:tab w:val="left" w:pos="540"/>
          <w:tab w:val="left" w:pos="569"/>
        </w:tabs>
        <w:jc w:val="both"/>
        <w:rPr>
          <w:bCs/>
          <w:sz w:val="22"/>
          <w:szCs w:val="22"/>
          <w:u w:val="single"/>
          <w:lang w:val="sr-Latn-CS"/>
        </w:rPr>
      </w:pPr>
      <w:r w:rsidRPr="00A0323D">
        <w:rPr>
          <w:bCs/>
          <w:sz w:val="22"/>
          <w:szCs w:val="22"/>
          <w:u w:val="single"/>
          <w:lang w:val="sr-Latn-CS"/>
        </w:rPr>
        <w:t>Izbjegavanje slučajnih zamjena/medikacijskih grešaka</w:t>
      </w:r>
    </w:p>
    <w:p w14:paraId="280A9DBE" w14:textId="77777777" w:rsidR="00A0323D" w:rsidRPr="00A0323D" w:rsidRDefault="00A0323D">
      <w:pPr>
        <w:tabs>
          <w:tab w:val="left" w:pos="540"/>
          <w:tab w:val="left" w:pos="569"/>
        </w:tabs>
        <w:jc w:val="both"/>
        <w:rPr>
          <w:bCs/>
          <w:sz w:val="22"/>
          <w:szCs w:val="22"/>
          <w:lang w:val="sr-Latn-CS"/>
        </w:rPr>
      </w:pPr>
    </w:p>
    <w:p w14:paraId="3A52453C"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Pacijente treba uputiti da uvijek, prije svakog ubrizgavanja, provjeravaju oznake na insulinu kako bi se izbjegla slučajna zamjena ovog lijeka i drugih insulinskih preparata.</w:t>
      </w:r>
    </w:p>
    <w:p w14:paraId="0136E604" w14:textId="77777777" w:rsidR="00A0323D" w:rsidRPr="00A0323D" w:rsidRDefault="00A0323D">
      <w:pPr>
        <w:tabs>
          <w:tab w:val="left" w:pos="540"/>
          <w:tab w:val="left" w:pos="569"/>
        </w:tabs>
        <w:jc w:val="both"/>
        <w:rPr>
          <w:bCs/>
          <w:sz w:val="22"/>
          <w:szCs w:val="22"/>
          <w:lang w:val="sr-Latn-CS"/>
        </w:rPr>
      </w:pPr>
    </w:p>
    <w:p w14:paraId="3222EB6A"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Pacijenti moraju vizuelno provjeriti odabrane jedinice doze prije primjene. Stoga, sposobnost očitavanja skale doziranja je uslov za samostalnu primjenu od strane pacijenta. Pacijente koji su slijepi ili slabovidi treba uputiti da uvijek potraže pomoć od osobe sa očuvanim vidom koja je obučena za korišćenje insulina.</w:t>
      </w:r>
    </w:p>
    <w:p w14:paraId="00AE11B0" w14:textId="77777777" w:rsidR="00A0323D" w:rsidRPr="00A0323D" w:rsidRDefault="00A0323D">
      <w:pPr>
        <w:tabs>
          <w:tab w:val="left" w:pos="540"/>
          <w:tab w:val="left" w:pos="569"/>
        </w:tabs>
        <w:jc w:val="both"/>
        <w:rPr>
          <w:bCs/>
          <w:sz w:val="22"/>
          <w:szCs w:val="22"/>
          <w:lang w:val="sr-Latn-CS"/>
        </w:rPr>
      </w:pPr>
    </w:p>
    <w:p w14:paraId="30E93331" w14:textId="77777777" w:rsidR="00A0323D" w:rsidRPr="00A0323D" w:rsidRDefault="00A0323D">
      <w:pPr>
        <w:tabs>
          <w:tab w:val="left" w:pos="540"/>
          <w:tab w:val="left" w:pos="569"/>
        </w:tabs>
        <w:jc w:val="both"/>
        <w:rPr>
          <w:bCs/>
          <w:sz w:val="22"/>
          <w:szCs w:val="22"/>
          <w:u w:val="single"/>
          <w:lang w:val="sr-Latn-CS"/>
        </w:rPr>
      </w:pPr>
      <w:r w:rsidRPr="00A0323D">
        <w:rPr>
          <w:bCs/>
          <w:sz w:val="22"/>
          <w:szCs w:val="22"/>
          <w:u w:val="single"/>
          <w:lang w:val="sr-Latn-CS"/>
        </w:rPr>
        <w:t>Putovanja između vremenskih zona</w:t>
      </w:r>
    </w:p>
    <w:p w14:paraId="7D5D9B01" w14:textId="77777777" w:rsidR="00A0323D" w:rsidRPr="00A0323D" w:rsidRDefault="00A0323D">
      <w:pPr>
        <w:tabs>
          <w:tab w:val="left" w:pos="540"/>
          <w:tab w:val="left" w:pos="569"/>
        </w:tabs>
        <w:jc w:val="both"/>
        <w:rPr>
          <w:bCs/>
          <w:sz w:val="22"/>
          <w:szCs w:val="22"/>
          <w:lang w:val="sr-Latn-CS"/>
        </w:rPr>
      </w:pPr>
    </w:p>
    <w:p w14:paraId="0B106BE7" w14:textId="77777777" w:rsidR="00A0323D" w:rsidRDefault="00A0323D">
      <w:pPr>
        <w:tabs>
          <w:tab w:val="left" w:pos="540"/>
          <w:tab w:val="left" w:pos="569"/>
        </w:tabs>
        <w:jc w:val="both"/>
        <w:rPr>
          <w:bCs/>
          <w:sz w:val="22"/>
          <w:szCs w:val="22"/>
          <w:lang w:val="sr-Latn-CS"/>
        </w:rPr>
      </w:pPr>
      <w:r w:rsidRPr="00A0323D">
        <w:rPr>
          <w:bCs/>
          <w:sz w:val="22"/>
          <w:szCs w:val="22"/>
          <w:lang w:val="sr-Latn-CS"/>
        </w:rPr>
        <w:t>Prije putovanja između različitih vremenskih zona, pacijent treba da zatraži savjet ljekara.</w:t>
      </w:r>
    </w:p>
    <w:p w14:paraId="10083E2F" w14:textId="77777777" w:rsidR="00A0323D" w:rsidRDefault="00A0323D">
      <w:pPr>
        <w:tabs>
          <w:tab w:val="left" w:pos="540"/>
          <w:tab w:val="left" w:pos="569"/>
        </w:tabs>
        <w:jc w:val="both"/>
        <w:rPr>
          <w:bCs/>
          <w:sz w:val="22"/>
          <w:szCs w:val="22"/>
          <w:lang w:val="sr-Latn-CS"/>
        </w:rPr>
      </w:pPr>
    </w:p>
    <w:p w14:paraId="27464C92" w14:textId="77777777" w:rsidR="00A0323D" w:rsidRPr="00A0323D" w:rsidRDefault="00A0323D">
      <w:pPr>
        <w:tabs>
          <w:tab w:val="left" w:pos="540"/>
          <w:tab w:val="left" w:pos="569"/>
        </w:tabs>
        <w:jc w:val="both"/>
        <w:rPr>
          <w:bCs/>
          <w:sz w:val="22"/>
          <w:szCs w:val="22"/>
          <w:u w:val="single"/>
          <w:lang w:val="sr-Latn-CS"/>
        </w:rPr>
      </w:pPr>
      <w:r w:rsidRPr="00A0323D">
        <w:rPr>
          <w:bCs/>
          <w:sz w:val="22"/>
          <w:szCs w:val="22"/>
          <w:u w:val="single"/>
          <w:lang w:val="sr-Latn-CS"/>
        </w:rPr>
        <w:t>Pomoćne supstance</w:t>
      </w:r>
    </w:p>
    <w:p w14:paraId="4EF4390E" w14:textId="77777777" w:rsidR="00A0323D" w:rsidRPr="00A0323D" w:rsidRDefault="00A0323D">
      <w:pPr>
        <w:tabs>
          <w:tab w:val="left" w:pos="540"/>
          <w:tab w:val="left" w:pos="569"/>
        </w:tabs>
        <w:jc w:val="both"/>
        <w:rPr>
          <w:bCs/>
          <w:sz w:val="22"/>
          <w:szCs w:val="22"/>
          <w:lang w:val="sr-Latn-CS"/>
        </w:rPr>
      </w:pPr>
    </w:p>
    <w:p w14:paraId="0A3DBAE3" w14:textId="1ADF37DD" w:rsidR="00A0323D" w:rsidRDefault="00A0323D">
      <w:pPr>
        <w:tabs>
          <w:tab w:val="left" w:pos="540"/>
          <w:tab w:val="left" w:pos="569"/>
        </w:tabs>
        <w:jc w:val="both"/>
        <w:rPr>
          <w:bCs/>
          <w:sz w:val="22"/>
          <w:szCs w:val="22"/>
          <w:lang w:val="sr-Latn-CS"/>
        </w:rPr>
      </w:pPr>
      <w:r w:rsidRPr="00A0323D">
        <w:rPr>
          <w:bCs/>
          <w:sz w:val="22"/>
          <w:szCs w:val="22"/>
          <w:lang w:val="sr-Latn-CS"/>
        </w:rPr>
        <w:t xml:space="preserve">Ovaj lijek sadrži manje od 1 mmol </w:t>
      </w:r>
      <w:r w:rsidR="0026366B">
        <w:rPr>
          <w:bCs/>
          <w:sz w:val="22"/>
          <w:szCs w:val="22"/>
          <w:lang w:val="sr-Latn-CS"/>
        </w:rPr>
        <w:t xml:space="preserve">natrijuma </w:t>
      </w:r>
      <w:r w:rsidRPr="00A0323D">
        <w:rPr>
          <w:bCs/>
          <w:sz w:val="22"/>
          <w:szCs w:val="22"/>
          <w:lang w:val="sr-Latn-CS"/>
        </w:rPr>
        <w:t xml:space="preserve">(23 mg) po dozi, </w:t>
      </w:r>
      <w:r w:rsidR="0026366B">
        <w:rPr>
          <w:bCs/>
          <w:sz w:val="22"/>
          <w:szCs w:val="22"/>
          <w:lang w:val="sr-Latn-CS"/>
        </w:rPr>
        <w:t>odnosno</w:t>
      </w:r>
      <w:r w:rsidRPr="00A0323D">
        <w:rPr>
          <w:bCs/>
          <w:sz w:val="22"/>
          <w:szCs w:val="22"/>
          <w:lang w:val="sr-Latn-CS"/>
        </w:rPr>
        <w:t xml:space="preserve"> suštinski je „bez natrijuma”.</w:t>
      </w:r>
    </w:p>
    <w:p w14:paraId="0942D979" w14:textId="649DA257" w:rsidR="003A619F" w:rsidRDefault="003A619F">
      <w:pPr>
        <w:tabs>
          <w:tab w:val="left" w:pos="540"/>
          <w:tab w:val="left" w:pos="569"/>
        </w:tabs>
        <w:jc w:val="both"/>
        <w:rPr>
          <w:bCs/>
          <w:sz w:val="22"/>
          <w:szCs w:val="22"/>
          <w:lang w:val="sr-Latn-CS"/>
        </w:rPr>
      </w:pPr>
    </w:p>
    <w:p w14:paraId="4BA1054B" w14:textId="77777777" w:rsidR="00411B4B" w:rsidRPr="00A0323D" w:rsidRDefault="00411B4B" w:rsidP="000F6B37">
      <w:pPr>
        <w:tabs>
          <w:tab w:val="left" w:pos="540"/>
          <w:tab w:val="left" w:pos="569"/>
        </w:tabs>
        <w:jc w:val="both"/>
        <w:rPr>
          <w:b/>
          <w:bCs/>
          <w:sz w:val="22"/>
          <w:szCs w:val="22"/>
          <w:lang w:val="sr-Latn-CS"/>
        </w:rPr>
      </w:pPr>
      <w:r w:rsidRPr="00A0323D">
        <w:rPr>
          <w:b/>
          <w:bCs/>
          <w:sz w:val="22"/>
          <w:szCs w:val="22"/>
          <w:lang w:val="sr-Latn-CS"/>
        </w:rPr>
        <w:t>4.5.</w:t>
      </w:r>
      <w:r w:rsidR="000D60CC" w:rsidRPr="00A0323D">
        <w:rPr>
          <w:b/>
          <w:bCs/>
          <w:sz w:val="22"/>
          <w:szCs w:val="22"/>
          <w:lang w:val="sr-Latn-CS"/>
        </w:rPr>
        <w:tab/>
      </w:r>
      <w:proofErr w:type="spellStart"/>
      <w:r w:rsidRPr="001D23DB">
        <w:rPr>
          <w:b/>
          <w:bCs/>
          <w:sz w:val="22"/>
          <w:szCs w:val="22"/>
          <w:lang w:val="de-DE"/>
        </w:rPr>
        <w:t>Interakcije</w:t>
      </w:r>
      <w:proofErr w:type="spellEnd"/>
      <w:r w:rsidRPr="00A0323D">
        <w:rPr>
          <w:b/>
          <w:bCs/>
          <w:sz w:val="22"/>
          <w:szCs w:val="22"/>
          <w:lang w:val="sr-Latn-CS"/>
        </w:rPr>
        <w:t xml:space="preserve"> </w:t>
      </w:r>
      <w:proofErr w:type="spellStart"/>
      <w:r w:rsidRPr="001D23DB">
        <w:rPr>
          <w:b/>
          <w:bCs/>
          <w:sz w:val="22"/>
          <w:szCs w:val="22"/>
          <w:lang w:val="de-DE"/>
        </w:rPr>
        <w:t>sa</w:t>
      </w:r>
      <w:proofErr w:type="spellEnd"/>
      <w:r w:rsidRPr="00A0323D">
        <w:rPr>
          <w:b/>
          <w:bCs/>
          <w:sz w:val="22"/>
          <w:szCs w:val="22"/>
          <w:lang w:val="sr-Latn-CS"/>
        </w:rPr>
        <w:t xml:space="preserve"> </w:t>
      </w:r>
      <w:proofErr w:type="spellStart"/>
      <w:r w:rsidRPr="001D23DB">
        <w:rPr>
          <w:b/>
          <w:bCs/>
          <w:sz w:val="22"/>
          <w:szCs w:val="22"/>
          <w:lang w:val="de-DE"/>
        </w:rPr>
        <w:t>drugim</w:t>
      </w:r>
      <w:proofErr w:type="spellEnd"/>
      <w:r w:rsidRPr="00A0323D">
        <w:rPr>
          <w:b/>
          <w:bCs/>
          <w:sz w:val="22"/>
          <w:szCs w:val="22"/>
          <w:lang w:val="sr-Latn-CS"/>
        </w:rPr>
        <w:t xml:space="preserve"> </w:t>
      </w:r>
      <w:proofErr w:type="spellStart"/>
      <w:r w:rsidRPr="001D23DB">
        <w:rPr>
          <w:b/>
          <w:bCs/>
          <w:sz w:val="22"/>
          <w:szCs w:val="22"/>
          <w:lang w:val="de-DE"/>
        </w:rPr>
        <w:t>ljekovima</w:t>
      </w:r>
      <w:proofErr w:type="spellEnd"/>
      <w:r w:rsidRPr="00A0323D">
        <w:rPr>
          <w:b/>
          <w:bCs/>
          <w:sz w:val="22"/>
          <w:szCs w:val="22"/>
          <w:lang w:val="sr-Latn-CS"/>
        </w:rPr>
        <w:t xml:space="preserve"> </w:t>
      </w:r>
      <w:r w:rsidRPr="001D23DB">
        <w:rPr>
          <w:b/>
          <w:bCs/>
          <w:sz w:val="22"/>
          <w:szCs w:val="22"/>
          <w:lang w:val="de-DE"/>
        </w:rPr>
        <w:t>i</w:t>
      </w:r>
      <w:r w:rsidRPr="00A0323D">
        <w:rPr>
          <w:b/>
          <w:bCs/>
          <w:sz w:val="22"/>
          <w:szCs w:val="22"/>
          <w:lang w:val="sr-Latn-CS"/>
        </w:rPr>
        <w:t xml:space="preserve"> </w:t>
      </w:r>
      <w:proofErr w:type="spellStart"/>
      <w:r w:rsidRPr="001D23DB">
        <w:rPr>
          <w:b/>
          <w:bCs/>
          <w:sz w:val="22"/>
          <w:szCs w:val="22"/>
          <w:lang w:val="de-DE"/>
        </w:rPr>
        <w:t>druge</w:t>
      </w:r>
      <w:proofErr w:type="spellEnd"/>
      <w:r w:rsidRPr="00A0323D">
        <w:rPr>
          <w:b/>
          <w:bCs/>
          <w:sz w:val="22"/>
          <w:szCs w:val="22"/>
          <w:lang w:val="sr-Latn-CS"/>
        </w:rPr>
        <w:t xml:space="preserve"> </w:t>
      </w:r>
      <w:proofErr w:type="spellStart"/>
      <w:r w:rsidRPr="001D23DB">
        <w:rPr>
          <w:b/>
          <w:bCs/>
          <w:sz w:val="22"/>
          <w:szCs w:val="22"/>
          <w:lang w:val="de-DE"/>
        </w:rPr>
        <w:t>vrste</w:t>
      </w:r>
      <w:proofErr w:type="spellEnd"/>
      <w:r w:rsidRPr="00A0323D">
        <w:rPr>
          <w:b/>
          <w:bCs/>
          <w:sz w:val="22"/>
          <w:szCs w:val="22"/>
          <w:lang w:val="sr-Latn-CS"/>
        </w:rPr>
        <w:t xml:space="preserve"> </w:t>
      </w:r>
      <w:proofErr w:type="spellStart"/>
      <w:r w:rsidRPr="001D23DB">
        <w:rPr>
          <w:b/>
          <w:bCs/>
          <w:sz w:val="22"/>
          <w:szCs w:val="22"/>
          <w:lang w:val="de-DE"/>
        </w:rPr>
        <w:t>interakcija</w:t>
      </w:r>
      <w:proofErr w:type="spellEnd"/>
    </w:p>
    <w:p w14:paraId="7B54EEAD" w14:textId="77777777" w:rsidR="0072020E" w:rsidRDefault="0072020E" w:rsidP="000F6B37">
      <w:pPr>
        <w:tabs>
          <w:tab w:val="left" w:pos="540"/>
          <w:tab w:val="left" w:pos="569"/>
        </w:tabs>
        <w:jc w:val="both"/>
        <w:rPr>
          <w:bCs/>
          <w:sz w:val="22"/>
          <w:szCs w:val="22"/>
          <w:lang w:val="sr-Latn-CS"/>
        </w:rPr>
      </w:pPr>
    </w:p>
    <w:p w14:paraId="04555A4A" w14:textId="77777777" w:rsidR="00A0323D" w:rsidRPr="00A0323D" w:rsidRDefault="00A0323D" w:rsidP="00981470">
      <w:pPr>
        <w:tabs>
          <w:tab w:val="left" w:pos="540"/>
          <w:tab w:val="left" w:pos="569"/>
        </w:tabs>
        <w:jc w:val="both"/>
        <w:rPr>
          <w:bCs/>
          <w:sz w:val="22"/>
          <w:szCs w:val="22"/>
          <w:lang w:val="sr-Latn-CS"/>
        </w:rPr>
      </w:pPr>
      <w:r w:rsidRPr="00A0323D">
        <w:rPr>
          <w:bCs/>
          <w:sz w:val="22"/>
          <w:szCs w:val="22"/>
          <w:lang w:val="sr-Latn-CS"/>
        </w:rPr>
        <w:t>Poznato je da mnogi ljekovi utiču na metabolizam glukoze.</w:t>
      </w:r>
    </w:p>
    <w:p w14:paraId="59756AAD" w14:textId="77777777" w:rsidR="00A0323D" w:rsidRPr="00A0323D" w:rsidRDefault="00A0323D" w:rsidP="00152247">
      <w:pPr>
        <w:tabs>
          <w:tab w:val="left" w:pos="540"/>
          <w:tab w:val="left" w:pos="569"/>
        </w:tabs>
        <w:jc w:val="both"/>
        <w:rPr>
          <w:bCs/>
          <w:sz w:val="22"/>
          <w:szCs w:val="22"/>
          <w:lang w:val="sr-Latn-CS"/>
        </w:rPr>
      </w:pPr>
    </w:p>
    <w:p w14:paraId="088A459E" w14:textId="77777777" w:rsidR="00A0323D" w:rsidRPr="00A0323D" w:rsidRDefault="00A0323D" w:rsidP="00442BD2">
      <w:pPr>
        <w:tabs>
          <w:tab w:val="left" w:pos="540"/>
          <w:tab w:val="left" w:pos="569"/>
        </w:tabs>
        <w:jc w:val="both"/>
        <w:rPr>
          <w:bCs/>
          <w:sz w:val="22"/>
          <w:szCs w:val="22"/>
          <w:lang w:val="sr-Latn-CS"/>
        </w:rPr>
      </w:pPr>
      <w:r w:rsidRPr="00A0323D">
        <w:rPr>
          <w:bCs/>
          <w:sz w:val="22"/>
          <w:szCs w:val="22"/>
          <w:lang w:val="sr-Latn-CS"/>
        </w:rPr>
        <w:t>Sl</w:t>
      </w:r>
      <w:r w:rsidR="00A75F8A">
        <w:rPr>
          <w:bCs/>
          <w:sz w:val="22"/>
          <w:szCs w:val="22"/>
          <w:lang w:val="sr-Latn-CS"/>
        </w:rPr>
        <w:t>j</w:t>
      </w:r>
      <w:r w:rsidRPr="00A0323D">
        <w:rPr>
          <w:bCs/>
          <w:sz w:val="22"/>
          <w:szCs w:val="22"/>
          <w:lang w:val="sr-Latn-CS"/>
        </w:rPr>
        <w:t>edeće supstance mogu smanjiti potrebe za insulinom:</w:t>
      </w:r>
    </w:p>
    <w:p w14:paraId="3B9D7EEA" w14:textId="77777777" w:rsidR="00A0323D" w:rsidRPr="00A0323D" w:rsidRDefault="00A0323D" w:rsidP="005A154F">
      <w:pPr>
        <w:tabs>
          <w:tab w:val="left" w:pos="540"/>
          <w:tab w:val="left" w:pos="569"/>
        </w:tabs>
        <w:jc w:val="both"/>
        <w:rPr>
          <w:bCs/>
          <w:sz w:val="22"/>
          <w:szCs w:val="22"/>
          <w:lang w:val="sr-Latn-CS"/>
        </w:rPr>
      </w:pPr>
      <w:r w:rsidRPr="00A0323D">
        <w:rPr>
          <w:bCs/>
          <w:sz w:val="22"/>
          <w:szCs w:val="22"/>
          <w:lang w:val="sr-Latn-CS"/>
        </w:rPr>
        <w:t>Oralni antidijabetici, inhibitori monoamino oksidaze (MAO inhibitori), beta blokatori, inhibitori angiotenzin konvertujućeg enzima (ACE inhibitori), salicilati, anabolički steroidi, sulfonamidi i agonisti GLP-1 receptora.</w:t>
      </w:r>
    </w:p>
    <w:p w14:paraId="241A998C" w14:textId="77777777" w:rsidR="00A0323D" w:rsidRPr="00A0323D" w:rsidRDefault="00A0323D" w:rsidP="006579F8">
      <w:pPr>
        <w:tabs>
          <w:tab w:val="left" w:pos="540"/>
          <w:tab w:val="left" w:pos="569"/>
        </w:tabs>
        <w:jc w:val="both"/>
        <w:rPr>
          <w:bCs/>
          <w:sz w:val="22"/>
          <w:szCs w:val="22"/>
          <w:lang w:val="sr-Latn-CS"/>
        </w:rPr>
      </w:pPr>
    </w:p>
    <w:p w14:paraId="2B814EBA"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Sl</w:t>
      </w:r>
      <w:r w:rsidR="00A75F8A">
        <w:rPr>
          <w:bCs/>
          <w:sz w:val="22"/>
          <w:szCs w:val="22"/>
          <w:lang w:val="sr-Latn-CS"/>
        </w:rPr>
        <w:t>j</w:t>
      </w:r>
      <w:r w:rsidRPr="00A0323D">
        <w:rPr>
          <w:bCs/>
          <w:sz w:val="22"/>
          <w:szCs w:val="22"/>
          <w:lang w:val="sr-Latn-CS"/>
        </w:rPr>
        <w:t>edeće supstance mogu povećati potrebe za insulinom:</w:t>
      </w:r>
    </w:p>
    <w:p w14:paraId="1AB5F842"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Oralni kontraceptivi, tiazidi, glukokortikoidi, tireoidni hormoni, simpatomimetici, hormon rasta i danazol.</w:t>
      </w:r>
    </w:p>
    <w:p w14:paraId="5201C8C7" w14:textId="77777777" w:rsidR="00A0323D" w:rsidRPr="00A0323D" w:rsidRDefault="00A0323D">
      <w:pPr>
        <w:tabs>
          <w:tab w:val="left" w:pos="540"/>
          <w:tab w:val="left" w:pos="569"/>
        </w:tabs>
        <w:jc w:val="both"/>
        <w:rPr>
          <w:bCs/>
          <w:sz w:val="22"/>
          <w:szCs w:val="22"/>
          <w:lang w:val="sr-Latn-CS"/>
        </w:rPr>
      </w:pPr>
    </w:p>
    <w:p w14:paraId="29805B1A"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Beta blokatori mogu prikriti simptome hipoglikemije.</w:t>
      </w:r>
    </w:p>
    <w:p w14:paraId="3C33C1FF" w14:textId="77777777" w:rsidR="00A0323D" w:rsidRPr="00A0323D" w:rsidRDefault="00A0323D">
      <w:pPr>
        <w:tabs>
          <w:tab w:val="left" w:pos="540"/>
          <w:tab w:val="left" w:pos="569"/>
        </w:tabs>
        <w:jc w:val="both"/>
        <w:rPr>
          <w:bCs/>
          <w:sz w:val="22"/>
          <w:szCs w:val="22"/>
          <w:lang w:val="sr-Latn-CS"/>
        </w:rPr>
      </w:pPr>
    </w:p>
    <w:p w14:paraId="28A62D67" w14:textId="77777777" w:rsidR="00A0323D" w:rsidRPr="00A0323D" w:rsidRDefault="00A0323D">
      <w:pPr>
        <w:tabs>
          <w:tab w:val="left" w:pos="540"/>
          <w:tab w:val="left" w:pos="569"/>
        </w:tabs>
        <w:jc w:val="both"/>
        <w:rPr>
          <w:bCs/>
          <w:sz w:val="22"/>
          <w:szCs w:val="22"/>
          <w:lang w:val="sr-Latn-CS"/>
        </w:rPr>
      </w:pPr>
      <w:r w:rsidRPr="00A0323D">
        <w:rPr>
          <w:bCs/>
          <w:sz w:val="22"/>
          <w:szCs w:val="22"/>
          <w:lang w:val="sr-Latn-CS"/>
        </w:rPr>
        <w:t>Oktreotid/lanreotid mogu ili povećati ili smanjiti potrebu za insulinom.</w:t>
      </w:r>
    </w:p>
    <w:p w14:paraId="0A289320" w14:textId="77777777" w:rsidR="00A0323D" w:rsidRPr="00A0323D" w:rsidRDefault="00A0323D">
      <w:pPr>
        <w:tabs>
          <w:tab w:val="left" w:pos="540"/>
          <w:tab w:val="left" w:pos="569"/>
        </w:tabs>
        <w:jc w:val="both"/>
        <w:rPr>
          <w:bCs/>
          <w:sz w:val="22"/>
          <w:szCs w:val="22"/>
          <w:lang w:val="sr-Latn-CS"/>
        </w:rPr>
      </w:pPr>
    </w:p>
    <w:p w14:paraId="51A0E9C5" w14:textId="77777777" w:rsidR="00A0323D" w:rsidRDefault="00A0323D">
      <w:pPr>
        <w:tabs>
          <w:tab w:val="left" w:pos="540"/>
          <w:tab w:val="left" w:pos="569"/>
        </w:tabs>
        <w:jc w:val="both"/>
        <w:rPr>
          <w:bCs/>
          <w:sz w:val="22"/>
          <w:szCs w:val="22"/>
          <w:lang w:val="sr-Latn-CS"/>
        </w:rPr>
      </w:pPr>
      <w:r w:rsidRPr="00A0323D">
        <w:rPr>
          <w:bCs/>
          <w:sz w:val="22"/>
          <w:szCs w:val="22"/>
          <w:lang w:val="sr-Latn-CS"/>
        </w:rPr>
        <w:t>Alkohol može pojačati ili smanjiti hipoglikemijsko dejstvo insulina.</w:t>
      </w:r>
    </w:p>
    <w:p w14:paraId="25351EC8" w14:textId="77777777" w:rsidR="00A0323D" w:rsidRPr="00A0323D" w:rsidRDefault="00A0323D" w:rsidP="000F6B37">
      <w:pPr>
        <w:tabs>
          <w:tab w:val="left" w:pos="540"/>
          <w:tab w:val="left" w:pos="569"/>
        </w:tabs>
        <w:jc w:val="both"/>
        <w:rPr>
          <w:bCs/>
          <w:sz w:val="22"/>
          <w:szCs w:val="22"/>
          <w:lang w:val="sr-Latn-CS"/>
        </w:rPr>
      </w:pPr>
    </w:p>
    <w:p w14:paraId="01EAADEF" w14:textId="77777777" w:rsidR="0072020E" w:rsidRDefault="0072020E" w:rsidP="000F6B37">
      <w:pPr>
        <w:tabs>
          <w:tab w:val="left" w:pos="540"/>
          <w:tab w:val="left" w:pos="569"/>
        </w:tabs>
        <w:jc w:val="both"/>
        <w:rPr>
          <w:b/>
          <w:sz w:val="22"/>
          <w:szCs w:val="22"/>
          <w:lang w:val="sr-Latn-CS"/>
        </w:rPr>
      </w:pPr>
      <w:r w:rsidRPr="000F6B37">
        <w:rPr>
          <w:b/>
          <w:bCs/>
          <w:sz w:val="22"/>
          <w:szCs w:val="22"/>
          <w:lang w:val="sr-Latn-CS"/>
        </w:rPr>
        <w:t xml:space="preserve">4.6. </w:t>
      </w:r>
      <w:r w:rsidR="00480FB1" w:rsidRPr="000F6B37">
        <w:rPr>
          <w:b/>
          <w:bCs/>
          <w:sz w:val="22"/>
          <w:szCs w:val="22"/>
          <w:lang w:val="sr-Latn-CS"/>
        </w:rPr>
        <w:tab/>
      </w:r>
      <w:r w:rsidR="006D20A5">
        <w:rPr>
          <w:b/>
          <w:sz w:val="22"/>
          <w:szCs w:val="22"/>
          <w:lang w:val="sr-Latn-CS"/>
        </w:rPr>
        <w:t>Plodnost, trudnoća i dojenje</w:t>
      </w:r>
    </w:p>
    <w:p w14:paraId="231F640C" w14:textId="77777777" w:rsidR="002031B3" w:rsidRPr="000F6B37" w:rsidRDefault="002031B3" w:rsidP="000F6B37">
      <w:pPr>
        <w:tabs>
          <w:tab w:val="left" w:pos="540"/>
          <w:tab w:val="left" w:pos="569"/>
        </w:tabs>
        <w:jc w:val="both"/>
        <w:rPr>
          <w:sz w:val="22"/>
          <w:szCs w:val="22"/>
          <w:u w:val="single"/>
          <w:lang w:val="sr-Latn-CS"/>
        </w:rPr>
      </w:pPr>
    </w:p>
    <w:p w14:paraId="064DD903" w14:textId="77777777" w:rsidR="007A3ECB" w:rsidRPr="000F6B37" w:rsidRDefault="007A3ECB" w:rsidP="000F6B37">
      <w:pPr>
        <w:tabs>
          <w:tab w:val="left" w:pos="540"/>
          <w:tab w:val="left" w:pos="569"/>
        </w:tabs>
        <w:jc w:val="both"/>
        <w:rPr>
          <w:sz w:val="22"/>
          <w:szCs w:val="22"/>
          <w:u w:val="single"/>
          <w:lang w:val="sr-Latn-CS"/>
        </w:rPr>
      </w:pPr>
      <w:proofErr w:type="spellStart"/>
      <w:r w:rsidRPr="007A3ECB">
        <w:rPr>
          <w:sz w:val="22"/>
          <w:szCs w:val="22"/>
          <w:u w:val="single"/>
        </w:rPr>
        <w:t>Trudno</w:t>
      </w:r>
      <w:proofErr w:type="spellEnd"/>
      <w:r w:rsidRPr="000F6B37">
        <w:rPr>
          <w:sz w:val="22"/>
          <w:szCs w:val="22"/>
          <w:u w:val="single"/>
          <w:lang w:val="sr-Latn-CS"/>
        </w:rPr>
        <w:t>ć</w:t>
      </w:r>
      <w:r w:rsidRPr="007A3ECB">
        <w:rPr>
          <w:sz w:val="22"/>
          <w:szCs w:val="22"/>
          <w:u w:val="single"/>
        </w:rPr>
        <w:t>a</w:t>
      </w:r>
    </w:p>
    <w:p w14:paraId="738AF87E" w14:textId="77777777" w:rsidR="002031B3" w:rsidRPr="000F6B37" w:rsidRDefault="002031B3" w:rsidP="000F6B37">
      <w:pPr>
        <w:tabs>
          <w:tab w:val="left" w:pos="540"/>
          <w:tab w:val="left" w:pos="569"/>
        </w:tabs>
        <w:jc w:val="both"/>
        <w:rPr>
          <w:sz w:val="22"/>
          <w:szCs w:val="22"/>
          <w:lang w:val="sr-Latn-CS"/>
        </w:rPr>
      </w:pPr>
    </w:p>
    <w:p w14:paraId="356BE0A7" w14:textId="219F00FA" w:rsidR="00A0323D" w:rsidRPr="000F6B37" w:rsidRDefault="00A0323D" w:rsidP="00981470">
      <w:pPr>
        <w:tabs>
          <w:tab w:val="left" w:pos="540"/>
          <w:tab w:val="left" w:pos="569"/>
        </w:tabs>
        <w:jc w:val="both"/>
        <w:rPr>
          <w:sz w:val="22"/>
          <w:szCs w:val="22"/>
          <w:lang w:val="sr-Latn-CS"/>
        </w:rPr>
      </w:pPr>
      <w:r w:rsidRPr="00A0323D">
        <w:rPr>
          <w:sz w:val="22"/>
          <w:szCs w:val="22"/>
        </w:rPr>
        <w:t>Lijek</w:t>
      </w:r>
      <w:r w:rsidRPr="000F6B37">
        <w:rPr>
          <w:sz w:val="22"/>
          <w:szCs w:val="22"/>
          <w:lang w:val="sr-Latn-CS"/>
        </w:rPr>
        <w:t xml:space="preserve"> </w:t>
      </w:r>
      <w:proofErr w:type="spellStart"/>
      <w:r w:rsidRPr="00A0323D">
        <w:rPr>
          <w:sz w:val="22"/>
          <w:szCs w:val="22"/>
        </w:rPr>
        <w:t>Fiasp</w:t>
      </w:r>
      <w:proofErr w:type="spellEnd"/>
      <w:r w:rsidRPr="000F6B37">
        <w:rPr>
          <w:sz w:val="22"/>
          <w:szCs w:val="22"/>
          <w:lang w:val="sr-Latn-CS"/>
        </w:rPr>
        <w:t xml:space="preserve"> </w:t>
      </w:r>
      <w:r w:rsidRPr="00A0323D">
        <w:rPr>
          <w:sz w:val="22"/>
          <w:szCs w:val="22"/>
        </w:rPr>
        <w:t>se</w:t>
      </w:r>
      <w:r w:rsidRPr="000F6B37">
        <w:rPr>
          <w:sz w:val="22"/>
          <w:szCs w:val="22"/>
          <w:lang w:val="sr-Latn-CS"/>
        </w:rPr>
        <w:t xml:space="preserve"> </w:t>
      </w:r>
      <w:proofErr w:type="spellStart"/>
      <w:r w:rsidRPr="00A0323D">
        <w:rPr>
          <w:sz w:val="22"/>
          <w:szCs w:val="22"/>
        </w:rPr>
        <w:t>mo</w:t>
      </w:r>
      <w:proofErr w:type="spellEnd"/>
      <w:r w:rsidRPr="000F6B37">
        <w:rPr>
          <w:sz w:val="22"/>
          <w:szCs w:val="22"/>
          <w:lang w:val="sr-Latn-CS"/>
        </w:rPr>
        <w:t>ž</w:t>
      </w:r>
      <w:r w:rsidRPr="00A0323D">
        <w:rPr>
          <w:sz w:val="22"/>
          <w:szCs w:val="22"/>
        </w:rPr>
        <w:t>e</w:t>
      </w:r>
      <w:r w:rsidRPr="000F6B37">
        <w:rPr>
          <w:sz w:val="22"/>
          <w:szCs w:val="22"/>
          <w:lang w:val="sr-Latn-CS"/>
        </w:rPr>
        <w:t xml:space="preserve"> </w:t>
      </w:r>
      <w:proofErr w:type="spellStart"/>
      <w:r w:rsidRPr="00A0323D">
        <w:rPr>
          <w:sz w:val="22"/>
          <w:szCs w:val="22"/>
        </w:rPr>
        <w:t>primjenjivati</w:t>
      </w:r>
      <w:proofErr w:type="spellEnd"/>
      <w:r w:rsidRPr="000F6B37">
        <w:rPr>
          <w:sz w:val="22"/>
          <w:szCs w:val="22"/>
          <w:lang w:val="sr-Latn-CS"/>
        </w:rPr>
        <w:t xml:space="preserve"> </w:t>
      </w:r>
      <w:r w:rsidR="00C46C9C">
        <w:rPr>
          <w:sz w:val="22"/>
          <w:szCs w:val="22"/>
        </w:rPr>
        <w:t>u</w:t>
      </w:r>
      <w:r w:rsidRPr="000F6B37">
        <w:rPr>
          <w:sz w:val="22"/>
          <w:szCs w:val="22"/>
          <w:lang w:val="sr-Latn-CS"/>
        </w:rPr>
        <w:t xml:space="preserve"> </w:t>
      </w:r>
      <w:proofErr w:type="spellStart"/>
      <w:r w:rsidRPr="00A0323D">
        <w:rPr>
          <w:sz w:val="22"/>
          <w:szCs w:val="22"/>
        </w:rPr>
        <w:t>trudno</w:t>
      </w:r>
      <w:proofErr w:type="spellEnd"/>
      <w:r w:rsidRPr="000F6B37">
        <w:rPr>
          <w:sz w:val="22"/>
          <w:szCs w:val="22"/>
          <w:lang w:val="sr-Latn-CS"/>
        </w:rPr>
        <w:t>ć</w:t>
      </w:r>
      <w:r w:rsidR="00C46C9C">
        <w:rPr>
          <w:sz w:val="22"/>
          <w:szCs w:val="22"/>
        </w:rPr>
        <w:t>i</w:t>
      </w:r>
      <w:r w:rsidRPr="000F6B37">
        <w:rPr>
          <w:sz w:val="22"/>
          <w:szCs w:val="22"/>
          <w:lang w:val="sr-Latn-CS"/>
        </w:rPr>
        <w:t>.</w:t>
      </w:r>
    </w:p>
    <w:p w14:paraId="06962948" w14:textId="77777777" w:rsidR="00A0323D" w:rsidRPr="000F6B37" w:rsidRDefault="00A0323D" w:rsidP="00152247">
      <w:pPr>
        <w:tabs>
          <w:tab w:val="left" w:pos="540"/>
          <w:tab w:val="left" w:pos="569"/>
        </w:tabs>
        <w:jc w:val="both"/>
        <w:rPr>
          <w:sz w:val="22"/>
          <w:szCs w:val="22"/>
          <w:lang w:val="sr-Latn-CS"/>
        </w:rPr>
      </w:pPr>
    </w:p>
    <w:p w14:paraId="49BA74FD" w14:textId="1F7E42E3" w:rsidR="00A0323D" w:rsidRPr="000F6B37" w:rsidRDefault="00A0323D" w:rsidP="00442BD2">
      <w:pPr>
        <w:tabs>
          <w:tab w:val="left" w:pos="540"/>
          <w:tab w:val="left" w:pos="569"/>
        </w:tabs>
        <w:jc w:val="both"/>
        <w:rPr>
          <w:sz w:val="22"/>
          <w:szCs w:val="22"/>
          <w:lang w:val="sr-Latn-CS"/>
        </w:rPr>
      </w:pPr>
      <w:proofErr w:type="spellStart"/>
      <w:r w:rsidRPr="00A0323D">
        <w:rPr>
          <w:sz w:val="22"/>
          <w:szCs w:val="22"/>
        </w:rPr>
        <w:t>Podaci</w:t>
      </w:r>
      <w:proofErr w:type="spellEnd"/>
      <w:r w:rsidRPr="000F6B37">
        <w:rPr>
          <w:sz w:val="22"/>
          <w:szCs w:val="22"/>
          <w:lang w:val="sr-Latn-CS"/>
        </w:rPr>
        <w:t xml:space="preserve"> </w:t>
      </w:r>
      <w:proofErr w:type="spellStart"/>
      <w:r w:rsidRPr="00A0323D">
        <w:rPr>
          <w:sz w:val="22"/>
          <w:szCs w:val="22"/>
        </w:rPr>
        <w:t>iz</w:t>
      </w:r>
      <w:proofErr w:type="spellEnd"/>
      <w:r w:rsidRPr="000F6B37">
        <w:rPr>
          <w:sz w:val="22"/>
          <w:szCs w:val="22"/>
          <w:lang w:val="sr-Latn-CS"/>
        </w:rPr>
        <w:t xml:space="preserve"> </w:t>
      </w:r>
      <w:proofErr w:type="spellStart"/>
      <w:r w:rsidRPr="00A0323D">
        <w:rPr>
          <w:sz w:val="22"/>
          <w:szCs w:val="22"/>
        </w:rPr>
        <w:t>dva</w:t>
      </w:r>
      <w:proofErr w:type="spellEnd"/>
      <w:r w:rsidRPr="000F6B37">
        <w:rPr>
          <w:sz w:val="22"/>
          <w:szCs w:val="22"/>
          <w:lang w:val="sr-Latn-CS"/>
        </w:rPr>
        <w:t xml:space="preserve"> </w:t>
      </w:r>
      <w:proofErr w:type="spellStart"/>
      <w:r w:rsidRPr="00A0323D">
        <w:rPr>
          <w:sz w:val="22"/>
          <w:szCs w:val="22"/>
        </w:rPr>
        <w:t>randomizovana</w:t>
      </w:r>
      <w:proofErr w:type="spellEnd"/>
      <w:r w:rsidRPr="000F6B37">
        <w:rPr>
          <w:sz w:val="22"/>
          <w:szCs w:val="22"/>
          <w:lang w:val="sr-Latn-CS"/>
        </w:rPr>
        <w:t xml:space="preserve"> </w:t>
      </w:r>
      <w:proofErr w:type="spellStart"/>
      <w:r w:rsidRPr="00A0323D">
        <w:rPr>
          <w:sz w:val="22"/>
          <w:szCs w:val="22"/>
        </w:rPr>
        <w:t>kontrolisana</w:t>
      </w:r>
      <w:proofErr w:type="spellEnd"/>
      <w:r w:rsidRPr="000F6B37">
        <w:rPr>
          <w:sz w:val="22"/>
          <w:szCs w:val="22"/>
          <w:lang w:val="sr-Latn-CS"/>
        </w:rPr>
        <w:t xml:space="preserve"> </w:t>
      </w:r>
      <w:proofErr w:type="spellStart"/>
      <w:r w:rsidRPr="00A0323D">
        <w:rPr>
          <w:sz w:val="22"/>
          <w:szCs w:val="22"/>
        </w:rPr>
        <w:t>klini</w:t>
      </w:r>
      <w:proofErr w:type="spellEnd"/>
      <w:r w:rsidRPr="000F6B37">
        <w:rPr>
          <w:sz w:val="22"/>
          <w:szCs w:val="22"/>
          <w:lang w:val="sr-Latn-CS"/>
        </w:rPr>
        <w:t>č</w:t>
      </w:r>
      <w:r w:rsidRPr="00A0323D">
        <w:rPr>
          <w:sz w:val="22"/>
          <w:szCs w:val="22"/>
        </w:rPr>
        <w:t>ka</w:t>
      </w:r>
      <w:r w:rsidRPr="000F6B37">
        <w:rPr>
          <w:sz w:val="22"/>
          <w:szCs w:val="22"/>
          <w:lang w:val="sr-Latn-CS"/>
        </w:rPr>
        <w:t xml:space="preserve"> </w:t>
      </w:r>
      <w:proofErr w:type="spellStart"/>
      <w:r w:rsidRPr="00A0323D">
        <w:rPr>
          <w:sz w:val="22"/>
          <w:szCs w:val="22"/>
        </w:rPr>
        <w:t>ispitivanja</w:t>
      </w:r>
      <w:proofErr w:type="spellEnd"/>
      <w:r w:rsidRPr="000F6B37">
        <w:rPr>
          <w:sz w:val="22"/>
          <w:szCs w:val="22"/>
          <w:lang w:val="sr-Latn-CS"/>
        </w:rPr>
        <w:t xml:space="preserve"> </w:t>
      </w:r>
      <w:proofErr w:type="spellStart"/>
      <w:r w:rsidRPr="00A0323D">
        <w:rPr>
          <w:sz w:val="22"/>
          <w:szCs w:val="22"/>
        </w:rPr>
        <w:t>sprovedena</w:t>
      </w:r>
      <w:proofErr w:type="spellEnd"/>
      <w:r w:rsidRPr="000F6B37">
        <w:rPr>
          <w:sz w:val="22"/>
          <w:szCs w:val="22"/>
          <w:lang w:val="sr-Latn-CS"/>
        </w:rPr>
        <w:t xml:space="preserve"> </w:t>
      </w:r>
      <w:proofErr w:type="spellStart"/>
      <w:r w:rsidRPr="00A0323D">
        <w:rPr>
          <w:sz w:val="22"/>
          <w:szCs w:val="22"/>
        </w:rPr>
        <w:t>sa</w:t>
      </w:r>
      <w:proofErr w:type="spellEnd"/>
      <w:r w:rsidRPr="000F6B37">
        <w:rPr>
          <w:sz w:val="22"/>
          <w:szCs w:val="22"/>
          <w:lang w:val="sr-Latn-CS"/>
        </w:rPr>
        <w:t xml:space="preserve"> </w:t>
      </w:r>
      <w:r w:rsidRPr="00A0323D">
        <w:rPr>
          <w:sz w:val="22"/>
          <w:szCs w:val="22"/>
        </w:rPr>
        <w:t>insulin</w:t>
      </w:r>
      <w:r w:rsidRPr="000F6B37">
        <w:rPr>
          <w:sz w:val="22"/>
          <w:szCs w:val="22"/>
          <w:lang w:val="sr-Latn-CS"/>
        </w:rPr>
        <w:t xml:space="preserve"> </w:t>
      </w:r>
      <w:proofErr w:type="spellStart"/>
      <w:r w:rsidRPr="00A0323D">
        <w:rPr>
          <w:sz w:val="22"/>
          <w:szCs w:val="22"/>
        </w:rPr>
        <w:t>aspartom</w:t>
      </w:r>
      <w:proofErr w:type="spellEnd"/>
      <w:r w:rsidRPr="000F6B37">
        <w:rPr>
          <w:sz w:val="22"/>
          <w:szCs w:val="22"/>
          <w:lang w:val="sr-Latn-CS"/>
        </w:rPr>
        <w:t xml:space="preserve"> (322 + 27 </w:t>
      </w:r>
      <w:proofErr w:type="spellStart"/>
      <w:r w:rsidRPr="00A0323D">
        <w:rPr>
          <w:sz w:val="22"/>
          <w:szCs w:val="22"/>
        </w:rPr>
        <w:t>izlo</w:t>
      </w:r>
      <w:proofErr w:type="spellEnd"/>
      <w:r w:rsidRPr="000F6B37">
        <w:rPr>
          <w:sz w:val="22"/>
          <w:szCs w:val="22"/>
          <w:lang w:val="sr-Latn-CS"/>
        </w:rPr>
        <w:t>ž</w:t>
      </w:r>
      <w:proofErr w:type="spellStart"/>
      <w:r w:rsidRPr="00A0323D">
        <w:rPr>
          <w:sz w:val="22"/>
          <w:szCs w:val="22"/>
        </w:rPr>
        <w:t>enih</w:t>
      </w:r>
      <w:proofErr w:type="spellEnd"/>
      <w:r w:rsidRPr="000F6B37">
        <w:rPr>
          <w:sz w:val="22"/>
          <w:szCs w:val="22"/>
          <w:lang w:val="sr-Latn-CS"/>
        </w:rPr>
        <w:t xml:space="preserve"> </w:t>
      </w:r>
      <w:proofErr w:type="spellStart"/>
      <w:r w:rsidRPr="00A0323D">
        <w:rPr>
          <w:sz w:val="22"/>
          <w:szCs w:val="22"/>
        </w:rPr>
        <w:t>trudno</w:t>
      </w:r>
      <w:proofErr w:type="spellEnd"/>
      <w:r w:rsidRPr="000F6B37">
        <w:rPr>
          <w:sz w:val="22"/>
          <w:szCs w:val="22"/>
          <w:lang w:val="sr-Latn-CS"/>
        </w:rPr>
        <w:t>ć</w:t>
      </w:r>
      <w:r w:rsidRPr="00A0323D">
        <w:rPr>
          <w:sz w:val="22"/>
          <w:szCs w:val="22"/>
        </w:rPr>
        <w:t>a</w:t>
      </w:r>
      <w:r w:rsidRPr="000F6B37">
        <w:rPr>
          <w:sz w:val="22"/>
          <w:szCs w:val="22"/>
          <w:lang w:val="sr-Latn-CS"/>
        </w:rPr>
        <w:t xml:space="preserve">) </w:t>
      </w:r>
      <w:r w:rsidRPr="00A0323D">
        <w:rPr>
          <w:sz w:val="22"/>
          <w:szCs w:val="22"/>
        </w:rPr>
        <w:t>ne</w:t>
      </w:r>
      <w:r w:rsidRPr="000F6B37">
        <w:rPr>
          <w:sz w:val="22"/>
          <w:szCs w:val="22"/>
          <w:lang w:val="sr-Latn-CS"/>
        </w:rPr>
        <w:t xml:space="preserve"> </w:t>
      </w:r>
      <w:proofErr w:type="spellStart"/>
      <w:r w:rsidRPr="00A0323D">
        <w:rPr>
          <w:sz w:val="22"/>
          <w:szCs w:val="22"/>
        </w:rPr>
        <w:t>ukazuju</w:t>
      </w:r>
      <w:proofErr w:type="spellEnd"/>
      <w:r w:rsidRPr="000F6B37">
        <w:rPr>
          <w:sz w:val="22"/>
          <w:szCs w:val="22"/>
          <w:lang w:val="sr-Latn-CS"/>
        </w:rPr>
        <w:t xml:space="preserve"> </w:t>
      </w:r>
      <w:proofErr w:type="spellStart"/>
      <w:r w:rsidRPr="00A0323D">
        <w:rPr>
          <w:sz w:val="22"/>
          <w:szCs w:val="22"/>
        </w:rPr>
        <w:t>na</w:t>
      </w:r>
      <w:proofErr w:type="spellEnd"/>
      <w:r w:rsidRPr="000F6B37">
        <w:rPr>
          <w:sz w:val="22"/>
          <w:szCs w:val="22"/>
          <w:lang w:val="sr-Latn-CS"/>
        </w:rPr>
        <w:t xml:space="preserve"> </w:t>
      </w:r>
      <w:proofErr w:type="spellStart"/>
      <w:r w:rsidRPr="00A0323D">
        <w:rPr>
          <w:sz w:val="22"/>
          <w:szCs w:val="22"/>
        </w:rPr>
        <w:t>pojavu</w:t>
      </w:r>
      <w:proofErr w:type="spellEnd"/>
      <w:r w:rsidRPr="000F6B37">
        <w:rPr>
          <w:sz w:val="22"/>
          <w:szCs w:val="22"/>
          <w:lang w:val="sr-Latn-CS"/>
        </w:rPr>
        <w:t xml:space="preserve"> š</w:t>
      </w:r>
      <w:proofErr w:type="spellStart"/>
      <w:r w:rsidRPr="00A0323D">
        <w:rPr>
          <w:sz w:val="22"/>
          <w:szCs w:val="22"/>
        </w:rPr>
        <w:t>tetnih</w:t>
      </w:r>
      <w:proofErr w:type="spellEnd"/>
      <w:r w:rsidRPr="000F6B37">
        <w:rPr>
          <w:sz w:val="22"/>
          <w:szCs w:val="22"/>
          <w:lang w:val="sr-Latn-CS"/>
        </w:rPr>
        <w:t xml:space="preserve"> </w:t>
      </w:r>
      <w:proofErr w:type="spellStart"/>
      <w:r w:rsidRPr="00A0323D">
        <w:rPr>
          <w:sz w:val="22"/>
          <w:szCs w:val="22"/>
        </w:rPr>
        <w:t>efekata</w:t>
      </w:r>
      <w:proofErr w:type="spellEnd"/>
      <w:r w:rsidRPr="000F6B37">
        <w:rPr>
          <w:sz w:val="22"/>
          <w:szCs w:val="22"/>
          <w:lang w:val="sr-Latn-CS"/>
        </w:rPr>
        <w:t xml:space="preserve"> </w:t>
      </w:r>
      <w:r w:rsidRPr="00A0323D">
        <w:rPr>
          <w:sz w:val="22"/>
          <w:szCs w:val="22"/>
        </w:rPr>
        <w:t>insulin</w:t>
      </w:r>
      <w:r w:rsidRPr="000F6B37">
        <w:rPr>
          <w:sz w:val="22"/>
          <w:szCs w:val="22"/>
          <w:lang w:val="sr-Latn-CS"/>
        </w:rPr>
        <w:t xml:space="preserve"> </w:t>
      </w:r>
      <w:proofErr w:type="spellStart"/>
      <w:r w:rsidRPr="00A0323D">
        <w:rPr>
          <w:sz w:val="22"/>
          <w:szCs w:val="22"/>
        </w:rPr>
        <w:t>asparta</w:t>
      </w:r>
      <w:proofErr w:type="spellEnd"/>
      <w:r w:rsidRPr="000F6B37">
        <w:rPr>
          <w:sz w:val="22"/>
          <w:szCs w:val="22"/>
          <w:lang w:val="sr-Latn-CS"/>
        </w:rPr>
        <w:t xml:space="preserve"> </w:t>
      </w:r>
      <w:proofErr w:type="spellStart"/>
      <w:r w:rsidRPr="00A0323D">
        <w:rPr>
          <w:sz w:val="22"/>
          <w:szCs w:val="22"/>
        </w:rPr>
        <w:t>na</w:t>
      </w:r>
      <w:proofErr w:type="spellEnd"/>
      <w:r w:rsidRPr="000F6B37">
        <w:rPr>
          <w:sz w:val="22"/>
          <w:szCs w:val="22"/>
          <w:lang w:val="sr-Latn-CS"/>
        </w:rPr>
        <w:t xml:space="preserve"> </w:t>
      </w:r>
      <w:proofErr w:type="spellStart"/>
      <w:r w:rsidRPr="00A0323D">
        <w:rPr>
          <w:sz w:val="22"/>
          <w:szCs w:val="22"/>
        </w:rPr>
        <w:t>trudno</w:t>
      </w:r>
      <w:proofErr w:type="spellEnd"/>
      <w:r w:rsidRPr="000F6B37">
        <w:rPr>
          <w:sz w:val="22"/>
          <w:szCs w:val="22"/>
          <w:lang w:val="sr-Latn-CS"/>
        </w:rPr>
        <w:t>ć</w:t>
      </w:r>
      <w:r w:rsidRPr="00A0323D">
        <w:rPr>
          <w:sz w:val="22"/>
          <w:szCs w:val="22"/>
        </w:rPr>
        <w:t>u</w:t>
      </w:r>
      <w:r w:rsidRPr="000F6B37">
        <w:rPr>
          <w:sz w:val="22"/>
          <w:szCs w:val="22"/>
          <w:lang w:val="sr-Latn-CS"/>
        </w:rPr>
        <w:t xml:space="preserve"> </w:t>
      </w:r>
      <w:proofErr w:type="spellStart"/>
      <w:r w:rsidRPr="00A0323D">
        <w:rPr>
          <w:sz w:val="22"/>
          <w:szCs w:val="22"/>
        </w:rPr>
        <w:t>ili</w:t>
      </w:r>
      <w:proofErr w:type="spellEnd"/>
      <w:r w:rsidRPr="000F6B37">
        <w:rPr>
          <w:sz w:val="22"/>
          <w:szCs w:val="22"/>
          <w:lang w:val="sr-Latn-CS"/>
        </w:rPr>
        <w:t xml:space="preserve"> </w:t>
      </w:r>
      <w:proofErr w:type="spellStart"/>
      <w:r w:rsidRPr="00A0323D">
        <w:rPr>
          <w:sz w:val="22"/>
          <w:szCs w:val="22"/>
        </w:rPr>
        <w:t>na</w:t>
      </w:r>
      <w:proofErr w:type="spellEnd"/>
      <w:r w:rsidRPr="000F6B37">
        <w:rPr>
          <w:sz w:val="22"/>
          <w:szCs w:val="22"/>
          <w:lang w:val="sr-Latn-CS"/>
        </w:rPr>
        <w:t xml:space="preserve"> </w:t>
      </w:r>
      <w:proofErr w:type="spellStart"/>
      <w:r w:rsidRPr="00A0323D">
        <w:rPr>
          <w:sz w:val="22"/>
          <w:szCs w:val="22"/>
        </w:rPr>
        <w:t>zdravlje</w:t>
      </w:r>
      <w:proofErr w:type="spellEnd"/>
      <w:r w:rsidRPr="000F6B37">
        <w:rPr>
          <w:sz w:val="22"/>
          <w:szCs w:val="22"/>
          <w:lang w:val="sr-Latn-CS"/>
        </w:rPr>
        <w:t xml:space="preserve"> </w:t>
      </w:r>
      <w:proofErr w:type="spellStart"/>
      <w:r w:rsidRPr="00A0323D">
        <w:rPr>
          <w:sz w:val="22"/>
          <w:szCs w:val="22"/>
        </w:rPr>
        <w:t>fetusa</w:t>
      </w:r>
      <w:proofErr w:type="spellEnd"/>
      <w:r w:rsidRPr="000F6B37">
        <w:rPr>
          <w:sz w:val="22"/>
          <w:szCs w:val="22"/>
          <w:lang w:val="sr-Latn-CS"/>
        </w:rPr>
        <w:t>/</w:t>
      </w:r>
      <w:proofErr w:type="spellStart"/>
      <w:r w:rsidRPr="00A0323D">
        <w:rPr>
          <w:sz w:val="22"/>
          <w:szCs w:val="22"/>
        </w:rPr>
        <w:t>novoro</w:t>
      </w:r>
      <w:proofErr w:type="spellEnd"/>
      <w:r w:rsidRPr="000F6B37">
        <w:rPr>
          <w:sz w:val="22"/>
          <w:szCs w:val="22"/>
          <w:lang w:val="sr-Latn-CS"/>
        </w:rPr>
        <w:t>đ</w:t>
      </w:r>
      <w:proofErr w:type="spellStart"/>
      <w:r w:rsidRPr="00A0323D">
        <w:rPr>
          <w:sz w:val="22"/>
          <w:szCs w:val="22"/>
        </w:rPr>
        <w:t>en</w:t>
      </w:r>
      <w:proofErr w:type="spellEnd"/>
      <w:r w:rsidRPr="000F6B37">
        <w:rPr>
          <w:sz w:val="22"/>
          <w:szCs w:val="22"/>
          <w:lang w:val="sr-Latn-CS"/>
        </w:rPr>
        <w:t>č</w:t>
      </w:r>
      <w:r w:rsidRPr="00A0323D">
        <w:rPr>
          <w:sz w:val="22"/>
          <w:szCs w:val="22"/>
        </w:rPr>
        <w:t>eta</w:t>
      </w:r>
      <w:r w:rsidR="008B4255" w:rsidRPr="000F6B37">
        <w:rPr>
          <w:sz w:val="22"/>
          <w:szCs w:val="22"/>
          <w:lang w:val="sr-Latn-CS"/>
        </w:rPr>
        <w:t>,</w:t>
      </w:r>
      <w:r w:rsidRPr="000F6B37">
        <w:rPr>
          <w:sz w:val="22"/>
          <w:szCs w:val="22"/>
          <w:lang w:val="sr-Latn-CS"/>
        </w:rPr>
        <w:t xml:space="preserve"> </w:t>
      </w:r>
      <w:r w:rsidRPr="00A0323D">
        <w:rPr>
          <w:sz w:val="22"/>
          <w:szCs w:val="22"/>
        </w:rPr>
        <w:t>u</w:t>
      </w:r>
      <w:r w:rsidRPr="000F6B37">
        <w:rPr>
          <w:sz w:val="22"/>
          <w:szCs w:val="22"/>
          <w:lang w:val="sr-Latn-CS"/>
        </w:rPr>
        <w:t xml:space="preserve"> </w:t>
      </w:r>
      <w:r w:rsidRPr="00A0323D">
        <w:rPr>
          <w:sz w:val="22"/>
          <w:szCs w:val="22"/>
        </w:rPr>
        <w:t>pore</w:t>
      </w:r>
      <w:r w:rsidRPr="000F6B37">
        <w:rPr>
          <w:sz w:val="22"/>
          <w:szCs w:val="22"/>
          <w:lang w:val="sr-Latn-CS"/>
        </w:rPr>
        <w:t>đ</w:t>
      </w:r>
      <w:proofErr w:type="spellStart"/>
      <w:r w:rsidRPr="00A0323D">
        <w:rPr>
          <w:sz w:val="22"/>
          <w:szCs w:val="22"/>
        </w:rPr>
        <w:t>enju</w:t>
      </w:r>
      <w:proofErr w:type="spellEnd"/>
      <w:r w:rsidRPr="000F6B37">
        <w:rPr>
          <w:sz w:val="22"/>
          <w:szCs w:val="22"/>
          <w:lang w:val="sr-Latn-CS"/>
        </w:rPr>
        <w:t xml:space="preserve"> </w:t>
      </w:r>
      <w:proofErr w:type="spellStart"/>
      <w:r w:rsidRPr="00A0323D">
        <w:rPr>
          <w:sz w:val="22"/>
          <w:szCs w:val="22"/>
        </w:rPr>
        <w:t>sa</w:t>
      </w:r>
      <w:proofErr w:type="spellEnd"/>
      <w:r w:rsidRPr="000F6B37">
        <w:rPr>
          <w:sz w:val="22"/>
          <w:szCs w:val="22"/>
          <w:lang w:val="sr-Latn-CS"/>
        </w:rPr>
        <w:t xml:space="preserve"> </w:t>
      </w:r>
      <w:proofErr w:type="spellStart"/>
      <w:r w:rsidRPr="00A0323D">
        <w:rPr>
          <w:sz w:val="22"/>
          <w:szCs w:val="22"/>
        </w:rPr>
        <w:t>rastvorljivim</w:t>
      </w:r>
      <w:proofErr w:type="spellEnd"/>
      <w:r w:rsidRPr="000F6B37">
        <w:rPr>
          <w:sz w:val="22"/>
          <w:szCs w:val="22"/>
          <w:lang w:val="sr-Latn-CS"/>
        </w:rPr>
        <w:t xml:space="preserve"> </w:t>
      </w:r>
      <w:proofErr w:type="spellStart"/>
      <w:r w:rsidRPr="00A0323D">
        <w:rPr>
          <w:sz w:val="22"/>
          <w:szCs w:val="22"/>
        </w:rPr>
        <w:t>humanim</w:t>
      </w:r>
      <w:proofErr w:type="spellEnd"/>
      <w:r w:rsidRPr="000F6B37">
        <w:rPr>
          <w:sz w:val="22"/>
          <w:szCs w:val="22"/>
          <w:lang w:val="sr-Latn-CS"/>
        </w:rPr>
        <w:t xml:space="preserve"> </w:t>
      </w:r>
      <w:proofErr w:type="spellStart"/>
      <w:r w:rsidRPr="00A0323D">
        <w:rPr>
          <w:sz w:val="22"/>
          <w:szCs w:val="22"/>
        </w:rPr>
        <w:t>insulinom</w:t>
      </w:r>
      <w:proofErr w:type="spellEnd"/>
      <w:r w:rsidRPr="000F6B37">
        <w:rPr>
          <w:sz w:val="22"/>
          <w:szCs w:val="22"/>
          <w:lang w:val="sr-Latn-CS"/>
        </w:rPr>
        <w:t>.</w:t>
      </w:r>
    </w:p>
    <w:p w14:paraId="1126F2D7" w14:textId="77777777" w:rsidR="00A0323D" w:rsidRPr="000F6B37" w:rsidRDefault="00A0323D" w:rsidP="005A154F">
      <w:pPr>
        <w:tabs>
          <w:tab w:val="left" w:pos="540"/>
          <w:tab w:val="left" w:pos="569"/>
        </w:tabs>
        <w:jc w:val="both"/>
        <w:rPr>
          <w:sz w:val="22"/>
          <w:szCs w:val="22"/>
          <w:lang w:val="sr-Latn-CS"/>
        </w:rPr>
      </w:pPr>
    </w:p>
    <w:p w14:paraId="1E3EEF49" w14:textId="77777777" w:rsidR="00A0323D" w:rsidRPr="000F6B37" w:rsidRDefault="00A0323D" w:rsidP="006579F8">
      <w:pPr>
        <w:tabs>
          <w:tab w:val="left" w:pos="540"/>
          <w:tab w:val="left" w:pos="569"/>
        </w:tabs>
        <w:jc w:val="both"/>
        <w:rPr>
          <w:sz w:val="22"/>
          <w:szCs w:val="22"/>
          <w:lang w:val="sr-Latn-CS"/>
        </w:rPr>
      </w:pPr>
      <w:proofErr w:type="spellStart"/>
      <w:r w:rsidRPr="00A0323D">
        <w:rPr>
          <w:sz w:val="22"/>
          <w:szCs w:val="22"/>
        </w:rPr>
        <w:t>Tokom</w:t>
      </w:r>
      <w:proofErr w:type="spellEnd"/>
      <w:r w:rsidRPr="000F6B37">
        <w:rPr>
          <w:sz w:val="22"/>
          <w:szCs w:val="22"/>
          <w:lang w:val="sr-Latn-CS"/>
        </w:rPr>
        <w:t xml:space="preserve"> </w:t>
      </w:r>
      <w:proofErr w:type="spellStart"/>
      <w:r w:rsidRPr="00A0323D">
        <w:rPr>
          <w:sz w:val="22"/>
          <w:szCs w:val="22"/>
        </w:rPr>
        <w:t>trudno</w:t>
      </w:r>
      <w:proofErr w:type="spellEnd"/>
      <w:r w:rsidRPr="000F6B37">
        <w:rPr>
          <w:sz w:val="22"/>
          <w:szCs w:val="22"/>
          <w:lang w:val="sr-Latn-CS"/>
        </w:rPr>
        <w:t>ć</w:t>
      </w:r>
      <w:r w:rsidRPr="00A0323D">
        <w:rPr>
          <w:sz w:val="22"/>
          <w:szCs w:val="22"/>
        </w:rPr>
        <w:t>e</w:t>
      </w:r>
      <w:r w:rsidRPr="000F6B37">
        <w:rPr>
          <w:sz w:val="22"/>
          <w:szCs w:val="22"/>
          <w:lang w:val="sr-Latn-CS"/>
        </w:rPr>
        <w:t xml:space="preserve">, </w:t>
      </w:r>
      <w:proofErr w:type="spellStart"/>
      <w:r w:rsidRPr="00A0323D">
        <w:rPr>
          <w:sz w:val="22"/>
          <w:szCs w:val="22"/>
        </w:rPr>
        <w:t>kao</w:t>
      </w:r>
      <w:proofErr w:type="spellEnd"/>
      <w:r w:rsidRPr="000F6B37">
        <w:rPr>
          <w:sz w:val="22"/>
          <w:szCs w:val="22"/>
          <w:lang w:val="sr-Latn-CS"/>
        </w:rPr>
        <w:t xml:space="preserve"> </w:t>
      </w:r>
      <w:r w:rsidRPr="00A0323D">
        <w:rPr>
          <w:sz w:val="22"/>
          <w:szCs w:val="22"/>
        </w:rPr>
        <w:t>i</w:t>
      </w:r>
      <w:r w:rsidRPr="000F6B37">
        <w:rPr>
          <w:sz w:val="22"/>
          <w:szCs w:val="22"/>
          <w:lang w:val="sr-Latn-CS"/>
        </w:rPr>
        <w:t xml:space="preserve"> </w:t>
      </w:r>
      <w:proofErr w:type="spellStart"/>
      <w:r w:rsidRPr="00A0323D">
        <w:rPr>
          <w:sz w:val="22"/>
          <w:szCs w:val="22"/>
        </w:rPr>
        <w:t>prilikom</w:t>
      </w:r>
      <w:proofErr w:type="spellEnd"/>
      <w:r w:rsidRPr="000F6B37">
        <w:rPr>
          <w:sz w:val="22"/>
          <w:szCs w:val="22"/>
          <w:lang w:val="sr-Latn-CS"/>
        </w:rPr>
        <w:t xml:space="preserve"> </w:t>
      </w:r>
      <w:proofErr w:type="spellStart"/>
      <w:r w:rsidRPr="00A0323D">
        <w:rPr>
          <w:sz w:val="22"/>
          <w:szCs w:val="22"/>
        </w:rPr>
        <w:t>planiranja</w:t>
      </w:r>
      <w:proofErr w:type="spellEnd"/>
      <w:r w:rsidRPr="000F6B37">
        <w:rPr>
          <w:sz w:val="22"/>
          <w:szCs w:val="22"/>
          <w:lang w:val="sr-Latn-CS"/>
        </w:rPr>
        <w:t xml:space="preserve"> </w:t>
      </w:r>
      <w:proofErr w:type="spellStart"/>
      <w:r w:rsidRPr="00A0323D">
        <w:rPr>
          <w:sz w:val="22"/>
          <w:szCs w:val="22"/>
        </w:rPr>
        <w:t>trudno</w:t>
      </w:r>
      <w:proofErr w:type="spellEnd"/>
      <w:r w:rsidRPr="000F6B37">
        <w:rPr>
          <w:sz w:val="22"/>
          <w:szCs w:val="22"/>
          <w:lang w:val="sr-Latn-CS"/>
        </w:rPr>
        <w:t>ć</w:t>
      </w:r>
      <w:r w:rsidRPr="00A0323D">
        <w:rPr>
          <w:sz w:val="22"/>
          <w:szCs w:val="22"/>
        </w:rPr>
        <w:t>e</w:t>
      </w:r>
      <w:r w:rsidR="008B4255" w:rsidRPr="000F6B37">
        <w:rPr>
          <w:sz w:val="22"/>
          <w:szCs w:val="22"/>
          <w:lang w:val="sr-Latn-CS"/>
        </w:rPr>
        <w:t>,</w:t>
      </w:r>
      <w:r w:rsidRPr="000F6B37">
        <w:rPr>
          <w:sz w:val="22"/>
          <w:szCs w:val="22"/>
          <w:lang w:val="sr-Latn-CS"/>
        </w:rPr>
        <w:t xml:space="preserve"> </w:t>
      </w:r>
      <w:proofErr w:type="spellStart"/>
      <w:r w:rsidRPr="00A0323D">
        <w:rPr>
          <w:sz w:val="22"/>
          <w:szCs w:val="22"/>
        </w:rPr>
        <w:t>preporu</w:t>
      </w:r>
      <w:proofErr w:type="spellEnd"/>
      <w:r w:rsidRPr="000F6B37">
        <w:rPr>
          <w:sz w:val="22"/>
          <w:szCs w:val="22"/>
          <w:lang w:val="sr-Latn-CS"/>
        </w:rPr>
        <w:t>č</w:t>
      </w:r>
      <w:proofErr w:type="spellStart"/>
      <w:r w:rsidRPr="00A0323D">
        <w:rPr>
          <w:sz w:val="22"/>
          <w:szCs w:val="22"/>
        </w:rPr>
        <w:t>uje</w:t>
      </w:r>
      <w:proofErr w:type="spellEnd"/>
      <w:r w:rsidRPr="000F6B37">
        <w:rPr>
          <w:sz w:val="22"/>
          <w:szCs w:val="22"/>
          <w:lang w:val="sr-Latn-CS"/>
        </w:rPr>
        <w:t xml:space="preserve"> </w:t>
      </w:r>
      <w:r w:rsidRPr="00A0323D">
        <w:rPr>
          <w:sz w:val="22"/>
          <w:szCs w:val="22"/>
        </w:rPr>
        <w:t>se</w:t>
      </w:r>
      <w:r w:rsidRPr="000F6B37">
        <w:rPr>
          <w:sz w:val="22"/>
          <w:szCs w:val="22"/>
          <w:lang w:val="sr-Latn-CS"/>
        </w:rPr>
        <w:t xml:space="preserve"> </w:t>
      </w:r>
      <w:proofErr w:type="spellStart"/>
      <w:r w:rsidRPr="00A0323D">
        <w:rPr>
          <w:sz w:val="22"/>
          <w:szCs w:val="22"/>
        </w:rPr>
        <w:t>intenzivirana</w:t>
      </w:r>
      <w:proofErr w:type="spellEnd"/>
      <w:r w:rsidRPr="000F6B37">
        <w:rPr>
          <w:sz w:val="22"/>
          <w:szCs w:val="22"/>
          <w:lang w:val="sr-Latn-CS"/>
        </w:rPr>
        <w:t xml:space="preserve"> </w:t>
      </w:r>
      <w:proofErr w:type="spellStart"/>
      <w:r w:rsidRPr="00A0323D">
        <w:rPr>
          <w:sz w:val="22"/>
          <w:szCs w:val="22"/>
        </w:rPr>
        <w:t>regulacija</w:t>
      </w:r>
      <w:proofErr w:type="spellEnd"/>
      <w:r w:rsidRPr="000F6B37">
        <w:rPr>
          <w:sz w:val="22"/>
          <w:szCs w:val="22"/>
          <w:lang w:val="sr-Latn-CS"/>
        </w:rPr>
        <w:t xml:space="preserve"> </w:t>
      </w:r>
      <w:proofErr w:type="spellStart"/>
      <w:r w:rsidRPr="00A0323D">
        <w:rPr>
          <w:sz w:val="22"/>
          <w:szCs w:val="22"/>
        </w:rPr>
        <w:t>glikemije</w:t>
      </w:r>
      <w:proofErr w:type="spellEnd"/>
      <w:r w:rsidRPr="000F6B37">
        <w:rPr>
          <w:sz w:val="22"/>
          <w:szCs w:val="22"/>
          <w:lang w:val="sr-Latn-CS"/>
        </w:rPr>
        <w:t xml:space="preserve"> </w:t>
      </w:r>
      <w:r w:rsidRPr="00A0323D">
        <w:rPr>
          <w:sz w:val="22"/>
          <w:szCs w:val="22"/>
        </w:rPr>
        <w:t>i</w:t>
      </w:r>
      <w:r w:rsidRPr="000F6B37">
        <w:rPr>
          <w:sz w:val="22"/>
          <w:szCs w:val="22"/>
          <w:lang w:val="sr-Latn-CS"/>
        </w:rPr>
        <w:t xml:space="preserve"> </w:t>
      </w:r>
      <w:proofErr w:type="spellStart"/>
      <w:r w:rsidRPr="00A0323D">
        <w:rPr>
          <w:sz w:val="22"/>
          <w:szCs w:val="22"/>
        </w:rPr>
        <w:t>pra</w:t>
      </w:r>
      <w:proofErr w:type="spellEnd"/>
      <w:r w:rsidRPr="000F6B37">
        <w:rPr>
          <w:sz w:val="22"/>
          <w:szCs w:val="22"/>
          <w:lang w:val="sr-Latn-CS"/>
        </w:rPr>
        <w:t>ć</w:t>
      </w:r>
      <w:proofErr w:type="spellStart"/>
      <w:r w:rsidRPr="00A0323D">
        <w:rPr>
          <w:sz w:val="22"/>
          <w:szCs w:val="22"/>
        </w:rPr>
        <w:t>enje</w:t>
      </w:r>
      <w:proofErr w:type="spellEnd"/>
      <w:r w:rsidRPr="000F6B37">
        <w:rPr>
          <w:sz w:val="22"/>
          <w:szCs w:val="22"/>
          <w:lang w:val="sr-Latn-CS"/>
        </w:rPr>
        <w:t xml:space="preserve"> </w:t>
      </w:r>
      <w:proofErr w:type="spellStart"/>
      <w:r w:rsidRPr="00A0323D">
        <w:rPr>
          <w:sz w:val="22"/>
          <w:szCs w:val="22"/>
        </w:rPr>
        <w:t>trudnica</w:t>
      </w:r>
      <w:proofErr w:type="spellEnd"/>
      <w:r w:rsidRPr="000F6B37">
        <w:rPr>
          <w:sz w:val="22"/>
          <w:szCs w:val="22"/>
          <w:lang w:val="sr-Latn-CS"/>
        </w:rPr>
        <w:t xml:space="preserve"> </w:t>
      </w:r>
      <w:proofErr w:type="spellStart"/>
      <w:r w:rsidRPr="00A0323D">
        <w:rPr>
          <w:sz w:val="22"/>
          <w:szCs w:val="22"/>
        </w:rPr>
        <w:t>sa</w:t>
      </w:r>
      <w:proofErr w:type="spellEnd"/>
      <w:r w:rsidRPr="000F6B37">
        <w:rPr>
          <w:sz w:val="22"/>
          <w:szCs w:val="22"/>
          <w:lang w:val="sr-Latn-CS"/>
        </w:rPr>
        <w:t xml:space="preserve"> </w:t>
      </w:r>
      <w:proofErr w:type="spellStart"/>
      <w:r w:rsidRPr="00A0323D">
        <w:rPr>
          <w:sz w:val="22"/>
          <w:szCs w:val="22"/>
        </w:rPr>
        <w:t>dijabetesom</w:t>
      </w:r>
      <w:proofErr w:type="spellEnd"/>
      <w:r w:rsidRPr="000F6B37">
        <w:rPr>
          <w:sz w:val="22"/>
          <w:szCs w:val="22"/>
          <w:lang w:val="sr-Latn-CS"/>
        </w:rPr>
        <w:t xml:space="preserve"> (</w:t>
      </w:r>
      <w:proofErr w:type="spellStart"/>
      <w:r w:rsidRPr="00A0323D">
        <w:rPr>
          <w:sz w:val="22"/>
          <w:szCs w:val="22"/>
        </w:rPr>
        <w:t>tip</w:t>
      </w:r>
      <w:r w:rsidR="00405C92">
        <w:rPr>
          <w:sz w:val="22"/>
          <w:szCs w:val="22"/>
        </w:rPr>
        <w:t>a</w:t>
      </w:r>
      <w:proofErr w:type="spellEnd"/>
      <w:r w:rsidRPr="000F6B37">
        <w:rPr>
          <w:sz w:val="22"/>
          <w:szCs w:val="22"/>
          <w:lang w:val="sr-Latn-CS"/>
        </w:rPr>
        <w:t xml:space="preserve"> 1, </w:t>
      </w:r>
      <w:proofErr w:type="spellStart"/>
      <w:r w:rsidRPr="00A0323D">
        <w:rPr>
          <w:sz w:val="22"/>
          <w:szCs w:val="22"/>
        </w:rPr>
        <w:t>tip</w:t>
      </w:r>
      <w:r w:rsidR="00405C92">
        <w:rPr>
          <w:sz w:val="22"/>
          <w:szCs w:val="22"/>
        </w:rPr>
        <w:t>a</w:t>
      </w:r>
      <w:proofErr w:type="spellEnd"/>
      <w:r w:rsidRPr="000F6B37">
        <w:rPr>
          <w:sz w:val="22"/>
          <w:szCs w:val="22"/>
          <w:lang w:val="sr-Latn-CS"/>
        </w:rPr>
        <w:t xml:space="preserve"> 2 </w:t>
      </w:r>
      <w:proofErr w:type="spellStart"/>
      <w:r w:rsidRPr="00A0323D">
        <w:rPr>
          <w:sz w:val="22"/>
          <w:szCs w:val="22"/>
        </w:rPr>
        <w:t>ili</w:t>
      </w:r>
      <w:proofErr w:type="spellEnd"/>
      <w:r w:rsidRPr="000F6B37">
        <w:rPr>
          <w:sz w:val="22"/>
          <w:szCs w:val="22"/>
          <w:lang w:val="sr-Latn-CS"/>
        </w:rPr>
        <w:t xml:space="preserve"> </w:t>
      </w:r>
      <w:proofErr w:type="spellStart"/>
      <w:r w:rsidRPr="00A0323D">
        <w:rPr>
          <w:sz w:val="22"/>
          <w:szCs w:val="22"/>
        </w:rPr>
        <w:t>gestacijskim</w:t>
      </w:r>
      <w:proofErr w:type="spellEnd"/>
      <w:r w:rsidRPr="000F6B37">
        <w:rPr>
          <w:sz w:val="22"/>
          <w:szCs w:val="22"/>
          <w:lang w:val="sr-Latn-CS"/>
        </w:rPr>
        <w:t xml:space="preserve"> </w:t>
      </w:r>
      <w:proofErr w:type="spellStart"/>
      <w:r w:rsidRPr="00A0323D">
        <w:rPr>
          <w:sz w:val="22"/>
          <w:szCs w:val="22"/>
        </w:rPr>
        <w:t>dijabetesom</w:t>
      </w:r>
      <w:proofErr w:type="spellEnd"/>
      <w:r w:rsidRPr="000F6B37">
        <w:rPr>
          <w:sz w:val="22"/>
          <w:szCs w:val="22"/>
          <w:lang w:val="sr-Latn-CS"/>
        </w:rPr>
        <w:t xml:space="preserve">). </w:t>
      </w:r>
      <w:proofErr w:type="spellStart"/>
      <w:r w:rsidRPr="00A0323D">
        <w:rPr>
          <w:sz w:val="22"/>
          <w:szCs w:val="22"/>
        </w:rPr>
        <w:t>Potreba</w:t>
      </w:r>
      <w:proofErr w:type="spellEnd"/>
      <w:r w:rsidRPr="000F6B37">
        <w:rPr>
          <w:sz w:val="22"/>
          <w:szCs w:val="22"/>
          <w:lang w:val="sr-Latn-CS"/>
        </w:rPr>
        <w:t xml:space="preserve"> </w:t>
      </w:r>
      <w:r w:rsidRPr="00A0323D">
        <w:rPr>
          <w:sz w:val="22"/>
          <w:szCs w:val="22"/>
        </w:rPr>
        <w:t>za</w:t>
      </w:r>
      <w:r w:rsidRPr="000F6B37">
        <w:rPr>
          <w:sz w:val="22"/>
          <w:szCs w:val="22"/>
          <w:lang w:val="sr-Latn-CS"/>
        </w:rPr>
        <w:t xml:space="preserve"> </w:t>
      </w:r>
      <w:proofErr w:type="spellStart"/>
      <w:r w:rsidRPr="00A0323D">
        <w:rPr>
          <w:sz w:val="22"/>
          <w:szCs w:val="22"/>
        </w:rPr>
        <w:t>insulinom</w:t>
      </w:r>
      <w:proofErr w:type="spellEnd"/>
      <w:r w:rsidRPr="000F6B37">
        <w:rPr>
          <w:sz w:val="22"/>
          <w:szCs w:val="22"/>
          <w:lang w:val="sr-Latn-CS"/>
        </w:rPr>
        <w:t xml:space="preserve"> </w:t>
      </w:r>
      <w:r w:rsidRPr="00A0323D">
        <w:rPr>
          <w:sz w:val="22"/>
          <w:szCs w:val="22"/>
        </w:rPr>
        <w:t>obi</w:t>
      </w:r>
      <w:r w:rsidRPr="000F6B37">
        <w:rPr>
          <w:sz w:val="22"/>
          <w:szCs w:val="22"/>
          <w:lang w:val="sr-Latn-CS"/>
        </w:rPr>
        <w:t>č</w:t>
      </w:r>
      <w:r w:rsidRPr="00A0323D">
        <w:rPr>
          <w:sz w:val="22"/>
          <w:szCs w:val="22"/>
        </w:rPr>
        <w:t>no</w:t>
      </w:r>
      <w:r w:rsidRPr="000F6B37">
        <w:rPr>
          <w:sz w:val="22"/>
          <w:szCs w:val="22"/>
          <w:lang w:val="sr-Latn-CS"/>
        </w:rPr>
        <w:t xml:space="preserve"> </w:t>
      </w:r>
      <w:proofErr w:type="spellStart"/>
      <w:r w:rsidRPr="00A0323D">
        <w:rPr>
          <w:sz w:val="22"/>
          <w:szCs w:val="22"/>
        </w:rPr>
        <w:t>opada</w:t>
      </w:r>
      <w:proofErr w:type="spellEnd"/>
      <w:r w:rsidRPr="000F6B37">
        <w:rPr>
          <w:sz w:val="22"/>
          <w:szCs w:val="22"/>
          <w:lang w:val="sr-Latn-CS"/>
        </w:rPr>
        <w:t xml:space="preserve"> </w:t>
      </w:r>
      <w:r w:rsidRPr="00A0323D">
        <w:rPr>
          <w:sz w:val="22"/>
          <w:szCs w:val="22"/>
        </w:rPr>
        <w:t>u</w:t>
      </w:r>
      <w:r w:rsidRPr="000F6B37">
        <w:rPr>
          <w:sz w:val="22"/>
          <w:szCs w:val="22"/>
          <w:lang w:val="sr-Latn-CS"/>
        </w:rPr>
        <w:t xml:space="preserve"> </w:t>
      </w:r>
      <w:proofErr w:type="spellStart"/>
      <w:r w:rsidRPr="00A0323D">
        <w:rPr>
          <w:sz w:val="22"/>
          <w:szCs w:val="22"/>
        </w:rPr>
        <w:t>toku</w:t>
      </w:r>
      <w:proofErr w:type="spellEnd"/>
      <w:r w:rsidRPr="000F6B37">
        <w:rPr>
          <w:sz w:val="22"/>
          <w:szCs w:val="22"/>
          <w:lang w:val="sr-Latn-CS"/>
        </w:rPr>
        <w:t xml:space="preserve"> </w:t>
      </w:r>
      <w:proofErr w:type="spellStart"/>
      <w:r w:rsidRPr="00A0323D">
        <w:rPr>
          <w:sz w:val="22"/>
          <w:szCs w:val="22"/>
        </w:rPr>
        <w:t>prvog</w:t>
      </w:r>
      <w:proofErr w:type="spellEnd"/>
      <w:r w:rsidRPr="000F6B37">
        <w:rPr>
          <w:sz w:val="22"/>
          <w:szCs w:val="22"/>
          <w:lang w:val="sr-Latn-CS"/>
        </w:rPr>
        <w:t xml:space="preserve"> </w:t>
      </w:r>
      <w:proofErr w:type="spellStart"/>
      <w:r w:rsidRPr="00A0323D">
        <w:rPr>
          <w:sz w:val="22"/>
          <w:szCs w:val="22"/>
        </w:rPr>
        <w:t>trimestra</w:t>
      </w:r>
      <w:proofErr w:type="spellEnd"/>
      <w:r w:rsidRPr="000F6B37">
        <w:rPr>
          <w:sz w:val="22"/>
          <w:szCs w:val="22"/>
          <w:lang w:val="sr-Latn-CS"/>
        </w:rPr>
        <w:t xml:space="preserve">, </w:t>
      </w:r>
      <w:r w:rsidRPr="00A0323D">
        <w:rPr>
          <w:sz w:val="22"/>
          <w:szCs w:val="22"/>
        </w:rPr>
        <w:t>a</w:t>
      </w:r>
      <w:r w:rsidRPr="000F6B37">
        <w:rPr>
          <w:sz w:val="22"/>
          <w:szCs w:val="22"/>
          <w:lang w:val="sr-Latn-CS"/>
        </w:rPr>
        <w:t xml:space="preserve"> </w:t>
      </w:r>
      <w:proofErr w:type="spellStart"/>
      <w:r w:rsidRPr="00A0323D">
        <w:rPr>
          <w:sz w:val="22"/>
          <w:szCs w:val="22"/>
        </w:rPr>
        <w:t>postepeno</w:t>
      </w:r>
      <w:proofErr w:type="spellEnd"/>
      <w:r w:rsidRPr="000F6B37">
        <w:rPr>
          <w:sz w:val="22"/>
          <w:szCs w:val="22"/>
          <w:lang w:val="sr-Latn-CS"/>
        </w:rPr>
        <w:t xml:space="preserve"> </w:t>
      </w:r>
      <w:r w:rsidRPr="00A0323D">
        <w:rPr>
          <w:sz w:val="22"/>
          <w:szCs w:val="22"/>
        </w:rPr>
        <w:t>se</w:t>
      </w:r>
      <w:r w:rsidRPr="000F6B37">
        <w:rPr>
          <w:sz w:val="22"/>
          <w:szCs w:val="22"/>
          <w:lang w:val="sr-Latn-CS"/>
        </w:rPr>
        <w:t xml:space="preserve"> </w:t>
      </w:r>
      <w:proofErr w:type="spellStart"/>
      <w:r w:rsidRPr="00A0323D">
        <w:rPr>
          <w:sz w:val="22"/>
          <w:szCs w:val="22"/>
        </w:rPr>
        <w:t>pove</w:t>
      </w:r>
      <w:proofErr w:type="spellEnd"/>
      <w:r w:rsidRPr="000F6B37">
        <w:rPr>
          <w:sz w:val="22"/>
          <w:szCs w:val="22"/>
          <w:lang w:val="sr-Latn-CS"/>
        </w:rPr>
        <w:t>ć</w:t>
      </w:r>
      <w:r w:rsidRPr="00A0323D">
        <w:rPr>
          <w:sz w:val="22"/>
          <w:szCs w:val="22"/>
        </w:rPr>
        <w:t>ava</w:t>
      </w:r>
      <w:r w:rsidRPr="000F6B37">
        <w:rPr>
          <w:sz w:val="22"/>
          <w:szCs w:val="22"/>
          <w:lang w:val="sr-Latn-CS"/>
        </w:rPr>
        <w:t xml:space="preserve"> </w:t>
      </w:r>
      <w:r w:rsidRPr="00A0323D">
        <w:rPr>
          <w:sz w:val="22"/>
          <w:szCs w:val="22"/>
        </w:rPr>
        <w:t>u</w:t>
      </w:r>
      <w:r w:rsidRPr="000F6B37">
        <w:rPr>
          <w:sz w:val="22"/>
          <w:szCs w:val="22"/>
          <w:lang w:val="sr-Latn-CS"/>
        </w:rPr>
        <w:t xml:space="preserve"> </w:t>
      </w:r>
      <w:proofErr w:type="spellStart"/>
      <w:r w:rsidRPr="00A0323D">
        <w:rPr>
          <w:sz w:val="22"/>
          <w:szCs w:val="22"/>
        </w:rPr>
        <w:t>toku</w:t>
      </w:r>
      <w:proofErr w:type="spellEnd"/>
      <w:r w:rsidRPr="000F6B37">
        <w:rPr>
          <w:sz w:val="22"/>
          <w:szCs w:val="22"/>
          <w:lang w:val="sr-Latn-CS"/>
        </w:rPr>
        <w:t xml:space="preserve"> </w:t>
      </w:r>
      <w:proofErr w:type="spellStart"/>
      <w:r w:rsidRPr="00A0323D">
        <w:rPr>
          <w:sz w:val="22"/>
          <w:szCs w:val="22"/>
        </w:rPr>
        <w:t>drugog</w:t>
      </w:r>
      <w:proofErr w:type="spellEnd"/>
      <w:r w:rsidRPr="000F6B37">
        <w:rPr>
          <w:sz w:val="22"/>
          <w:szCs w:val="22"/>
          <w:lang w:val="sr-Latn-CS"/>
        </w:rPr>
        <w:t xml:space="preserve"> </w:t>
      </w:r>
      <w:r w:rsidRPr="00A0323D">
        <w:rPr>
          <w:sz w:val="22"/>
          <w:szCs w:val="22"/>
        </w:rPr>
        <w:t>i</w:t>
      </w:r>
      <w:r w:rsidRPr="000F6B37">
        <w:rPr>
          <w:sz w:val="22"/>
          <w:szCs w:val="22"/>
          <w:lang w:val="sr-Latn-CS"/>
        </w:rPr>
        <w:t xml:space="preserve"> </w:t>
      </w:r>
      <w:proofErr w:type="spellStart"/>
      <w:r w:rsidRPr="00A0323D">
        <w:rPr>
          <w:sz w:val="22"/>
          <w:szCs w:val="22"/>
        </w:rPr>
        <w:t>tre</w:t>
      </w:r>
      <w:proofErr w:type="spellEnd"/>
      <w:r w:rsidRPr="000F6B37">
        <w:rPr>
          <w:sz w:val="22"/>
          <w:szCs w:val="22"/>
          <w:lang w:val="sr-Latn-CS"/>
        </w:rPr>
        <w:t>ć</w:t>
      </w:r>
      <w:proofErr w:type="spellStart"/>
      <w:r w:rsidRPr="00A0323D">
        <w:rPr>
          <w:sz w:val="22"/>
          <w:szCs w:val="22"/>
        </w:rPr>
        <w:t>eg</w:t>
      </w:r>
      <w:proofErr w:type="spellEnd"/>
      <w:r w:rsidRPr="000F6B37">
        <w:rPr>
          <w:sz w:val="22"/>
          <w:szCs w:val="22"/>
          <w:lang w:val="sr-Latn-CS"/>
        </w:rPr>
        <w:t xml:space="preserve"> </w:t>
      </w:r>
      <w:proofErr w:type="spellStart"/>
      <w:r w:rsidRPr="00A0323D">
        <w:rPr>
          <w:sz w:val="22"/>
          <w:szCs w:val="22"/>
        </w:rPr>
        <w:t>trimestra</w:t>
      </w:r>
      <w:proofErr w:type="spellEnd"/>
      <w:r w:rsidRPr="000F6B37">
        <w:rPr>
          <w:sz w:val="22"/>
          <w:szCs w:val="22"/>
          <w:lang w:val="sr-Latn-CS"/>
        </w:rPr>
        <w:t xml:space="preserve"> </w:t>
      </w:r>
      <w:proofErr w:type="spellStart"/>
      <w:r w:rsidRPr="00A0323D">
        <w:rPr>
          <w:sz w:val="22"/>
          <w:szCs w:val="22"/>
        </w:rPr>
        <w:t>trudno</w:t>
      </w:r>
      <w:proofErr w:type="spellEnd"/>
      <w:r w:rsidRPr="000F6B37">
        <w:rPr>
          <w:sz w:val="22"/>
          <w:szCs w:val="22"/>
          <w:lang w:val="sr-Latn-CS"/>
        </w:rPr>
        <w:t>ć</w:t>
      </w:r>
      <w:r w:rsidRPr="00A0323D">
        <w:rPr>
          <w:sz w:val="22"/>
          <w:szCs w:val="22"/>
        </w:rPr>
        <w:t>e</w:t>
      </w:r>
      <w:r w:rsidRPr="000F6B37">
        <w:rPr>
          <w:sz w:val="22"/>
          <w:szCs w:val="22"/>
          <w:lang w:val="sr-Latn-CS"/>
        </w:rPr>
        <w:t xml:space="preserve">. </w:t>
      </w:r>
      <w:proofErr w:type="spellStart"/>
      <w:r w:rsidRPr="00A0323D">
        <w:rPr>
          <w:sz w:val="22"/>
          <w:szCs w:val="22"/>
        </w:rPr>
        <w:t>Nakon</w:t>
      </w:r>
      <w:proofErr w:type="spellEnd"/>
      <w:r w:rsidRPr="000F6B37">
        <w:rPr>
          <w:sz w:val="22"/>
          <w:szCs w:val="22"/>
          <w:lang w:val="sr-Latn-CS"/>
        </w:rPr>
        <w:t xml:space="preserve"> </w:t>
      </w:r>
      <w:proofErr w:type="spellStart"/>
      <w:r w:rsidRPr="00A0323D">
        <w:rPr>
          <w:sz w:val="22"/>
          <w:szCs w:val="22"/>
        </w:rPr>
        <w:t>poro</w:t>
      </w:r>
      <w:proofErr w:type="spellEnd"/>
      <w:r w:rsidRPr="000F6B37">
        <w:rPr>
          <w:sz w:val="22"/>
          <w:szCs w:val="22"/>
          <w:lang w:val="sr-Latn-CS"/>
        </w:rPr>
        <w:t>đ</w:t>
      </w:r>
      <w:proofErr w:type="spellStart"/>
      <w:r w:rsidRPr="00A0323D">
        <w:rPr>
          <w:sz w:val="22"/>
          <w:szCs w:val="22"/>
        </w:rPr>
        <w:t>aja</w:t>
      </w:r>
      <w:proofErr w:type="spellEnd"/>
      <w:r w:rsidRPr="000F6B37">
        <w:rPr>
          <w:sz w:val="22"/>
          <w:szCs w:val="22"/>
          <w:lang w:val="sr-Latn-CS"/>
        </w:rPr>
        <w:t xml:space="preserve">, </w:t>
      </w:r>
      <w:proofErr w:type="spellStart"/>
      <w:r w:rsidRPr="00A0323D">
        <w:rPr>
          <w:sz w:val="22"/>
          <w:szCs w:val="22"/>
        </w:rPr>
        <w:t>potrebe</w:t>
      </w:r>
      <w:proofErr w:type="spellEnd"/>
      <w:r w:rsidRPr="000F6B37">
        <w:rPr>
          <w:sz w:val="22"/>
          <w:szCs w:val="22"/>
          <w:lang w:val="sr-Latn-CS"/>
        </w:rPr>
        <w:t xml:space="preserve"> </w:t>
      </w:r>
      <w:r w:rsidRPr="00A0323D">
        <w:rPr>
          <w:sz w:val="22"/>
          <w:szCs w:val="22"/>
        </w:rPr>
        <w:t>za</w:t>
      </w:r>
      <w:r w:rsidRPr="000F6B37">
        <w:rPr>
          <w:sz w:val="22"/>
          <w:szCs w:val="22"/>
          <w:lang w:val="sr-Latn-CS"/>
        </w:rPr>
        <w:t xml:space="preserve"> </w:t>
      </w:r>
      <w:proofErr w:type="spellStart"/>
      <w:r w:rsidRPr="00A0323D">
        <w:rPr>
          <w:sz w:val="22"/>
          <w:szCs w:val="22"/>
        </w:rPr>
        <w:t>insulinom</w:t>
      </w:r>
      <w:proofErr w:type="spellEnd"/>
      <w:r w:rsidRPr="000F6B37">
        <w:rPr>
          <w:sz w:val="22"/>
          <w:szCs w:val="22"/>
          <w:lang w:val="sr-Latn-CS"/>
        </w:rPr>
        <w:t xml:space="preserve"> </w:t>
      </w:r>
      <w:r w:rsidRPr="00A0323D">
        <w:rPr>
          <w:sz w:val="22"/>
          <w:szCs w:val="22"/>
        </w:rPr>
        <w:t>obi</w:t>
      </w:r>
      <w:r w:rsidRPr="000F6B37">
        <w:rPr>
          <w:sz w:val="22"/>
          <w:szCs w:val="22"/>
          <w:lang w:val="sr-Latn-CS"/>
        </w:rPr>
        <w:t>č</w:t>
      </w:r>
      <w:r w:rsidRPr="00A0323D">
        <w:rPr>
          <w:sz w:val="22"/>
          <w:szCs w:val="22"/>
        </w:rPr>
        <w:t>no</w:t>
      </w:r>
      <w:r w:rsidRPr="000F6B37">
        <w:rPr>
          <w:sz w:val="22"/>
          <w:szCs w:val="22"/>
          <w:lang w:val="sr-Latn-CS"/>
        </w:rPr>
        <w:t xml:space="preserve"> </w:t>
      </w:r>
      <w:r w:rsidRPr="00A0323D">
        <w:rPr>
          <w:sz w:val="22"/>
          <w:szCs w:val="22"/>
        </w:rPr>
        <w:t>se</w:t>
      </w:r>
      <w:r w:rsidRPr="000F6B37">
        <w:rPr>
          <w:sz w:val="22"/>
          <w:szCs w:val="22"/>
          <w:lang w:val="sr-Latn-CS"/>
        </w:rPr>
        <w:t xml:space="preserve"> </w:t>
      </w:r>
      <w:proofErr w:type="spellStart"/>
      <w:r w:rsidRPr="00A0323D">
        <w:rPr>
          <w:sz w:val="22"/>
          <w:szCs w:val="22"/>
        </w:rPr>
        <w:t>brzo</w:t>
      </w:r>
      <w:proofErr w:type="spellEnd"/>
      <w:r w:rsidRPr="000F6B37">
        <w:rPr>
          <w:sz w:val="22"/>
          <w:szCs w:val="22"/>
          <w:lang w:val="sr-Latn-CS"/>
        </w:rPr>
        <w:t xml:space="preserve"> </w:t>
      </w:r>
      <w:proofErr w:type="spellStart"/>
      <w:r w:rsidRPr="00A0323D">
        <w:rPr>
          <w:sz w:val="22"/>
          <w:szCs w:val="22"/>
        </w:rPr>
        <w:t>vra</w:t>
      </w:r>
      <w:proofErr w:type="spellEnd"/>
      <w:r w:rsidRPr="000F6B37">
        <w:rPr>
          <w:sz w:val="22"/>
          <w:szCs w:val="22"/>
          <w:lang w:val="sr-Latn-CS"/>
        </w:rPr>
        <w:t>ć</w:t>
      </w:r>
      <w:proofErr w:type="spellStart"/>
      <w:r w:rsidRPr="00A0323D">
        <w:rPr>
          <w:sz w:val="22"/>
          <w:szCs w:val="22"/>
        </w:rPr>
        <w:t>aju</w:t>
      </w:r>
      <w:proofErr w:type="spellEnd"/>
      <w:r w:rsidRPr="000F6B37">
        <w:rPr>
          <w:sz w:val="22"/>
          <w:szCs w:val="22"/>
          <w:lang w:val="sr-Latn-CS"/>
        </w:rPr>
        <w:t xml:space="preserve"> </w:t>
      </w:r>
      <w:proofErr w:type="spellStart"/>
      <w:r w:rsidRPr="00A0323D">
        <w:rPr>
          <w:sz w:val="22"/>
          <w:szCs w:val="22"/>
        </w:rPr>
        <w:t>na</w:t>
      </w:r>
      <w:proofErr w:type="spellEnd"/>
      <w:r w:rsidRPr="000F6B37">
        <w:rPr>
          <w:sz w:val="22"/>
          <w:szCs w:val="22"/>
          <w:lang w:val="sr-Latn-CS"/>
        </w:rPr>
        <w:t xml:space="preserve"> </w:t>
      </w:r>
      <w:proofErr w:type="spellStart"/>
      <w:r w:rsidRPr="00A0323D">
        <w:rPr>
          <w:sz w:val="22"/>
          <w:szCs w:val="22"/>
        </w:rPr>
        <w:t>vrijednosti</w:t>
      </w:r>
      <w:proofErr w:type="spellEnd"/>
      <w:r w:rsidRPr="000F6B37">
        <w:rPr>
          <w:sz w:val="22"/>
          <w:szCs w:val="22"/>
          <w:lang w:val="sr-Latn-CS"/>
        </w:rPr>
        <w:t xml:space="preserve"> </w:t>
      </w:r>
      <w:proofErr w:type="spellStart"/>
      <w:r w:rsidRPr="00A0323D">
        <w:rPr>
          <w:sz w:val="22"/>
          <w:szCs w:val="22"/>
        </w:rPr>
        <w:t>prije</w:t>
      </w:r>
      <w:proofErr w:type="spellEnd"/>
      <w:r w:rsidRPr="000F6B37">
        <w:rPr>
          <w:sz w:val="22"/>
          <w:szCs w:val="22"/>
          <w:lang w:val="sr-Latn-CS"/>
        </w:rPr>
        <w:t xml:space="preserve"> </w:t>
      </w:r>
      <w:proofErr w:type="spellStart"/>
      <w:r w:rsidRPr="00A0323D">
        <w:rPr>
          <w:sz w:val="22"/>
          <w:szCs w:val="22"/>
        </w:rPr>
        <w:t>trudno</w:t>
      </w:r>
      <w:proofErr w:type="spellEnd"/>
      <w:r w:rsidRPr="000F6B37">
        <w:rPr>
          <w:sz w:val="22"/>
          <w:szCs w:val="22"/>
          <w:lang w:val="sr-Latn-CS"/>
        </w:rPr>
        <w:t>ć</w:t>
      </w:r>
      <w:r w:rsidRPr="00A0323D">
        <w:rPr>
          <w:sz w:val="22"/>
          <w:szCs w:val="22"/>
        </w:rPr>
        <w:t>e</w:t>
      </w:r>
      <w:r w:rsidRPr="000F6B37">
        <w:rPr>
          <w:sz w:val="22"/>
          <w:szCs w:val="22"/>
          <w:lang w:val="sr-Latn-CS"/>
        </w:rPr>
        <w:t>.</w:t>
      </w:r>
    </w:p>
    <w:p w14:paraId="6F6E7A70" w14:textId="77777777" w:rsidR="00A0323D" w:rsidRPr="000F6B37" w:rsidRDefault="00A0323D" w:rsidP="000F6B37">
      <w:pPr>
        <w:tabs>
          <w:tab w:val="left" w:pos="540"/>
          <w:tab w:val="left" w:pos="569"/>
        </w:tabs>
        <w:jc w:val="both"/>
        <w:rPr>
          <w:sz w:val="22"/>
          <w:szCs w:val="22"/>
          <w:lang w:val="sr-Latn-CS"/>
        </w:rPr>
      </w:pPr>
    </w:p>
    <w:p w14:paraId="7C5C205B" w14:textId="77777777" w:rsidR="0072020E" w:rsidRPr="000F6B37" w:rsidRDefault="007A3ECB" w:rsidP="000F6B37">
      <w:pPr>
        <w:tabs>
          <w:tab w:val="left" w:pos="540"/>
          <w:tab w:val="left" w:pos="569"/>
        </w:tabs>
        <w:jc w:val="both"/>
        <w:rPr>
          <w:b/>
          <w:bCs/>
          <w:sz w:val="22"/>
          <w:szCs w:val="22"/>
          <w:lang w:val="sr-Latn-CS"/>
        </w:rPr>
      </w:pPr>
      <w:proofErr w:type="spellStart"/>
      <w:r w:rsidRPr="007A3ECB">
        <w:rPr>
          <w:sz w:val="22"/>
          <w:szCs w:val="22"/>
          <w:u w:val="single"/>
        </w:rPr>
        <w:t>Dojenje</w:t>
      </w:r>
      <w:proofErr w:type="spellEnd"/>
      <w:r w:rsidRPr="000F6B37">
        <w:rPr>
          <w:sz w:val="22"/>
          <w:szCs w:val="22"/>
          <w:u w:val="single"/>
          <w:lang w:val="sr-Latn-CS"/>
        </w:rPr>
        <w:t xml:space="preserve"> </w:t>
      </w:r>
    </w:p>
    <w:p w14:paraId="7552450E" w14:textId="77777777" w:rsidR="00227BDB" w:rsidRPr="000F6B37" w:rsidRDefault="00227BDB" w:rsidP="000F6B37">
      <w:pPr>
        <w:tabs>
          <w:tab w:val="left" w:pos="540"/>
          <w:tab w:val="left" w:pos="569"/>
        </w:tabs>
        <w:ind w:left="540" w:hanging="540"/>
        <w:jc w:val="both"/>
        <w:rPr>
          <w:sz w:val="22"/>
          <w:szCs w:val="22"/>
          <w:lang w:val="sr-Latn-CS"/>
        </w:rPr>
      </w:pPr>
    </w:p>
    <w:p w14:paraId="70302FFB" w14:textId="77777777" w:rsidR="00EE2F19" w:rsidRPr="000F6B37" w:rsidRDefault="00EE2F19" w:rsidP="00981470">
      <w:pPr>
        <w:tabs>
          <w:tab w:val="left" w:pos="0"/>
        </w:tabs>
        <w:jc w:val="both"/>
        <w:rPr>
          <w:sz w:val="22"/>
          <w:szCs w:val="22"/>
          <w:lang w:val="sr-Latn-CS"/>
        </w:rPr>
      </w:pPr>
      <w:r w:rsidRPr="00EE2F19">
        <w:rPr>
          <w:sz w:val="22"/>
          <w:szCs w:val="22"/>
        </w:rPr>
        <w:t>Ne</w:t>
      </w:r>
      <w:r w:rsidRPr="000F6B37">
        <w:rPr>
          <w:sz w:val="22"/>
          <w:szCs w:val="22"/>
          <w:lang w:val="sr-Latn-CS"/>
        </w:rPr>
        <w:t xml:space="preserve"> </w:t>
      </w:r>
      <w:proofErr w:type="spellStart"/>
      <w:r w:rsidRPr="00EE2F19">
        <w:rPr>
          <w:sz w:val="22"/>
          <w:szCs w:val="22"/>
        </w:rPr>
        <w:t>postoje</w:t>
      </w:r>
      <w:proofErr w:type="spellEnd"/>
      <w:r w:rsidRPr="000F6B37">
        <w:rPr>
          <w:sz w:val="22"/>
          <w:szCs w:val="22"/>
          <w:lang w:val="sr-Latn-CS"/>
        </w:rPr>
        <w:t xml:space="preserve"> </w:t>
      </w:r>
      <w:proofErr w:type="spellStart"/>
      <w:r w:rsidRPr="00EE2F19">
        <w:rPr>
          <w:sz w:val="22"/>
          <w:szCs w:val="22"/>
        </w:rPr>
        <w:t>ograni</w:t>
      </w:r>
      <w:proofErr w:type="spellEnd"/>
      <w:r w:rsidRPr="000F6B37">
        <w:rPr>
          <w:sz w:val="22"/>
          <w:szCs w:val="22"/>
          <w:lang w:val="sr-Latn-CS"/>
        </w:rPr>
        <w:t>č</w:t>
      </w:r>
      <w:proofErr w:type="spellStart"/>
      <w:r w:rsidRPr="00EE2F19">
        <w:rPr>
          <w:sz w:val="22"/>
          <w:szCs w:val="22"/>
        </w:rPr>
        <w:t>enja</w:t>
      </w:r>
      <w:proofErr w:type="spellEnd"/>
      <w:r w:rsidRPr="000F6B37">
        <w:rPr>
          <w:sz w:val="22"/>
          <w:szCs w:val="22"/>
          <w:lang w:val="sr-Latn-CS"/>
        </w:rPr>
        <w:t xml:space="preserve"> </w:t>
      </w:r>
      <w:r w:rsidRPr="00EE2F19">
        <w:rPr>
          <w:sz w:val="22"/>
          <w:szCs w:val="22"/>
        </w:rPr>
        <w:t>u</w:t>
      </w:r>
      <w:r w:rsidRPr="000F6B37">
        <w:rPr>
          <w:sz w:val="22"/>
          <w:szCs w:val="22"/>
          <w:lang w:val="sr-Latn-CS"/>
        </w:rPr>
        <w:t xml:space="preserve"> </w:t>
      </w:r>
      <w:proofErr w:type="spellStart"/>
      <w:r w:rsidRPr="00EE2F19">
        <w:rPr>
          <w:sz w:val="22"/>
          <w:szCs w:val="22"/>
        </w:rPr>
        <w:t>lije</w:t>
      </w:r>
      <w:proofErr w:type="spellEnd"/>
      <w:r w:rsidRPr="000F6B37">
        <w:rPr>
          <w:sz w:val="22"/>
          <w:szCs w:val="22"/>
          <w:lang w:val="sr-Latn-CS"/>
        </w:rPr>
        <w:t>č</w:t>
      </w:r>
      <w:proofErr w:type="spellStart"/>
      <w:r w:rsidRPr="00EE2F19">
        <w:rPr>
          <w:sz w:val="22"/>
          <w:szCs w:val="22"/>
        </w:rPr>
        <w:t>enju</w:t>
      </w:r>
      <w:proofErr w:type="spellEnd"/>
      <w:r w:rsidRPr="000F6B37">
        <w:rPr>
          <w:sz w:val="22"/>
          <w:szCs w:val="22"/>
          <w:lang w:val="sr-Latn-CS"/>
        </w:rPr>
        <w:t xml:space="preserve"> </w:t>
      </w:r>
      <w:proofErr w:type="spellStart"/>
      <w:r w:rsidRPr="00EE2F19">
        <w:rPr>
          <w:sz w:val="22"/>
          <w:szCs w:val="22"/>
        </w:rPr>
        <w:t>dijabetesa</w:t>
      </w:r>
      <w:proofErr w:type="spellEnd"/>
      <w:r w:rsidRPr="000F6B37">
        <w:rPr>
          <w:sz w:val="22"/>
          <w:szCs w:val="22"/>
          <w:lang w:val="sr-Latn-CS"/>
        </w:rPr>
        <w:t xml:space="preserve"> </w:t>
      </w:r>
      <w:proofErr w:type="spellStart"/>
      <w:r w:rsidRPr="00EE2F19">
        <w:rPr>
          <w:sz w:val="22"/>
          <w:szCs w:val="22"/>
        </w:rPr>
        <w:t>lijekom</w:t>
      </w:r>
      <w:proofErr w:type="spellEnd"/>
      <w:r w:rsidRPr="000F6B37">
        <w:rPr>
          <w:sz w:val="22"/>
          <w:szCs w:val="22"/>
          <w:lang w:val="sr-Latn-CS"/>
        </w:rPr>
        <w:t xml:space="preserve"> </w:t>
      </w:r>
      <w:proofErr w:type="spellStart"/>
      <w:r w:rsidRPr="00EE2F19">
        <w:rPr>
          <w:sz w:val="22"/>
          <w:szCs w:val="22"/>
        </w:rPr>
        <w:t>Fiasp</w:t>
      </w:r>
      <w:proofErr w:type="spellEnd"/>
      <w:r w:rsidRPr="000F6B37">
        <w:rPr>
          <w:sz w:val="22"/>
          <w:szCs w:val="22"/>
          <w:lang w:val="sr-Latn-CS"/>
        </w:rPr>
        <w:t xml:space="preserve"> </w:t>
      </w:r>
      <w:proofErr w:type="spellStart"/>
      <w:r w:rsidRPr="00EE2F19">
        <w:rPr>
          <w:sz w:val="22"/>
          <w:szCs w:val="22"/>
        </w:rPr>
        <w:t>tokom</w:t>
      </w:r>
      <w:proofErr w:type="spellEnd"/>
      <w:r w:rsidRPr="000F6B37">
        <w:rPr>
          <w:sz w:val="22"/>
          <w:szCs w:val="22"/>
          <w:lang w:val="sr-Latn-CS"/>
        </w:rPr>
        <w:t xml:space="preserve"> </w:t>
      </w:r>
      <w:proofErr w:type="spellStart"/>
      <w:r w:rsidRPr="00EE2F19">
        <w:rPr>
          <w:sz w:val="22"/>
          <w:szCs w:val="22"/>
        </w:rPr>
        <w:t>dojenja</w:t>
      </w:r>
      <w:proofErr w:type="spellEnd"/>
      <w:r w:rsidRPr="000F6B37">
        <w:rPr>
          <w:sz w:val="22"/>
          <w:szCs w:val="22"/>
          <w:lang w:val="sr-Latn-CS"/>
        </w:rPr>
        <w:t xml:space="preserve">. </w:t>
      </w:r>
      <w:r w:rsidRPr="00EE2F19">
        <w:rPr>
          <w:sz w:val="22"/>
          <w:szCs w:val="22"/>
        </w:rPr>
        <w:t>Lije</w:t>
      </w:r>
      <w:r w:rsidRPr="000F6B37">
        <w:rPr>
          <w:sz w:val="22"/>
          <w:szCs w:val="22"/>
          <w:lang w:val="sr-Latn-CS"/>
        </w:rPr>
        <w:t>č</w:t>
      </w:r>
      <w:proofErr w:type="spellStart"/>
      <w:r w:rsidRPr="00EE2F19">
        <w:rPr>
          <w:sz w:val="22"/>
          <w:szCs w:val="22"/>
        </w:rPr>
        <w:t>enje</w:t>
      </w:r>
      <w:proofErr w:type="spellEnd"/>
      <w:r w:rsidRPr="000F6B37">
        <w:rPr>
          <w:sz w:val="22"/>
          <w:szCs w:val="22"/>
          <w:lang w:val="sr-Latn-CS"/>
        </w:rPr>
        <w:t xml:space="preserve"> </w:t>
      </w:r>
      <w:proofErr w:type="spellStart"/>
      <w:r w:rsidRPr="00EE2F19">
        <w:rPr>
          <w:sz w:val="22"/>
          <w:szCs w:val="22"/>
        </w:rPr>
        <w:t>dojilje</w:t>
      </w:r>
      <w:proofErr w:type="spellEnd"/>
      <w:r w:rsidRPr="000F6B37">
        <w:rPr>
          <w:sz w:val="22"/>
          <w:szCs w:val="22"/>
          <w:lang w:val="sr-Latn-CS"/>
        </w:rPr>
        <w:t xml:space="preserve"> </w:t>
      </w:r>
      <w:proofErr w:type="spellStart"/>
      <w:r>
        <w:rPr>
          <w:sz w:val="22"/>
          <w:szCs w:val="22"/>
        </w:rPr>
        <w:t>insulinom</w:t>
      </w:r>
      <w:proofErr w:type="spellEnd"/>
      <w:r w:rsidRPr="000F6B37">
        <w:rPr>
          <w:sz w:val="22"/>
          <w:szCs w:val="22"/>
          <w:lang w:val="sr-Latn-CS"/>
        </w:rPr>
        <w:t xml:space="preserve"> </w:t>
      </w:r>
      <w:r w:rsidRPr="00EE2F19">
        <w:rPr>
          <w:sz w:val="22"/>
          <w:szCs w:val="22"/>
        </w:rPr>
        <w:t>ne</w:t>
      </w:r>
      <w:r w:rsidRPr="000F6B37">
        <w:rPr>
          <w:sz w:val="22"/>
          <w:szCs w:val="22"/>
          <w:lang w:val="sr-Latn-CS"/>
        </w:rPr>
        <w:t xml:space="preserve"> </w:t>
      </w:r>
      <w:proofErr w:type="spellStart"/>
      <w:r w:rsidRPr="00EE2F19">
        <w:rPr>
          <w:sz w:val="22"/>
          <w:szCs w:val="22"/>
        </w:rPr>
        <w:t>predstavlja</w:t>
      </w:r>
      <w:proofErr w:type="spellEnd"/>
      <w:r w:rsidRPr="000F6B37">
        <w:rPr>
          <w:sz w:val="22"/>
          <w:szCs w:val="22"/>
          <w:lang w:val="sr-Latn-CS"/>
        </w:rPr>
        <w:t xml:space="preserve"> </w:t>
      </w:r>
      <w:proofErr w:type="spellStart"/>
      <w:r w:rsidRPr="00EE2F19">
        <w:rPr>
          <w:sz w:val="22"/>
          <w:szCs w:val="22"/>
        </w:rPr>
        <w:t>rizik</w:t>
      </w:r>
      <w:proofErr w:type="spellEnd"/>
      <w:r w:rsidRPr="000F6B37">
        <w:rPr>
          <w:sz w:val="22"/>
          <w:szCs w:val="22"/>
          <w:lang w:val="sr-Latn-CS"/>
        </w:rPr>
        <w:t xml:space="preserve"> </w:t>
      </w:r>
      <w:r w:rsidRPr="00EE2F19">
        <w:rPr>
          <w:sz w:val="22"/>
          <w:szCs w:val="22"/>
        </w:rPr>
        <w:t>za</w:t>
      </w:r>
      <w:r w:rsidRPr="000F6B37">
        <w:rPr>
          <w:sz w:val="22"/>
          <w:szCs w:val="22"/>
          <w:lang w:val="sr-Latn-CS"/>
        </w:rPr>
        <w:t xml:space="preserve"> </w:t>
      </w:r>
      <w:proofErr w:type="spellStart"/>
      <w:r w:rsidRPr="00EE2F19">
        <w:rPr>
          <w:sz w:val="22"/>
          <w:szCs w:val="22"/>
        </w:rPr>
        <w:t>dijete</w:t>
      </w:r>
      <w:proofErr w:type="spellEnd"/>
      <w:r w:rsidRPr="000F6B37">
        <w:rPr>
          <w:sz w:val="22"/>
          <w:szCs w:val="22"/>
          <w:lang w:val="sr-Latn-CS"/>
        </w:rPr>
        <w:t xml:space="preserve">. </w:t>
      </w:r>
      <w:r w:rsidRPr="00EE2F19">
        <w:rPr>
          <w:sz w:val="22"/>
          <w:szCs w:val="22"/>
        </w:rPr>
        <w:t>Me</w:t>
      </w:r>
      <w:r w:rsidRPr="000F6B37">
        <w:rPr>
          <w:sz w:val="22"/>
          <w:szCs w:val="22"/>
          <w:lang w:val="sr-Latn-CS"/>
        </w:rPr>
        <w:t>đ</w:t>
      </w:r>
      <w:proofErr w:type="spellStart"/>
      <w:r w:rsidRPr="00EE2F19">
        <w:rPr>
          <w:sz w:val="22"/>
          <w:szCs w:val="22"/>
        </w:rPr>
        <w:t>utim</w:t>
      </w:r>
      <w:proofErr w:type="spellEnd"/>
      <w:r w:rsidRPr="000F6B37">
        <w:rPr>
          <w:sz w:val="22"/>
          <w:szCs w:val="22"/>
          <w:lang w:val="sr-Latn-CS"/>
        </w:rPr>
        <w:t xml:space="preserve">, </w:t>
      </w:r>
      <w:proofErr w:type="spellStart"/>
      <w:r w:rsidRPr="00EE2F19">
        <w:rPr>
          <w:sz w:val="22"/>
          <w:szCs w:val="22"/>
        </w:rPr>
        <w:t>mo</w:t>
      </w:r>
      <w:proofErr w:type="spellEnd"/>
      <w:r w:rsidRPr="000F6B37">
        <w:rPr>
          <w:sz w:val="22"/>
          <w:szCs w:val="22"/>
          <w:lang w:val="sr-Latn-CS"/>
        </w:rPr>
        <w:t>ž</w:t>
      </w:r>
      <w:r w:rsidRPr="00EE2F19">
        <w:rPr>
          <w:sz w:val="22"/>
          <w:szCs w:val="22"/>
        </w:rPr>
        <w:t>e</w:t>
      </w:r>
      <w:r w:rsidRPr="000F6B37">
        <w:rPr>
          <w:sz w:val="22"/>
          <w:szCs w:val="22"/>
          <w:lang w:val="sr-Latn-CS"/>
        </w:rPr>
        <w:t xml:space="preserve"> </w:t>
      </w:r>
      <w:proofErr w:type="spellStart"/>
      <w:r w:rsidRPr="00EE2F19">
        <w:rPr>
          <w:sz w:val="22"/>
          <w:szCs w:val="22"/>
        </w:rPr>
        <w:t>biti</w:t>
      </w:r>
      <w:proofErr w:type="spellEnd"/>
      <w:r w:rsidRPr="000F6B37">
        <w:rPr>
          <w:sz w:val="22"/>
          <w:szCs w:val="22"/>
          <w:lang w:val="sr-Latn-CS"/>
        </w:rPr>
        <w:t xml:space="preserve"> </w:t>
      </w:r>
      <w:proofErr w:type="spellStart"/>
      <w:r w:rsidRPr="00EE2F19">
        <w:rPr>
          <w:sz w:val="22"/>
          <w:szCs w:val="22"/>
        </w:rPr>
        <w:t>potrebno</w:t>
      </w:r>
      <w:proofErr w:type="spellEnd"/>
      <w:r w:rsidRPr="000F6B37">
        <w:rPr>
          <w:sz w:val="22"/>
          <w:szCs w:val="22"/>
          <w:lang w:val="sr-Latn-CS"/>
        </w:rPr>
        <w:t xml:space="preserve"> </w:t>
      </w:r>
      <w:proofErr w:type="spellStart"/>
      <w:r w:rsidRPr="00EE2F19">
        <w:rPr>
          <w:sz w:val="22"/>
          <w:szCs w:val="22"/>
        </w:rPr>
        <w:t>prilago</w:t>
      </w:r>
      <w:proofErr w:type="spellEnd"/>
      <w:r w:rsidRPr="000F6B37">
        <w:rPr>
          <w:sz w:val="22"/>
          <w:szCs w:val="22"/>
          <w:lang w:val="sr-Latn-CS"/>
        </w:rPr>
        <w:t>đ</w:t>
      </w:r>
      <w:proofErr w:type="spellStart"/>
      <w:r w:rsidRPr="00EE2F19">
        <w:rPr>
          <w:sz w:val="22"/>
          <w:szCs w:val="22"/>
        </w:rPr>
        <w:t>avanje</w:t>
      </w:r>
      <w:proofErr w:type="spellEnd"/>
      <w:r w:rsidRPr="000F6B37">
        <w:rPr>
          <w:sz w:val="22"/>
          <w:szCs w:val="22"/>
          <w:lang w:val="sr-Latn-CS"/>
        </w:rPr>
        <w:t xml:space="preserve"> </w:t>
      </w:r>
      <w:r w:rsidRPr="00EE2F19">
        <w:rPr>
          <w:sz w:val="22"/>
          <w:szCs w:val="22"/>
        </w:rPr>
        <w:t>doze</w:t>
      </w:r>
      <w:r w:rsidRPr="000F6B37">
        <w:rPr>
          <w:sz w:val="22"/>
          <w:szCs w:val="22"/>
          <w:lang w:val="sr-Latn-CS"/>
        </w:rPr>
        <w:t>.</w:t>
      </w:r>
    </w:p>
    <w:p w14:paraId="03ADA0CE" w14:textId="77777777" w:rsidR="00EE2F19" w:rsidRPr="000F6B37" w:rsidRDefault="00EE2F19" w:rsidP="000F6B37">
      <w:pPr>
        <w:tabs>
          <w:tab w:val="left" w:pos="540"/>
          <w:tab w:val="left" w:pos="569"/>
        </w:tabs>
        <w:ind w:left="540" w:hanging="540"/>
        <w:jc w:val="both"/>
        <w:rPr>
          <w:sz w:val="22"/>
          <w:szCs w:val="22"/>
          <w:lang w:val="sr-Latn-CS"/>
        </w:rPr>
      </w:pPr>
    </w:p>
    <w:p w14:paraId="36FEB29D" w14:textId="77777777" w:rsidR="00A0323D" w:rsidRPr="000F6B37" w:rsidRDefault="00A0323D" w:rsidP="000F6B37">
      <w:pPr>
        <w:tabs>
          <w:tab w:val="left" w:pos="540"/>
          <w:tab w:val="left" w:pos="569"/>
        </w:tabs>
        <w:jc w:val="both"/>
        <w:rPr>
          <w:sz w:val="22"/>
          <w:szCs w:val="22"/>
          <w:u w:val="single"/>
          <w:lang w:val="sr-Latn-CS"/>
        </w:rPr>
      </w:pPr>
      <w:proofErr w:type="spellStart"/>
      <w:r w:rsidRPr="007A3ECB">
        <w:rPr>
          <w:sz w:val="22"/>
          <w:szCs w:val="22"/>
          <w:u w:val="single"/>
        </w:rPr>
        <w:t>Plodnost</w:t>
      </w:r>
      <w:proofErr w:type="spellEnd"/>
    </w:p>
    <w:p w14:paraId="6416F837" w14:textId="77777777" w:rsidR="00A0323D" w:rsidRPr="000F6B37" w:rsidRDefault="00A0323D" w:rsidP="000F6B37">
      <w:pPr>
        <w:tabs>
          <w:tab w:val="left" w:pos="540"/>
          <w:tab w:val="left" w:pos="569"/>
        </w:tabs>
        <w:ind w:left="540" w:hanging="540"/>
        <w:jc w:val="both"/>
        <w:rPr>
          <w:sz w:val="22"/>
          <w:szCs w:val="22"/>
          <w:lang w:val="sr-Latn-CS"/>
        </w:rPr>
      </w:pPr>
    </w:p>
    <w:p w14:paraId="603D453F" w14:textId="77777777" w:rsidR="00EE2F19" w:rsidRPr="000F6B37" w:rsidRDefault="00EE2F19" w:rsidP="00981470">
      <w:pPr>
        <w:tabs>
          <w:tab w:val="left" w:pos="0"/>
        </w:tabs>
        <w:jc w:val="both"/>
        <w:rPr>
          <w:sz w:val="22"/>
          <w:szCs w:val="22"/>
          <w:lang w:val="sr-Latn-CS"/>
        </w:rPr>
      </w:pPr>
      <w:proofErr w:type="spellStart"/>
      <w:r w:rsidRPr="00EE2F19">
        <w:rPr>
          <w:sz w:val="22"/>
          <w:szCs w:val="22"/>
        </w:rPr>
        <w:t>Reproduktivna</w:t>
      </w:r>
      <w:proofErr w:type="spellEnd"/>
      <w:r w:rsidRPr="000F6B37">
        <w:rPr>
          <w:sz w:val="22"/>
          <w:szCs w:val="22"/>
          <w:lang w:val="sr-Latn-CS"/>
        </w:rPr>
        <w:t xml:space="preserve"> </w:t>
      </w:r>
      <w:proofErr w:type="spellStart"/>
      <w:r w:rsidRPr="00EE2F19">
        <w:rPr>
          <w:sz w:val="22"/>
          <w:szCs w:val="22"/>
        </w:rPr>
        <w:t>ispitivanja</w:t>
      </w:r>
      <w:proofErr w:type="spellEnd"/>
      <w:r w:rsidRPr="000F6B37">
        <w:rPr>
          <w:sz w:val="22"/>
          <w:szCs w:val="22"/>
          <w:lang w:val="sr-Latn-CS"/>
        </w:rPr>
        <w:t xml:space="preserve"> </w:t>
      </w:r>
      <w:proofErr w:type="spellStart"/>
      <w:r w:rsidRPr="00EE2F19">
        <w:rPr>
          <w:sz w:val="22"/>
          <w:szCs w:val="22"/>
        </w:rPr>
        <w:t>na</w:t>
      </w:r>
      <w:proofErr w:type="spellEnd"/>
      <w:r w:rsidRPr="000F6B37">
        <w:rPr>
          <w:sz w:val="22"/>
          <w:szCs w:val="22"/>
          <w:lang w:val="sr-Latn-CS"/>
        </w:rPr>
        <w:t xml:space="preserve"> ž</w:t>
      </w:r>
      <w:proofErr w:type="spellStart"/>
      <w:r w:rsidRPr="00EE2F19">
        <w:rPr>
          <w:sz w:val="22"/>
          <w:szCs w:val="22"/>
        </w:rPr>
        <w:t>ivotinjama</w:t>
      </w:r>
      <w:proofErr w:type="spellEnd"/>
      <w:r w:rsidRPr="000F6B37">
        <w:rPr>
          <w:sz w:val="22"/>
          <w:szCs w:val="22"/>
          <w:lang w:val="sr-Latn-CS"/>
        </w:rPr>
        <w:t xml:space="preserve"> </w:t>
      </w:r>
      <w:proofErr w:type="spellStart"/>
      <w:r w:rsidRPr="00EE2F19">
        <w:rPr>
          <w:sz w:val="22"/>
          <w:szCs w:val="22"/>
        </w:rPr>
        <w:t>nijesu</w:t>
      </w:r>
      <w:proofErr w:type="spellEnd"/>
      <w:r w:rsidRPr="000F6B37">
        <w:rPr>
          <w:sz w:val="22"/>
          <w:szCs w:val="22"/>
          <w:lang w:val="sr-Latn-CS"/>
        </w:rPr>
        <w:t xml:space="preserve"> </w:t>
      </w:r>
      <w:proofErr w:type="spellStart"/>
      <w:r w:rsidRPr="00EE2F19">
        <w:rPr>
          <w:sz w:val="22"/>
          <w:szCs w:val="22"/>
        </w:rPr>
        <w:t>pokazala</w:t>
      </w:r>
      <w:proofErr w:type="spellEnd"/>
      <w:r w:rsidRPr="000F6B37">
        <w:rPr>
          <w:sz w:val="22"/>
          <w:szCs w:val="22"/>
          <w:lang w:val="sr-Latn-CS"/>
        </w:rPr>
        <w:t xml:space="preserve"> </w:t>
      </w:r>
      <w:proofErr w:type="spellStart"/>
      <w:r w:rsidRPr="00EE2F19">
        <w:rPr>
          <w:sz w:val="22"/>
          <w:szCs w:val="22"/>
        </w:rPr>
        <w:t>nikakve</w:t>
      </w:r>
      <w:proofErr w:type="spellEnd"/>
      <w:r w:rsidRPr="000F6B37">
        <w:rPr>
          <w:sz w:val="22"/>
          <w:szCs w:val="22"/>
          <w:lang w:val="sr-Latn-CS"/>
        </w:rPr>
        <w:t xml:space="preserve"> </w:t>
      </w:r>
      <w:proofErr w:type="spellStart"/>
      <w:r w:rsidRPr="00EE2F19">
        <w:rPr>
          <w:sz w:val="22"/>
          <w:szCs w:val="22"/>
        </w:rPr>
        <w:t>razlike</w:t>
      </w:r>
      <w:proofErr w:type="spellEnd"/>
      <w:r w:rsidRPr="000F6B37">
        <w:rPr>
          <w:sz w:val="22"/>
          <w:szCs w:val="22"/>
          <w:lang w:val="sr-Latn-CS"/>
        </w:rPr>
        <w:t xml:space="preserve"> </w:t>
      </w:r>
      <w:proofErr w:type="spellStart"/>
      <w:r w:rsidRPr="00EE2F19">
        <w:rPr>
          <w:sz w:val="22"/>
          <w:szCs w:val="22"/>
        </w:rPr>
        <w:t>izme</w:t>
      </w:r>
      <w:proofErr w:type="spellEnd"/>
      <w:r w:rsidRPr="000F6B37">
        <w:rPr>
          <w:sz w:val="22"/>
          <w:szCs w:val="22"/>
          <w:lang w:val="sr-Latn-CS"/>
        </w:rPr>
        <w:t>đ</w:t>
      </w:r>
      <w:r w:rsidRPr="00EE2F19">
        <w:rPr>
          <w:sz w:val="22"/>
          <w:szCs w:val="22"/>
        </w:rPr>
        <w:t>u</w:t>
      </w:r>
      <w:r w:rsidRPr="000F6B37">
        <w:rPr>
          <w:sz w:val="22"/>
          <w:szCs w:val="22"/>
          <w:lang w:val="sr-Latn-CS"/>
        </w:rPr>
        <w:t xml:space="preserve"> </w:t>
      </w:r>
      <w:r w:rsidRPr="00EE2F19">
        <w:rPr>
          <w:sz w:val="22"/>
          <w:szCs w:val="22"/>
        </w:rPr>
        <w:t>insulin</w:t>
      </w:r>
      <w:r w:rsidRPr="000F6B37">
        <w:rPr>
          <w:sz w:val="22"/>
          <w:szCs w:val="22"/>
          <w:lang w:val="sr-Latn-CS"/>
        </w:rPr>
        <w:t xml:space="preserve"> </w:t>
      </w:r>
      <w:proofErr w:type="spellStart"/>
      <w:r w:rsidRPr="00EE2F19">
        <w:rPr>
          <w:sz w:val="22"/>
          <w:szCs w:val="22"/>
        </w:rPr>
        <w:t>asparta</w:t>
      </w:r>
      <w:proofErr w:type="spellEnd"/>
      <w:r w:rsidRPr="000F6B37">
        <w:rPr>
          <w:sz w:val="22"/>
          <w:szCs w:val="22"/>
          <w:lang w:val="sr-Latn-CS"/>
        </w:rPr>
        <w:t xml:space="preserve"> </w:t>
      </w:r>
      <w:r w:rsidRPr="00EE2F19">
        <w:rPr>
          <w:sz w:val="22"/>
          <w:szCs w:val="22"/>
        </w:rPr>
        <w:t>i</w:t>
      </w:r>
      <w:r w:rsidRPr="000F6B37">
        <w:rPr>
          <w:sz w:val="22"/>
          <w:szCs w:val="22"/>
          <w:lang w:val="sr-Latn-CS"/>
        </w:rPr>
        <w:t xml:space="preserve"> </w:t>
      </w:r>
      <w:proofErr w:type="spellStart"/>
      <w:r w:rsidRPr="00EE2F19">
        <w:rPr>
          <w:sz w:val="22"/>
          <w:szCs w:val="22"/>
        </w:rPr>
        <w:t>humanog</w:t>
      </w:r>
      <w:proofErr w:type="spellEnd"/>
      <w:r w:rsidRPr="000F6B37">
        <w:rPr>
          <w:sz w:val="22"/>
          <w:szCs w:val="22"/>
          <w:lang w:val="sr-Latn-CS"/>
        </w:rPr>
        <w:t xml:space="preserve"> </w:t>
      </w:r>
      <w:proofErr w:type="spellStart"/>
      <w:r w:rsidRPr="00EE2F19">
        <w:rPr>
          <w:sz w:val="22"/>
          <w:szCs w:val="22"/>
        </w:rPr>
        <w:t>insulina</w:t>
      </w:r>
      <w:proofErr w:type="spellEnd"/>
      <w:r w:rsidRPr="000F6B37">
        <w:rPr>
          <w:sz w:val="22"/>
          <w:szCs w:val="22"/>
          <w:lang w:val="sr-Latn-CS"/>
        </w:rPr>
        <w:t xml:space="preserve"> </w:t>
      </w:r>
      <w:proofErr w:type="spellStart"/>
      <w:r w:rsidRPr="00EE2F19">
        <w:rPr>
          <w:sz w:val="22"/>
          <w:szCs w:val="22"/>
        </w:rPr>
        <w:t>vezano</w:t>
      </w:r>
      <w:proofErr w:type="spellEnd"/>
      <w:r w:rsidRPr="000F6B37">
        <w:rPr>
          <w:sz w:val="22"/>
          <w:szCs w:val="22"/>
          <w:lang w:val="sr-Latn-CS"/>
        </w:rPr>
        <w:t xml:space="preserve"> </w:t>
      </w:r>
      <w:r w:rsidRPr="00EE2F19">
        <w:rPr>
          <w:sz w:val="22"/>
          <w:szCs w:val="22"/>
        </w:rPr>
        <w:t>za</w:t>
      </w:r>
      <w:r w:rsidRPr="000F6B37">
        <w:rPr>
          <w:sz w:val="22"/>
          <w:szCs w:val="22"/>
          <w:lang w:val="sr-Latn-CS"/>
        </w:rPr>
        <w:t xml:space="preserve"> </w:t>
      </w:r>
      <w:proofErr w:type="spellStart"/>
      <w:r w:rsidRPr="00EE2F19">
        <w:rPr>
          <w:sz w:val="22"/>
          <w:szCs w:val="22"/>
        </w:rPr>
        <w:t>plodnost</w:t>
      </w:r>
      <w:proofErr w:type="spellEnd"/>
      <w:r w:rsidRPr="000F6B37">
        <w:rPr>
          <w:sz w:val="22"/>
          <w:szCs w:val="22"/>
          <w:lang w:val="sr-Latn-CS"/>
        </w:rPr>
        <w:t>.</w:t>
      </w:r>
    </w:p>
    <w:p w14:paraId="299677FA" w14:textId="77777777" w:rsidR="00A0323D" w:rsidRPr="000F6B37" w:rsidRDefault="00A0323D" w:rsidP="000F6B37">
      <w:pPr>
        <w:tabs>
          <w:tab w:val="left" w:pos="540"/>
          <w:tab w:val="left" w:pos="569"/>
        </w:tabs>
        <w:ind w:left="540" w:hanging="540"/>
        <w:jc w:val="both"/>
        <w:rPr>
          <w:sz w:val="22"/>
          <w:szCs w:val="22"/>
          <w:lang w:val="sr-Latn-CS"/>
        </w:rPr>
      </w:pPr>
    </w:p>
    <w:p w14:paraId="0C856F7D" w14:textId="77777777" w:rsidR="0072020E" w:rsidRPr="000F6B37" w:rsidRDefault="0072020E" w:rsidP="000F6B37">
      <w:pPr>
        <w:tabs>
          <w:tab w:val="left" w:pos="540"/>
          <w:tab w:val="left" w:pos="569"/>
        </w:tabs>
        <w:ind w:left="540" w:hanging="540"/>
        <w:jc w:val="both"/>
        <w:rPr>
          <w:b/>
          <w:bCs/>
          <w:sz w:val="22"/>
          <w:szCs w:val="22"/>
          <w:lang w:val="sr-Latn-CS"/>
        </w:rPr>
      </w:pPr>
      <w:r w:rsidRPr="000F6B37">
        <w:rPr>
          <w:b/>
          <w:bCs/>
          <w:sz w:val="22"/>
          <w:szCs w:val="22"/>
          <w:lang w:val="sr-Latn-CS"/>
        </w:rPr>
        <w:t xml:space="preserve">4.7. </w:t>
      </w:r>
      <w:r w:rsidR="00480FB1" w:rsidRPr="000F6B37">
        <w:rPr>
          <w:b/>
          <w:bCs/>
          <w:sz w:val="22"/>
          <w:szCs w:val="22"/>
          <w:lang w:val="sr-Latn-CS"/>
        </w:rPr>
        <w:tab/>
      </w:r>
      <w:proofErr w:type="spellStart"/>
      <w:r w:rsidRPr="00786071">
        <w:rPr>
          <w:b/>
          <w:bCs/>
          <w:sz w:val="22"/>
          <w:szCs w:val="22"/>
        </w:rPr>
        <w:t>Uticaj</w:t>
      </w:r>
      <w:proofErr w:type="spellEnd"/>
      <w:r w:rsidRPr="000F6B37">
        <w:rPr>
          <w:b/>
          <w:bCs/>
          <w:sz w:val="22"/>
          <w:szCs w:val="22"/>
          <w:lang w:val="sr-Latn-CS"/>
        </w:rPr>
        <w:t xml:space="preserve"> </w:t>
      </w:r>
      <w:proofErr w:type="spellStart"/>
      <w:r w:rsidRPr="00786071">
        <w:rPr>
          <w:b/>
          <w:bCs/>
          <w:sz w:val="22"/>
          <w:szCs w:val="22"/>
        </w:rPr>
        <w:t>na</w:t>
      </w:r>
      <w:proofErr w:type="spellEnd"/>
      <w:r w:rsidRPr="000F6B37">
        <w:rPr>
          <w:b/>
          <w:bCs/>
          <w:sz w:val="22"/>
          <w:szCs w:val="22"/>
          <w:lang w:val="sr-Latn-CS"/>
        </w:rPr>
        <w:t xml:space="preserve"> </w:t>
      </w:r>
      <w:proofErr w:type="spellStart"/>
      <w:r w:rsidR="002031B3">
        <w:rPr>
          <w:b/>
          <w:bCs/>
          <w:sz w:val="22"/>
          <w:szCs w:val="22"/>
        </w:rPr>
        <w:t>sposobnost</w:t>
      </w:r>
      <w:proofErr w:type="spellEnd"/>
      <w:r w:rsidR="002031B3" w:rsidRPr="000F6B37">
        <w:rPr>
          <w:b/>
          <w:bCs/>
          <w:sz w:val="22"/>
          <w:szCs w:val="22"/>
          <w:lang w:val="sr-Latn-CS"/>
        </w:rPr>
        <w:t xml:space="preserve"> </w:t>
      </w:r>
      <w:proofErr w:type="spellStart"/>
      <w:r w:rsidR="00F34554" w:rsidRPr="00786071">
        <w:rPr>
          <w:b/>
          <w:bCs/>
          <w:sz w:val="22"/>
          <w:szCs w:val="22"/>
        </w:rPr>
        <w:t>upravljanja</w:t>
      </w:r>
      <w:proofErr w:type="spellEnd"/>
      <w:r w:rsidR="00F34554" w:rsidRPr="000F6B37">
        <w:rPr>
          <w:b/>
          <w:bCs/>
          <w:sz w:val="22"/>
          <w:szCs w:val="22"/>
          <w:lang w:val="sr-Latn-CS"/>
        </w:rPr>
        <w:t xml:space="preserve"> </w:t>
      </w:r>
      <w:proofErr w:type="spellStart"/>
      <w:r w:rsidR="00F34554" w:rsidRPr="00786071">
        <w:rPr>
          <w:b/>
          <w:bCs/>
          <w:sz w:val="22"/>
          <w:szCs w:val="22"/>
        </w:rPr>
        <w:t>vozili</w:t>
      </w:r>
      <w:r w:rsidRPr="00786071">
        <w:rPr>
          <w:b/>
          <w:bCs/>
          <w:sz w:val="22"/>
          <w:szCs w:val="22"/>
        </w:rPr>
        <w:t>m</w:t>
      </w:r>
      <w:r w:rsidR="00F34554" w:rsidRPr="00786071">
        <w:rPr>
          <w:b/>
          <w:bCs/>
          <w:sz w:val="22"/>
          <w:szCs w:val="22"/>
        </w:rPr>
        <w:t>a</w:t>
      </w:r>
      <w:proofErr w:type="spellEnd"/>
      <w:r w:rsidRPr="000F6B37">
        <w:rPr>
          <w:b/>
          <w:bCs/>
          <w:sz w:val="22"/>
          <w:szCs w:val="22"/>
          <w:lang w:val="sr-Latn-CS"/>
        </w:rPr>
        <w:t xml:space="preserve"> </w:t>
      </w:r>
      <w:r w:rsidRPr="00786071">
        <w:rPr>
          <w:b/>
          <w:bCs/>
          <w:sz w:val="22"/>
          <w:szCs w:val="22"/>
        </w:rPr>
        <w:t>i</w:t>
      </w:r>
      <w:r w:rsidRPr="000F6B37">
        <w:rPr>
          <w:b/>
          <w:bCs/>
          <w:sz w:val="22"/>
          <w:szCs w:val="22"/>
          <w:lang w:val="sr-Latn-CS"/>
        </w:rPr>
        <w:t xml:space="preserve"> </w:t>
      </w:r>
      <w:proofErr w:type="spellStart"/>
      <w:r w:rsidR="000D3449" w:rsidRPr="00786071">
        <w:rPr>
          <w:b/>
          <w:bCs/>
          <w:sz w:val="22"/>
          <w:szCs w:val="22"/>
        </w:rPr>
        <w:t>rukovanj</w:t>
      </w:r>
      <w:r w:rsidR="000D3449">
        <w:rPr>
          <w:b/>
          <w:bCs/>
          <w:sz w:val="22"/>
          <w:szCs w:val="22"/>
        </w:rPr>
        <w:t>e</w:t>
      </w:r>
      <w:proofErr w:type="spellEnd"/>
      <w:r w:rsidR="000D3449" w:rsidRPr="000F6B37">
        <w:rPr>
          <w:b/>
          <w:bCs/>
          <w:sz w:val="22"/>
          <w:szCs w:val="22"/>
          <w:lang w:val="sr-Latn-CS"/>
        </w:rPr>
        <w:t xml:space="preserve"> </w:t>
      </w:r>
      <w:r w:rsidRPr="00786071">
        <w:rPr>
          <w:b/>
          <w:bCs/>
          <w:sz w:val="22"/>
          <w:szCs w:val="22"/>
        </w:rPr>
        <w:t>ma</w:t>
      </w:r>
      <w:r w:rsidRPr="000F6B37">
        <w:rPr>
          <w:b/>
          <w:bCs/>
          <w:sz w:val="22"/>
          <w:szCs w:val="22"/>
          <w:lang w:val="sr-Latn-CS"/>
        </w:rPr>
        <w:t>š</w:t>
      </w:r>
      <w:proofErr w:type="spellStart"/>
      <w:r w:rsidRPr="00786071">
        <w:rPr>
          <w:b/>
          <w:bCs/>
          <w:sz w:val="22"/>
          <w:szCs w:val="22"/>
        </w:rPr>
        <w:t>inama</w:t>
      </w:r>
      <w:proofErr w:type="spellEnd"/>
    </w:p>
    <w:p w14:paraId="7612D4B1" w14:textId="77777777" w:rsidR="0072020E" w:rsidRPr="000F6B37" w:rsidRDefault="0072020E" w:rsidP="000F6B37">
      <w:pPr>
        <w:tabs>
          <w:tab w:val="left" w:pos="540"/>
          <w:tab w:val="left" w:pos="569"/>
        </w:tabs>
        <w:jc w:val="both"/>
        <w:rPr>
          <w:sz w:val="22"/>
          <w:szCs w:val="22"/>
          <w:lang w:val="sr-Latn-CS"/>
        </w:rPr>
      </w:pPr>
    </w:p>
    <w:p w14:paraId="4B7672AD" w14:textId="77777777" w:rsidR="00EE2F19" w:rsidRPr="000F6B37" w:rsidRDefault="00EE2F19" w:rsidP="00981470">
      <w:pPr>
        <w:tabs>
          <w:tab w:val="left" w:pos="284"/>
        </w:tabs>
        <w:jc w:val="both"/>
        <w:rPr>
          <w:sz w:val="22"/>
          <w:szCs w:val="22"/>
          <w:lang w:val="sr-Latn-CS"/>
        </w:rPr>
      </w:pPr>
      <w:proofErr w:type="spellStart"/>
      <w:r w:rsidRPr="00EE2F19">
        <w:rPr>
          <w:sz w:val="22"/>
          <w:szCs w:val="22"/>
        </w:rPr>
        <w:t>Sposobnost</w:t>
      </w:r>
      <w:proofErr w:type="spellEnd"/>
      <w:r w:rsidRPr="000F6B37">
        <w:rPr>
          <w:sz w:val="22"/>
          <w:szCs w:val="22"/>
          <w:lang w:val="sr-Latn-CS"/>
        </w:rPr>
        <w:t xml:space="preserve"> </w:t>
      </w:r>
      <w:proofErr w:type="spellStart"/>
      <w:r w:rsidRPr="00EE2F19">
        <w:rPr>
          <w:sz w:val="22"/>
          <w:szCs w:val="22"/>
        </w:rPr>
        <w:t>koncentracije</w:t>
      </w:r>
      <w:proofErr w:type="spellEnd"/>
      <w:r w:rsidRPr="000F6B37">
        <w:rPr>
          <w:sz w:val="22"/>
          <w:szCs w:val="22"/>
          <w:lang w:val="sr-Latn-CS"/>
        </w:rPr>
        <w:t xml:space="preserve"> </w:t>
      </w:r>
      <w:r w:rsidRPr="00EE2F19">
        <w:rPr>
          <w:sz w:val="22"/>
          <w:szCs w:val="22"/>
        </w:rPr>
        <w:t>i</w:t>
      </w:r>
      <w:r w:rsidRPr="000F6B37">
        <w:rPr>
          <w:sz w:val="22"/>
          <w:szCs w:val="22"/>
          <w:lang w:val="sr-Latn-CS"/>
        </w:rPr>
        <w:t xml:space="preserve"> </w:t>
      </w:r>
      <w:proofErr w:type="spellStart"/>
      <w:r w:rsidRPr="00EE2F19">
        <w:rPr>
          <w:sz w:val="22"/>
          <w:szCs w:val="22"/>
        </w:rPr>
        <w:t>reagovanja</w:t>
      </w:r>
      <w:proofErr w:type="spellEnd"/>
      <w:r w:rsidRPr="000F6B37">
        <w:rPr>
          <w:sz w:val="22"/>
          <w:szCs w:val="22"/>
          <w:lang w:val="sr-Latn-CS"/>
        </w:rPr>
        <w:t xml:space="preserve"> </w:t>
      </w:r>
      <w:proofErr w:type="spellStart"/>
      <w:r w:rsidRPr="00EE2F19">
        <w:rPr>
          <w:sz w:val="22"/>
          <w:szCs w:val="22"/>
        </w:rPr>
        <w:t>pacijenta</w:t>
      </w:r>
      <w:proofErr w:type="spellEnd"/>
      <w:r w:rsidRPr="000F6B37">
        <w:rPr>
          <w:sz w:val="22"/>
          <w:szCs w:val="22"/>
          <w:lang w:val="sr-Latn-CS"/>
        </w:rPr>
        <w:t xml:space="preserve"> </w:t>
      </w:r>
      <w:proofErr w:type="spellStart"/>
      <w:r w:rsidRPr="00EE2F19">
        <w:rPr>
          <w:sz w:val="22"/>
          <w:szCs w:val="22"/>
        </w:rPr>
        <w:t>mo</w:t>
      </w:r>
      <w:proofErr w:type="spellEnd"/>
      <w:r w:rsidRPr="000F6B37">
        <w:rPr>
          <w:sz w:val="22"/>
          <w:szCs w:val="22"/>
          <w:lang w:val="sr-Latn-CS"/>
        </w:rPr>
        <w:t>ž</w:t>
      </w:r>
      <w:r w:rsidRPr="00EE2F19">
        <w:rPr>
          <w:sz w:val="22"/>
          <w:szCs w:val="22"/>
        </w:rPr>
        <w:t>e</w:t>
      </w:r>
      <w:r w:rsidRPr="000F6B37">
        <w:rPr>
          <w:sz w:val="22"/>
          <w:szCs w:val="22"/>
          <w:lang w:val="sr-Latn-CS"/>
        </w:rPr>
        <w:t xml:space="preserve"> </w:t>
      </w:r>
      <w:proofErr w:type="spellStart"/>
      <w:r w:rsidRPr="00EE2F19">
        <w:rPr>
          <w:sz w:val="22"/>
          <w:szCs w:val="22"/>
        </w:rPr>
        <w:t>biti</w:t>
      </w:r>
      <w:proofErr w:type="spellEnd"/>
      <w:r w:rsidRPr="000F6B37">
        <w:rPr>
          <w:sz w:val="22"/>
          <w:szCs w:val="22"/>
          <w:lang w:val="sr-Latn-CS"/>
        </w:rPr>
        <w:t xml:space="preserve"> </w:t>
      </w:r>
      <w:proofErr w:type="spellStart"/>
      <w:r w:rsidRPr="00EE2F19">
        <w:rPr>
          <w:sz w:val="22"/>
          <w:szCs w:val="22"/>
        </w:rPr>
        <w:t>smanjena</w:t>
      </w:r>
      <w:proofErr w:type="spellEnd"/>
      <w:r w:rsidRPr="000F6B37">
        <w:rPr>
          <w:sz w:val="22"/>
          <w:szCs w:val="22"/>
          <w:lang w:val="sr-Latn-CS"/>
        </w:rPr>
        <w:t xml:space="preserve"> </w:t>
      </w:r>
      <w:proofErr w:type="spellStart"/>
      <w:r w:rsidRPr="00EE2F19">
        <w:rPr>
          <w:sz w:val="22"/>
          <w:szCs w:val="22"/>
        </w:rPr>
        <w:t>kao</w:t>
      </w:r>
      <w:proofErr w:type="spellEnd"/>
      <w:r w:rsidRPr="000F6B37">
        <w:rPr>
          <w:sz w:val="22"/>
          <w:szCs w:val="22"/>
          <w:lang w:val="sr-Latn-CS"/>
        </w:rPr>
        <w:t xml:space="preserve"> </w:t>
      </w:r>
      <w:proofErr w:type="spellStart"/>
      <w:r w:rsidRPr="00EE2F19">
        <w:rPr>
          <w:sz w:val="22"/>
          <w:szCs w:val="22"/>
        </w:rPr>
        <w:t>posljedica</w:t>
      </w:r>
      <w:proofErr w:type="spellEnd"/>
      <w:r w:rsidRPr="000F6B37">
        <w:rPr>
          <w:sz w:val="22"/>
          <w:szCs w:val="22"/>
          <w:lang w:val="sr-Latn-CS"/>
        </w:rPr>
        <w:t xml:space="preserve"> </w:t>
      </w:r>
      <w:proofErr w:type="spellStart"/>
      <w:r w:rsidRPr="00EE2F19">
        <w:rPr>
          <w:sz w:val="22"/>
          <w:szCs w:val="22"/>
        </w:rPr>
        <w:t>hipoglikemije</w:t>
      </w:r>
      <w:proofErr w:type="spellEnd"/>
      <w:r w:rsidRPr="000F6B37">
        <w:rPr>
          <w:sz w:val="22"/>
          <w:szCs w:val="22"/>
          <w:lang w:val="sr-Latn-CS"/>
        </w:rPr>
        <w:t xml:space="preserve">. </w:t>
      </w:r>
      <w:r w:rsidRPr="00EE2F19">
        <w:rPr>
          <w:sz w:val="22"/>
          <w:szCs w:val="22"/>
        </w:rPr>
        <w:t>Ovo</w:t>
      </w:r>
      <w:r w:rsidRPr="000F6B37">
        <w:rPr>
          <w:sz w:val="22"/>
          <w:szCs w:val="22"/>
          <w:lang w:val="sr-Latn-CS"/>
        </w:rPr>
        <w:t xml:space="preserve"> </w:t>
      </w:r>
      <w:proofErr w:type="spellStart"/>
      <w:r w:rsidRPr="00EE2F19">
        <w:rPr>
          <w:sz w:val="22"/>
          <w:szCs w:val="22"/>
        </w:rPr>
        <w:t>mo</w:t>
      </w:r>
      <w:proofErr w:type="spellEnd"/>
      <w:r w:rsidRPr="000F6B37">
        <w:rPr>
          <w:sz w:val="22"/>
          <w:szCs w:val="22"/>
          <w:lang w:val="sr-Latn-CS"/>
        </w:rPr>
        <w:t>ž</w:t>
      </w:r>
      <w:r w:rsidRPr="00EE2F19">
        <w:rPr>
          <w:sz w:val="22"/>
          <w:szCs w:val="22"/>
        </w:rPr>
        <w:t>e</w:t>
      </w:r>
      <w:r w:rsidRPr="000F6B37">
        <w:rPr>
          <w:sz w:val="22"/>
          <w:szCs w:val="22"/>
          <w:lang w:val="sr-Latn-CS"/>
        </w:rPr>
        <w:t xml:space="preserve"> </w:t>
      </w:r>
      <w:proofErr w:type="spellStart"/>
      <w:r w:rsidRPr="00EE2F19">
        <w:rPr>
          <w:sz w:val="22"/>
          <w:szCs w:val="22"/>
        </w:rPr>
        <w:t>predstavljati</w:t>
      </w:r>
      <w:proofErr w:type="spellEnd"/>
      <w:r w:rsidRPr="000F6B37">
        <w:rPr>
          <w:sz w:val="22"/>
          <w:szCs w:val="22"/>
          <w:lang w:val="sr-Latn-CS"/>
        </w:rPr>
        <w:t xml:space="preserve"> </w:t>
      </w:r>
      <w:proofErr w:type="spellStart"/>
      <w:r w:rsidRPr="00EE2F19">
        <w:rPr>
          <w:sz w:val="22"/>
          <w:szCs w:val="22"/>
        </w:rPr>
        <w:t>rizik</w:t>
      </w:r>
      <w:proofErr w:type="spellEnd"/>
      <w:r w:rsidRPr="000F6B37">
        <w:rPr>
          <w:sz w:val="22"/>
          <w:szCs w:val="22"/>
          <w:lang w:val="sr-Latn-CS"/>
        </w:rPr>
        <w:t xml:space="preserve"> </w:t>
      </w:r>
      <w:r w:rsidRPr="00EE2F19">
        <w:rPr>
          <w:sz w:val="22"/>
          <w:szCs w:val="22"/>
        </w:rPr>
        <w:t>u</w:t>
      </w:r>
      <w:r w:rsidRPr="000F6B37">
        <w:rPr>
          <w:sz w:val="22"/>
          <w:szCs w:val="22"/>
          <w:lang w:val="sr-Latn-CS"/>
        </w:rPr>
        <w:t xml:space="preserve"> </w:t>
      </w:r>
      <w:proofErr w:type="spellStart"/>
      <w:r w:rsidRPr="00EE2F19">
        <w:rPr>
          <w:sz w:val="22"/>
          <w:szCs w:val="22"/>
        </w:rPr>
        <w:t>situacijama</w:t>
      </w:r>
      <w:proofErr w:type="spellEnd"/>
      <w:r w:rsidRPr="000F6B37">
        <w:rPr>
          <w:sz w:val="22"/>
          <w:szCs w:val="22"/>
          <w:lang w:val="sr-Latn-CS"/>
        </w:rPr>
        <w:t xml:space="preserve"> </w:t>
      </w:r>
      <w:r w:rsidRPr="00EE2F19">
        <w:rPr>
          <w:sz w:val="22"/>
          <w:szCs w:val="22"/>
        </w:rPr>
        <w:t>u</w:t>
      </w:r>
      <w:r w:rsidRPr="000F6B37">
        <w:rPr>
          <w:sz w:val="22"/>
          <w:szCs w:val="22"/>
          <w:lang w:val="sr-Latn-CS"/>
        </w:rPr>
        <w:t xml:space="preserve"> </w:t>
      </w:r>
      <w:proofErr w:type="spellStart"/>
      <w:r w:rsidRPr="00EE2F19">
        <w:rPr>
          <w:sz w:val="22"/>
          <w:szCs w:val="22"/>
        </w:rPr>
        <w:t>kojima</w:t>
      </w:r>
      <w:proofErr w:type="spellEnd"/>
      <w:r w:rsidRPr="000F6B37">
        <w:rPr>
          <w:sz w:val="22"/>
          <w:szCs w:val="22"/>
          <w:lang w:val="sr-Latn-CS"/>
        </w:rPr>
        <w:t xml:space="preserve"> </w:t>
      </w:r>
      <w:proofErr w:type="spellStart"/>
      <w:r w:rsidRPr="00EE2F19">
        <w:rPr>
          <w:sz w:val="22"/>
          <w:szCs w:val="22"/>
        </w:rPr>
        <w:t>su</w:t>
      </w:r>
      <w:proofErr w:type="spellEnd"/>
      <w:r w:rsidRPr="000F6B37">
        <w:rPr>
          <w:sz w:val="22"/>
          <w:szCs w:val="22"/>
          <w:lang w:val="sr-Latn-CS"/>
        </w:rPr>
        <w:t xml:space="preserve"> </w:t>
      </w:r>
      <w:proofErr w:type="spellStart"/>
      <w:r w:rsidRPr="00EE2F19">
        <w:rPr>
          <w:sz w:val="22"/>
          <w:szCs w:val="22"/>
        </w:rPr>
        <w:t>takve</w:t>
      </w:r>
      <w:proofErr w:type="spellEnd"/>
      <w:r w:rsidRPr="000F6B37">
        <w:rPr>
          <w:sz w:val="22"/>
          <w:szCs w:val="22"/>
          <w:lang w:val="sr-Latn-CS"/>
        </w:rPr>
        <w:t xml:space="preserve"> </w:t>
      </w:r>
      <w:proofErr w:type="spellStart"/>
      <w:r w:rsidRPr="00EE2F19">
        <w:rPr>
          <w:sz w:val="22"/>
          <w:szCs w:val="22"/>
        </w:rPr>
        <w:t>sposobnosti</w:t>
      </w:r>
      <w:proofErr w:type="spellEnd"/>
      <w:r w:rsidRPr="000F6B37">
        <w:rPr>
          <w:sz w:val="22"/>
          <w:szCs w:val="22"/>
          <w:lang w:val="sr-Latn-CS"/>
        </w:rPr>
        <w:t xml:space="preserve"> </w:t>
      </w:r>
      <w:proofErr w:type="spellStart"/>
      <w:r w:rsidRPr="00EE2F19">
        <w:rPr>
          <w:sz w:val="22"/>
          <w:szCs w:val="22"/>
        </w:rPr>
        <w:t>od</w:t>
      </w:r>
      <w:proofErr w:type="spellEnd"/>
      <w:r w:rsidRPr="000F6B37">
        <w:rPr>
          <w:sz w:val="22"/>
          <w:szCs w:val="22"/>
          <w:lang w:val="sr-Latn-CS"/>
        </w:rPr>
        <w:t xml:space="preserve"> </w:t>
      </w:r>
      <w:proofErr w:type="spellStart"/>
      <w:r w:rsidRPr="00EE2F19">
        <w:rPr>
          <w:sz w:val="22"/>
          <w:szCs w:val="22"/>
        </w:rPr>
        <w:t>posebnog</w:t>
      </w:r>
      <w:proofErr w:type="spellEnd"/>
      <w:r w:rsidRPr="000F6B37">
        <w:rPr>
          <w:sz w:val="22"/>
          <w:szCs w:val="22"/>
          <w:lang w:val="sr-Latn-CS"/>
        </w:rPr>
        <w:t xml:space="preserve"> </w:t>
      </w:r>
      <w:proofErr w:type="spellStart"/>
      <w:r w:rsidRPr="00EE2F19">
        <w:rPr>
          <w:sz w:val="22"/>
          <w:szCs w:val="22"/>
        </w:rPr>
        <w:t>zna</w:t>
      </w:r>
      <w:proofErr w:type="spellEnd"/>
      <w:r w:rsidRPr="000F6B37">
        <w:rPr>
          <w:sz w:val="22"/>
          <w:szCs w:val="22"/>
          <w:lang w:val="sr-Latn-CS"/>
        </w:rPr>
        <w:t>č</w:t>
      </w:r>
      <w:proofErr w:type="spellStart"/>
      <w:r w:rsidRPr="00EE2F19">
        <w:rPr>
          <w:sz w:val="22"/>
          <w:szCs w:val="22"/>
        </w:rPr>
        <w:t>aja</w:t>
      </w:r>
      <w:proofErr w:type="spellEnd"/>
      <w:r w:rsidRPr="000F6B37">
        <w:rPr>
          <w:sz w:val="22"/>
          <w:szCs w:val="22"/>
          <w:lang w:val="sr-Latn-CS"/>
        </w:rPr>
        <w:t xml:space="preserve"> (</w:t>
      </w:r>
      <w:proofErr w:type="spellStart"/>
      <w:r w:rsidRPr="00EE2F19">
        <w:rPr>
          <w:sz w:val="22"/>
          <w:szCs w:val="22"/>
        </w:rPr>
        <w:t>npr</w:t>
      </w:r>
      <w:proofErr w:type="spellEnd"/>
      <w:r w:rsidR="004458EA" w:rsidRPr="000F6B37">
        <w:rPr>
          <w:sz w:val="22"/>
          <w:szCs w:val="22"/>
          <w:lang w:val="sr-Latn-CS"/>
        </w:rPr>
        <w:t>.</w:t>
      </w:r>
      <w:r w:rsidRPr="000F6B37">
        <w:rPr>
          <w:sz w:val="22"/>
          <w:szCs w:val="22"/>
          <w:lang w:val="sr-Latn-CS"/>
        </w:rPr>
        <w:t xml:space="preserve">, </w:t>
      </w:r>
      <w:proofErr w:type="spellStart"/>
      <w:r w:rsidRPr="00EE2F19">
        <w:rPr>
          <w:sz w:val="22"/>
          <w:szCs w:val="22"/>
        </w:rPr>
        <w:t>prilikom</w:t>
      </w:r>
      <w:proofErr w:type="spellEnd"/>
      <w:r w:rsidRPr="000F6B37">
        <w:rPr>
          <w:sz w:val="22"/>
          <w:szCs w:val="22"/>
          <w:lang w:val="sr-Latn-CS"/>
        </w:rPr>
        <w:t xml:space="preserve"> </w:t>
      </w:r>
      <w:proofErr w:type="spellStart"/>
      <w:r w:rsidRPr="00EE2F19">
        <w:rPr>
          <w:sz w:val="22"/>
          <w:szCs w:val="22"/>
        </w:rPr>
        <w:t>upravljanja</w:t>
      </w:r>
      <w:proofErr w:type="spellEnd"/>
      <w:r w:rsidRPr="000F6B37">
        <w:rPr>
          <w:sz w:val="22"/>
          <w:szCs w:val="22"/>
          <w:lang w:val="sr-Latn-CS"/>
        </w:rPr>
        <w:t xml:space="preserve"> </w:t>
      </w:r>
      <w:proofErr w:type="spellStart"/>
      <w:r w:rsidRPr="00EE2F19">
        <w:rPr>
          <w:sz w:val="22"/>
          <w:szCs w:val="22"/>
        </w:rPr>
        <w:t>automobilom</w:t>
      </w:r>
      <w:proofErr w:type="spellEnd"/>
      <w:r w:rsidRPr="000F6B37">
        <w:rPr>
          <w:sz w:val="22"/>
          <w:szCs w:val="22"/>
          <w:lang w:val="sr-Latn-CS"/>
        </w:rPr>
        <w:t xml:space="preserve"> </w:t>
      </w:r>
      <w:proofErr w:type="spellStart"/>
      <w:r w:rsidRPr="00EE2F19">
        <w:rPr>
          <w:sz w:val="22"/>
          <w:szCs w:val="22"/>
        </w:rPr>
        <w:t>ili</w:t>
      </w:r>
      <w:proofErr w:type="spellEnd"/>
      <w:r w:rsidRPr="000F6B37">
        <w:rPr>
          <w:sz w:val="22"/>
          <w:szCs w:val="22"/>
          <w:lang w:val="sr-Latn-CS"/>
        </w:rPr>
        <w:t xml:space="preserve"> </w:t>
      </w:r>
      <w:proofErr w:type="spellStart"/>
      <w:r w:rsidRPr="00EE2F19">
        <w:rPr>
          <w:sz w:val="22"/>
          <w:szCs w:val="22"/>
        </w:rPr>
        <w:t>rukovanja</w:t>
      </w:r>
      <w:proofErr w:type="spellEnd"/>
      <w:r w:rsidRPr="000F6B37">
        <w:rPr>
          <w:sz w:val="22"/>
          <w:szCs w:val="22"/>
          <w:lang w:val="sr-Latn-CS"/>
        </w:rPr>
        <w:t xml:space="preserve"> </w:t>
      </w:r>
      <w:r w:rsidRPr="00EE2F19">
        <w:rPr>
          <w:sz w:val="22"/>
          <w:szCs w:val="22"/>
        </w:rPr>
        <w:t>ma</w:t>
      </w:r>
      <w:r w:rsidRPr="000F6B37">
        <w:rPr>
          <w:sz w:val="22"/>
          <w:szCs w:val="22"/>
          <w:lang w:val="sr-Latn-CS"/>
        </w:rPr>
        <w:t>š</w:t>
      </w:r>
      <w:proofErr w:type="spellStart"/>
      <w:r w:rsidRPr="00EE2F19">
        <w:rPr>
          <w:sz w:val="22"/>
          <w:szCs w:val="22"/>
        </w:rPr>
        <w:t>inama</w:t>
      </w:r>
      <w:proofErr w:type="spellEnd"/>
      <w:r w:rsidRPr="000F6B37">
        <w:rPr>
          <w:sz w:val="22"/>
          <w:szCs w:val="22"/>
          <w:lang w:val="sr-Latn-CS"/>
        </w:rPr>
        <w:t>).</w:t>
      </w:r>
    </w:p>
    <w:p w14:paraId="1A1A31BD" w14:textId="77777777" w:rsidR="00EE2F19" w:rsidRPr="000F6B37" w:rsidRDefault="00EE2F19" w:rsidP="00152247">
      <w:pPr>
        <w:tabs>
          <w:tab w:val="left" w:pos="284"/>
        </w:tabs>
        <w:jc w:val="both"/>
        <w:rPr>
          <w:sz w:val="22"/>
          <w:szCs w:val="22"/>
          <w:lang w:val="sr-Latn-CS"/>
        </w:rPr>
      </w:pPr>
    </w:p>
    <w:p w14:paraId="79F2DFCC" w14:textId="77777777" w:rsidR="00EE2F19" w:rsidRPr="000F6B37" w:rsidRDefault="00EE2F19" w:rsidP="00442BD2">
      <w:pPr>
        <w:tabs>
          <w:tab w:val="left" w:pos="284"/>
        </w:tabs>
        <w:jc w:val="both"/>
        <w:rPr>
          <w:sz w:val="22"/>
          <w:szCs w:val="22"/>
          <w:lang w:val="sr-Latn-CS"/>
        </w:rPr>
      </w:pPr>
      <w:proofErr w:type="spellStart"/>
      <w:r w:rsidRPr="00EE2F19">
        <w:rPr>
          <w:sz w:val="22"/>
          <w:szCs w:val="22"/>
        </w:rPr>
        <w:t>Pacijentima</w:t>
      </w:r>
      <w:proofErr w:type="spellEnd"/>
      <w:r w:rsidRPr="000F6B37">
        <w:rPr>
          <w:sz w:val="22"/>
          <w:szCs w:val="22"/>
          <w:lang w:val="sr-Latn-CS"/>
        </w:rPr>
        <w:t xml:space="preserve"> </w:t>
      </w:r>
      <w:proofErr w:type="spellStart"/>
      <w:r w:rsidRPr="00EE2F19">
        <w:rPr>
          <w:sz w:val="22"/>
          <w:szCs w:val="22"/>
        </w:rPr>
        <w:t>treba</w:t>
      </w:r>
      <w:proofErr w:type="spellEnd"/>
      <w:r w:rsidRPr="000F6B37">
        <w:rPr>
          <w:sz w:val="22"/>
          <w:szCs w:val="22"/>
          <w:lang w:val="sr-Latn-CS"/>
        </w:rPr>
        <w:t xml:space="preserve"> </w:t>
      </w:r>
      <w:proofErr w:type="spellStart"/>
      <w:r w:rsidRPr="00EE2F19">
        <w:rPr>
          <w:sz w:val="22"/>
          <w:szCs w:val="22"/>
        </w:rPr>
        <w:t>savjetovati</w:t>
      </w:r>
      <w:proofErr w:type="spellEnd"/>
      <w:r w:rsidRPr="000F6B37">
        <w:rPr>
          <w:sz w:val="22"/>
          <w:szCs w:val="22"/>
          <w:lang w:val="sr-Latn-CS"/>
        </w:rPr>
        <w:t xml:space="preserve"> </w:t>
      </w:r>
      <w:r w:rsidRPr="00EE2F19">
        <w:rPr>
          <w:sz w:val="22"/>
          <w:szCs w:val="22"/>
        </w:rPr>
        <w:t>da</w:t>
      </w:r>
      <w:r w:rsidRPr="000F6B37">
        <w:rPr>
          <w:sz w:val="22"/>
          <w:szCs w:val="22"/>
          <w:lang w:val="sr-Latn-CS"/>
        </w:rPr>
        <w:t xml:space="preserve"> </w:t>
      </w:r>
      <w:proofErr w:type="spellStart"/>
      <w:r w:rsidRPr="00EE2F19">
        <w:rPr>
          <w:sz w:val="22"/>
          <w:szCs w:val="22"/>
        </w:rPr>
        <w:t>preduzmu</w:t>
      </w:r>
      <w:proofErr w:type="spellEnd"/>
      <w:r w:rsidRPr="000F6B37">
        <w:rPr>
          <w:sz w:val="22"/>
          <w:szCs w:val="22"/>
          <w:lang w:val="sr-Latn-CS"/>
        </w:rPr>
        <w:t xml:space="preserve"> </w:t>
      </w:r>
      <w:proofErr w:type="spellStart"/>
      <w:r w:rsidRPr="00EE2F19">
        <w:rPr>
          <w:sz w:val="22"/>
          <w:szCs w:val="22"/>
        </w:rPr>
        <w:t>mjere</w:t>
      </w:r>
      <w:proofErr w:type="spellEnd"/>
      <w:r w:rsidRPr="000F6B37">
        <w:rPr>
          <w:sz w:val="22"/>
          <w:szCs w:val="22"/>
          <w:lang w:val="sr-Latn-CS"/>
        </w:rPr>
        <w:t xml:space="preserve"> </w:t>
      </w:r>
      <w:proofErr w:type="spellStart"/>
      <w:r w:rsidRPr="00EE2F19">
        <w:rPr>
          <w:sz w:val="22"/>
          <w:szCs w:val="22"/>
        </w:rPr>
        <w:t>opreza</w:t>
      </w:r>
      <w:proofErr w:type="spellEnd"/>
      <w:r w:rsidRPr="000F6B37">
        <w:rPr>
          <w:sz w:val="22"/>
          <w:szCs w:val="22"/>
          <w:lang w:val="sr-Latn-CS"/>
        </w:rPr>
        <w:t xml:space="preserve"> </w:t>
      </w:r>
      <w:proofErr w:type="spellStart"/>
      <w:r w:rsidRPr="00EE2F19">
        <w:rPr>
          <w:sz w:val="22"/>
          <w:szCs w:val="22"/>
        </w:rPr>
        <w:t>kako</w:t>
      </w:r>
      <w:proofErr w:type="spellEnd"/>
      <w:r w:rsidRPr="000F6B37">
        <w:rPr>
          <w:sz w:val="22"/>
          <w:szCs w:val="22"/>
          <w:lang w:val="sr-Latn-CS"/>
        </w:rPr>
        <w:t xml:space="preserve"> </w:t>
      </w:r>
      <w:r w:rsidRPr="00EE2F19">
        <w:rPr>
          <w:sz w:val="22"/>
          <w:szCs w:val="22"/>
        </w:rPr>
        <w:t>bi</w:t>
      </w:r>
      <w:r w:rsidRPr="000F6B37">
        <w:rPr>
          <w:sz w:val="22"/>
          <w:szCs w:val="22"/>
          <w:lang w:val="sr-Latn-CS"/>
        </w:rPr>
        <w:t xml:space="preserve"> </w:t>
      </w:r>
      <w:proofErr w:type="spellStart"/>
      <w:r w:rsidRPr="00EE2F19">
        <w:rPr>
          <w:sz w:val="22"/>
          <w:szCs w:val="22"/>
        </w:rPr>
        <w:t>izbjegli</w:t>
      </w:r>
      <w:proofErr w:type="spellEnd"/>
      <w:r w:rsidRPr="000F6B37">
        <w:rPr>
          <w:sz w:val="22"/>
          <w:szCs w:val="22"/>
          <w:lang w:val="sr-Latn-CS"/>
        </w:rPr>
        <w:t xml:space="preserve"> </w:t>
      </w:r>
      <w:proofErr w:type="spellStart"/>
      <w:r w:rsidRPr="00EE2F19">
        <w:rPr>
          <w:sz w:val="22"/>
          <w:szCs w:val="22"/>
        </w:rPr>
        <w:t>hipoglikemiju</w:t>
      </w:r>
      <w:proofErr w:type="spellEnd"/>
      <w:r w:rsidRPr="000F6B37">
        <w:rPr>
          <w:sz w:val="22"/>
          <w:szCs w:val="22"/>
          <w:lang w:val="sr-Latn-CS"/>
        </w:rPr>
        <w:t xml:space="preserve"> </w:t>
      </w:r>
      <w:proofErr w:type="spellStart"/>
      <w:r w:rsidRPr="00EE2F19">
        <w:rPr>
          <w:sz w:val="22"/>
          <w:szCs w:val="22"/>
        </w:rPr>
        <w:t>tokom</w:t>
      </w:r>
      <w:proofErr w:type="spellEnd"/>
      <w:r w:rsidRPr="000F6B37">
        <w:rPr>
          <w:sz w:val="22"/>
          <w:szCs w:val="22"/>
          <w:lang w:val="sr-Latn-CS"/>
        </w:rPr>
        <w:t xml:space="preserve"> </w:t>
      </w:r>
      <w:proofErr w:type="spellStart"/>
      <w:r w:rsidRPr="00EE2F19">
        <w:rPr>
          <w:sz w:val="22"/>
          <w:szCs w:val="22"/>
        </w:rPr>
        <w:t>vo</w:t>
      </w:r>
      <w:proofErr w:type="spellEnd"/>
      <w:r w:rsidRPr="000F6B37">
        <w:rPr>
          <w:sz w:val="22"/>
          <w:szCs w:val="22"/>
          <w:lang w:val="sr-Latn-CS"/>
        </w:rPr>
        <w:t>ž</w:t>
      </w:r>
      <w:proofErr w:type="spellStart"/>
      <w:r w:rsidRPr="00EE2F19">
        <w:rPr>
          <w:sz w:val="22"/>
          <w:szCs w:val="22"/>
        </w:rPr>
        <w:t>nje</w:t>
      </w:r>
      <w:proofErr w:type="spellEnd"/>
      <w:r w:rsidRPr="000F6B37">
        <w:rPr>
          <w:sz w:val="22"/>
          <w:szCs w:val="22"/>
          <w:lang w:val="sr-Latn-CS"/>
        </w:rPr>
        <w:t xml:space="preserve">. </w:t>
      </w:r>
      <w:r w:rsidRPr="00EE2F19">
        <w:rPr>
          <w:sz w:val="22"/>
          <w:szCs w:val="22"/>
        </w:rPr>
        <w:t>Ovo</w:t>
      </w:r>
      <w:r w:rsidRPr="000F6B37">
        <w:rPr>
          <w:sz w:val="22"/>
          <w:szCs w:val="22"/>
          <w:lang w:val="sr-Latn-CS"/>
        </w:rPr>
        <w:t xml:space="preserve"> </w:t>
      </w:r>
      <w:r w:rsidRPr="00EE2F19">
        <w:rPr>
          <w:sz w:val="22"/>
          <w:szCs w:val="22"/>
        </w:rPr>
        <w:t>je</w:t>
      </w:r>
      <w:r w:rsidRPr="000F6B37">
        <w:rPr>
          <w:sz w:val="22"/>
          <w:szCs w:val="22"/>
          <w:lang w:val="sr-Latn-CS"/>
        </w:rPr>
        <w:t xml:space="preserve"> </w:t>
      </w:r>
      <w:proofErr w:type="spellStart"/>
      <w:r w:rsidRPr="00EE2F19">
        <w:rPr>
          <w:sz w:val="22"/>
          <w:szCs w:val="22"/>
        </w:rPr>
        <w:t>naro</w:t>
      </w:r>
      <w:proofErr w:type="spellEnd"/>
      <w:r w:rsidRPr="000F6B37">
        <w:rPr>
          <w:sz w:val="22"/>
          <w:szCs w:val="22"/>
          <w:lang w:val="sr-Latn-CS"/>
        </w:rPr>
        <w:t>č</w:t>
      </w:r>
      <w:proofErr w:type="spellStart"/>
      <w:r w:rsidRPr="00EE2F19">
        <w:rPr>
          <w:sz w:val="22"/>
          <w:szCs w:val="22"/>
        </w:rPr>
        <w:t>ito</w:t>
      </w:r>
      <w:proofErr w:type="spellEnd"/>
      <w:r w:rsidRPr="000F6B37">
        <w:rPr>
          <w:sz w:val="22"/>
          <w:szCs w:val="22"/>
          <w:lang w:val="sr-Latn-CS"/>
        </w:rPr>
        <w:t xml:space="preserve"> </w:t>
      </w:r>
      <w:proofErr w:type="spellStart"/>
      <w:r w:rsidRPr="00EE2F19">
        <w:rPr>
          <w:sz w:val="22"/>
          <w:szCs w:val="22"/>
        </w:rPr>
        <w:t>va</w:t>
      </w:r>
      <w:proofErr w:type="spellEnd"/>
      <w:r w:rsidRPr="000F6B37">
        <w:rPr>
          <w:sz w:val="22"/>
          <w:szCs w:val="22"/>
          <w:lang w:val="sr-Latn-CS"/>
        </w:rPr>
        <w:t>ž</w:t>
      </w:r>
      <w:r w:rsidRPr="00EE2F19">
        <w:rPr>
          <w:sz w:val="22"/>
          <w:szCs w:val="22"/>
        </w:rPr>
        <w:t>no</w:t>
      </w:r>
      <w:r w:rsidRPr="000F6B37">
        <w:rPr>
          <w:sz w:val="22"/>
          <w:szCs w:val="22"/>
          <w:lang w:val="sr-Latn-CS"/>
        </w:rPr>
        <w:t xml:space="preserve"> </w:t>
      </w:r>
      <w:proofErr w:type="spellStart"/>
      <w:r w:rsidRPr="00EE2F19">
        <w:rPr>
          <w:sz w:val="22"/>
          <w:szCs w:val="22"/>
        </w:rPr>
        <w:t>kod</w:t>
      </w:r>
      <w:proofErr w:type="spellEnd"/>
      <w:r w:rsidRPr="000F6B37">
        <w:rPr>
          <w:sz w:val="22"/>
          <w:szCs w:val="22"/>
          <w:lang w:val="sr-Latn-CS"/>
        </w:rPr>
        <w:t xml:space="preserve"> </w:t>
      </w:r>
      <w:proofErr w:type="spellStart"/>
      <w:r w:rsidRPr="00EE2F19">
        <w:rPr>
          <w:sz w:val="22"/>
          <w:szCs w:val="22"/>
        </w:rPr>
        <w:t>pacijenata</w:t>
      </w:r>
      <w:proofErr w:type="spellEnd"/>
      <w:r w:rsidRPr="000F6B37">
        <w:rPr>
          <w:sz w:val="22"/>
          <w:szCs w:val="22"/>
          <w:lang w:val="sr-Latn-CS"/>
        </w:rPr>
        <w:t xml:space="preserve"> </w:t>
      </w:r>
      <w:proofErr w:type="spellStart"/>
      <w:r w:rsidRPr="00EE2F19">
        <w:rPr>
          <w:sz w:val="22"/>
          <w:szCs w:val="22"/>
        </w:rPr>
        <w:t>sa</w:t>
      </w:r>
      <w:proofErr w:type="spellEnd"/>
      <w:r w:rsidRPr="000F6B37">
        <w:rPr>
          <w:sz w:val="22"/>
          <w:szCs w:val="22"/>
          <w:lang w:val="sr-Latn-CS"/>
        </w:rPr>
        <w:t xml:space="preserve"> </w:t>
      </w:r>
      <w:proofErr w:type="spellStart"/>
      <w:r w:rsidRPr="00EE2F19">
        <w:rPr>
          <w:sz w:val="22"/>
          <w:szCs w:val="22"/>
        </w:rPr>
        <w:t>uo</w:t>
      </w:r>
      <w:proofErr w:type="spellEnd"/>
      <w:r w:rsidRPr="000F6B37">
        <w:rPr>
          <w:sz w:val="22"/>
          <w:szCs w:val="22"/>
          <w:lang w:val="sr-Latn-CS"/>
        </w:rPr>
        <w:t>č</w:t>
      </w:r>
      <w:proofErr w:type="spellStart"/>
      <w:r w:rsidRPr="00EE2F19">
        <w:rPr>
          <w:sz w:val="22"/>
          <w:szCs w:val="22"/>
        </w:rPr>
        <w:t>ljivim</w:t>
      </w:r>
      <w:proofErr w:type="spellEnd"/>
      <w:r w:rsidRPr="000F6B37">
        <w:rPr>
          <w:sz w:val="22"/>
          <w:szCs w:val="22"/>
          <w:lang w:val="sr-Latn-CS"/>
        </w:rPr>
        <w:t xml:space="preserve"> </w:t>
      </w:r>
      <w:proofErr w:type="spellStart"/>
      <w:r w:rsidRPr="00EE2F19">
        <w:rPr>
          <w:sz w:val="22"/>
          <w:szCs w:val="22"/>
        </w:rPr>
        <w:t>smanjenjem</w:t>
      </w:r>
      <w:proofErr w:type="spellEnd"/>
      <w:r w:rsidRPr="000F6B37">
        <w:rPr>
          <w:sz w:val="22"/>
          <w:szCs w:val="22"/>
          <w:lang w:val="sr-Latn-CS"/>
        </w:rPr>
        <w:t xml:space="preserve"> </w:t>
      </w:r>
      <w:proofErr w:type="spellStart"/>
      <w:r w:rsidRPr="00EE2F19">
        <w:rPr>
          <w:sz w:val="22"/>
          <w:szCs w:val="22"/>
        </w:rPr>
        <w:t>ili</w:t>
      </w:r>
      <w:proofErr w:type="spellEnd"/>
      <w:r w:rsidRPr="000F6B37">
        <w:rPr>
          <w:sz w:val="22"/>
          <w:szCs w:val="22"/>
          <w:lang w:val="sr-Latn-CS"/>
        </w:rPr>
        <w:t xml:space="preserve"> </w:t>
      </w:r>
      <w:proofErr w:type="spellStart"/>
      <w:r w:rsidRPr="00EE2F19">
        <w:rPr>
          <w:sz w:val="22"/>
          <w:szCs w:val="22"/>
        </w:rPr>
        <w:t>odsustvom</w:t>
      </w:r>
      <w:proofErr w:type="spellEnd"/>
      <w:r w:rsidRPr="000F6B37">
        <w:rPr>
          <w:sz w:val="22"/>
          <w:szCs w:val="22"/>
          <w:lang w:val="sr-Latn-CS"/>
        </w:rPr>
        <w:t xml:space="preserve"> </w:t>
      </w:r>
      <w:proofErr w:type="spellStart"/>
      <w:r w:rsidRPr="00EE2F19">
        <w:rPr>
          <w:sz w:val="22"/>
          <w:szCs w:val="22"/>
        </w:rPr>
        <w:t>sposobnosti</w:t>
      </w:r>
      <w:proofErr w:type="spellEnd"/>
      <w:r w:rsidRPr="000F6B37">
        <w:rPr>
          <w:sz w:val="22"/>
          <w:szCs w:val="22"/>
          <w:lang w:val="sr-Latn-CS"/>
        </w:rPr>
        <w:t xml:space="preserve"> </w:t>
      </w:r>
      <w:proofErr w:type="spellStart"/>
      <w:r w:rsidRPr="00EE2F19">
        <w:rPr>
          <w:sz w:val="22"/>
          <w:szCs w:val="22"/>
        </w:rPr>
        <w:t>prepoznavanja</w:t>
      </w:r>
      <w:proofErr w:type="spellEnd"/>
      <w:r w:rsidRPr="000F6B37">
        <w:rPr>
          <w:sz w:val="22"/>
          <w:szCs w:val="22"/>
          <w:lang w:val="sr-Latn-CS"/>
        </w:rPr>
        <w:t xml:space="preserve"> </w:t>
      </w:r>
      <w:proofErr w:type="spellStart"/>
      <w:r w:rsidRPr="00EE2F19">
        <w:rPr>
          <w:sz w:val="22"/>
          <w:szCs w:val="22"/>
        </w:rPr>
        <w:t>upozoravaju</w:t>
      </w:r>
      <w:proofErr w:type="spellEnd"/>
      <w:r w:rsidRPr="000F6B37">
        <w:rPr>
          <w:sz w:val="22"/>
          <w:szCs w:val="22"/>
          <w:lang w:val="sr-Latn-CS"/>
        </w:rPr>
        <w:t>ć</w:t>
      </w:r>
      <w:proofErr w:type="spellStart"/>
      <w:r w:rsidRPr="00EE2F19">
        <w:rPr>
          <w:sz w:val="22"/>
          <w:szCs w:val="22"/>
        </w:rPr>
        <w:t>ih</w:t>
      </w:r>
      <w:proofErr w:type="spellEnd"/>
      <w:r w:rsidRPr="000F6B37">
        <w:rPr>
          <w:sz w:val="22"/>
          <w:szCs w:val="22"/>
          <w:lang w:val="sr-Latn-CS"/>
        </w:rPr>
        <w:t xml:space="preserve"> </w:t>
      </w:r>
      <w:proofErr w:type="spellStart"/>
      <w:r w:rsidRPr="00EE2F19">
        <w:rPr>
          <w:sz w:val="22"/>
          <w:szCs w:val="22"/>
        </w:rPr>
        <w:t>znakova</w:t>
      </w:r>
      <w:proofErr w:type="spellEnd"/>
      <w:r w:rsidRPr="000F6B37">
        <w:rPr>
          <w:sz w:val="22"/>
          <w:szCs w:val="22"/>
          <w:lang w:val="sr-Latn-CS"/>
        </w:rPr>
        <w:t xml:space="preserve"> </w:t>
      </w:r>
      <w:proofErr w:type="spellStart"/>
      <w:r w:rsidRPr="00EE2F19">
        <w:rPr>
          <w:sz w:val="22"/>
          <w:szCs w:val="22"/>
        </w:rPr>
        <w:t>hipoglikemije</w:t>
      </w:r>
      <w:proofErr w:type="spellEnd"/>
      <w:r w:rsidRPr="000F6B37">
        <w:rPr>
          <w:sz w:val="22"/>
          <w:szCs w:val="22"/>
          <w:lang w:val="sr-Latn-CS"/>
        </w:rPr>
        <w:t xml:space="preserve">, </w:t>
      </w:r>
      <w:proofErr w:type="spellStart"/>
      <w:r w:rsidRPr="00EE2F19">
        <w:rPr>
          <w:sz w:val="22"/>
          <w:szCs w:val="22"/>
        </w:rPr>
        <w:t>kao</w:t>
      </w:r>
      <w:proofErr w:type="spellEnd"/>
      <w:r w:rsidRPr="000F6B37">
        <w:rPr>
          <w:sz w:val="22"/>
          <w:szCs w:val="22"/>
          <w:lang w:val="sr-Latn-CS"/>
        </w:rPr>
        <w:t xml:space="preserve"> </w:t>
      </w:r>
      <w:r w:rsidRPr="00EE2F19">
        <w:rPr>
          <w:sz w:val="22"/>
          <w:szCs w:val="22"/>
        </w:rPr>
        <w:t>i</w:t>
      </w:r>
      <w:r w:rsidRPr="000F6B37">
        <w:rPr>
          <w:sz w:val="22"/>
          <w:szCs w:val="22"/>
          <w:lang w:val="sr-Latn-CS"/>
        </w:rPr>
        <w:t xml:space="preserve"> </w:t>
      </w:r>
      <w:proofErr w:type="spellStart"/>
      <w:r w:rsidRPr="00EE2F19">
        <w:rPr>
          <w:sz w:val="22"/>
          <w:szCs w:val="22"/>
        </w:rPr>
        <w:t>kod</w:t>
      </w:r>
      <w:proofErr w:type="spellEnd"/>
      <w:r w:rsidRPr="000F6B37">
        <w:rPr>
          <w:sz w:val="22"/>
          <w:szCs w:val="22"/>
          <w:lang w:val="sr-Latn-CS"/>
        </w:rPr>
        <w:t xml:space="preserve"> </w:t>
      </w:r>
      <w:proofErr w:type="spellStart"/>
      <w:r w:rsidRPr="00EE2F19">
        <w:rPr>
          <w:sz w:val="22"/>
          <w:szCs w:val="22"/>
        </w:rPr>
        <w:t>pacijenata</w:t>
      </w:r>
      <w:proofErr w:type="spellEnd"/>
      <w:r w:rsidRPr="000F6B37">
        <w:rPr>
          <w:sz w:val="22"/>
          <w:szCs w:val="22"/>
          <w:lang w:val="sr-Latn-CS"/>
        </w:rPr>
        <w:t xml:space="preserve"> </w:t>
      </w:r>
      <w:proofErr w:type="spellStart"/>
      <w:r w:rsidRPr="00EE2F19">
        <w:rPr>
          <w:sz w:val="22"/>
          <w:szCs w:val="22"/>
        </w:rPr>
        <w:t>sa</w:t>
      </w:r>
      <w:proofErr w:type="spellEnd"/>
      <w:r w:rsidRPr="000F6B37">
        <w:rPr>
          <w:sz w:val="22"/>
          <w:szCs w:val="22"/>
          <w:lang w:val="sr-Latn-CS"/>
        </w:rPr>
        <w:t xml:space="preserve"> č</w:t>
      </w:r>
      <w:proofErr w:type="spellStart"/>
      <w:r w:rsidRPr="00EE2F19">
        <w:rPr>
          <w:sz w:val="22"/>
          <w:szCs w:val="22"/>
        </w:rPr>
        <w:t>estim</w:t>
      </w:r>
      <w:proofErr w:type="spellEnd"/>
      <w:r w:rsidRPr="000F6B37">
        <w:rPr>
          <w:sz w:val="22"/>
          <w:szCs w:val="22"/>
          <w:lang w:val="sr-Latn-CS"/>
        </w:rPr>
        <w:t xml:space="preserve"> </w:t>
      </w:r>
      <w:proofErr w:type="spellStart"/>
      <w:r w:rsidRPr="00EE2F19">
        <w:rPr>
          <w:sz w:val="22"/>
          <w:szCs w:val="22"/>
        </w:rPr>
        <w:t>epizodama</w:t>
      </w:r>
      <w:proofErr w:type="spellEnd"/>
      <w:r w:rsidRPr="000F6B37">
        <w:rPr>
          <w:sz w:val="22"/>
          <w:szCs w:val="22"/>
          <w:lang w:val="sr-Latn-CS"/>
        </w:rPr>
        <w:t xml:space="preserve"> </w:t>
      </w:r>
      <w:proofErr w:type="spellStart"/>
      <w:r w:rsidRPr="00EE2F19">
        <w:rPr>
          <w:sz w:val="22"/>
          <w:szCs w:val="22"/>
        </w:rPr>
        <w:t>hipoglikemije</w:t>
      </w:r>
      <w:proofErr w:type="spellEnd"/>
      <w:r w:rsidRPr="000F6B37">
        <w:rPr>
          <w:sz w:val="22"/>
          <w:szCs w:val="22"/>
          <w:lang w:val="sr-Latn-CS"/>
        </w:rPr>
        <w:t xml:space="preserve">. </w:t>
      </w:r>
      <w:r w:rsidRPr="00EE2F19">
        <w:rPr>
          <w:sz w:val="22"/>
          <w:szCs w:val="22"/>
        </w:rPr>
        <w:t>U</w:t>
      </w:r>
      <w:r w:rsidRPr="000F6B37">
        <w:rPr>
          <w:sz w:val="22"/>
          <w:szCs w:val="22"/>
          <w:lang w:val="sr-Latn-CS"/>
        </w:rPr>
        <w:t xml:space="preserve"> </w:t>
      </w:r>
      <w:proofErr w:type="spellStart"/>
      <w:r w:rsidRPr="00EE2F19">
        <w:rPr>
          <w:sz w:val="22"/>
          <w:szCs w:val="22"/>
        </w:rPr>
        <w:t>ovakvim</w:t>
      </w:r>
      <w:proofErr w:type="spellEnd"/>
      <w:r w:rsidRPr="000F6B37">
        <w:rPr>
          <w:sz w:val="22"/>
          <w:szCs w:val="22"/>
          <w:lang w:val="sr-Latn-CS"/>
        </w:rPr>
        <w:t xml:space="preserve"> </w:t>
      </w:r>
      <w:proofErr w:type="spellStart"/>
      <w:r w:rsidRPr="00EE2F19">
        <w:rPr>
          <w:sz w:val="22"/>
          <w:szCs w:val="22"/>
        </w:rPr>
        <w:t>slu</w:t>
      </w:r>
      <w:proofErr w:type="spellEnd"/>
      <w:r w:rsidRPr="000F6B37">
        <w:rPr>
          <w:sz w:val="22"/>
          <w:szCs w:val="22"/>
          <w:lang w:val="sr-Latn-CS"/>
        </w:rPr>
        <w:t>č</w:t>
      </w:r>
      <w:proofErr w:type="spellStart"/>
      <w:r w:rsidRPr="00EE2F19">
        <w:rPr>
          <w:sz w:val="22"/>
          <w:szCs w:val="22"/>
        </w:rPr>
        <w:t>ajevima</w:t>
      </w:r>
      <w:proofErr w:type="spellEnd"/>
      <w:r w:rsidRPr="000F6B37">
        <w:rPr>
          <w:sz w:val="22"/>
          <w:szCs w:val="22"/>
          <w:lang w:val="sr-Latn-CS"/>
        </w:rPr>
        <w:t xml:space="preserve"> </w:t>
      </w:r>
      <w:proofErr w:type="spellStart"/>
      <w:r w:rsidRPr="00EE2F19">
        <w:rPr>
          <w:sz w:val="22"/>
          <w:szCs w:val="22"/>
        </w:rPr>
        <w:t>treba</w:t>
      </w:r>
      <w:proofErr w:type="spellEnd"/>
      <w:r w:rsidRPr="000F6B37">
        <w:rPr>
          <w:sz w:val="22"/>
          <w:szCs w:val="22"/>
          <w:lang w:val="sr-Latn-CS"/>
        </w:rPr>
        <w:t xml:space="preserve"> </w:t>
      </w:r>
      <w:proofErr w:type="spellStart"/>
      <w:r w:rsidRPr="00EE2F19">
        <w:rPr>
          <w:sz w:val="22"/>
          <w:szCs w:val="22"/>
        </w:rPr>
        <w:t>procijeniti</w:t>
      </w:r>
      <w:proofErr w:type="spellEnd"/>
      <w:r w:rsidRPr="000F6B37">
        <w:rPr>
          <w:sz w:val="22"/>
          <w:szCs w:val="22"/>
          <w:lang w:val="sr-Latn-CS"/>
        </w:rPr>
        <w:t xml:space="preserve"> </w:t>
      </w:r>
      <w:r w:rsidRPr="00EE2F19">
        <w:rPr>
          <w:sz w:val="22"/>
          <w:szCs w:val="22"/>
        </w:rPr>
        <w:t>da</w:t>
      </w:r>
      <w:r w:rsidRPr="000F6B37">
        <w:rPr>
          <w:sz w:val="22"/>
          <w:szCs w:val="22"/>
          <w:lang w:val="sr-Latn-CS"/>
        </w:rPr>
        <w:t xml:space="preserve"> </w:t>
      </w:r>
      <w:r w:rsidRPr="00EE2F19">
        <w:rPr>
          <w:sz w:val="22"/>
          <w:szCs w:val="22"/>
        </w:rPr>
        <w:t>li</w:t>
      </w:r>
      <w:r w:rsidRPr="000F6B37">
        <w:rPr>
          <w:sz w:val="22"/>
          <w:szCs w:val="22"/>
          <w:lang w:val="sr-Latn-CS"/>
        </w:rPr>
        <w:t xml:space="preserve"> </w:t>
      </w:r>
      <w:r w:rsidRPr="00EE2F19">
        <w:rPr>
          <w:sz w:val="22"/>
          <w:szCs w:val="22"/>
        </w:rPr>
        <w:t>je</w:t>
      </w:r>
      <w:r w:rsidRPr="000F6B37">
        <w:rPr>
          <w:sz w:val="22"/>
          <w:szCs w:val="22"/>
          <w:lang w:val="sr-Latn-CS"/>
        </w:rPr>
        <w:t xml:space="preserve"> </w:t>
      </w:r>
      <w:proofErr w:type="spellStart"/>
      <w:r w:rsidRPr="00EE2F19">
        <w:rPr>
          <w:sz w:val="22"/>
          <w:szCs w:val="22"/>
        </w:rPr>
        <w:t>uop</w:t>
      </w:r>
      <w:proofErr w:type="spellEnd"/>
      <w:r w:rsidRPr="000F6B37">
        <w:rPr>
          <w:sz w:val="22"/>
          <w:szCs w:val="22"/>
          <w:lang w:val="sr-Latn-CS"/>
        </w:rPr>
        <w:t>š</w:t>
      </w:r>
      <w:proofErr w:type="spellStart"/>
      <w:r w:rsidRPr="00EE2F19">
        <w:rPr>
          <w:sz w:val="22"/>
          <w:szCs w:val="22"/>
        </w:rPr>
        <w:t>te</w:t>
      </w:r>
      <w:proofErr w:type="spellEnd"/>
      <w:r w:rsidRPr="000F6B37">
        <w:rPr>
          <w:sz w:val="22"/>
          <w:szCs w:val="22"/>
          <w:lang w:val="sr-Latn-CS"/>
        </w:rPr>
        <w:t xml:space="preserve"> </w:t>
      </w:r>
      <w:proofErr w:type="spellStart"/>
      <w:r w:rsidRPr="00EE2F19">
        <w:rPr>
          <w:sz w:val="22"/>
          <w:szCs w:val="22"/>
        </w:rPr>
        <w:t>preporu</w:t>
      </w:r>
      <w:proofErr w:type="spellEnd"/>
      <w:r w:rsidRPr="000F6B37">
        <w:rPr>
          <w:sz w:val="22"/>
          <w:szCs w:val="22"/>
          <w:lang w:val="sr-Latn-CS"/>
        </w:rPr>
        <w:t>č</w:t>
      </w:r>
      <w:proofErr w:type="spellStart"/>
      <w:r w:rsidRPr="00EE2F19">
        <w:rPr>
          <w:sz w:val="22"/>
          <w:szCs w:val="22"/>
        </w:rPr>
        <w:t>ljivo</w:t>
      </w:r>
      <w:proofErr w:type="spellEnd"/>
      <w:r w:rsidRPr="000F6B37">
        <w:rPr>
          <w:sz w:val="22"/>
          <w:szCs w:val="22"/>
          <w:lang w:val="sr-Latn-CS"/>
        </w:rPr>
        <w:t xml:space="preserve"> </w:t>
      </w:r>
      <w:proofErr w:type="spellStart"/>
      <w:r w:rsidRPr="00EE2F19">
        <w:rPr>
          <w:sz w:val="22"/>
          <w:szCs w:val="22"/>
        </w:rPr>
        <w:t>upravljati</w:t>
      </w:r>
      <w:proofErr w:type="spellEnd"/>
      <w:r w:rsidRPr="000F6B37">
        <w:rPr>
          <w:sz w:val="22"/>
          <w:szCs w:val="22"/>
          <w:lang w:val="sr-Latn-CS"/>
        </w:rPr>
        <w:t xml:space="preserve"> </w:t>
      </w:r>
      <w:proofErr w:type="spellStart"/>
      <w:r w:rsidRPr="00EE2F19">
        <w:rPr>
          <w:sz w:val="22"/>
          <w:szCs w:val="22"/>
        </w:rPr>
        <w:t>vozilom</w:t>
      </w:r>
      <w:proofErr w:type="spellEnd"/>
      <w:r w:rsidRPr="000F6B37">
        <w:rPr>
          <w:sz w:val="22"/>
          <w:szCs w:val="22"/>
          <w:lang w:val="sr-Latn-CS"/>
        </w:rPr>
        <w:t>.</w:t>
      </w:r>
    </w:p>
    <w:p w14:paraId="75808187" w14:textId="77777777" w:rsidR="00EE2F19" w:rsidRPr="000F6B37" w:rsidRDefault="00EE2F19" w:rsidP="000F6B37">
      <w:pPr>
        <w:tabs>
          <w:tab w:val="left" w:pos="540"/>
          <w:tab w:val="left" w:pos="569"/>
        </w:tabs>
        <w:jc w:val="both"/>
        <w:rPr>
          <w:sz w:val="22"/>
          <w:szCs w:val="22"/>
          <w:lang w:val="sr-Latn-CS"/>
        </w:rPr>
      </w:pPr>
    </w:p>
    <w:p w14:paraId="5DF611F3" w14:textId="77777777" w:rsidR="0072020E" w:rsidRPr="000F6B37" w:rsidRDefault="0072020E" w:rsidP="00480FB1">
      <w:pPr>
        <w:tabs>
          <w:tab w:val="left" w:pos="540"/>
          <w:tab w:val="left" w:pos="569"/>
        </w:tabs>
        <w:rPr>
          <w:b/>
          <w:bCs/>
          <w:sz w:val="22"/>
          <w:szCs w:val="22"/>
          <w:lang w:val="sr-Latn-CS"/>
        </w:rPr>
      </w:pPr>
      <w:r w:rsidRPr="000F6B37">
        <w:rPr>
          <w:b/>
          <w:bCs/>
          <w:sz w:val="22"/>
          <w:szCs w:val="22"/>
          <w:lang w:val="sr-Latn-CS"/>
        </w:rPr>
        <w:t xml:space="preserve">4.8. </w:t>
      </w:r>
      <w:r w:rsidR="00480FB1" w:rsidRPr="000F6B37">
        <w:rPr>
          <w:b/>
          <w:bCs/>
          <w:sz w:val="22"/>
          <w:szCs w:val="22"/>
          <w:lang w:val="sr-Latn-CS"/>
        </w:rPr>
        <w:tab/>
      </w:r>
      <w:r w:rsidRPr="00786071">
        <w:rPr>
          <w:b/>
          <w:bCs/>
          <w:sz w:val="22"/>
          <w:szCs w:val="22"/>
        </w:rPr>
        <w:t>Ne</w:t>
      </w:r>
      <w:r w:rsidRPr="000F6B37">
        <w:rPr>
          <w:b/>
          <w:bCs/>
          <w:sz w:val="22"/>
          <w:szCs w:val="22"/>
          <w:lang w:val="sr-Latn-CS"/>
        </w:rPr>
        <w:t>ž</w:t>
      </w:r>
      <w:proofErr w:type="spellStart"/>
      <w:r w:rsidRPr="00786071">
        <w:rPr>
          <w:b/>
          <w:bCs/>
          <w:sz w:val="22"/>
          <w:szCs w:val="22"/>
        </w:rPr>
        <w:t>eljena</w:t>
      </w:r>
      <w:proofErr w:type="spellEnd"/>
      <w:r w:rsidRPr="000F6B37">
        <w:rPr>
          <w:b/>
          <w:bCs/>
          <w:sz w:val="22"/>
          <w:szCs w:val="22"/>
          <w:lang w:val="sr-Latn-CS"/>
        </w:rPr>
        <w:t xml:space="preserve"> </w:t>
      </w:r>
      <w:proofErr w:type="spellStart"/>
      <w:r w:rsidRPr="00786071">
        <w:rPr>
          <w:b/>
          <w:bCs/>
          <w:sz w:val="22"/>
          <w:szCs w:val="22"/>
        </w:rPr>
        <w:t>dejstva</w:t>
      </w:r>
      <w:proofErr w:type="spellEnd"/>
    </w:p>
    <w:p w14:paraId="441B857F" w14:textId="77777777" w:rsidR="00EE2F19" w:rsidRDefault="00EE2F19" w:rsidP="00EE2F19">
      <w:pPr>
        <w:rPr>
          <w:rFonts w:eastAsia="Calibri"/>
          <w:sz w:val="22"/>
          <w:szCs w:val="22"/>
          <w:lang w:val="sr-Latn-RS"/>
        </w:rPr>
      </w:pPr>
    </w:p>
    <w:p w14:paraId="6EDD3A64" w14:textId="77777777" w:rsidR="00EE2F19" w:rsidRPr="00EE2F19" w:rsidRDefault="00EE2F19" w:rsidP="00EE2F19">
      <w:pPr>
        <w:jc w:val="both"/>
        <w:rPr>
          <w:rFonts w:eastAsia="Calibri"/>
          <w:sz w:val="22"/>
          <w:szCs w:val="22"/>
          <w:u w:val="single"/>
          <w:lang w:val="sr-Latn-CS"/>
        </w:rPr>
      </w:pPr>
      <w:r w:rsidRPr="00EE2F19">
        <w:rPr>
          <w:rFonts w:eastAsia="Calibri"/>
          <w:sz w:val="22"/>
          <w:szCs w:val="22"/>
          <w:u w:val="single"/>
          <w:lang w:val="sr-Latn-CS"/>
        </w:rPr>
        <w:t>Sažetak bezbjednosnog profila</w:t>
      </w:r>
    </w:p>
    <w:p w14:paraId="381605B1" w14:textId="77777777" w:rsidR="00EE2F19" w:rsidRPr="00EE2F19" w:rsidRDefault="00EE2F19" w:rsidP="00EE2F19">
      <w:pPr>
        <w:jc w:val="both"/>
        <w:rPr>
          <w:rFonts w:eastAsia="Calibri"/>
          <w:sz w:val="22"/>
          <w:szCs w:val="22"/>
          <w:lang w:val="sr-Latn-CS"/>
        </w:rPr>
      </w:pPr>
    </w:p>
    <w:p w14:paraId="3FE5186A" w14:textId="49D8BBC2" w:rsidR="00EE2F19" w:rsidRPr="00EE2F19" w:rsidRDefault="00EE2F19" w:rsidP="00EE2F19">
      <w:pPr>
        <w:jc w:val="both"/>
        <w:rPr>
          <w:rFonts w:eastAsia="Calibri"/>
          <w:sz w:val="22"/>
          <w:szCs w:val="22"/>
          <w:lang w:val="sr-Latn-CS"/>
        </w:rPr>
      </w:pPr>
      <w:r w:rsidRPr="00EE2F19">
        <w:rPr>
          <w:rFonts w:eastAsia="Calibri"/>
          <w:sz w:val="22"/>
          <w:szCs w:val="22"/>
          <w:lang w:val="sr-Latn-CS"/>
        </w:rPr>
        <w:t xml:space="preserve">Najčešće prijavljivana neželjena reakcija tokom liječenja je hipoglikemija (vidjeti </w:t>
      </w:r>
      <w:r w:rsidR="001A2CE0">
        <w:rPr>
          <w:rFonts w:eastAsia="Calibri"/>
          <w:sz w:val="22"/>
          <w:szCs w:val="22"/>
          <w:lang w:val="sr-Latn-CS"/>
        </w:rPr>
        <w:t>dio</w:t>
      </w:r>
      <w:r w:rsidR="001A2CE0" w:rsidRPr="00EE2F19">
        <w:rPr>
          <w:rFonts w:eastAsia="Calibri"/>
          <w:sz w:val="22"/>
          <w:szCs w:val="22"/>
          <w:lang w:val="sr-Latn-CS"/>
        </w:rPr>
        <w:t xml:space="preserve"> </w:t>
      </w:r>
      <w:r w:rsidRPr="00EE2F19">
        <w:rPr>
          <w:rFonts w:eastAsia="Calibri"/>
          <w:sz w:val="22"/>
          <w:szCs w:val="22"/>
          <w:lang w:val="sr-Latn-CS"/>
        </w:rPr>
        <w:t>„Opis odabranih neželjenih reakcija” u nastavku).</w:t>
      </w:r>
    </w:p>
    <w:p w14:paraId="52E66E6D" w14:textId="77777777" w:rsidR="00EE2F19" w:rsidRPr="00EE2F19" w:rsidRDefault="00EE2F19" w:rsidP="00EE2F19">
      <w:pPr>
        <w:jc w:val="both"/>
        <w:rPr>
          <w:rFonts w:eastAsia="Calibri"/>
          <w:sz w:val="22"/>
          <w:szCs w:val="22"/>
          <w:lang w:val="sr-Latn-CS"/>
        </w:rPr>
      </w:pPr>
    </w:p>
    <w:p w14:paraId="6D273638" w14:textId="77777777" w:rsidR="00EE2F19" w:rsidRPr="00EE2F19" w:rsidRDefault="00EE2F19" w:rsidP="00EE2F19">
      <w:pPr>
        <w:jc w:val="both"/>
        <w:rPr>
          <w:rFonts w:eastAsia="Calibri"/>
          <w:sz w:val="22"/>
          <w:szCs w:val="22"/>
          <w:u w:val="single"/>
          <w:lang w:val="sr-Latn-CS"/>
        </w:rPr>
      </w:pPr>
      <w:r w:rsidRPr="00EE2F19">
        <w:rPr>
          <w:rFonts w:eastAsia="Calibri"/>
          <w:sz w:val="22"/>
          <w:szCs w:val="22"/>
          <w:u w:val="single"/>
          <w:lang w:val="sr-Latn-CS"/>
        </w:rPr>
        <w:t>Tabelarni prikaz neželjenih reakcija</w:t>
      </w:r>
    </w:p>
    <w:p w14:paraId="1457EE65" w14:textId="77777777" w:rsidR="00EE2F19" w:rsidRPr="00EE2F19" w:rsidRDefault="00EE2F19" w:rsidP="00EE2F19">
      <w:pPr>
        <w:jc w:val="both"/>
        <w:rPr>
          <w:rFonts w:eastAsia="Calibri"/>
          <w:sz w:val="22"/>
          <w:szCs w:val="22"/>
          <w:lang w:val="sr-Latn-CS"/>
        </w:rPr>
      </w:pPr>
    </w:p>
    <w:p w14:paraId="0C614979" w14:textId="15773AE5" w:rsidR="00EE2F19" w:rsidRPr="00EE2F19" w:rsidRDefault="00EE2F19" w:rsidP="00EE2F19">
      <w:pPr>
        <w:jc w:val="both"/>
        <w:rPr>
          <w:rFonts w:eastAsia="Calibri"/>
          <w:sz w:val="22"/>
          <w:szCs w:val="22"/>
          <w:lang w:val="sr-Latn-CS"/>
        </w:rPr>
      </w:pPr>
      <w:r w:rsidRPr="00EE2F19">
        <w:rPr>
          <w:rFonts w:eastAsia="Calibri"/>
          <w:sz w:val="22"/>
          <w:szCs w:val="22"/>
          <w:lang w:val="sr-Latn-CS"/>
        </w:rPr>
        <w:t xml:space="preserve">Neželjene reakcije navedene u daljem tekstu (Tabela 2) su zasnovane na podacima iz </w:t>
      </w:r>
      <w:r w:rsidR="00316D44">
        <w:rPr>
          <w:rFonts w:eastAsia="Calibri"/>
          <w:sz w:val="22"/>
          <w:szCs w:val="22"/>
          <w:lang w:val="sr-Latn-CS"/>
        </w:rPr>
        <w:t>6</w:t>
      </w:r>
      <w:r w:rsidRPr="00EE2F19">
        <w:rPr>
          <w:rFonts w:eastAsia="Calibri"/>
          <w:sz w:val="22"/>
          <w:szCs w:val="22"/>
          <w:lang w:val="sr-Latn-CS"/>
        </w:rPr>
        <w:t xml:space="preserve"> </w:t>
      </w:r>
      <w:r w:rsidR="00316D44">
        <w:rPr>
          <w:rFonts w:eastAsia="Calibri"/>
          <w:sz w:val="22"/>
          <w:szCs w:val="22"/>
          <w:lang w:val="sr-Latn-CS"/>
        </w:rPr>
        <w:t>završenih</w:t>
      </w:r>
      <w:r w:rsidRPr="00EE2F19">
        <w:rPr>
          <w:rFonts w:eastAsia="Calibri"/>
          <w:sz w:val="22"/>
          <w:szCs w:val="22"/>
          <w:lang w:val="sr-Latn-CS"/>
        </w:rPr>
        <w:t xml:space="preserve"> ispitivanja sproveden</w:t>
      </w:r>
      <w:r w:rsidR="00316D44">
        <w:rPr>
          <w:rFonts w:eastAsia="Calibri"/>
          <w:sz w:val="22"/>
          <w:szCs w:val="22"/>
          <w:lang w:val="sr-Latn-CS"/>
        </w:rPr>
        <w:t>ih</w:t>
      </w:r>
      <w:r w:rsidRPr="00EE2F19">
        <w:rPr>
          <w:rFonts w:eastAsia="Calibri"/>
          <w:sz w:val="22"/>
          <w:szCs w:val="22"/>
          <w:lang w:val="sr-Latn-CS"/>
        </w:rPr>
        <w:t xml:space="preserve"> sa ciljem potvrde terapijskog efekta</w:t>
      </w:r>
      <w:r w:rsidR="00A452D0">
        <w:rPr>
          <w:rFonts w:eastAsia="Calibri"/>
          <w:sz w:val="22"/>
          <w:szCs w:val="22"/>
          <w:lang w:val="sr-Latn-CS"/>
        </w:rPr>
        <w:t xml:space="preserve"> kod odraslih osoba</w:t>
      </w:r>
      <w:r w:rsidRPr="00EE2F19">
        <w:rPr>
          <w:rFonts w:eastAsia="Calibri"/>
          <w:sz w:val="22"/>
          <w:szCs w:val="22"/>
          <w:lang w:val="sr-Latn-CS"/>
        </w:rPr>
        <w:t>. Kategorije učestalosti definisane su prema sl</w:t>
      </w:r>
      <w:r w:rsidR="001A2CE0">
        <w:rPr>
          <w:rFonts w:eastAsia="Calibri"/>
          <w:sz w:val="22"/>
          <w:szCs w:val="22"/>
          <w:lang w:val="sr-Latn-CS"/>
        </w:rPr>
        <w:t>j</w:t>
      </w:r>
      <w:r w:rsidRPr="00EE2F19">
        <w:rPr>
          <w:rFonts w:eastAsia="Calibri"/>
          <w:sz w:val="22"/>
          <w:szCs w:val="22"/>
          <w:lang w:val="sr-Latn-CS"/>
        </w:rPr>
        <w:t>edećoj konvenciji: veoma često (≥1/10); često (≥1/100 do &lt;1/10); povremeno (≥1/1000 do &lt;1/100); r</w:t>
      </w:r>
      <w:r w:rsidR="0082335D">
        <w:rPr>
          <w:rFonts w:eastAsia="Calibri"/>
          <w:sz w:val="22"/>
          <w:szCs w:val="22"/>
          <w:lang w:val="sr-Latn-CS"/>
        </w:rPr>
        <w:t>ij</w:t>
      </w:r>
      <w:r w:rsidRPr="00EE2F19">
        <w:rPr>
          <w:rFonts w:eastAsia="Calibri"/>
          <w:sz w:val="22"/>
          <w:szCs w:val="22"/>
          <w:lang w:val="sr-Latn-CS"/>
        </w:rPr>
        <w:t>etko (≥1/10000 do &lt;1/1000); veoma r</w:t>
      </w:r>
      <w:r w:rsidR="0082335D">
        <w:rPr>
          <w:rFonts w:eastAsia="Calibri"/>
          <w:sz w:val="22"/>
          <w:szCs w:val="22"/>
          <w:lang w:val="sr-Latn-CS"/>
        </w:rPr>
        <w:t>ij</w:t>
      </w:r>
      <w:r w:rsidRPr="00EE2F19">
        <w:rPr>
          <w:rFonts w:eastAsia="Calibri"/>
          <w:sz w:val="22"/>
          <w:szCs w:val="22"/>
          <w:lang w:val="sr-Latn-CS"/>
        </w:rPr>
        <w:t>etko (&lt;1/10000) i nepoznato (</w:t>
      </w:r>
      <w:r w:rsidR="0082335D">
        <w:rPr>
          <w:rFonts w:eastAsia="Calibri"/>
          <w:sz w:val="22"/>
          <w:szCs w:val="22"/>
          <w:lang w:val="sr-Latn-CS"/>
        </w:rPr>
        <w:t xml:space="preserve">učestalost se </w:t>
      </w:r>
      <w:r w:rsidRPr="00EE2F19">
        <w:rPr>
          <w:rFonts w:eastAsia="Calibri"/>
          <w:sz w:val="22"/>
          <w:szCs w:val="22"/>
          <w:lang w:val="sr-Latn-CS"/>
        </w:rPr>
        <w:t>ne može  procijeniti na osnovu dostupnih podataka).</w:t>
      </w:r>
    </w:p>
    <w:p w14:paraId="0B4C63F4" w14:textId="77777777" w:rsidR="00EE2F19" w:rsidRPr="00EE2F19" w:rsidRDefault="00EE2F19" w:rsidP="00EE2F19">
      <w:pPr>
        <w:jc w:val="both"/>
        <w:rPr>
          <w:rFonts w:eastAsia="Calibri"/>
          <w:sz w:val="22"/>
          <w:szCs w:val="22"/>
          <w:lang w:val="sr-Latn-CS"/>
        </w:rPr>
      </w:pPr>
    </w:p>
    <w:p w14:paraId="0CA33593" w14:textId="77777777" w:rsidR="00EE2F19" w:rsidRPr="00EE2F19" w:rsidRDefault="00EE2F19" w:rsidP="00EE2F19">
      <w:pPr>
        <w:jc w:val="both"/>
        <w:rPr>
          <w:rFonts w:eastAsia="Calibri"/>
          <w:b/>
          <w:bCs/>
          <w:sz w:val="22"/>
          <w:szCs w:val="22"/>
          <w:lang w:val="sr-Latn-CS"/>
        </w:rPr>
      </w:pPr>
      <w:r w:rsidRPr="00EE2F19">
        <w:rPr>
          <w:rFonts w:eastAsia="Calibri"/>
          <w:b/>
          <w:bCs/>
          <w:sz w:val="22"/>
          <w:szCs w:val="22"/>
          <w:lang w:val="sr-Latn-CS"/>
        </w:rPr>
        <w:t>Tabela 2 Neželjene reakcije iz kliničkih ispitivanja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1984"/>
        <w:gridCol w:w="1560"/>
        <w:gridCol w:w="1560"/>
      </w:tblGrid>
      <w:tr w:rsidR="001C7311" w:rsidRPr="00227C4B" w14:paraId="15AEF307" w14:textId="77777777" w:rsidTr="00164FF5">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6C4B0923" w14:textId="77777777" w:rsidR="001C7311" w:rsidRPr="00227C4B" w:rsidRDefault="001C7311" w:rsidP="001C7311">
            <w:pPr>
              <w:tabs>
                <w:tab w:val="left" w:pos="284"/>
              </w:tabs>
              <w:rPr>
                <w:b/>
                <w:noProof/>
                <w:sz w:val="22"/>
                <w:szCs w:val="22"/>
                <w:lang w:val="sr-Latn-CS"/>
              </w:rPr>
            </w:pPr>
            <w:r w:rsidRPr="00227C4B">
              <w:rPr>
                <w:b/>
                <w:noProof/>
                <w:sz w:val="22"/>
                <w:szCs w:val="22"/>
                <w:lang w:val="sr-Latn-CS"/>
              </w:rPr>
              <w:t>MedDRA klasifikacija  sistema organa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5AA8186" w14:textId="77777777" w:rsidR="001C7311" w:rsidRPr="00227C4B" w:rsidRDefault="001C7311" w:rsidP="001C7311">
            <w:pPr>
              <w:tabs>
                <w:tab w:val="left" w:pos="284"/>
              </w:tabs>
              <w:rPr>
                <w:b/>
                <w:noProof/>
                <w:sz w:val="22"/>
                <w:szCs w:val="22"/>
                <w:lang w:val="sr-Latn-CS"/>
              </w:rPr>
            </w:pPr>
            <w:r w:rsidRPr="00227C4B">
              <w:rPr>
                <w:b/>
                <w:noProof/>
                <w:sz w:val="22"/>
                <w:szCs w:val="22"/>
                <w:lang w:val="sr-Latn-CS"/>
              </w:rPr>
              <w:t xml:space="preserve">Veoma često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937A442" w14:textId="77777777" w:rsidR="001C7311" w:rsidRPr="00227C4B" w:rsidRDefault="001C7311" w:rsidP="001C7311">
            <w:pPr>
              <w:tabs>
                <w:tab w:val="left" w:pos="284"/>
              </w:tabs>
              <w:rPr>
                <w:b/>
                <w:noProof/>
                <w:sz w:val="22"/>
                <w:szCs w:val="22"/>
                <w:lang w:val="sr-Latn-CS"/>
              </w:rPr>
            </w:pPr>
            <w:r w:rsidRPr="00227C4B">
              <w:rPr>
                <w:b/>
                <w:noProof/>
                <w:sz w:val="22"/>
                <w:szCs w:val="22"/>
                <w:lang w:val="sr-Latn-CS"/>
              </w:rPr>
              <w:t xml:space="preserve">Često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6A542C1" w14:textId="77777777" w:rsidR="001C7311" w:rsidRPr="00227C4B" w:rsidRDefault="001C7311" w:rsidP="001C7311">
            <w:pPr>
              <w:tabs>
                <w:tab w:val="left" w:pos="284"/>
              </w:tabs>
              <w:rPr>
                <w:b/>
                <w:noProof/>
                <w:sz w:val="22"/>
                <w:szCs w:val="22"/>
                <w:lang w:val="sr-Latn-CS"/>
              </w:rPr>
            </w:pPr>
            <w:r w:rsidRPr="00227C4B">
              <w:rPr>
                <w:b/>
                <w:noProof/>
                <w:sz w:val="22"/>
                <w:szCs w:val="22"/>
                <w:lang w:val="sr-Latn-CS"/>
              </w:rPr>
              <w:t>Povremeno</w:t>
            </w:r>
          </w:p>
        </w:tc>
        <w:tc>
          <w:tcPr>
            <w:tcW w:w="1560" w:type="dxa"/>
            <w:tcBorders>
              <w:top w:val="single" w:sz="4" w:space="0" w:color="auto"/>
              <w:left w:val="single" w:sz="4" w:space="0" w:color="auto"/>
              <w:bottom w:val="single" w:sz="4" w:space="0" w:color="auto"/>
              <w:right w:val="single" w:sz="4" w:space="0" w:color="auto"/>
            </w:tcBorders>
          </w:tcPr>
          <w:p w14:paraId="3CFECA98" w14:textId="77777777" w:rsidR="001C7311" w:rsidRPr="00227C4B" w:rsidRDefault="001C7311" w:rsidP="001C7311">
            <w:pPr>
              <w:tabs>
                <w:tab w:val="left" w:pos="284"/>
              </w:tabs>
              <w:rPr>
                <w:b/>
                <w:noProof/>
                <w:sz w:val="22"/>
                <w:szCs w:val="22"/>
                <w:lang w:val="sr-Latn-CS"/>
              </w:rPr>
            </w:pPr>
            <w:r>
              <w:rPr>
                <w:b/>
                <w:noProof/>
                <w:sz w:val="22"/>
                <w:szCs w:val="22"/>
                <w:lang w:val="sr-Latn-CS"/>
              </w:rPr>
              <w:t>Nepoznato</w:t>
            </w:r>
          </w:p>
        </w:tc>
      </w:tr>
      <w:tr w:rsidR="001C7311" w:rsidRPr="00227C4B" w14:paraId="4AD6128E" w14:textId="77777777" w:rsidTr="00164FF5">
        <w:tc>
          <w:tcPr>
            <w:tcW w:w="2122" w:type="dxa"/>
            <w:tcBorders>
              <w:top w:val="single" w:sz="4" w:space="0" w:color="auto"/>
              <w:left w:val="single" w:sz="4" w:space="0" w:color="auto"/>
              <w:bottom w:val="single" w:sz="4" w:space="0" w:color="auto"/>
              <w:right w:val="single" w:sz="4" w:space="0" w:color="auto"/>
            </w:tcBorders>
            <w:shd w:val="clear" w:color="auto" w:fill="auto"/>
          </w:tcPr>
          <w:p w14:paraId="73AE03CB" w14:textId="77777777" w:rsidR="001C7311" w:rsidRPr="00227C4B" w:rsidRDefault="001C7311" w:rsidP="001C7311">
            <w:pPr>
              <w:tabs>
                <w:tab w:val="left" w:pos="284"/>
              </w:tabs>
              <w:rPr>
                <w:b/>
                <w:noProof/>
                <w:sz w:val="22"/>
                <w:szCs w:val="22"/>
                <w:lang w:val="sr-Latn-CS"/>
              </w:rPr>
            </w:pPr>
            <w:r w:rsidRPr="00227C4B">
              <w:rPr>
                <w:b/>
                <w:noProof/>
                <w:sz w:val="22"/>
                <w:szCs w:val="22"/>
                <w:lang w:val="sr-Latn-CS"/>
              </w:rPr>
              <w:t>Poremećaji imun</w:t>
            </w:r>
            <w:r>
              <w:rPr>
                <w:b/>
                <w:noProof/>
                <w:sz w:val="22"/>
                <w:szCs w:val="22"/>
                <w:lang w:val="sr-Latn-CS"/>
              </w:rPr>
              <w:t>og</w:t>
            </w:r>
            <w:r w:rsidRPr="00227C4B">
              <w:rPr>
                <w:b/>
                <w:noProof/>
                <w:sz w:val="22"/>
                <w:szCs w:val="22"/>
                <w:lang w:val="sr-Latn-CS"/>
              </w:rPr>
              <w:t xml:space="preserve"> sistema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D4820C" w14:textId="77777777" w:rsidR="001C7311" w:rsidRPr="00227C4B" w:rsidRDefault="001C7311" w:rsidP="001C7311">
            <w:pPr>
              <w:tabs>
                <w:tab w:val="left" w:pos="284"/>
              </w:tabs>
              <w:rPr>
                <w:noProof/>
                <w:sz w:val="22"/>
                <w:szCs w:val="22"/>
                <w:lang w:val="sr-Latn-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8DF793" w14:textId="77777777" w:rsidR="001C7311" w:rsidRPr="00227C4B" w:rsidRDefault="001C7311" w:rsidP="001C7311">
            <w:pPr>
              <w:tabs>
                <w:tab w:val="left" w:pos="284"/>
              </w:tabs>
              <w:rPr>
                <w:noProof/>
                <w:sz w:val="22"/>
                <w:szCs w:val="22"/>
                <w:lang w:val="sr-Latn-C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5FADEE" w14:textId="77777777" w:rsidR="001C7311" w:rsidRPr="00227C4B" w:rsidRDefault="001C7311" w:rsidP="001C7311">
            <w:pPr>
              <w:tabs>
                <w:tab w:val="left" w:pos="284"/>
              </w:tabs>
              <w:rPr>
                <w:noProof/>
                <w:sz w:val="22"/>
                <w:szCs w:val="22"/>
                <w:lang w:val="sr-Latn-CS"/>
              </w:rPr>
            </w:pPr>
            <w:r w:rsidRPr="00227C4B">
              <w:rPr>
                <w:noProof/>
                <w:sz w:val="22"/>
                <w:szCs w:val="22"/>
                <w:lang w:val="sr-Latn-CS"/>
              </w:rPr>
              <w:t>Preos</w:t>
            </w:r>
            <w:r>
              <w:rPr>
                <w:noProof/>
                <w:sz w:val="22"/>
                <w:szCs w:val="22"/>
                <w:lang w:val="sr-Latn-CS"/>
              </w:rPr>
              <w:t>j</w:t>
            </w:r>
            <w:r w:rsidRPr="00227C4B">
              <w:rPr>
                <w:noProof/>
                <w:sz w:val="22"/>
                <w:szCs w:val="22"/>
                <w:lang w:val="sr-Latn-CS"/>
              </w:rPr>
              <w:t>etljivost</w:t>
            </w:r>
          </w:p>
          <w:p w14:paraId="42A029C0" w14:textId="77777777" w:rsidR="001C7311" w:rsidRPr="00227C4B" w:rsidRDefault="001C7311" w:rsidP="001C7311">
            <w:pPr>
              <w:tabs>
                <w:tab w:val="left" w:pos="284"/>
              </w:tabs>
              <w:rPr>
                <w:noProof/>
                <w:sz w:val="22"/>
                <w:szCs w:val="22"/>
                <w:lang w:val="sr-Latn-CS"/>
              </w:rPr>
            </w:pPr>
          </w:p>
        </w:tc>
        <w:tc>
          <w:tcPr>
            <w:tcW w:w="1560" w:type="dxa"/>
            <w:tcBorders>
              <w:top w:val="single" w:sz="4" w:space="0" w:color="auto"/>
              <w:left w:val="single" w:sz="4" w:space="0" w:color="auto"/>
              <w:bottom w:val="single" w:sz="4" w:space="0" w:color="auto"/>
              <w:right w:val="single" w:sz="4" w:space="0" w:color="auto"/>
            </w:tcBorders>
          </w:tcPr>
          <w:p w14:paraId="156E7DA0" w14:textId="77777777" w:rsidR="001C7311" w:rsidRPr="00227C4B" w:rsidRDefault="001C7311" w:rsidP="001C7311">
            <w:pPr>
              <w:tabs>
                <w:tab w:val="left" w:pos="284"/>
              </w:tabs>
              <w:rPr>
                <w:noProof/>
                <w:sz w:val="22"/>
                <w:szCs w:val="22"/>
                <w:lang w:val="sr-Latn-CS"/>
              </w:rPr>
            </w:pPr>
            <w:r>
              <w:rPr>
                <w:noProof/>
                <w:sz w:val="22"/>
                <w:szCs w:val="22"/>
                <w:lang w:val="sr-Latn-CS"/>
              </w:rPr>
              <w:t>Anafilaktičke reakcije</w:t>
            </w:r>
          </w:p>
        </w:tc>
      </w:tr>
      <w:tr w:rsidR="001C7311" w:rsidRPr="00227C4B" w14:paraId="6CB9D4F1" w14:textId="77777777" w:rsidTr="00164FF5">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1192AA9B" w14:textId="77777777" w:rsidR="001C7311" w:rsidRPr="00227C4B" w:rsidRDefault="001C7311" w:rsidP="001C7311">
            <w:pPr>
              <w:tabs>
                <w:tab w:val="left" w:pos="284"/>
              </w:tabs>
              <w:rPr>
                <w:b/>
                <w:noProof/>
                <w:sz w:val="22"/>
                <w:szCs w:val="22"/>
                <w:lang w:val="sr-Latn-CS"/>
              </w:rPr>
            </w:pPr>
            <w:r w:rsidRPr="00227C4B">
              <w:rPr>
                <w:b/>
                <w:noProof/>
                <w:sz w:val="22"/>
                <w:szCs w:val="22"/>
                <w:lang w:val="sr-Latn-CS"/>
              </w:rPr>
              <w:t>Poremećaji metabolizma i ishrane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2A7A7B1" w14:textId="77777777" w:rsidR="001C7311" w:rsidRPr="00227C4B" w:rsidRDefault="001C7311" w:rsidP="001C7311">
            <w:pPr>
              <w:tabs>
                <w:tab w:val="left" w:pos="284"/>
              </w:tabs>
              <w:rPr>
                <w:noProof/>
                <w:sz w:val="22"/>
                <w:szCs w:val="22"/>
                <w:lang w:val="sr-Latn-CS"/>
              </w:rPr>
            </w:pPr>
            <w:r w:rsidRPr="00227C4B">
              <w:rPr>
                <w:noProof/>
                <w:sz w:val="22"/>
                <w:szCs w:val="22"/>
                <w:lang w:val="sr-Latn-CS"/>
              </w:rPr>
              <w:t>Hipoglikemija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D911A9" w14:textId="77777777" w:rsidR="001C7311" w:rsidRPr="00227C4B" w:rsidRDefault="001C7311" w:rsidP="001C7311">
            <w:pPr>
              <w:tabs>
                <w:tab w:val="left" w:pos="284"/>
              </w:tabs>
              <w:rPr>
                <w:noProof/>
                <w:sz w:val="22"/>
                <w:szCs w:val="22"/>
                <w:lang w:val="sr-Latn-C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6874A81" w14:textId="77777777" w:rsidR="001C7311" w:rsidRPr="00227C4B" w:rsidRDefault="001C7311" w:rsidP="001C7311">
            <w:pPr>
              <w:tabs>
                <w:tab w:val="left" w:pos="284"/>
              </w:tabs>
              <w:rPr>
                <w:noProof/>
                <w:sz w:val="22"/>
                <w:szCs w:val="22"/>
                <w:lang w:val="sr-Latn-CS"/>
              </w:rPr>
            </w:pPr>
          </w:p>
        </w:tc>
        <w:tc>
          <w:tcPr>
            <w:tcW w:w="1560" w:type="dxa"/>
            <w:tcBorders>
              <w:top w:val="single" w:sz="4" w:space="0" w:color="auto"/>
              <w:left w:val="single" w:sz="4" w:space="0" w:color="auto"/>
              <w:bottom w:val="single" w:sz="4" w:space="0" w:color="auto"/>
              <w:right w:val="single" w:sz="4" w:space="0" w:color="auto"/>
            </w:tcBorders>
          </w:tcPr>
          <w:p w14:paraId="0F41DCA1" w14:textId="77777777" w:rsidR="001C7311" w:rsidRPr="00227C4B" w:rsidRDefault="001C7311" w:rsidP="001C7311">
            <w:pPr>
              <w:tabs>
                <w:tab w:val="left" w:pos="284"/>
              </w:tabs>
              <w:rPr>
                <w:noProof/>
                <w:sz w:val="22"/>
                <w:szCs w:val="22"/>
                <w:lang w:val="sr-Latn-CS"/>
              </w:rPr>
            </w:pPr>
          </w:p>
        </w:tc>
      </w:tr>
      <w:tr w:rsidR="001C7311" w:rsidRPr="00227C4B" w14:paraId="4DC60501" w14:textId="77777777" w:rsidTr="00164FF5">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302B1431" w14:textId="77777777" w:rsidR="001C7311" w:rsidRPr="00227C4B" w:rsidRDefault="001C7311" w:rsidP="001C7311">
            <w:pPr>
              <w:tabs>
                <w:tab w:val="left" w:pos="284"/>
              </w:tabs>
              <w:rPr>
                <w:b/>
                <w:noProof/>
                <w:sz w:val="22"/>
                <w:szCs w:val="22"/>
                <w:lang w:val="sr-Latn-CS"/>
              </w:rPr>
            </w:pPr>
            <w:r w:rsidRPr="00227C4B">
              <w:rPr>
                <w:b/>
                <w:noProof/>
                <w:sz w:val="22"/>
                <w:szCs w:val="22"/>
                <w:lang w:val="sr-Latn-CS"/>
              </w:rPr>
              <w:t>Poremećaji kože i potkožnog tkiva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B27257" w14:textId="77777777" w:rsidR="001C7311" w:rsidRPr="00227C4B" w:rsidRDefault="001C7311" w:rsidP="001C7311">
            <w:pPr>
              <w:tabs>
                <w:tab w:val="left" w:pos="284"/>
              </w:tabs>
              <w:rPr>
                <w:noProof/>
                <w:sz w:val="22"/>
                <w:szCs w:val="22"/>
                <w:lang w:val="sr-Latn-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D96BF0" w14:textId="7CB3810F" w:rsidR="001C7311" w:rsidRPr="00227C4B" w:rsidRDefault="001C7311">
            <w:pPr>
              <w:tabs>
                <w:tab w:val="left" w:pos="284"/>
              </w:tabs>
              <w:rPr>
                <w:noProof/>
                <w:sz w:val="22"/>
                <w:szCs w:val="22"/>
                <w:lang w:val="sr-Latn-CS"/>
              </w:rPr>
            </w:pPr>
            <w:r w:rsidRPr="00227C4B">
              <w:rPr>
                <w:noProof/>
                <w:sz w:val="22"/>
                <w:szCs w:val="22"/>
                <w:lang w:val="sr-Latn-CS"/>
              </w:rPr>
              <w:t xml:space="preserve">Alergijske </w:t>
            </w:r>
            <w:r w:rsidR="0026366B">
              <w:rPr>
                <w:noProof/>
                <w:sz w:val="22"/>
                <w:szCs w:val="22"/>
                <w:lang w:val="sr-Latn-CS"/>
              </w:rPr>
              <w:t>manifestacije</w:t>
            </w:r>
            <w:r w:rsidR="0026366B" w:rsidRPr="00227C4B">
              <w:rPr>
                <w:noProof/>
                <w:sz w:val="22"/>
                <w:szCs w:val="22"/>
                <w:lang w:val="sr-Latn-CS"/>
              </w:rPr>
              <w:t xml:space="preserve"> </w:t>
            </w:r>
            <w:r w:rsidRPr="00227C4B">
              <w:rPr>
                <w:noProof/>
                <w:sz w:val="22"/>
                <w:szCs w:val="22"/>
                <w:lang w:val="sr-Latn-CS"/>
              </w:rPr>
              <w:t>na koži</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F0ECB99" w14:textId="77777777" w:rsidR="001C7311" w:rsidRPr="00227C4B" w:rsidRDefault="001C7311" w:rsidP="001C7311">
            <w:pPr>
              <w:tabs>
                <w:tab w:val="left" w:pos="284"/>
              </w:tabs>
              <w:rPr>
                <w:noProof/>
                <w:sz w:val="22"/>
                <w:szCs w:val="22"/>
                <w:lang w:val="sr-Latn-CS"/>
              </w:rPr>
            </w:pPr>
            <w:r w:rsidRPr="00227C4B">
              <w:rPr>
                <w:noProof/>
                <w:sz w:val="22"/>
                <w:szCs w:val="22"/>
                <w:lang w:val="sr-Latn-CS"/>
              </w:rPr>
              <w:t>Lipodistrofija</w:t>
            </w:r>
          </w:p>
        </w:tc>
        <w:tc>
          <w:tcPr>
            <w:tcW w:w="1560" w:type="dxa"/>
            <w:tcBorders>
              <w:top w:val="single" w:sz="4" w:space="0" w:color="auto"/>
              <w:left w:val="single" w:sz="4" w:space="0" w:color="auto"/>
              <w:bottom w:val="single" w:sz="4" w:space="0" w:color="auto"/>
              <w:right w:val="single" w:sz="4" w:space="0" w:color="auto"/>
            </w:tcBorders>
          </w:tcPr>
          <w:p w14:paraId="55A59EB2" w14:textId="32BA1274" w:rsidR="001C7311" w:rsidRPr="00227C4B" w:rsidRDefault="003C2D8C" w:rsidP="001C7311">
            <w:pPr>
              <w:tabs>
                <w:tab w:val="left" w:pos="284"/>
              </w:tabs>
              <w:rPr>
                <w:noProof/>
                <w:sz w:val="22"/>
                <w:szCs w:val="22"/>
                <w:lang w:val="sr-Latn-CS"/>
              </w:rPr>
            </w:pPr>
            <w:r>
              <w:rPr>
                <w:noProof/>
                <w:sz w:val="22"/>
                <w:szCs w:val="22"/>
                <w:lang w:val="sr-Latn-CS"/>
              </w:rPr>
              <w:t xml:space="preserve">Kutana </w:t>
            </w:r>
            <w:r w:rsidR="001A2CE0">
              <w:rPr>
                <w:noProof/>
                <w:sz w:val="22"/>
                <w:szCs w:val="22"/>
                <w:lang w:val="sr-Latn-CS"/>
              </w:rPr>
              <w:t>amiloidoza</w:t>
            </w:r>
            <w:r w:rsidR="001A2CE0" w:rsidRPr="00C46C9C">
              <w:rPr>
                <w:noProof/>
                <w:sz w:val="22"/>
                <w:szCs w:val="22"/>
                <w:vertAlign w:val="superscript"/>
                <w:lang w:val="sr-Latn-CS"/>
              </w:rPr>
              <w:t>⸶</w:t>
            </w:r>
          </w:p>
        </w:tc>
      </w:tr>
      <w:tr w:rsidR="001C7311" w:rsidRPr="001D23DB" w14:paraId="76D66359" w14:textId="77777777" w:rsidTr="00164FF5">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40BAD83F" w14:textId="77777777" w:rsidR="001C7311" w:rsidRPr="00227C4B" w:rsidRDefault="001C7311" w:rsidP="001C7311">
            <w:pPr>
              <w:tabs>
                <w:tab w:val="left" w:pos="284"/>
              </w:tabs>
              <w:rPr>
                <w:noProof/>
                <w:sz w:val="22"/>
                <w:szCs w:val="22"/>
                <w:lang w:val="sr-Latn-CS"/>
              </w:rPr>
            </w:pPr>
            <w:r w:rsidRPr="00227C4B">
              <w:rPr>
                <w:b/>
                <w:noProof/>
                <w:sz w:val="22"/>
                <w:szCs w:val="22"/>
                <w:lang w:val="sr-Latn-CS"/>
              </w:rPr>
              <w:t>Opšti poremećaji i reakcije na m</w:t>
            </w:r>
            <w:r>
              <w:rPr>
                <w:b/>
                <w:noProof/>
                <w:sz w:val="22"/>
                <w:szCs w:val="22"/>
                <w:lang w:val="sr-Latn-CS"/>
              </w:rPr>
              <w:t>j</w:t>
            </w:r>
            <w:r w:rsidRPr="00227C4B">
              <w:rPr>
                <w:b/>
                <w:noProof/>
                <w:sz w:val="22"/>
                <w:szCs w:val="22"/>
                <w:lang w:val="sr-Latn-CS"/>
              </w:rPr>
              <w:t>estu prim</w:t>
            </w:r>
            <w:r>
              <w:rPr>
                <w:b/>
                <w:noProof/>
                <w:sz w:val="22"/>
                <w:szCs w:val="22"/>
                <w:lang w:val="sr-Latn-CS"/>
              </w:rPr>
              <w:t>j</w:t>
            </w:r>
            <w:r w:rsidRPr="00227C4B">
              <w:rPr>
                <w:b/>
                <w:noProof/>
                <w:sz w:val="22"/>
                <w:szCs w:val="22"/>
                <w:lang w:val="sr-Latn-CS"/>
              </w:rPr>
              <w:t>ene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06BD68" w14:textId="77777777" w:rsidR="001C7311" w:rsidRPr="00227C4B" w:rsidRDefault="001C7311" w:rsidP="001C7311">
            <w:pPr>
              <w:tabs>
                <w:tab w:val="left" w:pos="284"/>
              </w:tabs>
              <w:rPr>
                <w:noProof/>
                <w:sz w:val="22"/>
                <w:szCs w:val="22"/>
                <w:lang w:val="sr-Latn-CS"/>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C9D146D" w14:textId="77777777" w:rsidR="001C7311" w:rsidRPr="00227C4B" w:rsidRDefault="001C7311" w:rsidP="001C7311">
            <w:pPr>
              <w:tabs>
                <w:tab w:val="left" w:pos="284"/>
              </w:tabs>
              <w:rPr>
                <w:noProof/>
                <w:sz w:val="22"/>
                <w:szCs w:val="22"/>
                <w:lang w:val="sr-Latn-CS"/>
              </w:rPr>
            </w:pPr>
            <w:r w:rsidRPr="00227C4B">
              <w:rPr>
                <w:noProof/>
                <w:sz w:val="22"/>
                <w:szCs w:val="22"/>
                <w:lang w:val="sr-Latn-CS"/>
              </w:rPr>
              <w:t>Reakcije na m</w:t>
            </w:r>
            <w:r>
              <w:rPr>
                <w:noProof/>
                <w:sz w:val="22"/>
                <w:szCs w:val="22"/>
                <w:lang w:val="sr-Latn-CS"/>
              </w:rPr>
              <w:t>j</w:t>
            </w:r>
            <w:r w:rsidRPr="00227C4B">
              <w:rPr>
                <w:noProof/>
                <w:sz w:val="22"/>
                <w:szCs w:val="22"/>
                <w:lang w:val="sr-Latn-CS"/>
              </w:rPr>
              <w:t>estu injekcije/infuzije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2564AE" w14:textId="77777777" w:rsidR="001C7311" w:rsidRPr="00227C4B" w:rsidRDefault="001C7311" w:rsidP="001C7311">
            <w:pPr>
              <w:tabs>
                <w:tab w:val="left" w:pos="284"/>
              </w:tabs>
              <w:rPr>
                <w:noProof/>
                <w:sz w:val="22"/>
                <w:szCs w:val="22"/>
                <w:lang w:val="sr-Latn-CS"/>
              </w:rPr>
            </w:pPr>
          </w:p>
        </w:tc>
        <w:tc>
          <w:tcPr>
            <w:tcW w:w="1560" w:type="dxa"/>
            <w:tcBorders>
              <w:top w:val="single" w:sz="4" w:space="0" w:color="auto"/>
              <w:left w:val="single" w:sz="4" w:space="0" w:color="auto"/>
              <w:bottom w:val="single" w:sz="4" w:space="0" w:color="auto"/>
              <w:right w:val="single" w:sz="4" w:space="0" w:color="auto"/>
            </w:tcBorders>
          </w:tcPr>
          <w:p w14:paraId="32941AD6" w14:textId="77777777" w:rsidR="001C7311" w:rsidRPr="00227C4B" w:rsidRDefault="001C7311" w:rsidP="001C7311">
            <w:pPr>
              <w:tabs>
                <w:tab w:val="left" w:pos="284"/>
              </w:tabs>
              <w:rPr>
                <w:noProof/>
                <w:sz w:val="22"/>
                <w:szCs w:val="22"/>
                <w:lang w:val="sr-Latn-CS"/>
              </w:rPr>
            </w:pPr>
          </w:p>
        </w:tc>
      </w:tr>
    </w:tbl>
    <w:p w14:paraId="291A21BE" w14:textId="32206929" w:rsidR="003C2D8C" w:rsidRDefault="003C2D8C" w:rsidP="00EE2F19">
      <w:pPr>
        <w:rPr>
          <w:rFonts w:eastAsia="Calibri"/>
          <w:sz w:val="22"/>
          <w:szCs w:val="22"/>
          <w:u w:val="single"/>
          <w:lang w:val="sr-Latn-RS"/>
        </w:rPr>
      </w:pPr>
      <w:r w:rsidRPr="003C2D8C">
        <w:rPr>
          <w:noProof/>
          <w:sz w:val="18"/>
          <w:szCs w:val="18"/>
          <w:lang w:val="sr-Latn-CS"/>
        </w:rPr>
        <w:lastRenderedPageBreak/>
        <w:t xml:space="preserve">† </w:t>
      </w:r>
      <w:r w:rsidRPr="003C2D8C">
        <w:rPr>
          <w:noProof/>
          <w:sz w:val="18"/>
          <w:szCs w:val="18"/>
          <w:lang w:val="pt-BR"/>
        </w:rPr>
        <w:t>neželjena reakcija iz</w:t>
      </w:r>
      <w:r w:rsidRPr="003C2D8C">
        <w:rPr>
          <w:noProof/>
          <w:sz w:val="18"/>
          <w:szCs w:val="18"/>
          <w:lang w:val="sr-Latn-CS"/>
        </w:rPr>
        <w:t xml:space="preserve"> </w:t>
      </w:r>
      <w:r w:rsidRPr="003C2D8C">
        <w:rPr>
          <w:noProof/>
          <w:sz w:val="18"/>
          <w:szCs w:val="18"/>
          <w:lang w:val="pt-BR"/>
        </w:rPr>
        <w:t>postmarketin</w:t>
      </w:r>
      <w:r w:rsidRPr="003C2D8C">
        <w:rPr>
          <w:noProof/>
          <w:sz w:val="18"/>
          <w:szCs w:val="18"/>
          <w:lang w:val="sr-Latn-CS"/>
        </w:rPr>
        <w:t>š</w:t>
      </w:r>
      <w:r w:rsidRPr="003C2D8C">
        <w:rPr>
          <w:noProof/>
          <w:sz w:val="18"/>
          <w:szCs w:val="18"/>
          <w:lang w:val="pt-BR"/>
        </w:rPr>
        <w:t>kih</w:t>
      </w:r>
      <w:r w:rsidRPr="003C2D8C">
        <w:rPr>
          <w:noProof/>
          <w:sz w:val="18"/>
          <w:szCs w:val="18"/>
          <w:lang w:val="sr-Latn-CS"/>
        </w:rPr>
        <w:t xml:space="preserve"> </w:t>
      </w:r>
      <w:r w:rsidRPr="003C2D8C">
        <w:rPr>
          <w:noProof/>
          <w:sz w:val="18"/>
          <w:szCs w:val="18"/>
          <w:lang w:val="pt-BR"/>
        </w:rPr>
        <w:t>izvora</w:t>
      </w:r>
      <w:r w:rsidRPr="003C2D8C">
        <w:rPr>
          <w:noProof/>
          <w:sz w:val="18"/>
          <w:szCs w:val="18"/>
          <w:lang w:val="sr-Latn-CS"/>
        </w:rPr>
        <w:t>.</w:t>
      </w:r>
    </w:p>
    <w:p w14:paraId="56970A25" w14:textId="77777777" w:rsidR="001D23DB" w:rsidRDefault="001D23DB" w:rsidP="00EE2F19">
      <w:pPr>
        <w:rPr>
          <w:rFonts w:eastAsia="Calibri"/>
          <w:sz w:val="22"/>
          <w:szCs w:val="22"/>
          <w:u w:val="single"/>
          <w:lang w:val="sr-Latn-RS"/>
        </w:rPr>
      </w:pPr>
    </w:p>
    <w:p w14:paraId="4D93E185" w14:textId="3C02E850" w:rsidR="00EE2F19" w:rsidRPr="00EE2F19" w:rsidRDefault="00EE2F19" w:rsidP="00EE2F19">
      <w:pPr>
        <w:rPr>
          <w:rFonts w:eastAsia="Calibri"/>
          <w:sz w:val="22"/>
          <w:szCs w:val="22"/>
          <w:u w:val="single"/>
          <w:lang w:val="sr-Latn-RS"/>
        </w:rPr>
      </w:pPr>
      <w:r w:rsidRPr="00EE2F19">
        <w:rPr>
          <w:rFonts w:eastAsia="Calibri"/>
          <w:sz w:val="22"/>
          <w:szCs w:val="22"/>
          <w:u w:val="single"/>
          <w:lang w:val="sr-Latn-RS"/>
        </w:rPr>
        <w:t>Opis odabranih neželjenih reakcija</w:t>
      </w:r>
    </w:p>
    <w:p w14:paraId="3D3F76FF" w14:textId="77777777" w:rsidR="00EE2F19" w:rsidRPr="00EE2F19" w:rsidRDefault="00EE2F19" w:rsidP="00EE2F19">
      <w:pPr>
        <w:rPr>
          <w:rFonts w:eastAsia="Calibri"/>
          <w:sz w:val="22"/>
          <w:szCs w:val="22"/>
          <w:lang w:val="sr-Latn-RS"/>
        </w:rPr>
      </w:pPr>
    </w:p>
    <w:p w14:paraId="46C4D9A5" w14:textId="77777777" w:rsidR="00EE2F19" w:rsidRPr="00EE2F19" w:rsidRDefault="00EE2F19" w:rsidP="00EE2F19">
      <w:pPr>
        <w:rPr>
          <w:rFonts w:eastAsia="Calibri"/>
          <w:i/>
          <w:iCs/>
          <w:sz w:val="22"/>
          <w:szCs w:val="22"/>
          <w:lang w:val="sr-Latn-RS"/>
        </w:rPr>
      </w:pPr>
      <w:r w:rsidRPr="00EE2F19">
        <w:rPr>
          <w:rFonts w:eastAsia="Calibri"/>
          <w:i/>
          <w:iCs/>
          <w:sz w:val="22"/>
          <w:szCs w:val="22"/>
          <w:lang w:val="sr-Latn-RS"/>
        </w:rPr>
        <w:t>Alergijske reakcije</w:t>
      </w:r>
    </w:p>
    <w:p w14:paraId="08DE73F3" w14:textId="0C2AD2A4" w:rsidR="00EE2F19" w:rsidRPr="00EE2F19" w:rsidRDefault="00EE2F19" w:rsidP="000F6B37">
      <w:pPr>
        <w:jc w:val="both"/>
        <w:rPr>
          <w:rFonts w:eastAsia="Calibri"/>
          <w:sz w:val="22"/>
          <w:szCs w:val="22"/>
          <w:lang w:val="sr-Latn-RS"/>
        </w:rPr>
      </w:pPr>
      <w:r w:rsidRPr="00EE2F19">
        <w:rPr>
          <w:rFonts w:eastAsia="Calibri"/>
          <w:sz w:val="22"/>
          <w:szCs w:val="22"/>
          <w:lang w:val="sr-Latn-RS"/>
        </w:rPr>
        <w:t xml:space="preserve">Alergijske </w:t>
      </w:r>
      <w:r w:rsidR="0026366B">
        <w:rPr>
          <w:noProof/>
          <w:sz w:val="22"/>
          <w:szCs w:val="22"/>
          <w:lang w:val="sr-Latn-CS"/>
        </w:rPr>
        <w:t>manifestacije</w:t>
      </w:r>
      <w:r w:rsidR="0026366B" w:rsidRPr="00227C4B">
        <w:rPr>
          <w:noProof/>
          <w:sz w:val="22"/>
          <w:szCs w:val="22"/>
          <w:lang w:val="sr-Latn-CS"/>
        </w:rPr>
        <w:t xml:space="preserve"> </w:t>
      </w:r>
      <w:r w:rsidRPr="00EE2F19">
        <w:rPr>
          <w:rFonts w:eastAsia="Calibri"/>
          <w:sz w:val="22"/>
          <w:szCs w:val="22"/>
          <w:lang w:val="sr-Latn-RS"/>
        </w:rPr>
        <w:t xml:space="preserve">na koži prijavljene u vezi sa </w:t>
      </w:r>
      <w:r w:rsidR="0070774E">
        <w:rPr>
          <w:rFonts w:eastAsia="Calibri"/>
          <w:sz w:val="22"/>
          <w:szCs w:val="22"/>
          <w:lang w:val="sr-Latn-RS"/>
        </w:rPr>
        <w:t>lijekom Fiasp</w:t>
      </w:r>
      <w:r w:rsidRPr="00EE2F19">
        <w:rPr>
          <w:rFonts w:eastAsia="Calibri"/>
          <w:sz w:val="22"/>
          <w:szCs w:val="22"/>
          <w:lang w:val="sr-Latn-RS"/>
        </w:rPr>
        <w:t xml:space="preserve"> (1,</w:t>
      </w:r>
      <w:r w:rsidR="00316D44">
        <w:rPr>
          <w:rFonts w:eastAsia="Calibri"/>
          <w:sz w:val="22"/>
          <w:szCs w:val="22"/>
          <w:lang w:val="sr-Latn-RS"/>
        </w:rPr>
        <w:t>8</w:t>
      </w:r>
      <w:r w:rsidRPr="00EE2F19">
        <w:rPr>
          <w:rFonts w:eastAsia="Calibri"/>
          <w:sz w:val="22"/>
          <w:szCs w:val="22"/>
          <w:lang w:val="sr-Latn-RS"/>
        </w:rPr>
        <w:t>% prema 1,</w:t>
      </w:r>
      <w:r w:rsidR="00316D44">
        <w:rPr>
          <w:rFonts w:eastAsia="Calibri"/>
          <w:sz w:val="22"/>
          <w:szCs w:val="22"/>
          <w:lang w:val="sr-Latn-RS"/>
        </w:rPr>
        <w:t>5</w:t>
      </w:r>
      <w:r w:rsidRPr="00EE2F19">
        <w:rPr>
          <w:rFonts w:eastAsia="Calibri"/>
          <w:sz w:val="22"/>
          <w:szCs w:val="22"/>
          <w:lang w:val="sr-Latn-RS"/>
        </w:rPr>
        <w:t>% za komparator) uključuju ekcem, osip, pruritus praćen osipom, urtikarijom i dermatitisom.</w:t>
      </w:r>
    </w:p>
    <w:p w14:paraId="5912DF0F" w14:textId="77777777" w:rsidR="00EE2F19" w:rsidRPr="00EE2F19" w:rsidRDefault="00EE2F19" w:rsidP="000F6B37">
      <w:pPr>
        <w:jc w:val="both"/>
        <w:rPr>
          <w:rFonts w:eastAsia="Calibri"/>
          <w:sz w:val="22"/>
          <w:szCs w:val="22"/>
          <w:lang w:val="sr-Latn-RS"/>
        </w:rPr>
      </w:pPr>
    </w:p>
    <w:p w14:paraId="44041B9D" w14:textId="35A0D812" w:rsidR="00EE2F19" w:rsidRPr="00EE2F19" w:rsidRDefault="00EE2F19" w:rsidP="000F6B37">
      <w:pPr>
        <w:jc w:val="both"/>
        <w:rPr>
          <w:rFonts w:eastAsia="Calibri"/>
          <w:sz w:val="22"/>
          <w:szCs w:val="22"/>
          <w:lang w:val="sr-Latn-RS"/>
        </w:rPr>
      </w:pPr>
      <w:r w:rsidRPr="00EE2F19">
        <w:rPr>
          <w:rFonts w:eastAsia="Calibri"/>
          <w:sz w:val="22"/>
          <w:szCs w:val="22"/>
          <w:lang w:val="sr-Latn-RS"/>
        </w:rPr>
        <w:t xml:space="preserve">Generalizovane reakcije preosjetljivosti (u obliku generalizovanog osipa na koži i edema lica) na </w:t>
      </w:r>
      <w:r w:rsidR="0070774E">
        <w:rPr>
          <w:rFonts w:eastAsia="Calibri"/>
          <w:sz w:val="22"/>
          <w:szCs w:val="22"/>
          <w:lang w:val="sr-Latn-RS"/>
        </w:rPr>
        <w:t>lijek Fiasp</w:t>
      </w:r>
      <w:r w:rsidRPr="00EE2F19">
        <w:rPr>
          <w:rFonts w:eastAsia="Calibri"/>
          <w:sz w:val="22"/>
          <w:szCs w:val="22"/>
          <w:lang w:val="sr-Latn-RS"/>
        </w:rPr>
        <w:t xml:space="preserve"> prijavljivane su povremeno (0,2% prema 0,</w:t>
      </w:r>
      <w:r w:rsidR="00316D44">
        <w:rPr>
          <w:rFonts w:eastAsia="Calibri"/>
          <w:sz w:val="22"/>
          <w:szCs w:val="22"/>
          <w:lang w:val="sr-Latn-RS"/>
        </w:rPr>
        <w:t>3</w:t>
      </w:r>
      <w:r w:rsidRPr="00EE2F19">
        <w:rPr>
          <w:rFonts w:eastAsia="Calibri"/>
          <w:sz w:val="22"/>
          <w:szCs w:val="22"/>
          <w:lang w:val="sr-Latn-RS"/>
        </w:rPr>
        <w:t>% za komparator).</w:t>
      </w:r>
    </w:p>
    <w:p w14:paraId="6CA435B7" w14:textId="77777777" w:rsidR="00EE2F19" w:rsidRPr="00EE2F19" w:rsidRDefault="00EE2F19" w:rsidP="000F6B37">
      <w:pPr>
        <w:jc w:val="both"/>
        <w:rPr>
          <w:rFonts w:eastAsia="Calibri"/>
          <w:sz w:val="22"/>
          <w:szCs w:val="22"/>
          <w:lang w:val="sr-Latn-RS"/>
        </w:rPr>
      </w:pPr>
    </w:p>
    <w:p w14:paraId="72ADABF5" w14:textId="77777777" w:rsidR="00EE2F19" w:rsidRPr="00EE2F19" w:rsidRDefault="00EE2F19" w:rsidP="000F6B37">
      <w:pPr>
        <w:jc w:val="both"/>
        <w:rPr>
          <w:rFonts w:eastAsia="Calibri"/>
          <w:i/>
          <w:iCs/>
          <w:sz w:val="22"/>
          <w:szCs w:val="22"/>
          <w:lang w:val="sr-Latn-RS"/>
        </w:rPr>
      </w:pPr>
      <w:r w:rsidRPr="00EE2F19">
        <w:rPr>
          <w:rFonts w:eastAsia="Calibri"/>
          <w:i/>
          <w:iCs/>
          <w:sz w:val="22"/>
          <w:szCs w:val="22"/>
          <w:lang w:val="sr-Latn-RS"/>
        </w:rPr>
        <w:t>Hipoglikemija</w:t>
      </w:r>
    </w:p>
    <w:p w14:paraId="0BAAC739" w14:textId="25B07B3D" w:rsidR="00EE2F19" w:rsidRPr="00EE2F19" w:rsidRDefault="00EE2F19" w:rsidP="000F6B37">
      <w:pPr>
        <w:jc w:val="both"/>
        <w:rPr>
          <w:rFonts w:eastAsia="Calibri"/>
          <w:sz w:val="22"/>
          <w:szCs w:val="22"/>
          <w:lang w:val="sr-Latn-RS"/>
        </w:rPr>
      </w:pPr>
      <w:r w:rsidRPr="00EE2F19">
        <w:rPr>
          <w:rFonts w:eastAsia="Calibri"/>
          <w:sz w:val="22"/>
          <w:szCs w:val="22"/>
          <w:lang w:val="sr-Latn-RS"/>
        </w:rPr>
        <w:t xml:space="preserve">Hipoglikemija se može javiti ukoliko je doza insulina suviše velika u odnosu na potrebe za insulinom. Teška hipoglikemija može dovesti do gubitka svijesti i/ili konvulzija i može prouzrokovati privremeno ili trajno oštećenje funkcije mozga, pa čak i smrt. Simptomi hipoglikemije se obično javljaju iznenada. Oni uključuju: hladan znoj, hladnu blijedu kožu, </w:t>
      </w:r>
      <w:r w:rsidR="004338CD">
        <w:rPr>
          <w:rFonts w:eastAsia="Calibri"/>
          <w:sz w:val="22"/>
          <w:szCs w:val="22"/>
          <w:lang w:val="sr-Latn-RS"/>
        </w:rPr>
        <w:t>umor</w:t>
      </w:r>
      <w:r w:rsidRPr="00EE2F19">
        <w:rPr>
          <w:rFonts w:eastAsia="Calibri"/>
          <w:sz w:val="22"/>
          <w:szCs w:val="22"/>
          <w:lang w:val="sr-Latn-RS"/>
        </w:rPr>
        <w:t xml:space="preserve">, nervozu ili drhtavicu, anksioznost, neuobičajen umor ili slabost, konfuziju, teškoće u koncentraciji, pospanost, izrazitu glad, poremećaj vida, glavobolju, mučninu i palpitacije (vidjeti </w:t>
      </w:r>
      <w:r w:rsidR="00F653C0">
        <w:rPr>
          <w:rFonts w:eastAsia="Calibri"/>
          <w:sz w:val="22"/>
          <w:szCs w:val="22"/>
          <w:lang w:val="sr-Latn-RS"/>
        </w:rPr>
        <w:t>djelove</w:t>
      </w:r>
      <w:r w:rsidR="00F653C0" w:rsidRPr="00EE2F19">
        <w:rPr>
          <w:rFonts w:eastAsia="Calibri"/>
          <w:sz w:val="22"/>
          <w:szCs w:val="22"/>
          <w:lang w:val="sr-Latn-RS"/>
        </w:rPr>
        <w:t xml:space="preserve"> </w:t>
      </w:r>
      <w:r w:rsidRPr="00EE2F19">
        <w:rPr>
          <w:rFonts w:eastAsia="Calibri"/>
          <w:sz w:val="22"/>
          <w:szCs w:val="22"/>
          <w:lang w:val="sr-Latn-RS"/>
        </w:rPr>
        <w:t xml:space="preserve">4.4 i 5.1). Hipoglikemija može nastupiti ranije nakon primjene injekcije/infuzije </w:t>
      </w:r>
      <w:r w:rsidR="0026366B">
        <w:rPr>
          <w:rFonts w:eastAsia="Calibri"/>
          <w:sz w:val="22"/>
          <w:szCs w:val="22"/>
          <w:lang w:val="sr-Latn-RS"/>
        </w:rPr>
        <w:t>lijeka Fiasp</w:t>
      </w:r>
      <w:r w:rsidRPr="00EE2F19">
        <w:rPr>
          <w:rFonts w:eastAsia="Calibri"/>
          <w:sz w:val="22"/>
          <w:szCs w:val="22"/>
          <w:lang w:val="sr-Latn-RS"/>
        </w:rPr>
        <w:t xml:space="preserve"> u poređenju sa drugim insulinima koji se uzimaju uz obrok zbog bržeg početka djelovanja.</w:t>
      </w:r>
    </w:p>
    <w:p w14:paraId="31A99ADE" w14:textId="77777777" w:rsidR="00EE2F19" w:rsidRPr="00EE2F19" w:rsidRDefault="00EE2F19" w:rsidP="000F6B37">
      <w:pPr>
        <w:jc w:val="both"/>
        <w:rPr>
          <w:rFonts w:eastAsia="Calibri"/>
          <w:sz w:val="22"/>
          <w:szCs w:val="22"/>
          <w:lang w:val="sr-Latn-RS"/>
        </w:rPr>
      </w:pPr>
    </w:p>
    <w:p w14:paraId="52A70339" w14:textId="2AEF1A3D" w:rsidR="00EE2F19" w:rsidRPr="00EE2F19" w:rsidRDefault="008D0BC2" w:rsidP="00831E07">
      <w:pPr>
        <w:jc w:val="both"/>
        <w:rPr>
          <w:rFonts w:eastAsia="Calibri"/>
          <w:i/>
          <w:iCs/>
          <w:sz w:val="22"/>
          <w:szCs w:val="22"/>
          <w:lang w:val="sr-Latn-RS"/>
        </w:rPr>
      </w:pPr>
      <w:r>
        <w:rPr>
          <w:rFonts w:eastAsia="Calibri"/>
          <w:i/>
          <w:iCs/>
          <w:sz w:val="22"/>
          <w:szCs w:val="22"/>
          <w:lang w:val="sr-Latn-RS"/>
        </w:rPr>
        <w:t xml:space="preserve">Promjene na </w:t>
      </w:r>
      <w:r w:rsidR="00F653C0">
        <w:rPr>
          <w:rFonts w:eastAsia="Calibri"/>
          <w:i/>
          <w:iCs/>
          <w:sz w:val="22"/>
          <w:szCs w:val="22"/>
          <w:lang w:val="sr-Latn-RS"/>
        </w:rPr>
        <w:t>kož</w:t>
      </w:r>
      <w:r>
        <w:rPr>
          <w:rFonts w:eastAsia="Calibri"/>
          <w:i/>
          <w:iCs/>
          <w:sz w:val="22"/>
          <w:szCs w:val="22"/>
          <w:lang w:val="sr-Latn-RS"/>
        </w:rPr>
        <w:t>i</w:t>
      </w:r>
      <w:r w:rsidR="00F653C0">
        <w:rPr>
          <w:rFonts w:eastAsia="Calibri"/>
          <w:i/>
          <w:iCs/>
          <w:sz w:val="22"/>
          <w:szCs w:val="22"/>
          <w:lang w:val="sr-Latn-RS"/>
        </w:rPr>
        <w:t xml:space="preserve"> i potkožno</w:t>
      </w:r>
      <w:r>
        <w:rPr>
          <w:rFonts w:eastAsia="Calibri"/>
          <w:i/>
          <w:iCs/>
          <w:sz w:val="22"/>
          <w:szCs w:val="22"/>
          <w:lang w:val="sr-Latn-RS"/>
        </w:rPr>
        <w:t>m</w:t>
      </w:r>
      <w:r w:rsidR="00F653C0">
        <w:rPr>
          <w:rFonts w:eastAsia="Calibri"/>
          <w:i/>
          <w:iCs/>
          <w:sz w:val="22"/>
          <w:szCs w:val="22"/>
          <w:lang w:val="sr-Latn-RS"/>
        </w:rPr>
        <w:t xml:space="preserve"> tkiv</w:t>
      </w:r>
      <w:r>
        <w:rPr>
          <w:rFonts w:eastAsia="Calibri"/>
          <w:i/>
          <w:iCs/>
          <w:sz w:val="22"/>
          <w:szCs w:val="22"/>
          <w:lang w:val="sr-Latn-RS"/>
        </w:rPr>
        <w:t>u</w:t>
      </w:r>
      <w:r w:rsidR="00F653C0">
        <w:rPr>
          <w:rFonts w:eastAsia="Calibri"/>
          <w:i/>
          <w:iCs/>
          <w:sz w:val="22"/>
          <w:szCs w:val="22"/>
          <w:lang w:val="sr-Latn-RS"/>
        </w:rPr>
        <w:t xml:space="preserve"> </w:t>
      </w:r>
    </w:p>
    <w:p w14:paraId="6C3393F8" w14:textId="76134641" w:rsidR="00EE2F19" w:rsidRPr="00EE2F19" w:rsidRDefault="008D0BC2" w:rsidP="008D0BC2">
      <w:pPr>
        <w:jc w:val="both"/>
        <w:rPr>
          <w:rFonts w:eastAsia="Calibri"/>
          <w:sz w:val="22"/>
          <w:szCs w:val="22"/>
          <w:lang w:val="sr-Latn-RS"/>
        </w:rPr>
      </w:pPr>
      <w:r w:rsidRPr="008D0BC2">
        <w:rPr>
          <w:rFonts w:eastAsia="Calibri"/>
          <w:sz w:val="22"/>
          <w:szCs w:val="22"/>
          <w:lang w:val="sr-Latn-CS"/>
        </w:rPr>
        <w:t>Lipodistrofija (</w:t>
      </w:r>
      <w:r w:rsidRPr="008D0BC2">
        <w:rPr>
          <w:rFonts w:eastAsia="Calibri"/>
          <w:sz w:val="22"/>
          <w:szCs w:val="22"/>
          <w:lang w:val="sr-Latn-RS"/>
        </w:rPr>
        <w:t>uklju</w:t>
      </w:r>
      <w:r w:rsidRPr="008D0BC2">
        <w:rPr>
          <w:rFonts w:eastAsia="Calibri"/>
          <w:sz w:val="22"/>
          <w:szCs w:val="22"/>
          <w:lang w:val="sr-Latn-CS"/>
        </w:rPr>
        <w:t>č</w:t>
      </w:r>
      <w:r w:rsidRPr="008D0BC2">
        <w:rPr>
          <w:rFonts w:eastAsia="Calibri"/>
          <w:sz w:val="22"/>
          <w:szCs w:val="22"/>
          <w:lang w:val="sr-Latn-RS"/>
        </w:rPr>
        <w:t>uju</w:t>
      </w:r>
      <w:r w:rsidRPr="008D0BC2">
        <w:rPr>
          <w:rFonts w:eastAsia="Calibri"/>
          <w:sz w:val="22"/>
          <w:szCs w:val="22"/>
          <w:lang w:val="sr-Latn-CS"/>
        </w:rPr>
        <w:t>ć</w:t>
      </w:r>
      <w:r w:rsidRPr="008D0BC2">
        <w:rPr>
          <w:rFonts w:eastAsia="Calibri"/>
          <w:sz w:val="22"/>
          <w:szCs w:val="22"/>
          <w:lang w:val="sr-Latn-RS"/>
        </w:rPr>
        <w:t>i</w:t>
      </w:r>
      <w:r w:rsidRPr="008D0BC2">
        <w:rPr>
          <w:rFonts w:eastAsia="Calibri"/>
          <w:sz w:val="22"/>
          <w:szCs w:val="22"/>
          <w:lang w:val="sr-Latn-CS"/>
        </w:rPr>
        <w:t xml:space="preserve"> </w:t>
      </w:r>
      <w:r w:rsidRPr="008D0BC2">
        <w:rPr>
          <w:rFonts w:eastAsia="Calibri"/>
          <w:sz w:val="22"/>
          <w:szCs w:val="22"/>
          <w:lang w:val="sr-Latn-RS"/>
        </w:rPr>
        <w:t>lipohipertrofiju</w:t>
      </w:r>
      <w:r w:rsidRPr="008D0BC2">
        <w:rPr>
          <w:rFonts w:eastAsia="Calibri"/>
          <w:sz w:val="22"/>
          <w:szCs w:val="22"/>
          <w:lang w:val="sr-Latn-CS"/>
        </w:rPr>
        <w:t xml:space="preserve"> </w:t>
      </w:r>
      <w:r w:rsidRPr="008D0BC2">
        <w:rPr>
          <w:rFonts w:eastAsia="Calibri"/>
          <w:sz w:val="22"/>
          <w:szCs w:val="22"/>
          <w:lang w:val="sr-Latn-RS"/>
        </w:rPr>
        <w:t>i</w:t>
      </w:r>
      <w:r w:rsidRPr="008D0BC2">
        <w:rPr>
          <w:rFonts w:eastAsia="Calibri"/>
          <w:sz w:val="22"/>
          <w:szCs w:val="22"/>
          <w:lang w:val="sr-Latn-CS"/>
        </w:rPr>
        <w:t xml:space="preserve"> </w:t>
      </w:r>
      <w:r w:rsidRPr="008D0BC2">
        <w:rPr>
          <w:rFonts w:eastAsia="Calibri"/>
          <w:sz w:val="22"/>
          <w:szCs w:val="22"/>
          <w:lang w:val="sr-Latn-RS"/>
        </w:rPr>
        <w:t>lipoatrofiju</w:t>
      </w:r>
      <w:r w:rsidRPr="008D0BC2">
        <w:rPr>
          <w:rFonts w:eastAsia="Calibri"/>
          <w:sz w:val="22"/>
          <w:szCs w:val="22"/>
          <w:lang w:val="sr-Latn-CS"/>
        </w:rPr>
        <w:t xml:space="preserve">) i kutana amiloidoza se mogu javiti na mjestu ubrizgavanja i odložiti lokalnu apsorpciju insulina. </w:t>
      </w:r>
      <w:r w:rsidRPr="008D0BC2">
        <w:rPr>
          <w:rFonts w:eastAsia="Calibri"/>
          <w:sz w:val="22"/>
          <w:szCs w:val="22"/>
          <w:lang w:val="sr-Latn-RS"/>
        </w:rPr>
        <w:t xml:space="preserve">Kod pacijenata liječenih lijekom Fiasp prijavljena je lipodistrofija na mjestu injekcije/infuzije (0,5% prema 0,2% za komparator). Stalno kružno mijenjanje mjesta ubrizgavanja u okviru datog dijela tijela predviđenog za ubrizgavanje može </w:t>
      </w:r>
      <w:r w:rsidRPr="008D0BC2">
        <w:rPr>
          <w:rFonts w:eastAsia="Calibri"/>
          <w:sz w:val="22"/>
          <w:szCs w:val="22"/>
          <w:lang w:val="sr-Latn-CS"/>
        </w:rPr>
        <w:t xml:space="preserve">doprineti smanjenu ili prevenciji </w:t>
      </w:r>
      <w:r w:rsidRPr="008D0BC2">
        <w:rPr>
          <w:rFonts w:eastAsia="Calibri"/>
          <w:sz w:val="22"/>
          <w:szCs w:val="22"/>
          <w:lang w:val="sr-Latn-RS"/>
        </w:rPr>
        <w:t xml:space="preserve">ovih reakcija </w:t>
      </w:r>
      <w:r w:rsidRPr="008D0BC2">
        <w:rPr>
          <w:rFonts w:eastAsia="Calibri"/>
          <w:sz w:val="22"/>
          <w:szCs w:val="22"/>
          <w:lang w:val="sr-Latn-CS"/>
        </w:rPr>
        <w:t xml:space="preserve">(vidjeti </w:t>
      </w:r>
      <w:r w:rsidR="0077787F">
        <w:rPr>
          <w:rFonts w:eastAsia="Calibri"/>
          <w:sz w:val="22"/>
          <w:szCs w:val="22"/>
          <w:lang w:val="sr-Latn-CS"/>
        </w:rPr>
        <w:t>dio</w:t>
      </w:r>
      <w:r w:rsidRPr="008D0BC2">
        <w:rPr>
          <w:rFonts w:eastAsia="Calibri"/>
          <w:sz w:val="22"/>
          <w:szCs w:val="22"/>
          <w:lang w:val="sr-Latn-CS"/>
        </w:rPr>
        <w:t xml:space="preserve"> 4.4)</w:t>
      </w:r>
      <w:r w:rsidR="00EE2F19" w:rsidRPr="00EE2F19">
        <w:rPr>
          <w:rFonts w:eastAsia="Calibri"/>
          <w:sz w:val="22"/>
          <w:szCs w:val="22"/>
          <w:lang w:val="sr-Latn-RS"/>
        </w:rPr>
        <w:t>.</w:t>
      </w:r>
    </w:p>
    <w:p w14:paraId="11C09160" w14:textId="77777777" w:rsidR="00EE2F19" w:rsidRPr="00EE2F19" w:rsidRDefault="00EE2F19" w:rsidP="00831E07">
      <w:pPr>
        <w:jc w:val="both"/>
        <w:rPr>
          <w:rFonts w:eastAsia="Calibri"/>
          <w:sz w:val="22"/>
          <w:szCs w:val="22"/>
          <w:lang w:val="sr-Latn-RS"/>
        </w:rPr>
      </w:pPr>
    </w:p>
    <w:p w14:paraId="2395C227" w14:textId="77777777" w:rsidR="00EE2F19" w:rsidRPr="00EE2F19" w:rsidRDefault="00EE2F19" w:rsidP="00831E07">
      <w:pPr>
        <w:jc w:val="both"/>
        <w:rPr>
          <w:rFonts w:eastAsia="Calibri"/>
          <w:i/>
          <w:iCs/>
          <w:sz w:val="22"/>
          <w:szCs w:val="22"/>
          <w:lang w:val="sr-Latn-RS"/>
        </w:rPr>
      </w:pPr>
      <w:r w:rsidRPr="00EE2F19">
        <w:rPr>
          <w:rFonts w:eastAsia="Calibri"/>
          <w:i/>
          <w:iCs/>
          <w:sz w:val="22"/>
          <w:szCs w:val="22"/>
          <w:lang w:val="sr-Latn-RS"/>
        </w:rPr>
        <w:t>Reakcije na mjestu injekcije/infuzije</w:t>
      </w:r>
    </w:p>
    <w:p w14:paraId="43462770" w14:textId="01CFF159" w:rsidR="00EE2F19" w:rsidRDefault="00EE2F19" w:rsidP="00316D44">
      <w:pPr>
        <w:jc w:val="both"/>
        <w:rPr>
          <w:rFonts w:eastAsia="Calibri"/>
          <w:sz w:val="22"/>
          <w:szCs w:val="22"/>
          <w:lang w:val="sr-Latn-RS"/>
        </w:rPr>
      </w:pPr>
      <w:r w:rsidRPr="00EE2F19">
        <w:rPr>
          <w:rFonts w:eastAsia="Calibri"/>
          <w:sz w:val="22"/>
          <w:szCs w:val="22"/>
          <w:lang w:val="sr-Latn-RS"/>
        </w:rPr>
        <w:t xml:space="preserve">Reakcije na mjestu injekcije (uključujući osip, crvenilo, </w:t>
      </w:r>
      <w:r w:rsidR="003958C9">
        <w:rPr>
          <w:rFonts w:eastAsia="Calibri"/>
          <w:sz w:val="22"/>
          <w:szCs w:val="22"/>
          <w:lang w:val="sr-Latn-RS"/>
        </w:rPr>
        <w:t>inflamaciju</w:t>
      </w:r>
      <w:r w:rsidRPr="00EE2F19">
        <w:rPr>
          <w:rFonts w:eastAsia="Calibri"/>
          <w:sz w:val="22"/>
          <w:szCs w:val="22"/>
          <w:lang w:val="sr-Latn-RS"/>
        </w:rPr>
        <w:t>,</w:t>
      </w:r>
      <w:r w:rsidR="00316D44">
        <w:rPr>
          <w:rFonts w:eastAsia="Calibri"/>
          <w:sz w:val="22"/>
          <w:szCs w:val="22"/>
          <w:lang w:val="sr-Latn-RS"/>
        </w:rPr>
        <w:t xml:space="preserve"> bol i</w:t>
      </w:r>
      <w:r w:rsidRPr="00EE2F19">
        <w:rPr>
          <w:rFonts w:eastAsia="Calibri"/>
          <w:sz w:val="22"/>
          <w:szCs w:val="22"/>
          <w:lang w:val="sr-Latn-RS"/>
        </w:rPr>
        <w:t xml:space="preserve"> modrice) prijavljene su kod pacijenata liječenih </w:t>
      </w:r>
      <w:r w:rsidR="0026366B">
        <w:rPr>
          <w:rFonts w:eastAsia="Calibri"/>
          <w:sz w:val="22"/>
          <w:szCs w:val="22"/>
          <w:lang w:val="sr-Latn-RS"/>
        </w:rPr>
        <w:t>lijekom Fiasp</w:t>
      </w:r>
      <w:r w:rsidRPr="00EE2F19">
        <w:rPr>
          <w:rFonts w:eastAsia="Calibri"/>
          <w:sz w:val="22"/>
          <w:szCs w:val="22"/>
          <w:lang w:val="sr-Latn-RS"/>
        </w:rPr>
        <w:t xml:space="preserve"> (1,</w:t>
      </w:r>
      <w:r w:rsidR="00316D44">
        <w:rPr>
          <w:rFonts w:eastAsia="Calibri"/>
          <w:sz w:val="22"/>
          <w:szCs w:val="22"/>
          <w:lang w:val="sr-Latn-RS"/>
        </w:rPr>
        <w:t>3</w:t>
      </w:r>
      <w:r w:rsidRPr="00EE2F19">
        <w:rPr>
          <w:rFonts w:eastAsia="Calibri"/>
          <w:sz w:val="22"/>
          <w:szCs w:val="22"/>
          <w:lang w:val="sr-Latn-RS"/>
        </w:rPr>
        <w:t xml:space="preserve">% prema </w:t>
      </w:r>
      <w:r w:rsidR="00316D44">
        <w:rPr>
          <w:rFonts w:eastAsia="Calibri"/>
          <w:sz w:val="22"/>
          <w:szCs w:val="22"/>
          <w:lang w:val="sr-Latn-RS"/>
        </w:rPr>
        <w:t>1,0</w:t>
      </w:r>
      <w:r w:rsidRPr="00EE2F19">
        <w:rPr>
          <w:rFonts w:eastAsia="Calibri"/>
          <w:sz w:val="22"/>
          <w:szCs w:val="22"/>
          <w:lang w:val="sr-Latn-RS"/>
        </w:rPr>
        <w:t>% za komparator).</w:t>
      </w:r>
      <w:r w:rsidR="00316D44">
        <w:rPr>
          <w:rFonts w:eastAsia="Calibri"/>
          <w:sz w:val="22"/>
          <w:szCs w:val="22"/>
          <w:lang w:val="sr-Latn-RS"/>
        </w:rPr>
        <w:t xml:space="preserve"> </w:t>
      </w:r>
      <w:r w:rsidR="00316D44" w:rsidRPr="00316D44">
        <w:rPr>
          <w:rFonts w:eastAsia="Calibri"/>
          <w:sz w:val="22"/>
          <w:szCs w:val="22"/>
          <w:lang w:val="sr-Latn-CS"/>
        </w:rPr>
        <w:t>Kod pacijenata koji prim</w:t>
      </w:r>
      <w:r w:rsidR="00316D44">
        <w:rPr>
          <w:rFonts w:eastAsia="Calibri"/>
          <w:sz w:val="22"/>
          <w:szCs w:val="22"/>
          <w:lang w:val="sr-Latn-CS"/>
        </w:rPr>
        <w:t>j</w:t>
      </w:r>
      <w:r w:rsidR="00316D44" w:rsidRPr="00316D44">
        <w:rPr>
          <w:rFonts w:eastAsia="Calibri"/>
          <w:sz w:val="22"/>
          <w:szCs w:val="22"/>
          <w:lang w:val="sr-Latn-CS"/>
        </w:rPr>
        <w:t>enjuju KSII (N=261): reakcije na m</w:t>
      </w:r>
      <w:r w:rsidR="00316D44">
        <w:rPr>
          <w:rFonts w:eastAsia="Calibri"/>
          <w:sz w:val="22"/>
          <w:szCs w:val="22"/>
          <w:lang w:val="sr-Latn-CS"/>
        </w:rPr>
        <w:t>j</w:t>
      </w:r>
      <w:r w:rsidR="00316D44" w:rsidRPr="00316D44">
        <w:rPr>
          <w:rFonts w:eastAsia="Calibri"/>
          <w:sz w:val="22"/>
          <w:szCs w:val="22"/>
          <w:lang w:val="sr-Latn-CS"/>
        </w:rPr>
        <w:t xml:space="preserve">estu infuzije (uključujući crvenilo, </w:t>
      </w:r>
      <w:r w:rsidR="003958C9">
        <w:rPr>
          <w:rFonts w:eastAsia="Calibri"/>
          <w:sz w:val="22"/>
          <w:szCs w:val="22"/>
          <w:lang w:val="sr-Latn-CS"/>
        </w:rPr>
        <w:t>inflamaciju</w:t>
      </w:r>
      <w:r w:rsidR="00316D44" w:rsidRPr="00316D44">
        <w:rPr>
          <w:rFonts w:eastAsia="Calibri"/>
          <w:sz w:val="22"/>
          <w:szCs w:val="22"/>
          <w:lang w:val="sr-Latn-CS"/>
        </w:rPr>
        <w:t>, iritaciju, bol, modrice i svrb) prijavljene su kod pacijenata koji su l</w:t>
      </w:r>
      <w:r w:rsidR="00316D44">
        <w:rPr>
          <w:rFonts w:eastAsia="Calibri"/>
          <w:sz w:val="22"/>
          <w:szCs w:val="22"/>
          <w:lang w:val="sr-Latn-CS"/>
        </w:rPr>
        <w:t>ij</w:t>
      </w:r>
      <w:r w:rsidR="00316D44" w:rsidRPr="00316D44">
        <w:rPr>
          <w:rFonts w:eastAsia="Calibri"/>
          <w:sz w:val="22"/>
          <w:szCs w:val="22"/>
          <w:lang w:val="sr-Latn-CS"/>
        </w:rPr>
        <w:t>ečeni l</w:t>
      </w:r>
      <w:r w:rsidR="00316D44">
        <w:rPr>
          <w:rFonts w:eastAsia="Calibri"/>
          <w:sz w:val="22"/>
          <w:szCs w:val="22"/>
          <w:lang w:val="sr-Latn-CS"/>
        </w:rPr>
        <w:t>ij</w:t>
      </w:r>
      <w:r w:rsidR="00316D44" w:rsidRPr="00316D44">
        <w:rPr>
          <w:rFonts w:eastAsia="Calibri"/>
          <w:sz w:val="22"/>
          <w:szCs w:val="22"/>
          <w:lang w:val="sr-Latn-CS"/>
        </w:rPr>
        <w:t>ekom Fiasp (10,0% prema 8,3% za komparator</w:t>
      </w:r>
      <w:r w:rsidR="00316D44">
        <w:rPr>
          <w:rFonts w:eastAsia="Calibri"/>
          <w:sz w:val="22"/>
          <w:szCs w:val="22"/>
          <w:lang w:val="sr-Latn-CS"/>
        </w:rPr>
        <w:t>).</w:t>
      </w:r>
      <w:r w:rsidRPr="00EE2F19">
        <w:rPr>
          <w:rFonts w:eastAsia="Calibri"/>
          <w:sz w:val="22"/>
          <w:szCs w:val="22"/>
          <w:lang w:val="sr-Latn-RS"/>
        </w:rPr>
        <w:t xml:space="preserve"> Ove reakcije su obično blage i prolazne, a najčešće nestaju tokom kontinuiranog liječenja.</w:t>
      </w:r>
    </w:p>
    <w:p w14:paraId="7563C249" w14:textId="77777777" w:rsidR="00A452D0" w:rsidRDefault="00A452D0" w:rsidP="00831E07">
      <w:pPr>
        <w:jc w:val="both"/>
        <w:rPr>
          <w:rFonts w:eastAsia="Calibri"/>
          <w:sz w:val="22"/>
          <w:szCs w:val="22"/>
          <w:lang w:val="sr-Latn-RS"/>
        </w:rPr>
      </w:pPr>
    </w:p>
    <w:p w14:paraId="0F21591E" w14:textId="77777777" w:rsidR="00A452D0" w:rsidRPr="00A452D0" w:rsidRDefault="00A452D0" w:rsidP="00831E07">
      <w:pPr>
        <w:jc w:val="both"/>
        <w:rPr>
          <w:rFonts w:eastAsia="Calibri"/>
          <w:sz w:val="22"/>
          <w:szCs w:val="22"/>
          <w:u w:val="single"/>
          <w:lang w:val="sr-Latn-RS"/>
        </w:rPr>
      </w:pPr>
      <w:r w:rsidRPr="00A452D0">
        <w:rPr>
          <w:rFonts w:eastAsia="Calibri"/>
          <w:sz w:val="22"/>
          <w:szCs w:val="22"/>
          <w:u w:val="single"/>
          <w:lang w:val="sr-Latn-RS"/>
        </w:rPr>
        <w:t>Pedijatrijska populacija</w:t>
      </w:r>
    </w:p>
    <w:p w14:paraId="0D648B46" w14:textId="77777777" w:rsidR="00E17F72" w:rsidRDefault="00E17F72" w:rsidP="00831E07">
      <w:pPr>
        <w:jc w:val="both"/>
        <w:rPr>
          <w:rFonts w:eastAsia="Calibri"/>
          <w:sz w:val="22"/>
          <w:szCs w:val="22"/>
          <w:lang w:val="sr-Latn-RS"/>
        </w:rPr>
      </w:pPr>
    </w:p>
    <w:p w14:paraId="653FB8D2" w14:textId="77777777" w:rsidR="00A452D0" w:rsidRPr="006E7407" w:rsidRDefault="00E17F72" w:rsidP="00831E07">
      <w:pPr>
        <w:jc w:val="both"/>
        <w:rPr>
          <w:rFonts w:eastAsia="Calibri"/>
          <w:sz w:val="22"/>
          <w:szCs w:val="22"/>
          <w:lang w:val="sr-Latn-RS"/>
        </w:rPr>
      </w:pPr>
      <w:r>
        <w:rPr>
          <w:rFonts w:eastAsia="Calibri"/>
          <w:sz w:val="22"/>
          <w:szCs w:val="22"/>
          <w:lang w:val="sr-Latn-RS"/>
        </w:rPr>
        <w:t>Bezbjednost</w:t>
      </w:r>
      <w:r w:rsidR="00A452D0" w:rsidRPr="00A452D0">
        <w:rPr>
          <w:rFonts w:eastAsia="Calibri"/>
          <w:sz w:val="22"/>
          <w:szCs w:val="22"/>
          <w:lang w:val="sr-Latn-RS"/>
        </w:rPr>
        <w:t xml:space="preserve"> i </w:t>
      </w:r>
      <w:r>
        <w:rPr>
          <w:rFonts w:eastAsia="Calibri"/>
          <w:sz w:val="22"/>
          <w:szCs w:val="22"/>
          <w:lang w:val="sr-Latn-RS"/>
        </w:rPr>
        <w:t>efikasnost</w:t>
      </w:r>
      <w:r w:rsidR="00A452D0" w:rsidRPr="00A452D0">
        <w:rPr>
          <w:rFonts w:eastAsia="Calibri"/>
          <w:sz w:val="22"/>
          <w:szCs w:val="22"/>
          <w:lang w:val="sr-Latn-RS"/>
        </w:rPr>
        <w:t xml:space="preserve"> su </w:t>
      </w:r>
      <w:r>
        <w:rPr>
          <w:rFonts w:eastAsia="Calibri"/>
          <w:sz w:val="22"/>
          <w:szCs w:val="22"/>
          <w:lang w:val="sr-Latn-RS"/>
        </w:rPr>
        <w:t>ispitivane</w:t>
      </w:r>
      <w:r w:rsidR="00A452D0" w:rsidRPr="00A452D0">
        <w:rPr>
          <w:rFonts w:eastAsia="Calibri"/>
          <w:sz w:val="22"/>
          <w:szCs w:val="22"/>
          <w:lang w:val="sr-Latn-RS"/>
        </w:rPr>
        <w:t xml:space="preserve"> u </w:t>
      </w:r>
      <w:r w:rsidRPr="00EE2F19">
        <w:rPr>
          <w:rFonts w:eastAsia="Calibri"/>
          <w:sz w:val="22"/>
          <w:szCs w:val="22"/>
          <w:lang w:val="sr-Latn-CS"/>
        </w:rPr>
        <w:t>kliničk</w:t>
      </w:r>
      <w:r>
        <w:rPr>
          <w:rFonts w:eastAsia="Calibri"/>
          <w:sz w:val="22"/>
          <w:szCs w:val="22"/>
          <w:lang w:val="sr-Latn-CS"/>
        </w:rPr>
        <w:t>om</w:t>
      </w:r>
      <w:r w:rsidRPr="00EE2F19">
        <w:rPr>
          <w:rFonts w:eastAsia="Calibri"/>
          <w:sz w:val="22"/>
          <w:szCs w:val="22"/>
          <w:lang w:val="sr-Latn-CS"/>
        </w:rPr>
        <w:t xml:space="preserve"> ispitivanj</w:t>
      </w:r>
      <w:r>
        <w:rPr>
          <w:rFonts w:eastAsia="Calibri"/>
          <w:sz w:val="22"/>
          <w:szCs w:val="22"/>
          <w:lang w:val="sr-Latn-CS"/>
        </w:rPr>
        <w:t>u</w:t>
      </w:r>
      <w:r w:rsidRPr="00EE2F19">
        <w:rPr>
          <w:rFonts w:eastAsia="Calibri"/>
          <w:sz w:val="22"/>
          <w:szCs w:val="22"/>
          <w:lang w:val="sr-Latn-CS"/>
        </w:rPr>
        <w:t xml:space="preserve"> sproveden</w:t>
      </w:r>
      <w:r>
        <w:rPr>
          <w:rFonts w:eastAsia="Calibri"/>
          <w:sz w:val="22"/>
          <w:szCs w:val="22"/>
          <w:lang w:val="sr-Latn-CS"/>
        </w:rPr>
        <w:t>om</w:t>
      </w:r>
      <w:r w:rsidRPr="00EE2F19">
        <w:rPr>
          <w:rFonts w:eastAsia="Calibri"/>
          <w:sz w:val="22"/>
          <w:szCs w:val="22"/>
          <w:lang w:val="sr-Latn-CS"/>
        </w:rPr>
        <w:t xml:space="preserve"> sa ciljem potvrde terapijskog efekta</w:t>
      </w:r>
      <w:r>
        <w:rPr>
          <w:rFonts w:eastAsia="Calibri"/>
          <w:sz w:val="22"/>
          <w:szCs w:val="22"/>
          <w:lang w:val="sr-Latn-CS"/>
        </w:rPr>
        <w:t xml:space="preserve"> kod d</w:t>
      </w:r>
      <w:r w:rsidR="006E7407">
        <w:rPr>
          <w:rFonts w:eastAsia="Calibri"/>
          <w:sz w:val="22"/>
          <w:szCs w:val="22"/>
          <w:lang w:val="sr-Latn-CS"/>
        </w:rPr>
        <w:t>j</w:t>
      </w:r>
      <w:r>
        <w:rPr>
          <w:rFonts w:eastAsia="Calibri"/>
          <w:sz w:val="22"/>
          <w:szCs w:val="22"/>
          <w:lang w:val="sr-Latn-CS"/>
        </w:rPr>
        <w:t>ece sa dijabetesom tipa 1 uzrasta od 2 godine do manje od 18 godina.</w:t>
      </w:r>
      <w:r w:rsidR="002031AE">
        <w:rPr>
          <w:rFonts w:eastAsia="Calibri"/>
          <w:sz w:val="22"/>
          <w:szCs w:val="22"/>
          <w:lang w:val="sr-Latn-CS"/>
        </w:rPr>
        <w:t xml:space="preserve"> </w:t>
      </w:r>
      <w:r w:rsidR="00A452D0" w:rsidRPr="00A452D0">
        <w:rPr>
          <w:rFonts w:eastAsia="Calibri"/>
          <w:sz w:val="22"/>
          <w:szCs w:val="22"/>
          <w:lang w:val="sr-Latn-RS"/>
        </w:rPr>
        <w:t>U tom ispitivanju</w:t>
      </w:r>
      <w:r>
        <w:rPr>
          <w:rFonts w:eastAsia="Calibri"/>
          <w:sz w:val="22"/>
          <w:szCs w:val="22"/>
          <w:lang w:val="sr-Latn-RS"/>
        </w:rPr>
        <w:t xml:space="preserve"> je</w:t>
      </w:r>
      <w:r w:rsidR="00A452D0" w:rsidRPr="00A452D0">
        <w:rPr>
          <w:rFonts w:eastAsia="Calibri"/>
          <w:sz w:val="22"/>
          <w:szCs w:val="22"/>
          <w:lang w:val="sr-Latn-RS"/>
        </w:rPr>
        <w:t xml:space="preserve"> 519 </w:t>
      </w:r>
      <w:r>
        <w:rPr>
          <w:rFonts w:eastAsia="Calibri"/>
          <w:sz w:val="22"/>
          <w:szCs w:val="22"/>
          <w:lang w:val="sr-Latn-RS"/>
        </w:rPr>
        <w:t>pacijenata</w:t>
      </w:r>
      <w:r w:rsidR="00A452D0" w:rsidRPr="00A452D0">
        <w:rPr>
          <w:rFonts w:eastAsia="Calibri"/>
          <w:sz w:val="22"/>
          <w:szCs w:val="22"/>
          <w:lang w:val="sr-Latn-RS"/>
        </w:rPr>
        <w:t xml:space="preserve"> bilo liječeno lijekom Fiasp. U</w:t>
      </w:r>
      <w:r w:rsidR="006E7407">
        <w:rPr>
          <w:rFonts w:eastAsia="Calibri"/>
          <w:sz w:val="22"/>
          <w:szCs w:val="22"/>
          <w:lang w:val="sr-Latn-RS"/>
        </w:rPr>
        <w:t>opšteno posmatrano, u</w:t>
      </w:r>
      <w:r w:rsidR="00A452D0" w:rsidRPr="00A452D0">
        <w:rPr>
          <w:rFonts w:eastAsia="Calibri"/>
          <w:sz w:val="22"/>
          <w:szCs w:val="22"/>
          <w:lang w:val="sr-Latn-RS"/>
        </w:rPr>
        <w:t xml:space="preserve">čestalost, </w:t>
      </w:r>
      <w:r w:rsidR="006E7407">
        <w:rPr>
          <w:rFonts w:eastAsia="Calibri"/>
          <w:sz w:val="22"/>
          <w:szCs w:val="22"/>
          <w:lang w:val="sr-Latn-RS"/>
        </w:rPr>
        <w:t>tip</w:t>
      </w:r>
      <w:r w:rsidR="00A452D0" w:rsidRPr="00A452D0">
        <w:rPr>
          <w:rFonts w:eastAsia="Calibri"/>
          <w:sz w:val="22"/>
          <w:szCs w:val="22"/>
          <w:lang w:val="sr-Latn-RS"/>
        </w:rPr>
        <w:t xml:space="preserve"> i </w:t>
      </w:r>
      <w:r w:rsidR="006E7407">
        <w:rPr>
          <w:rFonts w:eastAsia="Calibri"/>
          <w:sz w:val="22"/>
          <w:szCs w:val="22"/>
          <w:lang w:val="sr-Latn-RS"/>
        </w:rPr>
        <w:t xml:space="preserve">ozbiljnost </w:t>
      </w:r>
      <w:r w:rsidR="006E7407" w:rsidRPr="006E7407">
        <w:rPr>
          <w:rFonts w:eastAsia="Calibri"/>
          <w:sz w:val="22"/>
          <w:szCs w:val="22"/>
          <w:lang w:val="sr-Latn-RS"/>
        </w:rPr>
        <w:t>neželjenih reakcija kod pedijatrijske populacije ne</w:t>
      </w:r>
      <w:r w:rsidR="006E7407">
        <w:rPr>
          <w:rFonts w:eastAsia="Calibri"/>
          <w:sz w:val="22"/>
          <w:szCs w:val="22"/>
          <w:lang w:val="sr-Latn-RS"/>
        </w:rPr>
        <w:t xml:space="preserve"> </w:t>
      </w:r>
      <w:r w:rsidR="006E7407" w:rsidRPr="006E7407">
        <w:rPr>
          <w:rFonts w:eastAsia="Calibri"/>
          <w:sz w:val="22"/>
          <w:szCs w:val="22"/>
          <w:lang w:val="sr-Latn-RS"/>
        </w:rPr>
        <w:t xml:space="preserve">ukazuju na razlike u odnosu na iskustvo u </w:t>
      </w:r>
      <w:r w:rsidR="006E7407">
        <w:rPr>
          <w:rFonts w:eastAsia="Calibri"/>
          <w:sz w:val="22"/>
          <w:szCs w:val="22"/>
          <w:lang w:val="sr-Latn-RS"/>
        </w:rPr>
        <w:t>odrasloj</w:t>
      </w:r>
      <w:r w:rsidR="006E7407" w:rsidRPr="006E7407">
        <w:rPr>
          <w:rFonts w:eastAsia="Calibri"/>
          <w:sz w:val="22"/>
          <w:szCs w:val="22"/>
          <w:lang w:val="sr-Latn-RS"/>
        </w:rPr>
        <w:t xml:space="preserve"> populaciji</w:t>
      </w:r>
      <w:r w:rsidR="006E7407">
        <w:rPr>
          <w:rFonts w:eastAsia="Calibri"/>
          <w:sz w:val="22"/>
          <w:szCs w:val="22"/>
          <w:lang w:val="sr-Latn-RS"/>
        </w:rPr>
        <w:t>. U ovom ispitivanju sa pedijatrijskim pacijentima, l</w:t>
      </w:r>
      <w:r w:rsidR="00A452D0" w:rsidRPr="00A452D0">
        <w:rPr>
          <w:rFonts w:eastAsia="Calibri"/>
          <w:sz w:val="22"/>
          <w:szCs w:val="22"/>
          <w:lang w:val="sr-Latn-RS"/>
        </w:rPr>
        <w:t>ipodistrofija (uključujući lipohipertrofiju, lipoatrofiju) na mjestu</w:t>
      </w:r>
      <w:r w:rsidR="006E7407">
        <w:rPr>
          <w:rFonts w:eastAsia="Calibri"/>
          <w:sz w:val="22"/>
          <w:szCs w:val="22"/>
          <w:lang w:val="sr-Latn-RS"/>
        </w:rPr>
        <w:t xml:space="preserve"> injekcije </w:t>
      </w:r>
      <w:r w:rsidR="00A452D0" w:rsidRPr="00A452D0">
        <w:rPr>
          <w:rFonts w:eastAsia="Calibri"/>
          <w:sz w:val="22"/>
          <w:szCs w:val="22"/>
          <w:lang w:val="sr-Latn-RS"/>
        </w:rPr>
        <w:t>prijavlj</w:t>
      </w:r>
      <w:r w:rsidR="00433157">
        <w:rPr>
          <w:rFonts w:eastAsia="Calibri"/>
          <w:sz w:val="22"/>
          <w:szCs w:val="22"/>
          <w:lang w:val="sr-Latn-RS"/>
        </w:rPr>
        <w:t>iva</w:t>
      </w:r>
      <w:r w:rsidR="00A452D0" w:rsidRPr="00A452D0">
        <w:rPr>
          <w:rFonts w:eastAsia="Calibri"/>
          <w:sz w:val="22"/>
          <w:szCs w:val="22"/>
          <w:lang w:val="sr-Latn-RS"/>
        </w:rPr>
        <w:t xml:space="preserve">na je češće nego u ispitivanjima </w:t>
      </w:r>
      <w:r w:rsidR="00CD427F">
        <w:rPr>
          <w:rFonts w:eastAsia="Calibri"/>
          <w:sz w:val="22"/>
          <w:szCs w:val="22"/>
          <w:lang w:val="sr-Latn-RS"/>
        </w:rPr>
        <w:t>s</w:t>
      </w:r>
      <w:r w:rsidR="00A452D0" w:rsidRPr="00A452D0">
        <w:rPr>
          <w:rFonts w:eastAsia="Calibri"/>
          <w:sz w:val="22"/>
          <w:szCs w:val="22"/>
          <w:lang w:val="sr-Latn-RS"/>
        </w:rPr>
        <w:t xml:space="preserve">provedenima </w:t>
      </w:r>
      <w:r w:rsidR="00CD427F">
        <w:rPr>
          <w:rFonts w:eastAsia="Calibri"/>
          <w:sz w:val="22"/>
          <w:szCs w:val="22"/>
          <w:lang w:val="sr-Latn-RS"/>
        </w:rPr>
        <w:t>kod odraslih</w:t>
      </w:r>
      <w:r w:rsidR="00A452D0" w:rsidRPr="00A452D0">
        <w:rPr>
          <w:rFonts w:eastAsia="Calibri"/>
          <w:sz w:val="22"/>
          <w:szCs w:val="22"/>
          <w:lang w:val="sr-Latn-RS"/>
        </w:rPr>
        <w:t xml:space="preserve"> (vidjeti gore). U pedijatrijskoj populaciji prijavljena učestalost lipodistrofije iznosila</w:t>
      </w:r>
      <w:r w:rsidR="00CD427F">
        <w:rPr>
          <w:rFonts w:eastAsia="Calibri"/>
          <w:sz w:val="22"/>
          <w:szCs w:val="22"/>
          <w:lang w:val="sr-Latn-RS"/>
        </w:rPr>
        <w:t xml:space="preserve"> je</w:t>
      </w:r>
      <w:r w:rsidR="00A452D0" w:rsidRPr="00A452D0">
        <w:rPr>
          <w:rFonts w:eastAsia="Calibri"/>
          <w:sz w:val="22"/>
          <w:szCs w:val="22"/>
          <w:lang w:val="sr-Latn-RS"/>
        </w:rPr>
        <w:t xml:space="preserve"> 2,1% uz</w:t>
      </w:r>
      <w:r w:rsidR="00CD427F">
        <w:rPr>
          <w:rFonts w:eastAsia="Calibri"/>
          <w:sz w:val="22"/>
          <w:szCs w:val="22"/>
          <w:lang w:val="sr-Latn-RS"/>
        </w:rPr>
        <w:t xml:space="preserve"> lijek</w:t>
      </w:r>
      <w:r w:rsidR="00A452D0" w:rsidRPr="00A452D0">
        <w:rPr>
          <w:rFonts w:eastAsia="Calibri"/>
          <w:sz w:val="22"/>
          <w:szCs w:val="22"/>
          <w:lang w:val="sr-Latn-RS"/>
        </w:rPr>
        <w:t xml:space="preserve"> Fiasp</w:t>
      </w:r>
      <w:r w:rsidR="00CD427F">
        <w:rPr>
          <w:rFonts w:eastAsia="Calibri"/>
          <w:sz w:val="22"/>
          <w:szCs w:val="22"/>
          <w:lang w:val="sr-Latn-RS"/>
        </w:rPr>
        <w:t xml:space="preserve">, u poređenju sa </w:t>
      </w:r>
      <w:r w:rsidR="00A452D0" w:rsidRPr="00A452D0">
        <w:rPr>
          <w:rFonts w:eastAsia="Calibri"/>
          <w:sz w:val="22"/>
          <w:szCs w:val="22"/>
          <w:lang w:val="sr-Latn-RS"/>
        </w:rPr>
        <w:t xml:space="preserve">1,6% uz </w:t>
      </w:r>
      <w:r w:rsidR="00CD427F">
        <w:rPr>
          <w:rFonts w:eastAsia="Calibri"/>
          <w:sz w:val="22"/>
          <w:szCs w:val="22"/>
          <w:lang w:val="sr-Latn-RS"/>
        </w:rPr>
        <w:t xml:space="preserve">lijek </w:t>
      </w:r>
      <w:r w:rsidR="00A452D0" w:rsidRPr="00A452D0">
        <w:rPr>
          <w:rFonts w:eastAsia="Calibri"/>
          <w:sz w:val="22"/>
          <w:szCs w:val="22"/>
          <w:lang w:val="sr-Latn-RS"/>
        </w:rPr>
        <w:t>NovoRapid.</w:t>
      </w:r>
    </w:p>
    <w:p w14:paraId="58A23990" w14:textId="77777777" w:rsidR="00EE2F19" w:rsidRDefault="00EE2F19" w:rsidP="00EE2F19">
      <w:pPr>
        <w:rPr>
          <w:rFonts w:eastAsia="Calibri"/>
          <w:sz w:val="22"/>
          <w:szCs w:val="22"/>
          <w:lang w:val="sr-Latn-RS"/>
        </w:rPr>
      </w:pPr>
    </w:p>
    <w:p w14:paraId="62872B04" w14:textId="77777777" w:rsidR="00EE2F19" w:rsidRPr="00EE2F19" w:rsidRDefault="00CD427F" w:rsidP="00EE2F19">
      <w:pPr>
        <w:jc w:val="both"/>
        <w:rPr>
          <w:rFonts w:eastAsia="Calibri"/>
          <w:sz w:val="22"/>
          <w:szCs w:val="22"/>
          <w:u w:val="single"/>
          <w:lang w:val="sr-Latn-RS"/>
        </w:rPr>
      </w:pPr>
      <w:r>
        <w:rPr>
          <w:rFonts w:eastAsia="Calibri"/>
          <w:sz w:val="22"/>
          <w:szCs w:val="22"/>
          <w:u w:val="single"/>
          <w:lang w:val="sr-Latn-RS"/>
        </w:rPr>
        <w:t>Ostale</w:t>
      </w:r>
      <w:r w:rsidR="004B59CB">
        <w:rPr>
          <w:rFonts w:eastAsia="Calibri"/>
          <w:sz w:val="22"/>
          <w:szCs w:val="22"/>
          <w:u w:val="single"/>
          <w:lang w:val="sr-Latn-RS"/>
        </w:rPr>
        <w:t xml:space="preserve"> p</w:t>
      </w:r>
      <w:r w:rsidR="00EE2F19" w:rsidRPr="00EE2F19">
        <w:rPr>
          <w:rFonts w:eastAsia="Calibri"/>
          <w:sz w:val="22"/>
          <w:szCs w:val="22"/>
          <w:u w:val="single"/>
          <w:lang w:val="sr-Latn-RS"/>
        </w:rPr>
        <w:t>osebne populacije</w:t>
      </w:r>
    </w:p>
    <w:p w14:paraId="768A3342" w14:textId="77777777" w:rsidR="00EE2F19" w:rsidRPr="00EE2F19" w:rsidRDefault="00EE2F19" w:rsidP="00EE2F19">
      <w:pPr>
        <w:jc w:val="both"/>
        <w:rPr>
          <w:rFonts w:eastAsia="Calibri"/>
          <w:sz w:val="22"/>
          <w:szCs w:val="22"/>
          <w:lang w:val="sr-Latn-RS"/>
        </w:rPr>
      </w:pPr>
    </w:p>
    <w:p w14:paraId="2EDD6004" w14:textId="6B0F9763" w:rsidR="00EE2F19" w:rsidRDefault="00EE2F19" w:rsidP="00EE2F19">
      <w:pPr>
        <w:jc w:val="both"/>
        <w:rPr>
          <w:rFonts w:eastAsia="Calibri"/>
          <w:sz w:val="22"/>
          <w:szCs w:val="22"/>
          <w:lang w:val="sr-Latn-RS"/>
        </w:rPr>
      </w:pPr>
      <w:r w:rsidRPr="00EE2F19">
        <w:rPr>
          <w:rFonts w:eastAsia="Calibri"/>
          <w:sz w:val="22"/>
          <w:szCs w:val="22"/>
          <w:lang w:val="sr-Latn-RS"/>
        </w:rPr>
        <w:t>Na osnovu rezultata dobijenih iz kliničkih ispitivanja sa insulin aspartom, uopšteno posmatrano nema razlike u pogledu učestalosti, vrste i ozbiljnosti neželjenih reakcija zapaženih kod starijih pacijenata i pacijenata sa oštećenjem bubrega ili jetre u odnosu na šire iskustvo u opštoj populaciji. Bezbjednosni profil kod veoma starih pacijenata (≥75 godina) ili pacijenata sa um</w:t>
      </w:r>
      <w:r w:rsidR="00855EEA">
        <w:rPr>
          <w:rFonts w:eastAsia="Calibri"/>
          <w:sz w:val="22"/>
          <w:szCs w:val="22"/>
          <w:lang w:val="sr-Latn-RS"/>
        </w:rPr>
        <w:t>j</w:t>
      </w:r>
      <w:r w:rsidRPr="00EE2F19">
        <w:rPr>
          <w:rFonts w:eastAsia="Calibri"/>
          <w:sz w:val="22"/>
          <w:szCs w:val="22"/>
          <w:lang w:val="sr-Latn-RS"/>
        </w:rPr>
        <w:t xml:space="preserve">erenim do teškim oštećenjem bubrega ili jetre je ograničen. </w:t>
      </w:r>
      <w:r w:rsidR="0026366B">
        <w:rPr>
          <w:rFonts w:eastAsia="Calibri"/>
          <w:sz w:val="22"/>
          <w:szCs w:val="22"/>
          <w:lang w:val="sr-Latn-RS"/>
        </w:rPr>
        <w:t>Lijek Fiasp</w:t>
      </w:r>
      <w:r w:rsidRPr="00EE2F19">
        <w:rPr>
          <w:rFonts w:eastAsia="Calibri"/>
          <w:sz w:val="22"/>
          <w:szCs w:val="22"/>
          <w:lang w:val="sr-Latn-RS"/>
        </w:rPr>
        <w:t xml:space="preserve"> je primjenjivan kod starijih pacijenata radi ispitivanja farmakokinetičkih svojstava (vidjeti </w:t>
      </w:r>
      <w:r w:rsidR="003958C9">
        <w:rPr>
          <w:rFonts w:eastAsia="Calibri"/>
          <w:sz w:val="22"/>
          <w:szCs w:val="22"/>
          <w:lang w:val="sr-Latn-RS"/>
        </w:rPr>
        <w:t>dio</w:t>
      </w:r>
      <w:r w:rsidR="003958C9" w:rsidRPr="00EE2F19">
        <w:rPr>
          <w:rFonts w:eastAsia="Calibri"/>
          <w:sz w:val="22"/>
          <w:szCs w:val="22"/>
          <w:lang w:val="sr-Latn-RS"/>
        </w:rPr>
        <w:t xml:space="preserve"> </w:t>
      </w:r>
      <w:r w:rsidRPr="00EE2F19">
        <w:rPr>
          <w:rFonts w:eastAsia="Calibri"/>
          <w:sz w:val="22"/>
          <w:szCs w:val="22"/>
          <w:lang w:val="sr-Latn-RS"/>
        </w:rPr>
        <w:t>5.2).</w:t>
      </w:r>
    </w:p>
    <w:p w14:paraId="7DB948CC" w14:textId="77777777" w:rsidR="00EE2F19" w:rsidRPr="00EE2F19" w:rsidRDefault="00EE2F19" w:rsidP="00EE2F19">
      <w:pPr>
        <w:rPr>
          <w:rFonts w:eastAsia="Calibri"/>
          <w:sz w:val="22"/>
          <w:szCs w:val="22"/>
          <w:lang w:val="sr-Latn-RS"/>
        </w:rPr>
      </w:pPr>
    </w:p>
    <w:p w14:paraId="482AC806" w14:textId="77777777" w:rsidR="005A23D2" w:rsidRPr="00786071" w:rsidRDefault="005A23D2" w:rsidP="00EE2F19">
      <w:pPr>
        <w:rPr>
          <w:rFonts w:eastAsia="Calibri"/>
          <w:sz w:val="22"/>
          <w:szCs w:val="22"/>
          <w:u w:val="single"/>
          <w:lang w:val="sr-Latn-RS"/>
        </w:rPr>
      </w:pPr>
      <w:r w:rsidRPr="00786071">
        <w:rPr>
          <w:rFonts w:eastAsia="Calibri"/>
          <w:sz w:val="22"/>
          <w:szCs w:val="22"/>
          <w:u w:val="single"/>
          <w:lang w:val="sr-Latn-RS"/>
        </w:rPr>
        <w:t>Prijavljivanje sumnji na neželjena dejstva</w:t>
      </w:r>
    </w:p>
    <w:p w14:paraId="2C486938" w14:textId="77777777" w:rsidR="00EE2F19" w:rsidRDefault="00EE2F19" w:rsidP="00EE2F19">
      <w:pPr>
        <w:jc w:val="both"/>
        <w:rPr>
          <w:rFonts w:eastAsia="Calibri"/>
          <w:sz w:val="22"/>
          <w:szCs w:val="22"/>
          <w:lang w:val="sr-Latn-RS"/>
        </w:rPr>
      </w:pPr>
    </w:p>
    <w:p w14:paraId="4A6E5050" w14:textId="77777777" w:rsidR="003958C9" w:rsidRPr="00786071" w:rsidRDefault="003958C9" w:rsidP="003958C9">
      <w:pPr>
        <w:spacing w:after="200"/>
        <w:jc w:val="both"/>
        <w:rPr>
          <w:rFonts w:eastAsia="Calibri"/>
          <w:sz w:val="22"/>
          <w:szCs w:val="22"/>
          <w:lang w:val="sr-Latn-RS"/>
        </w:rPr>
      </w:pPr>
      <w:r w:rsidRPr="00786071">
        <w:rPr>
          <w:rFonts w:eastAsia="Calibri"/>
          <w:sz w:val="22"/>
          <w:szCs w:val="22"/>
          <w:lang w:val="sr-Latn-RS"/>
        </w:rPr>
        <w:lastRenderedPageBreak/>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050BDC0A" w14:textId="77777777" w:rsidR="003958C9" w:rsidRPr="00786071" w:rsidRDefault="003958C9" w:rsidP="003958C9">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33053058" w14:textId="77777777" w:rsidR="003958C9" w:rsidRPr="00786071" w:rsidRDefault="003958C9" w:rsidP="003958C9">
      <w:pPr>
        <w:pStyle w:val="NoSpacing"/>
        <w:jc w:val="both"/>
        <w:rPr>
          <w:rFonts w:eastAsia="Calibri"/>
          <w:sz w:val="22"/>
          <w:szCs w:val="22"/>
          <w:lang w:val="sr-Latn-RS"/>
        </w:rPr>
      </w:pPr>
      <w:r w:rsidRPr="00786071">
        <w:rPr>
          <w:rFonts w:eastAsia="Calibri"/>
          <w:sz w:val="22"/>
          <w:szCs w:val="22"/>
          <w:lang w:val="sr-Latn-RS"/>
        </w:rPr>
        <w:t>Odjeljenje za farmakovigilancu</w:t>
      </w:r>
    </w:p>
    <w:p w14:paraId="691C6919" w14:textId="77777777" w:rsidR="003958C9" w:rsidRPr="00786071" w:rsidRDefault="003958C9" w:rsidP="003958C9">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1F8C8B7" w14:textId="77777777" w:rsidR="003958C9" w:rsidRPr="00786071" w:rsidRDefault="003958C9" w:rsidP="003958C9">
      <w:pPr>
        <w:pStyle w:val="NoSpacing"/>
        <w:rPr>
          <w:rFonts w:eastAsia="Calibri"/>
          <w:sz w:val="22"/>
          <w:szCs w:val="22"/>
          <w:lang w:val="sr-Latn-RS"/>
        </w:rPr>
      </w:pPr>
    </w:p>
    <w:p w14:paraId="4038C5C9" w14:textId="77777777" w:rsidR="003958C9" w:rsidRPr="00786071" w:rsidRDefault="003958C9" w:rsidP="003958C9">
      <w:pPr>
        <w:pStyle w:val="NoSpacing"/>
        <w:jc w:val="both"/>
        <w:rPr>
          <w:rFonts w:eastAsia="Calibri"/>
          <w:sz w:val="22"/>
          <w:szCs w:val="22"/>
          <w:lang w:val="sr-Latn-RS"/>
        </w:rPr>
      </w:pPr>
      <w:r w:rsidRPr="00786071">
        <w:rPr>
          <w:rFonts w:eastAsia="Calibri"/>
          <w:sz w:val="22"/>
          <w:szCs w:val="22"/>
          <w:lang w:val="sr-Latn-RS"/>
        </w:rPr>
        <w:t>tel: +382 (0) 20 310 280</w:t>
      </w:r>
    </w:p>
    <w:p w14:paraId="5D08776D" w14:textId="77777777" w:rsidR="003958C9" w:rsidRPr="00786071" w:rsidRDefault="003958C9" w:rsidP="003958C9">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28DA856A" w14:textId="77777777" w:rsidR="003958C9" w:rsidRPr="00786071" w:rsidRDefault="004E53BD" w:rsidP="003958C9">
      <w:pPr>
        <w:pStyle w:val="NoSpacing"/>
        <w:jc w:val="both"/>
        <w:rPr>
          <w:rFonts w:eastAsia="Calibri"/>
          <w:sz w:val="22"/>
          <w:szCs w:val="22"/>
          <w:lang w:val="sr-Latn-RS"/>
        </w:rPr>
      </w:pPr>
      <w:hyperlink r:id="rId8" w:history="1">
        <w:r w:rsidR="003958C9" w:rsidRPr="00B664A0">
          <w:rPr>
            <w:rStyle w:val="Hyperlink"/>
            <w:rFonts w:eastAsia="Calibri"/>
            <w:sz w:val="22"/>
            <w:szCs w:val="22"/>
            <w:lang w:val="sr-Latn-RS"/>
          </w:rPr>
          <w:t>www.cinmed.me</w:t>
        </w:r>
      </w:hyperlink>
    </w:p>
    <w:p w14:paraId="623CEDCD" w14:textId="77777777" w:rsidR="003958C9" w:rsidRPr="00786071" w:rsidRDefault="004E53BD" w:rsidP="003958C9">
      <w:pPr>
        <w:pStyle w:val="NoSpacing"/>
        <w:jc w:val="both"/>
        <w:rPr>
          <w:rFonts w:eastAsia="Calibri"/>
          <w:color w:val="0000FF"/>
          <w:sz w:val="22"/>
          <w:szCs w:val="22"/>
          <w:u w:val="single"/>
          <w:lang w:val="sr-Latn-RS"/>
        </w:rPr>
      </w:pPr>
      <w:hyperlink r:id="rId9" w:history="1">
        <w:r w:rsidR="003958C9" w:rsidRPr="00B664A0">
          <w:rPr>
            <w:rStyle w:val="Hyperlink"/>
            <w:rFonts w:eastAsia="Calibri"/>
            <w:sz w:val="22"/>
            <w:szCs w:val="22"/>
            <w:lang w:val="sr-Latn-RS"/>
          </w:rPr>
          <w:t>nezeljenadejstva@cinmed.me</w:t>
        </w:r>
      </w:hyperlink>
    </w:p>
    <w:p w14:paraId="567BB773" w14:textId="77777777" w:rsidR="003958C9" w:rsidRDefault="003958C9" w:rsidP="003958C9">
      <w:pPr>
        <w:pStyle w:val="NoSpacing"/>
        <w:jc w:val="both"/>
        <w:rPr>
          <w:rFonts w:eastAsia="Calibri"/>
          <w:sz w:val="22"/>
          <w:szCs w:val="22"/>
          <w:lang w:val="sr-Latn-RS"/>
        </w:rPr>
      </w:pPr>
      <w:r w:rsidRPr="00786071">
        <w:rPr>
          <w:rFonts w:eastAsia="Calibri"/>
          <w:sz w:val="22"/>
          <w:szCs w:val="22"/>
          <w:lang w:val="sr-Latn-RS"/>
        </w:rPr>
        <w:t>putem IS zdravstvene zaštite</w:t>
      </w:r>
    </w:p>
    <w:p w14:paraId="633998C8" w14:textId="77777777" w:rsidR="003958C9" w:rsidRDefault="003958C9" w:rsidP="003958C9">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33A720FA" w14:textId="77777777" w:rsidR="003958C9" w:rsidRDefault="003958C9" w:rsidP="003958C9">
      <w:pPr>
        <w:pStyle w:val="NoSpacing"/>
        <w:jc w:val="both"/>
        <w:rPr>
          <w:rFonts w:eastAsia="Calibri"/>
          <w:sz w:val="22"/>
          <w:szCs w:val="22"/>
          <w:lang w:val="sr-Latn-RS"/>
        </w:rPr>
      </w:pPr>
    </w:p>
    <w:p w14:paraId="2DA8D503" w14:textId="77777777" w:rsidR="003958C9" w:rsidRPr="00786071" w:rsidRDefault="003958C9" w:rsidP="003958C9">
      <w:pPr>
        <w:pStyle w:val="NoSpacing"/>
        <w:rPr>
          <w:rFonts w:eastAsia="Calibri"/>
          <w:sz w:val="22"/>
          <w:szCs w:val="22"/>
          <w:lang w:val="sr-Latn-RS"/>
        </w:rPr>
      </w:pPr>
      <w:r>
        <w:rPr>
          <w:noProof/>
        </w:rPr>
        <w:drawing>
          <wp:inline distT="0" distB="0" distL="0" distR="0" wp14:anchorId="4100A4CA" wp14:editId="50BEA4E9">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F6D3362" w14:textId="77777777" w:rsidR="00836B35" w:rsidRPr="00786071" w:rsidRDefault="00836B35" w:rsidP="00480FB1">
      <w:pPr>
        <w:tabs>
          <w:tab w:val="left" w:pos="540"/>
          <w:tab w:val="left" w:pos="569"/>
        </w:tabs>
        <w:rPr>
          <w:b/>
          <w:bCs/>
          <w:sz w:val="22"/>
          <w:szCs w:val="22"/>
        </w:rPr>
      </w:pPr>
    </w:p>
    <w:p w14:paraId="3B5909D9" w14:textId="77777777"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proofErr w:type="spellStart"/>
      <w:r w:rsidRPr="00786071">
        <w:rPr>
          <w:b/>
          <w:bCs/>
          <w:sz w:val="22"/>
          <w:szCs w:val="22"/>
        </w:rPr>
        <w:t>Predoziranje</w:t>
      </w:r>
      <w:proofErr w:type="spellEnd"/>
      <w:r w:rsidR="002846DB" w:rsidRPr="00786071">
        <w:rPr>
          <w:b/>
          <w:bCs/>
          <w:sz w:val="22"/>
          <w:szCs w:val="22"/>
        </w:rPr>
        <w:t xml:space="preserve"> </w:t>
      </w:r>
    </w:p>
    <w:p w14:paraId="61DB9C1A" w14:textId="77777777" w:rsidR="00CD6F02" w:rsidRDefault="00CD6F02" w:rsidP="00480FB1">
      <w:pPr>
        <w:tabs>
          <w:tab w:val="left" w:pos="540"/>
          <w:tab w:val="left" w:pos="569"/>
        </w:tabs>
        <w:rPr>
          <w:sz w:val="22"/>
          <w:szCs w:val="22"/>
        </w:rPr>
      </w:pPr>
    </w:p>
    <w:p w14:paraId="41007C38" w14:textId="77777777" w:rsidR="00EE2F19" w:rsidRPr="00EE2F19" w:rsidRDefault="00EE2F19" w:rsidP="00EE2F19">
      <w:pPr>
        <w:tabs>
          <w:tab w:val="left" w:pos="540"/>
          <w:tab w:val="left" w:pos="569"/>
        </w:tabs>
        <w:jc w:val="both"/>
        <w:rPr>
          <w:sz w:val="22"/>
          <w:szCs w:val="22"/>
        </w:rPr>
      </w:pPr>
      <w:proofErr w:type="spellStart"/>
      <w:r w:rsidRPr="00EE2F19">
        <w:rPr>
          <w:sz w:val="22"/>
          <w:szCs w:val="22"/>
        </w:rPr>
        <w:t>Specifično</w:t>
      </w:r>
      <w:proofErr w:type="spellEnd"/>
      <w:r w:rsidRPr="00EE2F19">
        <w:rPr>
          <w:sz w:val="22"/>
          <w:szCs w:val="22"/>
        </w:rPr>
        <w:t xml:space="preserve"> </w:t>
      </w:r>
      <w:proofErr w:type="spellStart"/>
      <w:r w:rsidRPr="00EE2F19">
        <w:rPr>
          <w:sz w:val="22"/>
          <w:szCs w:val="22"/>
        </w:rPr>
        <w:t>predoziranje</w:t>
      </w:r>
      <w:proofErr w:type="spellEnd"/>
      <w:r w:rsidRPr="00EE2F19">
        <w:rPr>
          <w:sz w:val="22"/>
          <w:szCs w:val="22"/>
        </w:rPr>
        <w:t xml:space="preserve"> </w:t>
      </w:r>
      <w:proofErr w:type="spellStart"/>
      <w:r w:rsidRPr="00EE2F19">
        <w:rPr>
          <w:sz w:val="22"/>
          <w:szCs w:val="22"/>
        </w:rPr>
        <w:t>insulinom</w:t>
      </w:r>
      <w:proofErr w:type="spellEnd"/>
      <w:r w:rsidRPr="00EE2F19">
        <w:rPr>
          <w:sz w:val="22"/>
          <w:szCs w:val="22"/>
        </w:rPr>
        <w:t xml:space="preserve"> se ne </w:t>
      </w:r>
      <w:proofErr w:type="spellStart"/>
      <w:r w:rsidRPr="00EE2F19">
        <w:rPr>
          <w:sz w:val="22"/>
          <w:szCs w:val="22"/>
        </w:rPr>
        <w:t>može</w:t>
      </w:r>
      <w:proofErr w:type="spellEnd"/>
      <w:r w:rsidRPr="00EE2F19">
        <w:rPr>
          <w:sz w:val="22"/>
          <w:szCs w:val="22"/>
        </w:rPr>
        <w:t xml:space="preserve"> </w:t>
      </w:r>
      <w:proofErr w:type="spellStart"/>
      <w:r w:rsidRPr="00EE2F19">
        <w:rPr>
          <w:sz w:val="22"/>
          <w:szCs w:val="22"/>
        </w:rPr>
        <w:t>definisati</w:t>
      </w:r>
      <w:proofErr w:type="spellEnd"/>
      <w:r w:rsidRPr="00EE2F19">
        <w:rPr>
          <w:sz w:val="22"/>
          <w:szCs w:val="22"/>
        </w:rPr>
        <w:t xml:space="preserve">; </w:t>
      </w:r>
      <w:proofErr w:type="spellStart"/>
      <w:r w:rsidRPr="00EE2F19">
        <w:rPr>
          <w:sz w:val="22"/>
          <w:szCs w:val="22"/>
        </w:rPr>
        <w:t>međutim</w:t>
      </w:r>
      <w:proofErr w:type="spellEnd"/>
      <w:r w:rsidRPr="00EE2F19">
        <w:rPr>
          <w:sz w:val="22"/>
          <w:szCs w:val="22"/>
        </w:rPr>
        <w:t xml:space="preserve">, </w:t>
      </w:r>
      <w:proofErr w:type="spellStart"/>
      <w:r w:rsidRPr="00EE2F19">
        <w:rPr>
          <w:sz w:val="22"/>
          <w:szCs w:val="22"/>
        </w:rPr>
        <w:t>ukoliko</w:t>
      </w:r>
      <w:proofErr w:type="spellEnd"/>
      <w:r w:rsidRPr="00EE2F19">
        <w:rPr>
          <w:sz w:val="22"/>
          <w:szCs w:val="22"/>
        </w:rPr>
        <w:t xml:space="preserve"> je </w:t>
      </w:r>
      <w:proofErr w:type="spellStart"/>
      <w:r w:rsidRPr="00EE2F19">
        <w:rPr>
          <w:sz w:val="22"/>
          <w:szCs w:val="22"/>
        </w:rPr>
        <w:t>pacijent</w:t>
      </w:r>
      <w:proofErr w:type="spellEnd"/>
      <w:r w:rsidRPr="00EE2F19">
        <w:rPr>
          <w:sz w:val="22"/>
          <w:szCs w:val="22"/>
        </w:rPr>
        <w:t xml:space="preserve"> </w:t>
      </w:r>
      <w:proofErr w:type="spellStart"/>
      <w:r w:rsidRPr="00EE2F19">
        <w:rPr>
          <w:sz w:val="22"/>
          <w:szCs w:val="22"/>
        </w:rPr>
        <w:t>primio</w:t>
      </w:r>
      <w:proofErr w:type="spellEnd"/>
      <w:r w:rsidRPr="00EE2F19">
        <w:rPr>
          <w:sz w:val="22"/>
          <w:szCs w:val="22"/>
        </w:rPr>
        <w:t xml:space="preserve"> </w:t>
      </w:r>
      <w:proofErr w:type="spellStart"/>
      <w:r w:rsidRPr="00EE2F19">
        <w:rPr>
          <w:sz w:val="22"/>
          <w:szCs w:val="22"/>
        </w:rPr>
        <w:t>veću</w:t>
      </w:r>
      <w:proofErr w:type="spellEnd"/>
      <w:r w:rsidRPr="00EE2F19">
        <w:rPr>
          <w:sz w:val="22"/>
          <w:szCs w:val="22"/>
        </w:rPr>
        <w:t xml:space="preserve"> </w:t>
      </w:r>
      <w:proofErr w:type="spellStart"/>
      <w:r w:rsidRPr="00EE2F19">
        <w:rPr>
          <w:sz w:val="22"/>
          <w:szCs w:val="22"/>
        </w:rPr>
        <w:t>dozu</w:t>
      </w:r>
      <w:proofErr w:type="spellEnd"/>
      <w:r w:rsidRPr="00EE2F19">
        <w:rPr>
          <w:sz w:val="22"/>
          <w:szCs w:val="22"/>
        </w:rPr>
        <w:t xml:space="preserve"> </w:t>
      </w:r>
      <w:proofErr w:type="spellStart"/>
      <w:r w:rsidRPr="00EE2F19">
        <w:rPr>
          <w:sz w:val="22"/>
          <w:szCs w:val="22"/>
        </w:rPr>
        <w:t>insulina</w:t>
      </w:r>
      <w:proofErr w:type="spellEnd"/>
      <w:r w:rsidRPr="00EE2F19">
        <w:rPr>
          <w:sz w:val="22"/>
          <w:szCs w:val="22"/>
        </w:rPr>
        <w:t xml:space="preserve"> </w:t>
      </w:r>
      <w:proofErr w:type="spellStart"/>
      <w:r w:rsidRPr="00EE2F19">
        <w:rPr>
          <w:sz w:val="22"/>
          <w:szCs w:val="22"/>
        </w:rPr>
        <w:t>nego</w:t>
      </w:r>
      <w:proofErr w:type="spellEnd"/>
      <w:r w:rsidRPr="00EE2F19">
        <w:rPr>
          <w:sz w:val="22"/>
          <w:szCs w:val="22"/>
        </w:rPr>
        <w:t xml:space="preserve"> </w:t>
      </w:r>
      <w:proofErr w:type="spellStart"/>
      <w:r w:rsidRPr="00EE2F19">
        <w:rPr>
          <w:sz w:val="22"/>
          <w:szCs w:val="22"/>
        </w:rPr>
        <w:t>što</w:t>
      </w:r>
      <w:proofErr w:type="spellEnd"/>
      <w:r w:rsidRPr="00EE2F19">
        <w:rPr>
          <w:sz w:val="22"/>
          <w:szCs w:val="22"/>
        </w:rPr>
        <w:t xml:space="preserve"> je </w:t>
      </w:r>
      <w:proofErr w:type="spellStart"/>
      <w:r w:rsidRPr="00EE2F19">
        <w:rPr>
          <w:sz w:val="22"/>
          <w:szCs w:val="22"/>
        </w:rPr>
        <w:t>potrebno</w:t>
      </w:r>
      <w:proofErr w:type="spellEnd"/>
      <w:r w:rsidRPr="00EE2F19">
        <w:rPr>
          <w:sz w:val="22"/>
          <w:szCs w:val="22"/>
        </w:rPr>
        <w:t xml:space="preserve">, </w:t>
      </w:r>
      <w:proofErr w:type="spellStart"/>
      <w:r w:rsidRPr="00EE2F19">
        <w:rPr>
          <w:sz w:val="22"/>
          <w:szCs w:val="22"/>
        </w:rPr>
        <w:t>može</w:t>
      </w:r>
      <w:proofErr w:type="spellEnd"/>
      <w:r w:rsidRPr="00EE2F19">
        <w:rPr>
          <w:sz w:val="22"/>
          <w:szCs w:val="22"/>
        </w:rPr>
        <w:t xml:space="preserve"> se </w:t>
      </w:r>
      <w:proofErr w:type="spellStart"/>
      <w:r w:rsidRPr="00EE2F19">
        <w:rPr>
          <w:sz w:val="22"/>
          <w:szCs w:val="22"/>
        </w:rPr>
        <w:t>razviti</w:t>
      </w:r>
      <w:proofErr w:type="spellEnd"/>
      <w:r w:rsidRPr="00EE2F19">
        <w:rPr>
          <w:sz w:val="22"/>
          <w:szCs w:val="22"/>
        </w:rPr>
        <w:t xml:space="preserve"> </w:t>
      </w:r>
      <w:proofErr w:type="spellStart"/>
      <w:r w:rsidRPr="00EE2F19">
        <w:rPr>
          <w:sz w:val="22"/>
          <w:szCs w:val="22"/>
        </w:rPr>
        <w:t>hipoglikemija</w:t>
      </w:r>
      <w:proofErr w:type="spellEnd"/>
      <w:r w:rsidRPr="00EE2F19">
        <w:rPr>
          <w:sz w:val="22"/>
          <w:szCs w:val="22"/>
        </w:rPr>
        <w:t xml:space="preserve"> </w:t>
      </w:r>
      <w:proofErr w:type="spellStart"/>
      <w:r w:rsidRPr="00EE2F19">
        <w:rPr>
          <w:sz w:val="22"/>
          <w:szCs w:val="22"/>
        </w:rPr>
        <w:t>kroz</w:t>
      </w:r>
      <w:proofErr w:type="spellEnd"/>
      <w:r w:rsidRPr="00EE2F19">
        <w:rPr>
          <w:sz w:val="22"/>
          <w:szCs w:val="22"/>
        </w:rPr>
        <w:t xml:space="preserve"> </w:t>
      </w:r>
      <w:proofErr w:type="spellStart"/>
      <w:r w:rsidRPr="00EE2F19">
        <w:rPr>
          <w:sz w:val="22"/>
          <w:szCs w:val="22"/>
        </w:rPr>
        <w:t>sl</w:t>
      </w:r>
      <w:r w:rsidR="00064926">
        <w:rPr>
          <w:sz w:val="22"/>
          <w:szCs w:val="22"/>
        </w:rPr>
        <w:t>j</w:t>
      </w:r>
      <w:r w:rsidRPr="00EE2F19">
        <w:rPr>
          <w:sz w:val="22"/>
          <w:szCs w:val="22"/>
        </w:rPr>
        <w:t>edeće</w:t>
      </w:r>
      <w:proofErr w:type="spellEnd"/>
      <w:r w:rsidRPr="00EE2F19">
        <w:rPr>
          <w:sz w:val="22"/>
          <w:szCs w:val="22"/>
        </w:rPr>
        <w:t xml:space="preserve"> </w:t>
      </w:r>
      <w:proofErr w:type="spellStart"/>
      <w:r w:rsidRPr="00EE2F19">
        <w:rPr>
          <w:sz w:val="22"/>
          <w:szCs w:val="22"/>
        </w:rPr>
        <w:t>stadijume</w:t>
      </w:r>
      <w:proofErr w:type="spellEnd"/>
      <w:r w:rsidRPr="00EE2F19">
        <w:rPr>
          <w:sz w:val="22"/>
          <w:szCs w:val="22"/>
        </w:rPr>
        <w:t>:</w:t>
      </w:r>
    </w:p>
    <w:p w14:paraId="4AAA43F7" w14:textId="77777777" w:rsidR="00EE2F19" w:rsidRPr="00EE2F19" w:rsidRDefault="00EE2F19" w:rsidP="00EE2F19">
      <w:pPr>
        <w:tabs>
          <w:tab w:val="left" w:pos="540"/>
          <w:tab w:val="left" w:pos="569"/>
        </w:tabs>
        <w:jc w:val="both"/>
        <w:rPr>
          <w:sz w:val="22"/>
          <w:szCs w:val="22"/>
        </w:rPr>
      </w:pPr>
    </w:p>
    <w:p w14:paraId="00FE297C" w14:textId="77777777" w:rsidR="00EE2F19" w:rsidRDefault="00EE2F19" w:rsidP="00EE2F19">
      <w:pPr>
        <w:pStyle w:val="ListParagraph"/>
        <w:numPr>
          <w:ilvl w:val="0"/>
          <w:numId w:val="13"/>
        </w:numPr>
        <w:tabs>
          <w:tab w:val="left" w:pos="540"/>
          <w:tab w:val="left" w:pos="567"/>
        </w:tabs>
        <w:ind w:left="567" w:hanging="207"/>
        <w:jc w:val="both"/>
        <w:rPr>
          <w:sz w:val="22"/>
          <w:szCs w:val="22"/>
        </w:rPr>
      </w:pPr>
      <w:proofErr w:type="spellStart"/>
      <w:r w:rsidRPr="00EE2F19">
        <w:rPr>
          <w:sz w:val="22"/>
          <w:szCs w:val="22"/>
        </w:rPr>
        <w:t>Blage</w:t>
      </w:r>
      <w:proofErr w:type="spellEnd"/>
      <w:r w:rsidRPr="00EE2F19">
        <w:rPr>
          <w:sz w:val="22"/>
          <w:szCs w:val="22"/>
        </w:rPr>
        <w:t xml:space="preserve"> </w:t>
      </w:r>
      <w:proofErr w:type="spellStart"/>
      <w:r w:rsidRPr="00EE2F19">
        <w:rPr>
          <w:sz w:val="22"/>
          <w:szCs w:val="22"/>
        </w:rPr>
        <w:t>epizode</w:t>
      </w:r>
      <w:proofErr w:type="spellEnd"/>
      <w:r w:rsidRPr="00EE2F19">
        <w:rPr>
          <w:sz w:val="22"/>
          <w:szCs w:val="22"/>
        </w:rPr>
        <w:t xml:space="preserve"> </w:t>
      </w:r>
      <w:proofErr w:type="spellStart"/>
      <w:r w:rsidRPr="00EE2F19">
        <w:rPr>
          <w:sz w:val="22"/>
          <w:szCs w:val="22"/>
        </w:rPr>
        <w:t>hipoglikemije</w:t>
      </w:r>
      <w:proofErr w:type="spellEnd"/>
      <w:r w:rsidRPr="00EE2F19">
        <w:rPr>
          <w:sz w:val="22"/>
          <w:szCs w:val="22"/>
        </w:rPr>
        <w:t xml:space="preserve"> </w:t>
      </w:r>
      <w:proofErr w:type="spellStart"/>
      <w:r w:rsidRPr="00EE2F19">
        <w:rPr>
          <w:sz w:val="22"/>
          <w:szCs w:val="22"/>
        </w:rPr>
        <w:t>mogu</w:t>
      </w:r>
      <w:proofErr w:type="spellEnd"/>
      <w:r w:rsidRPr="00EE2F19">
        <w:rPr>
          <w:sz w:val="22"/>
          <w:szCs w:val="22"/>
        </w:rPr>
        <w:t xml:space="preserve"> se </w:t>
      </w:r>
      <w:proofErr w:type="spellStart"/>
      <w:r w:rsidRPr="00EE2F19">
        <w:rPr>
          <w:sz w:val="22"/>
          <w:szCs w:val="22"/>
        </w:rPr>
        <w:t>liječiti</w:t>
      </w:r>
      <w:proofErr w:type="spellEnd"/>
      <w:r w:rsidRPr="00EE2F19">
        <w:rPr>
          <w:sz w:val="22"/>
          <w:szCs w:val="22"/>
        </w:rPr>
        <w:t xml:space="preserve"> </w:t>
      </w:r>
      <w:proofErr w:type="spellStart"/>
      <w:r w:rsidRPr="00EE2F19">
        <w:rPr>
          <w:sz w:val="22"/>
          <w:szCs w:val="22"/>
        </w:rPr>
        <w:t>oralnom</w:t>
      </w:r>
      <w:proofErr w:type="spellEnd"/>
      <w:r w:rsidRPr="00EE2F19">
        <w:rPr>
          <w:sz w:val="22"/>
          <w:szCs w:val="22"/>
        </w:rPr>
        <w:t xml:space="preserve"> </w:t>
      </w:r>
      <w:proofErr w:type="spellStart"/>
      <w:r w:rsidRPr="00EE2F19">
        <w:rPr>
          <w:sz w:val="22"/>
          <w:szCs w:val="22"/>
        </w:rPr>
        <w:t>primjenom</w:t>
      </w:r>
      <w:proofErr w:type="spellEnd"/>
      <w:r w:rsidRPr="00EE2F19">
        <w:rPr>
          <w:sz w:val="22"/>
          <w:szCs w:val="22"/>
        </w:rPr>
        <w:t xml:space="preserve"> </w:t>
      </w:r>
      <w:proofErr w:type="spellStart"/>
      <w:r w:rsidRPr="00EE2F19">
        <w:rPr>
          <w:sz w:val="22"/>
          <w:szCs w:val="22"/>
        </w:rPr>
        <w:t>glukoze</w:t>
      </w:r>
      <w:proofErr w:type="spellEnd"/>
      <w:r w:rsidRPr="00EE2F19">
        <w:rPr>
          <w:sz w:val="22"/>
          <w:szCs w:val="22"/>
        </w:rPr>
        <w:t xml:space="preserve"> </w:t>
      </w:r>
      <w:proofErr w:type="spellStart"/>
      <w:r w:rsidRPr="00EE2F19">
        <w:rPr>
          <w:sz w:val="22"/>
          <w:szCs w:val="22"/>
        </w:rPr>
        <w:t>ili</w:t>
      </w:r>
      <w:proofErr w:type="spellEnd"/>
      <w:r w:rsidRPr="00EE2F19">
        <w:rPr>
          <w:sz w:val="22"/>
          <w:szCs w:val="22"/>
        </w:rPr>
        <w:t xml:space="preserve"> </w:t>
      </w:r>
      <w:proofErr w:type="spellStart"/>
      <w:r w:rsidRPr="00EE2F19">
        <w:rPr>
          <w:sz w:val="22"/>
          <w:szCs w:val="22"/>
        </w:rPr>
        <w:t>drugih</w:t>
      </w:r>
      <w:proofErr w:type="spellEnd"/>
      <w:r w:rsidRPr="00EE2F19">
        <w:rPr>
          <w:sz w:val="22"/>
          <w:szCs w:val="22"/>
        </w:rPr>
        <w:t xml:space="preserve"> </w:t>
      </w:r>
      <w:proofErr w:type="spellStart"/>
      <w:r w:rsidRPr="00EE2F19">
        <w:rPr>
          <w:sz w:val="22"/>
          <w:szCs w:val="22"/>
        </w:rPr>
        <w:t>proizvoda</w:t>
      </w:r>
      <w:proofErr w:type="spellEnd"/>
      <w:r w:rsidRPr="00EE2F19">
        <w:rPr>
          <w:sz w:val="22"/>
          <w:szCs w:val="22"/>
        </w:rPr>
        <w:t xml:space="preserve"> koji </w:t>
      </w:r>
      <w:proofErr w:type="spellStart"/>
      <w:r w:rsidRPr="00EE2F19">
        <w:rPr>
          <w:sz w:val="22"/>
          <w:szCs w:val="22"/>
        </w:rPr>
        <w:t>sadrže</w:t>
      </w:r>
      <w:proofErr w:type="spellEnd"/>
      <w:r w:rsidRPr="00EE2F19">
        <w:rPr>
          <w:sz w:val="22"/>
          <w:szCs w:val="22"/>
        </w:rPr>
        <w:t xml:space="preserve"> </w:t>
      </w:r>
      <w:proofErr w:type="spellStart"/>
      <w:r w:rsidRPr="00EE2F19">
        <w:rPr>
          <w:sz w:val="22"/>
          <w:szCs w:val="22"/>
        </w:rPr>
        <w:t>šećer</w:t>
      </w:r>
      <w:proofErr w:type="spellEnd"/>
      <w:r w:rsidRPr="00EE2F19">
        <w:rPr>
          <w:sz w:val="22"/>
          <w:szCs w:val="22"/>
        </w:rPr>
        <w:t xml:space="preserve">. </w:t>
      </w:r>
      <w:proofErr w:type="spellStart"/>
      <w:r w:rsidRPr="00EE2F19">
        <w:rPr>
          <w:sz w:val="22"/>
          <w:szCs w:val="22"/>
        </w:rPr>
        <w:t>Zbog</w:t>
      </w:r>
      <w:proofErr w:type="spellEnd"/>
      <w:r w:rsidRPr="00EE2F19">
        <w:rPr>
          <w:sz w:val="22"/>
          <w:szCs w:val="22"/>
        </w:rPr>
        <w:t xml:space="preserve"> toga se </w:t>
      </w:r>
      <w:proofErr w:type="spellStart"/>
      <w:r w:rsidRPr="00EE2F19">
        <w:rPr>
          <w:sz w:val="22"/>
          <w:szCs w:val="22"/>
        </w:rPr>
        <w:t>pacijentu</w:t>
      </w:r>
      <w:proofErr w:type="spellEnd"/>
      <w:r w:rsidRPr="00EE2F19">
        <w:rPr>
          <w:sz w:val="22"/>
          <w:szCs w:val="22"/>
        </w:rPr>
        <w:t xml:space="preserve"> </w:t>
      </w:r>
      <w:proofErr w:type="spellStart"/>
      <w:r w:rsidRPr="00EE2F19">
        <w:rPr>
          <w:sz w:val="22"/>
          <w:szCs w:val="22"/>
        </w:rPr>
        <w:t>obol</w:t>
      </w:r>
      <w:r w:rsidR="00064926">
        <w:rPr>
          <w:sz w:val="22"/>
          <w:szCs w:val="22"/>
        </w:rPr>
        <w:t>j</w:t>
      </w:r>
      <w:r w:rsidRPr="00EE2F19">
        <w:rPr>
          <w:sz w:val="22"/>
          <w:szCs w:val="22"/>
        </w:rPr>
        <w:t>elom</w:t>
      </w:r>
      <w:proofErr w:type="spellEnd"/>
      <w:r w:rsidRPr="00EE2F19">
        <w:rPr>
          <w:sz w:val="22"/>
          <w:szCs w:val="22"/>
        </w:rPr>
        <w:t xml:space="preserve"> </w:t>
      </w:r>
      <w:proofErr w:type="spellStart"/>
      <w:r w:rsidRPr="00EE2F19">
        <w:rPr>
          <w:sz w:val="22"/>
          <w:szCs w:val="22"/>
        </w:rPr>
        <w:t>od</w:t>
      </w:r>
      <w:proofErr w:type="spellEnd"/>
      <w:r w:rsidRPr="00EE2F19">
        <w:rPr>
          <w:sz w:val="22"/>
          <w:szCs w:val="22"/>
        </w:rPr>
        <w:t xml:space="preserve"> </w:t>
      </w:r>
      <w:proofErr w:type="spellStart"/>
      <w:r w:rsidRPr="00EE2F19">
        <w:rPr>
          <w:sz w:val="22"/>
          <w:szCs w:val="22"/>
        </w:rPr>
        <w:t>dijabetesa</w:t>
      </w:r>
      <w:proofErr w:type="spellEnd"/>
      <w:r w:rsidRPr="00EE2F19">
        <w:rPr>
          <w:sz w:val="22"/>
          <w:szCs w:val="22"/>
        </w:rPr>
        <w:t xml:space="preserve"> </w:t>
      </w:r>
      <w:proofErr w:type="spellStart"/>
      <w:r w:rsidRPr="00EE2F19">
        <w:rPr>
          <w:sz w:val="22"/>
          <w:szCs w:val="22"/>
        </w:rPr>
        <w:t>preporučuje</w:t>
      </w:r>
      <w:proofErr w:type="spellEnd"/>
      <w:r w:rsidRPr="00EE2F19">
        <w:rPr>
          <w:sz w:val="22"/>
          <w:szCs w:val="22"/>
        </w:rPr>
        <w:t xml:space="preserve"> da </w:t>
      </w:r>
      <w:proofErr w:type="spellStart"/>
      <w:r w:rsidRPr="00EE2F19">
        <w:rPr>
          <w:sz w:val="22"/>
          <w:szCs w:val="22"/>
        </w:rPr>
        <w:t>uvijek</w:t>
      </w:r>
      <w:proofErr w:type="spellEnd"/>
      <w:r w:rsidRPr="00EE2F19">
        <w:rPr>
          <w:sz w:val="22"/>
          <w:szCs w:val="22"/>
        </w:rPr>
        <w:t xml:space="preserve"> </w:t>
      </w:r>
      <w:proofErr w:type="spellStart"/>
      <w:r w:rsidRPr="00EE2F19">
        <w:rPr>
          <w:sz w:val="22"/>
          <w:szCs w:val="22"/>
        </w:rPr>
        <w:t>sa</w:t>
      </w:r>
      <w:proofErr w:type="spellEnd"/>
      <w:r w:rsidRPr="00EE2F19">
        <w:rPr>
          <w:sz w:val="22"/>
          <w:szCs w:val="22"/>
        </w:rPr>
        <w:t xml:space="preserve"> </w:t>
      </w:r>
      <w:proofErr w:type="spellStart"/>
      <w:r w:rsidRPr="00EE2F19">
        <w:rPr>
          <w:sz w:val="22"/>
          <w:szCs w:val="22"/>
        </w:rPr>
        <w:t>sobom</w:t>
      </w:r>
      <w:proofErr w:type="spellEnd"/>
      <w:r w:rsidRPr="00EE2F19">
        <w:rPr>
          <w:sz w:val="22"/>
          <w:szCs w:val="22"/>
        </w:rPr>
        <w:t xml:space="preserve"> </w:t>
      </w:r>
      <w:proofErr w:type="spellStart"/>
      <w:r w:rsidRPr="00EE2F19">
        <w:rPr>
          <w:sz w:val="22"/>
          <w:szCs w:val="22"/>
        </w:rPr>
        <w:t>nosi</w:t>
      </w:r>
      <w:proofErr w:type="spellEnd"/>
      <w:r w:rsidRPr="00EE2F19">
        <w:rPr>
          <w:sz w:val="22"/>
          <w:szCs w:val="22"/>
        </w:rPr>
        <w:t xml:space="preserve"> </w:t>
      </w:r>
      <w:proofErr w:type="spellStart"/>
      <w:r w:rsidRPr="00EE2F19">
        <w:rPr>
          <w:sz w:val="22"/>
          <w:szCs w:val="22"/>
        </w:rPr>
        <w:t>proizvode</w:t>
      </w:r>
      <w:proofErr w:type="spellEnd"/>
      <w:r w:rsidRPr="00EE2F19">
        <w:rPr>
          <w:sz w:val="22"/>
          <w:szCs w:val="22"/>
        </w:rPr>
        <w:t xml:space="preserve"> koji </w:t>
      </w:r>
      <w:proofErr w:type="spellStart"/>
      <w:r w:rsidRPr="00EE2F19">
        <w:rPr>
          <w:sz w:val="22"/>
          <w:szCs w:val="22"/>
        </w:rPr>
        <w:t>sadrže</w:t>
      </w:r>
      <w:proofErr w:type="spellEnd"/>
      <w:r w:rsidRPr="00EE2F19">
        <w:rPr>
          <w:sz w:val="22"/>
          <w:szCs w:val="22"/>
        </w:rPr>
        <w:t xml:space="preserve"> </w:t>
      </w:r>
      <w:proofErr w:type="spellStart"/>
      <w:r w:rsidRPr="00EE2F19">
        <w:rPr>
          <w:sz w:val="22"/>
          <w:szCs w:val="22"/>
        </w:rPr>
        <w:t>glukozu</w:t>
      </w:r>
      <w:proofErr w:type="spellEnd"/>
      <w:r w:rsidRPr="00EE2F19">
        <w:rPr>
          <w:sz w:val="22"/>
          <w:szCs w:val="22"/>
        </w:rPr>
        <w:t>.</w:t>
      </w:r>
    </w:p>
    <w:p w14:paraId="318A29DA" w14:textId="77777777" w:rsidR="00EE2F19" w:rsidRPr="00EE2F19" w:rsidRDefault="00EE2F19" w:rsidP="00EE2F19">
      <w:pPr>
        <w:tabs>
          <w:tab w:val="left" w:pos="540"/>
          <w:tab w:val="left" w:pos="567"/>
        </w:tabs>
        <w:jc w:val="both"/>
        <w:rPr>
          <w:sz w:val="22"/>
          <w:szCs w:val="22"/>
        </w:rPr>
      </w:pPr>
    </w:p>
    <w:p w14:paraId="1C7465B1" w14:textId="7A3697D6" w:rsidR="00EE2F19" w:rsidRPr="00EE2F19" w:rsidRDefault="00EE2F19" w:rsidP="00EE2F19">
      <w:pPr>
        <w:pStyle w:val="ListParagraph"/>
        <w:numPr>
          <w:ilvl w:val="0"/>
          <w:numId w:val="13"/>
        </w:numPr>
        <w:tabs>
          <w:tab w:val="left" w:pos="540"/>
          <w:tab w:val="left" w:pos="567"/>
        </w:tabs>
        <w:ind w:left="567" w:hanging="207"/>
        <w:jc w:val="both"/>
        <w:rPr>
          <w:sz w:val="22"/>
          <w:szCs w:val="22"/>
        </w:rPr>
      </w:pPr>
      <w:proofErr w:type="spellStart"/>
      <w:r w:rsidRPr="00EE2F19">
        <w:rPr>
          <w:sz w:val="22"/>
          <w:szCs w:val="22"/>
        </w:rPr>
        <w:t>Teške</w:t>
      </w:r>
      <w:proofErr w:type="spellEnd"/>
      <w:r w:rsidRPr="00EE2F19">
        <w:rPr>
          <w:sz w:val="22"/>
          <w:szCs w:val="22"/>
        </w:rPr>
        <w:t xml:space="preserve"> </w:t>
      </w:r>
      <w:proofErr w:type="spellStart"/>
      <w:r w:rsidRPr="00EE2F19">
        <w:rPr>
          <w:sz w:val="22"/>
          <w:szCs w:val="22"/>
        </w:rPr>
        <w:t>hipoglikemijske</w:t>
      </w:r>
      <w:proofErr w:type="spellEnd"/>
      <w:r w:rsidRPr="00EE2F19">
        <w:rPr>
          <w:sz w:val="22"/>
          <w:szCs w:val="22"/>
        </w:rPr>
        <w:t xml:space="preserve"> </w:t>
      </w:r>
      <w:proofErr w:type="spellStart"/>
      <w:r w:rsidRPr="00EE2F19">
        <w:rPr>
          <w:sz w:val="22"/>
          <w:szCs w:val="22"/>
        </w:rPr>
        <w:t>epizode</w:t>
      </w:r>
      <w:proofErr w:type="spellEnd"/>
      <w:r w:rsidRPr="00EE2F19">
        <w:rPr>
          <w:sz w:val="22"/>
          <w:szCs w:val="22"/>
        </w:rPr>
        <w:t xml:space="preserve"> </w:t>
      </w:r>
      <w:proofErr w:type="spellStart"/>
      <w:r w:rsidRPr="00EE2F19">
        <w:rPr>
          <w:sz w:val="22"/>
          <w:szCs w:val="22"/>
        </w:rPr>
        <w:t>kada</w:t>
      </w:r>
      <w:proofErr w:type="spellEnd"/>
      <w:r w:rsidRPr="00EE2F19">
        <w:rPr>
          <w:sz w:val="22"/>
          <w:szCs w:val="22"/>
        </w:rPr>
        <w:t xml:space="preserve"> </w:t>
      </w:r>
      <w:proofErr w:type="spellStart"/>
      <w:r w:rsidRPr="00EE2F19">
        <w:rPr>
          <w:sz w:val="22"/>
          <w:szCs w:val="22"/>
        </w:rPr>
        <w:t>pacijent</w:t>
      </w:r>
      <w:proofErr w:type="spellEnd"/>
      <w:r w:rsidRPr="00EE2F19">
        <w:rPr>
          <w:sz w:val="22"/>
          <w:szCs w:val="22"/>
        </w:rPr>
        <w:t xml:space="preserve"> </w:t>
      </w:r>
      <w:proofErr w:type="spellStart"/>
      <w:r w:rsidRPr="00EE2F19">
        <w:rPr>
          <w:sz w:val="22"/>
          <w:szCs w:val="22"/>
        </w:rPr>
        <w:t>nije</w:t>
      </w:r>
      <w:proofErr w:type="spellEnd"/>
      <w:r w:rsidRPr="00EE2F19">
        <w:rPr>
          <w:sz w:val="22"/>
          <w:szCs w:val="22"/>
        </w:rPr>
        <w:t xml:space="preserve"> u </w:t>
      </w:r>
      <w:proofErr w:type="spellStart"/>
      <w:r w:rsidRPr="00EE2F19">
        <w:rPr>
          <w:sz w:val="22"/>
          <w:szCs w:val="22"/>
        </w:rPr>
        <w:t>mogućnosti</w:t>
      </w:r>
      <w:proofErr w:type="spellEnd"/>
      <w:r w:rsidRPr="00EE2F19">
        <w:rPr>
          <w:sz w:val="22"/>
          <w:szCs w:val="22"/>
        </w:rPr>
        <w:t xml:space="preserve"> da </w:t>
      </w:r>
      <w:proofErr w:type="spellStart"/>
      <w:r w:rsidRPr="00EE2F19">
        <w:rPr>
          <w:sz w:val="22"/>
          <w:szCs w:val="22"/>
        </w:rPr>
        <w:t>pomogne</w:t>
      </w:r>
      <w:proofErr w:type="spellEnd"/>
      <w:r w:rsidRPr="00EE2F19">
        <w:rPr>
          <w:sz w:val="22"/>
          <w:szCs w:val="22"/>
        </w:rPr>
        <w:t xml:space="preserve"> </w:t>
      </w:r>
      <w:proofErr w:type="spellStart"/>
      <w:r w:rsidRPr="00EE2F19">
        <w:rPr>
          <w:sz w:val="22"/>
          <w:szCs w:val="22"/>
        </w:rPr>
        <w:t>sam</w:t>
      </w:r>
      <w:proofErr w:type="spellEnd"/>
      <w:r w:rsidRPr="00EE2F19">
        <w:rPr>
          <w:sz w:val="22"/>
          <w:szCs w:val="22"/>
        </w:rPr>
        <w:t xml:space="preserve"> </w:t>
      </w:r>
      <w:proofErr w:type="spellStart"/>
      <w:r w:rsidRPr="00EE2F19">
        <w:rPr>
          <w:sz w:val="22"/>
          <w:szCs w:val="22"/>
        </w:rPr>
        <w:t>sebi</w:t>
      </w:r>
      <w:proofErr w:type="spellEnd"/>
      <w:r w:rsidRPr="00EE2F19">
        <w:rPr>
          <w:sz w:val="22"/>
          <w:szCs w:val="22"/>
        </w:rPr>
        <w:t xml:space="preserve">, </w:t>
      </w:r>
      <w:proofErr w:type="spellStart"/>
      <w:r w:rsidRPr="00EE2F19">
        <w:rPr>
          <w:sz w:val="22"/>
          <w:szCs w:val="22"/>
        </w:rPr>
        <w:t>mogu</w:t>
      </w:r>
      <w:proofErr w:type="spellEnd"/>
      <w:r w:rsidRPr="00EE2F19">
        <w:rPr>
          <w:sz w:val="22"/>
          <w:szCs w:val="22"/>
        </w:rPr>
        <w:t xml:space="preserve"> se </w:t>
      </w:r>
      <w:proofErr w:type="spellStart"/>
      <w:r w:rsidRPr="00EE2F19">
        <w:rPr>
          <w:sz w:val="22"/>
          <w:szCs w:val="22"/>
        </w:rPr>
        <w:t>liječiti</w:t>
      </w:r>
      <w:proofErr w:type="spellEnd"/>
      <w:r w:rsidRPr="00EE2F19">
        <w:rPr>
          <w:sz w:val="22"/>
          <w:szCs w:val="22"/>
        </w:rPr>
        <w:t xml:space="preserve"> </w:t>
      </w:r>
      <w:proofErr w:type="spellStart"/>
      <w:r w:rsidRPr="00EE2F19">
        <w:rPr>
          <w:sz w:val="22"/>
          <w:szCs w:val="22"/>
        </w:rPr>
        <w:t>glukagonom</w:t>
      </w:r>
      <w:proofErr w:type="spellEnd"/>
      <w:r w:rsidRPr="00EE2F19">
        <w:rPr>
          <w:sz w:val="22"/>
          <w:szCs w:val="22"/>
        </w:rPr>
        <w:t xml:space="preserve"> (0,5 do 1 mg) koji </w:t>
      </w:r>
      <w:proofErr w:type="spellStart"/>
      <w:r w:rsidRPr="00EE2F19">
        <w:rPr>
          <w:sz w:val="22"/>
          <w:szCs w:val="22"/>
        </w:rPr>
        <w:t>intramuskularno</w:t>
      </w:r>
      <w:proofErr w:type="spellEnd"/>
      <w:r w:rsidRPr="00EE2F19">
        <w:rPr>
          <w:sz w:val="22"/>
          <w:szCs w:val="22"/>
        </w:rPr>
        <w:t xml:space="preserve"> </w:t>
      </w:r>
      <w:proofErr w:type="spellStart"/>
      <w:r w:rsidRPr="00EE2F19">
        <w:rPr>
          <w:sz w:val="22"/>
          <w:szCs w:val="22"/>
        </w:rPr>
        <w:t>ili</w:t>
      </w:r>
      <w:proofErr w:type="spellEnd"/>
      <w:r w:rsidRPr="00EE2F19">
        <w:rPr>
          <w:sz w:val="22"/>
          <w:szCs w:val="22"/>
        </w:rPr>
        <w:t xml:space="preserve"> </w:t>
      </w:r>
      <w:proofErr w:type="spellStart"/>
      <w:r w:rsidRPr="00EE2F19">
        <w:rPr>
          <w:sz w:val="22"/>
          <w:szCs w:val="22"/>
        </w:rPr>
        <w:t>supkutano</w:t>
      </w:r>
      <w:proofErr w:type="spellEnd"/>
      <w:r w:rsidRPr="00EE2F19">
        <w:rPr>
          <w:sz w:val="22"/>
          <w:szCs w:val="22"/>
        </w:rPr>
        <w:t xml:space="preserve"> </w:t>
      </w:r>
      <w:proofErr w:type="spellStart"/>
      <w:r w:rsidRPr="00EE2F19">
        <w:rPr>
          <w:sz w:val="22"/>
          <w:szCs w:val="22"/>
        </w:rPr>
        <w:t>daje</w:t>
      </w:r>
      <w:proofErr w:type="spellEnd"/>
      <w:r w:rsidRPr="00EE2F19">
        <w:rPr>
          <w:sz w:val="22"/>
          <w:szCs w:val="22"/>
        </w:rPr>
        <w:t xml:space="preserve"> </w:t>
      </w:r>
      <w:proofErr w:type="spellStart"/>
      <w:r w:rsidRPr="00EE2F19">
        <w:rPr>
          <w:sz w:val="22"/>
          <w:szCs w:val="22"/>
        </w:rPr>
        <w:t>osoba</w:t>
      </w:r>
      <w:proofErr w:type="spellEnd"/>
      <w:r w:rsidRPr="00EE2F19">
        <w:rPr>
          <w:sz w:val="22"/>
          <w:szCs w:val="22"/>
        </w:rPr>
        <w:t xml:space="preserve"> </w:t>
      </w:r>
      <w:proofErr w:type="spellStart"/>
      <w:r w:rsidRPr="00EE2F19">
        <w:rPr>
          <w:sz w:val="22"/>
          <w:szCs w:val="22"/>
        </w:rPr>
        <w:t>koja</w:t>
      </w:r>
      <w:proofErr w:type="spellEnd"/>
      <w:r w:rsidRPr="00EE2F19">
        <w:rPr>
          <w:sz w:val="22"/>
          <w:szCs w:val="22"/>
        </w:rPr>
        <w:t xml:space="preserve"> je </w:t>
      </w:r>
      <w:proofErr w:type="spellStart"/>
      <w:r w:rsidRPr="00EE2F19">
        <w:rPr>
          <w:sz w:val="22"/>
          <w:szCs w:val="22"/>
        </w:rPr>
        <w:t>prethodno</w:t>
      </w:r>
      <w:proofErr w:type="spellEnd"/>
      <w:r w:rsidRPr="00EE2F19">
        <w:rPr>
          <w:sz w:val="22"/>
          <w:szCs w:val="22"/>
        </w:rPr>
        <w:t xml:space="preserve"> </w:t>
      </w:r>
      <w:proofErr w:type="spellStart"/>
      <w:r w:rsidRPr="00EE2F19">
        <w:rPr>
          <w:sz w:val="22"/>
          <w:szCs w:val="22"/>
        </w:rPr>
        <w:t>dobila</w:t>
      </w:r>
      <w:proofErr w:type="spellEnd"/>
      <w:r w:rsidRPr="00EE2F19">
        <w:rPr>
          <w:sz w:val="22"/>
          <w:szCs w:val="22"/>
        </w:rPr>
        <w:t xml:space="preserve"> </w:t>
      </w:r>
      <w:proofErr w:type="spellStart"/>
      <w:r w:rsidRPr="00EE2F19">
        <w:rPr>
          <w:sz w:val="22"/>
          <w:szCs w:val="22"/>
        </w:rPr>
        <w:t>odgovarajuća</w:t>
      </w:r>
      <w:proofErr w:type="spellEnd"/>
      <w:r w:rsidRPr="00EE2F19">
        <w:rPr>
          <w:sz w:val="22"/>
          <w:szCs w:val="22"/>
        </w:rPr>
        <w:t xml:space="preserve"> </w:t>
      </w:r>
      <w:proofErr w:type="spellStart"/>
      <w:r w:rsidRPr="00EE2F19">
        <w:rPr>
          <w:sz w:val="22"/>
          <w:szCs w:val="22"/>
        </w:rPr>
        <w:t>uputstva</w:t>
      </w:r>
      <w:proofErr w:type="spellEnd"/>
      <w:r w:rsidRPr="00EE2F19">
        <w:rPr>
          <w:sz w:val="22"/>
          <w:szCs w:val="22"/>
        </w:rPr>
        <w:t xml:space="preserve">, </w:t>
      </w:r>
      <w:proofErr w:type="spellStart"/>
      <w:r w:rsidRPr="00EE2F19">
        <w:rPr>
          <w:sz w:val="22"/>
          <w:szCs w:val="22"/>
        </w:rPr>
        <w:t>ili</w:t>
      </w:r>
      <w:proofErr w:type="spellEnd"/>
      <w:r w:rsidRPr="00EE2F19">
        <w:rPr>
          <w:sz w:val="22"/>
          <w:szCs w:val="22"/>
        </w:rPr>
        <w:t xml:space="preserve"> </w:t>
      </w:r>
      <w:proofErr w:type="spellStart"/>
      <w:r w:rsidRPr="00EE2F19">
        <w:rPr>
          <w:sz w:val="22"/>
          <w:szCs w:val="22"/>
        </w:rPr>
        <w:t>glukozom</w:t>
      </w:r>
      <w:proofErr w:type="spellEnd"/>
      <w:r w:rsidRPr="00EE2F19">
        <w:rPr>
          <w:sz w:val="22"/>
          <w:szCs w:val="22"/>
        </w:rPr>
        <w:t xml:space="preserve"> </w:t>
      </w:r>
      <w:proofErr w:type="spellStart"/>
      <w:r w:rsidRPr="00EE2F19">
        <w:rPr>
          <w:sz w:val="22"/>
          <w:szCs w:val="22"/>
        </w:rPr>
        <w:t>koju</w:t>
      </w:r>
      <w:proofErr w:type="spellEnd"/>
      <w:r w:rsidRPr="00EE2F19">
        <w:rPr>
          <w:sz w:val="22"/>
          <w:szCs w:val="22"/>
        </w:rPr>
        <w:t xml:space="preserve"> </w:t>
      </w:r>
      <w:proofErr w:type="spellStart"/>
      <w:r w:rsidRPr="00EE2F19">
        <w:rPr>
          <w:sz w:val="22"/>
          <w:szCs w:val="22"/>
        </w:rPr>
        <w:t>intravenski</w:t>
      </w:r>
      <w:proofErr w:type="spellEnd"/>
      <w:r w:rsidRPr="00EE2F19">
        <w:rPr>
          <w:sz w:val="22"/>
          <w:szCs w:val="22"/>
        </w:rPr>
        <w:t xml:space="preserve"> </w:t>
      </w:r>
      <w:proofErr w:type="spellStart"/>
      <w:r w:rsidRPr="00EE2F19">
        <w:rPr>
          <w:sz w:val="22"/>
          <w:szCs w:val="22"/>
        </w:rPr>
        <w:t>primjenjuje</w:t>
      </w:r>
      <w:proofErr w:type="spellEnd"/>
      <w:r w:rsidRPr="00EE2F19">
        <w:rPr>
          <w:sz w:val="22"/>
          <w:szCs w:val="22"/>
        </w:rPr>
        <w:t xml:space="preserve"> </w:t>
      </w:r>
      <w:proofErr w:type="spellStart"/>
      <w:r w:rsidRPr="00EE2F19">
        <w:rPr>
          <w:sz w:val="22"/>
          <w:szCs w:val="22"/>
        </w:rPr>
        <w:t>medicinsko</w:t>
      </w:r>
      <w:proofErr w:type="spellEnd"/>
      <w:r w:rsidRPr="00EE2F19">
        <w:rPr>
          <w:sz w:val="22"/>
          <w:szCs w:val="22"/>
        </w:rPr>
        <w:t xml:space="preserve"> </w:t>
      </w:r>
      <w:proofErr w:type="spellStart"/>
      <w:r w:rsidRPr="00EE2F19">
        <w:rPr>
          <w:sz w:val="22"/>
          <w:szCs w:val="22"/>
        </w:rPr>
        <w:t>osoblje</w:t>
      </w:r>
      <w:proofErr w:type="spellEnd"/>
      <w:r w:rsidRPr="00EE2F19">
        <w:rPr>
          <w:sz w:val="22"/>
          <w:szCs w:val="22"/>
        </w:rPr>
        <w:t xml:space="preserve">. </w:t>
      </w:r>
      <w:proofErr w:type="spellStart"/>
      <w:r w:rsidRPr="00EE2F19">
        <w:rPr>
          <w:sz w:val="22"/>
          <w:szCs w:val="22"/>
        </w:rPr>
        <w:t>Ako</w:t>
      </w:r>
      <w:proofErr w:type="spellEnd"/>
      <w:r w:rsidRPr="00EE2F19">
        <w:rPr>
          <w:sz w:val="22"/>
          <w:szCs w:val="22"/>
        </w:rPr>
        <w:t xml:space="preserve"> </w:t>
      </w:r>
      <w:proofErr w:type="spellStart"/>
      <w:r w:rsidRPr="00EE2F19">
        <w:rPr>
          <w:sz w:val="22"/>
          <w:szCs w:val="22"/>
        </w:rPr>
        <w:t>pacijent</w:t>
      </w:r>
      <w:proofErr w:type="spellEnd"/>
      <w:r w:rsidRPr="00EE2F19">
        <w:rPr>
          <w:sz w:val="22"/>
          <w:szCs w:val="22"/>
        </w:rPr>
        <w:t xml:space="preserve"> ne </w:t>
      </w:r>
      <w:proofErr w:type="spellStart"/>
      <w:r w:rsidRPr="00EE2F19">
        <w:rPr>
          <w:sz w:val="22"/>
          <w:szCs w:val="22"/>
        </w:rPr>
        <w:t>reaguje</w:t>
      </w:r>
      <w:proofErr w:type="spellEnd"/>
      <w:r w:rsidRPr="00EE2F19">
        <w:rPr>
          <w:sz w:val="22"/>
          <w:szCs w:val="22"/>
        </w:rPr>
        <w:t xml:space="preserve"> </w:t>
      </w:r>
      <w:proofErr w:type="spellStart"/>
      <w:r w:rsidRPr="00EE2F19">
        <w:rPr>
          <w:sz w:val="22"/>
          <w:szCs w:val="22"/>
        </w:rPr>
        <w:t>na</w:t>
      </w:r>
      <w:proofErr w:type="spellEnd"/>
      <w:r w:rsidRPr="00EE2F19">
        <w:rPr>
          <w:sz w:val="22"/>
          <w:szCs w:val="22"/>
        </w:rPr>
        <w:t xml:space="preserve"> </w:t>
      </w:r>
      <w:proofErr w:type="spellStart"/>
      <w:r w:rsidRPr="00EE2F19">
        <w:rPr>
          <w:sz w:val="22"/>
          <w:szCs w:val="22"/>
        </w:rPr>
        <w:t>primjenu</w:t>
      </w:r>
      <w:proofErr w:type="spellEnd"/>
      <w:r w:rsidRPr="00EE2F19">
        <w:rPr>
          <w:sz w:val="22"/>
          <w:szCs w:val="22"/>
        </w:rPr>
        <w:t xml:space="preserve"> </w:t>
      </w:r>
      <w:proofErr w:type="spellStart"/>
      <w:r w:rsidRPr="00EE2F19">
        <w:rPr>
          <w:sz w:val="22"/>
          <w:szCs w:val="22"/>
        </w:rPr>
        <w:t>glukagona</w:t>
      </w:r>
      <w:proofErr w:type="spellEnd"/>
      <w:r w:rsidRPr="00EE2F19">
        <w:rPr>
          <w:sz w:val="22"/>
          <w:szCs w:val="22"/>
        </w:rPr>
        <w:t xml:space="preserve"> u </w:t>
      </w:r>
      <w:proofErr w:type="spellStart"/>
      <w:r w:rsidRPr="00EE2F19">
        <w:rPr>
          <w:sz w:val="22"/>
          <w:szCs w:val="22"/>
        </w:rPr>
        <w:t>roku</w:t>
      </w:r>
      <w:proofErr w:type="spellEnd"/>
      <w:r w:rsidRPr="00EE2F19">
        <w:rPr>
          <w:sz w:val="22"/>
          <w:szCs w:val="22"/>
        </w:rPr>
        <w:t xml:space="preserve"> od 10 do 15 </w:t>
      </w:r>
      <w:proofErr w:type="spellStart"/>
      <w:r w:rsidRPr="00EE2F19">
        <w:rPr>
          <w:sz w:val="22"/>
          <w:szCs w:val="22"/>
        </w:rPr>
        <w:t>minuta</w:t>
      </w:r>
      <w:proofErr w:type="spellEnd"/>
      <w:r w:rsidRPr="00EE2F19">
        <w:rPr>
          <w:sz w:val="22"/>
          <w:szCs w:val="22"/>
        </w:rPr>
        <w:t xml:space="preserve">, mora se </w:t>
      </w:r>
      <w:proofErr w:type="spellStart"/>
      <w:r w:rsidRPr="00EE2F19">
        <w:rPr>
          <w:sz w:val="22"/>
          <w:szCs w:val="22"/>
        </w:rPr>
        <w:t>intravenski</w:t>
      </w:r>
      <w:proofErr w:type="spellEnd"/>
      <w:r w:rsidRPr="00EE2F19">
        <w:rPr>
          <w:sz w:val="22"/>
          <w:szCs w:val="22"/>
        </w:rPr>
        <w:t xml:space="preserve"> </w:t>
      </w:r>
      <w:proofErr w:type="spellStart"/>
      <w:r w:rsidRPr="00EE2F19">
        <w:rPr>
          <w:sz w:val="22"/>
          <w:szCs w:val="22"/>
        </w:rPr>
        <w:t>prim</w:t>
      </w:r>
      <w:r w:rsidR="00064926">
        <w:rPr>
          <w:sz w:val="22"/>
          <w:szCs w:val="22"/>
        </w:rPr>
        <w:t>i</w:t>
      </w:r>
      <w:r w:rsidRPr="00EE2F19">
        <w:rPr>
          <w:sz w:val="22"/>
          <w:szCs w:val="22"/>
        </w:rPr>
        <w:t>jeniti</w:t>
      </w:r>
      <w:proofErr w:type="spellEnd"/>
      <w:r w:rsidRPr="00EE2F19">
        <w:rPr>
          <w:sz w:val="22"/>
          <w:szCs w:val="22"/>
        </w:rPr>
        <w:t xml:space="preserve"> </w:t>
      </w:r>
      <w:proofErr w:type="spellStart"/>
      <w:r w:rsidRPr="00EE2F19">
        <w:rPr>
          <w:sz w:val="22"/>
          <w:szCs w:val="22"/>
        </w:rPr>
        <w:t>glukoza</w:t>
      </w:r>
      <w:proofErr w:type="spellEnd"/>
      <w:r w:rsidRPr="00EE2F19">
        <w:rPr>
          <w:sz w:val="22"/>
          <w:szCs w:val="22"/>
        </w:rPr>
        <w:t xml:space="preserve">. </w:t>
      </w:r>
      <w:proofErr w:type="spellStart"/>
      <w:r w:rsidRPr="00EE2F19">
        <w:rPr>
          <w:sz w:val="22"/>
          <w:szCs w:val="22"/>
        </w:rPr>
        <w:t>Kada</w:t>
      </w:r>
      <w:proofErr w:type="spellEnd"/>
      <w:r w:rsidRPr="00EE2F19">
        <w:rPr>
          <w:sz w:val="22"/>
          <w:szCs w:val="22"/>
        </w:rPr>
        <w:t xml:space="preserve"> se </w:t>
      </w:r>
      <w:proofErr w:type="spellStart"/>
      <w:r w:rsidRPr="00EE2F19">
        <w:rPr>
          <w:sz w:val="22"/>
          <w:szCs w:val="22"/>
        </w:rPr>
        <w:t>pacijentu</w:t>
      </w:r>
      <w:proofErr w:type="spellEnd"/>
      <w:r w:rsidRPr="00EE2F19">
        <w:rPr>
          <w:sz w:val="22"/>
          <w:szCs w:val="22"/>
        </w:rPr>
        <w:t xml:space="preserve"> </w:t>
      </w:r>
      <w:proofErr w:type="spellStart"/>
      <w:r w:rsidRPr="00EE2F19">
        <w:rPr>
          <w:sz w:val="22"/>
          <w:szCs w:val="22"/>
        </w:rPr>
        <w:t>povrati</w:t>
      </w:r>
      <w:proofErr w:type="spellEnd"/>
      <w:r w:rsidRPr="00EE2F19">
        <w:rPr>
          <w:sz w:val="22"/>
          <w:szCs w:val="22"/>
        </w:rPr>
        <w:t xml:space="preserve"> </w:t>
      </w:r>
      <w:proofErr w:type="spellStart"/>
      <w:r w:rsidRPr="00EE2F19">
        <w:rPr>
          <w:sz w:val="22"/>
          <w:szCs w:val="22"/>
        </w:rPr>
        <w:t>svijest</w:t>
      </w:r>
      <w:proofErr w:type="spellEnd"/>
      <w:r w:rsidRPr="00EE2F19">
        <w:rPr>
          <w:sz w:val="22"/>
          <w:szCs w:val="22"/>
        </w:rPr>
        <w:t xml:space="preserve">, </w:t>
      </w:r>
      <w:proofErr w:type="spellStart"/>
      <w:r w:rsidRPr="00EE2F19">
        <w:rPr>
          <w:sz w:val="22"/>
          <w:szCs w:val="22"/>
        </w:rPr>
        <w:t>preporučuje</w:t>
      </w:r>
      <w:proofErr w:type="spellEnd"/>
      <w:r w:rsidRPr="00EE2F19">
        <w:rPr>
          <w:sz w:val="22"/>
          <w:szCs w:val="22"/>
        </w:rPr>
        <w:t xml:space="preserve"> se </w:t>
      </w:r>
      <w:proofErr w:type="spellStart"/>
      <w:r w:rsidRPr="00EE2F19">
        <w:rPr>
          <w:sz w:val="22"/>
          <w:szCs w:val="22"/>
        </w:rPr>
        <w:t>peroralna</w:t>
      </w:r>
      <w:proofErr w:type="spellEnd"/>
      <w:r w:rsidRPr="00EE2F19">
        <w:rPr>
          <w:sz w:val="22"/>
          <w:szCs w:val="22"/>
        </w:rPr>
        <w:t xml:space="preserve"> </w:t>
      </w:r>
      <w:proofErr w:type="spellStart"/>
      <w:r w:rsidRPr="00EE2F19">
        <w:rPr>
          <w:sz w:val="22"/>
          <w:szCs w:val="22"/>
        </w:rPr>
        <w:t>primjena</w:t>
      </w:r>
      <w:proofErr w:type="spellEnd"/>
      <w:r w:rsidRPr="00EE2F19">
        <w:rPr>
          <w:sz w:val="22"/>
          <w:szCs w:val="22"/>
        </w:rPr>
        <w:t xml:space="preserve"> </w:t>
      </w:r>
      <w:proofErr w:type="spellStart"/>
      <w:r w:rsidRPr="00EE2F19">
        <w:rPr>
          <w:sz w:val="22"/>
          <w:szCs w:val="22"/>
        </w:rPr>
        <w:t>ugljenih</w:t>
      </w:r>
      <w:proofErr w:type="spellEnd"/>
      <w:r w:rsidRPr="00EE2F19">
        <w:rPr>
          <w:sz w:val="22"/>
          <w:szCs w:val="22"/>
        </w:rPr>
        <w:t xml:space="preserve"> </w:t>
      </w:r>
      <w:proofErr w:type="spellStart"/>
      <w:r w:rsidRPr="00EE2F19">
        <w:rPr>
          <w:sz w:val="22"/>
          <w:szCs w:val="22"/>
        </w:rPr>
        <w:t>hidrata</w:t>
      </w:r>
      <w:proofErr w:type="spellEnd"/>
      <w:r w:rsidRPr="00EE2F19">
        <w:rPr>
          <w:sz w:val="22"/>
          <w:szCs w:val="22"/>
        </w:rPr>
        <w:t xml:space="preserve">, </w:t>
      </w:r>
      <w:proofErr w:type="spellStart"/>
      <w:r w:rsidRPr="00EE2F19">
        <w:rPr>
          <w:sz w:val="22"/>
          <w:szCs w:val="22"/>
        </w:rPr>
        <w:t>kako</w:t>
      </w:r>
      <w:proofErr w:type="spellEnd"/>
      <w:r w:rsidRPr="00EE2F19">
        <w:rPr>
          <w:sz w:val="22"/>
          <w:szCs w:val="22"/>
        </w:rPr>
        <w:t xml:space="preserve"> bi se </w:t>
      </w:r>
      <w:proofErr w:type="spellStart"/>
      <w:r w:rsidRPr="00EE2F19">
        <w:rPr>
          <w:sz w:val="22"/>
          <w:szCs w:val="22"/>
        </w:rPr>
        <w:t>spriječila</w:t>
      </w:r>
      <w:proofErr w:type="spellEnd"/>
      <w:r w:rsidRPr="00EE2F19">
        <w:rPr>
          <w:sz w:val="22"/>
          <w:szCs w:val="22"/>
        </w:rPr>
        <w:t xml:space="preserve"> </w:t>
      </w:r>
      <w:proofErr w:type="spellStart"/>
      <w:r w:rsidRPr="00EE2F19">
        <w:rPr>
          <w:sz w:val="22"/>
          <w:szCs w:val="22"/>
        </w:rPr>
        <w:t>ponovna</w:t>
      </w:r>
      <w:proofErr w:type="spellEnd"/>
      <w:r w:rsidRPr="00EE2F19">
        <w:rPr>
          <w:sz w:val="22"/>
          <w:szCs w:val="22"/>
        </w:rPr>
        <w:t xml:space="preserve"> </w:t>
      </w:r>
      <w:proofErr w:type="spellStart"/>
      <w:r w:rsidRPr="00EE2F19">
        <w:rPr>
          <w:sz w:val="22"/>
          <w:szCs w:val="22"/>
        </w:rPr>
        <w:t>hipoglikemijska</w:t>
      </w:r>
      <w:proofErr w:type="spellEnd"/>
      <w:r w:rsidRPr="00EE2F19">
        <w:rPr>
          <w:sz w:val="22"/>
          <w:szCs w:val="22"/>
        </w:rPr>
        <w:t xml:space="preserve"> </w:t>
      </w:r>
      <w:proofErr w:type="spellStart"/>
      <w:r w:rsidRPr="00EE2F19">
        <w:rPr>
          <w:sz w:val="22"/>
          <w:szCs w:val="22"/>
        </w:rPr>
        <w:t>kriza</w:t>
      </w:r>
      <w:proofErr w:type="spellEnd"/>
      <w:r w:rsidR="0026366B">
        <w:rPr>
          <w:sz w:val="22"/>
          <w:szCs w:val="22"/>
        </w:rPr>
        <w:t xml:space="preserve"> (</w:t>
      </w:r>
      <w:proofErr w:type="spellStart"/>
      <w:r w:rsidR="0026366B">
        <w:rPr>
          <w:sz w:val="22"/>
          <w:szCs w:val="22"/>
        </w:rPr>
        <w:t>relaps</w:t>
      </w:r>
      <w:proofErr w:type="spellEnd"/>
      <w:r w:rsidR="0026366B">
        <w:rPr>
          <w:sz w:val="22"/>
          <w:szCs w:val="22"/>
        </w:rPr>
        <w:t>)</w:t>
      </w:r>
      <w:r w:rsidRPr="00EE2F19">
        <w:rPr>
          <w:sz w:val="22"/>
          <w:szCs w:val="22"/>
        </w:rPr>
        <w:t>.</w:t>
      </w:r>
    </w:p>
    <w:p w14:paraId="386DFFF2" w14:textId="77777777" w:rsidR="00227BDB" w:rsidRDefault="00227BDB" w:rsidP="00480FB1">
      <w:pPr>
        <w:tabs>
          <w:tab w:val="left" w:pos="540"/>
          <w:tab w:val="left" w:pos="569"/>
        </w:tabs>
        <w:rPr>
          <w:sz w:val="22"/>
          <w:szCs w:val="22"/>
        </w:rPr>
      </w:pPr>
    </w:p>
    <w:p w14:paraId="6F00B16D" w14:textId="77777777" w:rsidR="006513A1" w:rsidRPr="00EE2F19" w:rsidRDefault="006513A1" w:rsidP="00480FB1">
      <w:pPr>
        <w:tabs>
          <w:tab w:val="left" w:pos="540"/>
          <w:tab w:val="left" w:pos="569"/>
        </w:tabs>
        <w:rPr>
          <w:sz w:val="22"/>
          <w:szCs w:val="22"/>
        </w:rPr>
      </w:pPr>
    </w:p>
    <w:p w14:paraId="08A3A846" w14:textId="77777777"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097B3AB5" w14:textId="77777777" w:rsidR="0072020E" w:rsidRPr="00786071" w:rsidRDefault="0072020E" w:rsidP="00480FB1">
      <w:pPr>
        <w:tabs>
          <w:tab w:val="left" w:pos="540"/>
          <w:tab w:val="left" w:pos="569"/>
        </w:tabs>
        <w:rPr>
          <w:b/>
          <w:bCs/>
          <w:sz w:val="22"/>
          <w:szCs w:val="22"/>
        </w:rPr>
      </w:pPr>
    </w:p>
    <w:p w14:paraId="5787EAD9" w14:textId="77777777"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proofErr w:type="spellStart"/>
      <w:r w:rsidRPr="00786071">
        <w:rPr>
          <w:b/>
          <w:bCs/>
          <w:sz w:val="22"/>
          <w:szCs w:val="22"/>
        </w:rPr>
        <w:t>Farmakodinamski</w:t>
      </w:r>
      <w:proofErr w:type="spellEnd"/>
      <w:r w:rsidRPr="00786071">
        <w:rPr>
          <w:b/>
          <w:bCs/>
          <w:sz w:val="22"/>
          <w:szCs w:val="22"/>
        </w:rPr>
        <w:t xml:space="preserve"> </w:t>
      </w:r>
      <w:proofErr w:type="spellStart"/>
      <w:r w:rsidRPr="00786071">
        <w:rPr>
          <w:b/>
          <w:bCs/>
          <w:sz w:val="22"/>
          <w:szCs w:val="22"/>
        </w:rPr>
        <w:t>podaci</w:t>
      </w:r>
      <w:proofErr w:type="spellEnd"/>
      <w:r w:rsidR="003A7059" w:rsidRPr="00786071">
        <w:rPr>
          <w:b/>
          <w:bCs/>
          <w:sz w:val="22"/>
          <w:szCs w:val="22"/>
        </w:rPr>
        <w:t xml:space="preserve"> </w:t>
      </w:r>
    </w:p>
    <w:p w14:paraId="14497069" w14:textId="77777777" w:rsidR="00EE2F19" w:rsidRPr="00EE2F19" w:rsidRDefault="00EE2F19" w:rsidP="00480FB1">
      <w:pPr>
        <w:tabs>
          <w:tab w:val="left" w:pos="540"/>
          <w:tab w:val="left" w:pos="569"/>
        </w:tabs>
        <w:rPr>
          <w:sz w:val="22"/>
          <w:szCs w:val="22"/>
        </w:rPr>
      </w:pPr>
    </w:p>
    <w:p w14:paraId="606A1CFF" w14:textId="35408C75" w:rsidR="0072020E" w:rsidRPr="001D23DB" w:rsidRDefault="0072020E" w:rsidP="008D0BC2">
      <w:pPr>
        <w:tabs>
          <w:tab w:val="left" w:pos="540"/>
          <w:tab w:val="left" w:pos="569"/>
        </w:tabs>
        <w:jc w:val="both"/>
        <w:rPr>
          <w:bCs/>
          <w:sz w:val="22"/>
          <w:szCs w:val="22"/>
        </w:rPr>
      </w:pPr>
      <w:proofErr w:type="spellStart"/>
      <w:r w:rsidRPr="00786071">
        <w:rPr>
          <w:bCs/>
          <w:sz w:val="22"/>
          <w:szCs w:val="22"/>
        </w:rPr>
        <w:t>Farmakoterapijska</w:t>
      </w:r>
      <w:proofErr w:type="spellEnd"/>
      <w:r w:rsidRPr="00786071">
        <w:rPr>
          <w:bCs/>
          <w:sz w:val="22"/>
          <w:szCs w:val="22"/>
        </w:rPr>
        <w:t xml:space="preserve"> </w:t>
      </w:r>
      <w:proofErr w:type="spellStart"/>
      <w:r w:rsidRPr="00786071">
        <w:rPr>
          <w:bCs/>
          <w:sz w:val="22"/>
          <w:szCs w:val="22"/>
        </w:rPr>
        <w:t>grupa</w:t>
      </w:r>
      <w:proofErr w:type="spellEnd"/>
      <w:r w:rsidRPr="00786071">
        <w:rPr>
          <w:bCs/>
          <w:sz w:val="22"/>
          <w:szCs w:val="22"/>
        </w:rPr>
        <w:t>:</w:t>
      </w:r>
      <w:r w:rsidR="00EE2F19">
        <w:rPr>
          <w:bCs/>
          <w:sz w:val="22"/>
          <w:szCs w:val="22"/>
        </w:rPr>
        <w:t xml:space="preserve"> </w:t>
      </w:r>
      <w:r w:rsidR="008D0BC2" w:rsidRPr="008D0BC2">
        <w:rPr>
          <w:bCs/>
          <w:sz w:val="22"/>
          <w:szCs w:val="22"/>
          <w:lang w:val="sr-Latn-RS"/>
        </w:rPr>
        <w:t>Ljekovi koji se upotrebljavaju u dijabetesu (antidijabetici), insulini i analozi, parenteralni, brzog dejstva</w:t>
      </w:r>
    </w:p>
    <w:p w14:paraId="61E74CF5" w14:textId="77777777" w:rsidR="0072020E" w:rsidRPr="001D23DB" w:rsidRDefault="0072020E" w:rsidP="00480FB1">
      <w:pPr>
        <w:tabs>
          <w:tab w:val="left" w:pos="540"/>
          <w:tab w:val="left" w:pos="569"/>
        </w:tabs>
        <w:rPr>
          <w:bCs/>
          <w:sz w:val="22"/>
          <w:szCs w:val="22"/>
        </w:rPr>
      </w:pPr>
    </w:p>
    <w:p w14:paraId="0180498B" w14:textId="77777777" w:rsidR="0072020E" w:rsidRPr="0075503A" w:rsidRDefault="0072020E" w:rsidP="00480FB1">
      <w:pPr>
        <w:tabs>
          <w:tab w:val="left" w:pos="540"/>
          <w:tab w:val="left" w:pos="569"/>
        </w:tabs>
        <w:rPr>
          <w:bCs/>
          <w:sz w:val="22"/>
          <w:szCs w:val="22"/>
        </w:rPr>
      </w:pPr>
      <w:r w:rsidRPr="0075503A">
        <w:rPr>
          <w:bCs/>
          <w:sz w:val="22"/>
          <w:szCs w:val="22"/>
        </w:rPr>
        <w:t xml:space="preserve">ATC </w:t>
      </w:r>
      <w:proofErr w:type="spellStart"/>
      <w:r w:rsidRPr="0075503A">
        <w:rPr>
          <w:bCs/>
          <w:sz w:val="22"/>
          <w:szCs w:val="22"/>
        </w:rPr>
        <w:t>kod</w:t>
      </w:r>
      <w:proofErr w:type="spellEnd"/>
      <w:r w:rsidRPr="0075503A">
        <w:rPr>
          <w:bCs/>
          <w:sz w:val="22"/>
          <w:szCs w:val="22"/>
        </w:rPr>
        <w:t>:</w:t>
      </w:r>
      <w:r w:rsidR="00EE2F19" w:rsidRPr="0075503A">
        <w:rPr>
          <w:bCs/>
          <w:sz w:val="22"/>
          <w:szCs w:val="22"/>
        </w:rPr>
        <w:t xml:space="preserve"> A10AB05</w:t>
      </w:r>
    </w:p>
    <w:p w14:paraId="31921A9C" w14:textId="77777777" w:rsidR="002E37A5" w:rsidRPr="0075503A" w:rsidRDefault="002E37A5" w:rsidP="00480FB1">
      <w:pPr>
        <w:tabs>
          <w:tab w:val="left" w:pos="540"/>
          <w:tab w:val="left" w:pos="569"/>
        </w:tabs>
        <w:rPr>
          <w:sz w:val="22"/>
          <w:szCs w:val="22"/>
        </w:rPr>
      </w:pPr>
    </w:p>
    <w:p w14:paraId="4D13A698" w14:textId="77777777" w:rsidR="00EE2F19" w:rsidRPr="0075503A" w:rsidRDefault="00EE2F19" w:rsidP="00EE2F19">
      <w:pPr>
        <w:tabs>
          <w:tab w:val="left" w:pos="284"/>
        </w:tabs>
        <w:jc w:val="both"/>
        <w:rPr>
          <w:sz w:val="22"/>
          <w:szCs w:val="22"/>
          <w:u w:val="single"/>
        </w:rPr>
      </w:pPr>
      <w:proofErr w:type="spellStart"/>
      <w:r w:rsidRPr="0075503A">
        <w:rPr>
          <w:sz w:val="22"/>
          <w:szCs w:val="22"/>
          <w:u w:val="single"/>
        </w:rPr>
        <w:t>Mehanizam</w:t>
      </w:r>
      <w:proofErr w:type="spellEnd"/>
      <w:r w:rsidRPr="0075503A">
        <w:rPr>
          <w:sz w:val="22"/>
          <w:szCs w:val="22"/>
          <w:u w:val="single"/>
        </w:rPr>
        <w:t xml:space="preserve"> </w:t>
      </w:r>
      <w:proofErr w:type="spellStart"/>
      <w:r w:rsidRPr="0075503A">
        <w:rPr>
          <w:sz w:val="22"/>
          <w:szCs w:val="22"/>
          <w:u w:val="single"/>
        </w:rPr>
        <w:t>dejstva</w:t>
      </w:r>
      <w:proofErr w:type="spellEnd"/>
    </w:p>
    <w:p w14:paraId="05EAE4FC" w14:textId="77777777" w:rsidR="00EE2F19" w:rsidRPr="0075503A" w:rsidRDefault="00EE2F19" w:rsidP="00EE2F19">
      <w:pPr>
        <w:tabs>
          <w:tab w:val="left" w:pos="284"/>
        </w:tabs>
        <w:jc w:val="both"/>
        <w:rPr>
          <w:sz w:val="22"/>
          <w:szCs w:val="22"/>
          <w:u w:val="single"/>
        </w:rPr>
      </w:pPr>
    </w:p>
    <w:p w14:paraId="1F5F458E" w14:textId="77777777" w:rsidR="00EE2F19" w:rsidRPr="0075503A" w:rsidRDefault="00F758BA" w:rsidP="00EE2F19">
      <w:pPr>
        <w:tabs>
          <w:tab w:val="left" w:pos="284"/>
        </w:tabs>
        <w:jc w:val="both"/>
        <w:rPr>
          <w:sz w:val="22"/>
          <w:szCs w:val="22"/>
        </w:rPr>
      </w:pPr>
      <w:r w:rsidRPr="0075503A">
        <w:rPr>
          <w:sz w:val="22"/>
          <w:szCs w:val="22"/>
        </w:rPr>
        <w:t xml:space="preserve">Lijek </w:t>
      </w:r>
      <w:proofErr w:type="spellStart"/>
      <w:r w:rsidR="00EE2F19" w:rsidRPr="0075503A">
        <w:rPr>
          <w:sz w:val="22"/>
          <w:szCs w:val="22"/>
        </w:rPr>
        <w:t>Fiasp</w:t>
      </w:r>
      <w:proofErr w:type="spellEnd"/>
      <w:r w:rsidR="00EE2F19" w:rsidRPr="0075503A">
        <w:rPr>
          <w:sz w:val="22"/>
          <w:szCs w:val="22"/>
        </w:rPr>
        <w:t xml:space="preserve"> je </w:t>
      </w:r>
      <w:proofErr w:type="spellStart"/>
      <w:r w:rsidR="00EE2F19" w:rsidRPr="0075503A">
        <w:rPr>
          <w:sz w:val="22"/>
          <w:szCs w:val="22"/>
        </w:rPr>
        <w:t>brzodjelujuća</w:t>
      </w:r>
      <w:proofErr w:type="spellEnd"/>
      <w:r w:rsidR="00EE2F19" w:rsidRPr="0075503A">
        <w:rPr>
          <w:sz w:val="22"/>
          <w:szCs w:val="22"/>
        </w:rPr>
        <w:t xml:space="preserve"> </w:t>
      </w:r>
      <w:proofErr w:type="spellStart"/>
      <w:r w:rsidR="00EE2F19" w:rsidRPr="0075503A">
        <w:rPr>
          <w:sz w:val="22"/>
          <w:szCs w:val="22"/>
        </w:rPr>
        <w:t>formulacija</w:t>
      </w:r>
      <w:proofErr w:type="spellEnd"/>
      <w:r w:rsidR="00EE2F19" w:rsidRPr="0075503A">
        <w:rPr>
          <w:sz w:val="22"/>
          <w:szCs w:val="22"/>
        </w:rPr>
        <w:t xml:space="preserve"> insulin </w:t>
      </w:r>
      <w:proofErr w:type="spellStart"/>
      <w:r w:rsidR="00EE2F19" w:rsidRPr="0075503A">
        <w:rPr>
          <w:sz w:val="22"/>
          <w:szCs w:val="22"/>
        </w:rPr>
        <w:t>asparta</w:t>
      </w:r>
      <w:proofErr w:type="spellEnd"/>
      <w:r w:rsidR="00EE2F19" w:rsidRPr="0075503A">
        <w:rPr>
          <w:sz w:val="22"/>
          <w:szCs w:val="22"/>
        </w:rPr>
        <w:t>.</w:t>
      </w:r>
    </w:p>
    <w:p w14:paraId="10858E75" w14:textId="475DC2DE" w:rsidR="00A32063" w:rsidRPr="0075503A" w:rsidRDefault="00EE2F19" w:rsidP="00EE2F19">
      <w:pPr>
        <w:tabs>
          <w:tab w:val="left" w:pos="284"/>
        </w:tabs>
        <w:jc w:val="both"/>
        <w:rPr>
          <w:sz w:val="22"/>
          <w:szCs w:val="22"/>
        </w:rPr>
      </w:pPr>
      <w:proofErr w:type="spellStart"/>
      <w:r w:rsidRPr="0075503A">
        <w:rPr>
          <w:sz w:val="22"/>
          <w:szCs w:val="22"/>
        </w:rPr>
        <w:t>Primarna</w:t>
      </w:r>
      <w:proofErr w:type="spellEnd"/>
      <w:r w:rsidRPr="0075503A">
        <w:rPr>
          <w:sz w:val="22"/>
          <w:szCs w:val="22"/>
        </w:rPr>
        <w:t xml:space="preserve"> </w:t>
      </w:r>
      <w:proofErr w:type="spellStart"/>
      <w:r w:rsidRPr="0075503A">
        <w:rPr>
          <w:sz w:val="22"/>
          <w:szCs w:val="22"/>
        </w:rPr>
        <w:t>aktivnost</w:t>
      </w:r>
      <w:proofErr w:type="spellEnd"/>
      <w:r w:rsidRPr="0075503A">
        <w:rPr>
          <w:sz w:val="22"/>
          <w:szCs w:val="22"/>
        </w:rPr>
        <w:t xml:space="preserve"> </w:t>
      </w:r>
      <w:proofErr w:type="spellStart"/>
      <w:r w:rsidRPr="0075503A">
        <w:rPr>
          <w:sz w:val="22"/>
          <w:szCs w:val="22"/>
        </w:rPr>
        <w:t>lijeka</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 xml:space="preserve"> je </w:t>
      </w:r>
      <w:proofErr w:type="spellStart"/>
      <w:r w:rsidRPr="0075503A">
        <w:rPr>
          <w:sz w:val="22"/>
          <w:szCs w:val="22"/>
        </w:rPr>
        <w:t>regulacija</w:t>
      </w:r>
      <w:proofErr w:type="spellEnd"/>
      <w:r w:rsidRPr="0075503A">
        <w:rPr>
          <w:sz w:val="22"/>
          <w:szCs w:val="22"/>
        </w:rPr>
        <w:t xml:space="preserve"> </w:t>
      </w:r>
      <w:proofErr w:type="spellStart"/>
      <w:r w:rsidRPr="0075503A">
        <w:rPr>
          <w:sz w:val="22"/>
          <w:szCs w:val="22"/>
        </w:rPr>
        <w:t>metabolizma</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w:t>
      </w:r>
      <w:proofErr w:type="spellStart"/>
      <w:r w:rsidRPr="0075503A">
        <w:rPr>
          <w:sz w:val="22"/>
          <w:szCs w:val="22"/>
        </w:rPr>
        <w:t>Insulini</w:t>
      </w:r>
      <w:proofErr w:type="spellEnd"/>
      <w:r w:rsidRPr="0075503A">
        <w:rPr>
          <w:sz w:val="22"/>
          <w:szCs w:val="22"/>
        </w:rPr>
        <w:t xml:space="preserve">, </w:t>
      </w:r>
      <w:proofErr w:type="spellStart"/>
      <w:r w:rsidRPr="0075503A">
        <w:rPr>
          <w:sz w:val="22"/>
          <w:szCs w:val="22"/>
        </w:rPr>
        <w:t>uključujući</w:t>
      </w:r>
      <w:proofErr w:type="spellEnd"/>
      <w:r w:rsidRPr="0075503A">
        <w:rPr>
          <w:sz w:val="22"/>
          <w:szCs w:val="22"/>
        </w:rPr>
        <w:t xml:space="preserve"> i insulin </w:t>
      </w:r>
      <w:proofErr w:type="spellStart"/>
      <w:r w:rsidRPr="0075503A">
        <w:rPr>
          <w:sz w:val="22"/>
          <w:szCs w:val="22"/>
        </w:rPr>
        <w:t>aspart</w:t>
      </w:r>
      <w:proofErr w:type="spellEnd"/>
      <w:r w:rsidRPr="0075503A">
        <w:rPr>
          <w:sz w:val="22"/>
          <w:szCs w:val="22"/>
        </w:rPr>
        <w:t xml:space="preserve">, </w:t>
      </w:r>
      <w:proofErr w:type="spellStart"/>
      <w:r w:rsidRPr="0075503A">
        <w:rPr>
          <w:sz w:val="22"/>
          <w:szCs w:val="22"/>
        </w:rPr>
        <w:t>aktivnu</w:t>
      </w:r>
      <w:proofErr w:type="spellEnd"/>
      <w:r w:rsidRPr="0075503A">
        <w:rPr>
          <w:sz w:val="22"/>
          <w:szCs w:val="22"/>
        </w:rPr>
        <w:t xml:space="preserve"> </w:t>
      </w:r>
      <w:proofErr w:type="spellStart"/>
      <w:r w:rsidRPr="0075503A">
        <w:rPr>
          <w:sz w:val="22"/>
          <w:szCs w:val="22"/>
        </w:rPr>
        <w:t>supstancu</w:t>
      </w:r>
      <w:proofErr w:type="spellEnd"/>
      <w:r w:rsidRPr="0075503A">
        <w:rPr>
          <w:sz w:val="22"/>
          <w:szCs w:val="22"/>
        </w:rPr>
        <w:t xml:space="preserve"> </w:t>
      </w:r>
      <w:proofErr w:type="spellStart"/>
      <w:r w:rsidRPr="0075503A">
        <w:rPr>
          <w:sz w:val="22"/>
          <w:szCs w:val="22"/>
        </w:rPr>
        <w:t>lijeka</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 xml:space="preserve">, </w:t>
      </w:r>
      <w:proofErr w:type="spellStart"/>
      <w:r w:rsidRPr="0075503A">
        <w:rPr>
          <w:sz w:val="22"/>
          <w:szCs w:val="22"/>
        </w:rPr>
        <w:t>specifično</w:t>
      </w:r>
      <w:proofErr w:type="spellEnd"/>
      <w:r w:rsidRPr="0075503A">
        <w:rPr>
          <w:sz w:val="22"/>
          <w:szCs w:val="22"/>
        </w:rPr>
        <w:t xml:space="preserve"> </w:t>
      </w:r>
      <w:proofErr w:type="spellStart"/>
      <w:r w:rsidRPr="0075503A">
        <w:rPr>
          <w:sz w:val="22"/>
          <w:szCs w:val="22"/>
        </w:rPr>
        <w:t>djeluju</w:t>
      </w:r>
      <w:proofErr w:type="spellEnd"/>
      <w:r w:rsidRPr="0075503A">
        <w:rPr>
          <w:sz w:val="22"/>
          <w:szCs w:val="22"/>
        </w:rPr>
        <w:t xml:space="preserve"> </w:t>
      </w:r>
      <w:proofErr w:type="spellStart"/>
      <w:r w:rsidRPr="0075503A">
        <w:rPr>
          <w:sz w:val="22"/>
          <w:szCs w:val="22"/>
        </w:rPr>
        <w:t>vezivanjem</w:t>
      </w:r>
      <w:proofErr w:type="spellEnd"/>
      <w:r w:rsidRPr="0075503A">
        <w:rPr>
          <w:sz w:val="22"/>
          <w:szCs w:val="22"/>
        </w:rPr>
        <w:t xml:space="preserve"> </w:t>
      </w:r>
      <w:proofErr w:type="spellStart"/>
      <w:r w:rsidRPr="0075503A">
        <w:rPr>
          <w:sz w:val="22"/>
          <w:szCs w:val="22"/>
        </w:rPr>
        <w:t>na</w:t>
      </w:r>
      <w:proofErr w:type="spellEnd"/>
      <w:r w:rsidRPr="0075503A">
        <w:rPr>
          <w:sz w:val="22"/>
          <w:szCs w:val="22"/>
        </w:rPr>
        <w:t xml:space="preserve"> </w:t>
      </w:r>
      <w:proofErr w:type="spellStart"/>
      <w:r w:rsidRPr="0075503A">
        <w:rPr>
          <w:sz w:val="22"/>
          <w:szCs w:val="22"/>
        </w:rPr>
        <w:t>receptore</w:t>
      </w:r>
      <w:proofErr w:type="spellEnd"/>
      <w:r w:rsidRPr="0075503A">
        <w:rPr>
          <w:sz w:val="22"/>
          <w:szCs w:val="22"/>
        </w:rPr>
        <w:t xml:space="preserve"> </w:t>
      </w:r>
      <w:proofErr w:type="spellStart"/>
      <w:r w:rsidRPr="0075503A">
        <w:rPr>
          <w:sz w:val="22"/>
          <w:szCs w:val="22"/>
        </w:rPr>
        <w:t>insulina</w:t>
      </w:r>
      <w:proofErr w:type="spellEnd"/>
      <w:r w:rsidRPr="0075503A">
        <w:rPr>
          <w:sz w:val="22"/>
          <w:szCs w:val="22"/>
        </w:rPr>
        <w:t xml:space="preserve">. Insulin se </w:t>
      </w:r>
      <w:proofErr w:type="spellStart"/>
      <w:r w:rsidRPr="0075503A">
        <w:rPr>
          <w:sz w:val="22"/>
          <w:szCs w:val="22"/>
        </w:rPr>
        <w:t>vezuje</w:t>
      </w:r>
      <w:proofErr w:type="spellEnd"/>
      <w:r w:rsidRPr="0075503A">
        <w:rPr>
          <w:sz w:val="22"/>
          <w:szCs w:val="22"/>
        </w:rPr>
        <w:t xml:space="preserve"> za </w:t>
      </w:r>
      <w:proofErr w:type="spellStart"/>
      <w:r w:rsidRPr="0075503A">
        <w:rPr>
          <w:sz w:val="22"/>
          <w:szCs w:val="22"/>
        </w:rPr>
        <w:t>receptore</w:t>
      </w:r>
      <w:proofErr w:type="spellEnd"/>
      <w:r w:rsidRPr="0075503A">
        <w:rPr>
          <w:sz w:val="22"/>
          <w:szCs w:val="22"/>
        </w:rPr>
        <w:t xml:space="preserve"> i </w:t>
      </w:r>
      <w:proofErr w:type="spellStart"/>
      <w:r w:rsidRPr="0075503A">
        <w:rPr>
          <w:sz w:val="22"/>
          <w:szCs w:val="22"/>
        </w:rPr>
        <w:t>snižava</w:t>
      </w:r>
      <w:proofErr w:type="spellEnd"/>
      <w:r w:rsidRPr="0075503A">
        <w:rPr>
          <w:sz w:val="22"/>
          <w:szCs w:val="22"/>
        </w:rPr>
        <w:t xml:space="preserve"> </w:t>
      </w:r>
      <w:proofErr w:type="spellStart"/>
      <w:r w:rsidRPr="0075503A">
        <w:rPr>
          <w:sz w:val="22"/>
          <w:szCs w:val="22"/>
        </w:rPr>
        <w:t>nivo</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u </w:t>
      </w:r>
      <w:proofErr w:type="spellStart"/>
      <w:r w:rsidRPr="0075503A">
        <w:rPr>
          <w:sz w:val="22"/>
          <w:szCs w:val="22"/>
        </w:rPr>
        <w:t>krvi</w:t>
      </w:r>
      <w:proofErr w:type="spellEnd"/>
      <w:r w:rsidRPr="0075503A">
        <w:rPr>
          <w:sz w:val="22"/>
          <w:szCs w:val="22"/>
        </w:rPr>
        <w:t xml:space="preserve"> </w:t>
      </w:r>
      <w:proofErr w:type="spellStart"/>
      <w:r w:rsidRPr="0075503A">
        <w:rPr>
          <w:sz w:val="22"/>
          <w:szCs w:val="22"/>
        </w:rPr>
        <w:t>olakšavanjem</w:t>
      </w:r>
      <w:proofErr w:type="spellEnd"/>
      <w:r w:rsidRPr="0075503A">
        <w:rPr>
          <w:sz w:val="22"/>
          <w:szCs w:val="22"/>
        </w:rPr>
        <w:t xml:space="preserve"> </w:t>
      </w:r>
      <w:proofErr w:type="spellStart"/>
      <w:r w:rsidRPr="0075503A">
        <w:rPr>
          <w:sz w:val="22"/>
          <w:szCs w:val="22"/>
        </w:rPr>
        <w:t>unosa</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u </w:t>
      </w:r>
      <w:proofErr w:type="spellStart"/>
      <w:r w:rsidRPr="0075503A">
        <w:rPr>
          <w:sz w:val="22"/>
          <w:szCs w:val="22"/>
        </w:rPr>
        <w:t>ćelije</w:t>
      </w:r>
      <w:proofErr w:type="spellEnd"/>
      <w:r w:rsidRPr="0075503A">
        <w:rPr>
          <w:sz w:val="22"/>
          <w:szCs w:val="22"/>
        </w:rPr>
        <w:t xml:space="preserve"> </w:t>
      </w:r>
      <w:proofErr w:type="spellStart"/>
      <w:r w:rsidRPr="0075503A">
        <w:rPr>
          <w:sz w:val="22"/>
          <w:szCs w:val="22"/>
        </w:rPr>
        <w:t>skeletnih</w:t>
      </w:r>
      <w:proofErr w:type="spellEnd"/>
      <w:r w:rsidRPr="0075503A">
        <w:rPr>
          <w:sz w:val="22"/>
          <w:szCs w:val="22"/>
        </w:rPr>
        <w:t xml:space="preserve"> </w:t>
      </w:r>
      <w:proofErr w:type="spellStart"/>
      <w:r w:rsidRPr="0075503A">
        <w:rPr>
          <w:sz w:val="22"/>
          <w:szCs w:val="22"/>
        </w:rPr>
        <w:t>mišića</w:t>
      </w:r>
      <w:proofErr w:type="spellEnd"/>
      <w:r w:rsidRPr="0075503A">
        <w:rPr>
          <w:sz w:val="22"/>
          <w:szCs w:val="22"/>
        </w:rPr>
        <w:t xml:space="preserve"> i </w:t>
      </w:r>
      <w:proofErr w:type="spellStart"/>
      <w:r w:rsidRPr="0075503A">
        <w:rPr>
          <w:sz w:val="22"/>
          <w:szCs w:val="22"/>
        </w:rPr>
        <w:t>masno</w:t>
      </w:r>
      <w:proofErr w:type="spellEnd"/>
      <w:r w:rsidRPr="0075503A">
        <w:rPr>
          <w:sz w:val="22"/>
          <w:szCs w:val="22"/>
        </w:rPr>
        <w:t xml:space="preserve"> </w:t>
      </w:r>
      <w:proofErr w:type="spellStart"/>
      <w:r w:rsidRPr="0075503A">
        <w:rPr>
          <w:sz w:val="22"/>
          <w:szCs w:val="22"/>
        </w:rPr>
        <w:t>tkivo</w:t>
      </w:r>
      <w:proofErr w:type="spellEnd"/>
      <w:r w:rsidRPr="0075503A">
        <w:rPr>
          <w:sz w:val="22"/>
          <w:szCs w:val="22"/>
        </w:rPr>
        <w:t>,</w:t>
      </w:r>
      <w:r w:rsidRPr="0075503A">
        <w:rPr>
          <w:color w:val="FF0000"/>
          <w:sz w:val="22"/>
          <w:szCs w:val="22"/>
        </w:rPr>
        <w:t xml:space="preserve"> </w:t>
      </w:r>
      <w:proofErr w:type="spellStart"/>
      <w:r w:rsidRPr="0075503A">
        <w:rPr>
          <w:sz w:val="22"/>
          <w:szCs w:val="22"/>
        </w:rPr>
        <w:t>kao</w:t>
      </w:r>
      <w:proofErr w:type="spellEnd"/>
      <w:r w:rsidRPr="0075503A">
        <w:rPr>
          <w:sz w:val="22"/>
          <w:szCs w:val="22"/>
        </w:rPr>
        <w:t xml:space="preserve"> i </w:t>
      </w:r>
      <w:proofErr w:type="spellStart"/>
      <w:r w:rsidRPr="0075503A">
        <w:rPr>
          <w:sz w:val="22"/>
          <w:szCs w:val="22"/>
        </w:rPr>
        <w:t>inhibicijom</w:t>
      </w:r>
      <w:proofErr w:type="spellEnd"/>
      <w:r w:rsidRPr="0075503A">
        <w:rPr>
          <w:sz w:val="22"/>
          <w:szCs w:val="22"/>
        </w:rPr>
        <w:t xml:space="preserve"> </w:t>
      </w:r>
      <w:proofErr w:type="spellStart"/>
      <w:r w:rsidRPr="0075503A">
        <w:rPr>
          <w:sz w:val="22"/>
          <w:szCs w:val="22"/>
        </w:rPr>
        <w:t>otpuštanja</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w:t>
      </w:r>
      <w:proofErr w:type="spellStart"/>
      <w:r w:rsidRPr="0075503A">
        <w:rPr>
          <w:sz w:val="22"/>
          <w:szCs w:val="22"/>
        </w:rPr>
        <w:t>iz</w:t>
      </w:r>
      <w:proofErr w:type="spellEnd"/>
      <w:r w:rsidRPr="0075503A">
        <w:rPr>
          <w:sz w:val="22"/>
          <w:szCs w:val="22"/>
        </w:rPr>
        <w:t xml:space="preserve"> </w:t>
      </w:r>
      <w:proofErr w:type="spellStart"/>
      <w:r w:rsidRPr="0075503A">
        <w:rPr>
          <w:sz w:val="22"/>
          <w:szCs w:val="22"/>
        </w:rPr>
        <w:t>jetre</w:t>
      </w:r>
      <w:proofErr w:type="spellEnd"/>
      <w:r w:rsidRPr="0075503A">
        <w:rPr>
          <w:sz w:val="22"/>
          <w:szCs w:val="22"/>
        </w:rPr>
        <w:t xml:space="preserve">. Insulin </w:t>
      </w:r>
      <w:proofErr w:type="spellStart"/>
      <w:r w:rsidRPr="0075503A">
        <w:rPr>
          <w:sz w:val="22"/>
          <w:szCs w:val="22"/>
        </w:rPr>
        <w:t>inhibira</w:t>
      </w:r>
      <w:proofErr w:type="spellEnd"/>
      <w:r w:rsidRPr="0075503A">
        <w:rPr>
          <w:sz w:val="22"/>
          <w:szCs w:val="22"/>
        </w:rPr>
        <w:t xml:space="preserve"> </w:t>
      </w:r>
      <w:proofErr w:type="spellStart"/>
      <w:r w:rsidRPr="0075503A">
        <w:rPr>
          <w:sz w:val="22"/>
          <w:szCs w:val="22"/>
        </w:rPr>
        <w:t>lipolizu</w:t>
      </w:r>
      <w:proofErr w:type="spellEnd"/>
      <w:r w:rsidRPr="0075503A">
        <w:rPr>
          <w:sz w:val="22"/>
          <w:szCs w:val="22"/>
        </w:rPr>
        <w:t xml:space="preserve"> u </w:t>
      </w:r>
      <w:proofErr w:type="spellStart"/>
      <w:r w:rsidRPr="0075503A">
        <w:rPr>
          <w:sz w:val="22"/>
          <w:szCs w:val="22"/>
        </w:rPr>
        <w:t>adipocitima</w:t>
      </w:r>
      <w:proofErr w:type="spellEnd"/>
      <w:r w:rsidRPr="0075503A">
        <w:rPr>
          <w:sz w:val="22"/>
          <w:szCs w:val="22"/>
        </w:rPr>
        <w:t xml:space="preserve">, </w:t>
      </w:r>
      <w:proofErr w:type="spellStart"/>
      <w:r w:rsidRPr="0075503A">
        <w:rPr>
          <w:sz w:val="22"/>
          <w:szCs w:val="22"/>
        </w:rPr>
        <w:t>inhibira</w:t>
      </w:r>
      <w:proofErr w:type="spellEnd"/>
      <w:r w:rsidRPr="0075503A">
        <w:rPr>
          <w:sz w:val="22"/>
          <w:szCs w:val="22"/>
        </w:rPr>
        <w:t xml:space="preserve"> </w:t>
      </w:r>
      <w:proofErr w:type="spellStart"/>
      <w:r w:rsidRPr="0075503A">
        <w:rPr>
          <w:sz w:val="22"/>
          <w:szCs w:val="22"/>
        </w:rPr>
        <w:t>proteolizu</w:t>
      </w:r>
      <w:proofErr w:type="spellEnd"/>
      <w:r w:rsidRPr="0075503A">
        <w:rPr>
          <w:sz w:val="22"/>
          <w:szCs w:val="22"/>
        </w:rPr>
        <w:t xml:space="preserve"> i </w:t>
      </w:r>
      <w:proofErr w:type="spellStart"/>
      <w:r w:rsidRPr="0075503A">
        <w:rPr>
          <w:sz w:val="22"/>
          <w:szCs w:val="22"/>
        </w:rPr>
        <w:t>poboljšava</w:t>
      </w:r>
      <w:proofErr w:type="spellEnd"/>
      <w:r w:rsidRPr="0075503A">
        <w:rPr>
          <w:sz w:val="22"/>
          <w:szCs w:val="22"/>
        </w:rPr>
        <w:t xml:space="preserve"> </w:t>
      </w:r>
      <w:proofErr w:type="spellStart"/>
      <w:r w:rsidRPr="0075503A">
        <w:rPr>
          <w:sz w:val="22"/>
          <w:szCs w:val="22"/>
        </w:rPr>
        <w:t>sintezu</w:t>
      </w:r>
      <w:proofErr w:type="spellEnd"/>
      <w:r w:rsidRPr="0075503A">
        <w:rPr>
          <w:sz w:val="22"/>
          <w:szCs w:val="22"/>
        </w:rPr>
        <w:t xml:space="preserve"> </w:t>
      </w:r>
      <w:proofErr w:type="spellStart"/>
      <w:r w:rsidRPr="0075503A">
        <w:rPr>
          <w:sz w:val="22"/>
          <w:szCs w:val="22"/>
        </w:rPr>
        <w:t>proteina</w:t>
      </w:r>
      <w:proofErr w:type="spellEnd"/>
      <w:r w:rsidRPr="0075503A">
        <w:rPr>
          <w:sz w:val="22"/>
          <w:szCs w:val="22"/>
        </w:rPr>
        <w:t>.</w:t>
      </w:r>
    </w:p>
    <w:p w14:paraId="776FB090" w14:textId="77777777" w:rsidR="00EE2F19" w:rsidRPr="0075503A" w:rsidRDefault="00EE2F19" w:rsidP="00EE2F19">
      <w:pPr>
        <w:tabs>
          <w:tab w:val="left" w:pos="284"/>
        </w:tabs>
        <w:jc w:val="both"/>
        <w:rPr>
          <w:sz w:val="22"/>
          <w:szCs w:val="22"/>
        </w:rPr>
      </w:pPr>
    </w:p>
    <w:p w14:paraId="12D583EB" w14:textId="77777777" w:rsidR="00EE2F19" w:rsidRPr="0075503A" w:rsidRDefault="00EE2F19" w:rsidP="00EE2F19">
      <w:pPr>
        <w:tabs>
          <w:tab w:val="left" w:pos="284"/>
        </w:tabs>
        <w:jc w:val="both"/>
        <w:rPr>
          <w:sz w:val="22"/>
          <w:szCs w:val="22"/>
          <w:u w:val="single"/>
        </w:rPr>
      </w:pPr>
      <w:proofErr w:type="spellStart"/>
      <w:r w:rsidRPr="0075503A">
        <w:rPr>
          <w:sz w:val="22"/>
          <w:szCs w:val="22"/>
          <w:u w:val="single"/>
        </w:rPr>
        <w:lastRenderedPageBreak/>
        <w:t>Farmakodinamski</w:t>
      </w:r>
      <w:proofErr w:type="spellEnd"/>
      <w:r w:rsidRPr="0075503A">
        <w:rPr>
          <w:sz w:val="22"/>
          <w:szCs w:val="22"/>
          <w:u w:val="single"/>
        </w:rPr>
        <w:t xml:space="preserve"> </w:t>
      </w:r>
      <w:proofErr w:type="spellStart"/>
      <w:r w:rsidR="00312E0D" w:rsidRPr="0075503A">
        <w:rPr>
          <w:sz w:val="22"/>
          <w:szCs w:val="22"/>
          <w:u w:val="single"/>
        </w:rPr>
        <w:t>efekti</w:t>
      </w:r>
      <w:proofErr w:type="spellEnd"/>
    </w:p>
    <w:p w14:paraId="24328EBD" w14:textId="77777777" w:rsidR="00EE2F19" w:rsidRPr="0075503A" w:rsidRDefault="00EE2F19" w:rsidP="00EE2F19">
      <w:pPr>
        <w:tabs>
          <w:tab w:val="left" w:pos="284"/>
        </w:tabs>
        <w:jc w:val="both"/>
        <w:rPr>
          <w:sz w:val="22"/>
          <w:szCs w:val="22"/>
          <w:u w:val="single"/>
        </w:rPr>
      </w:pPr>
    </w:p>
    <w:p w14:paraId="429A9D43" w14:textId="77777777" w:rsidR="00EE2F19" w:rsidRPr="0075503A" w:rsidRDefault="00F758BA" w:rsidP="00EE2F19">
      <w:pPr>
        <w:tabs>
          <w:tab w:val="left" w:pos="284"/>
        </w:tabs>
        <w:jc w:val="both"/>
        <w:rPr>
          <w:sz w:val="22"/>
          <w:szCs w:val="22"/>
        </w:rPr>
      </w:pPr>
      <w:r w:rsidRPr="0075503A">
        <w:rPr>
          <w:sz w:val="22"/>
          <w:szCs w:val="22"/>
        </w:rPr>
        <w:t xml:space="preserve">Lijek </w:t>
      </w:r>
      <w:proofErr w:type="spellStart"/>
      <w:r w:rsidR="00EE2F19" w:rsidRPr="0075503A">
        <w:rPr>
          <w:sz w:val="22"/>
          <w:szCs w:val="22"/>
        </w:rPr>
        <w:t>Fiasp</w:t>
      </w:r>
      <w:proofErr w:type="spellEnd"/>
      <w:r w:rsidR="00EE2F19" w:rsidRPr="0075503A">
        <w:rPr>
          <w:sz w:val="22"/>
          <w:szCs w:val="22"/>
        </w:rPr>
        <w:t xml:space="preserve"> je </w:t>
      </w:r>
      <w:proofErr w:type="spellStart"/>
      <w:r w:rsidR="00EE2F19" w:rsidRPr="0075503A">
        <w:rPr>
          <w:sz w:val="22"/>
          <w:szCs w:val="22"/>
        </w:rPr>
        <w:t>formulacija</w:t>
      </w:r>
      <w:proofErr w:type="spellEnd"/>
      <w:r w:rsidR="00EE2F19" w:rsidRPr="0075503A">
        <w:rPr>
          <w:sz w:val="22"/>
          <w:szCs w:val="22"/>
        </w:rPr>
        <w:t xml:space="preserve"> insulin </w:t>
      </w:r>
      <w:proofErr w:type="spellStart"/>
      <w:r w:rsidR="00EE2F19" w:rsidRPr="0075503A">
        <w:rPr>
          <w:sz w:val="22"/>
          <w:szCs w:val="22"/>
        </w:rPr>
        <w:t>asparta</w:t>
      </w:r>
      <w:proofErr w:type="spellEnd"/>
      <w:r w:rsidR="00EE2F19" w:rsidRPr="0075503A">
        <w:rPr>
          <w:sz w:val="22"/>
          <w:szCs w:val="22"/>
        </w:rPr>
        <w:t xml:space="preserve"> </w:t>
      </w:r>
      <w:proofErr w:type="spellStart"/>
      <w:r w:rsidR="00EE2F19" w:rsidRPr="0075503A">
        <w:rPr>
          <w:sz w:val="22"/>
          <w:szCs w:val="22"/>
        </w:rPr>
        <w:t>koja</w:t>
      </w:r>
      <w:proofErr w:type="spellEnd"/>
      <w:r w:rsidR="00EE2F19" w:rsidRPr="0075503A">
        <w:rPr>
          <w:sz w:val="22"/>
          <w:szCs w:val="22"/>
        </w:rPr>
        <w:t xml:space="preserve"> se </w:t>
      </w:r>
      <w:proofErr w:type="spellStart"/>
      <w:r w:rsidR="00EE2F19" w:rsidRPr="0075503A">
        <w:rPr>
          <w:sz w:val="22"/>
          <w:szCs w:val="22"/>
        </w:rPr>
        <w:t>uzima</w:t>
      </w:r>
      <w:proofErr w:type="spellEnd"/>
      <w:r w:rsidR="00EE2F19" w:rsidRPr="0075503A">
        <w:rPr>
          <w:sz w:val="22"/>
          <w:szCs w:val="22"/>
        </w:rPr>
        <w:t xml:space="preserve"> </w:t>
      </w:r>
      <w:proofErr w:type="spellStart"/>
      <w:r w:rsidR="00EE2F19" w:rsidRPr="0075503A">
        <w:rPr>
          <w:sz w:val="22"/>
          <w:szCs w:val="22"/>
        </w:rPr>
        <w:t>uz</w:t>
      </w:r>
      <w:proofErr w:type="spellEnd"/>
      <w:r w:rsidR="00EE2F19" w:rsidRPr="0075503A">
        <w:rPr>
          <w:sz w:val="22"/>
          <w:szCs w:val="22"/>
        </w:rPr>
        <w:t xml:space="preserve"> </w:t>
      </w:r>
      <w:proofErr w:type="spellStart"/>
      <w:r w:rsidR="00EE2F19" w:rsidRPr="0075503A">
        <w:rPr>
          <w:sz w:val="22"/>
          <w:szCs w:val="22"/>
        </w:rPr>
        <w:t>obrok</w:t>
      </w:r>
      <w:proofErr w:type="spellEnd"/>
      <w:r w:rsidR="00EE2F19" w:rsidRPr="0075503A">
        <w:rPr>
          <w:sz w:val="22"/>
          <w:szCs w:val="22"/>
        </w:rPr>
        <w:t xml:space="preserve">, a </w:t>
      </w:r>
      <w:proofErr w:type="spellStart"/>
      <w:r w:rsidR="00EE2F19" w:rsidRPr="0075503A">
        <w:rPr>
          <w:sz w:val="22"/>
          <w:szCs w:val="22"/>
        </w:rPr>
        <w:t>kojoj</w:t>
      </w:r>
      <w:proofErr w:type="spellEnd"/>
      <w:r w:rsidR="00EE2F19" w:rsidRPr="0075503A">
        <w:rPr>
          <w:sz w:val="22"/>
          <w:szCs w:val="22"/>
        </w:rPr>
        <w:t xml:space="preserve"> je </w:t>
      </w:r>
      <w:proofErr w:type="spellStart"/>
      <w:r w:rsidR="00EE2F19" w:rsidRPr="0075503A">
        <w:rPr>
          <w:sz w:val="22"/>
          <w:szCs w:val="22"/>
        </w:rPr>
        <w:t>dodat</w:t>
      </w:r>
      <w:proofErr w:type="spellEnd"/>
      <w:r w:rsidR="00EE2F19" w:rsidRPr="0075503A">
        <w:rPr>
          <w:sz w:val="22"/>
          <w:szCs w:val="22"/>
        </w:rPr>
        <w:t xml:space="preserve"> </w:t>
      </w:r>
      <w:proofErr w:type="spellStart"/>
      <w:r w:rsidR="00EE2F19" w:rsidRPr="0075503A">
        <w:rPr>
          <w:sz w:val="22"/>
          <w:szCs w:val="22"/>
        </w:rPr>
        <w:t>nikotinamid</w:t>
      </w:r>
      <w:proofErr w:type="spellEnd"/>
      <w:r w:rsidR="00EE2F19" w:rsidRPr="0075503A">
        <w:rPr>
          <w:sz w:val="22"/>
          <w:szCs w:val="22"/>
        </w:rPr>
        <w:t xml:space="preserve"> (vitamin B</w:t>
      </w:r>
      <w:r w:rsidR="00EE2F19" w:rsidRPr="0075503A">
        <w:rPr>
          <w:sz w:val="22"/>
          <w:szCs w:val="22"/>
          <w:vertAlign w:val="subscript"/>
        </w:rPr>
        <w:t>3</w:t>
      </w:r>
      <w:r w:rsidR="00EE2F19" w:rsidRPr="0075503A">
        <w:rPr>
          <w:sz w:val="22"/>
          <w:szCs w:val="22"/>
        </w:rPr>
        <w:t xml:space="preserve">) </w:t>
      </w:r>
      <w:proofErr w:type="spellStart"/>
      <w:r w:rsidR="00EE2F19" w:rsidRPr="0075503A">
        <w:rPr>
          <w:sz w:val="22"/>
          <w:szCs w:val="22"/>
        </w:rPr>
        <w:t>što</w:t>
      </w:r>
      <w:proofErr w:type="spellEnd"/>
      <w:r w:rsidR="00EE2F19" w:rsidRPr="0075503A">
        <w:rPr>
          <w:sz w:val="22"/>
          <w:szCs w:val="22"/>
        </w:rPr>
        <w:t xml:space="preserve"> </w:t>
      </w:r>
      <w:proofErr w:type="spellStart"/>
      <w:r w:rsidR="00EE2F19" w:rsidRPr="0075503A">
        <w:rPr>
          <w:sz w:val="22"/>
          <w:szCs w:val="22"/>
        </w:rPr>
        <w:t>dovodi</w:t>
      </w:r>
      <w:proofErr w:type="spellEnd"/>
      <w:r w:rsidR="00EE2F19" w:rsidRPr="0075503A">
        <w:rPr>
          <w:sz w:val="22"/>
          <w:szCs w:val="22"/>
        </w:rPr>
        <w:t xml:space="preserve"> do </w:t>
      </w:r>
      <w:proofErr w:type="spellStart"/>
      <w:r w:rsidR="00EE2F19" w:rsidRPr="0075503A">
        <w:rPr>
          <w:sz w:val="22"/>
          <w:szCs w:val="22"/>
        </w:rPr>
        <w:t>brže</w:t>
      </w:r>
      <w:proofErr w:type="spellEnd"/>
      <w:r w:rsidR="00EE2F19" w:rsidRPr="0075503A">
        <w:rPr>
          <w:sz w:val="22"/>
          <w:szCs w:val="22"/>
        </w:rPr>
        <w:t xml:space="preserve"> </w:t>
      </w:r>
      <w:proofErr w:type="spellStart"/>
      <w:r w:rsidR="00EE2F19" w:rsidRPr="0075503A">
        <w:rPr>
          <w:sz w:val="22"/>
          <w:szCs w:val="22"/>
        </w:rPr>
        <w:t>početne</w:t>
      </w:r>
      <w:proofErr w:type="spellEnd"/>
      <w:r w:rsidR="00EE2F19" w:rsidRPr="0075503A">
        <w:rPr>
          <w:sz w:val="22"/>
          <w:szCs w:val="22"/>
        </w:rPr>
        <w:t xml:space="preserve"> </w:t>
      </w:r>
      <w:proofErr w:type="spellStart"/>
      <w:r w:rsidR="00EE2F19" w:rsidRPr="0075503A">
        <w:rPr>
          <w:sz w:val="22"/>
          <w:szCs w:val="22"/>
        </w:rPr>
        <w:t>resorpcije</w:t>
      </w:r>
      <w:proofErr w:type="spellEnd"/>
      <w:r w:rsidR="00EE2F19" w:rsidRPr="0075503A">
        <w:rPr>
          <w:sz w:val="22"/>
          <w:szCs w:val="22"/>
        </w:rPr>
        <w:t xml:space="preserve"> </w:t>
      </w:r>
      <w:proofErr w:type="spellStart"/>
      <w:r w:rsidR="00EE2F19" w:rsidRPr="0075503A">
        <w:rPr>
          <w:sz w:val="22"/>
          <w:szCs w:val="22"/>
        </w:rPr>
        <w:t>insulina</w:t>
      </w:r>
      <w:proofErr w:type="spellEnd"/>
      <w:r w:rsidR="00EE2F19" w:rsidRPr="0075503A">
        <w:rPr>
          <w:sz w:val="22"/>
          <w:szCs w:val="22"/>
        </w:rPr>
        <w:t xml:space="preserve"> u </w:t>
      </w:r>
      <w:proofErr w:type="spellStart"/>
      <w:r w:rsidR="00EE2F19" w:rsidRPr="0075503A">
        <w:rPr>
          <w:sz w:val="22"/>
          <w:szCs w:val="22"/>
        </w:rPr>
        <w:t>poređenju</w:t>
      </w:r>
      <w:proofErr w:type="spellEnd"/>
      <w:r w:rsidR="00EE2F19" w:rsidRPr="0075503A">
        <w:rPr>
          <w:sz w:val="22"/>
          <w:szCs w:val="22"/>
        </w:rPr>
        <w:t xml:space="preserve"> </w:t>
      </w:r>
      <w:proofErr w:type="spellStart"/>
      <w:r w:rsidR="00EE2F19" w:rsidRPr="0075503A">
        <w:rPr>
          <w:sz w:val="22"/>
          <w:szCs w:val="22"/>
        </w:rPr>
        <w:t>sa</w:t>
      </w:r>
      <w:proofErr w:type="spellEnd"/>
      <w:r w:rsidR="00EE2F19" w:rsidRPr="0075503A">
        <w:rPr>
          <w:sz w:val="22"/>
          <w:szCs w:val="22"/>
        </w:rPr>
        <w:t xml:space="preserve"> </w:t>
      </w:r>
      <w:proofErr w:type="spellStart"/>
      <w:r w:rsidR="00EE2F19" w:rsidRPr="0075503A">
        <w:rPr>
          <w:sz w:val="22"/>
          <w:szCs w:val="22"/>
        </w:rPr>
        <w:t>lijekom</w:t>
      </w:r>
      <w:proofErr w:type="spellEnd"/>
      <w:r w:rsidR="00EE2F19" w:rsidRPr="0075503A">
        <w:rPr>
          <w:sz w:val="22"/>
          <w:szCs w:val="22"/>
        </w:rPr>
        <w:t xml:space="preserve"> </w:t>
      </w:r>
      <w:proofErr w:type="spellStart"/>
      <w:r w:rsidR="00EE2F19" w:rsidRPr="0075503A">
        <w:rPr>
          <w:sz w:val="22"/>
          <w:szCs w:val="22"/>
        </w:rPr>
        <w:t>NovoRapid</w:t>
      </w:r>
      <w:proofErr w:type="spellEnd"/>
      <w:r w:rsidR="00EE2F19" w:rsidRPr="0075503A">
        <w:rPr>
          <w:sz w:val="22"/>
          <w:szCs w:val="22"/>
        </w:rPr>
        <w:t>.</w:t>
      </w:r>
    </w:p>
    <w:p w14:paraId="408FDA72" w14:textId="77777777" w:rsidR="00EE2F19" w:rsidRPr="0075503A" w:rsidRDefault="00EE2F19" w:rsidP="00EE2F19">
      <w:pPr>
        <w:tabs>
          <w:tab w:val="left" w:pos="284"/>
        </w:tabs>
        <w:jc w:val="both"/>
        <w:rPr>
          <w:sz w:val="22"/>
          <w:szCs w:val="22"/>
        </w:rPr>
      </w:pPr>
    </w:p>
    <w:p w14:paraId="69BC2FB6" w14:textId="77777777" w:rsidR="00EE2F19" w:rsidRPr="0075503A" w:rsidRDefault="00EE2F19" w:rsidP="00EE2F19">
      <w:pPr>
        <w:tabs>
          <w:tab w:val="left" w:pos="284"/>
        </w:tabs>
        <w:jc w:val="both"/>
        <w:rPr>
          <w:sz w:val="22"/>
          <w:szCs w:val="22"/>
        </w:rPr>
      </w:pPr>
      <w:proofErr w:type="spellStart"/>
      <w:r w:rsidRPr="0075503A">
        <w:rPr>
          <w:sz w:val="22"/>
          <w:szCs w:val="22"/>
        </w:rPr>
        <w:t>Početak</w:t>
      </w:r>
      <w:proofErr w:type="spellEnd"/>
      <w:r w:rsidRPr="0075503A">
        <w:rPr>
          <w:sz w:val="22"/>
          <w:szCs w:val="22"/>
        </w:rPr>
        <w:t xml:space="preserve"> </w:t>
      </w:r>
      <w:proofErr w:type="spellStart"/>
      <w:r w:rsidRPr="0075503A">
        <w:rPr>
          <w:sz w:val="22"/>
          <w:szCs w:val="22"/>
        </w:rPr>
        <w:t>djelovanja</w:t>
      </w:r>
      <w:proofErr w:type="spellEnd"/>
      <w:r w:rsidRPr="0075503A">
        <w:rPr>
          <w:sz w:val="22"/>
          <w:szCs w:val="22"/>
        </w:rPr>
        <w:t xml:space="preserve"> bio je 5 </w:t>
      </w:r>
      <w:proofErr w:type="spellStart"/>
      <w:r w:rsidRPr="0075503A">
        <w:rPr>
          <w:sz w:val="22"/>
          <w:szCs w:val="22"/>
        </w:rPr>
        <w:t>minuta</w:t>
      </w:r>
      <w:proofErr w:type="spellEnd"/>
      <w:r w:rsidRPr="0075503A">
        <w:rPr>
          <w:sz w:val="22"/>
          <w:szCs w:val="22"/>
        </w:rPr>
        <w:t xml:space="preserve"> </w:t>
      </w:r>
      <w:proofErr w:type="spellStart"/>
      <w:r w:rsidRPr="0075503A">
        <w:rPr>
          <w:sz w:val="22"/>
          <w:szCs w:val="22"/>
        </w:rPr>
        <w:t>brži</w:t>
      </w:r>
      <w:proofErr w:type="spellEnd"/>
      <w:r w:rsidRPr="0075503A">
        <w:rPr>
          <w:sz w:val="22"/>
          <w:szCs w:val="22"/>
        </w:rPr>
        <w:t xml:space="preserve">, a </w:t>
      </w:r>
      <w:proofErr w:type="spellStart"/>
      <w:r w:rsidRPr="0075503A">
        <w:rPr>
          <w:sz w:val="22"/>
          <w:szCs w:val="22"/>
        </w:rPr>
        <w:t>vrijeme</w:t>
      </w:r>
      <w:proofErr w:type="spellEnd"/>
      <w:r w:rsidRPr="0075503A">
        <w:rPr>
          <w:sz w:val="22"/>
          <w:szCs w:val="22"/>
        </w:rPr>
        <w:t xml:space="preserve"> do </w:t>
      </w:r>
      <w:proofErr w:type="spellStart"/>
      <w:r w:rsidRPr="0075503A">
        <w:rPr>
          <w:sz w:val="22"/>
          <w:szCs w:val="22"/>
        </w:rPr>
        <w:t>postizanja</w:t>
      </w:r>
      <w:proofErr w:type="spellEnd"/>
      <w:r w:rsidRPr="0075503A">
        <w:rPr>
          <w:sz w:val="22"/>
          <w:szCs w:val="22"/>
        </w:rPr>
        <w:t xml:space="preserve"> </w:t>
      </w:r>
      <w:proofErr w:type="spellStart"/>
      <w:r w:rsidRPr="0075503A">
        <w:rPr>
          <w:sz w:val="22"/>
          <w:szCs w:val="22"/>
        </w:rPr>
        <w:t>maksimalne</w:t>
      </w:r>
      <w:proofErr w:type="spellEnd"/>
      <w:r w:rsidRPr="0075503A">
        <w:rPr>
          <w:sz w:val="22"/>
          <w:szCs w:val="22"/>
        </w:rPr>
        <w:t xml:space="preserve"> </w:t>
      </w:r>
      <w:proofErr w:type="spellStart"/>
      <w:r w:rsidRPr="0075503A">
        <w:rPr>
          <w:sz w:val="22"/>
          <w:szCs w:val="22"/>
        </w:rPr>
        <w:t>brzine</w:t>
      </w:r>
      <w:proofErr w:type="spellEnd"/>
      <w:r w:rsidRPr="0075503A">
        <w:rPr>
          <w:sz w:val="22"/>
          <w:szCs w:val="22"/>
        </w:rPr>
        <w:t xml:space="preserve"> </w:t>
      </w:r>
      <w:proofErr w:type="spellStart"/>
      <w:r w:rsidRPr="0075503A">
        <w:rPr>
          <w:sz w:val="22"/>
          <w:szCs w:val="22"/>
        </w:rPr>
        <w:t>infuzije</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w:t>
      </w:r>
      <w:proofErr w:type="spellStart"/>
      <w:r w:rsidRPr="0075503A">
        <w:rPr>
          <w:sz w:val="22"/>
          <w:szCs w:val="22"/>
        </w:rPr>
        <w:t>nastupilo</w:t>
      </w:r>
      <w:proofErr w:type="spellEnd"/>
      <w:r w:rsidRPr="0075503A">
        <w:rPr>
          <w:sz w:val="22"/>
          <w:szCs w:val="22"/>
        </w:rPr>
        <w:t xml:space="preserve"> je 11 </w:t>
      </w:r>
      <w:proofErr w:type="spellStart"/>
      <w:r w:rsidRPr="0075503A">
        <w:rPr>
          <w:sz w:val="22"/>
          <w:szCs w:val="22"/>
        </w:rPr>
        <w:t>minuta</w:t>
      </w:r>
      <w:proofErr w:type="spellEnd"/>
      <w:r w:rsidRPr="0075503A">
        <w:rPr>
          <w:sz w:val="22"/>
          <w:szCs w:val="22"/>
        </w:rPr>
        <w:t xml:space="preserve"> </w:t>
      </w:r>
      <w:proofErr w:type="spellStart"/>
      <w:r w:rsidRPr="0075503A">
        <w:rPr>
          <w:sz w:val="22"/>
          <w:szCs w:val="22"/>
        </w:rPr>
        <w:t>ranije</w:t>
      </w:r>
      <w:proofErr w:type="spellEnd"/>
      <w:r w:rsidRPr="0075503A">
        <w:rPr>
          <w:sz w:val="22"/>
          <w:szCs w:val="22"/>
        </w:rPr>
        <w:t xml:space="preserve"> </w:t>
      </w:r>
      <w:proofErr w:type="spellStart"/>
      <w:r w:rsidRPr="0075503A">
        <w:rPr>
          <w:sz w:val="22"/>
          <w:szCs w:val="22"/>
        </w:rPr>
        <w:t>sa</w:t>
      </w:r>
      <w:proofErr w:type="spellEnd"/>
      <w:r w:rsidRPr="0075503A">
        <w:rPr>
          <w:sz w:val="22"/>
          <w:szCs w:val="22"/>
        </w:rPr>
        <w:t xml:space="preserve"> </w:t>
      </w:r>
      <w:proofErr w:type="spellStart"/>
      <w:r w:rsidRPr="0075503A">
        <w:rPr>
          <w:sz w:val="22"/>
          <w:szCs w:val="22"/>
        </w:rPr>
        <w:t>lijekom</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 xml:space="preserve"> </w:t>
      </w:r>
      <w:proofErr w:type="spellStart"/>
      <w:r w:rsidRPr="0075503A">
        <w:rPr>
          <w:sz w:val="22"/>
          <w:szCs w:val="22"/>
        </w:rPr>
        <w:t>nego</w:t>
      </w:r>
      <w:proofErr w:type="spellEnd"/>
      <w:r w:rsidRPr="0075503A">
        <w:rPr>
          <w:sz w:val="22"/>
          <w:szCs w:val="22"/>
        </w:rPr>
        <w:t xml:space="preserve"> </w:t>
      </w:r>
      <w:proofErr w:type="spellStart"/>
      <w:r w:rsidRPr="0075503A">
        <w:rPr>
          <w:sz w:val="22"/>
          <w:szCs w:val="22"/>
        </w:rPr>
        <w:t>sa</w:t>
      </w:r>
      <w:proofErr w:type="spellEnd"/>
      <w:r w:rsidRPr="0075503A">
        <w:rPr>
          <w:sz w:val="22"/>
          <w:szCs w:val="22"/>
        </w:rPr>
        <w:t xml:space="preserve"> </w:t>
      </w:r>
      <w:proofErr w:type="spellStart"/>
      <w:r w:rsidRPr="0075503A">
        <w:rPr>
          <w:sz w:val="22"/>
          <w:szCs w:val="22"/>
        </w:rPr>
        <w:t>lijekom</w:t>
      </w:r>
      <w:proofErr w:type="spellEnd"/>
      <w:r w:rsidRPr="0075503A">
        <w:rPr>
          <w:sz w:val="22"/>
          <w:szCs w:val="22"/>
        </w:rPr>
        <w:t xml:space="preserve"> </w:t>
      </w:r>
      <w:proofErr w:type="spellStart"/>
      <w:r w:rsidRPr="0075503A">
        <w:rPr>
          <w:sz w:val="22"/>
          <w:szCs w:val="22"/>
        </w:rPr>
        <w:t>NovoRapid</w:t>
      </w:r>
      <w:proofErr w:type="spellEnd"/>
      <w:r w:rsidRPr="0075503A">
        <w:rPr>
          <w:sz w:val="22"/>
          <w:szCs w:val="22"/>
        </w:rPr>
        <w:t xml:space="preserve">. </w:t>
      </w:r>
      <w:proofErr w:type="spellStart"/>
      <w:r w:rsidRPr="0075503A">
        <w:rPr>
          <w:sz w:val="22"/>
          <w:szCs w:val="22"/>
        </w:rPr>
        <w:t>Maksimalno</w:t>
      </w:r>
      <w:proofErr w:type="spellEnd"/>
      <w:r w:rsidRPr="0075503A">
        <w:rPr>
          <w:sz w:val="22"/>
          <w:szCs w:val="22"/>
        </w:rPr>
        <w:t xml:space="preserve"> </w:t>
      </w:r>
      <w:proofErr w:type="spellStart"/>
      <w:r w:rsidRPr="0075503A">
        <w:rPr>
          <w:sz w:val="22"/>
          <w:szCs w:val="22"/>
        </w:rPr>
        <w:t>dejstvo</w:t>
      </w:r>
      <w:proofErr w:type="spellEnd"/>
      <w:r w:rsidRPr="0075503A">
        <w:rPr>
          <w:sz w:val="22"/>
          <w:szCs w:val="22"/>
        </w:rPr>
        <w:t xml:space="preserve"> </w:t>
      </w:r>
      <w:proofErr w:type="spellStart"/>
      <w:r w:rsidRPr="0075503A">
        <w:rPr>
          <w:sz w:val="22"/>
          <w:szCs w:val="22"/>
        </w:rPr>
        <w:t>na</w:t>
      </w:r>
      <w:proofErr w:type="spellEnd"/>
      <w:r w:rsidRPr="0075503A">
        <w:rPr>
          <w:sz w:val="22"/>
          <w:szCs w:val="22"/>
        </w:rPr>
        <w:t xml:space="preserve"> </w:t>
      </w:r>
      <w:proofErr w:type="spellStart"/>
      <w:r w:rsidRPr="0075503A">
        <w:rPr>
          <w:sz w:val="22"/>
          <w:szCs w:val="22"/>
        </w:rPr>
        <w:t>snižavanje</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w:t>
      </w:r>
      <w:proofErr w:type="spellStart"/>
      <w:r w:rsidRPr="0075503A">
        <w:rPr>
          <w:sz w:val="22"/>
          <w:szCs w:val="22"/>
        </w:rPr>
        <w:t>primjenom</w:t>
      </w:r>
      <w:proofErr w:type="spellEnd"/>
      <w:r w:rsidRPr="0075503A">
        <w:rPr>
          <w:sz w:val="22"/>
          <w:szCs w:val="22"/>
        </w:rPr>
        <w:t xml:space="preserve"> </w:t>
      </w:r>
      <w:proofErr w:type="spellStart"/>
      <w:r w:rsidRPr="0075503A">
        <w:rPr>
          <w:sz w:val="22"/>
          <w:szCs w:val="22"/>
        </w:rPr>
        <w:t>lijeka</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 xml:space="preserve"> </w:t>
      </w:r>
      <w:proofErr w:type="spellStart"/>
      <w:r w:rsidRPr="0075503A">
        <w:rPr>
          <w:sz w:val="22"/>
          <w:szCs w:val="22"/>
        </w:rPr>
        <w:t>nastupilo</w:t>
      </w:r>
      <w:proofErr w:type="spellEnd"/>
      <w:r w:rsidRPr="0075503A">
        <w:rPr>
          <w:sz w:val="22"/>
          <w:szCs w:val="22"/>
        </w:rPr>
        <w:t xml:space="preserve"> je </w:t>
      </w:r>
      <w:proofErr w:type="spellStart"/>
      <w:r w:rsidRPr="0075503A">
        <w:rPr>
          <w:sz w:val="22"/>
          <w:szCs w:val="22"/>
        </w:rPr>
        <w:t>između</w:t>
      </w:r>
      <w:proofErr w:type="spellEnd"/>
      <w:r w:rsidRPr="0075503A">
        <w:rPr>
          <w:sz w:val="22"/>
          <w:szCs w:val="22"/>
        </w:rPr>
        <w:t xml:space="preserve"> 1 i 3 </w:t>
      </w:r>
      <w:proofErr w:type="spellStart"/>
      <w:r w:rsidRPr="0075503A">
        <w:rPr>
          <w:sz w:val="22"/>
          <w:szCs w:val="22"/>
        </w:rPr>
        <w:t>sata</w:t>
      </w:r>
      <w:proofErr w:type="spellEnd"/>
      <w:r w:rsidRPr="0075503A">
        <w:rPr>
          <w:sz w:val="22"/>
          <w:szCs w:val="22"/>
        </w:rPr>
        <w:t xml:space="preserve"> </w:t>
      </w:r>
      <w:proofErr w:type="spellStart"/>
      <w:r w:rsidRPr="0075503A">
        <w:rPr>
          <w:sz w:val="22"/>
          <w:szCs w:val="22"/>
        </w:rPr>
        <w:t>nakon</w:t>
      </w:r>
      <w:proofErr w:type="spellEnd"/>
      <w:r w:rsidRPr="0075503A">
        <w:rPr>
          <w:sz w:val="22"/>
          <w:szCs w:val="22"/>
        </w:rPr>
        <w:t xml:space="preserve"> </w:t>
      </w:r>
      <w:proofErr w:type="spellStart"/>
      <w:r w:rsidRPr="0075503A">
        <w:rPr>
          <w:sz w:val="22"/>
          <w:szCs w:val="22"/>
        </w:rPr>
        <w:t>ubrizgavanja</w:t>
      </w:r>
      <w:proofErr w:type="spellEnd"/>
      <w:r w:rsidRPr="0075503A">
        <w:rPr>
          <w:sz w:val="22"/>
          <w:szCs w:val="22"/>
        </w:rPr>
        <w:t xml:space="preserve">. </w:t>
      </w:r>
      <w:proofErr w:type="spellStart"/>
      <w:r w:rsidRPr="0075503A">
        <w:rPr>
          <w:sz w:val="22"/>
          <w:szCs w:val="22"/>
        </w:rPr>
        <w:t>Efekat</w:t>
      </w:r>
      <w:proofErr w:type="spellEnd"/>
      <w:r w:rsidRPr="0075503A">
        <w:rPr>
          <w:sz w:val="22"/>
          <w:szCs w:val="22"/>
        </w:rPr>
        <w:t xml:space="preserve"> </w:t>
      </w:r>
      <w:proofErr w:type="spellStart"/>
      <w:r w:rsidRPr="0075503A">
        <w:rPr>
          <w:sz w:val="22"/>
          <w:szCs w:val="22"/>
        </w:rPr>
        <w:t>snižavanja</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w:t>
      </w:r>
      <w:proofErr w:type="spellStart"/>
      <w:r w:rsidRPr="0075503A">
        <w:rPr>
          <w:sz w:val="22"/>
          <w:szCs w:val="22"/>
        </w:rPr>
        <w:t>tokom</w:t>
      </w:r>
      <w:proofErr w:type="spellEnd"/>
      <w:r w:rsidRPr="0075503A">
        <w:rPr>
          <w:sz w:val="22"/>
          <w:szCs w:val="22"/>
        </w:rPr>
        <w:t xml:space="preserve"> </w:t>
      </w:r>
      <w:proofErr w:type="spellStart"/>
      <w:r w:rsidRPr="0075503A">
        <w:rPr>
          <w:sz w:val="22"/>
          <w:szCs w:val="22"/>
        </w:rPr>
        <w:t>prvih</w:t>
      </w:r>
      <w:proofErr w:type="spellEnd"/>
      <w:r w:rsidRPr="0075503A">
        <w:rPr>
          <w:sz w:val="22"/>
          <w:szCs w:val="22"/>
        </w:rPr>
        <w:t xml:space="preserve"> 30 </w:t>
      </w:r>
      <w:proofErr w:type="spellStart"/>
      <w:r w:rsidRPr="0075503A">
        <w:rPr>
          <w:sz w:val="22"/>
          <w:szCs w:val="22"/>
        </w:rPr>
        <w:t>minuta</w:t>
      </w:r>
      <w:proofErr w:type="spellEnd"/>
      <w:r w:rsidRPr="0075503A">
        <w:rPr>
          <w:sz w:val="22"/>
          <w:szCs w:val="22"/>
        </w:rPr>
        <w:t xml:space="preserve"> (PIK</w:t>
      </w:r>
      <w:r w:rsidRPr="0075503A">
        <w:rPr>
          <w:sz w:val="22"/>
          <w:szCs w:val="22"/>
          <w:vertAlign w:val="subscript"/>
        </w:rPr>
        <w:t>GIR, 0-30 min</w:t>
      </w:r>
      <w:r w:rsidRPr="0075503A">
        <w:rPr>
          <w:sz w:val="22"/>
          <w:szCs w:val="22"/>
        </w:rPr>
        <w:t xml:space="preserve">) </w:t>
      </w:r>
      <w:proofErr w:type="spellStart"/>
      <w:r w:rsidRPr="0075503A">
        <w:rPr>
          <w:sz w:val="22"/>
          <w:szCs w:val="22"/>
        </w:rPr>
        <w:t>iznosio</w:t>
      </w:r>
      <w:proofErr w:type="spellEnd"/>
      <w:r w:rsidRPr="0075503A">
        <w:rPr>
          <w:sz w:val="22"/>
          <w:szCs w:val="22"/>
        </w:rPr>
        <w:t xml:space="preserve"> je 51 mg/kg </w:t>
      </w:r>
      <w:proofErr w:type="spellStart"/>
      <w:r w:rsidRPr="0075503A">
        <w:rPr>
          <w:sz w:val="22"/>
          <w:szCs w:val="22"/>
        </w:rPr>
        <w:t>sa</w:t>
      </w:r>
      <w:proofErr w:type="spellEnd"/>
      <w:r w:rsidRPr="0075503A">
        <w:rPr>
          <w:sz w:val="22"/>
          <w:szCs w:val="22"/>
        </w:rPr>
        <w:t xml:space="preserve"> </w:t>
      </w:r>
      <w:proofErr w:type="spellStart"/>
      <w:r w:rsidRPr="0075503A">
        <w:rPr>
          <w:sz w:val="22"/>
          <w:szCs w:val="22"/>
        </w:rPr>
        <w:t>lijekom</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 xml:space="preserve">, a 29 mg/kg </w:t>
      </w:r>
      <w:proofErr w:type="spellStart"/>
      <w:r w:rsidRPr="0075503A">
        <w:rPr>
          <w:sz w:val="22"/>
          <w:szCs w:val="22"/>
        </w:rPr>
        <w:t>sa</w:t>
      </w:r>
      <w:proofErr w:type="spellEnd"/>
      <w:r w:rsidRPr="0075503A">
        <w:rPr>
          <w:sz w:val="22"/>
          <w:szCs w:val="22"/>
        </w:rPr>
        <w:t xml:space="preserve"> </w:t>
      </w:r>
      <w:proofErr w:type="spellStart"/>
      <w:r w:rsidRPr="0075503A">
        <w:rPr>
          <w:sz w:val="22"/>
          <w:szCs w:val="22"/>
        </w:rPr>
        <w:t>lijekom</w:t>
      </w:r>
      <w:proofErr w:type="spellEnd"/>
      <w:r w:rsidRPr="0075503A">
        <w:rPr>
          <w:sz w:val="22"/>
          <w:szCs w:val="22"/>
        </w:rPr>
        <w:t xml:space="preserve"> </w:t>
      </w:r>
      <w:proofErr w:type="spellStart"/>
      <w:r w:rsidRPr="0075503A">
        <w:rPr>
          <w:sz w:val="22"/>
          <w:szCs w:val="22"/>
        </w:rPr>
        <w:t>NovoRapid</w:t>
      </w:r>
      <w:proofErr w:type="spellEnd"/>
      <w:r w:rsidRPr="0075503A">
        <w:rPr>
          <w:sz w:val="22"/>
          <w:szCs w:val="22"/>
        </w:rPr>
        <w:t xml:space="preserve"> (</w:t>
      </w:r>
      <w:proofErr w:type="spellStart"/>
      <w:r w:rsidRPr="0075503A">
        <w:rPr>
          <w:sz w:val="22"/>
          <w:szCs w:val="22"/>
        </w:rPr>
        <w:t>odnos</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w:t>
      </w:r>
      <w:proofErr w:type="spellStart"/>
      <w:r w:rsidRPr="0075503A">
        <w:rPr>
          <w:sz w:val="22"/>
          <w:szCs w:val="22"/>
        </w:rPr>
        <w:t>NovoRapid</w:t>
      </w:r>
      <w:proofErr w:type="spellEnd"/>
      <w:r w:rsidRPr="0075503A">
        <w:rPr>
          <w:sz w:val="22"/>
          <w:szCs w:val="22"/>
        </w:rPr>
        <w:t>: 1,74 [1,47; 2,10]</w:t>
      </w:r>
      <w:r w:rsidRPr="0075503A">
        <w:rPr>
          <w:sz w:val="22"/>
          <w:szCs w:val="22"/>
          <w:vertAlign w:val="subscript"/>
        </w:rPr>
        <w:t>95% CI</w:t>
      </w:r>
      <w:r w:rsidRPr="0075503A">
        <w:rPr>
          <w:sz w:val="22"/>
          <w:szCs w:val="22"/>
        </w:rPr>
        <w:t xml:space="preserve">). </w:t>
      </w:r>
      <w:proofErr w:type="spellStart"/>
      <w:r w:rsidRPr="0075503A">
        <w:rPr>
          <w:sz w:val="22"/>
          <w:szCs w:val="22"/>
        </w:rPr>
        <w:t>Ukupan</w:t>
      </w:r>
      <w:proofErr w:type="spellEnd"/>
      <w:r w:rsidRPr="0075503A">
        <w:rPr>
          <w:sz w:val="22"/>
          <w:szCs w:val="22"/>
        </w:rPr>
        <w:t xml:space="preserve"> </w:t>
      </w:r>
      <w:proofErr w:type="spellStart"/>
      <w:r w:rsidRPr="0075503A">
        <w:rPr>
          <w:sz w:val="22"/>
          <w:szCs w:val="22"/>
        </w:rPr>
        <w:t>efekat</w:t>
      </w:r>
      <w:proofErr w:type="spellEnd"/>
      <w:r w:rsidRPr="0075503A">
        <w:rPr>
          <w:sz w:val="22"/>
          <w:szCs w:val="22"/>
        </w:rPr>
        <w:t xml:space="preserve"> </w:t>
      </w:r>
      <w:proofErr w:type="spellStart"/>
      <w:r w:rsidRPr="0075503A">
        <w:rPr>
          <w:sz w:val="22"/>
          <w:szCs w:val="22"/>
        </w:rPr>
        <w:t>snižavanja</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i </w:t>
      </w:r>
      <w:proofErr w:type="spellStart"/>
      <w:r w:rsidRPr="0075503A">
        <w:rPr>
          <w:sz w:val="22"/>
          <w:szCs w:val="22"/>
        </w:rPr>
        <w:t>maksimalan</w:t>
      </w:r>
      <w:proofErr w:type="spellEnd"/>
      <w:r w:rsidRPr="0075503A">
        <w:rPr>
          <w:sz w:val="22"/>
          <w:szCs w:val="22"/>
        </w:rPr>
        <w:t xml:space="preserve"> (</w:t>
      </w:r>
      <w:proofErr w:type="spellStart"/>
      <w:r w:rsidRPr="0075503A">
        <w:rPr>
          <w:sz w:val="22"/>
          <w:szCs w:val="22"/>
        </w:rPr>
        <w:t>GIR</w:t>
      </w:r>
      <w:r w:rsidRPr="0075503A">
        <w:rPr>
          <w:sz w:val="22"/>
          <w:szCs w:val="22"/>
          <w:vertAlign w:val="subscript"/>
        </w:rPr>
        <w:t>max</w:t>
      </w:r>
      <w:proofErr w:type="spellEnd"/>
      <w:r w:rsidRPr="0075503A">
        <w:rPr>
          <w:sz w:val="22"/>
          <w:szCs w:val="22"/>
        </w:rPr>
        <w:t xml:space="preserve">) </w:t>
      </w:r>
      <w:proofErr w:type="spellStart"/>
      <w:r w:rsidRPr="0075503A">
        <w:rPr>
          <w:sz w:val="22"/>
          <w:szCs w:val="22"/>
        </w:rPr>
        <w:t>efekat</w:t>
      </w:r>
      <w:proofErr w:type="spellEnd"/>
      <w:r w:rsidRPr="0075503A">
        <w:rPr>
          <w:sz w:val="22"/>
          <w:szCs w:val="22"/>
        </w:rPr>
        <w:t xml:space="preserve"> </w:t>
      </w:r>
      <w:proofErr w:type="spellStart"/>
      <w:r w:rsidRPr="0075503A">
        <w:rPr>
          <w:sz w:val="22"/>
          <w:szCs w:val="22"/>
        </w:rPr>
        <w:t>snižavanja</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w:t>
      </w:r>
      <w:proofErr w:type="spellStart"/>
      <w:r w:rsidRPr="0075503A">
        <w:rPr>
          <w:sz w:val="22"/>
          <w:szCs w:val="22"/>
        </w:rPr>
        <w:t>između</w:t>
      </w:r>
      <w:proofErr w:type="spellEnd"/>
      <w:r w:rsidRPr="0075503A">
        <w:rPr>
          <w:sz w:val="22"/>
          <w:szCs w:val="22"/>
        </w:rPr>
        <w:t xml:space="preserve"> </w:t>
      </w:r>
      <w:proofErr w:type="spellStart"/>
      <w:r w:rsidRPr="0075503A">
        <w:rPr>
          <w:sz w:val="22"/>
          <w:szCs w:val="22"/>
        </w:rPr>
        <w:t>ljekova</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 xml:space="preserve"> i </w:t>
      </w:r>
      <w:proofErr w:type="spellStart"/>
      <w:r w:rsidRPr="0075503A">
        <w:rPr>
          <w:sz w:val="22"/>
          <w:szCs w:val="22"/>
        </w:rPr>
        <w:t>NovoRapid</w:t>
      </w:r>
      <w:proofErr w:type="spellEnd"/>
      <w:r w:rsidRPr="0075503A">
        <w:rPr>
          <w:sz w:val="22"/>
          <w:szCs w:val="22"/>
        </w:rPr>
        <w:t xml:space="preserve"> </w:t>
      </w:r>
      <w:proofErr w:type="spellStart"/>
      <w:r w:rsidRPr="0075503A">
        <w:rPr>
          <w:sz w:val="22"/>
          <w:szCs w:val="22"/>
        </w:rPr>
        <w:t>bili</w:t>
      </w:r>
      <w:proofErr w:type="spellEnd"/>
      <w:r w:rsidRPr="0075503A">
        <w:rPr>
          <w:sz w:val="22"/>
          <w:szCs w:val="22"/>
        </w:rPr>
        <w:t xml:space="preserve"> </w:t>
      </w:r>
      <w:proofErr w:type="spellStart"/>
      <w:r w:rsidRPr="0075503A">
        <w:rPr>
          <w:sz w:val="22"/>
          <w:szCs w:val="22"/>
        </w:rPr>
        <w:t>su</w:t>
      </w:r>
      <w:proofErr w:type="spellEnd"/>
      <w:r w:rsidRPr="0075503A">
        <w:rPr>
          <w:sz w:val="22"/>
          <w:szCs w:val="22"/>
        </w:rPr>
        <w:t xml:space="preserve"> </w:t>
      </w:r>
      <w:proofErr w:type="spellStart"/>
      <w:r w:rsidRPr="0075503A">
        <w:rPr>
          <w:sz w:val="22"/>
          <w:szCs w:val="22"/>
        </w:rPr>
        <w:t>uporedivi</w:t>
      </w:r>
      <w:proofErr w:type="spellEnd"/>
      <w:r w:rsidRPr="0075503A">
        <w:rPr>
          <w:sz w:val="22"/>
          <w:szCs w:val="22"/>
        </w:rPr>
        <w:t xml:space="preserve">. </w:t>
      </w:r>
      <w:proofErr w:type="spellStart"/>
      <w:r w:rsidRPr="0075503A">
        <w:rPr>
          <w:sz w:val="22"/>
          <w:szCs w:val="22"/>
        </w:rPr>
        <w:t>Ukupan</w:t>
      </w:r>
      <w:proofErr w:type="spellEnd"/>
      <w:r w:rsidRPr="0075503A">
        <w:rPr>
          <w:sz w:val="22"/>
          <w:szCs w:val="22"/>
        </w:rPr>
        <w:t xml:space="preserve"> i </w:t>
      </w:r>
      <w:proofErr w:type="spellStart"/>
      <w:r w:rsidRPr="0075503A">
        <w:rPr>
          <w:sz w:val="22"/>
          <w:szCs w:val="22"/>
        </w:rPr>
        <w:t>maksimalan</w:t>
      </w:r>
      <w:proofErr w:type="spellEnd"/>
      <w:r w:rsidRPr="0075503A">
        <w:rPr>
          <w:sz w:val="22"/>
          <w:szCs w:val="22"/>
        </w:rPr>
        <w:t xml:space="preserve"> </w:t>
      </w:r>
      <w:proofErr w:type="spellStart"/>
      <w:r w:rsidRPr="0075503A">
        <w:rPr>
          <w:sz w:val="22"/>
          <w:szCs w:val="22"/>
        </w:rPr>
        <w:t>efekat</w:t>
      </w:r>
      <w:proofErr w:type="spellEnd"/>
      <w:r w:rsidRPr="0075503A">
        <w:rPr>
          <w:sz w:val="22"/>
          <w:szCs w:val="22"/>
        </w:rPr>
        <w:t xml:space="preserve"> </w:t>
      </w:r>
      <w:proofErr w:type="spellStart"/>
      <w:r w:rsidRPr="0075503A">
        <w:rPr>
          <w:sz w:val="22"/>
          <w:szCs w:val="22"/>
        </w:rPr>
        <w:t>snižavanja</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w:t>
      </w:r>
      <w:proofErr w:type="spellStart"/>
      <w:r w:rsidRPr="0075503A">
        <w:rPr>
          <w:sz w:val="22"/>
          <w:szCs w:val="22"/>
        </w:rPr>
        <w:t>lijeka</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 xml:space="preserve"> </w:t>
      </w:r>
      <w:proofErr w:type="spellStart"/>
      <w:r w:rsidRPr="0075503A">
        <w:rPr>
          <w:sz w:val="22"/>
          <w:szCs w:val="22"/>
        </w:rPr>
        <w:t>linearno</w:t>
      </w:r>
      <w:proofErr w:type="spellEnd"/>
      <w:r w:rsidRPr="0075503A">
        <w:rPr>
          <w:sz w:val="22"/>
          <w:szCs w:val="22"/>
        </w:rPr>
        <w:t xml:space="preserve"> se </w:t>
      </w:r>
      <w:proofErr w:type="spellStart"/>
      <w:r w:rsidRPr="0075503A">
        <w:rPr>
          <w:sz w:val="22"/>
          <w:szCs w:val="22"/>
        </w:rPr>
        <w:t>povećavaju</w:t>
      </w:r>
      <w:proofErr w:type="spellEnd"/>
      <w:r w:rsidRPr="0075503A">
        <w:rPr>
          <w:sz w:val="22"/>
          <w:szCs w:val="22"/>
        </w:rPr>
        <w:t xml:space="preserve"> </w:t>
      </w:r>
      <w:proofErr w:type="spellStart"/>
      <w:r w:rsidRPr="0075503A">
        <w:rPr>
          <w:sz w:val="22"/>
          <w:szCs w:val="22"/>
        </w:rPr>
        <w:t>sa</w:t>
      </w:r>
      <w:proofErr w:type="spellEnd"/>
      <w:r w:rsidRPr="0075503A">
        <w:rPr>
          <w:sz w:val="22"/>
          <w:szCs w:val="22"/>
        </w:rPr>
        <w:t xml:space="preserve"> </w:t>
      </w:r>
      <w:proofErr w:type="spellStart"/>
      <w:r w:rsidRPr="0075503A">
        <w:rPr>
          <w:sz w:val="22"/>
          <w:szCs w:val="22"/>
        </w:rPr>
        <w:t>povećanjem</w:t>
      </w:r>
      <w:proofErr w:type="spellEnd"/>
      <w:r w:rsidRPr="0075503A">
        <w:rPr>
          <w:sz w:val="22"/>
          <w:szCs w:val="22"/>
        </w:rPr>
        <w:t xml:space="preserve"> doze </w:t>
      </w:r>
      <w:proofErr w:type="spellStart"/>
      <w:r w:rsidRPr="0075503A">
        <w:rPr>
          <w:sz w:val="22"/>
          <w:szCs w:val="22"/>
        </w:rPr>
        <w:t>unutar</w:t>
      </w:r>
      <w:proofErr w:type="spellEnd"/>
      <w:r w:rsidRPr="0075503A">
        <w:rPr>
          <w:sz w:val="22"/>
          <w:szCs w:val="22"/>
        </w:rPr>
        <w:t xml:space="preserve"> </w:t>
      </w:r>
      <w:proofErr w:type="spellStart"/>
      <w:r w:rsidRPr="0075503A">
        <w:rPr>
          <w:sz w:val="22"/>
          <w:szCs w:val="22"/>
        </w:rPr>
        <w:t>terapijskog</w:t>
      </w:r>
      <w:proofErr w:type="spellEnd"/>
      <w:r w:rsidRPr="0075503A">
        <w:rPr>
          <w:sz w:val="22"/>
          <w:szCs w:val="22"/>
        </w:rPr>
        <w:t xml:space="preserve"> </w:t>
      </w:r>
      <w:proofErr w:type="spellStart"/>
      <w:r w:rsidRPr="0075503A">
        <w:rPr>
          <w:sz w:val="22"/>
          <w:szCs w:val="22"/>
        </w:rPr>
        <w:t>raspona</w:t>
      </w:r>
      <w:proofErr w:type="spellEnd"/>
      <w:r w:rsidRPr="0075503A">
        <w:rPr>
          <w:sz w:val="22"/>
          <w:szCs w:val="22"/>
        </w:rPr>
        <w:t xml:space="preserve"> </w:t>
      </w:r>
      <w:proofErr w:type="spellStart"/>
      <w:r w:rsidRPr="0075503A">
        <w:rPr>
          <w:sz w:val="22"/>
          <w:szCs w:val="22"/>
        </w:rPr>
        <w:t>doza</w:t>
      </w:r>
      <w:proofErr w:type="spellEnd"/>
      <w:r w:rsidRPr="0075503A">
        <w:rPr>
          <w:sz w:val="22"/>
          <w:szCs w:val="22"/>
        </w:rPr>
        <w:t>.</w:t>
      </w:r>
    </w:p>
    <w:p w14:paraId="737F5353" w14:textId="77777777" w:rsidR="004B59CB" w:rsidRPr="0075503A" w:rsidRDefault="004B59CB" w:rsidP="00EE2F19">
      <w:pPr>
        <w:tabs>
          <w:tab w:val="left" w:pos="284"/>
        </w:tabs>
        <w:jc w:val="both"/>
        <w:rPr>
          <w:sz w:val="22"/>
          <w:szCs w:val="22"/>
        </w:rPr>
      </w:pPr>
    </w:p>
    <w:p w14:paraId="76AC7ACE" w14:textId="42CA2906" w:rsidR="004B59CB" w:rsidRPr="0075503A" w:rsidRDefault="00CD427F" w:rsidP="00EE2F19">
      <w:pPr>
        <w:tabs>
          <w:tab w:val="left" w:pos="284"/>
        </w:tabs>
        <w:jc w:val="both"/>
        <w:rPr>
          <w:sz w:val="22"/>
          <w:szCs w:val="22"/>
        </w:rPr>
      </w:pPr>
      <w:r w:rsidRPr="0075503A">
        <w:rPr>
          <w:sz w:val="22"/>
          <w:szCs w:val="22"/>
        </w:rPr>
        <w:t xml:space="preserve">Lijek </w:t>
      </w:r>
      <w:proofErr w:type="spellStart"/>
      <w:r w:rsidR="004B59CB" w:rsidRPr="0075503A">
        <w:rPr>
          <w:sz w:val="22"/>
          <w:szCs w:val="22"/>
        </w:rPr>
        <w:t>Fiasp</w:t>
      </w:r>
      <w:proofErr w:type="spellEnd"/>
      <w:r w:rsidR="004B59CB" w:rsidRPr="0075503A">
        <w:rPr>
          <w:sz w:val="22"/>
          <w:szCs w:val="22"/>
        </w:rPr>
        <w:t xml:space="preserve"> </w:t>
      </w:r>
      <w:proofErr w:type="spellStart"/>
      <w:r w:rsidR="004B59CB" w:rsidRPr="0075503A">
        <w:rPr>
          <w:sz w:val="22"/>
          <w:szCs w:val="22"/>
        </w:rPr>
        <w:t>ima</w:t>
      </w:r>
      <w:proofErr w:type="spellEnd"/>
      <w:r w:rsidR="004B59CB" w:rsidRPr="0075503A">
        <w:rPr>
          <w:sz w:val="22"/>
          <w:szCs w:val="22"/>
        </w:rPr>
        <w:t xml:space="preserve"> </w:t>
      </w:r>
      <w:proofErr w:type="spellStart"/>
      <w:r w:rsidR="004B59CB" w:rsidRPr="0075503A">
        <w:rPr>
          <w:sz w:val="22"/>
          <w:szCs w:val="22"/>
        </w:rPr>
        <w:t>brži</w:t>
      </w:r>
      <w:proofErr w:type="spellEnd"/>
      <w:r w:rsidR="004B59CB" w:rsidRPr="0075503A">
        <w:rPr>
          <w:sz w:val="22"/>
          <w:szCs w:val="22"/>
        </w:rPr>
        <w:t xml:space="preserve"> </w:t>
      </w:r>
      <w:proofErr w:type="spellStart"/>
      <w:r w:rsidRPr="0075503A">
        <w:rPr>
          <w:sz w:val="22"/>
          <w:szCs w:val="22"/>
        </w:rPr>
        <w:t>početak</w:t>
      </w:r>
      <w:proofErr w:type="spellEnd"/>
      <w:r w:rsidR="004B59CB" w:rsidRPr="0075503A">
        <w:rPr>
          <w:sz w:val="22"/>
          <w:szCs w:val="22"/>
        </w:rPr>
        <w:t xml:space="preserve"> </w:t>
      </w:r>
      <w:proofErr w:type="spellStart"/>
      <w:r w:rsidR="004B59CB" w:rsidRPr="0075503A">
        <w:rPr>
          <w:sz w:val="22"/>
          <w:szCs w:val="22"/>
        </w:rPr>
        <w:t>djelovanja</w:t>
      </w:r>
      <w:proofErr w:type="spellEnd"/>
      <w:r w:rsidR="004B59CB" w:rsidRPr="0075503A">
        <w:rPr>
          <w:sz w:val="22"/>
          <w:szCs w:val="22"/>
        </w:rPr>
        <w:t xml:space="preserve"> </w:t>
      </w:r>
      <w:r w:rsidRPr="0075503A">
        <w:rPr>
          <w:sz w:val="22"/>
          <w:szCs w:val="22"/>
        </w:rPr>
        <w:t xml:space="preserve">u </w:t>
      </w:r>
      <w:proofErr w:type="spellStart"/>
      <w:r w:rsidRPr="0075503A">
        <w:rPr>
          <w:sz w:val="22"/>
          <w:szCs w:val="22"/>
        </w:rPr>
        <w:t>poređenj</w:t>
      </w:r>
      <w:proofErr w:type="spellEnd"/>
      <w:r w:rsidRPr="0075503A">
        <w:rPr>
          <w:sz w:val="22"/>
          <w:szCs w:val="22"/>
        </w:rPr>
        <w:t xml:space="preserve"> </w:t>
      </w:r>
      <w:proofErr w:type="spellStart"/>
      <w:r w:rsidRPr="0075503A">
        <w:rPr>
          <w:sz w:val="22"/>
          <w:szCs w:val="22"/>
        </w:rPr>
        <w:t>sa</w:t>
      </w:r>
      <w:proofErr w:type="spellEnd"/>
      <w:r w:rsidRPr="0075503A">
        <w:rPr>
          <w:sz w:val="22"/>
          <w:szCs w:val="22"/>
        </w:rPr>
        <w:t xml:space="preserve"> </w:t>
      </w:r>
      <w:proofErr w:type="spellStart"/>
      <w:r w:rsidRPr="0075503A">
        <w:rPr>
          <w:sz w:val="22"/>
          <w:szCs w:val="22"/>
        </w:rPr>
        <w:t>lijekom</w:t>
      </w:r>
      <w:proofErr w:type="spellEnd"/>
      <w:r w:rsidR="004B59CB" w:rsidRPr="0075503A">
        <w:rPr>
          <w:sz w:val="22"/>
          <w:szCs w:val="22"/>
        </w:rPr>
        <w:t xml:space="preserve"> </w:t>
      </w:r>
      <w:proofErr w:type="spellStart"/>
      <w:r w:rsidR="004B59CB" w:rsidRPr="0075503A">
        <w:rPr>
          <w:sz w:val="22"/>
          <w:szCs w:val="22"/>
        </w:rPr>
        <w:t>NovoRapid</w:t>
      </w:r>
      <w:proofErr w:type="spellEnd"/>
      <w:r w:rsidR="004B59CB" w:rsidRPr="0075503A">
        <w:rPr>
          <w:sz w:val="22"/>
          <w:szCs w:val="22"/>
        </w:rPr>
        <w:t xml:space="preserve"> (</w:t>
      </w:r>
      <w:proofErr w:type="spellStart"/>
      <w:r w:rsidR="004B59CB" w:rsidRPr="0075503A">
        <w:rPr>
          <w:sz w:val="22"/>
          <w:szCs w:val="22"/>
        </w:rPr>
        <w:t>vidjeti</w:t>
      </w:r>
      <w:proofErr w:type="spellEnd"/>
      <w:r w:rsidR="004B59CB" w:rsidRPr="0075503A">
        <w:rPr>
          <w:sz w:val="22"/>
          <w:szCs w:val="22"/>
        </w:rPr>
        <w:t xml:space="preserve"> </w:t>
      </w:r>
      <w:proofErr w:type="spellStart"/>
      <w:r w:rsidR="0044076F" w:rsidRPr="0075503A">
        <w:rPr>
          <w:sz w:val="22"/>
          <w:szCs w:val="22"/>
        </w:rPr>
        <w:t>dio</w:t>
      </w:r>
      <w:proofErr w:type="spellEnd"/>
      <w:r w:rsidR="0044076F" w:rsidRPr="0075503A">
        <w:rPr>
          <w:sz w:val="22"/>
          <w:szCs w:val="22"/>
        </w:rPr>
        <w:t xml:space="preserve"> </w:t>
      </w:r>
      <w:r w:rsidR="004B59CB" w:rsidRPr="0075503A">
        <w:rPr>
          <w:sz w:val="22"/>
          <w:szCs w:val="22"/>
        </w:rPr>
        <w:t xml:space="preserve">5.2), pa je </w:t>
      </w:r>
      <w:proofErr w:type="spellStart"/>
      <w:r w:rsidR="004B59CB" w:rsidRPr="0075503A">
        <w:rPr>
          <w:sz w:val="22"/>
          <w:szCs w:val="22"/>
        </w:rPr>
        <w:t>njegov</w:t>
      </w:r>
      <w:proofErr w:type="spellEnd"/>
      <w:r w:rsidR="004B59CB" w:rsidRPr="0075503A">
        <w:rPr>
          <w:sz w:val="22"/>
          <w:szCs w:val="22"/>
        </w:rPr>
        <w:t xml:space="preserve"> </w:t>
      </w:r>
      <w:r w:rsidR="0026366B">
        <w:rPr>
          <w:sz w:val="22"/>
          <w:szCs w:val="22"/>
        </w:rPr>
        <w:t xml:space="preserve">rani </w:t>
      </w:r>
      <w:proofErr w:type="spellStart"/>
      <w:r w:rsidRPr="0075503A">
        <w:rPr>
          <w:sz w:val="22"/>
          <w:szCs w:val="22"/>
        </w:rPr>
        <w:t>efekat</w:t>
      </w:r>
      <w:proofErr w:type="spellEnd"/>
      <w:r w:rsidR="004B59CB" w:rsidRPr="0075503A">
        <w:rPr>
          <w:sz w:val="22"/>
          <w:szCs w:val="22"/>
        </w:rPr>
        <w:t xml:space="preserve"> </w:t>
      </w:r>
      <w:proofErr w:type="spellStart"/>
      <w:r w:rsidR="004B59CB" w:rsidRPr="0075503A">
        <w:rPr>
          <w:sz w:val="22"/>
          <w:szCs w:val="22"/>
        </w:rPr>
        <w:t>sniž</w:t>
      </w:r>
      <w:r w:rsidRPr="0075503A">
        <w:rPr>
          <w:sz w:val="22"/>
          <w:szCs w:val="22"/>
        </w:rPr>
        <w:t>avanja</w:t>
      </w:r>
      <w:proofErr w:type="spellEnd"/>
      <w:r w:rsidRPr="0075503A">
        <w:rPr>
          <w:sz w:val="22"/>
          <w:szCs w:val="22"/>
        </w:rPr>
        <w:t xml:space="preserve"> </w:t>
      </w:r>
      <w:proofErr w:type="spellStart"/>
      <w:r w:rsidR="004B59CB" w:rsidRPr="0075503A">
        <w:rPr>
          <w:sz w:val="22"/>
          <w:szCs w:val="22"/>
        </w:rPr>
        <w:t>glukoze</w:t>
      </w:r>
      <w:proofErr w:type="spellEnd"/>
      <w:r w:rsidR="004B59CB" w:rsidRPr="0075503A">
        <w:rPr>
          <w:sz w:val="22"/>
          <w:szCs w:val="22"/>
        </w:rPr>
        <w:t xml:space="preserve"> </w:t>
      </w:r>
      <w:proofErr w:type="spellStart"/>
      <w:r w:rsidR="004B59CB" w:rsidRPr="0075503A">
        <w:rPr>
          <w:sz w:val="22"/>
          <w:szCs w:val="22"/>
        </w:rPr>
        <w:t>izraženiji</w:t>
      </w:r>
      <w:proofErr w:type="spellEnd"/>
      <w:r w:rsidR="004B59CB" w:rsidRPr="0075503A">
        <w:rPr>
          <w:sz w:val="22"/>
          <w:szCs w:val="22"/>
        </w:rPr>
        <w:t xml:space="preserve">. To </w:t>
      </w:r>
      <w:proofErr w:type="spellStart"/>
      <w:r w:rsidR="004B59CB" w:rsidRPr="0075503A">
        <w:rPr>
          <w:sz w:val="22"/>
          <w:szCs w:val="22"/>
        </w:rPr>
        <w:t>se</w:t>
      </w:r>
      <w:proofErr w:type="spellEnd"/>
      <w:r w:rsidR="004B59CB" w:rsidRPr="0075503A">
        <w:rPr>
          <w:sz w:val="22"/>
          <w:szCs w:val="22"/>
        </w:rPr>
        <w:t xml:space="preserve"> mora </w:t>
      </w:r>
      <w:proofErr w:type="spellStart"/>
      <w:r w:rsidR="004B59CB" w:rsidRPr="0075503A">
        <w:rPr>
          <w:sz w:val="22"/>
          <w:szCs w:val="22"/>
        </w:rPr>
        <w:t>uzeti</w:t>
      </w:r>
      <w:proofErr w:type="spellEnd"/>
      <w:r w:rsidR="004B59CB" w:rsidRPr="0075503A">
        <w:rPr>
          <w:sz w:val="22"/>
          <w:szCs w:val="22"/>
        </w:rPr>
        <w:t xml:space="preserve"> u </w:t>
      </w:r>
      <w:proofErr w:type="spellStart"/>
      <w:r w:rsidR="004B59CB" w:rsidRPr="0075503A">
        <w:rPr>
          <w:sz w:val="22"/>
          <w:szCs w:val="22"/>
        </w:rPr>
        <w:t>obzir</w:t>
      </w:r>
      <w:proofErr w:type="spellEnd"/>
      <w:r w:rsidR="004B59CB" w:rsidRPr="0075503A">
        <w:rPr>
          <w:sz w:val="22"/>
          <w:szCs w:val="22"/>
        </w:rPr>
        <w:t xml:space="preserve"> </w:t>
      </w:r>
      <w:proofErr w:type="spellStart"/>
      <w:r w:rsidR="004B59CB" w:rsidRPr="0075503A">
        <w:rPr>
          <w:sz w:val="22"/>
          <w:szCs w:val="22"/>
        </w:rPr>
        <w:t>pri</w:t>
      </w:r>
      <w:r w:rsidRPr="0075503A">
        <w:rPr>
          <w:sz w:val="22"/>
          <w:szCs w:val="22"/>
        </w:rPr>
        <w:t>likom</w:t>
      </w:r>
      <w:proofErr w:type="spellEnd"/>
      <w:r w:rsidR="004B59CB" w:rsidRPr="0075503A">
        <w:rPr>
          <w:sz w:val="22"/>
          <w:szCs w:val="22"/>
        </w:rPr>
        <w:t xml:space="preserve"> </w:t>
      </w:r>
      <w:proofErr w:type="spellStart"/>
      <w:r w:rsidR="004B59CB" w:rsidRPr="0075503A">
        <w:rPr>
          <w:sz w:val="22"/>
          <w:szCs w:val="22"/>
        </w:rPr>
        <w:t>propisivanj</w:t>
      </w:r>
      <w:r w:rsidRPr="0075503A">
        <w:rPr>
          <w:sz w:val="22"/>
          <w:szCs w:val="22"/>
        </w:rPr>
        <w:t>a</w:t>
      </w:r>
      <w:proofErr w:type="spellEnd"/>
      <w:r w:rsidR="004B59CB" w:rsidRPr="0075503A">
        <w:rPr>
          <w:sz w:val="22"/>
          <w:szCs w:val="22"/>
        </w:rPr>
        <w:t xml:space="preserve"> </w:t>
      </w:r>
      <w:proofErr w:type="spellStart"/>
      <w:r w:rsidR="004B59CB" w:rsidRPr="0075503A">
        <w:rPr>
          <w:sz w:val="22"/>
          <w:szCs w:val="22"/>
        </w:rPr>
        <w:t>lijeka</w:t>
      </w:r>
      <w:proofErr w:type="spellEnd"/>
      <w:r w:rsidR="004B59CB" w:rsidRPr="0075503A">
        <w:rPr>
          <w:sz w:val="22"/>
          <w:szCs w:val="22"/>
        </w:rPr>
        <w:t xml:space="preserve"> </w:t>
      </w:r>
      <w:proofErr w:type="spellStart"/>
      <w:r w:rsidR="004B59CB" w:rsidRPr="0075503A">
        <w:rPr>
          <w:sz w:val="22"/>
          <w:szCs w:val="22"/>
        </w:rPr>
        <w:t>Fiasp</w:t>
      </w:r>
      <w:proofErr w:type="spellEnd"/>
      <w:r w:rsidR="004B59CB" w:rsidRPr="0075503A">
        <w:rPr>
          <w:sz w:val="22"/>
          <w:szCs w:val="22"/>
        </w:rPr>
        <w:t>.</w:t>
      </w:r>
    </w:p>
    <w:p w14:paraId="51F02127" w14:textId="77777777" w:rsidR="00EE2F19" w:rsidRPr="0075503A" w:rsidRDefault="00EE2F19" w:rsidP="00EE2F19">
      <w:pPr>
        <w:tabs>
          <w:tab w:val="left" w:pos="284"/>
        </w:tabs>
        <w:jc w:val="both"/>
        <w:rPr>
          <w:sz w:val="22"/>
          <w:szCs w:val="22"/>
        </w:rPr>
      </w:pPr>
    </w:p>
    <w:p w14:paraId="0434B9CD" w14:textId="71D137AD" w:rsidR="00EE2F19" w:rsidRPr="0075503A" w:rsidRDefault="00EE2F19" w:rsidP="00EE2F19">
      <w:pPr>
        <w:tabs>
          <w:tab w:val="left" w:pos="284"/>
        </w:tabs>
        <w:jc w:val="both"/>
        <w:rPr>
          <w:sz w:val="22"/>
          <w:szCs w:val="22"/>
        </w:rPr>
      </w:pPr>
      <w:proofErr w:type="spellStart"/>
      <w:r w:rsidRPr="0075503A">
        <w:rPr>
          <w:sz w:val="22"/>
          <w:szCs w:val="22"/>
        </w:rPr>
        <w:t>Trajanje</w:t>
      </w:r>
      <w:proofErr w:type="spellEnd"/>
      <w:r w:rsidRPr="0075503A">
        <w:rPr>
          <w:sz w:val="22"/>
          <w:szCs w:val="22"/>
        </w:rPr>
        <w:t xml:space="preserve"> </w:t>
      </w:r>
      <w:proofErr w:type="spellStart"/>
      <w:r w:rsidRPr="0075503A">
        <w:rPr>
          <w:sz w:val="22"/>
          <w:szCs w:val="22"/>
        </w:rPr>
        <w:t>dejstva</w:t>
      </w:r>
      <w:proofErr w:type="spellEnd"/>
      <w:r w:rsidRPr="0075503A">
        <w:rPr>
          <w:sz w:val="22"/>
          <w:szCs w:val="22"/>
        </w:rPr>
        <w:t xml:space="preserve"> </w:t>
      </w:r>
      <w:proofErr w:type="spellStart"/>
      <w:r w:rsidRPr="0075503A">
        <w:rPr>
          <w:sz w:val="22"/>
          <w:szCs w:val="22"/>
        </w:rPr>
        <w:t>bilo</w:t>
      </w:r>
      <w:proofErr w:type="spellEnd"/>
      <w:r w:rsidRPr="0075503A">
        <w:rPr>
          <w:sz w:val="22"/>
          <w:szCs w:val="22"/>
        </w:rPr>
        <w:t xml:space="preserve"> je </w:t>
      </w:r>
      <w:proofErr w:type="spellStart"/>
      <w:r w:rsidRPr="0075503A">
        <w:rPr>
          <w:sz w:val="22"/>
          <w:szCs w:val="22"/>
        </w:rPr>
        <w:t>kraće</w:t>
      </w:r>
      <w:proofErr w:type="spellEnd"/>
      <w:r w:rsidRPr="0075503A">
        <w:rPr>
          <w:sz w:val="22"/>
          <w:szCs w:val="22"/>
        </w:rPr>
        <w:t xml:space="preserve"> za </w:t>
      </w:r>
      <w:proofErr w:type="spellStart"/>
      <w:r w:rsidRPr="0075503A">
        <w:rPr>
          <w:sz w:val="22"/>
          <w:szCs w:val="22"/>
        </w:rPr>
        <w:t>lijek</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 xml:space="preserve"> u </w:t>
      </w:r>
      <w:proofErr w:type="spellStart"/>
      <w:r w:rsidRPr="0075503A">
        <w:rPr>
          <w:sz w:val="22"/>
          <w:szCs w:val="22"/>
        </w:rPr>
        <w:t>poređenju</w:t>
      </w:r>
      <w:proofErr w:type="spellEnd"/>
      <w:r w:rsidRPr="0075503A">
        <w:rPr>
          <w:sz w:val="22"/>
          <w:szCs w:val="22"/>
        </w:rPr>
        <w:t xml:space="preserve"> </w:t>
      </w:r>
      <w:proofErr w:type="spellStart"/>
      <w:r w:rsidRPr="0075503A">
        <w:rPr>
          <w:sz w:val="22"/>
          <w:szCs w:val="22"/>
        </w:rPr>
        <w:t>sa</w:t>
      </w:r>
      <w:proofErr w:type="spellEnd"/>
      <w:r w:rsidRPr="0075503A">
        <w:rPr>
          <w:sz w:val="22"/>
          <w:szCs w:val="22"/>
        </w:rPr>
        <w:t xml:space="preserve"> </w:t>
      </w:r>
      <w:proofErr w:type="spellStart"/>
      <w:r w:rsidRPr="0075503A">
        <w:rPr>
          <w:sz w:val="22"/>
          <w:szCs w:val="22"/>
        </w:rPr>
        <w:t>lijekom</w:t>
      </w:r>
      <w:proofErr w:type="spellEnd"/>
      <w:r w:rsidRPr="0075503A">
        <w:rPr>
          <w:sz w:val="22"/>
          <w:szCs w:val="22"/>
        </w:rPr>
        <w:t xml:space="preserve"> </w:t>
      </w:r>
      <w:proofErr w:type="spellStart"/>
      <w:r w:rsidRPr="0075503A">
        <w:rPr>
          <w:sz w:val="22"/>
          <w:szCs w:val="22"/>
        </w:rPr>
        <w:t>NovoRapid</w:t>
      </w:r>
      <w:proofErr w:type="spellEnd"/>
      <w:r w:rsidRPr="0075503A">
        <w:rPr>
          <w:sz w:val="22"/>
          <w:szCs w:val="22"/>
        </w:rPr>
        <w:t xml:space="preserve"> i </w:t>
      </w:r>
      <w:proofErr w:type="spellStart"/>
      <w:r w:rsidRPr="0075503A">
        <w:rPr>
          <w:sz w:val="22"/>
          <w:szCs w:val="22"/>
        </w:rPr>
        <w:t>iznosilo</w:t>
      </w:r>
      <w:proofErr w:type="spellEnd"/>
      <w:r w:rsidRPr="0075503A">
        <w:rPr>
          <w:sz w:val="22"/>
          <w:szCs w:val="22"/>
        </w:rPr>
        <w:t xml:space="preserve"> je 3-5 sati.</w:t>
      </w:r>
    </w:p>
    <w:p w14:paraId="75C89EC6" w14:textId="77777777" w:rsidR="00EE2F19" w:rsidRPr="0075503A" w:rsidRDefault="00EE2F19" w:rsidP="00EE2F19">
      <w:pPr>
        <w:tabs>
          <w:tab w:val="left" w:pos="284"/>
        </w:tabs>
        <w:jc w:val="both"/>
        <w:rPr>
          <w:sz w:val="22"/>
          <w:szCs w:val="22"/>
        </w:rPr>
      </w:pPr>
    </w:p>
    <w:p w14:paraId="2C7FFFB3" w14:textId="77777777" w:rsidR="00EE2F19" w:rsidRPr="0075503A" w:rsidRDefault="00EE2F19" w:rsidP="00EE2F19">
      <w:pPr>
        <w:tabs>
          <w:tab w:val="left" w:pos="284"/>
        </w:tabs>
        <w:jc w:val="both"/>
        <w:rPr>
          <w:sz w:val="22"/>
          <w:szCs w:val="22"/>
        </w:rPr>
      </w:pPr>
      <w:proofErr w:type="spellStart"/>
      <w:r w:rsidRPr="0075503A">
        <w:rPr>
          <w:sz w:val="22"/>
          <w:szCs w:val="22"/>
        </w:rPr>
        <w:t>Intraindividualna</w:t>
      </w:r>
      <w:proofErr w:type="spellEnd"/>
      <w:r w:rsidRPr="0075503A">
        <w:rPr>
          <w:sz w:val="22"/>
          <w:szCs w:val="22"/>
        </w:rPr>
        <w:t xml:space="preserve"> </w:t>
      </w:r>
      <w:proofErr w:type="spellStart"/>
      <w:r w:rsidRPr="0075503A">
        <w:rPr>
          <w:sz w:val="22"/>
          <w:szCs w:val="22"/>
        </w:rPr>
        <w:t>varijabilnost</w:t>
      </w:r>
      <w:proofErr w:type="spellEnd"/>
      <w:r w:rsidRPr="0075503A">
        <w:rPr>
          <w:sz w:val="22"/>
          <w:szCs w:val="22"/>
        </w:rPr>
        <w:t xml:space="preserve"> </w:t>
      </w:r>
      <w:proofErr w:type="spellStart"/>
      <w:r w:rsidRPr="0075503A">
        <w:rPr>
          <w:sz w:val="22"/>
          <w:szCs w:val="22"/>
        </w:rPr>
        <w:t>efekta</w:t>
      </w:r>
      <w:proofErr w:type="spellEnd"/>
      <w:r w:rsidRPr="0075503A">
        <w:rPr>
          <w:sz w:val="22"/>
          <w:szCs w:val="22"/>
        </w:rPr>
        <w:t xml:space="preserve"> </w:t>
      </w:r>
      <w:proofErr w:type="spellStart"/>
      <w:r w:rsidRPr="0075503A">
        <w:rPr>
          <w:sz w:val="22"/>
          <w:szCs w:val="22"/>
        </w:rPr>
        <w:t>snižavanja</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dan za </w:t>
      </w:r>
      <w:proofErr w:type="spellStart"/>
      <w:r w:rsidRPr="0075503A">
        <w:rPr>
          <w:sz w:val="22"/>
          <w:szCs w:val="22"/>
        </w:rPr>
        <w:t>danom</w:t>
      </w:r>
      <w:proofErr w:type="spellEnd"/>
      <w:r w:rsidRPr="0075503A">
        <w:rPr>
          <w:sz w:val="22"/>
          <w:szCs w:val="22"/>
        </w:rPr>
        <w:t xml:space="preserve"> </w:t>
      </w:r>
      <w:proofErr w:type="spellStart"/>
      <w:r w:rsidRPr="0075503A">
        <w:rPr>
          <w:sz w:val="22"/>
          <w:szCs w:val="22"/>
        </w:rPr>
        <w:t>bila</w:t>
      </w:r>
      <w:proofErr w:type="spellEnd"/>
      <w:r w:rsidRPr="0075503A">
        <w:rPr>
          <w:sz w:val="22"/>
          <w:szCs w:val="22"/>
        </w:rPr>
        <w:t xml:space="preserve"> je </w:t>
      </w:r>
      <w:proofErr w:type="spellStart"/>
      <w:r w:rsidRPr="0075503A">
        <w:rPr>
          <w:sz w:val="22"/>
          <w:szCs w:val="22"/>
        </w:rPr>
        <w:t>kod</w:t>
      </w:r>
      <w:proofErr w:type="spellEnd"/>
      <w:r w:rsidRPr="0075503A">
        <w:rPr>
          <w:sz w:val="22"/>
          <w:szCs w:val="22"/>
        </w:rPr>
        <w:t xml:space="preserve"> </w:t>
      </w:r>
      <w:proofErr w:type="spellStart"/>
      <w:r w:rsidRPr="0075503A">
        <w:rPr>
          <w:sz w:val="22"/>
          <w:szCs w:val="22"/>
        </w:rPr>
        <w:t>pacijenata</w:t>
      </w:r>
      <w:proofErr w:type="spellEnd"/>
      <w:r w:rsidRPr="0075503A">
        <w:rPr>
          <w:sz w:val="22"/>
          <w:szCs w:val="22"/>
        </w:rPr>
        <w:t xml:space="preserve"> </w:t>
      </w:r>
      <w:proofErr w:type="spellStart"/>
      <w:r w:rsidRPr="0075503A">
        <w:rPr>
          <w:sz w:val="22"/>
          <w:szCs w:val="22"/>
        </w:rPr>
        <w:t>niska</w:t>
      </w:r>
      <w:proofErr w:type="spellEnd"/>
      <w:r w:rsidRPr="0075503A">
        <w:rPr>
          <w:sz w:val="22"/>
          <w:szCs w:val="22"/>
        </w:rPr>
        <w:t xml:space="preserve"> za </w:t>
      </w:r>
      <w:proofErr w:type="spellStart"/>
      <w:r w:rsidRPr="0075503A">
        <w:rPr>
          <w:sz w:val="22"/>
          <w:szCs w:val="22"/>
        </w:rPr>
        <w:t>lijek</w:t>
      </w:r>
      <w:proofErr w:type="spellEnd"/>
      <w:r w:rsidRPr="0075503A">
        <w:rPr>
          <w:sz w:val="22"/>
          <w:szCs w:val="22"/>
        </w:rPr>
        <w:t xml:space="preserve"> </w:t>
      </w:r>
      <w:proofErr w:type="spellStart"/>
      <w:r w:rsidRPr="0075503A">
        <w:rPr>
          <w:sz w:val="22"/>
          <w:szCs w:val="22"/>
        </w:rPr>
        <w:t>Fiasp</w:t>
      </w:r>
      <w:proofErr w:type="spellEnd"/>
      <w:r w:rsidRPr="0075503A">
        <w:rPr>
          <w:sz w:val="22"/>
          <w:szCs w:val="22"/>
        </w:rPr>
        <w:t xml:space="preserve"> </w:t>
      </w:r>
      <w:proofErr w:type="spellStart"/>
      <w:r w:rsidRPr="0075503A">
        <w:rPr>
          <w:sz w:val="22"/>
          <w:szCs w:val="22"/>
        </w:rPr>
        <w:t>kako</w:t>
      </w:r>
      <w:proofErr w:type="spellEnd"/>
      <w:r w:rsidRPr="0075503A">
        <w:rPr>
          <w:sz w:val="22"/>
          <w:szCs w:val="22"/>
        </w:rPr>
        <w:t xml:space="preserve"> za rani (PIK</w:t>
      </w:r>
      <w:r w:rsidRPr="0075503A">
        <w:rPr>
          <w:sz w:val="22"/>
          <w:szCs w:val="22"/>
          <w:vertAlign w:val="subscript"/>
        </w:rPr>
        <w:t>GIR, 0-1h</w:t>
      </w:r>
      <w:r w:rsidRPr="0075503A">
        <w:rPr>
          <w:sz w:val="22"/>
          <w:szCs w:val="22"/>
        </w:rPr>
        <w:t xml:space="preserve">, CV~26%), </w:t>
      </w:r>
      <w:proofErr w:type="spellStart"/>
      <w:r w:rsidRPr="0075503A">
        <w:rPr>
          <w:sz w:val="22"/>
          <w:szCs w:val="22"/>
        </w:rPr>
        <w:t>tako</w:t>
      </w:r>
      <w:proofErr w:type="spellEnd"/>
      <w:r w:rsidRPr="0075503A">
        <w:rPr>
          <w:sz w:val="22"/>
          <w:szCs w:val="22"/>
        </w:rPr>
        <w:t xml:space="preserve"> i za </w:t>
      </w:r>
      <w:proofErr w:type="spellStart"/>
      <w:r w:rsidRPr="0075503A">
        <w:rPr>
          <w:sz w:val="22"/>
          <w:szCs w:val="22"/>
        </w:rPr>
        <w:t>ukupni</w:t>
      </w:r>
      <w:proofErr w:type="spellEnd"/>
      <w:r w:rsidRPr="0075503A">
        <w:rPr>
          <w:sz w:val="22"/>
          <w:szCs w:val="22"/>
        </w:rPr>
        <w:t xml:space="preserve"> (PIK</w:t>
      </w:r>
      <w:r w:rsidRPr="0075503A">
        <w:rPr>
          <w:sz w:val="22"/>
          <w:szCs w:val="22"/>
          <w:vertAlign w:val="subscript"/>
        </w:rPr>
        <w:t>GIR, 0-12h</w:t>
      </w:r>
      <w:r w:rsidRPr="0075503A">
        <w:rPr>
          <w:sz w:val="22"/>
          <w:szCs w:val="22"/>
        </w:rPr>
        <w:t xml:space="preserve">, CV~18%) i za </w:t>
      </w:r>
      <w:proofErr w:type="spellStart"/>
      <w:r w:rsidRPr="0075503A">
        <w:rPr>
          <w:sz w:val="22"/>
          <w:szCs w:val="22"/>
        </w:rPr>
        <w:t>maksimalni</w:t>
      </w:r>
      <w:proofErr w:type="spellEnd"/>
      <w:r w:rsidRPr="0075503A">
        <w:rPr>
          <w:sz w:val="22"/>
          <w:szCs w:val="22"/>
        </w:rPr>
        <w:t xml:space="preserve"> </w:t>
      </w:r>
      <w:proofErr w:type="spellStart"/>
      <w:r w:rsidRPr="0075503A">
        <w:rPr>
          <w:sz w:val="22"/>
          <w:szCs w:val="22"/>
        </w:rPr>
        <w:t>efekat</w:t>
      </w:r>
      <w:proofErr w:type="spellEnd"/>
      <w:r w:rsidRPr="0075503A">
        <w:rPr>
          <w:sz w:val="22"/>
          <w:szCs w:val="22"/>
        </w:rPr>
        <w:t xml:space="preserve"> </w:t>
      </w:r>
      <w:proofErr w:type="spellStart"/>
      <w:r w:rsidRPr="0075503A">
        <w:rPr>
          <w:sz w:val="22"/>
          <w:szCs w:val="22"/>
        </w:rPr>
        <w:t>snižavanja</w:t>
      </w:r>
      <w:proofErr w:type="spellEnd"/>
      <w:r w:rsidRPr="0075503A">
        <w:rPr>
          <w:sz w:val="22"/>
          <w:szCs w:val="22"/>
        </w:rPr>
        <w:t xml:space="preserve"> </w:t>
      </w:r>
      <w:proofErr w:type="spellStart"/>
      <w:r w:rsidRPr="0075503A">
        <w:rPr>
          <w:sz w:val="22"/>
          <w:szCs w:val="22"/>
        </w:rPr>
        <w:t>glukoze</w:t>
      </w:r>
      <w:proofErr w:type="spellEnd"/>
      <w:r w:rsidRPr="0075503A">
        <w:rPr>
          <w:sz w:val="22"/>
          <w:szCs w:val="22"/>
        </w:rPr>
        <w:t xml:space="preserve"> (</w:t>
      </w:r>
      <w:proofErr w:type="spellStart"/>
      <w:r w:rsidRPr="0075503A">
        <w:rPr>
          <w:sz w:val="22"/>
          <w:szCs w:val="22"/>
        </w:rPr>
        <w:t>GIR</w:t>
      </w:r>
      <w:r w:rsidRPr="0075503A">
        <w:rPr>
          <w:sz w:val="22"/>
          <w:szCs w:val="22"/>
          <w:vertAlign w:val="subscript"/>
        </w:rPr>
        <w:t>max</w:t>
      </w:r>
      <w:proofErr w:type="spellEnd"/>
      <w:r w:rsidRPr="0075503A">
        <w:rPr>
          <w:sz w:val="22"/>
          <w:szCs w:val="22"/>
        </w:rPr>
        <w:t>, CV~19%).</w:t>
      </w:r>
    </w:p>
    <w:p w14:paraId="458153EA" w14:textId="77777777" w:rsidR="00EE2F19" w:rsidRPr="0075503A" w:rsidRDefault="00EE2F19" w:rsidP="00EE2F19">
      <w:pPr>
        <w:tabs>
          <w:tab w:val="left" w:pos="284"/>
        </w:tabs>
        <w:jc w:val="both"/>
        <w:rPr>
          <w:sz w:val="22"/>
          <w:szCs w:val="22"/>
        </w:rPr>
      </w:pPr>
    </w:p>
    <w:p w14:paraId="0D7D0257" w14:textId="77777777" w:rsidR="00EE2F19" w:rsidRPr="001D23DB" w:rsidRDefault="00EE2F19" w:rsidP="00EE2F19">
      <w:pPr>
        <w:tabs>
          <w:tab w:val="left" w:pos="284"/>
        </w:tabs>
        <w:jc w:val="both"/>
        <w:rPr>
          <w:sz w:val="22"/>
          <w:szCs w:val="22"/>
          <w:u w:val="single"/>
        </w:rPr>
      </w:pPr>
      <w:proofErr w:type="spellStart"/>
      <w:r w:rsidRPr="001D23DB">
        <w:rPr>
          <w:sz w:val="22"/>
          <w:szCs w:val="22"/>
          <w:u w:val="single"/>
        </w:rPr>
        <w:t>Klinička</w:t>
      </w:r>
      <w:proofErr w:type="spellEnd"/>
      <w:r w:rsidRPr="001D23DB">
        <w:rPr>
          <w:sz w:val="22"/>
          <w:szCs w:val="22"/>
          <w:u w:val="single"/>
        </w:rPr>
        <w:t xml:space="preserve"> </w:t>
      </w:r>
      <w:proofErr w:type="spellStart"/>
      <w:r w:rsidRPr="001D23DB">
        <w:rPr>
          <w:sz w:val="22"/>
          <w:szCs w:val="22"/>
          <w:u w:val="single"/>
        </w:rPr>
        <w:t>efikasnost</w:t>
      </w:r>
      <w:proofErr w:type="spellEnd"/>
      <w:r w:rsidRPr="001D23DB">
        <w:rPr>
          <w:sz w:val="22"/>
          <w:szCs w:val="22"/>
          <w:u w:val="single"/>
        </w:rPr>
        <w:t xml:space="preserve"> i </w:t>
      </w:r>
      <w:proofErr w:type="spellStart"/>
      <w:r w:rsidRPr="001D23DB">
        <w:rPr>
          <w:sz w:val="22"/>
          <w:szCs w:val="22"/>
          <w:u w:val="single"/>
        </w:rPr>
        <w:t>bezbjednost</w:t>
      </w:r>
      <w:proofErr w:type="spellEnd"/>
    </w:p>
    <w:p w14:paraId="0FCF7E47" w14:textId="77777777" w:rsidR="00EE2F19" w:rsidRPr="001D23DB" w:rsidRDefault="00EE2F19" w:rsidP="00EE2F19">
      <w:pPr>
        <w:tabs>
          <w:tab w:val="left" w:pos="284"/>
        </w:tabs>
        <w:jc w:val="both"/>
        <w:rPr>
          <w:sz w:val="22"/>
          <w:szCs w:val="22"/>
          <w:u w:val="single"/>
        </w:rPr>
      </w:pPr>
    </w:p>
    <w:p w14:paraId="262C25E3" w14:textId="77777777" w:rsidR="00EE2F19" w:rsidRPr="001D23DB" w:rsidRDefault="00EE2F19" w:rsidP="00EE2F19">
      <w:pPr>
        <w:tabs>
          <w:tab w:val="left" w:pos="284"/>
        </w:tabs>
        <w:jc w:val="both"/>
        <w:rPr>
          <w:sz w:val="22"/>
          <w:szCs w:val="22"/>
        </w:rPr>
      </w:pPr>
      <w:r w:rsidRPr="001D23DB">
        <w:rPr>
          <w:sz w:val="22"/>
          <w:szCs w:val="22"/>
        </w:rPr>
        <w:t xml:space="preserve">Lijek </w:t>
      </w:r>
      <w:proofErr w:type="spellStart"/>
      <w:r w:rsidRPr="001D23DB">
        <w:rPr>
          <w:sz w:val="22"/>
          <w:szCs w:val="22"/>
        </w:rPr>
        <w:t>Fiasp</w:t>
      </w:r>
      <w:proofErr w:type="spellEnd"/>
      <w:r w:rsidRPr="001D23DB">
        <w:rPr>
          <w:sz w:val="22"/>
          <w:szCs w:val="22"/>
        </w:rPr>
        <w:t xml:space="preserve"> je </w:t>
      </w:r>
      <w:proofErr w:type="spellStart"/>
      <w:r w:rsidRPr="001D23DB">
        <w:rPr>
          <w:sz w:val="22"/>
          <w:szCs w:val="22"/>
        </w:rPr>
        <w:t>ispitivan</w:t>
      </w:r>
      <w:proofErr w:type="spellEnd"/>
      <w:r w:rsidRPr="001D23DB">
        <w:rPr>
          <w:sz w:val="22"/>
          <w:szCs w:val="22"/>
        </w:rPr>
        <w:t xml:space="preserve"> </w:t>
      </w:r>
      <w:proofErr w:type="spellStart"/>
      <w:r w:rsidRPr="001D23DB">
        <w:rPr>
          <w:sz w:val="22"/>
          <w:szCs w:val="22"/>
        </w:rPr>
        <w:t>kod</w:t>
      </w:r>
      <w:proofErr w:type="spellEnd"/>
      <w:r w:rsidRPr="001D23DB">
        <w:rPr>
          <w:sz w:val="22"/>
          <w:szCs w:val="22"/>
        </w:rPr>
        <w:t xml:space="preserve"> 2068 </w:t>
      </w:r>
      <w:proofErr w:type="spellStart"/>
      <w:r w:rsidRPr="001D23DB">
        <w:rPr>
          <w:sz w:val="22"/>
          <w:szCs w:val="22"/>
        </w:rPr>
        <w:t>odraslih</w:t>
      </w:r>
      <w:proofErr w:type="spellEnd"/>
      <w:r w:rsidRPr="001D23DB">
        <w:rPr>
          <w:sz w:val="22"/>
          <w:szCs w:val="22"/>
        </w:rPr>
        <w:t xml:space="preserve"> </w:t>
      </w:r>
      <w:proofErr w:type="spellStart"/>
      <w:r w:rsidRPr="001D23DB">
        <w:rPr>
          <w:sz w:val="22"/>
          <w:szCs w:val="22"/>
        </w:rPr>
        <w:t>pacijenata</w:t>
      </w:r>
      <w:proofErr w:type="spellEnd"/>
      <w:r w:rsidRPr="001D23DB">
        <w:rPr>
          <w:sz w:val="22"/>
          <w:szCs w:val="22"/>
        </w:rPr>
        <w:t xml:space="preserve"> </w:t>
      </w:r>
      <w:proofErr w:type="spellStart"/>
      <w:r w:rsidRPr="001D23DB">
        <w:rPr>
          <w:sz w:val="22"/>
          <w:szCs w:val="22"/>
        </w:rPr>
        <w:t>sa</w:t>
      </w:r>
      <w:proofErr w:type="spellEnd"/>
      <w:r w:rsidRPr="001D23DB">
        <w:rPr>
          <w:sz w:val="22"/>
          <w:szCs w:val="22"/>
        </w:rPr>
        <w:t xml:space="preserve"> </w:t>
      </w:r>
      <w:proofErr w:type="spellStart"/>
      <w:r w:rsidRPr="001D23DB">
        <w:rPr>
          <w:sz w:val="22"/>
          <w:szCs w:val="22"/>
        </w:rPr>
        <w:t>dijabetes</w:t>
      </w:r>
      <w:r w:rsidR="004B59CB" w:rsidRPr="001D23DB">
        <w:rPr>
          <w:sz w:val="22"/>
          <w:szCs w:val="22"/>
        </w:rPr>
        <w:t>om</w:t>
      </w:r>
      <w:proofErr w:type="spellEnd"/>
      <w:r w:rsidRPr="001D23DB">
        <w:rPr>
          <w:sz w:val="22"/>
          <w:szCs w:val="22"/>
        </w:rPr>
        <w:t xml:space="preserve"> </w:t>
      </w:r>
      <w:proofErr w:type="spellStart"/>
      <w:r w:rsidRPr="001D23DB">
        <w:rPr>
          <w:sz w:val="22"/>
          <w:szCs w:val="22"/>
        </w:rPr>
        <w:t>tip</w:t>
      </w:r>
      <w:r w:rsidR="00312E0D" w:rsidRPr="001D23DB">
        <w:rPr>
          <w:sz w:val="22"/>
          <w:szCs w:val="22"/>
        </w:rPr>
        <w:t>a</w:t>
      </w:r>
      <w:proofErr w:type="spellEnd"/>
      <w:r w:rsidRPr="001D23DB">
        <w:rPr>
          <w:sz w:val="22"/>
          <w:szCs w:val="22"/>
        </w:rPr>
        <w:t xml:space="preserve"> 1 (1143 </w:t>
      </w:r>
      <w:proofErr w:type="spellStart"/>
      <w:r w:rsidRPr="001D23DB">
        <w:rPr>
          <w:sz w:val="22"/>
          <w:szCs w:val="22"/>
        </w:rPr>
        <w:t>pacijenta</w:t>
      </w:r>
      <w:proofErr w:type="spellEnd"/>
      <w:r w:rsidRPr="001D23DB">
        <w:rPr>
          <w:sz w:val="22"/>
          <w:szCs w:val="22"/>
        </w:rPr>
        <w:t xml:space="preserve">) i </w:t>
      </w:r>
      <w:proofErr w:type="spellStart"/>
      <w:r w:rsidRPr="001D23DB">
        <w:rPr>
          <w:sz w:val="22"/>
          <w:szCs w:val="22"/>
        </w:rPr>
        <w:t>dijabetes</w:t>
      </w:r>
      <w:r w:rsidR="004B59CB" w:rsidRPr="001D23DB">
        <w:rPr>
          <w:sz w:val="22"/>
          <w:szCs w:val="22"/>
        </w:rPr>
        <w:t>om</w:t>
      </w:r>
      <w:proofErr w:type="spellEnd"/>
      <w:r w:rsidRPr="001D23DB">
        <w:rPr>
          <w:sz w:val="22"/>
          <w:szCs w:val="22"/>
        </w:rPr>
        <w:t xml:space="preserve"> </w:t>
      </w:r>
      <w:proofErr w:type="spellStart"/>
      <w:r w:rsidRPr="001D23DB">
        <w:rPr>
          <w:sz w:val="22"/>
          <w:szCs w:val="22"/>
        </w:rPr>
        <w:t>tip</w:t>
      </w:r>
      <w:r w:rsidR="00312E0D" w:rsidRPr="001D23DB">
        <w:rPr>
          <w:sz w:val="22"/>
          <w:szCs w:val="22"/>
        </w:rPr>
        <w:t>a</w:t>
      </w:r>
      <w:proofErr w:type="spellEnd"/>
      <w:r w:rsidRPr="001D23DB">
        <w:rPr>
          <w:sz w:val="22"/>
          <w:szCs w:val="22"/>
        </w:rPr>
        <w:t xml:space="preserve"> 2 (925 </w:t>
      </w:r>
      <w:proofErr w:type="spellStart"/>
      <w:r w:rsidRPr="001D23DB">
        <w:rPr>
          <w:sz w:val="22"/>
          <w:szCs w:val="22"/>
        </w:rPr>
        <w:t>pacijenata</w:t>
      </w:r>
      <w:proofErr w:type="spellEnd"/>
      <w:r w:rsidRPr="001D23DB">
        <w:rPr>
          <w:sz w:val="22"/>
          <w:szCs w:val="22"/>
        </w:rPr>
        <w:t>) u 3</w:t>
      </w:r>
      <w:r w:rsidR="009E4B69" w:rsidRPr="001D23DB">
        <w:rPr>
          <w:sz w:val="22"/>
          <w:szCs w:val="22"/>
        </w:rPr>
        <w:t xml:space="preserve"> </w:t>
      </w:r>
      <w:proofErr w:type="spellStart"/>
      <w:r w:rsidR="009E4B69" w:rsidRPr="001D23DB">
        <w:rPr>
          <w:sz w:val="22"/>
          <w:szCs w:val="22"/>
        </w:rPr>
        <w:t>randomizovana</w:t>
      </w:r>
      <w:proofErr w:type="spellEnd"/>
      <w:r w:rsidRPr="001D23DB">
        <w:rPr>
          <w:sz w:val="22"/>
          <w:szCs w:val="22"/>
        </w:rPr>
        <w:t xml:space="preserve"> </w:t>
      </w:r>
      <w:proofErr w:type="spellStart"/>
      <w:r w:rsidRPr="001D23DB">
        <w:rPr>
          <w:sz w:val="22"/>
          <w:szCs w:val="22"/>
        </w:rPr>
        <w:t>ispitivanja</w:t>
      </w:r>
      <w:proofErr w:type="spellEnd"/>
      <w:r w:rsidRPr="001D23DB">
        <w:rPr>
          <w:sz w:val="22"/>
          <w:szCs w:val="22"/>
        </w:rPr>
        <w:t xml:space="preserve"> </w:t>
      </w:r>
      <w:proofErr w:type="spellStart"/>
      <w:r w:rsidRPr="001D23DB">
        <w:rPr>
          <w:sz w:val="22"/>
          <w:szCs w:val="22"/>
        </w:rPr>
        <w:t>efikasnosti</w:t>
      </w:r>
      <w:proofErr w:type="spellEnd"/>
      <w:r w:rsidRPr="001D23DB">
        <w:rPr>
          <w:sz w:val="22"/>
          <w:szCs w:val="22"/>
        </w:rPr>
        <w:t xml:space="preserve"> i </w:t>
      </w:r>
      <w:proofErr w:type="spellStart"/>
      <w:r w:rsidRPr="001D23DB">
        <w:rPr>
          <w:sz w:val="22"/>
          <w:szCs w:val="22"/>
        </w:rPr>
        <w:t>bezbjednosti</w:t>
      </w:r>
      <w:proofErr w:type="spellEnd"/>
      <w:r w:rsidRPr="001D23DB">
        <w:rPr>
          <w:sz w:val="22"/>
          <w:szCs w:val="22"/>
        </w:rPr>
        <w:t xml:space="preserve"> (</w:t>
      </w:r>
      <w:proofErr w:type="spellStart"/>
      <w:r w:rsidRPr="001D23DB">
        <w:rPr>
          <w:sz w:val="22"/>
          <w:szCs w:val="22"/>
        </w:rPr>
        <w:t>tokom</w:t>
      </w:r>
      <w:proofErr w:type="spellEnd"/>
      <w:r w:rsidRPr="001D23DB">
        <w:rPr>
          <w:sz w:val="22"/>
          <w:szCs w:val="22"/>
        </w:rPr>
        <w:t xml:space="preserve"> 18–26 </w:t>
      </w:r>
      <w:proofErr w:type="spellStart"/>
      <w:r w:rsidRPr="001D23DB">
        <w:rPr>
          <w:sz w:val="22"/>
          <w:szCs w:val="22"/>
        </w:rPr>
        <w:t>nedjelja</w:t>
      </w:r>
      <w:proofErr w:type="spellEnd"/>
      <w:r w:rsidRPr="001D23DB">
        <w:rPr>
          <w:sz w:val="22"/>
          <w:szCs w:val="22"/>
        </w:rPr>
        <w:t xml:space="preserve"> </w:t>
      </w:r>
      <w:proofErr w:type="spellStart"/>
      <w:r w:rsidRPr="001D23DB">
        <w:rPr>
          <w:sz w:val="22"/>
          <w:szCs w:val="22"/>
        </w:rPr>
        <w:t>liječenja</w:t>
      </w:r>
      <w:proofErr w:type="spellEnd"/>
      <w:r w:rsidRPr="001D23DB">
        <w:rPr>
          <w:sz w:val="22"/>
          <w:szCs w:val="22"/>
        </w:rPr>
        <w:t>).</w:t>
      </w:r>
      <w:r w:rsidR="004B59CB" w:rsidRPr="001D23DB">
        <w:rPr>
          <w:sz w:val="22"/>
          <w:szCs w:val="22"/>
        </w:rPr>
        <w:t xml:space="preserve"> Osim toga, </w:t>
      </w:r>
      <w:proofErr w:type="spellStart"/>
      <w:r w:rsidR="00A235ED" w:rsidRPr="001D23DB">
        <w:rPr>
          <w:sz w:val="22"/>
          <w:szCs w:val="22"/>
        </w:rPr>
        <w:t>lijek</w:t>
      </w:r>
      <w:proofErr w:type="spellEnd"/>
      <w:r w:rsidR="00A235ED" w:rsidRPr="001D23DB">
        <w:rPr>
          <w:sz w:val="22"/>
          <w:szCs w:val="22"/>
        </w:rPr>
        <w:t xml:space="preserve"> </w:t>
      </w:r>
      <w:proofErr w:type="spellStart"/>
      <w:r w:rsidR="004B59CB" w:rsidRPr="001D23DB">
        <w:rPr>
          <w:sz w:val="22"/>
          <w:szCs w:val="22"/>
        </w:rPr>
        <w:t>Fiasp</w:t>
      </w:r>
      <w:proofErr w:type="spellEnd"/>
      <w:r w:rsidR="004B59CB" w:rsidRPr="001D23DB">
        <w:rPr>
          <w:sz w:val="22"/>
          <w:szCs w:val="22"/>
        </w:rPr>
        <w:t xml:space="preserve"> </w:t>
      </w:r>
      <w:r w:rsidR="00EB20F5" w:rsidRPr="001D23DB">
        <w:rPr>
          <w:sz w:val="22"/>
          <w:szCs w:val="22"/>
        </w:rPr>
        <w:t>j</w:t>
      </w:r>
      <w:r w:rsidR="004B59CB" w:rsidRPr="001D23DB">
        <w:rPr>
          <w:sz w:val="22"/>
          <w:szCs w:val="22"/>
        </w:rPr>
        <w:t xml:space="preserve">e </w:t>
      </w:r>
      <w:proofErr w:type="spellStart"/>
      <w:r w:rsidR="004B59CB" w:rsidRPr="001D23DB">
        <w:rPr>
          <w:sz w:val="22"/>
          <w:szCs w:val="22"/>
        </w:rPr>
        <w:t>ispitiva</w:t>
      </w:r>
      <w:r w:rsidR="00EB20F5" w:rsidRPr="001D23DB">
        <w:rPr>
          <w:sz w:val="22"/>
          <w:szCs w:val="22"/>
        </w:rPr>
        <w:t>n</w:t>
      </w:r>
      <w:proofErr w:type="spellEnd"/>
      <w:r w:rsidR="004B59CB" w:rsidRPr="001D23DB">
        <w:rPr>
          <w:sz w:val="22"/>
          <w:szCs w:val="22"/>
        </w:rPr>
        <w:t xml:space="preserve"> </w:t>
      </w:r>
      <w:proofErr w:type="spellStart"/>
      <w:r w:rsidR="00EB20F5" w:rsidRPr="001D23DB">
        <w:rPr>
          <w:sz w:val="22"/>
          <w:szCs w:val="22"/>
        </w:rPr>
        <w:t>kod</w:t>
      </w:r>
      <w:proofErr w:type="spellEnd"/>
      <w:r w:rsidR="004B59CB" w:rsidRPr="001D23DB">
        <w:rPr>
          <w:sz w:val="22"/>
          <w:szCs w:val="22"/>
        </w:rPr>
        <w:t xml:space="preserve"> 777 </w:t>
      </w:r>
      <w:proofErr w:type="spellStart"/>
      <w:r w:rsidR="004B59CB" w:rsidRPr="001D23DB">
        <w:rPr>
          <w:sz w:val="22"/>
          <w:szCs w:val="22"/>
        </w:rPr>
        <w:t>pedijatrijskih</w:t>
      </w:r>
      <w:proofErr w:type="spellEnd"/>
      <w:r w:rsidR="004B59CB" w:rsidRPr="001D23DB">
        <w:rPr>
          <w:sz w:val="22"/>
          <w:szCs w:val="22"/>
        </w:rPr>
        <w:t xml:space="preserve"> </w:t>
      </w:r>
      <w:proofErr w:type="spellStart"/>
      <w:r w:rsidR="004B59CB" w:rsidRPr="001D23DB">
        <w:rPr>
          <w:sz w:val="22"/>
          <w:szCs w:val="22"/>
        </w:rPr>
        <w:t>ispitanika</w:t>
      </w:r>
      <w:proofErr w:type="spellEnd"/>
      <w:r w:rsidR="004B59CB" w:rsidRPr="001D23DB">
        <w:rPr>
          <w:sz w:val="22"/>
          <w:szCs w:val="22"/>
        </w:rPr>
        <w:t xml:space="preserve"> </w:t>
      </w:r>
      <w:proofErr w:type="spellStart"/>
      <w:r w:rsidR="004B59CB" w:rsidRPr="001D23DB">
        <w:rPr>
          <w:sz w:val="22"/>
          <w:szCs w:val="22"/>
        </w:rPr>
        <w:t>sa</w:t>
      </w:r>
      <w:proofErr w:type="spellEnd"/>
      <w:r w:rsidR="004B59CB" w:rsidRPr="001D23DB">
        <w:rPr>
          <w:sz w:val="22"/>
          <w:szCs w:val="22"/>
        </w:rPr>
        <w:t xml:space="preserve"> </w:t>
      </w:r>
      <w:proofErr w:type="spellStart"/>
      <w:r w:rsidR="007B2FED" w:rsidRPr="001D23DB">
        <w:rPr>
          <w:sz w:val="22"/>
          <w:szCs w:val="22"/>
        </w:rPr>
        <w:t>dijabetesom</w:t>
      </w:r>
      <w:proofErr w:type="spellEnd"/>
      <w:r w:rsidR="004B59CB" w:rsidRPr="001D23DB">
        <w:rPr>
          <w:sz w:val="22"/>
          <w:szCs w:val="22"/>
        </w:rPr>
        <w:t xml:space="preserve"> </w:t>
      </w:r>
      <w:proofErr w:type="spellStart"/>
      <w:r w:rsidR="004B59CB" w:rsidRPr="001D23DB">
        <w:rPr>
          <w:sz w:val="22"/>
          <w:szCs w:val="22"/>
        </w:rPr>
        <w:t>tipa</w:t>
      </w:r>
      <w:proofErr w:type="spellEnd"/>
      <w:r w:rsidR="004B59CB" w:rsidRPr="001D23DB">
        <w:rPr>
          <w:sz w:val="22"/>
          <w:szCs w:val="22"/>
        </w:rPr>
        <w:t xml:space="preserve"> 1 u </w:t>
      </w:r>
      <w:proofErr w:type="spellStart"/>
      <w:r w:rsidR="004B59CB" w:rsidRPr="001D23DB">
        <w:rPr>
          <w:sz w:val="22"/>
          <w:szCs w:val="22"/>
        </w:rPr>
        <w:t>randomiz</w:t>
      </w:r>
      <w:r w:rsidR="007B2FED" w:rsidRPr="001D23DB">
        <w:rPr>
          <w:sz w:val="22"/>
          <w:szCs w:val="22"/>
        </w:rPr>
        <w:t>ov</w:t>
      </w:r>
      <w:r w:rsidR="004B59CB" w:rsidRPr="001D23DB">
        <w:rPr>
          <w:sz w:val="22"/>
          <w:szCs w:val="22"/>
        </w:rPr>
        <w:t>anom</w:t>
      </w:r>
      <w:proofErr w:type="spellEnd"/>
      <w:r w:rsidR="004B59CB" w:rsidRPr="001D23DB">
        <w:rPr>
          <w:sz w:val="22"/>
          <w:szCs w:val="22"/>
        </w:rPr>
        <w:t xml:space="preserve"> </w:t>
      </w:r>
      <w:proofErr w:type="spellStart"/>
      <w:r w:rsidR="004B59CB" w:rsidRPr="001D23DB">
        <w:rPr>
          <w:sz w:val="22"/>
          <w:szCs w:val="22"/>
        </w:rPr>
        <w:t>ispitivanju</w:t>
      </w:r>
      <w:proofErr w:type="spellEnd"/>
      <w:r w:rsidR="004B59CB" w:rsidRPr="001D23DB">
        <w:rPr>
          <w:sz w:val="22"/>
          <w:szCs w:val="22"/>
        </w:rPr>
        <w:t xml:space="preserve"> </w:t>
      </w:r>
      <w:proofErr w:type="spellStart"/>
      <w:r w:rsidR="007B2FED" w:rsidRPr="001D23DB">
        <w:rPr>
          <w:sz w:val="22"/>
          <w:szCs w:val="22"/>
        </w:rPr>
        <w:t>efikasnosti</w:t>
      </w:r>
      <w:proofErr w:type="spellEnd"/>
      <w:r w:rsidR="004B59CB" w:rsidRPr="001D23DB">
        <w:rPr>
          <w:sz w:val="22"/>
          <w:szCs w:val="22"/>
        </w:rPr>
        <w:t xml:space="preserve"> i </w:t>
      </w:r>
      <w:proofErr w:type="spellStart"/>
      <w:r w:rsidR="007B2FED" w:rsidRPr="001D23DB">
        <w:rPr>
          <w:sz w:val="22"/>
          <w:szCs w:val="22"/>
        </w:rPr>
        <w:t>bezbjednosti</w:t>
      </w:r>
      <w:proofErr w:type="spellEnd"/>
      <w:r w:rsidR="004B59CB" w:rsidRPr="001D23DB">
        <w:rPr>
          <w:sz w:val="22"/>
          <w:szCs w:val="22"/>
        </w:rPr>
        <w:t xml:space="preserve"> (</w:t>
      </w:r>
      <w:proofErr w:type="spellStart"/>
      <w:r w:rsidR="004B59CB" w:rsidRPr="001D23DB">
        <w:rPr>
          <w:sz w:val="22"/>
          <w:szCs w:val="22"/>
        </w:rPr>
        <w:t>t</w:t>
      </w:r>
      <w:r w:rsidR="007B2FED" w:rsidRPr="001D23DB">
        <w:rPr>
          <w:sz w:val="22"/>
          <w:szCs w:val="22"/>
        </w:rPr>
        <w:t>o</w:t>
      </w:r>
      <w:r w:rsidR="004B59CB" w:rsidRPr="001D23DB">
        <w:rPr>
          <w:sz w:val="22"/>
          <w:szCs w:val="22"/>
        </w:rPr>
        <w:t>kom</w:t>
      </w:r>
      <w:proofErr w:type="spellEnd"/>
      <w:r w:rsidR="004B59CB" w:rsidRPr="001D23DB">
        <w:rPr>
          <w:sz w:val="22"/>
          <w:szCs w:val="22"/>
        </w:rPr>
        <w:t xml:space="preserve"> 26 </w:t>
      </w:r>
      <w:proofErr w:type="spellStart"/>
      <w:r w:rsidR="007B2FED" w:rsidRPr="001D23DB">
        <w:rPr>
          <w:sz w:val="22"/>
          <w:szCs w:val="22"/>
        </w:rPr>
        <w:t>nedjelja</w:t>
      </w:r>
      <w:proofErr w:type="spellEnd"/>
      <w:r w:rsidR="004B59CB" w:rsidRPr="001D23DB">
        <w:rPr>
          <w:sz w:val="22"/>
          <w:szCs w:val="22"/>
        </w:rPr>
        <w:t xml:space="preserve"> </w:t>
      </w:r>
      <w:proofErr w:type="spellStart"/>
      <w:r w:rsidR="004B59CB" w:rsidRPr="001D23DB">
        <w:rPr>
          <w:sz w:val="22"/>
          <w:szCs w:val="22"/>
        </w:rPr>
        <w:t>liječenja</w:t>
      </w:r>
      <w:proofErr w:type="spellEnd"/>
      <w:r w:rsidR="004B59CB" w:rsidRPr="001D23DB">
        <w:rPr>
          <w:sz w:val="22"/>
          <w:szCs w:val="22"/>
        </w:rPr>
        <w:t xml:space="preserve">). U </w:t>
      </w:r>
      <w:proofErr w:type="spellStart"/>
      <w:r w:rsidR="004B59CB" w:rsidRPr="001D23DB">
        <w:rPr>
          <w:sz w:val="22"/>
          <w:szCs w:val="22"/>
        </w:rPr>
        <w:t>ispitivanj</w:t>
      </w:r>
      <w:r w:rsidR="007B2FED" w:rsidRPr="001D23DB">
        <w:rPr>
          <w:sz w:val="22"/>
          <w:szCs w:val="22"/>
        </w:rPr>
        <w:t>u</w:t>
      </w:r>
      <w:proofErr w:type="spellEnd"/>
      <w:r w:rsidR="004B59CB" w:rsidRPr="001D23DB">
        <w:rPr>
          <w:sz w:val="22"/>
          <w:szCs w:val="22"/>
        </w:rPr>
        <w:t xml:space="preserve"> </w:t>
      </w:r>
      <w:proofErr w:type="spellStart"/>
      <w:r w:rsidR="004B59CB" w:rsidRPr="001D23DB">
        <w:rPr>
          <w:sz w:val="22"/>
          <w:szCs w:val="22"/>
        </w:rPr>
        <w:t>nije</w:t>
      </w:r>
      <w:proofErr w:type="spellEnd"/>
      <w:r w:rsidR="004B59CB" w:rsidRPr="001D23DB">
        <w:rPr>
          <w:sz w:val="22"/>
          <w:szCs w:val="22"/>
        </w:rPr>
        <w:t xml:space="preserve"> </w:t>
      </w:r>
      <w:proofErr w:type="spellStart"/>
      <w:r w:rsidR="004B59CB" w:rsidRPr="001D23DB">
        <w:rPr>
          <w:sz w:val="22"/>
          <w:szCs w:val="22"/>
        </w:rPr>
        <w:t>bilo</w:t>
      </w:r>
      <w:proofErr w:type="spellEnd"/>
      <w:r w:rsidR="004B59CB" w:rsidRPr="001D23DB">
        <w:rPr>
          <w:sz w:val="22"/>
          <w:szCs w:val="22"/>
        </w:rPr>
        <w:t xml:space="preserve"> </w:t>
      </w:r>
      <w:proofErr w:type="spellStart"/>
      <w:r w:rsidR="004B59CB" w:rsidRPr="001D23DB">
        <w:rPr>
          <w:sz w:val="22"/>
          <w:szCs w:val="22"/>
        </w:rPr>
        <w:t>randomiz</w:t>
      </w:r>
      <w:r w:rsidR="007B2FED" w:rsidRPr="001D23DB">
        <w:rPr>
          <w:sz w:val="22"/>
          <w:szCs w:val="22"/>
        </w:rPr>
        <w:t>ov</w:t>
      </w:r>
      <w:r w:rsidR="004B59CB" w:rsidRPr="001D23DB">
        <w:rPr>
          <w:sz w:val="22"/>
          <w:szCs w:val="22"/>
        </w:rPr>
        <w:t>ano</w:t>
      </w:r>
      <w:proofErr w:type="spellEnd"/>
      <w:r w:rsidR="004B59CB" w:rsidRPr="001D23DB">
        <w:rPr>
          <w:sz w:val="22"/>
          <w:szCs w:val="22"/>
        </w:rPr>
        <w:t xml:space="preserve"> </w:t>
      </w:r>
      <w:proofErr w:type="spellStart"/>
      <w:r w:rsidR="004B59CB" w:rsidRPr="001D23DB">
        <w:rPr>
          <w:sz w:val="22"/>
          <w:szCs w:val="22"/>
        </w:rPr>
        <w:t>nijedno</w:t>
      </w:r>
      <w:proofErr w:type="spellEnd"/>
      <w:r w:rsidR="004B59CB" w:rsidRPr="001D23DB">
        <w:rPr>
          <w:sz w:val="22"/>
          <w:szCs w:val="22"/>
        </w:rPr>
        <w:t xml:space="preserve"> </w:t>
      </w:r>
      <w:proofErr w:type="spellStart"/>
      <w:r w:rsidR="004B59CB" w:rsidRPr="001D23DB">
        <w:rPr>
          <w:sz w:val="22"/>
          <w:szCs w:val="22"/>
        </w:rPr>
        <w:t>dijete</w:t>
      </w:r>
      <w:proofErr w:type="spellEnd"/>
      <w:r w:rsidR="004B59CB" w:rsidRPr="001D23DB">
        <w:rPr>
          <w:sz w:val="22"/>
          <w:szCs w:val="22"/>
        </w:rPr>
        <w:t xml:space="preserve"> </w:t>
      </w:r>
      <w:proofErr w:type="spellStart"/>
      <w:r w:rsidR="004B59CB" w:rsidRPr="001D23DB">
        <w:rPr>
          <w:sz w:val="22"/>
          <w:szCs w:val="22"/>
        </w:rPr>
        <w:t>mlađe</w:t>
      </w:r>
      <w:proofErr w:type="spellEnd"/>
      <w:r w:rsidR="004B59CB" w:rsidRPr="001D23DB">
        <w:rPr>
          <w:sz w:val="22"/>
          <w:szCs w:val="22"/>
        </w:rPr>
        <w:t xml:space="preserve"> od 2 </w:t>
      </w:r>
      <w:proofErr w:type="spellStart"/>
      <w:r w:rsidR="004B59CB" w:rsidRPr="001D23DB">
        <w:rPr>
          <w:sz w:val="22"/>
          <w:szCs w:val="22"/>
        </w:rPr>
        <w:t>godine</w:t>
      </w:r>
      <w:proofErr w:type="spellEnd"/>
      <w:r w:rsidR="004B59CB" w:rsidRPr="001D23DB">
        <w:rPr>
          <w:sz w:val="22"/>
          <w:szCs w:val="22"/>
        </w:rPr>
        <w:t>.</w:t>
      </w:r>
    </w:p>
    <w:p w14:paraId="06B642DF" w14:textId="77777777" w:rsidR="00EE2F19" w:rsidRPr="001D23DB" w:rsidRDefault="00EE2F19" w:rsidP="00EE2F19">
      <w:pPr>
        <w:tabs>
          <w:tab w:val="left" w:pos="284"/>
        </w:tabs>
        <w:jc w:val="both"/>
        <w:rPr>
          <w:sz w:val="22"/>
          <w:szCs w:val="22"/>
        </w:rPr>
      </w:pPr>
    </w:p>
    <w:p w14:paraId="19300A7B" w14:textId="77777777" w:rsidR="00EE2F19" w:rsidRPr="00732ABF" w:rsidRDefault="00EE2F19" w:rsidP="00EE2F19">
      <w:pPr>
        <w:tabs>
          <w:tab w:val="left" w:pos="284"/>
        </w:tabs>
        <w:jc w:val="both"/>
        <w:rPr>
          <w:i/>
          <w:sz w:val="22"/>
          <w:szCs w:val="22"/>
          <w:lang w:val="pt-BR"/>
        </w:rPr>
      </w:pPr>
      <w:proofErr w:type="spellStart"/>
      <w:r w:rsidRPr="00732ABF">
        <w:rPr>
          <w:i/>
          <w:sz w:val="22"/>
          <w:szCs w:val="22"/>
          <w:lang w:val="pt-BR"/>
        </w:rPr>
        <w:t>Pacijenti</w:t>
      </w:r>
      <w:proofErr w:type="spellEnd"/>
      <w:r w:rsidRPr="00732ABF">
        <w:rPr>
          <w:i/>
          <w:sz w:val="22"/>
          <w:szCs w:val="22"/>
          <w:lang w:val="pt-BR"/>
        </w:rPr>
        <w:t xml:space="preserve"> </w:t>
      </w:r>
      <w:proofErr w:type="spellStart"/>
      <w:r w:rsidRPr="00732ABF">
        <w:rPr>
          <w:i/>
          <w:sz w:val="22"/>
          <w:szCs w:val="22"/>
          <w:lang w:val="pt-BR"/>
        </w:rPr>
        <w:t>sa</w:t>
      </w:r>
      <w:proofErr w:type="spellEnd"/>
      <w:r w:rsidRPr="00732ABF">
        <w:rPr>
          <w:i/>
          <w:sz w:val="22"/>
          <w:szCs w:val="22"/>
          <w:lang w:val="pt-BR"/>
        </w:rPr>
        <w:t xml:space="preserve"> </w:t>
      </w:r>
      <w:proofErr w:type="spellStart"/>
      <w:r w:rsidRPr="00732ABF">
        <w:rPr>
          <w:i/>
          <w:sz w:val="22"/>
          <w:szCs w:val="22"/>
          <w:lang w:val="pt-BR"/>
        </w:rPr>
        <w:t>dijabetes</w:t>
      </w:r>
      <w:proofErr w:type="spellEnd"/>
      <w:r w:rsidRPr="00732ABF">
        <w:rPr>
          <w:i/>
          <w:sz w:val="22"/>
          <w:szCs w:val="22"/>
          <w:lang w:val="pt-BR"/>
        </w:rPr>
        <w:t xml:space="preserve"> </w:t>
      </w:r>
      <w:proofErr w:type="spellStart"/>
      <w:r w:rsidRPr="00732ABF">
        <w:rPr>
          <w:i/>
          <w:sz w:val="22"/>
          <w:szCs w:val="22"/>
          <w:lang w:val="pt-BR"/>
        </w:rPr>
        <w:t>melitusom</w:t>
      </w:r>
      <w:proofErr w:type="spellEnd"/>
      <w:r w:rsidRPr="00732ABF">
        <w:rPr>
          <w:i/>
          <w:sz w:val="22"/>
          <w:szCs w:val="22"/>
          <w:lang w:val="pt-BR"/>
        </w:rPr>
        <w:t xml:space="preserve"> tip</w:t>
      </w:r>
      <w:r w:rsidR="00312E0D">
        <w:rPr>
          <w:i/>
          <w:sz w:val="22"/>
          <w:szCs w:val="22"/>
          <w:lang w:val="pt-BR"/>
        </w:rPr>
        <w:t>a</w:t>
      </w:r>
      <w:r w:rsidRPr="00732ABF">
        <w:rPr>
          <w:i/>
          <w:sz w:val="22"/>
          <w:szCs w:val="22"/>
          <w:lang w:val="pt-BR"/>
        </w:rPr>
        <w:t xml:space="preserve"> 1</w:t>
      </w:r>
    </w:p>
    <w:p w14:paraId="630EBD44" w14:textId="77777777" w:rsidR="00EE2F19" w:rsidRPr="00732ABF" w:rsidRDefault="00EE2F19" w:rsidP="00EE2F19">
      <w:pPr>
        <w:tabs>
          <w:tab w:val="left" w:pos="284"/>
        </w:tabs>
        <w:jc w:val="both"/>
        <w:rPr>
          <w:sz w:val="22"/>
          <w:szCs w:val="22"/>
          <w:lang w:val="pt-BR"/>
        </w:rPr>
      </w:pPr>
      <w:proofErr w:type="spellStart"/>
      <w:r w:rsidRPr="00732ABF">
        <w:rPr>
          <w:sz w:val="22"/>
          <w:szCs w:val="22"/>
          <w:lang w:val="pt-BR"/>
        </w:rPr>
        <w:t>Efekat</w:t>
      </w:r>
      <w:proofErr w:type="spellEnd"/>
      <w:r w:rsidRPr="00732ABF">
        <w:rPr>
          <w:sz w:val="22"/>
          <w:szCs w:val="22"/>
          <w:lang w:val="pt-BR"/>
        </w:rPr>
        <w:t xml:space="preserve"> </w:t>
      </w:r>
      <w:proofErr w:type="spellStart"/>
      <w:r w:rsidRPr="00732ABF">
        <w:rPr>
          <w:sz w:val="22"/>
          <w:szCs w:val="22"/>
          <w:lang w:val="pt-BR"/>
        </w:rPr>
        <w:t>liječenja</w:t>
      </w:r>
      <w:proofErr w:type="spellEnd"/>
      <w:r w:rsidRPr="00732ABF">
        <w:rPr>
          <w:sz w:val="22"/>
          <w:szCs w:val="22"/>
          <w:lang w:val="pt-BR"/>
        </w:rPr>
        <w:t xml:space="preserve"> </w:t>
      </w:r>
      <w:proofErr w:type="spellStart"/>
      <w:r w:rsidRPr="00732ABF">
        <w:rPr>
          <w:sz w:val="22"/>
          <w:szCs w:val="22"/>
          <w:lang w:val="pt-BR"/>
        </w:rPr>
        <w:t>lijekom</w:t>
      </w:r>
      <w:proofErr w:type="spellEnd"/>
      <w:r w:rsidRPr="00732ABF">
        <w:rPr>
          <w:sz w:val="22"/>
          <w:szCs w:val="22"/>
          <w:lang w:val="pt-BR"/>
        </w:rPr>
        <w:t xml:space="preserve"> </w:t>
      </w:r>
      <w:proofErr w:type="spellStart"/>
      <w:r w:rsidRPr="00732ABF">
        <w:rPr>
          <w:sz w:val="22"/>
          <w:szCs w:val="22"/>
          <w:lang w:val="pt-BR"/>
        </w:rPr>
        <w:t>Fiasp</w:t>
      </w:r>
      <w:proofErr w:type="spellEnd"/>
      <w:r w:rsidRPr="00732ABF">
        <w:rPr>
          <w:sz w:val="22"/>
          <w:szCs w:val="22"/>
          <w:lang w:val="pt-BR"/>
        </w:rPr>
        <w:t xml:space="preserve"> u </w:t>
      </w:r>
      <w:proofErr w:type="spellStart"/>
      <w:r w:rsidRPr="00732ABF">
        <w:rPr>
          <w:sz w:val="22"/>
          <w:szCs w:val="22"/>
          <w:lang w:val="pt-BR"/>
        </w:rPr>
        <w:t>postizanju</w:t>
      </w:r>
      <w:proofErr w:type="spellEnd"/>
      <w:r w:rsidRPr="00732ABF">
        <w:rPr>
          <w:sz w:val="22"/>
          <w:szCs w:val="22"/>
          <w:lang w:val="pt-BR"/>
        </w:rPr>
        <w:t xml:space="preserve"> </w:t>
      </w:r>
      <w:proofErr w:type="spellStart"/>
      <w:r w:rsidRPr="00732ABF">
        <w:rPr>
          <w:sz w:val="22"/>
          <w:szCs w:val="22"/>
          <w:lang w:val="pt-BR"/>
        </w:rPr>
        <w:t>glikemijske</w:t>
      </w:r>
      <w:proofErr w:type="spellEnd"/>
      <w:r w:rsidRPr="00732ABF">
        <w:rPr>
          <w:sz w:val="22"/>
          <w:szCs w:val="22"/>
          <w:lang w:val="pt-BR"/>
        </w:rPr>
        <w:t xml:space="preserve"> </w:t>
      </w:r>
      <w:proofErr w:type="spellStart"/>
      <w:r w:rsidRPr="00732ABF">
        <w:rPr>
          <w:sz w:val="22"/>
          <w:szCs w:val="22"/>
          <w:lang w:val="pt-BR"/>
        </w:rPr>
        <w:t>kontrole</w:t>
      </w:r>
      <w:proofErr w:type="spellEnd"/>
      <w:r w:rsidRPr="00732ABF">
        <w:rPr>
          <w:sz w:val="22"/>
          <w:szCs w:val="22"/>
          <w:lang w:val="pt-BR"/>
        </w:rPr>
        <w:t xml:space="preserve"> </w:t>
      </w:r>
      <w:proofErr w:type="spellStart"/>
      <w:r w:rsidRPr="00732ABF">
        <w:rPr>
          <w:sz w:val="22"/>
          <w:szCs w:val="22"/>
          <w:lang w:val="pt-BR"/>
        </w:rPr>
        <w:t>procjenjivan</w:t>
      </w:r>
      <w:proofErr w:type="spellEnd"/>
      <w:r w:rsidRPr="00732ABF">
        <w:rPr>
          <w:sz w:val="22"/>
          <w:szCs w:val="22"/>
          <w:lang w:val="pt-BR"/>
        </w:rPr>
        <w:t xml:space="preserve"> </w:t>
      </w:r>
      <w:proofErr w:type="spellStart"/>
      <w:r w:rsidRPr="00732ABF">
        <w:rPr>
          <w:sz w:val="22"/>
          <w:szCs w:val="22"/>
          <w:lang w:val="pt-BR"/>
        </w:rPr>
        <w:t>je</w:t>
      </w:r>
      <w:proofErr w:type="spellEnd"/>
      <w:r w:rsidRPr="00732ABF">
        <w:rPr>
          <w:sz w:val="22"/>
          <w:szCs w:val="22"/>
          <w:lang w:val="pt-BR"/>
        </w:rPr>
        <w:t xml:space="preserve"> </w:t>
      </w:r>
      <w:proofErr w:type="spellStart"/>
      <w:r w:rsidRPr="00732ABF">
        <w:rPr>
          <w:sz w:val="22"/>
          <w:szCs w:val="22"/>
          <w:lang w:val="pt-BR"/>
        </w:rPr>
        <w:t>prilikom</w:t>
      </w:r>
      <w:proofErr w:type="spellEnd"/>
      <w:r w:rsidRPr="00732ABF">
        <w:rPr>
          <w:sz w:val="22"/>
          <w:szCs w:val="22"/>
          <w:lang w:val="pt-BR"/>
        </w:rPr>
        <w:t xml:space="preserve"> </w:t>
      </w:r>
      <w:proofErr w:type="spellStart"/>
      <w:r w:rsidRPr="00732ABF">
        <w:rPr>
          <w:sz w:val="22"/>
          <w:szCs w:val="22"/>
          <w:lang w:val="pt-BR"/>
        </w:rPr>
        <w:t>primjene</w:t>
      </w:r>
      <w:proofErr w:type="spellEnd"/>
      <w:r w:rsidRPr="00732ABF">
        <w:rPr>
          <w:sz w:val="22"/>
          <w:szCs w:val="22"/>
          <w:lang w:val="pt-BR"/>
        </w:rPr>
        <w:t xml:space="preserve"> </w:t>
      </w:r>
      <w:proofErr w:type="spellStart"/>
      <w:r w:rsidRPr="00732ABF">
        <w:rPr>
          <w:sz w:val="22"/>
          <w:szCs w:val="22"/>
          <w:lang w:val="pt-BR"/>
        </w:rPr>
        <w:t>lijeka</w:t>
      </w:r>
      <w:proofErr w:type="spellEnd"/>
      <w:r w:rsidRPr="00732ABF">
        <w:rPr>
          <w:sz w:val="22"/>
          <w:szCs w:val="22"/>
          <w:lang w:val="pt-BR"/>
        </w:rPr>
        <w:t xml:space="preserve"> </w:t>
      </w:r>
      <w:proofErr w:type="spellStart"/>
      <w:r w:rsidRPr="00732ABF">
        <w:rPr>
          <w:sz w:val="22"/>
          <w:szCs w:val="22"/>
          <w:lang w:val="pt-BR"/>
        </w:rPr>
        <w:t>uz</w:t>
      </w:r>
      <w:proofErr w:type="spellEnd"/>
      <w:r w:rsidRPr="00732ABF">
        <w:rPr>
          <w:sz w:val="22"/>
          <w:szCs w:val="22"/>
          <w:lang w:val="pt-BR"/>
        </w:rPr>
        <w:t xml:space="preserve"> </w:t>
      </w:r>
      <w:proofErr w:type="spellStart"/>
      <w:r w:rsidRPr="00732ABF">
        <w:rPr>
          <w:sz w:val="22"/>
          <w:szCs w:val="22"/>
          <w:lang w:val="pt-BR"/>
        </w:rPr>
        <w:t>obrok</w:t>
      </w:r>
      <w:proofErr w:type="spellEnd"/>
      <w:r w:rsidRPr="00732ABF">
        <w:rPr>
          <w:sz w:val="22"/>
          <w:szCs w:val="22"/>
          <w:lang w:val="pt-BR"/>
        </w:rPr>
        <w:t xml:space="preserve"> </w:t>
      </w:r>
      <w:proofErr w:type="spellStart"/>
      <w:r w:rsidRPr="00732ABF">
        <w:rPr>
          <w:sz w:val="22"/>
          <w:szCs w:val="22"/>
          <w:lang w:val="pt-BR"/>
        </w:rPr>
        <w:t>ili</w:t>
      </w:r>
      <w:proofErr w:type="spellEnd"/>
      <w:r w:rsidRPr="00732ABF">
        <w:rPr>
          <w:sz w:val="22"/>
          <w:szCs w:val="22"/>
          <w:lang w:val="pt-BR"/>
        </w:rPr>
        <w:t xml:space="preserve"> </w:t>
      </w:r>
      <w:proofErr w:type="spellStart"/>
      <w:r w:rsidRPr="00732ABF">
        <w:rPr>
          <w:sz w:val="22"/>
          <w:szCs w:val="22"/>
          <w:lang w:val="pt-BR"/>
        </w:rPr>
        <w:t>nakon</w:t>
      </w:r>
      <w:proofErr w:type="spellEnd"/>
      <w:r w:rsidRPr="00732ABF">
        <w:rPr>
          <w:sz w:val="22"/>
          <w:szCs w:val="22"/>
          <w:lang w:val="pt-BR"/>
        </w:rPr>
        <w:t xml:space="preserve"> </w:t>
      </w:r>
      <w:proofErr w:type="spellStart"/>
      <w:r w:rsidRPr="00732ABF">
        <w:rPr>
          <w:sz w:val="22"/>
          <w:szCs w:val="22"/>
          <w:lang w:val="pt-BR"/>
        </w:rPr>
        <w:t>obroka</w:t>
      </w:r>
      <w:proofErr w:type="spellEnd"/>
      <w:r w:rsidRPr="00732ABF">
        <w:rPr>
          <w:sz w:val="22"/>
          <w:szCs w:val="22"/>
          <w:lang w:val="pt-BR"/>
        </w:rPr>
        <w:t xml:space="preserve">. </w:t>
      </w:r>
      <w:proofErr w:type="spellStart"/>
      <w:r w:rsidRPr="00732ABF">
        <w:rPr>
          <w:sz w:val="22"/>
          <w:szCs w:val="22"/>
          <w:lang w:val="pt-BR"/>
        </w:rPr>
        <w:t>Lijek</w:t>
      </w:r>
      <w:proofErr w:type="spellEnd"/>
      <w:r w:rsidRPr="00732ABF">
        <w:rPr>
          <w:sz w:val="22"/>
          <w:szCs w:val="22"/>
          <w:lang w:val="pt-BR"/>
        </w:rPr>
        <w:t xml:space="preserve"> </w:t>
      </w:r>
      <w:proofErr w:type="spellStart"/>
      <w:r w:rsidRPr="00732ABF">
        <w:rPr>
          <w:sz w:val="22"/>
          <w:szCs w:val="22"/>
          <w:lang w:val="pt-BR"/>
        </w:rPr>
        <w:t>Fiasp</w:t>
      </w:r>
      <w:proofErr w:type="spellEnd"/>
      <w:r w:rsidRPr="00732ABF">
        <w:rPr>
          <w:sz w:val="22"/>
          <w:szCs w:val="22"/>
          <w:lang w:val="pt-BR"/>
        </w:rPr>
        <w:t xml:space="preserve">, </w:t>
      </w:r>
      <w:proofErr w:type="spellStart"/>
      <w:r w:rsidRPr="00732ABF">
        <w:rPr>
          <w:sz w:val="22"/>
          <w:szCs w:val="22"/>
          <w:lang w:val="pt-BR"/>
        </w:rPr>
        <w:t>koji</w:t>
      </w:r>
      <w:proofErr w:type="spellEnd"/>
      <w:r w:rsidRPr="00732ABF">
        <w:rPr>
          <w:sz w:val="22"/>
          <w:szCs w:val="22"/>
          <w:lang w:val="pt-BR"/>
        </w:rPr>
        <w:t xml:space="preserve"> </w:t>
      </w:r>
      <w:proofErr w:type="spellStart"/>
      <w:r w:rsidRPr="00732ABF">
        <w:rPr>
          <w:sz w:val="22"/>
          <w:szCs w:val="22"/>
          <w:lang w:val="pt-BR"/>
        </w:rPr>
        <w:t>je</w:t>
      </w:r>
      <w:proofErr w:type="spellEnd"/>
      <w:r w:rsidRPr="00732ABF">
        <w:rPr>
          <w:sz w:val="22"/>
          <w:szCs w:val="22"/>
          <w:lang w:val="pt-BR"/>
        </w:rPr>
        <w:t xml:space="preserve"> </w:t>
      </w:r>
      <w:proofErr w:type="spellStart"/>
      <w:r w:rsidRPr="00732ABF">
        <w:rPr>
          <w:sz w:val="22"/>
          <w:szCs w:val="22"/>
          <w:lang w:val="pt-BR"/>
        </w:rPr>
        <w:t>prim</w:t>
      </w:r>
      <w:r w:rsidR="005165C4">
        <w:rPr>
          <w:sz w:val="22"/>
          <w:szCs w:val="22"/>
          <w:lang w:val="pt-BR"/>
        </w:rPr>
        <w:t>i</w:t>
      </w:r>
      <w:r w:rsidRPr="00732ABF">
        <w:rPr>
          <w:sz w:val="22"/>
          <w:szCs w:val="22"/>
          <w:lang w:val="pt-BR"/>
        </w:rPr>
        <w:t>jenjen</w:t>
      </w:r>
      <w:proofErr w:type="spellEnd"/>
      <w:r w:rsidRPr="00732ABF">
        <w:rPr>
          <w:sz w:val="22"/>
          <w:szCs w:val="22"/>
          <w:lang w:val="pt-BR"/>
        </w:rPr>
        <w:t xml:space="preserve"> </w:t>
      </w:r>
      <w:proofErr w:type="spellStart"/>
      <w:r w:rsidRPr="00732ABF">
        <w:rPr>
          <w:sz w:val="22"/>
          <w:szCs w:val="22"/>
          <w:lang w:val="pt-BR"/>
        </w:rPr>
        <w:t>uz</w:t>
      </w:r>
      <w:proofErr w:type="spellEnd"/>
      <w:r w:rsidRPr="00732ABF">
        <w:rPr>
          <w:sz w:val="22"/>
          <w:szCs w:val="22"/>
          <w:lang w:val="pt-BR"/>
        </w:rPr>
        <w:t xml:space="preserve"> </w:t>
      </w:r>
      <w:proofErr w:type="spellStart"/>
      <w:r w:rsidRPr="00732ABF">
        <w:rPr>
          <w:sz w:val="22"/>
          <w:szCs w:val="22"/>
          <w:lang w:val="pt-BR"/>
        </w:rPr>
        <w:t>obrok</w:t>
      </w:r>
      <w:proofErr w:type="spellEnd"/>
      <w:r w:rsidRPr="00732ABF">
        <w:rPr>
          <w:sz w:val="22"/>
          <w:szCs w:val="22"/>
          <w:lang w:val="pt-BR"/>
        </w:rPr>
        <w:t xml:space="preserve">, </w:t>
      </w:r>
      <w:proofErr w:type="spellStart"/>
      <w:r w:rsidRPr="00732ABF">
        <w:rPr>
          <w:sz w:val="22"/>
          <w:szCs w:val="22"/>
          <w:lang w:val="pt-BR"/>
        </w:rPr>
        <w:t>pokazao</w:t>
      </w:r>
      <w:proofErr w:type="spellEnd"/>
      <w:r w:rsidRPr="00732ABF">
        <w:rPr>
          <w:sz w:val="22"/>
          <w:szCs w:val="22"/>
          <w:lang w:val="pt-BR"/>
        </w:rPr>
        <w:t xml:space="preserve"> </w:t>
      </w:r>
      <w:proofErr w:type="spellStart"/>
      <w:r w:rsidRPr="00732ABF">
        <w:rPr>
          <w:sz w:val="22"/>
          <w:szCs w:val="22"/>
          <w:lang w:val="pt-BR"/>
        </w:rPr>
        <w:t>je</w:t>
      </w:r>
      <w:proofErr w:type="spellEnd"/>
      <w:r w:rsidRPr="00732ABF">
        <w:rPr>
          <w:sz w:val="22"/>
          <w:szCs w:val="22"/>
          <w:lang w:val="pt-BR"/>
        </w:rPr>
        <w:t xml:space="preserve"> </w:t>
      </w:r>
      <w:proofErr w:type="spellStart"/>
      <w:r w:rsidRPr="00732ABF">
        <w:rPr>
          <w:sz w:val="22"/>
          <w:szCs w:val="22"/>
          <w:lang w:val="pt-BR"/>
        </w:rPr>
        <w:t>neinferiornost</w:t>
      </w:r>
      <w:proofErr w:type="spellEnd"/>
      <w:r w:rsidRPr="00732ABF">
        <w:rPr>
          <w:sz w:val="22"/>
          <w:szCs w:val="22"/>
          <w:lang w:val="pt-BR"/>
        </w:rPr>
        <w:t xml:space="preserve"> u </w:t>
      </w:r>
      <w:proofErr w:type="spellStart"/>
      <w:r w:rsidRPr="00732ABF">
        <w:rPr>
          <w:sz w:val="22"/>
          <w:szCs w:val="22"/>
          <w:lang w:val="pt-BR"/>
        </w:rPr>
        <w:t>poređenju</w:t>
      </w:r>
      <w:proofErr w:type="spellEnd"/>
      <w:r w:rsidRPr="00732ABF">
        <w:rPr>
          <w:sz w:val="22"/>
          <w:szCs w:val="22"/>
          <w:lang w:val="pt-BR"/>
        </w:rPr>
        <w:t xml:space="preserve"> </w:t>
      </w:r>
      <w:proofErr w:type="spellStart"/>
      <w:r w:rsidRPr="00732ABF">
        <w:rPr>
          <w:sz w:val="22"/>
          <w:szCs w:val="22"/>
          <w:lang w:val="pt-BR"/>
        </w:rPr>
        <w:t>sa</w:t>
      </w:r>
      <w:proofErr w:type="spellEnd"/>
      <w:r w:rsidRPr="00732ABF">
        <w:rPr>
          <w:sz w:val="22"/>
          <w:szCs w:val="22"/>
          <w:lang w:val="pt-BR"/>
        </w:rPr>
        <w:t xml:space="preserve"> </w:t>
      </w:r>
      <w:proofErr w:type="spellStart"/>
      <w:r w:rsidRPr="00732ABF">
        <w:rPr>
          <w:sz w:val="22"/>
          <w:szCs w:val="22"/>
          <w:lang w:val="pt-BR"/>
        </w:rPr>
        <w:t>lijekom</w:t>
      </w:r>
      <w:proofErr w:type="spellEnd"/>
      <w:r w:rsidRPr="00732ABF">
        <w:rPr>
          <w:sz w:val="22"/>
          <w:szCs w:val="22"/>
          <w:lang w:val="pt-BR"/>
        </w:rPr>
        <w:t xml:space="preserve"> </w:t>
      </w:r>
      <w:proofErr w:type="spellStart"/>
      <w:r w:rsidRPr="00732ABF">
        <w:rPr>
          <w:sz w:val="22"/>
          <w:szCs w:val="22"/>
          <w:lang w:val="pt-BR"/>
        </w:rPr>
        <w:t>NovoRapid</w:t>
      </w:r>
      <w:proofErr w:type="spellEnd"/>
      <w:r w:rsidRPr="00732ABF">
        <w:rPr>
          <w:sz w:val="22"/>
          <w:szCs w:val="22"/>
          <w:lang w:val="pt-BR"/>
        </w:rPr>
        <w:t xml:space="preserve"> u </w:t>
      </w:r>
      <w:proofErr w:type="spellStart"/>
      <w:r w:rsidRPr="00732ABF">
        <w:rPr>
          <w:sz w:val="22"/>
          <w:szCs w:val="22"/>
          <w:lang w:val="pt-BR"/>
        </w:rPr>
        <w:t>snižavanju</w:t>
      </w:r>
      <w:proofErr w:type="spellEnd"/>
      <w:r w:rsidRPr="00732ABF">
        <w:rPr>
          <w:sz w:val="22"/>
          <w:szCs w:val="22"/>
          <w:lang w:val="pt-BR"/>
        </w:rPr>
        <w:t xml:space="preserve"> HbA</w:t>
      </w:r>
      <w:r w:rsidRPr="00732ABF">
        <w:rPr>
          <w:sz w:val="22"/>
          <w:szCs w:val="22"/>
          <w:vertAlign w:val="subscript"/>
          <w:lang w:val="pt-BR"/>
        </w:rPr>
        <w:t>1c</w:t>
      </w:r>
      <w:r w:rsidRPr="00732ABF">
        <w:rPr>
          <w:sz w:val="22"/>
          <w:szCs w:val="22"/>
          <w:lang w:val="pt-BR"/>
        </w:rPr>
        <w:t xml:space="preserve">, a </w:t>
      </w:r>
      <w:proofErr w:type="spellStart"/>
      <w:r w:rsidRPr="00732ABF">
        <w:rPr>
          <w:sz w:val="22"/>
          <w:szCs w:val="22"/>
          <w:lang w:val="pt-BR"/>
        </w:rPr>
        <w:t>poboljšanje</w:t>
      </w:r>
      <w:proofErr w:type="spellEnd"/>
      <w:r w:rsidRPr="00732ABF">
        <w:rPr>
          <w:sz w:val="22"/>
          <w:szCs w:val="22"/>
          <w:lang w:val="pt-BR"/>
        </w:rPr>
        <w:t xml:space="preserve"> HbA</w:t>
      </w:r>
      <w:r w:rsidRPr="00732ABF">
        <w:rPr>
          <w:sz w:val="22"/>
          <w:szCs w:val="22"/>
          <w:vertAlign w:val="subscript"/>
          <w:lang w:val="pt-BR"/>
        </w:rPr>
        <w:t>1c</w:t>
      </w:r>
      <w:r w:rsidRPr="00732ABF">
        <w:rPr>
          <w:sz w:val="22"/>
          <w:szCs w:val="22"/>
          <w:lang w:val="pt-BR"/>
        </w:rPr>
        <w:t xml:space="preserve"> </w:t>
      </w:r>
      <w:proofErr w:type="spellStart"/>
      <w:r w:rsidRPr="00732ABF">
        <w:rPr>
          <w:sz w:val="22"/>
          <w:szCs w:val="22"/>
          <w:lang w:val="pt-BR"/>
        </w:rPr>
        <w:t>statistički</w:t>
      </w:r>
      <w:proofErr w:type="spellEnd"/>
      <w:r w:rsidRPr="00732ABF">
        <w:rPr>
          <w:sz w:val="22"/>
          <w:szCs w:val="22"/>
          <w:lang w:val="pt-BR"/>
        </w:rPr>
        <w:t xml:space="preserve"> </w:t>
      </w:r>
      <w:proofErr w:type="spellStart"/>
      <w:r w:rsidRPr="00732ABF">
        <w:rPr>
          <w:sz w:val="22"/>
          <w:szCs w:val="22"/>
          <w:lang w:val="pt-BR"/>
        </w:rPr>
        <w:t>je</w:t>
      </w:r>
      <w:proofErr w:type="spellEnd"/>
      <w:r w:rsidRPr="00732ABF">
        <w:rPr>
          <w:sz w:val="22"/>
          <w:szCs w:val="22"/>
          <w:lang w:val="pt-BR"/>
        </w:rPr>
        <w:t xml:space="preserve"> </w:t>
      </w:r>
      <w:proofErr w:type="spellStart"/>
      <w:r w:rsidRPr="00732ABF">
        <w:rPr>
          <w:sz w:val="22"/>
          <w:szCs w:val="22"/>
          <w:lang w:val="pt-BR"/>
        </w:rPr>
        <w:t>značajno</w:t>
      </w:r>
      <w:proofErr w:type="spellEnd"/>
      <w:r w:rsidRPr="00732ABF">
        <w:rPr>
          <w:sz w:val="22"/>
          <w:szCs w:val="22"/>
          <w:lang w:val="pt-BR"/>
        </w:rPr>
        <w:t xml:space="preserve"> </w:t>
      </w:r>
      <w:proofErr w:type="spellStart"/>
      <w:r w:rsidRPr="00732ABF">
        <w:rPr>
          <w:sz w:val="22"/>
          <w:szCs w:val="22"/>
          <w:lang w:val="pt-BR"/>
        </w:rPr>
        <w:t>išlo</w:t>
      </w:r>
      <w:proofErr w:type="spellEnd"/>
      <w:r w:rsidRPr="00732ABF">
        <w:rPr>
          <w:sz w:val="22"/>
          <w:szCs w:val="22"/>
          <w:lang w:val="pt-BR"/>
        </w:rPr>
        <w:t xml:space="preserve"> u </w:t>
      </w:r>
      <w:proofErr w:type="spellStart"/>
      <w:r w:rsidRPr="00732ABF">
        <w:rPr>
          <w:sz w:val="22"/>
          <w:szCs w:val="22"/>
          <w:lang w:val="pt-BR"/>
        </w:rPr>
        <w:t>korist</w:t>
      </w:r>
      <w:proofErr w:type="spellEnd"/>
      <w:r w:rsidRPr="00732ABF">
        <w:rPr>
          <w:sz w:val="22"/>
          <w:szCs w:val="22"/>
          <w:lang w:val="pt-BR"/>
        </w:rPr>
        <w:t xml:space="preserve"> </w:t>
      </w:r>
      <w:proofErr w:type="spellStart"/>
      <w:r w:rsidRPr="00732ABF">
        <w:rPr>
          <w:sz w:val="22"/>
          <w:szCs w:val="22"/>
          <w:lang w:val="pt-BR"/>
        </w:rPr>
        <w:t>lijeka</w:t>
      </w:r>
      <w:proofErr w:type="spellEnd"/>
      <w:r w:rsidRPr="00732ABF">
        <w:rPr>
          <w:sz w:val="22"/>
          <w:szCs w:val="22"/>
          <w:lang w:val="pt-BR"/>
        </w:rPr>
        <w:t xml:space="preserve"> </w:t>
      </w:r>
      <w:proofErr w:type="spellStart"/>
      <w:r w:rsidRPr="00732ABF">
        <w:rPr>
          <w:sz w:val="22"/>
          <w:szCs w:val="22"/>
          <w:lang w:val="pt-BR"/>
        </w:rPr>
        <w:t>Fiasp</w:t>
      </w:r>
      <w:proofErr w:type="spellEnd"/>
      <w:r w:rsidRPr="00732ABF">
        <w:rPr>
          <w:sz w:val="22"/>
          <w:szCs w:val="22"/>
          <w:lang w:val="pt-BR"/>
        </w:rPr>
        <w:t xml:space="preserve">. </w:t>
      </w:r>
      <w:proofErr w:type="spellStart"/>
      <w:r w:rsidR="005A154F">
        <w:rPr>
          <w:sz w:val="22"/>
          <w:szCs w:val="22"/>
          <w:lang w:val="pt-BR"/>
        </w:rPr>
        <w:t>Lijek</w:t>
      </w:r>
      <w:proofErr w:type="spellEnd"/>
      <w:r w:rsidR="005A154F">
        <w:rPr>
          <w:sz w:val="22"/>
          <w:szCs w:val="22"/>
          <w:lang w:val="pt-BR"/>
        </w:rPr>
        <w:t xml:space="preserve"> </w:t>
      </w:r>
      <w:proofErr w:type="spellStart"/>
      <w:r w:rsidRPr="00732ABF">
        <w:rPr>
          <w:sz w:val="22"/>
          <w:szCs w:val="22"/>
          <w:lang w:val="pt-BR"/>
        </w:rPr>
        <w:t>Fiasp</w:t>
      </w:r>
      <w:proofErr w:type="spellEnd"/>
      <w:r w:rsidRPr="00732ABF">
        <w:rPr>
          <w:sz w:val="22"/>
          <w:szCs w:val="22"/>
          <w:lang w:val="pt-BR"/>
        </w:rPr>
        <w:t xml:space="preserve"> </w:t>
      </w:r>
      <w:proofErr w:type="spellStart"/>
      <w:r w:rsidRPr="00732ABF">
        <w:rPr>
          <w:sz w:val="22"/>
          <w:szCs w:val="22"/>
          <w:lang w:val="pt-BR"/>
        </w:rPr>
        <w:t>prim</w:t>
      </w:r>
      <w:r w:rsidR="005A154F">
        <w:rPr>
          <w:sz w:val="22"/>
          <w:szCs w:val="22"/>
          <w:lang w:val="pt-BR"/>
        </w:rPr>
        <w:t>i</w:t>
      </w:r>
      <w:r w:rsidRPr="00732ABF">
        <w:rPr>
          <w:sz w:val="22"/>
          <w:szCs w:val="22"/>
          <w:lang w:val="pt-BR"/>
        </w:rPr>
        <w:t>jenjen</w:t>
      </w:r>
      <w:proofErr w:type="spellEnd"/>
      <w:r w:rsidRPr="00732ABF">
        <w:rPr>
          <w:sz w:val="22"/>
          <w:szCs w:val="22"/>
          <w:lang w:val="pt-BR"/>
        </w:rPr>
        <w:t xml:space="preserve"> </w:t>
      </w:r>
      <w:proofErr w:type="spellStart"/>
      <w:r w:rsidRPr="00732ABF">
        <w:rPr>
          <w:sz w:val="22"/>
          <w:szCs w:val="22"/>
          <w:lang w:val="pt-BR"/>
        </w:rPr>
        <w:t>nakon</w:t>
      </w:r>
      <w:proofErr w:type="spellEnd"/>
      <w:r w:rsidRPr="00732ABF">
        <w:rPr>
          <w:sz w:val="22"/>
          <w:szCs w:val="22"/>
          <w:lang w:val="pt-BR"/>
        </w:rPr>
        <w:t xml:space="preserve"> </w:t>
      </w:r>
      <w:proofErr w:type="spellStart"/>
      <w:r w:rsidRPr="00732ABF">
        <w:rPr>
          <w:sz w:val="22"/>
          <w:szCs w:val="22"/>
          <w:lang w:val="pt-BR"/>
        </w:rPr>
        <w:t>obroka</w:t>
      </w:r>
      <w:proofErr w:type="spellEnd"/>
      <w:r w:rsidRPr="00732ABF">
        <w:rPr>
          <w:sz w:val="22"/>
          <w:szCs w:val="22"/>
          <w:lang w:val="pt-BR"/>
        </w:rPr>
        <w:t xml:space="preserve"> </w:t>
      </w:r>
      <w:proofErr w:type="spellStart"/>
      <w:r w:rsidRPr="00732ABF">
        <w:rPr>
          <w:sz w:val="22"/>
          <w:szCs w:val="22"/>
          <w:lang w:val="pt-BR"/>
        </w:rPr>
        <w:t>postigao</w:t>
      </w:r>
      <w:proofErr w:type="spellEnd"/>
      <w:r w:rsidRPr="00732ABF">
        <w:rPr>
          <w:sz w:val="22"/>
          <w:szCs w:val="22"/>
          <w:lang w:val="pt-BR"/>
        </w:rPr>
        <w:t xml:space="preserve"> </w:t>
      </w:r>
      <w:proofErr w:type="spellStart"/>
      <w:r w:rsidRPr="00732ABF">
        <w:rPr>
          <w:sz w:val="22"/>
          <w:szCs w:val="22"/>
          <w:lang w:val="pt-BR"/>
        </w:rPr>
        <w:t>je</w:t>
      </w:r>
      <w:proofErr w:type="spellEnd"/>
      <w:r w:rsidRPr="00732ABF">
        <w:rPr>
          <w:sz w:val="22"/>
          <w:szCs w:val="22"/>
          <w:lang w:val="pt-BR"/>
        </w:rPr>
        <w:t xml:space="preserve"> </w:t>
      </w:r>
      <w:proofErr w:type="spellStart"/>
      <w:r w:rsidRPr="00732ABF">
        <w:rPr>
          <w:sz w:val="22"/>
          <w:szCs w:val="22"/>
          <w:lang w:val="pt-BR"/>
        </w:rPr>
        <w:t>slično</w:t>
      </w:r>
      <w:proofErr w:type="spellEnd"/>
      <w:r w:rsidRPr="00732ABF">
        <w:rPr>
          <w:sz w:val="22"/>
          <w:szCs w:val="22"/>
          <w:lang w:val="pt-BR"/>
        </w:rPr>
        <w:t xml:space="preserve"> </w:t>
      </w:r>
      <w:proofErr w:type="spellStart"/>
      <w:r w:rsidRPr="00732ABF">
        <w:rPr>
          <w:sz w:val="22"/>
          <w:szCs w:val="22"/>
          <w:lang w:val="pt-BR"/>
        </w:rPr>
        <w:t>sniženje</w:t>
      </w:r>
      <w:proofErr w:type="spellEnd"/>
      <w:r w:rsidRPr="00732ABF">
        <w:rPr>
          <w:sz w:val="22"/>
          <w:szCs w:val="22"/>
          <w:lang w:val="pt-BR"/>
        </w:rPr>
        <w:t xml:space="preserve"> HbA</w:t>
      </w:r>
      <w:r w:rsidRPr="00732ABF">
        <w:rPr>
          <w:sz w:val="22"/>
          <w:szCs w:val="22"/>
          <w:vertAlign w:val="subscript"/>
          <w:lang w:val="pt-BR"/>
        </w:rPr>
        <w:t>1c</w:t>
      </w:r>
      <w:r w:rsidRPr="00732ABF">
        <w:rPr>
          <w:sz w:val="22"/>
          <w:szCs w:val="22"/>
          <w:lang w:val="pt-BR"/>
        </w:rPr>
        <w:t xml:space="preserve"> </w:t>
      </w:r>
      <w:proofErr w:type="spellStart"/>
      <w:r w:rsidRPr="00732ABF">
        <w:rPr>
          <w:sz w:val="22"/>
          <w:szCs w:val="22"/>
          <w:lang w:val="pt-BR"/>
        </w:rPr>
        <w:t>kao</w:t>
      </w:r>
      <w:proofErr w:type="spellEnd"/>
      <w:r w:rsidRPr="00732ABF">
        <w:rPr>
          <w:sz w:val="22"/>
          <w:szCs w:val="22"/>
          <w:lang w:val="pt-BR"/>
        </w:rPr>
        <w:t xml:space="preserve"> </w:t>
      </w:r>
      <w:proofErr w:type="spellStart"/>
      <w:r w:rsidRPr="00732ABF">
        <w:rPr>
          <w:sz w:val="22"/>
          <w:szCs w:val="22"/>
          <w:lang w:val="pt-BR"/>
        </w:rPr>
        <w:t>lijek</w:t>
      </w:r>
      <w:proofErr w:type="spellEnd"/>
      <w:r w:rsidRPr="00732ABF">
        <w:rPr>
          <w:sz w:val="22"/>
          <w:szCs w:val="22"/>
          <w:lang w:val="pt-BR"/>
        </w:rPr>
        <w:t xml:space="preserve"> </w:t>
      </w:r>
      <w:proofErr w:type="spellStart"/>
      <w:r w:rsidRPr="00732ABF">
        <w:rPr>
          <w:sz w:val="22"/>
          <w:szCs w:val="22"/>
          <w:lang w:val="pt-BR"/>
        </w:rPr>
        <w:t>NovoRapid</w:t>
      </w:r>
      <w:proofErr w:type="spellEnd"/>
      <w:r w:rsidRPr="00732ABF">
        <w:rPr>
          <w:sz w:val="22"/>
          <w:szCs w:val="22"/>
          <w:lang w:val="pt-BR"/>
        </w:rPr>
        <w:t xml:space="preserve"> </w:t>
      </w:r>
      <w:proofErr w:type="spellStart"/>
      <w:r w:rsidRPr="00732ABF">
        <w:rPr>
          <w:sz w:val="22"/>
          <w:szCs w:val="22"/>
          <w:lang w:val="pt-BR"/>
        </w:rPr>
        <w:t>prim</w:t>
      </w:r>
      <w:r w:rsidR="005A154F">
        <w:rPr>
          <w:sz w:val="22"/>
          <w:szCs w:val="22"/>
          <w:lang w:val="pt-BR"/>
        </w:rPr>
        <w:t>i</w:t>
      </w:r>
      <w:r w:rsidRPr="00732ABF">
        <w:rPr>
          <w:sz w:val="22"/>
          <w:szCs w:val="22"/>
          <w:lang w:val="pt-BR"/>
        </w:rPr>
        <w:t>jenjen</w:t>
      </w:r>
      <w:proofErr w:type="spellEnd"/>
      <w:r w:rsidRPr="00732ABF">
        <w:rPr>
          <w:sz w:val="22"/>
          <w:szCs w:val="22"/>
          <w:lang w:val="pt-BR"/>
        </w:rPr>
        <w:t xml:space="preserve"> </w:t>
      </w:r>
      <w:proofErr w:type="spellStart"/>
      <w:r w:rsidRPr="00732ABF">
        <w:rPr>
          <w:sz w:val="22"/>
          <w:szCs w:val="22"/>
          <w:lang w:val="pt-BR"/>
        </w:rPr>
        <w:t>za</w:t>
      </w:r>
      <w:proofErr w:type="spellEnd"/>
      <w:r w:rsidRPr="00732ABF">
        <w:rPr>
          <w:sz w:val="22"/>
          <w:szCs w:val="22"/>
          <w:lang w:val="pt-BR"/>
        </w:rPr>
        <w:t xml:space="preserve"> </w:t>
      </w:r>
      <w:proofErr w:type="spellStart"/>
      <w:r w:rsidRPr="00732ABF">
        <w:rPr>
          <w:sz w:val="22"/>
          <w:szCs w:val="22"/>
          <w:lang w:val="pt-BR"/>
        </w:rPr>
        <w:t>vrijeme</w:t>
      </w:r>
      <w:proofErr w:type="spellEnd"/>
      <w:r w:rsidRPr="00732ABF">
        <w:rPr>
          <w:sz w:val="22"/>
          <w:szCs w:val="22"/>
          <w:lang w:val="pt-BR"/>
        </w:rPr>
        <w:t xml:space="preserve"> </w:t>
      </w:r>
      <w:proofErr w:type="spellStart"/>
      <w:r w:rsidRPr="00732ABF">
        <w:rPr>
          <w:sz w:val="22"/>
          <w:szCs w:val="22"/>
          <w:lang w:val="pt-BR"/>
        </w:rPr>
        <w:t>obroka</w:t>
      </w:r>
      <w:proofErr w:type="spellEnd"/>
      <w:r w:rsidRPr="00732ABF">
        <w:rPr>
          <w:sz w:val="22"/>
          <w:szCs w:val="22"/>
          <w:lang w:val="pt-BR"/>
        </w:rPr>
        <w:t xml:space="preserve"> (Tabela 3).</w:t>
      </w:r>
    </w:p>
    <w:p w14:paraId="477FB677" w14:textId="77777777" w:rsidR="00EE2F19" w:rsidRPr="00732ABF" w:rsidRDefault="00EE2F19" w:rsidP="00EE2F19">
      <w:pPr>
        <w:tabs>
          <w:tab w:val="left" w:pos="284"/>
        </w:tabs>
        <w:jc w:val="both"/>
        <w:rPr>
          <w:sz w:val="22"/>
          <w:szCs w:val="22"/>
          <w:lang w:val="pt-BR"/>
        </w:rPr>
      </w:pPr>
    </w:p>
    <w:p w14:paraId="0987C821" w14:textId="77777777" w:rsidR="00EE2F19" w:rsidRPr="00732ABF" w:rsidRDefault="00EE2F19" w:rsidP="00EE2F19">
      <w:pPr>
        <w:tabs>
          <w:tab w:val="left" w:pos="284"/>
        </w:tabs>
        <w:jc w:val="both"/>
        <w:rPr>
          <w:b/>
          <w:sz w:val="22"/>
          <w:szCs w:val="22"/>
          <w:lang w:val="pt-BR"/>
        </w:rPr>
      </w:pPr>
      <w:r w:rsidRPr="00732ABF">
        <w:rPr>
          <w:b/>
          <w:sz w:val="22"/>
          <w:szCs w:val="22"/>
          <w:lang w:val="pt-BR"/>
        </w:rPr>
        <w:t xml:space="preserve">Tabela 3 </w:t>
      </w:r>
      <w:proofErr w:type="spellStart"/>
      <w:r w:rsidRPr="00732ABF">
        <w:rPr>
          <w:b/>
          <w:sz w:val="22"/>
          <w:szCs w:val="22"/>
          <w:lang w:val="pt-BR"/>
        </w:rPr>
        <w:t>Rezultati</w:t>
      </w:r>
      <w:proofErr w:type="spellEnd"/>
      <w:r w:rsidRPr="00732ABF">
        <w:rPr>
          <w:b/>
          <w:sz w:val="22"/>
          <w:szCs w:val="22"/>
          <w:lang w:val="pt-BR"/>
        </w:rPr>
        <w:t xml:space="preserve"> 26-nedjeljnog </w:t>
      </w:r>
      <w:proofErr w:type="spellStart"/>
      <w:r w:rsidRPr="00732ABF">
        <w:rPr>
          <w:b/>
          <w:sz w:val="22"/>
          <w:szCs w:val="22"/>
          <w:lang w:val="pt-BR"/>
        </w:rPr>
        <w:t>ispitivanja</w:t>
      </w:r>
      <w:proofErr w:type="spellEnd"/>
      <w:r w:rsidRPr="00732ABF">
        <w:rPr>
          <w:b/>
          <w:sz w:val="22"/>
          <w:szCs w:val="22"/>
          <w:lang w:val="pt-BR"/>
        </w:rPr>
        <w:t xml:space="preserve"> </w:t>
      </w:r>
      <w:proofErr w:type="spellStart"/>
      <w:r w:rsidRPr="00732ABF">
        <w:rPr>
          <w:b/>
          <w:sz w:val="22"/>
          <w:szCs w:val="22"/>
          <w:lang w:val="pt-BR"/>
        </w:rPr>
        <w:t>bazal-bolus</w:t>
      </w:r>
      <w:proofErr w:type="spellEnd"/>
      <w:r w:rsidRPr="00732ABF">
        <w:rPr>
          <w:b/>
          <w:sz w:val="22"/>
          <w:szCs w:val="22"/>
          <w:lang w:val="pt-BR"/>
        </w:rPr>
        <w:t xml:space="preserve"> </w:t>
      </w:r>
      <w:proofErr w:type="spellStart"/>
      <w:r w:rsidRPr="00732ABF">
        <w:rPr>
          <w:b/>
          <w:sz w:val="22"/>
          <w:szCs w:val="22"/>
          <w:lang w:val="pt-BR"/>
        </w:rPr>
        <w:t>terapije</w:t>
      </w:r>
      <w:proofErr w:type="spellEnd"/>
      <w:r w:rsidRPr="00732ABF">
        <w:rPr>
          <w:b/>
          <w:sz w:val="22"/>
          <w:szCs w:val="22"/>
          <w:lang w:val="pt-BR"/>
        </w:rPr>
        <w:t xml:space="preserve"> </w:t>
      </w:r>
      <w:proofErr w:type="spellStart"/>
      <w:r w:rsidRPr="00732ABF">
        <w:rPr>
          <w:b/>
          <w:sz w:val="22"/>
          <w:szCs w:val="22"/>
          <w:lang w:val="pt-BR"/>
        </w:rPr>
        <w:t>kod</w:t>
      </w:r>
      <w:proofErr w:type="spellEnd"/>
      <w:r w:rsidRPr="00732ABF">
        <w:rPr>
          <w:b/>
          <w:sz w:val="22"/>
          <w:szCs w:val="22"/>
          <w:lang w:val="pt-BR"/>
        </w:rPr>
        <w:t xml:space="preserve"> </w:t>
      </w:r>
      <w:proofErr w:type="spellStart"/>
      <w:r w:rsidRPr="00732ABF">
        <w:rPr>
          <w:b/>
          <w:sz w:val="22"/>
          <w:szCs w:val="22"/>
          <w:lang w:val="pt-BR"/>
        </w:rPr>
        <w:t>pacijenata</w:t>
      </w:r>
      <w:proofErr w:type="spellEnd"/>
      <w:r w:rsidRPr="00732ABF">
        <w:rPr>
          <w:b/>
          <w:sz w:val="22"/>
          <w:szCs w:val="22"/>
          <w:lang w:val="pt-BR"/>
        </w:rPr>
        <w:t xml:space="preserve"> </w:t>
      </w:r>
      <w:proofErr w:type="spellStart"/>
      <w:r w:rsidRPr="00732ABF">
        <w:rPr>
          <w:b/>
          <w:sz w:val="22"/>
          <w:szCs w:val="22"/>
          <w:lang w:val="pt-BR"/>
        </w:rPr>
        <w:t>sa</w:t>
      </w:r>
      <w:proofErr w:type="spellEnd"/>
      <w:r w:rsidRPr="00732ABF">
        <w:rPr>
          <w:b/>
          <w:sz w:val="22"/>
          <w:szCs w:val="22"/>
          <w:lang w:val="pt-BR"/>
        </w:rPr>
        <w:t xml:space="preserve"> </w:t>
      </w:r>
      <w:proofErr w:type="spellStart"/>
      <w:r w:rsidRPr="00732ABF">
        <w:rPr>
          <w:b/>
          <w:sz w:val="22"/>
          <w:szCs w:val="22"/>
          <w:lang w:val="pt-BR"/>
        </w:rPr>
        <w:t>dijabetesom</w:t>
      </w:r>
      <w:proofErr w:type="spellEnd"/>
      <w:r w:rsidRPr="00732ABF">
        <w:rPr>
          <w:b/>
          <w:sz w:val="22"/>
          <w:szCs w:val="22"/>
          <w:lang w:val="pt-BR"/>
        </w:rPr>
        <w:t xml:space="preserve"> tip</w:t>
      </w:r>
      <w:r w:rsidR="005A154F">
        <w:rPr>
          <w:b/>
          <w:sz w:val="22"/>
          <w:szCs w:val="22"/>
          <w:lang w:val="pt-BR"/>
        </w:rPr>
        <w:t>a</w:t>
      </w:r>
      <w:r w:rsidRPr="00732ABF">
        <w:rPr>
          <w:b/>
          <w:sz w:val="22"/>
          <w:szCs w:val="22"/>
          <w:lang w:val="pt-BR"/>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1959"/>
        <w:gridCol w:w="1840"/>
        <w:gridCol w:w="1834"/>
      </w:tblGrid>
      <w:tr w:rsidR="00EE2F19" w:rsidRPr="00227C4B" w14:paraId="19DD0BFB" w14:textId="77777777" w:rsidTr="00152247">
        <w:tc>
          <w:tcPr>
            <w:tcW w:w="3794" w:type="dxa"/>
            <w:tcBorders>
              <w:top w:val="single" w:sz="4" w:space="0" w:color="auto"/>
              <w:left w:val="single" w:sz="4" w:space="0" w:color="auto"/>
              <w:bottom w:val="single" w:sz="4" w:space="0" w:color="auto"/>
              <w:right w:val="nil"/>
            </w:tcBorders>
            <w:shd w:val="clear" w:color="auto" w:fill="auto"/>
          </w:tcPr>
          <w:p w14:paraId="391545BF" w14:textId="77777777" w:rsidR="00EE2F19" w:rsidRPr="00732ABF" w:rsidRDefault="00EE2F19" w:rsidP="00152247">
            <w:pPr>
              <w:tabs>
                <w:tab w:val="left" w:pos="284"/>
              </w:tabs>
              <w:jc w:val="both"/>
              <w:rPr>
                <w:b/>
                <w:sz w:val="22"/>
                <w:szCs w:val="22"/>
                <w:lang w:val="pt-BR"/>
              </w:rPr>
            </w:pPr>
          </w:p>
        </w:tc>
        <w:tc>
          <w:tcPr>
            <w:tcW w:w="2126" w:type="dxa"/>
            <w:tcBorders>
              <w:top w:val="single" w:sz="4" w:space="0" w:color="auto"/>
              <w:left w:val="nil"/>
              <w:bottom w:val="single" w:sz="4" w:space="0" w:color="auto"/>
              <w:right w:val="nil"/>
            </w:tcBorders>
            <w:shd w:val="clear" w:color="auto" w:fill="auto"/>
            <w:hideMark/>
          </w:tcPr>
          <w:p w14:paraId="00218D3A" w14:textId="6AB2D3CB" w:rsidR="00EE2F19" w:rsidRPr="00EE2F19" w:rsidRDefault="003C7F98" w:rsidP="00152247">
            <w:pPr>
              <w:tabs>
                <w:tab w:val="left" w:pos="284"/>
              </w:tabs>
              <w:jc w:val="center"/>
              <w:rPr>
                <w:b/>
                <w:sz w:val="20"/>
                <w:szCs w:val="20"/>
              </w:rPr>
            </w:pPr>
            <w:r>
              <w:rPr>
                <w:b/>
                <w:sz w:val="20"/>
                <w:szCs w:val="20"/>
              </w:rPr>
              <w:t xml:space="preserve">Lijek </w:t>
            </w:r>
            <w:proofErr w:type="spellStart"/>
            <w:r w:rsidR="00EE2F19" w:rsidRPr="00EE2F19">
              <w:rPr>
                <w:b/>
                <w:sz w:val="20"/>
                <w:szCs w:val="20"/>
              </w:rPr>
              <w:t>Fiasp</w:t>
            </w:r>
            <w:proofErr w:type="spellEnd"/>
            <w:r w:rsidR="00EE2F19" w:rsidRPr="00EE2F19">
              <w:rPr>
                <w:b/>
                <w:sz w:val="20"/>
                <w:szCs w:val="20"/>
              </w:rPr>
              <w:t xml:space="preserve"> </w:t>
            </w:r>
            <w:proofErr w:type="spellStart"/>
            <w:r w:rsidR="00EE2F19" w:rsidRPr="00EE2F19">
              <w:rPr>
                <w:b/>
                <w:sz w:val="20"/>
                <w:szCs w:val="20"/>
              </w:rPr>
              <w:t>uz</w:t>
            </w:r>
            <w:proofErr w:type="spellEnd"/>
            <w:r w:rsidR="00EE2F19" w:rsidRPr="00EE2F19">
              <w:rPr>
                <w:b/>
                <w:sz w:val="20"/>
                <w:szCs w:val="20"/>
              </w:rPr>
              <w:t xml:space="preserve"> </w:t>
            </w:r>
            <w:proofErr w:type="spellStart"/>
            <w:r w:rsidR="00EE2F19" w:rsidRPr="00EE2F19">
              <w:rPr>
                <w:b/>
                <w:sz w:val="20"/>
                <w:szCs w:val="20"/>
              </w:rPr>
              <w:t>obrok</w:t>
            </w:r>
            <w:proofErr w:type="spellEnd"/>
            <w:r w:rsidR="00EE2F19" w:rsidRPr="00EE2F19">
              <w:rPr>
                <w:b/>
                <w:sz w:val="20"/>
                <w:szCs w:val="20"/>
              </w:rPr>
              <w:t xml:space="preserve"> + insulin detemir</w:t>
            </w:r>
          </w:p>
        </w:tc>
        <w:tc>
          <w:tcPr>
            <w:tcW w:w="1985" w:type="dxa"/>
            <w:tcBorders>
              <w:top w:val="single" w:sz="4" w:space="0" w:color="auto"/>
              <w:left w:val="nil"/>
              <w:bottom w:val="single" w:sz="4" w:space="0" w:color="auto"/>
              <w:right w:val="nil"/>
            </w:tcBorders>
            <w:shd w:val="clear" w:color="auto" w:fill="auto"/>
            <w:hideMark/>
          </w:tcPr>
          <w:p w14:paraId="22339F92" w14:textId="7E55B4EB" w:rsidR="00EE2F19" w:rsidRPr="00EE2F19" w:rsidRDefault="003C7F98" w:rsidP="00152247">
            <w:pPr>
              <w:tabs>
                <w:tab w:val="left" w:pos="284"/>
              </w:tabs>
              <w:jc w:val="center"/>
              <w:rPr>
                <w:b/>
                <w:sz w:val="20"/>
                <w:szCs w:val="20"/>
              </w:rPr>
            </w:pPr>
            <w:r>
              <w:rPr>
                <w:b/>
                <w:sz w:val="20"/>
                <w:szCs w:val="20"/>
              </w:rPr>
              <w:t xml:space="preserve">Lijek </w:t>
            </w:r>
            <w:proofErr w:type="spellStart"/>
            <w:r w:rsidR="00EE2F19" w:rsidRPr="00EE2F19">
              <w:rPr>
                <w:b/>
                <w:sz w:val="20"/>
                <w:szCs w:val="20"/>
              </w:rPr>
              <w:t>Fiasp</w:t>
            </w:r>
            <w:proofErr w:type="spellEnd"/>
            <w:r w:rsidR="00EE2F19" w:rsidRPr="00EE2F19">
              <w:rPr>
                <w:b/>
                <w:sz w:val="20"/>
                <w:szCs w:val="20"/>
              </w:rPr>
              <w:t xml:space="preserve"> </w:t>
            </w:r>
            <w:proofErr w:type="spellStart"/>
            <w:r w:rsidR="00EE2F19" w:rsidRPr="00EE2F19">
              <w:rPr>
                <w:b/>
                <w:sz w:val="20"/>
                <w:szCs w:val="20"/>
              </w:rPr>
              <w:t>nakon</w:t>
            </w:r>
            <w:proofErr w:type="spellEnd"/>
            <w:r w:rsidR="00EE2F19" w:rsidRPr="00EE2F19">
              <w:rPr>
                <w:b/>
                <w:sz w:val="20"/>
                <w:szCs w:val="20"/>
              </w:rPr>
              <w:t xml:space="preserve"> </w:t>
            </w:r>
            <w:proofErr w:type="spellStart"/>
            <w:r w:rsidR="00EE2F19" w:rsidRPr="00EE2F19">
              <w:rPr>
                <w:b/>
                <w:sz w:val="20"/>
                <w:szCs w:val="20"/>
              </w:rPr>
              <w:t>obroka</w:t>
            </w:r>
            <w:proofErr w:type="spellEnd"/>
            <w:r w:rsidR="00EE2F19" w:rsidRPr="00EE2F19">
              <w:rPr>
                <w:b/>
                <w:sz w:val="20"/>
                <w:szCs w:val="20"/>
              </w:rPr>
              <w:t xml:space="preserve"> + insulin detemir</w:t>
            </w:r>
          </w:p>
        </w:tc>
        <w:tc>
          <w:tcPr>
            <w:tcW w:w="1950" w:type="dxa"/>
            <w:tcBorders>
              <w:top w:val="single" w:sz="4" w:space="0" w:color="auto"/>
              <w:left w:val="nil"/>
              <w:bottom w:val="single" w:sz="4" w:space="0" w:color="auto"/>
              <w:right w:val="single" w:sz="4" w:space="0" w:color="auto"/>
            </w:tcBorders>
            <w:shd w:val="clear" w:color="auto" w:fill="auto"/>
            <w:hideMark/>
          </w:tcPr>
          <w:p w14:paraId="317D720B" w14:textId="435E6887" w:rsidR="00EE2F19" w:rsidRPr="00EE2F19" w:rsidRDefault="003C7F98" w:rsidP="00152247">
            <w:pPr>
              <w:tabs>
                <w:tab w:val="left" w:pos="284"/>
              </w:tabs>
              <w:jc w:val="center"/>
              <w:rPr>
                <w:b/>
                <w:sz w:val="20"/>
                <w:szCs w:val="20"/>
              </w:rPr>
            </w:pPr>
            <w:r>
              <w:rPr>
                <w:b/>
                <w:sz w:val="20"/>
                <w:szCs w:val="20"/>
              </w:rPr>
              <w:t xml:space="preserve">Lijek </w:t>
            </w:r>
            <w:proofErr w:type="spellStart"/>
            <w:r w:rsidR="00EE2F19" w:rsidRPr="00EE2F19">
              <w:rPr>
                <w:b/>
                <w:sz w:val="20"/>
                <w:szCs w:val="20"/>
              </w:rPr>
              <w:t>NovoRapid</w:t>
            </w:r>
            <w:proofErr w:type="spellEnd"/>
          </w:p>
          <w:p w14:paraId="348CD53B" w14:textId="77777777" w:rsidR="00EE2F19" w:rsidRPr="00EE2F19" w:rsidRDefault="00EE2F19" w:rsidP="00152247">
            <w:pPr>
              <w:tabs>
                <w:tab w:val="left" w:pos="284"/>
              </w:tabs>
              <w:jc w:val="center"/>
              <w:rPr>
                <w:b/>
                <w:sz w:val="20"/>
                <w:szCs w:val="20"/>
              </w:rPr>
            </w:pPr>
            <w:proofErr w:type="spellStart"/>
            <w:r w:rsidRPr="00EE2F19">
              <w:rPr>
                <w:b/>
                <w:sz w:val="20"/>
                <w:szCs w:val="20"/>
              </w:rPr>
              <w:t>uz</w:t>
            </w:r>
            <w:proofErr w:type="spellEnd"/>
            <w:r w:rsidRPr="00EE2F19">
              <w:rPr>
                <w:b/>
                <w:sz w:val="20"/>
                <w:szCs w:val="20"/>
              </w:rPr>
              <w:t xml:space="preserve"> </w:t>
            </w:r>
            <w:proofErr w:type="spellStart"/>
            <w:r w:rsidRPr="00EE2F19">
              <w:rPr>
                <w:b/>
                <w:sz w:val="20"/>
                <w:szCs w:val="20"/>
              </w:rPr>
              <w:t>obrok</w:t>
            </w:r>
            <w:proofErr w:type="spellEnd"/>
            <w:r w:rsidRPr="00EE2F19">
              <w:rPr>
                <w:b/>
                <w:sz w:val="20"/>
                <w:szCs w:val="20"/>
              </w:rPr>
              <w:t xml:space="preserve"> + insulin detemir</w:t>
            </w:r>
          </w:p>
        </w:tc>
      </w:tr>
      <w:tr w:rsidR="00EE2F19" w:rsidRPr="00227C4B" w14:paraId="187753AC" w14:textId="77777777" w:rsidTr="00152247">
        <w:tc>
          <w:tcPr>
            <w:tcW w:w="3794" w:type="dxa"/>
            <w:tcBorders>
              <w:top w:val="single" w:sz="4" w:space="0" w:color="auto"/>
              <w:left w:val="single" w:sz="4" w:space="0" w:color="auto"/>
              <w:bottom w:val="single" w:sz="4" w:space="0" w:color="auto"/>
              <w:right w:val="nil"/>
            </w:tcBorders>
            <w:shd w:val="clear" w:color="auto" w:fill="auto"/>
            <w:hideMark/>
          </w:tcPr>
          <w:p w14:paraId="502163F7" w14:textId="77777777" w:rsidR="00EE2F19" w:rsidRPr="00227C4B" w:rsidRDefault="00EE2F19" w:rsidP="00152247">
            <w:pPr>
              <w:tabs>
                <w:tab w:val="left" w:pos="284"/>
              </w:tabs>
              <w:jc w:val="both"/>
              <w:rPr>
                <w:b/>
                <w:sz w:val="22"/>
                <w:szCs w:val="22"/>
              </w:rPr>
            </w:pPr>
            <w:r w:rsidRPr="00EE2F19">
              <w:rPr>
                <w:b/>
                <w:sz w:val="21"/>
                <w:szCs w:val="21"/>
              </w:rPr>
              <w:t>N</w:t>
            </w:r>
          </w:p>
        </w:tc>
        <w:tc>
          <w:tcPr>
            <w:tcW w:w="2126" w:type="dxa"/>
            <w:tcBorders>
              <w:top w:val="single" w:sz="4" w:space="0" w:color="auto"/>
              <w:left w:val="nil"/>
              <w:bottom w:val="single" w:sz="4" w:space="0" w:color="auto"/>
              <w:right w:val="nil"/>
            </w:tcBorders>
            <w:shd w:val="clear" w:color="auto" w:fill="auto"/>
            <w:hideMark/>
          </w:tcPr>
          <w:p w14:paraId="2C04D505" w14:textId="77777777" w:rsidR="00EE2F19" w:rsidRPr="00CC6368" w:rsidRDefault="00EE2F19" w:rsidP="00152247">
            <w:pPr>
              <w:tabs>
                <w:tab w:val="left" w:pos="284"/>
              </w:tabs>
              <w:jc w:val="center"/>
              <w:rPr>
                <w:sz w:val="16"/>
                <w:szCs w:val="16"/>
              </w:rPr>
            </w:pPr>
            <w:r w:rsidRPr="00CC6368">
              <w:rPr>
                <w:sz w:val="16"/>
                <w:szCs w:val="16"/>
              </w:rPr>
              <w:t>381</w:t>
            </w:r>
          </w:p>
        </w:tc>
        <w:tc>
          <w:tcPr>
            <w:tcW w:w="1985" w:type="dxa"/>
            <w:tcBorders>
              <w:top w:val="single" w:sz="4" w:space="0" w:color="auto"/>
              <w:left w:val="nil"/>
              <w:bottom w:val="single" w:sz="4" w:space="0" w:color="auto"/>
              <w:right w:val="nil"/>
            </w:tcBorders>
            <w:shd w:val="clear" w:color="auto" w:fill="auto"/>
            <w:hideMark/>
          </w:tcPr>
          <w:p w14:paraId="506CF5EF" w14:textId="77777777" w:rsidR="00EE2F19" w:rsidRPr="00CC6368" w:rsidRDefault="00EE2F19" w:rsidP="00152247">
            <w:pPr>
              <w:tabs>
                <w:tab w:val="left" w:pos="284"/>
              </w:tabs>
              <w:jc w:val="center"/>
              <w:rPr>
                <w:sz w:val="16"/>
                <w:szCs w:val="16"/>
              </w:rPr>
            </w:pPr>
            <w:r w:rsidRPr="00CC6368">
              <w:rPr>
                <w:sz w:val="16"/>
                <w:szCs w:val="16"/>
              </w:rPr>
              <w:t>382</w:t>
            </w:r>
          </w:p>
        </w:tc>
        <w:tc>
          <w:tcPr>
            <w:tcW w:w="1950" w:type="dxa"/>
            <w:tcBorders>
              <w:top w:val="single" w:sz="4" w:space="0" w:color="auto"/>
              <w:left w:val="nil"/>
              <w:bottom w:val="single" w:sz="4" w:space="0" w:color="auto"/>
              <w:right w:val="single" w:sz="4" w:space="0" w:color="auto"/>
            </w:tcBorders>
            <w:shd w:val="clear" w:color="auto" w:fill="auto"/>
            <w:hideMark/>
          </w:tcPr>
          <w:p w14:paraId="7F23B8D9" w14:textId="77777777" w:rsidR="00EE2F19" w:rsidRPr="00CC6368" w:rsidRDefault="00EE2F19" w:rsidP="00152247">
            <w:pPr>
              <w:tabs>
                <w:tab w:val="left" w:pos="284"/>
              </w:tabs>
              <w:jc w:val="center"/>
              <w:rPr>
                <w:sz w:val="16"/>
                <w:szCs w:val="16"/>
              </w:rPr>
            </w:pPr>
            <w:r w:rsidRPr="00CC6368">
              <w:rPr>
                <w:sz w:val="16"/>
                <w:szCs w:val="16"/>
              </w:rPr>
              <w:t>380</w:t>
            </w:r>
          </w:p>
        </w:tc>
      </w:tr>
      <w:tr w:rsidR="00EE2F19" w:rsidRPr="00227C4B" w14:paraId="79980CB8" w14:textId="77777777" w:rsidTr="00152247">
        <w:tc>
          <w:tcPr>
            <w:tcW w:w="3794" w:type="dxa"/>
            <w:tcBorders>
              <w:top w:val="single" w:sz="4" w:space="0" w:color="auto"/>
              <w:left w:val="single" w:sz="4" w:space="0" w:color="auto"/>
              <w:bottom w:val="single" w:sz="4" w:space="0" w:color="auto"/>
              <w:right w:val="nil"/>
            </w:tcBorders>
            <w:shd w:val="clear" w:color="auto" w:fill="auto"/>
            <w:hideMark/>
          </w:tcPr>
          <w:p w14:paraId="34D1A442" w14:textId="77777777" w:rsidR="00EE2F19" w:rsidRPr="00227C4B" w:rsidRDefault="00EE2F19" w:rsidP="00152247">
            <w:pPr>
              <w:tabs>
                <w:tab w:val="left" w:pos="284"/>
              </w:tabs>
              <w:jc w:val="both"/>
              <w:rPr>
                <w:b/>
                <w:sz w:val="20"/>
                <w:szCs w:val="20"/>
              </w:rPr>
            </w:pPr>
            <w:r w:rsidRPr="00227C4B">
              <w:rPr>
                <w:b/>
                <w:sz w:val="20"/>
                <w:szCs w:val="20"/>
              </w:rPr>
              <w:t>HbA</w:t>
            </w:r>
            <w:r w:rsidRPr="00227C4B">
              <w:rPr>
                <w:b/>
                <w:sz w:val="20"/>
                <w:szCs w:val="20"/>
                <w:vertAlign w:val="subscript"/>
              </w:rPr>
              <w:t>1c</w:t>
            </w:r>
            <w:r w:rsidRPr="00227C4B">
              <w:rPr>
                <w:b/>
                <w:sz w:val="20"/>
                <w:szCs w:val="20"/>
              </w:rPr>
              <w:t xml:space="preserve"> (%)</w:t>
            </w:r>
          </w:p>
          <w:p w14:paraId="69974959" w14:textId="77777777" w:rsidR="00EE2F19" w:rsidRPr="00227C4B" w:rsidRDefault="00EE2F19" w:rsidP="00152247">
            <w:pPr>
              <w:tabs>
                <w:tab w:val="left" w:pos="284"/>
              </w:tabs>
              <w:jc w:val="both"/>
              <w:rPr>
                <w:sz w:val="16"/>
                <w:szCs w:val="16"/>
              </w:rPr>
            </w:pPr>
            <w:proofErr w:type="spellStart"/>
            <w:r w:rsidRPr="00227C4B">
              <w:rPr>
                <w:sz w:val="16"/>
                <w:szCs w:val="16"/>
              </w:rPr>
              <w:t>Početna</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w:t>
            </w:r>
            <w:proofErr w:type="spellEnd"/>
            <w:r w:rsidRPr="00227C4B">
              <w:rPr>
                <w:sz w:val="16"/>
                <w:szCs w:val="16"/>
              </w:rPr>
              <w:t xml:space="preserve"> </w:t>
            </w:r>
            <w:r w:rsidRPr="00227C4B">
              <w:rPr>
                <w:sz w:val="16"/>
                <w:szCs w:val="16"/>
                <w:lang w:val="en-GB"/>
              </w:rPr>
              <w:sym w:font="Wingdings 3" w:char="F09E"/>
            </w:r>
            <w:r w:rsidRPr="00227C4B">
              <w:rPr>
                <w:sz w:val="16"/>
                <w:szCs w:val="16"/>
              </w:rPr>
              <w:t xml:space="preserve"> Kraj </w:t>
            </w:r>
            <w:proofErr w:type="spellStart"/>
            <w:r w:rsidRPr="00227C4B">
              <w:rPr>
                <w:sz w:val="16"/>
                <w:szCs w:val="16"/>
              </w:rPr>
              <w:t>ispitivanja</w:t>
            </w:r>
            <w:proofErr w:type="spellEnd"/>
          </w:p>
          <w:p w14:paraId="6BE5BF36" w14:textId="77777777" w:rsidR="00EE2F19" w:rsidRPr="00227C4B" w:rsidRDefault="00EE2F19" w:rsidP="00152247">
            <w:pPr>
              <w:tabs>
                <w:tab w:val="left" w:pos="284"/>
              </w:tabs>
              <w:jc w:val="both"/>
              <w:rPr>
                <w:sz w:val="16"/>
                <w:szCs w:val="16"/>
              </w:rPr>
            </w:pPr>
            <w:proofErr w:type="spellStart"/>
            <w:r w:rsidRPr="00227C4B">
              <w:rPr>
                <w:sz w:val="16"/>
                <w:szCs w:val="16"/>
              </w:rPr>
              <w:t>Prilagođena</w:t>
            </w:r>
            <w:proofErr w:type="spellEnd"/>
            <w:r w:rsidRPr="00227C4B">
              <w:rPr>
                <w:sz w:val="16"/>
                <w:szCs w:val="16"/>
              </w:rPr>
              <w:t xml:space="preserve"> </w:t>
            </w:r>
            <w:proofErr w:type="spellStart"/>
            <w:r w:rsidRPr="00227C4B">
              <w:rPr>
                <w:sz w:val="16"/>
                <w:szCs w:val="16"/>
              </w:rPr>
              <w:t>prom</w:t>
            </w:r>
            <w:r>
              <w:rPr>
                <w:sz w:val="16"/>
                <w:szCs w:val="16"/>
              </w:rPr>
              <w:t>j</w:t>
            </w:r>
            <w:r w:rsidRPr="00227C4B">
              <w:rPr>
                <w:sz w:val="16"/>
                <w:szCs w:val="16"/>
              </w:rPr>
              <w:t>ena</w:t>
            </w:r>
            <w:proofErr w:type="spellEnd"/>
            <w:r w:rsidRPr="00227C4B">
              <w:rPr>
                <w:sz w:val="16"/>
                <w:szCs w:val="16"/>
              </w:rPr>
              <w:t xml:space="preserve"> </w:t>
            </w:r>
            <w:proofErr w:type="spellStart"/>
            <w:r w:rsidRPr="00227C4B">
              <w:rPr>
                <w:sz w:val="16"/>
                <w:szCs w:val="16"/>
              </w:rPr>
              <w:t>od</w:t>
            </w:r>
            <w:proofErr w:type="spellEnd"/>
            <w:r w:rsidRPr="00227C4B">
              <w:rPr>
                <w:sz w:val="16"/>
                <w:szCs w:val="16"/>
              </w:rPr>
              <w:t xml:space="preserve"> </w:t>
            </w:r>
            <w:proofErr w:type="spellStart"/>
            <w:r w:rsidRPr="00227C4B">
              <w:rPr>
                <w:sz w:val="16"/>
                <w:szCs w:val="16"/>
              </w:rPr>
              <w:t>početne</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ednosti</w:t>
            </w:r>
            <w:proofErr w:type="spellEnd"/>
          </w:p>
          <w:p w14:paraId="67E55953" w14:textId="77777777" w:rsidR="00EE2F19" w:rsidRPr="00227C4B" w:rsidRDefault="00EE2F19" w:rsidP="00152247">
            <w:pPr>
              <w:tabs>
                <w:tab w:val="left" w:pos="284"/>
              </w:tabs>
              <w:jc w:val="both"/>
              <w:rPr>
                <w:b/>
                <w:sz w:val="16"/>
                <w:szCs w:val="16"/>
              </w:rPr>
            </w:pPr>
            <w:proofErr w:type="spellStart"/>
            <w:r w:rsidRPr="00227C4B">
              <w:rPr>
                <w:i/>
                <w:sz w:val="16"/>
                <w:szCs w:val="16"/>
              </w:rPr>
              <w:t>Proc</w:t>
            </w:r>
            <w:r w:rsidR="005A154F">
              <w:rPr>
                <w:i/>
                <w:sz w:val="16"/>
                <w:szCs w:val="16"/>
              </w:rPr>
              <w:t>i</w:t>
            </w:r>
            <w:r>
              <w:rPr>
                <w:i/>
                <w:sz w:val="16"/>
                <w:szCs w:val="16"/>
              </w:rPr>
              <w:t>j</w:t>
            </w:r>
            <w:r w:rsidRPr="00227C4B">
              <w:rPr>
                <w:i/>
                <w:sz w:val="16"/>
                <w:szCs w:val="16"/>
              </w:rPr>
              <w:t>enjena</w:t>
            </w:r>
            <w:proofErr w:type="spellEnd"/>
            <w:r w:rsidRPr="00227C4B">
              <w:rPr>
                <w:i/>
                <w:sz w:val="16"/>
                <w:szCs w:val="16"/>
              </w:rPr>
              <w:t xml:space="preserve"> </w:t>
            </w:r>
            <w:proofErr w:type="spellStart"/>
            <w:r w:rsidRPr="00227C4B">
              <w:rPr>
                <w:i/>
                <w:sz w:val="16"/>
                <w:szCs w:val="16"/>
              </w:rPr>
              <w:t>razlika</w:t>
            </w:r>
            <w:proofErr w:type="spellEnd"/>
            <w:r w:rsidRPr="00227C4B">
              <w:rPr>
                <w:i/>
                <w:sz w:val="16"/>
                <w:szCs w:val="16"/>
              </w:rPr>
              <w:t xml:space="preserve"> u </w:t>
            </w:r>
            <w:proofErr w:type="spellStart"/>
            <w:r w:rsidRPr="00227C4B">
              <w:rPr>
                <w:i/>
                <w:sz w:val="16"/>
                <w:szCs w:val="16"/>
              </w:rPr>
              <w:t>l</w:t>
            </w:r>
            <w:r>
              <w:rPr>
                <w:i/>
                <w:sz w:val="16"/>
                <w:szCs w:val="16"/>
              </w:rPr>
              <w:t>ij</w:t>
            </w:r>
            <w:r w:rsidRPr="00227C4B">
              <w:rPr>
                <w:i/>
                <w:sz w:val="16"/>
                <w:szCs w:val="16"/>
              </w:rPr>
              <w:t>ečenju</w:t>
            </w:r>
            <w:proofErr w:type="spellEnd"/>
          </w:p>
        </w:tc>
        <w:tc>
          <w:tcPr>
            <w:tcW w:w="2126" w:type="dxa"/>
            <w:tcBorders>
              <w:top w:val="single" w:sz="4" w:space="0" w:color="auto"/>
              <w:left w:val="nil"/>
              <w:bottom w:val="single" w:sz="4" w:space="0" w:color="auto"/>
              <w:right w:val="nil"/>
            </w:tcBorders>
            <w:shd w:val="clear" w:color="auto" w:fill="auto"/>
          </w:tcPr>
          <w:p w14:paraId="64A0B5C5" w14:textId="77777777" w:rsidR="00EE2F19" w:rsidRPr="00227C4B" w:rsidRDefault="00EE2F19" w:rsidP="00152247">
            <w:pPr>
              <w:tabs>
                <w:tab w:val="left" w:pos="284"/>
              </w:tabs>
              <w:jc w:val="center"/>
              <w:rPr>
                <w:sz w:val="20"/>
                <w:szCs w:val="16"/>
              </w:rPr>
            </w:pPr>
          </w:p>
          <w:p w14:paraId="046A20A2" w14:textId="77777777" w:rsidR="00EE2F19" w:rsidRPr="00227C4B" w:rsidRDefault="00EE2F19" w:rsidP="00152247">
            <w:pPr>
              <w:tabs>
                <w:tab w:val="left" w:pos="284"/>
              </w:tabs>
              <w:jc w:val="center"/>
              <w:rPr>
                <w:sz w:val="16"/>
                <w:szCs w:val="16"/>
              </w:rPr>
            </w:pPr>
            <w:r w:rsidRPr="00227C4B">
              <w:rPr>
                <w:sz w:val="16"/>
                <w:szCs w:val="16"/>
              </w:rPr>
              <w:t xml:space="preserve">7,6 </w:t>
            </w:r>
            <w:r w:rsidRPr="00227C4B">
              <w:rPr>
                <w:rFonts w:ascii="Wingdings 3" w:hAnsi="Wingdings 3" w:cs="Wingdings 3"/>
                <w:sz w:val="16"/>
                <w:szCs w:val="16"/>
              </w:rPr>
              <w:t></w:t>
            </w:r>
            <w:r w:rsidRPr="00227C4B">
              <w:rPr>
                <w:sz w:val="16"/>
                <w:szCs w:val="16"/>
              </w:rPr>
              <w:t xml:space="preserve"> 7,3</w:t>
            </w:r>
          </w:p>
          <w:p w14:paraId="7672A710" w14:textId="77777777" w:rsidR="00EE2F19" w:rsidRPr="00227C4B" w:rsidRDefault="00EE2F19" w:rsidP="00152247">
            <w:pPr>
              <w:tabs>
                <w:tab w:val="left" w:pos="284"/>
              </w:tabs>
              <w:jc w:val="center"/>
              <w:rPr>
                <w:sz w:val="16"/>
                <w:szCs w:val="16"/>
              </w:rPr>
            </w:pPr>
            <w:r w:rsidRPr="00227C4B">
              <w:rPr>
                <w:sz w:val="16"/>
                <w:szCs w:val="16"/>
              </w:rPr>
              <w:t>-0,32</w:t>
            </w:r>
          </w:p>
          <w:p w14:paraId="27800434" w14:textId="77777777" w:rsidR="00EE2F19" w:rsidRPr="00227C4B" w:rsidRDefault="00EE2F19" w:rsidP="00152247">
            <w:pPr>
              <w:tabs>
                <w:tab w:val="left" w:pos="284"/>
              </w:tabs>
              <w:jc w:val="center"/>
              <w:rPr>
                <w:b/>
                <w:i/>
                <w:sz w:val="16"/>
                <w:szCs w:val="16"/>
              </w:rPr>
            </w:pPr>
            <w:r w:rsidRPr="00227C4B">
              <w:rPr>
                <w:i/>
                <w:sz w:val="16"/>
                <w:szCs w:val="16"/>
              </w:rPr>
              <w:t>-0,15 [-0,23;-0,07]</w:t>
            </w:r>
            <w:r w:rsidRPr="00227C4B">
              <w:rPr>
                <w:i/>
                <w:sz w:val="16"/>
                <w:szCs w:val="16"/>
                <w:vertAlign w:val="superscript"/>
              </w:rPr>
              <w:t>CE</w:t>
            </w:r>
          </w:p>
        </w:tc>
        <w:tc>
          <w:tcPr>
            <w:tcW w:w="1985" w:type="dxa"/>
            <w:tcBorders>
              <w:top w:val="single" w:sz="4" w:space="0" w:color="auto"/>
              <w:left w:val="nil"/>
              <w:bottom w:val="single" w:sz="4" w:space="0" w:color="auto"/>
              <w:right w:val="nil"/>
            </w:tcBorders>
            <w:shd w:val="clear" w:color="auto" w:fill="auto"/>
          </w:tcPr>
          <w:p w14:paraId="752E0E3D" w14:textId="77777777" w:rsidR="00EE2F19" w:rsidRPr="00227C4B" w:rsidRDefault="00EE2F19" w:rsidP="00152247">
            <w:pPr>
              <w:tabs>
                <w:tab w:val="left" w:pos="284"/>
              </w:tabs>
              <w:jc w:val="center"/>
              <w:rPr>
                <w:sz w:val="20"/>
                <w:szCs w:val="16"/>
              </w:rPr>
            </w:pPr>
          </w:p>
          <w:p w14:paraId="02E521B7" w14:textId="77777777" w:rsidR="00EE2F19" w:rsidRPr="00227C4B" w:rsidRDefault="00EE2F19" w:rsidP="00152247">
            <w:pPr>
              <w:tabs>
                <w:tab w:val="left" w:pos="284"/>
              </w:tabs>
              <w:jc w:val="center"/>
              <w:rPr>
                <w:sz w:val="16"/>
                <w:szCs w:val="16"/>
              </w:rPr>
            </w:pPr>
            <w:r w:rsidRPr="00227C4B">
              <w:rPr>
                <w:sz w:val="16"/>
                <w:szCs w:val="16"/>
              </w:rPr>
              <w:t xml:space="preserve">7,6 </w:t>
            </w:r>
            <w:r w:rsidRPr="00227C4B">
              <w:rPr>
                <w:rFonts w:ascii="Wingdings 3" w:hAnsi="Wingdings 3" w:cs="Wingdings 3"/>
                <w:sz w:val="16"/>
                <w:szCs w:val="16"/>
              </w:rPr>
              <w:t></w:t>
            </w:r>
            <w:r w:rsidRPr="00227C4B">
              <w:rPr>
                <w:sz w:val="16"/>
                <w:szCs w:val="16"/>
              </w:rPr>
              <w:t xml:space="preserve"> 7,5</w:t>
            </w:r>
          </w:p>
          <w:p w14:paraId="2B4B1E28" w14:textId="77777777" w:rsidR="00EE2F19" w:rsidRPr="00227C4B" w:rsidRDefault="00EE2F19" w:rsidP="00152247">
            <w:pPr>
              <w:tabs>
                <w:tab w:val="left" w:pos="284"/>
              </w:tabs>
              <w:jc w:val="center"/>
              <w:rPr>
                <w:sz w:val="16"/>
                <w:szCs w:val="16"/>
              </w:rPr>
            </w:pPr>
            <w:r w:rsidRPr="00227C4B">
              <w:rPr>
                <w:sz w:val="16"/>
                <w:szCs w:val="16"/>
              </w:rPr>
              <w:t>-0,13</w:t>
            </w:r>
          </w:p>
          <w:p w14:paraId="7BD0B29B" w14:textId="77777777" w:rsidR="00EE2F19" w:rsidRPr="00227C4B" w:rsidRDefault="00EE2F19" w:rsidP="00152247">
            <w:pPr>
              <w:tabs>
                <w:tab w:val="left" w:pos="284"/>
              </w:tabs>
              <w:jc w:val="center"/>
              <w:rPr>
                <w:b/>
                <w:i/>
                <w:sz w:val="16"/>
                <w:szCs w:val="16"/>
              </w:rPr>
            </w:pPr>
            <w:r w:rsidRPr="00227C4B">
              <w:rPr>
                <w:i/>
                <w:sz w:val="16"/>
                <w:szCs w:val="16"/>
              </w:rPr>
              <w:t>0,04 [-0,04;0,12]</w:t>
            </w:r>
            <w:r w:rsidRPr="00227C4B">
              <w:rPr>
                <w:i/>
                <w:sz w:val="16"/>
                <w:szCs w:val="16"/>
                <w:vertAlign w:val="superscript"/>
              </w:rPr>
              <w:t>D</w:t>
            </w:r>
          </w:p>
        </w:tc>
        <w:tc>
          <w:tcPr>
            <w:tcW w:w="1950" w:type="dxa"/>
            <w:tcBorders>
              <w:top w:val="single" w:sz="4" w:space="0" w:color="auto"/>
              <w:left w:val="nil"/>
              <w:bottom w:val="single" w:sz="4" w:space="0" w:color="auto"/>
              <w:right w:val="single" w:sz="4" w:space="0" w:color="auto"/>
            </w:tcBorders>
            <w:shd w:val="clear" w:color="auto" w:fill="auto"/>
          </w:tcPr>
          <w:p w14:paraId="1060DF7E" w14:textId="77777777" w:rsidR="00EE2F19" w:rsidRPr="00227C4B" w:rsidRDefault="00EE2F19" w:rsidP="00152247">
            <w:pPr>
              <w:tabs>
                <w:tab w:val="left" w:pos="284"/>
              </w:tabs>
              <w:jc w:val="center"/>
              <w:rPr>
                <w:sz w:val="20"/>
                <w:szCs w:val="16"/>
              </w:rPr>
            </w:pPr>
          </w:p>
          <w:p w14:paraId="6F6AAFED" w14:textId="77777777" w:rsidR="00EE2F19" w:rsidRPr="00227C4B" w:rsidRDefault="00EE2F19" w:rsidP="00152247">
            <w:pPr>
              <w:tabs>
                <w:tab w:val="left" w:pos="284"/>
              </w:tabs>
              <w:jc w:val="center"/>
              <w:rPr>
                <w:sz w:val="16"/>
                <w:szCs w:val="16"/>
              </w:rPr>
            </w:pPr>
            <w:r w:rsidRPr="00227C4B">
              <w:rPr>
                <w:sz w:val="16"/>
                <w:szCs w:val="16"/>
              </w:rPr>
              <w:t xml:space="preserve">7,6 </w:t>
            </w:r>
            <w:r w:rsidRPr="00227C4B">
              <w:rPr>
                <w:rFonts w:ascii="Wingdings 3" w:hAnsi="Wingdings 3" w:cs="Wingdings 3"/>
                <w:sz w:val="16"/>
                <w:szCs w:val="16"/>
              </w:rPr>
              <w:t></w:t>
            </w:r>
            <w:r w:rsidRPr="00227C4B">
              <w:rPr>
                <w:sz w:val="16"/>
                <w:szCs w:val="16"/>
              </w:rPr>
              <w:t xml:space="preserve"> 7,4</w:t>
            </w:r>
          </w:p>
          <w:p w14:paraId="6AEBF80D" w14:textId="77777777" w:rsidR="00EE2F19" w:rsidRPr="00227C4B" w:rsidRDefault="00EE2F19" w:rsidP="00152247">
            <w:pPr>
              <w:tabs>
                <w:tab w:val="left" w:pos="284"/>
              </w:tabs>
              <w:jc w:val="center"/>
              <w:rPr>
                <w:b/>
                <w:sz w:val="16"/>
                <w:szCs w:val="16"/>
              </w:rPr>
            </w:pPr>
            <w:r w:rsidRPr="00227C4B">
              <w:rPr>
                <w:sz w:val="16"/>
                <w:szCs w:val="16"/>
              </w:rPr>
              <w:t>-0,17</w:t>
            </w:r>
          </w:p>
        </w:tc>
      </w:tr>
      <w:tr w:rsidR="00EE2F19" w:rsidRPr="00227C4B" w14:paraId="7516174A" w14:textId="77777777" w:rsidTr="00152247">
        <w:tc>
          <w:tcPr>
            <w:tcW w:w="3794" w:type="dxa"/>
            <w:tcBorders>
              <w:top w:val="single" w:sz="4" w:space="0" w:color="auto"/>
              <w:left w:val="single" w:sz="4" w:space="0" w:color="auto"/>
              <w:bottom w:val="single" w:sz="4" w:space="0" w:color="auto"/>
              <w:right w:val="nil"/>
            </w:tcBorders>
            <w:shd w:val="clear" w:color="auto" w:fill="auto"/>
            <w:hideMark/>
          </w:tcPr>
          <w:p w14:paraId="592CF4BD" w14:textId="77777777" w:rsidR="00EE2F19" w:rsidRPr="00227C4B" w:rsidRDefault="00EE2F19" w:rsidP="00152247">
            <w:pPr>
              <w:tabs>
                <w:tab w:val="left" w:pos="284"/>
              </w:tabs>
              <w:jc w:val="both"/>
              <w:rPr>
                <w:b/>
                <w:sz w:val="20"/>
                <w:szCs w:val="20"/>
              </w:rPr>
            </w:pPr>
            <w:r w:rsidRPr="00227C4B">
              <w:rPr>
                <w:b/>
                <w:sz w:val="20"/>
                <w:szCs w:val="20"/>
              </w:rPr>
              <w:t>HbA</w:t>
            </w:r>
            <w:r w:rsidRPr="00227C4B">
              <w:rPr>
                <w:b/>
                <w:sz w:val="20"/>
                <w:szCs w:val="20"/>
                <w:vertAlign w:val="subscript"/>
              </w:rPr>
              <w:t>1c</w:t>
            </w:r>
            <w:r w:rsidRPr="00227C4B">
              <w:rPr>
                <w:b/>
                <w:sz w:val="20"/>
                <w:szCs w:val="20"/>
              </w:rPr>
              <w:t xml:space="preserve"> (mmol/mol)</w:t>
            </w:r>
          </w:p>
          <w:p w14:paraId="2CB5E747" w14:textId="77777777" w:rsidR="00EE2F19" w:rsidRPr="00227C4B" w:rsidRDefault="00EE2F19" w:rsidP="00152247">
            <w:pPr>
              <w:tabs>
                <w:tab w:val="left" w:pos="284"/>
              </w:tabs>
              <w:jc w:val="both"/>
              <w:rPr>
                <w:sz w:val="16"/>
                <w:szCs w:val="16"/>
              </w:rPr>
            </w:pPr>
            <w:proofErr w:type="spellStart"/>
            <w:r w:rsidRPr="00227C4B">
              <w:rPr>
                <w:sz w:val="16"/>
                <w:szCs w:val="16"/>
              </w:rPr>
              <w:t>Početna</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w:t>
            </w:r>
            <w:proofErr w:type="spellEnd"/>
            <w:r w:rsidRPr="00227C4B">
              <w:rPr>
                <w:sz w:val="16"/>
                <w:szCs w:val="16"/>
              </w:rPr>
              <w:t xml:space="preserve"> </w:t>
            </w:r>
            <w:r w:rsidRPr="00227C4B">
              <w:rPr>
                <w:sz w:val="16"/>
                <w:szCs w:val="16"/>
                <w:lang w:val="en-GB"/>
              </w:rPr>
              <w:sym w:font="Wingdings 3" w:char="F09E"/>
            </w:r>
            <w:r w:rsidRPr="00227C4B">
              <w:rPr>
                <w:sz w:val="16"/>
                <w:szCs w:val="16"/>
              </w:rPr>
              <w:t xml:space="preserve"> Kraj </w:t>
            </w:r>
            <w:proofErr w:type="spellStart"/>
            <w:r w:rsidRPr="00227C4B">
              <w:rPr>
                <w:sz w:val="16"/>
                <w:szCs w:val="16"/>
              </w:rPr>
              <w:t>ispitivanja</w:t>
            </w:r>
            <w:proofErr w:type="spellEnd"/>
          </w:p>
          <w:p w14:paraId="597668DB" w14:textId="77777777" w:rsidR="00EE2F19" w:rsidRPr="00227C4B" w:rsidRDefault="00EE2F19" w:rsidP="00152247">
            <w:pPr>
              <w:tabs>
                <w:tab w:val="left" w:pos="284"/>
              </w:tabs>
              <w:jc w:val="both"/>
              <w:rPr>
                <w:sz w:val="16"/>
                <w:szCs w:val="16"/>
              </w:rPr>
            </w:pPr>
            <w:proofErr w:type="spellStart"/>
            <w:r w:rsidRPr="00227C4B">
              <w:rPr>
                <w:sz w:val="16"/>
                <w:szCs w:val="16"/>
              </w:rPr>
              <w:t>Prilagođena</w:t>
            </w:r>
            <w:proofErr w:type="spellEnd"/>
            <w:r w:rsidRPr="00227C4B">
              <w:rPr>
                <w:sz w:val="16"/>
                <w:szCs w:val="16"/>
              </w:rPr>
              <w:t xml:space="preserve"> </w:t>
            </w:r>
            <w:proofErr w:type="spellStart"/>
            <w:r w:rsidRPr="00227C4B">
              <w:rPr>
                <w:sz w:val="16"/>
                <w:szCs w:val="16"/>
              </w:rPr>
              <w:t>prom</w:t>
            </w:r>
            <w:r>
              <w:rPr>
                <w:sz w:val="16"/>
                <w:szCs w:val="16"/>
              </w:rPr>
              <w:t>j</w:t>
            </w:r>
            <w:r w:rsidRPr="00227C4B">
              <w:rPr>
                <w:sz w:val="16"/>
                <w:szCs w:val="16"/>
              </w:rPr>
              <w:t>ena</w:t>
            </w:r>
            <w:proofErr w:type="spellEnd"/>
            <w:r w:rsidRPr="00227C4B">
              <w:rPr>
                <w:sz w:val="16"/>
                <w:szCs w:val="16"/>
              </w:rPr>
              <w:t xml:space="preserve"> </w:t>
            </w:r>
            <w:proofErr w:type="spellStart"/>
            <w:r w:rsidRPr="00227C4B">
              <w:rPr>
                <w:sz w:val="16"/>
                <w:szCs w:val="16"/>
              </w:rPr>
              <w:t>od</w:t>
            </w:r>
            <w:proofErr w:type="spellEnd"/>
            <w:r w:rsidRPr="00227C4B">
              <w:rPr>
                <w:sz w:val="16"/>
                <w:szCs w:val="16"/>
              </w:rPr>
              <w:t xml:space="preserve"> </w:t>
            </w:r>
            <w:proofErr w:type="spellStart"/>
            <w:r w:rsidRPr="00227C4B">
              <w:rPr>
                <w:sz w:val="16"/>
                <w:szCs w:val="16"/>
              </w:rPr>
              <w:t>početne</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ednosti</w:t>
            </w:r>
            <w:proofErr w:type="spellEnd"/>
          </w:p>
          <w:p w14:paraId="2EA18023" w14:textId="77777777" w:rsidR="00EE2F19" w:rsidRPr="00227C4B" w:rsidRDefault="00EE2F19" w:rsidP="00152247">
            <w:pPr>
              <w:tabs>
                <w:tab w:val="left" w:pos="284"/>
              </w:tabs>
              <w:jc w:val="both"/>
              <w:rPr>
                <w:b/>
                <w:sz w:val="22"/>
                <w:szCs w:val="22"/>
              </w:rPr>
            </w:pPr>
            <w:proofErr w:type="spellStart"/>
            <w:r w:rsidRPr="00227C4B">
              <w:rPr>
                <w:i/>
                <w:sz w:val="16"/>
                <w:szCs w:val="16"/>
              </w:rPr>
              <w:t>Proc</w:t>
            </w:r>
            <w:r w:rsidR="005A154F">
              <w:rPr>
                <w:i/>
                <w:sz w:val="16"/>
                <w:szCs w:val="16"/>
              </w:rPr>
              <w:t>i</w:t>
            </w:r>
            <w:r>
              <w:rPr>
                <w:i/>
                <w:sz w:val="16"/>
                <w:szCs w:val="16"/>
              </w:rPr>
              <w:t>j</w:t>
            </w:r>
            <w:r w:rsidRPr="00227C4B">
              <w:rPr>
                <w:i/>
                <w:sz w:val="16"/>
                <w:szCs w:val="16"/>
              </w:rPr>
              <w:t>enjena</w:t>
            </w:r>
            <w:proofErr w:type="spellEnd"/>
            <w:r w:rsidRPr="00227C4B">
              <w:rPr>
                <w:i/>
                <w:sz w:val="16"/>
                <w:szCs w:val="16"/>
              </w:rPr>
              <w:t xml:space="preserve"> </w:t>
            </w:r>
            <w:proofErr w:type="spellStart"/>
            <w:r w:rsidRPr="00227C4B">
              <w:rPr>
                <w:i/>
                <w:sz w:val="16"/>
                <w:szCs w:val="16"/>
              </w:rPr>
              <w:t>razlika</w:t>
            </w:r>
            <w:proofErr w:type="spellEnd"/>
            <w:r w:rsidRPr="00227C4B">
              <w:rPr>
                <w:i/>
                <w:sz w:val="16"/>
                <w:szCs w:val="16"/>
              </w:rPr>
              <w:t xml:space="preserve"> u </w:t>
            </w:r>
            <w:proofErr w:type="spellStart"/>
            <w:r w:rsidRPr="00227C4B">
              <w:rPr>
                <w:i/>
                <w:sz w:val="16"/>
                <w:szCs w:val="16"/>
              </w:rPr>
              <w:t>l</w:t>
            </w:r>
            <w:r>
              <w:rPr>
                <w:i/>
                <w:sz w:val="16"/>
                <w:szCs w:val="16"/>
              </w:rPr>
              <w:t>ij</w:t>
            </w:r>
            <w:r w:rsidRPr="00227C4B">
              <w:rPr>
                <w:i/>
                <w:sz w:val="16"/>
                <w:szCs w:val="16"/>
              </w:rPr>
              <w:t>ečenju</w:t>
            </w:r>
            <w:proofErr w:type="spellEnd"/>
          </w:p>
        </w:tc>
        <w:tc>
          <w:tcPr>
            <w:tcW w:w="2126" w:type="dxa"/>
            <w:tcBorders>
              <w:top w:val="single" w:sz="4" w:space="0" w:color="auto"/>
              <w:left w:val="nil"/>
              <w:bottom w:val="single" w:sz="4" w:space="0" w:color="auto"/>
              <w:right w:val="nil"/>
            </w:tcBorders>
            <w:shd w:val="clear" w:color="auto" w:fill="auto"/>
          </w:tcPr>
          <w:p w14:paraId="04BD8BBF" w14:textId="77777777" w:rsidR="00EE2F19" w:rsidRPr="00227C4B" w:rsidRDefault="00EE2F19" w:rsidP="00152247">
            <w:pPr>
              <w:tabs>
                <w:tab w:val="left" w:pos="284"/>
              </w:tabs>
              <w:jc w:val="center"/>
              <w:rPr>
                <w:sz w:val="20"/>
                <w:szCs w:val="16"/>
              </w:rPr>
            </w:pPr>
          </w:p>
          <w:p w14:paraId="76A6C75F" w14:textId="77777777" w:rsidR="00EE2F19" w:rsidRPr="00227C4B" w:rsidRDefault="00EE2F19" w:rsidP="00152247">
            <w:pPr>
              <w:tabs>
                <w:tab w:val="left" w:pos="284"/>
              </w:tabs>
              <w:jc w:val="center"/>
              <w:rPr>
                <w:sz w:val="16"/>
                <w:szCs w:val="16"/>
              </w:rPr>
            </w:pPr>
            <w:r w:rsidRPr="00227C4B">
              <w:rPr>
                <w:sz w:val="16"/>
                <w:szCs w:val="16"/>
              </w:rPr>
              <w:t xml:space="preserve">59,7 </w:t>
            </w:r>
            <w:r w:rsidRPr="00227C4B">
              <w:rPr>
                <w:rFonts w:ascii="Wingdings 3" w:hAnsi="Wingdings 3" w:cs="Wingdings 3"/>
                <w:sz w:val="16"/>
                <w:szCs w:val="16"/>
              </w:rPr>
              <w:t></w:t>
            </w:r>
            <w:r w:rsidRPr="00227C4B">
              <w:rPr>
                <w:sz w:val="16"/>
                <w:szCs w:val="16"/>
              </w:rPr>
              <w:t xml:space="preserve"> 56,4</w:t>
            </w:r>
          </w:p>
          <w:p w14:paraId="773B6F0F" w14:textId="77777777" w:rsidR="00EE2F19" w:rsidRPr="00227C4B" w:rsidRDefault="00EE2F19" w:rsidP="00152247">
            <w:pPr>
              <w:tabs>
                <w:tab w:val="left" w:pos="284"/>
              </w:tabs>
              <w:jc w:val="center"/>
              <w:rPr>
                <w:sz w:val="16"/>
                <w:szCs w:val="16"/>
              </w:rPr>
            </w:pPr>
            <w:r w:rsidRPr="00227C4B">
              <w:rPr>
                <w:sz w:val="16"/>
                <w:szCs w:val="16"/>
              </w:rPr>
              <w:t>-3,46</w:t>
            </w:r>
          </w:p>
          <w:p w14:paraId="3E2093DA" w14:textId="77777777" w:rsidR="00EE2F19" w:rsidRPr="00227C4B" w:rsidRDefault="00EE2F19" w:rsidP="00152247">
            <w:pPr>
              <w:tabs>
                <w:tab w:val="left" w:pos="284"/>
              </w:tabs>
              <w:jc w:val="center"/>
              <w:rPr>
                <w:i/>
                <w:sz w:val="16"/>
                <w:szCs w:val="16"/>
              </w:rPr>
            </w:pPr>
            <w:r w:rsidRPr="00227C4B">
              <w:rPr>
                <w:i/>
                <w:sz w:val="16"/>
                <w:szCs w:val="16"/>
              </w:rPr>
              <w:t>-1,62 [-2,50;-0,73]</w:t>
            </w:r>
            <w:r w:rsidRPr="00227C4B">
              <w:rPr>
                <w:i/>
                <w:sz w:val="16"/>
                <w:szCs w:val="16"/>
                <w:vertAlign w:val="superscript"/>
              </w:rPr>
              <w:t>CE</w:t>
            </w:r>
          </w:p>
        </w:tc>
        <w:tc>
          <w:tcPr>
            <w:tcW w:w="1985" w:type="dxa"/>
            <w:tcBorders>
              <w:top w:val="single" w:sz="4" w:space="0" w:color="auto"/>
              <w:left w:val="nil"/>
              <w:bottom w:val="single" w:sz="4" w:space="0" w:color="auto"/>
              <w:right w:val="nil"/>
            </w:tcBorders>
            <w:shd w:val="clear" w:color="auto" w:fill="auto"/>
          </w:tcPr>
          <w:p w14:paraId="02D4E059" w14:textId="77777777" w:rsidR="00EE2F19" w:rsidRPr="00227C4B" w:rsidRDefault="00EE2F19" w:rsidP="00152247">
            <w:pPr>
              <w:tabs>
                <w:tab w:val="left" w:pos="284"/>
              </w:tabs>
              <w:jc w:val="center"/>
              <w:rPr>
                <w:sz w:val="20"/>
                <w:szCs w:val="16"/>
              </w:rPr>
            </w:pPr>
          </w:p>
          <w:p w14:paraId="3BAF7B1E" w14:textId="77777777" w:rsidR="00EE2F19" w:rsidRPr="00227C4B" w:rsidRDefault="00EE2F19" w:rsidP="00152247">
            <w:pPr>
              <w:tabs>
                <w:tab w:val="left" w:pos="284"/>
              </w:tabs>
              <w:jc w:val="center"/>
              <w:rPr>
                <w:sz w:val="16"/>
                <w:szCs w:val="16"/>
              </w:rPr>
            </w:pPr>
            <w:r w:rsidRPr="00227C4B">
              <w:rPr>
                <w:sz w:val="16"/>
                <w:szCs w:val="16"/>
              </w:rPr>
              <w:t xml:space="preserve">59,9 </w:t>
            </w:r>
            <w:r w:rsidRPr="00227C4B">
              <w:rPr>
                <w:rFonts w:ascii="Wingdings 3" w:hAnsi="Wingdings 3" w:cs="Wingdings 3"/>
                <w:sz w:val="16"/>
                <w:szCs w:val="16"/>
              </w:rPr>
              <w:t></w:t>
            </w:r>
            <w:r w:rsidRPr="00227C4B">
              <w:rPr>
                <w:sz w:val="16"/>
                <w:szCs w:val="16"/>
              </w:rPr>
              <w:t xml:space="preserve"> 58,6</w:t>
            </w:r>
          </w:p>
          <w:p w14:paraId="5612FE00" w14:textId="77777777" w:rsidR="00EE2F19" w:rsidRPr="00227C4B" w:rsidRDefault="00EE2F19" w:rsidP="00152247">
            <w:pPr>
              <w:tabs>
                <w:tab w:val="left" w:pos="284"/>
              </w:tabs>
              <w:jc w:val="center"/>
              <w:rPr>
                <w:sz w:val="16"/>
                <w:szCs w:val="16"/>
              </w:rPr>
            </w:pPr>
            <w:r w:rsidRPr="00227C4B">
              <w:rPr>
                <w:sz w:val="16"/>
                <w:szCs w:val="16"/>
              </w:rPr>
              <w:t>-1,37</w:t>
            </w:r>
          </w:p>
          <w:p w14:paraId="31A71726" w14:textId="77777777" w:rsidR="00EE2F19" w:rsidRPr="00227C4B" w:rsidRDefault="00EE2F19" w:rsidP="00152247">
            <w:pPr>
              <w:tabs>
                <w:tab w:val="left" w:pos="284"/>
              </w:tabs>
              <w:jc w:val="center"/>
              <w:rPr>
                <w:i/>
                <w:sz w:val="16"/>
                <w:szCs w:val="16"/>
              </w:rPr>
            </w:pPr>
            <w:r w:rsidRPr="00227C4B">
              <w:rPr>
                <w:i/>
                <w:sz w:val="16"/>
                <w:szCs w:val="16"/>
              </w:rPr>
              <w:t>0,47 [-0,41;1,36]</w:t>
            </w:r>
            <w:r w:rsidRPr="00227C4B">
              <w:rPr>
                <w:i/>
                <w:sz w:val="16"/>
                <w:szCs w:val="16"/>
                <w:vertAlign w:val="superscript"/>
              </w:rPr>
              <w:t>D</w:t>
            </w:r>
          </w:p>
        </w:tc>
        <w:tc>
          <w:tcPr>
            <w:tcW w:w="1950" w:type="dxa"/>
            <w:tcBorders>
              <w:top w:val="single" w:sz="4" w:space="0" w:color="auto"/>
              <w:left w:val="nil"/>
              <w:bottom w:val="single" w:sz="4" w:space="0" w:color="auto"/>
              <w:right w:val="single" w:sz="4" w:space="0" w:color="auto"/>
            </w:tcBorders>
            <w:shd w:val="clear" w:color="auto" w:fill="auto"/>
          </w:tcPr>
          <w:p w14:paraId="722FDBC7" w14:textId="77777777" w:rsidR="00EE2F19" w:rsidRPr="00227C4B" w:rsidRDefault="00EE2F19" w:rsidP="00152247">
            <w:pPr>
              <w:tabs>
                <w:tab w:val="left" w:pos="284"/>
              </w:tabs>
              <w:jc w:val="center"/>
              <w:rPr>
                <w:sz w:val="20"/>
                <w:szCs w:val="16"/>
              </w:rPr>
            </w:pPr>
          </w:p>
          <w:p w14:paraId="310F4C5E" w14:textId="77777777" w:rsidR="00EE2F19" w:rsidRPr="00227C4B" w:rsidRDefault="00EE2F19" w:rsidP="00152247">
            <w:pPr>
              <w:tabs>
                <w:tab w:val="left" w:pos="284"/>
              </w:tabs>
              <w:jc w:val="center"/>
              <w:rPr>
                <w:sz w:val="16"/>
                <w:szCs w:val="16"/>
              </w:rPr>
            </w:pPr>
            <w:r w:rsidRPr="00227C4B">
              <w:rPr>
                <w:sz w:val="16"/>
                <w:szCs w:val="16"/>
              </w:rPr>
              <w:t xml:space="preserve">59,3 </w:t>
            </w:r>
            <w:r w:rsidRPr="00227C4B">
              <w:rPr>
                <w:rFonts w:ascii="Wingdings 3" w:hAnsi="Wingdings 3" w:cs="Wingdings 3"/>
                <w:sz w:val="16"/>
                <w:szCs w:val="16"/>
              </w:rPr>
              <w:t></w:t>
            </w:r>
            <w:r w:rsidRPr="00227C4B">
              <w:rPr>
                <w:sz w:val="16"/>
                <w:szCs w:val="16"/>
              </w:rPr>
              <w:t xml:space="preserve"> 57,6</w:t>
            </w:r>
          </w:p>
          <w:p w14:paraId="32F17B5B" w14:textId="77777777" w:rsidR="00EE2F19" w:rsidRPr="00227C4B" w:rsidRDefault="00EE2F19" w:rsidP="00152247">
            <w:pPr>
              <w:tabs>
                <w:tab w:val="left" w:pos="284"/>
              </w:tabs>
              <w:jc w:val="center"/>
              <w:rPr>
                <w:b/>
                <w:sz w:val="16"/>
                <w:szCs w:val="16"/>
              </w:rPr>
            </w:pPr>
            <w:r w:rsidRPr="00227C4B">
              <w:rPr>
                <w:sz w:val="16"/>
                <w:szCs w:val="16"/>
              </w:rPr>
              <w:t>-1,84</w:t>
            </w:r>
          </w:p>
        </w:tc>
      </w:tr>
      <w:tr w:rsidR="00EE2F19" w:rsidRPr="00227C4B" w14:paraId="2ACB1EA4" w14:textId="77777777" w:rsidTr="00152247">
        <w:tc>
          <w:tcPr>
            <w:tcW w:w="3794" w:type="dxa"/>
            <w:tcBorders>
              <w:top w:val="single" w:sz="4" w:space="0" w:color="auto"/>
              <w:left w:val="single" w:sz="4" w:space="0" w:color="auto"/>
              <w:bottom w:val="single" w:sz="4" w:space="0" w:color="auto"/>
              <w:right w:val="nil"/>
            </w:tcBorders>
            <w:shd w:val="clear" w:color="auto" w:fill="auto"/>
            <w:hideMark/>
          </w:tcPr>
          <w:p w14:paraId="6B886BCA" w14:textId="77777777" w:rsidR="00EE2F19" w:rsidRPr="00227C4B" w:rsidRDefault="00EE2F19" w:rsidP="00152247">
            <w:pPr>
              <w:tabs>
                <w:tab w:val="left" w:pos="284"/>
              </w:tabs>
              <w:jc w:val="both"/>
              <w:rPr>
                <w:b/>
                <w:sz w:val="20"/>
                <w:szCs w:val="20"/>
              </w:rPr>
            </w:pPr>
            <w:proofErr w:type="spellStart"/>
            <w:r w:rsidRPr="00227C4B">
              <w:rPr>
                <w:b/>
                <w:sz w:val="20"/>
                <w:szCs w:val="20"/>
              </w:rPr>
              <w:t>Povećanje</w:t>
            </w:r>
            <w:proofErr w:type="spellEnd"/>
            <w:r w:rsidRPr="00227C4B">
              <w:rPr>
                <w:b/>
                <w:sz w:val="20"/>
                <w:szCs w:val="20"/>
              </w:rPr>
              <w:t xml:space="preserve"> </w:t>
            </w:r>
            <w:proofErr w:type="spellStart"/>
            <w:r w:rsidRPr="00227C4B">
              <w:rPr>
                <w:b/>
                <w:sz w:val="20"/>
                <w:szCs w:val="20"/>
              </w:rPr>
              <w:t>glukoze</w:t>
            </w:r>
            <w:proofErr w:type="spellEnd"/>
            <w:r w:rsidRPr="00227C4B">
              <w:rPr>
                <w:b/>
                <w:sz w:val="20"/>
                <w:szCs w:val="20"/>
              </w:rPr>
              <w:t xml:space="preserve"> 2 h </w:t>
            </w:r>
            <w:proofErr w:type="spellStart"/>
            <w:r w:rsidRPr="00227C4B">
              <w:rPr>
                <w:b/>
                <w:sz w:val="20"/>
                <w:szCs w:val="20"/>
              </w:rPr>
              <w:t>nakon</w:t>
            </w:r>
            <w:proofErr w:type="spellEnd"/>
            <w:r w:rsidRPr="00227C4B">
              <w:rPr>
                <w:b/>
                <w:sz w:val="20"/>
                <w:szCs w:val="20"/>
              </w:rPr>
              <w:t xml:space="preserve"> </w:t>
            </w:r>
            <w:proofErr w:type="spellStart"/>
            <w:r w:rsidRPr="00227C4B">
              <w:rPr>
                <w:b/>
                <w:sz w:val="20"/>
                <w:szCs w:val="20"/>
              </w:rPr>
              <w:t>obroka</w:t>
            </w:r>
            <w:proofErr w:type="spellEnd"/>
          </w:p>
          <w:p w14:paraId="6B9C129A" w14:textId="0251CB35" w:rsidR="00EE2F19" w:rsidRPr="00227C4B" w:rsidRDefault="00EE2F19" w:rsidP="00152247">
            <w:pPr>
              <w:tabs>
                <w:tab w:val="left" w:pos="284"/>
              </w:tabs>
              <w:jc w:val="both"/>
              <w:rPr>
                <w:b/>
                <w:sz w:val="20"/>
                <w:szCs w:val="20"/>
              </w:rPr>
            </w:pPr>
            <w:r w:rsidRPr="00227C4B">
              <w:rPr>
                <w:b/>
                <w:sz w:val="20"/>
                <w:szCs w:val="20"/>
              </w:rPr>
              <w:t>(mmol/</w:t>
            </w:r>
            <w:r w:rsidR="003C7F98">
              <w:rPr>
                <w:b/>
                <w:sz w:val="20"/>
                <w:szCs w:val="20"/>
              </w:rPr>
              <w:t>l</w:t>
            </w:r>
            <w:r w:rsidRPr="00227C4B">
              <w:rPr>
                <w:b/>
                <w:sz w:val="20"/>
                <w:szCs w:val="20"/>
              </w:rPr>
              <w:t>)</w:t>
            </w:r>
            <w:r w:rsidRPr="00227C4B">
              <w:rPr>
                <w:b/>
                <w:sz w:val="20"/>
                <w:szCs w:val="20"/>
                <w:vertAlign w:val="superscript"/>
              </w:rPr>
              <w:t>A</w:t>
            </w:r>
          </w:p>
          <w:p w14:paraId="5D827F47" w14:textId="77777777" w:rsidR="00EE2F19" w:rsidRPr="00227C4B" w:rsidRDefault="00EE2F19" w:rsidP="00152247">
            <w:pPr>
              <w:tabs>
                <w:tab w:val="left" w:pos="284"/>
              </w:tabs>
              <w:jc w:val="both"/>
              <w:rPr>
                <w:sz w:val="16"/>
                <w:szCs w:val="16"/>
              </w:rPr>
            </w:pPr>
            <w:proofErr w:type="spellStart"/>
            <w:r w:rsidRPr="00227C4B">
              <w:rPr>
                <w:sz w:val="16"/>
                <w:szCs w:val="16"/>
              </w:rPr>
              <w:t>Početna</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w:t>
            </w:r>
            <w:proofErr w:type="spellEnd"/>
            <w:r w:rsidRPr="00227C4B">
              <w:rPr>
                <w:sz w:val="16"/>
                <w:szCs w:val="16"/>
              </w:rPr>
              <w:t xml:space="preserve"> </w:t>
            </w:r>
            <w:r w:rsidRPr="00227C4B">
              <w:rPr>
                <w:sz w:val="16"/>
                <w:szCs w:val="16"/>
                <w:lang w:val="en-GB"/>
              </w:rPr>
              <w:sym w:font="Wingdings 3" w:char="F09E"/>
            </w:r>
            <w:r w:rsidRPr="00227C4B">
              <w:rPr>
                <w:sz w:val="16"/>
                <w:szCs w:val="16"/>
              </w:rPr>
              <w:t xml:space="preserve"> Kraj </w:t>
            </w:r>
            <w:proofErr w:type="spellStart"/>
            <w:r w:rsidRPr="00227C4B">
              <w:rPr>
                <w:sz w:val="16"/>
                <w:szCs w:val="16"/>
              </w:rPr>
              <w:t>ispitivanja</w:t>
            </w:r>
            <w:proofErr w:type="spellEnd"/>
          </w:p>
          <w:p w14:paraId="72599ED5" w14:textId="77777777" w:rsidR="00EE2F19" w:rsidRPr="00227C4B" w:rsidRDefault="00EE2F19" w:rsidP="00152247">
            <w:pPr>
              <w:tabs>
                <w:tab w:val="left" w:pos="284"/>
              </w:tabs>
              <w:jc w:val="both"/>
              <w:rPr>
                <w:sz w:val="16"/>
                <w:szCs w:val="16"/>
              </w:rPr>
            </w:pPr>
            <w:proofErr w:type="spellStart"/>
            <w:r w:rsidRPr="00227C4B">
              <w:rPr>
                <w:sz w:val="16"/>
                <w:szCs w:val="16"/>
              </w:rPr>
              <w:t>Prilagođena</w:t>
            </w:r>
            <w:proofErr w:type="spellEnd"/>
            <w:r w:rsidRPr="00227C4B">
              <w:rPr>
                <w:sz w:val="16"/>
                <w:szCs w:val="16"/>
              </w:rPr>
              <w:t xml:space="preserve"> </w:t>
            </w:r>
            <w:proofErr w:type="spellStart"/>
            <w:r w:rsidRPr="00227C4B">
              <w:rPr>
                <w:sz w:val="16"/>
                <w:szCs w:val="16"/>
              </w:rPr>
              <w:t>prom</w:t>
            </w:r>
            <w:r>
              <w:rPr>
                <w:sz w:val="16"/>
                <w:szCs w:val="16"/>
              </w:rPr>
              <w:t>j</w:t>
            </w:r>
            <w:r w:rsidRPr="00227C4B">
              <w:rPr>
                <w:sz w:val="16"/>
                <w:szCs w:val="16"/>
              </w:rPr>
              <w:t>ena</w:t>
            </w:r>
            <w:proofErr w:type="spellEnd"/>
            <w:r w:rsidRPr="00227C4B">
              <w:rPr>
                <w:sz w:val="16"/>
                <w:szCs w:val="16"/>
              </w:rPr>
              <w:t xml:space="preserve"> </w:t>
            </w:r>
            <w:proofErr w:type="spellStart"/>
            <w:r w:rsidRPr="00227C4B">
              <w:rPr>
                <w:sz w:val="16"/>
                <w:szCs w:val="16"/>
              </w:rPr>
              <w:t>od</w:t>
            </w:r>
            <w:proofErr w:type="spellEnd"/>
            <w:r w:rsidRPr="00227C4B">
              <w:rPr>
                <w:sz w:val="16"/>
                <w:szCs w:val="16"/>
              </w:rPr>
              <w:t xml:space="preserve"> </w:t>
            </w:r>
            <w:proofErr w:type="spellStart"/>
            <w:r w:rsidRPr="00227C4B">
              <w:rPr>
                <w:sz w:val="16"/>
                <w:szCs w:val="16"/>
              </w:rPr>
              <w:t>početne</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ednosti</w:t>
            </w:r>
            <w:proofErr w:type="spellEnd"/>
          </w:p>
          <w:p w14:paraId="732F3BA0" w14:textId="77777777" w:rsidR="00EE2F19" w:rsidRPr="00227C4B" w:rsidRDefault="00EE2F19" w:rsidP="00152247">
            <w:pPr>
              <w:tabs>
                <w:tab w:val="left" w:pos="284"/>
              </w:tabs>
              <w:jc w:val="both"/>
              <w:rPr>
                <w:b/>
                <w:sz w:val="22"/>
                <w:szCs w:val="22"/>
              </w:rPr>
            </w:pPr>
            <w:proofErr w:type="spellStart"/>
            <w:r w:rsidRPr="00227C4B">
              <w:rPr>
                <w:i/>
                <w:sz w:val="16"/>
                <w:szCs w:val="16"/>
              </w:rPr>
              <w:t>Proc</w:t>
            </w:r>
            <w:r w:rsidR="005A154F">
              <w:rPr>
                <w:i/>
                <w:sz w:val="16"/>
                <w:szCs w:val="16"/>
              </w:rPr>
              <w:t>i</w:t>
            </w:r>
            <w:r>
              <w:rPr>
                <w:i/>
                <w:sz w:val="16"/>
                <w:szCs w:val="16"/>
              </w:rPr>
              <w:t>j</w:t>
            </w:r>
            <w:r w:rsidRPr="00227C4B">
              <w:rPr>
                <w:i/>
                <w:sz w:val="16"/>
                <w:szCs w:val="16"/>
              </w:rPr>
              <w:t>enjena</w:t>
            </w:r>
            <w:proofErr w:type="spellEnd"/>
            <w:r w:rsidRPr="00227C4B">
              <w:rPr>
                <w:i/>
                <w:sz w:val="16"/>
                <w:szCs w:val="16"/>
              </w:rPr>
              <w:t xml:space="preserve"> </w:t>
            </w:r>
            <w:proofErr w:type="spellStart"/>
            <w:r w:rsidRPr="00227C4B">
              <w:rPr>
                <w:i/>
                <w:sz w:val="16"/>
                <w:szCs w:val="16"/>
              </w:rPr>
              <w:t>razlika</w:t>
            </w:r>
            <w:proofErr w:type="spellEnd"/>
            <w:r w:rsidRPr="00227C4B">
              <w:rPr>
                <w:i/>
                <w:sz w:val="16"/>
                <w:szCs w:val="16"/>
              </w:rPr>
              <w:t xml:space="preserve"> u </w:t>
            </w:r>
            <w:proofErr w:type="spellStart"/>
            <w:r w:rsidRPr="00227C4B">
              <w:rPr>
                <w:i/>
                <w:sz w:val="16"/>
                <w:szCs w:val="16"/>
              </w:rPr>
              <w:t>l</w:t>
            </w:r>
            <w:r>
              <w:rPr>
                <w:i/>
                <w:sz w:val="16"/>
                <w:szCs w:val="16"/>
              </w:rPr>
              <w:t>ij</w:t>
            </w:r>
            <w:r w:rsidRPr="00227C4B">
              <w:rPr>
                <w:i/>
                <w:sz w:val="16"/>
                <w:szCs w:val="16"/>
              </w:rPr>
              <w:t>ečenju</w:t>
            </w:r>
            <w:proofErr w:type="spellEnd"/>
          </w:p>
        </w:tc>
        <w:tc>
          <w:tcPr>
            <w:tcW w:w="2126" w:type="dxa"/>
            <w:tcBorders>
              <w:top w:val="single" w:sz="4" w:space="0" w:color="auto"/>
              <w:left w:val="nil"/>
              <w:bottom w:val="single" w:sz="4" w:space="0" w:color="auto"/>
              <w:right w:val="nil"/>
            </w:tcBorders>
            <w:shd w:val="clear" w:color="auto" w:fill="auto"/>
          </w:tcPr>
          <w:p w14:paraId="760F58D7" w14:textId="77777777" w:rsidR="00EE2F19" w:rsidRPr="00227C4B" w:rsidRDefault="00EE2F19" w:rsidP="00152247">
            <w:pPr>
              <w:tabs>
                <w:tab w:val="left" w:pos="284"/>
              </w:tabs>
              <w:jc w:val="center"/>
              <w:rPr>
                <w:sz w:val="20"/>
                <w:szCs w:val="16"/>
              </w:rPr>
            </w:pPr>
          </w:p>
          <w:p w14:paraId="45D029B7" w14:textId="77777777" w:rsidR="00EE2F19" w:rsidRPr="00227C4B" w:rsidRDefault="00EE2F19" w:rsidP="00152247">
            <w:pPr>
              <w:tabs>
                <w:tab w:val="left" w:pos="284"/>
              </w:tabs>
              <w:jc w:val="center"/>
              <w:rPr>
                <w:sz w:val="20"/>
                <w:szCs w:val="16"/>
              </w:rPr>
            </w:pPr>
          </w:p>
          <w:p w14:paraId="5DDD23D3" w14:textId="77777777" w:rsidR="00EE2F19" w:rsidRPr="00227C4B" w:rsidRDefault="00EE2F19" w:rsidP="00152247">
            <w:pPr>
              <w:tabs>
                <w:tab w:val="left" w:pos="284"/>
              </w:tabs>
              <w:jc w:val="center"/>
              <w:rPr>
                <w:sz w:val="16"/>
                <w:szCs w:val="16"/>
              </w:rPr>
            </w:pPr>
            <w:r w:rsidRPr="00227C4B">
              <w:rPr>
                <w:sz w:val="16"/>
                <w:szCs w:val="16"/>
              </w:rPr>
              <w:t xml:space="preserve">6,1 </w:t>
            </w:r>
            <w:r w:rsidRPr="00227C4B">
              <w:rPr>
                <w:rFonts w:ascii="Wingdings 3" w:hAnsi="Wingdings 3" w:cs="Wingdings 3"/>
                <w:sz w:val="16"/>
                <w:szCs w:val="16"/>
              </w:rPr>
              <w:t></w:t>
            </w:r>
            <w:r w:rsidRPr="00227C4B">
              <w:rPr>
                <w:sz w:val="16"/>
                <w:szCs w:val="16"/>
              </w:rPr>
              <w:t xml:space="preserve"> 5,9</w:t>
            </w:r>
          </w:p>
          <w:p w14:paraId="07B44766" w14:textId="77777777" w:rsidR="00EE2F19" w:rsidRPr="00227C4B" w:rsidRDefault="00EE2F19" w:rsidP="00152247">
            <w:pPr>
              <w:tabs>
                <w:tab w:val="left" w:pos="284"/>
              </w:tabs>
              <w:jc w:val="center"/>
              <w:rPr>
                <w:sz w:val="16"/>
                <w:szCs w:val="16"/>
              </w:rPr>
            </w:pPr>
            <w:r w:rsidRPr="00227C4B">
              <w:rPr>
                <w:sz w:val="16"/>
                <w:szCs w:val="16"/>
              </w:rPr>
              <w:t>-0,29</w:t>
            </w:r>
          </w:p>
          <w:p w14:paraId="2A23BD31" w14:textId="77777777" w:rsidR="00EE2F19" w:rsidRPr="00227C4B" w:rsidRDefault="00EE2F19" w:rsidP="00152247">
            <w:pPr>
              <w:tabs>
                <w:tab w:val="left" w:pos="284"/>
              </w:tabs>
              <w:jc w:val="center"/>
              <w:rPr>
                <w:i/>
                <w:sz w:val="16"/>
                <w:szCs w:val="16"/>
              </w:rPr>
            </w:pPr>
            <w:r w:rsidRPr="00227C4B">
              <w:rPr>
                <w:i/>
                <w:sz w:val="16"/>
                <w:szCs w:val="16"/>
              </w:rPr>
              <w:t>-0,67 [-1,29;-0,04]</w:t>
            </w:r>
            <w:r w:rsidRPr="00227C4B">
              <w:rPr>
                <w:i/>
                <w:sz w:val="16"/>
                <w:szCs w:val="16"/>
                <w:vertAlign w:val="superscript"/>
              </w:rPr>
              <w:t>CE</w:t>
            </w:r>
          </w:p>
        </w:tc>
        <w:tc>
          <w:tcPr>
            <w:tcW w:w="1985" w:type="dxa"/>
            <w:tcBorders>
              <w:top w:val="single" w:sz="4" w:space="0" w:color="auto"/>
              <w:left w:val="nil"/>
              <w:bottom w:val="single" w:sz="4" w:space="0" w:color="auto"/>
              <w:right w:val="nil"/>
            </w:tcBorders>
            <w:shd w:val="clear" w:color="auto" w:fill="auto"/>
          </w:tcPr>
          <w:p w14:paraId="381DCFED" w14:textId="77777777" w:rsidR="00EE2F19" w:rsidRPr="00227C4B" w:rsidRDefault="00EE2F19" w:rsidP="00152247">
            <w:pPr>
              <w:tabs>
                <w:tab w:val="left" w:pos="284"/>
              </w:tabs>
              <w:jc w:val="center"/>
              <w:rPr>
                <w:sz w:val="20"/>
                <w:szCs w:val="16"/>
              </w:rPr>
            </w:pPr>
          </w:p>
          <w:p w14:paraId="6ABE89BE" w14:textId="77777777" w:rsidR="00EE2F19" w:rsidRPr="00227C4B" w:rsidRDefault="00EE2F19" w:rsidP="00152247">
            <w:pPr>
              <w:tabs>
                <w:tab w:val="left" w:pos="284"/>
              </w:tabs>
              <w:jc w:val="center"/>
              <w:rPr>
                <w:sz w:val="20"/>
                <w:szCs w:val="16"/>
              </w:rPr>
            </w:pPr>
          </w:p>
          <w:p w14:paraId="2AB72547" w14:textId="77777777" w:rsidR="00EE2F19" w:rsidRPr="00227C4B" w:rsidRDefault="00EE2F19" w:rsidP="00152247">
            <w:pPr>
              <w:tabs>
                <w:tab w:val="left" w:pos="284"/>
              </w:tabs>
              <w:jc w:val="center"/>
              <w:rPr>
                <w:sz w:val="16"/>
                <w:szCs w:val="16"/>
              </w:rPr>
            </w:pPr>
            <w:r w:rsidRPr="00227C4B">
              <w:rPr>
                <w:sz w:val="16"/>
                <w:szCs w:val="16"/>
              </w:rPr>
              <w:t xml:space="preserve">6,1 </w:t>
            </w:r>
            <w:r w:rsidRPr="00227C4B">
              <w:rPr>
                <w:rFonts w:ascii="Wingdings 3" w:hAnsi="Wingdings 3" w:cs="Wingdings 3"/>
                <w:sz w:val="16"/>
                <w:szCs w:val="16"/>
              </w:rPr>
              <w:t></w:t>
            </w:r>
            <w:r w:rsidRPr="00227C4B">
              <w:rPr>
                <w:sz w:val="16"/>
                <w:szCs w:val="16"/>
              </w:rPr>
              <w:t xml:space="preserve"> 6,7</w:t>
            </w:r>
          </w:p>
          <w:p w14:paraId="4F1DD3CF" w14:textId="77777777" w:rsidR="00EE2F19" w:rsidRPr="00227C4B" w:rsidRDefault="00EE2F19" w:rsidP="00152247">
            <w:pPr>
              <w:tabs>
                <w:tab w:val="left" w:pos="284"/>
              </w:tabs>
              <w:jc w:val="center"/>
              <w:rPr>
                <w:sz w:val="16"/>
                <w:szCs w:val="16"/>
              </w:rPr>
            </w:pPr>
            <w:r w:rsidRPr="00227C4B">
              <w:rPr>
                <w:sz w:val="16"/>
                <w:szCs w:val="16"/>
              </w:rPr>
              <w:t>0,67</w:t>
            </w:r>
          </w:p>
          <w:p w14:paraId="46537CD2" w14:textId="77777777" w:rsidR="00EE2F19" w:rsidRPr="00227C4B" w:rsidRDefault="00EE2F19" w:rsidP="00152247">
            <w:pPr>
              <w:tabs>
                <w:tab w:val="left" w:pos="284"/>
              </w:tabs>
              <w:jc w:val="center"/>
              <w:rPr>
                <w:b/>
                <w:i/>
                <w:sz w:val="16"/>
                <w:szCs w:val="16"/>
              </w:rPr>
            </w:pPr>
            <w:r w:rsidRPr="00227C4B">
              <w:rPr>
                <w:i/>
                <w:sz w:val="16"/>
                <w:szCs w:val="16"/>
              </w:rPr>
              <w:t>0,30 [-0,34;0,93]</w:t>
            </w:r>
            <w:r w:rsidRPr="00227C4B">
              <w:rPr>
                <w:i/>
                <w:sz w:val="16"/>
                <w:szCs w:val="16"/>
                <w:vertAlign w:val="superscript"/>
              </w:rPr>
              <w:t>D</w:t>
            </w:r>
          </w:p>
        </w:tc>
        <w:tc>
          <w:tcPr>
            <w:tcW w:w="1950" w:type="dxa"/>
            <w:tcBorders>
              <w:top w:val="single" w:sz="4" w:space="0" w:color="auto"/>
              <w:left w:val="nil"/>
              <w:bottom w:val="single" w:sz="4" w:space="0" w:color="auto"/>
              <w:right w:val="single" w:sz="4" w:space="0" w:color="auto"/>
            </w:tcBorders>
            <w:shd w:val="clear" w:color="auto" w:fill="auto"/>
          </w:tcPr>
          <w:p w14:paraId="0BE86F37" w14:textId="77777777" w:rsidR="00EE2F19" w:rsidRPr="00227C4B" w:rsidRDefault="00EE2F19" w:rsidP="00152247">
            <w:pPr>
              <w:tabs>
                <w:tab w:val="left" w:pos="284"/>
              </w:tabs>
              <w:jc w:val="center"/>
              <w:rPr>
                <w:sz w:val="20"/>
                <w:szCs w:val="16"/>
              </w:rPr>
            </w:pPr>
          </w:p>
          <w:p w14:paraId="6EFF4C2C" w14:textId="77777777" w:rsidR="00EE2F19" w:rsidRPr="00227C4B" w:rsidRDefault="00EE2F19" w:rsidP="00152247">
            <w:pPr>
              <w:tabs>
                <w:tab w:val="left" w:pos="284"/>
              </w:tabs>
              <w:jc w:val="center"/>
              <w:rPr>
                <w:sz w:val="20"/>
                <w:szCs w:val="16"/>
              </w:rPr>
            </w:pPr>
          </w:p>
          <w:p w14:paraId="531A20DB" w14:textId="77777777" w:rsidR="00EE2F19" w:rsidRPr="00227C4B" w:rsidRDefault="00EE2F19" w:rsidP="00152247">
            <w:pPr>
              <w:tabs>
                <w:tab w:val="left" w:pos="284"/>
              </w:tabs>
              <w:jc w:val="center"/>
              <w:rPr>
                <w:sz w:val="16"/>
                <w:szCs w:val="16"/>
              </w:rPr>
            </w:pPr>
            <w:r w:rsidRPr="00227C4B">
              <w:rPr>
                <w:sz w:val="16"/>
                <w:szCs w:val="16"/>
              </w:rPr>
              <w:t xml:space="preserve">6,2 </w:t>
            </w:r>
            <w:r w:rsidRPr="00227C4B">
              <w:rPr>
                <w:rFonts w:ascii="Wingdings 3" w:hAnsi="Wingdings 3" w:cs="Wingdings 3"/>
                <w:sz w:val="16"/>
                <w:szCs w:val="16"/>
              </w:rPr>
              <w:t></w:t>
            </w:r>
            <w:r w:rsidRPr="00227C4B">
              <w:rPr>
                <w:sz w:val="16"/>
                <w:szCs w:val="16"/>
              </w:rPr>
              <w:t xml:space="preserve"> 6,6</w:t>
            </w:r>
          </w:p>
          <w:p w14:paraId="2C6B488D" w14:textId="77777777" w:rsidR="00EE2F19" w:rsidRPr="00227C4B" w:rsidRDefault="00EE2F19" w:rsidP="00152247">
            <w:pPr>
              <w:tabs>
                <w:tab w:val="left" w:pos="284"/>
              </w:tabs>
              <w:jc w:val="center"/>
              <w:rPr>
                <w:sz w:val="16"/>
                <w:szCs w:val="16"/>
              </w:rPr>
            </w:pPr>
            <w:r w:rsidRPr="00227C4B">
              <w:rPr>
                <w:sz w:val="16"/>
                <w:szCs w:val="16"/>
              </w:rPr>
              <w:t>0,38</w:t>
            </w:r>
          </w:p>
        </w:tc>
      </w:tr>
      <w:tr w:rsidR="00EE2F19" w:rsidRPr="00227C4B" w14:paraId="68FC56F2" w14:textId="77777777" w:rsidTr="00152247">
        <w:tc>
          <w:tcPr>
            <w:tcW w:w="3794" w:type="dxa"/>
            <w:tcBorders>
              <w:top w:val="single" w:sz="4" w:space="0" w:color="auto"/>
              <w:left w:val="single" w:sz="4" w:space="0" w:color="auto"/>
              <w:bottom w:val="single" w:sz="4" w:space="0" w:color="auto"/>
              <w:right w:val="nil"/>
            </w:tcBorders>
            <w:shd w:val="clear" w:color="auto" w:fill="auto"/>
            <w:hideMark/>
          </w:tcPr>
          <w:p w14:paraId="4D63561D" w14:textId="77777777" w:rsidR="00EE2F19" w:rsidRPr="00227C4B" w:rsidRDefault="00EE2F19" w:rsidP="00152247">
            <w:pPr>
              <w:tabs>
                <w:tab w:val="left" w:pos="284"/>
              </w:tabs>
              <w:jc w:val="both"/>
              <w:rPr>
                <w:b/>
                <w:sz w:val="20"/>
                <w:szCs w:val="20"/>
              </w:rPr>
            </w:pPr>
            <w:proofErr w:type="spellStart"/>
            <w:r w:rsidRPr="00227C4B">
              <w:rPr>
                <w:b/>
                <w:sz w:val="20"/>
                <w:szCs w:val="20"/>
              </w:rPr>
              <w:t>Povećanje</w:t>
            </w:r>
            <w:proofErr w:type="spellEnd"/>
            <w:r w:rsidRPr="00227C4B">
              <w:rPr>
                <w:b/>
                <w:sz w:val="20"/>
                <w:szCs w:val="20"/>
              </w:rPr>
              <w:t xml:space="preserve"> </w:t>
            </w:r>
            <w:proofErr w:type="spellStart"/>
            <w:r w:rsidRPr="00227C4B">
              <w:rPr>
                <w:b/>
                <w:sz w:val="20"/>
                <w:szCs w:val="20"/>
              </w:rPr>
              <w:t>glukoze</w:t>
            </w:r>
            <w:proofErr w:type="spellEnd"/>
            <w:r w:rsidRPr="00227C4B">
              <w:rPr>
                <w:b/>
                <w:sz w:val="20"/>
                <w:szCs w:val="20"/>
              </w:rPr>
              <w:t xml:space="preserve"> 1 h </w:t>
            </w:r>
            <w:proofErr w:type="spellStart"/>
            <w:r w:rsidRPr="00227C4B">
              <w:rPr>
                <w:b/>
                <w:sz w:val="20"/>
                <w:szCs w:val="20"/>
              </w:rPr>
              <w:t>nakon</w:t>
            </w:r>
            <w:proofErr w:type="spellEnd"/>
            <w:r w:rsidRPr="00227C4B">
              <w:rPr>
                <w:b/>
                <w:sz w:val="20"/>
                <w:szCs w:val="20"/>
              </w:rPr>
              <w:t xml:space="preserve"> </w:t>
            </w:r>
            <w:proofErr w:type="spellStart"/>
            <w:r w:rsidRPr="00227C4B">
              <w:rPr>
                <w:b/>
                <w:sz w:val="20"/>
                <w:szCs w:val="20"/>
              </w:rPr>
              <w:t>obroka</w:t>
            </w:r>
            <w:proofErr w:type="spellEnd"/>
          </w:p>
          <w:p w14:paraId="76EB7CE2" w14:textId="16ED5E56" w:rsidR="00EE2F19" w:rsidRPr="00227C4B" w:rsidRDefault="00EE2F19" w:rsidP="00152247">
            <w:pPr>
              <w:tabs>
                <w:tab w:val="left" w:pos="284"/>
              </w:tabs>
              <w:jc w:val="both"/>
              <w:rPr>
                <w:b/>
                <w:sz w:val="20"/>
                <w:szCs w:val="20"/>
              </w:rPr>
            </w:pPr>
            <w:r w:rsidRPr="00227C4B">
              <w:rPr>
                <w:b/>
                <w:sz w:val="20"/>
                <w:szCs w:val="20"/>
              </w:rPr>
              <w:t>(mmol/</w:t>
            </w:r>
            <w:r w:rsidR="003C7F98">
              <w:rPr>
                <w:b/>
                <w:sz w:val="20"/>
                <w:szCs w:val="20"/>
              </w:rPr>
              <w:t>l</w:t>
            </w:r>
            <w:r w:rsidRPr="00227C4B">
              <w:rPr>
                <w:b/>
                <w:sz w:val="20"/>
                <w:szCs w:val="20"/>
              </w:rPr>
              <w:t>)</w:t>
            </w:r>
            <w:r w:rsidRPr="00227C4B">
              <w:rPr>
                <w:b/>
                <w:sz w:val="20"/>
                <w:szCs w:val="20"/>
                <w:vertAlign w:val="superscript"/>
              </w:rPr>
              <w:t>A</w:t>
            </w:r>
          </w:p>
          <w:p w14:paraId="4322EEF3" w14:textId="77777777" w:rsidR="00EE2F19" w:rsidRPr="00227C4B" w:rsidRDefault="00EE2F19" w:rsidP="00152247">
            <w:pPr>
              <w:tabs>
                <w:tab w:val="left" w:pos="284"/>
              </w:tabs>
              <w:jc w:val="both"/>
              <w:rPr>
                <w:sz w:val="16"/>
                <w:szCs w:val="16"/>
              </w:rPr>
            </w:pPr>
            <w:proofErr w:type="spellStart"/>
            <w:r w:rsidRPr="00227C4B">
              <w:rPr>
                <w:sz w:val="16"/>
                <w:szCs w:val="16"/>
              </w:rPr>
              <w:t>Početna</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w:t>
            </w:r>
            <w:proofErr w:type="spellEnd"/>
            <w:r w:rsidRPr="00227C4B">
              <w:rPr>
                <w:sz w:val="16"/>
                <w:szCs w:val="16"/>
              </w:rPr>
              <w:t xml:space="preserve"> </w:t>
            </w:r>
            <w:r w:rsidRPr="00227C4B">
              <w:rPr>
                <w:sz w:val="16"/>
                <w:szCs w:val="16"/>
                <w:lang w:val="en-GB"/>
              </w:rPr>
              <w:sym w:font="Wingdings 3" w:char="F09E"/>
            </w:r>
            <w:r w:rsidRPr="00227C4B">
              <w:rPr>
                <w:sz w:val="16"/>
                <w:szCs w:val="16"/>
              </w:rPr>
              <w:t xml:space="preserve"> Kraj </w:t>
            </w:r>
            <w:proofErr w:type="spellStart"/>
            <w:r w:rsidRPr="00227C4B">
              <w:rPr>
                <w:sz w:val="16"/>
                <w:szCs w:val="16"/>
              </w:rPr>
              <w:t>ispitivanja</w:t>
            </w:r>
            <w:proofErr w:type="spellEnd"/>
          </w:p>
          <w:p w14:paraId="2E35BC11" w14:textId="77777777" w:rsidR="00EE2F19" w:rsidRPr="00227C4B" w:rsidRDefault="00EE2F19" w:rsidP="00152247">
            <w:pPr>
              <w:tabs>
                <w:tab w:val="left" w:pos="284"/>
              </w:tabs>
              <w:jc w:val="both"/>
              <w:rPr>
                <w:sz w:val="16"/>
                <w:szCs w:val="16"/>
              </w:rPr>
            </w:pPr>
            <w:proofErr w:type="spellStart"/>
            <w:r w:rsidRPr="00227C4B">
              <w:rPr>
                <w:sz w:val="16"/>
                <w:szCs w:val="16"/>
              </w:rPr>
              <w:t>Prilagođena</w:t>
            </w:r>
            <w:proofErr w:type="spellEnd"/>
            <w:r w:rsidRPr="00227C4B">
              <w:rPr>
                <w:sz w:val="16"/>
                <w:szCs w:val="16"/>
              </w:rPr>
              <w:t xml:space="preserve"> </w:t>
            </w:r>
            <w:proofErr w:type="spellStart"/>
            <w:r w:rsidRPr="00227C4B">
              <w:rPr>
                <w:sz w:val="16"/>
                <w:szCs w:val="16"/>
              </w:rPr>
              <w:t>prom</w:t>
            </w:r>
            <w:r>
              <w:rPr>
                <w:sz w:val="16"/>
                <w:szCs w:val="16"/>
              </w:rPr>
              <w:t>j</w:t>
            </w:r>
            <w:r w:rsidRPr="00227C4B">
              <w:rPr>
                <w:sz w:val="16"/>
                <w:szCs w:val="16"/>
              </w:rPr>
              <w:t>ena</w:t>
            </w:r>
            <w:proofErr w:type="spellEnd"/>
            <w:r w:rsidRPr="00227C4B">
              <w:rPr>
                <w:sz w:val="16"/>
                <w:szCs w:val="16"/>
              </w:rPr>
              <w:t xml:space="preserve"> </w:t>
            </w:r>
            <w:proofErr w:type="spellStart"/>
            <w:r w:rsidRPr="00227C4B">
              <w:rPr>
                <w:sz w:val="16"/>
                <w:szCs w:val="16"/>
              </w:rPr>
              <w:t>od</w:t>
            </w:r>
            <w:proofErr w:type="spellEnd"/>
            <w:r w:rsidRPr="00227C4B">
              <w:rPr>
                <w:sz w:val="16"/>
                <w:szCs w:val="16"/>
              </w:rPr>
              <w:t xml:space="preserve"> </w:t>
            </w:r>
            <w:proofErr w:type="spellStart"/>
            <w:r w:rsidRPr="00227C4B">
              <w:rPr>
                <w:sz w:val="16"/>
                <w:szCs w:val="16"/>
              </w:rPr>
              <w:t>početne</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ednosti</w:t>
            </w:r>
            <w:proofErr w:type="spellEnd"/>
          </w:p>
          <w:p w14:paraId="5E7C9F35" w14:textId="77777777" w:rsidR="00EE2F19" w:rsidRPr="00227C4B" w:rsidRDefault="00EE2F19" w:rsidP="00152247">
            <w:pPr>
              <w:tabs>
                <w:tab w:val="left" w:pos="284"/>
              </w:tabs>
              <w:jc w:val="both"/>
              <w:rPr>
                <w:b/>
                <w:sz w:val="22"/>
                <w:szCs w:val="22"/>
              </w:rPr>
            </w:pPr>
            <w:proofErr w:type="spellStart"/>
            <w:r w:rsidRPr="00227C4B">
              <w:rPr>
                <w:i/>
                <w:sz w:val="16"/>
                <w:szCs w:val="16"/>
              </w:rPr>
              <w:lastRenderedPageBreak/>
              <w:t>Proc</w:t>
            </w:r>
            <w:r w:rsidR="005A154F">
              <w:rPr>
                <w:i/>
                <w:sz w:val="16"/>
                <w:szCs w:val="16"/>
              </w:rPr>
              <w:t>i</w:t>
            </w:r>
            <w:r>
              <w:rPr>
                <w:i/>
                <w:sz w:val="16"/>
                <w:szCs w:val="16"/>
              </w:rPr>
              <w:t>j</w:t>
            </w:r>
            <w:r w:rsidRPr="00227C4B">
              <w:rPr>
                <w:i/>
                <w:sz w:val="16"/>
                <w:szCs w:val="16"/>
              </w:rPr>
              <w:t>enjena</w:t>
            </w:r>
            <w:proofErr w:type="spellEnd"/>
            <w:r w:rsidRPr="00227C4B">
              <w:rPr>
                <w:i/>
                <w:sz w:val="16"/>
                <w:szCs w:val="16"/>
              </w:rPr>
              <w:t xml:space="preserve"> </w:t>
            </w:r>
            <w:proofErr w:type="spellStart"/>
            <w:r w:rsidRPr="00227C4B">
              <w:rPr>
                <w:i/>
                <w:sz w:val="16"/>
                <w:szCs w:val="16"/>
              </w:rPr>
              <w:t>razlika</w:t>
            </w:r>
            <w:proofErr w:type="spellEnd"/>
            <w:r w:rsidRPr="00227C4B">
              <w:rPr>
                <w:i/>
                <w:sz w:val="16"/>
                <w:szCs w:val="16"/>
              </w:rPr>
              <w:t xml:space="preserve"> u </w:t>
            </w:r>
            <w:proofErr w:type="spellStart"/>
            <w:r w:rsidRPr="00227C4B">
              <w:rPr>
                <w:i/>
                <w:sz w:val="16"/>
                <w:szCs w:val="16"/>
              </w:rPr>
              <w:t>l</w:t>
            </w:r>
            <w:r>
              <w:rPr>
                <w:i/>
                <w:sz w:val="16"/>
                <w:szCs w:val="16"/>
              </w:rPr>
              <w:t>ij</w:t>
            </w:r>
            <w:r w:rsidRPr="00227C4B">
              <w:rPr>
                <w:i/>
                <w:sz w:val="16"/>
                <w:szCs w:val="16"/>
              </w:rPr>
              <w:t>ečenju</w:t>
            </w:r>
            <w:proofErr w:type="spellEnd"/>
          </w:p>
        </w:tc>
        <w:tc>
          <w:tcPr>
            <w:tcW w:w="2126" w:type="dxa"/>
            <w:tcBorders>
              <w:top w:val="single" w:sz="4" w:space="0" w:color="auto"/>
              <w:left w:val="nil"/>
              <w:bottom w:val="single" w:sz="4" w:space="0" w:color="auto"/>
              <w:right w:val="nil"/>
            </w:tcBorders>
            <w:shd w:val="clear" w:color="auto" w:fill="auto"/>
          </w:tcPr>
          <w:p w14:paraId="6DF49595" w14:textId="77777777" w:rsidR="00EE2F19" w:rsidRPr="00227C4B" w:rsidRDefault="00EE2F19" w:rsidP="00152247">
            <w:pPr>
              <w:tabs>
                <w:tab w:val="left" w:pos="284"/>
              </w:tabs>
              <w:jc w:val="center"/>
              <w:rPr>
                <w:sz w:val="20"/>
                <w:szCs w:val="16"/>
              </w:rPr>
            </w:pPr>
          </w:p>
          <w:p w14:paraId="5B1B7375" w14:textId="77777777" w:rsidR="00EE2F19" w:rsidRPr="00227C4B" w:rsidRDefault="00EE2F19" w:rsidP="00152247">
            <w:pPr>
              <w:tabs>
                <w:tab w:val="left" w:pos="284"/>
              </w:tabs>
              <w:jc w:val="center"/>
              <w:rPr>
                <w:sz w:val="20"/>
                <w:szCs w:val="16"/>
              </w:rPr>
            </w:pPr>
          </w:p>
          <w:p w14:paraId="472932EF" w14:textId="77777777" w:rsidR="00EE2F19" w:rsidRPr="00227C4B" w:rsidRDefault="00EE2F19" w:rsidP="00152247">
            <w:pPr>
              <w:tabs>
                <w:tab w:val="left" w:pos="284"/>
              </w:tabs>
              <w:jc w:val="center"/>
              <w:rPr>
                <w:sz w:val="16"/>
                <w:szCs w:val="16"/>
              </w:rPr>
            </w:pPr>
            <w:r w:rsidRPr="00227C4B">
              <w:rPr>
                <w:sz w:val="16"/>
                <w:szCs w:val="16"/>
              </w:rPr>
              <w:t xml:space="preserve">5,4 </w:t>
            </w:r>
            <w:r w:rsidRPr="00227C4B">
              <w:rPr>
                <w:rFonts w:ascii="Wingdings 3" w:hAnsi="Wingdings 3" w:cs="Wingdings 3"/>
                <w:sz w:val="16"/>
                <w:szCs w:val="16"/>
              </w:rPr>
              <w:t></w:t>
            </w:r>
            <w:r w:rsidRPr="00227C4B">
              <w:rPr>
                <w:sz w:val="16"/>
                <w:szCs w:val="16"/>
              </w:rPr>
              <w:t xml:space="preserve"> 4,7</w:t>
            </w:r>
          </w:p>
          <w:p w14:paraId="1293D617" w14:textId="77777777" w:rsidR="00EE2F19" w:rsidRPr="00227C4B" w:rsidRDefault="00EE2F19" w:rsidP="00152247">
            <w:pPr>
              <w:tabs>
                <w:tab w:val="left" w:pos="284"/>
              </w:tabs>
              <w:jc w:val="center"/>
              <w:rPr>
                <w:sz w:val="16"/>
                <w:szCs w:val="16"/>
              </w:rPr>
            </w:pPr>
            <w:r w:rsidRPr="00227C4B">
              <w:rPr>
                <w:sz w:val="16"/>
                <w:szCs w:val="16"/>
              </w:rPr>
              <w:t>-0,84</w:t>
            </w:r>
          </w:p>
          <w:p w14:paraId="4C88ECF9" w14:textId="77777777" w:rsidR="00EE2F19" w:rsidRPr="00227C4B" w:rsidRDefault="00EE2F19" w:rsidP="00152247">
            <w:pPr>
              <w:tabs>
                <w:tab w:val="left" w:pos="284"/>
              </w:tabs>
              <w:jc w:val="center"/>
              <w:rPr>
                <w:i/>
                <w:sz w:val="16"/>
                <w:szCs w:val="16"/>
              </w:rPr>
            </w:pPr>
            <w:r w:rsidRPr="00227C4B">
              <w:rPr>
                <w:i/>
                <w:sz w:val="16"/>
                <w:szCs w:val="16"/>
              </w:rPr>
              <w:lastRenderedPageBreak/>
              <w:t>-1,18 [-1,65;-0,71]</w:t>
            </w:r>
            <w:r w:rsidRPr="00227C4B">
              <w:rPr>
                <w:i/>
                <w:sz w:val="16"/>
                <w:szCs w:val="16"/>
                <w:vertAlign w:val="superscript"/>
              </w:rPr>
              <w:t>CE</w:t>
            </w:r>
          </w:p>
        </w:tc>
        <w:tc>
          <w:tcPr>
            <w:tcW w:w="1985" w:type="dxa"/>
            <w:tcBorders>
              <w:top w:val="single" w:sz="4" w:space="0" w:color="auto"/>
              <w:left w:val="nil"/>
              <w:bottom w:val="single" w:sz="4" w:space="0" w:color="auto"/>
              <w:right w:val="nil"/>
            </w:tcBorders>
            <w:shd w:val="clear" w:color="auto" w:fill="auto"/>
          </w:tcPr>
          <w:p w14:paraId="3BF7E446" w14:textId="77777777" w:rsidR="00EE2F19" w:rsidRPr="00227C4B" w:rsidRDefault="00EE2F19" w:rsidP="00152247">
            <w:pPr>
              <w:tabs>
                <w:tab w:val="left" w:pos="284"/>
              </w:tabs>
              <w:jc w:val="center"/>
              <w:rPr>
                <w:sz w:val="20"/>
                <w:szCs w:val="16"/>
              </w:rPr>
            </w:pPr>
          </w:p>
          <w:p w14:paraId="2FFD26C6" w14:textId="77777777" w:rsidR="00EE2F19" w:rsidRPr="00227C4B" w:rsidRDefault="00EE2F19" w:rsidP="00152247">
            <w:pPr>
              <w:tabs>
                <w:tab w:val="left" w:pos="284"/>
              </w:tabs>
              <w:jc w:val="center"/>
              <w:rPr>
                <w:sz w:val="20"/>
                <w:szCs w:val="16"/>
              </w:rPr>
            </w:pPr>
          </w:p>
          <w:p w14:paraId="1DC54F80" w14:textId="77777777" w:rsidR="00EE2F19" w:rsidRPr="00227C4B" w:rsidRDefault="00EE2F19" w:rsidP="00152247">
            <w:pPr>
              <w:tabs>
                <w:tab w:val="left" w:pos="284"/>
              </w:tabs>
              <w:jc w:val="center"/>
              <w:rPr>
                <w:sz w:val="16"/>
                <w:szCs w:val="16"/>
              </w:rPr>
            </w:pPr>
            <w:r w:rsidRPr="00227C4B">
              <w:rPr>
                <w:sz w:val="16"/>
                <w:szCs w:val="16"/>
              </w:rPr>
              <w:t xml:space="preserve">5,4 </w:t>
            </w:r>
            <w:r w:rsidRPr="00227C4B">
              <w:rPr>
                <w:rFonts w:ascii="Wingdings 3" w:hAnsi="Wingdings 3" w:cs="Wingdings 3"/>
                <w:sz w:val="16"/>
                <w:szCs w:val="16"/>
              </w:rPr>
              <w:t></w:t>
            </w:r>
            <w:r w:rsidRPr="00227C4B">
              <w:rPr>
                <w:sz w:val="16"/>
                <w:szCs w:val="16"/>
              </w:rPr>
              <w:t xml:space="preserve"> 6,6</w:t>
            </w:r>
          </w:p>
          <w:p w14:paraId="3587A59C" w14:textId="77777777" w:rsidR="00EE2F19" w:rsidRPr="00227C4B" w:rsidRDefault="00EE2F19" w:rsidP="00152247">
            <w:pPr>
              <w:tabs>
                <w:tab w:val="left" w:pos="284"/>
              </w:tabs>
              <w:jc w:val="center"/>
              <w:rPr>
                <w:sz w:val="16"/>
                <w:szCs w:val="16"/>
              </w:rPr>
            </w:pPr>
            <w:r w:rsidRPr="00227C4B">
              <w:rPr>
                <w:sz w:val="16"/>
                <w:szCs w:val="16"/>
              </w:rPr>
              <w:t>1,27</w:t>
            </w:r>
          </w:p>
          <w:p w14:paraId="2FE92FC8" w14:textId="77777777" w:rsidR="00EE2F19" w:rsidRPr="00227C4B" w:rsidRDefault="00EE2F19" w:rsidP="00152247">
            <w:pPr>
              <w:tabs>
                <w:tab w:val="left" w:pos="284"/>
              </w:tabs>
              <w:jc w:val="center"/>
              <w:rPr>
                <w:i/>
                <w:sz w:val="16"/>
                <w:szCs w:val="16"/>
              </w:rPr>
            </w:pPr>
            <w:r w:rsidRPr="00227C4B">
              <w:rPr>
                <w:i/>
                <w:sz w:val="16"/>
                <w:szCs w:val="16"/>
              </w:rPr>
              <w:lastRenderedPageBreak/>
              <w:t>0,93 [0,46;1,40]</w:t>
            </w:r>
            <w:r w:rsidRPr="00227C4B">
              <w:rPr>
                <w:i/>
                <w:sz w:val="16"/>
                <w:szCs w:val="16"/>
                <w:vertAlign w:val="superscript"/>
              </w:rPr>
              <w:t>D</w:t>
            </w:r>
          </w:p>
        </w:tc>
        <w:tc>
          <w:tcPr>
            <w:tcW w:w="1950" w:type="dxa"/>
            <w:tcBorders>
              <w:top w:val="single" w:sz="4" w:space="0" w:color="auto"/>
              <w:left w:val="nil"/>
              <w:bottom w:val="single" w:sz="4" w:space="0" w:color="auto"/>
              <w:right w:val="single" w:sz="4" w:space="0" w:color="auto"/>
            </w:tcBorders>
            <w:shd w:val="clear" w:color="auto" w:fill="auto"/>
          </w:tcPr>
          <w:p w14:paraId="1FDAEAE4" w14:textId="77777777" w:rsidR="00EE2F19" w:rsidRPr="00227C4B" w:rsidRDefault="00EE2F19" w:rsidP="00152247">
            <w:pPr>
              <w:tabs>
                <w:tab w:val="left" w:pos="284"/>
              </w:tabs>
              <w:jc w:val="center"/>
              <w:rPr>
                <w:sz w:val="20"/>
                <w:szCs w:val="16"/>
              </w:rPr>
            </w:pPr>
          </w:p>
          <w:p w14:paraId="2C720180" w14:textId="77777777" w:rsidR="00EE2F19" w:rsidRPr="00227C4B" w:rsidRDefault="00EE2F19" w:rsidP="00152247">
            <w:pPr>
              <w:tabs>
                <w:tab w:val="left" w:pos="284"/>
              </w:tabs>
              <w:jc w:val="center"/>
              <w:rPr>
                <w:sz w:val="20"/>
                <w:szCs w:val="16"/>
              </w:rPr>
            </w:pPr>
          </w:p>
          <w:p w14:paraId="2CB048B8" w14:textId="77777777" w:rsidR="00EE2F19" w:rsidRPr="00227C4B" w:rsidRDefault="00EE2F19" w:rsidP="00152247">
            <w:pPr>
              <w:tabs>
                <w:tab w:val="left" w:pos="284"/>
              </w:tabs>
              <w:jc w:val="center"/>
              <w:rPr>
                <w:sz w:val="16"/>
                <w:szCs w:val="16"/>
              </w:rPr>
            </w:pPr>
            <w:r w:rsidRPr="00227C4B">
              <w:rPr>
                <w:sz w:val="16"/>
                <w:szCs w:val="16"/>
              </w:rPr>
              <w:t xml:space="preserve">5,7 </w:t>
            </w:r>
            <w:r w:rsidRPr="00227C4B">
              <w:rPr>
                <w:rFonts w:ascii="Wingdings 3" w:hAnsi="Wingdings 3" w:cs="Wingdings 3"/>
                <w:sz w:val="16"/>
                <w:szCs w:val="16"/>
              </w:rPr>
              <w:t></w:t>
            </w:r>
            <w:r w:rsidRPr="00227C4B">
              <w:rPr>
                <w:sz w:val="16"/>
                <w:szCs w:val="16"/>
              </w:rPr>
              <w:t xml:space="preserve"> 5,9</w:t>
            </w:r>
          </w:p>
          <w:p w14:paraId="01E27DAF" w14:textId="77777777" w:rsidR="00EE2F19" w:rsidRPr="00227C4B" w:rsidRDefault="00EE2F19" w:rsidP="00152247">
            <w:pPr>
              <w:tabs>
                <w:tab w:val="left" w:pos="284"/>
              </w:tabs>
              <w:jc w:val="center"/>
              <w:rPr>
                <w:sz w:val="16"/>
                <w:szCs w:val="16"/>
              </w:rPr>
            </w:pPr>
            <w:r w:rsidRPr="00227C4B">
              <w:rPr>
                <w:sz w:val="16"/>
                <w:szCs w:val="16"/>
              </w:rPr>
              <w:t>0,34</w:t>
            </w:r>
          </w:p>
        </w:tc>
      </w:tr>
      <w:tr w:rsidR="00EE2F19" w:rsidRPr="00227C4B" w14:paraId="2B708B7B" w14:textId="77777777" w:rsidTr="00152247">
        <w:tc>
          <w:tcPr>
            <w:tcW w:w="3794" w:type="dxa"/>
            <w:tcBorders>
              <w:top w:val="single" w:sz="4" w:space="0" w:color="auto"/>
              <w:left w:val="single" w:sz="4" w:space="0" w:color="auto"/>
              <w:bottom w:val="single" w:sz="4" w:space="0" w:color="auto"/>
              <w:right w:val="nil"/>
            </w:tcBorders>
            <w:shd w:val="clear" w:color="auto" w:fill="auto"/>
            <w:hideMark/>
          </w:tcPr>
          <w:p w14:paraId="33A080D9" w14:textId="77777777" w:rsidR="00EE2F19" w:rsidRPr="00227C4B" w:rsidRDefault="00EE2F19" w:rsidP="00152247">
            <w:pPr>
              <w:tabs>
                <w:tab w:val="left" w:pos="284"/>
              </w:tabs>
              <w:jc w:val="both"/>
              <w:rPr>
                <w:b/>
                <w:sz w:val="20"/>
                <w:szCs w:val="20"/>
              </w:rPr>
            </w:pPr>
            <w:proofErr w:type="spellStart"/>
            <w:r w:rsidRPr="00227C4B">
              <w:rPr>
                <w:b/>
                <w:sz w:val="20"/>
                <w:szCs w:val="20"/>
              </w:rPr>
              <w:t>T</w:t>
            </w:r>
            <w:r>
              <w:rPr>
                <w:b/>
                <w:sz w:val="20"/>
                <w:szCs w:val="20"/>
              </w:rPr>
              <w:t>j</w:t>
            </w:r>
            <w:r w:rsidRPr="00227C4B">
              <w:rPr>
                <w:b/>
                <w:sz w:val="20"/>
                <w:szCs w:val="20"/>
              </w:rPr>
              <w:t>elesna</w:t>
            </w:r>
            <w:proofErr w:type="spellEnd"/>
            <w:r w:rsidRPr="00227C4B">
              <w:rPr>
                <w:b/>
                <w:sz w:val="20"/>
                <w:szCs w:val="20"/>
              </w:rPr>
              <w:t xml:space="preserve"> masa (kg)</w:t>
            </w:r>
          </w:p>
          <w:p w14:paraId="2F7BC3C6" w14:textId="77777777" w:rsidR="00EE2F19" w:rsidRPr="00227C4B" w:rsidRDefault="00EE2F19" w:rsidP="00152247">
            <w:pPr>
              <w:tabs>
                <w:tab w:val="left" w:pos="284"/>
              </w:tabs>
              <w:jc w:val="both"/>
              <w:rPr>
                <w:sz w:val="16"/>
                <w:szCs w:val="16"/>
              </w:rPr>
            </w:pPr>
            <w:proofErr w:type="spellStart"/>
            <w:r w:rsidRPr="00227C4B">
              <w:rPr>
                <w:sz w:val="16"/>
                <w:szCs w:val="16"/>
              </w:rPr>
              <w:t>Početna</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w:t>
            </w:r>
            <w:proofErr w:type="spellEnd"/>
            <w:r w:rsidRPr="00227C4B">
              <w:rPr>
                <w:sz w:val="16"/>
                <w:szCs w:val="16"/>
              </w:rPr>
              <w:t xml:space="preserve"> </w:t>
            </w:r>
            <w:r w:rsidRPr="00227C4B">
              <w:rPr>
                <w:sz w:val="16"/>
                <w:szCs w:val="16"/>
                <w:lang w:val="en-GB"/>
              </w:rPr>
              <w:sym w:font="Wingdings 3" w:char="F09E"/>
            </w:r>
            <w:r w:rsidRPr="00227C4B">
              <w:rPr>
                <w:sz w:val="16"/>
                <w:szCs w:val="16"/>
              </w:rPr>
              <w:t xml:space="preserve"> Kraj </w:t>
            </w:r>
            <w:proofErr w:type="spellStart"/>
            <w:r w:rsidRPr="00227C4B">
              <w:rPr>
                <w:sz w:val="16"/>
                <w:szCs w:val="16"/>
              </w:rPr>
              <w:t>ispitivanja</w:t>
            </w:r>
            <w:proofErr w:type="spellEnd"/>
          </w:p>
          <w:p w14:paraId="3A124C96" w14:textId="77777777" w:rsidR="00EE2F19" w:rsidRPr="00227C4B" w:rsidRDefault="00EE2F19" w:rsidP="00152247">
            <w:pPr>
              <w:tabs>
                <w:tab w:val="left" w:pos="284"/>
              </w:tabs>
              <w:jc w:val="both"/>
              <w:rPr>
                <w:sz w:val="16"/>
                <w:szCs w:val="16"/>
              </w:rPr>
            </w:pPr>
            <w:proofErr w:type="spellStart"/>
            <w:r w:rsidRPr="00227C4B">
              <w:rPr>
                <w:sz w:val="16"/>
                <w:szCs w:val="16"/>
              </w:rPr>
              <w:t>Prilagođena</w:t>
            </w:r>
            <w:proofErr w:type="spellEnd"/>
            <w:r w:rsidRPr="00227C4B">
              <w:rPr>
                <w:sz w:val="16"/>
                <w:szCs w:val="16"/>
              </w:rPr>
              <w:t xml:space="preserve"> </w:t>
            </w:r>
            <w:proofErr w:type="spellStart"/>
            <w:r w:rsidRPr="00227C4B">
              <w:rPr>
                <w:sz w:val="16"/>
                <w:szCs w:val="16"/>
              </w:rPr>
              <w:t>prom</w:t>
            </w:r>
            <w:r>
              <w:rPr>
                <w:sz w:val="16"/>
                <w:szCs w:val="16"/>
              </w:rPr>
              <w:t>j</w:t>
            </w:r>
            <w:r w:rsidRPr="00227C4B">
              <w:rPr>
                <w:sz w:val="16"/>
                <w:szCs w:val="16"/>
              </w:rPr>
              <w:t>ena</w:t>
            </w:r>
            <w:proofErr w:type="spellEnd"/>
            <w:r w:rsidRPr="00227C4B">
              <w:rPr>
                <w:sz w:val="16"/>
                <w:szCs w:val="16"/>
              </w:rPr>
              <w:t xml:space="preserve"> </w:t>
            </w:r>
            <w:proofErr w:type="spellStart"/>
            <w:r w:rsidRPr="00227C4B">
              <w:rPr>
                <w:sz w:val="16"/>
                <w:szCs w:val="16"/>
              </w:rPr>
              <w:t>od</w:t>
            </w:r>
            <w:proofErr w:type="spellEnd"/>
            <w:r w:rsidRPr="00227C4B">
              <w:rPr>
                <w:sz w:val="16"/>
                <w:szCs w:val="16"/>
              </w:rPr>
              <w:t xml:space="preserve"> </w:t>
            </w:r>
            <w:proofErr w:type="spellStart"/>
            <w:r w:rsidRPr="00227C4B">
              <w:rPr>
                <w:sz w:val="16"/>
                <w:szCs w:val="16"/>
              </w:rPr>
              <w:t>početne</w:t>
            </w:r>
            <w:proofErr w:type="spellEnd"/>
            <w:r w:rsidRPr="00227C4B">
              <w:rPr>
                <w:sz w:val="16"/>
                <w:szCs w:val="16"/>
              </w:rPr>
              <w:t xml:space="preserve"> </w:t>
            </w:r>
            <w:proofErr w:type="spellStart"/>
            <w:r w:rsidRPr="00227C4B">
              <w:rPr>
                <w:sz w:val="16"/>
                <w:szCs w:val="16"/>
              </w:rPr>
              <w:t>vr</w:t>
            </w:r>
            <w:r>
              <w:rPr>
                <w:sz w:val="16"/>
                <w:szCs w:val="16"/>
              </w:rPr>
              <w:t>ij</w:t>
            </w:r>
            <w:r w:rsidRPr="00227C4B">
              <w:rPr>
                <w:sz w:val="16"/>
                <w:szCs w:val="16"/>
              </w:rPr>
              <w:t>ednosti</w:t>
            </w:r>
            <w:proofErr w:type="spellEnd"/>
          </w:p>
          <w:p w14:paraId="6B10DF2C" w14:textId="77777777" w:rsidR="00EE2F19" w:rsidRPr="00227C4B" w:rsidRDefault="00EE2F19" w:rsidP="00152247">
            <w:pPr>
              <w:tabs>
                <w:tab w:val="left" w:pos="284"/>
              </w:tabs>
              <w:jc w:val="both"/>
              <w:rPr>
                <w:b/>
                <w:sz w:val="22"/>
                <w:szCs w:val="22"/>
              </w:rPr>
            </w:pPr>
            <w:proofErr w:type="spellStart"/>
            <w:r w:rsidRPr="00227C4B">
              <w:rPr>
                <w:i/>
                <w:sz w:val="16"/>
                <w:szCs w:val="16"/>
              </w:rPr>
              <w:t>Proc</w:t>
            </w:r>
            <w:r w:rsidR="005A154F">
              <w:rPr>
                <w:i/>
                <w:sz w:val="16"/>
                <w:szCs w:val="16"/>
              </w:rPr>
              <w:t>i</w:t>
            </w:r>
            <w:r>
              <w:rPr>
                <w:i/>
                <w:sz w:val="16"/>
                <w:szCs w:val="16"/>
              </w:rPr>
              <w:t>j</w:t>
            </w:r>
            <w:r w:rsidRPr="00227C4B">
              <w:rPr>
                <w:i/>
                <w:sz w:val="16"/>
                <w:szCs w:val="16"/>
              </w:rPr>
              <w:t>enjena</w:t>
            </w:r>
            <w:proofErr w:type="spellEnd"/>
            <w:r w:rsidRPr="00227C4B">
              <w:rPr>
                <w:i/>
                <w:sz w:val="16"/>
                <w:szCs w:val="16"/>
              </w:rPr>
              <w:t xml:space="preserve"> </w:t>
            </w:r>
            <w:proofErr w:type="spellStart"/>
            <w:r w:rsidRPr="00227C4B">
              <w:rPr>
                <w:i/>
                <w:sz w:val="16"/>
                <w:szCs w:val="16"/>
              </w:rPr>
              <w:t>razlika</w:t>
            </w:r>
            <w:proofErr w:type="spellEnd"/>
            <w:r w:rsidRPr="00227C4B">
              <w:rPr>
                <w:i/>
                <w:sz w:val="16"/>
                <w:szCs w:val="16"/>
              </w:rPr>
              <w:t xml:space="preserve"> u </w:t>
            </w:r>
            <w:proofErr w:type="spellStart"/>
            <w:r w:rsidRPr="00227C4B">
              <w:rPr>
                <w:i/>
                <w:sz w:val="16"/>
                <w:szCs w:val="16"/>
              </w:rPr>
              <w:t>l</w:t>
            </w:r>
            <w:r>
              <w:rPr>
                <w:i/>
                <w:sz w:val="16"/>
                <w:szCs w:val="16"/>
              </w:rPr>
              <w:t>ij</w:t>
            </w:r>
            <w:r w:rsidRPr="00227C4B">
              <w:rPr>
                <w:i/>
                <w:sz w:val="16"/>
                <w:szCs w:val="16"/>
              </w:rPr>
              <w:t>ečenju</w:t>
            </w:r>
            <w:proofErr w:type="spellEnd"/>
          </w:p>
        </w:tc>
        <w:tc>
          <w:tcPr>
            <w:tcW w:w="2126" w:type="dxa"/>
            <w:tcBorders>
              <w:top w:val="single" w:sz="4" w:space="0" w:color="auto"/>
              <w:left w:val="nil"/>
              <w:bottom w:val="single" w:sz="4" w:space="0" w:color="auto"/>
              <w:right w:val="nil"/>
            </w:tcBorders>
            <w:shd w:val="clear" w:color="auto" w:fill="auto"/>
          </w:tcPr>
          <w:p w14:paraId="014E7C2C" w14:textId="77777777" w:rsidR="00EE2F19" w:rsidRPr="00227C4B" w:rsidRDefault="00EE2F19" w:rsidP="00152247">
            <w:pPr>
              <w:tabs>
                <w:tab w:val="left" w:pos="284"/>
              </w:tabs>
              <w:jc w:val="center"/>
              <w:rPr>
                <w:sz w:val="20"/>
                <w:szCs w:val="16"/>
              </w:rPr>
            </w:pPr>
          </w:p>
          <w:p w14:paraId="3AFE47BA" w14:textId="77777777" w:rsidR="00EE2F19" w:rsidRPr="00227C4B" w:rsidRDefault="00EE2F19" w:rsidP="00152247">
            <w:pPr>
              <w:tabs>
                <w:tab w:val="left" w:pos="284"/>
              </w:tabs>
              <w:jc w:val="center"/>
              <w:rPr>
                <w:sz w:val="16"/>
                <w:szCs w:val="16"/>
              </w:rPr>
            </w:pPr>
            <w:r w:rsidRPr="00227C4B">
              <w:rPr>
                <w:sz w:val="16"/>
                <w:szCs w:val="16"/>
              </w:rPr>
              <w:t xml:space="preserve">78,6 </w:t>
            </w:r>
            <w:r w:rsidRPr="00227C4B">
              <w:rPr>
                <w:rFonts w:ascii="Wingdings 3" w:hAnsi="Wingdings 3" w:cs="Wingdings 3"/>
                <w:sz w:val="16"/>
                <w:szCs w:val="16"/>
              </w:rPr>
              <w:t></w:t>
            </w:r>
            <w:r w:rsidRPr="00227C4B">
              <w:rPr>
                <w:sz w:val="16"/>
                <w:szCs w:val="16"/>
              </w:rPr>
              <w:t xml:space="preserve"> 79,2</w:t>
            </w:r>
          </w:p>
          <w:p w14:paraId="481276B3" w14:textId="77777777" w:rsidR="00EE2F19" w:rsidRPr="00227C4B" w:rsidRDefault="00EE2F19" w:rsidP="00152247">
            <w:pPr>
              <w:tabs>
                <w:tab w:val="left" w:pos="284"/>
              </w:tabs>
              <w:jc w:val="center"/>
              <w:rPr>
                <w:sz w:val="16"/>
                <w:szCs w:val="16"/>
              </w:rPr>
            </w:pPr>
            <w:r w:rsidRPr="00227C4B">
              <w:rPr>
                <w:sz w:val="16"/>
                <w:szCs w:val="16"/>
              </w:rPr>
              <w:t>0,67</w:t>
            </w:r>
          </w:p>
          <w:p w14:paraId="076084F3" w14:textId="77777777" w:rsidR="00EE2F19" w:rsidRPr="00227C4B" w:rsidRDefault="00EE2F19" w:rsidP="00152247">
            <w:pPr>
              <w:tabs>
                <w:tab w:val="left" w:pos="284"/>
              </w:tabs>
              <w:jc w:val="center"/>
              <w:rPr>
                <w:i/>
                <w:sz w:val="16"/>
                <w:szCs w:val="16"/>
              </w:rPr>
            </w:pPr>
            <w:r w:rsidRPr="00227C4B">
              <w:rPr>
                <w:i/>
                <w:sz w:val="16"/>
                <w:szCs w:val="16"/>
              </w:rPr>
              <w:t>0,12 [-0,30;0,55]</w:t>
            </w:r>
            <w:r w:rsidRPr="00227C4B">
              <w:rPr>
                <w:i/>
                <w:sz w:val="16"/>
                <w:szCs w:val="16"/>
                <w:vertAlign w:val="superscript"/>
              </w:rPr>
              <w:t>C</w:t>
            </w:r>
          </w:p>
        </w:tc>
        <w:tc>
          <w:tcPr>
            <w:tcW w:w="1985" w:type="dxa"/>
            <w:tcBorders>
              <w:top w:val="single" w:sz="4" w:space="0" w:color="auto"/>
              <w:left w:val="nil"/>
              <w:bottom w:val="single" w:sz="4" w:space="0" w:color="auto"/>
              <w:right w:val="nil"/>
            </w:tcBorders>
            <w:shd w:val="clear" w:color="auto" w:fill="auto"/>
          </w:tcPr>
          <w:p w14:paraId="1CD9228A" w14:textId="77777777" w:rsidR="00EE2F19" w:rsidRPr="00227C4B" w:rsidRDefault="00EE2F19" w:rsidP="00152247">
            <w:pPr>
              <w:tabs>
                <w:tab w:val="left" w:pos="284"/>
              </w:tabs>
              <w:jc w:val="center"/>
              <w:rPr>
                <w:sz w:val="20"/>
                <w:szCs w:val="16"/>
              </w:rPr>
            </w:pPr>
          </w:p>
          <w:p w14:paraId="510ECDD1" w14:textId="77777777" w:rsidR="00EE2F19" w:rsidRPr="00227C4B" w:rsidRDefault="00EE2F19" w:rsidP="00152247">
            <w:pPr>
              <w:tabs>
                <w:tab w:val="left" w:pos="284"/>
              </w:tabs>
              <w:jc w:val="center"/>
              <w:rPr>
                <w:sz w:val="16"/>
                <w:szCs w:val="16"/>
              </w:rPr>
            </w:pPr>
            <w:r w:rsidRPr="00227C4B">
              <w:rPr>
                <w:sz w:val="16"/>
                <w:szCs w:val="16"/>
              </w:rPr>
              <w:t xml:space="preserve">80,5 </w:t>
            </w:r>
            <w:r w:rsidRPr="00227C4B">
              <w:rPr>
                <w:rFonts w:ascii="Wingdings 3" w:hAnsi="Wingdings 3" w:cs="Wingdings 3"/>
                <w:sz w:val="16"/>
                <w:szCs w:val="16"/>
              </w:rPr>
              <w:t></w:t>
            </w:r>
            <w:r w:rsidRPr="00227C4B">
              <w:rPr>
                <w:sz w:val="16"/>
                <w:szCs w:val="16"/>
              </w:rPr>
              <w:t xml:space="preserve"> 81,2</w:t>
            </w:r>
          </w:p>
          <w:p w14:paraId="3FFAA1EB" w14:textId="77777777" w:rsidR="00EE2F19" w:rsidRPr="00227C4B" w:rsidRDefault="00EE2F19" w:rsidP="00152247">
            <w:pPr>
              <w:tabs>
                <w:tab w:val="left" w:pos="284"/>
              </w:tabs>
              <w:jc w:val="center"/>
              <w:rPr>
                <w:sz w:val="16"/>
                <w:szCs w:val="16"/>
              </w:rPr>
            </w:pPr>
            <w:r w:rsidRPr="00227C4B">
              <w:rPr>
                <w:sz w:val="16"/>
                <w:szCs w:val="16"/>
              </w:rPr>
              <w:t>0,70</w:t>
            </w:r>
          </w:p>
          <w:p w14:paraId="0D2289CB" w14:textId="77777777" w:rsidR="00EE2F19" w:rsidRPr="00227C4B" w:rsidRDefault="00EE2F19" w:rsidP="00152247">
            <w:pPr>
              <w:tabs>
                <w:tab w:val="left" w:pos="284"/>
              </w:tabs>
              <w:jc w:val="center"/>
              <w:rPr>
                <w:b/>
                <w:i/>
                <w:sz w:val="16"/>
                <w:szCs w:val="16"/>
              </w:rPr>
            </w:pPr>
            <w:r w:rsidRPr="00227C4B">
              <w:rPr>
                <w:i/>
                <w:sz w:val="16"/>
                <w:szCs w:val="16"/>
              </w:rPr>
              <w:t>0,16 [-0,27;0,58]</w:t>
            </w:r>
            <w:r w:rsidRPr="00227C4B">
              <w:rPr>
                <w:i/>
                <w:sz w:val="16"/>
                <w:szCs w:val="16"/>
                <w:vertAlign w:val="superscript"/>
              </w:rPr>
              <w:t>D</w:t>
            </w:r>
          </w:p>
        </w:tc>
        <w:tc>
          <w:tcPr>
            <w:tcW w:w="1950" w:type="dxa"/>
            <w:tcBorders>
              <w:top w:val="single" w:sz="4" w:space="0" w:color="auto"/>
              <w:left w:val="nil"/>
              <w:bottom w:val="single" w:sz="4" w:space="0" w:color="auto"/>
              <w:right w:val="single" w:sz="4" w:space="0" w:color="auto"/>
            </w:tcBorders>
            <w:shd w:val="clear" w:color="auto" w:fill="auto"/>
          </w:tcPr>
          <w:p w14:paraId="010CE6EC" w14:textId="77777777" w:rsidR="00EE2F19" w:rsidRPr="00227C4B" w:rsidRDefault="00EE2F19" w:rsidP="00152247">
            <w:pPr>
              <w:tabs>
                <w:tab w:val="left" w:pos="284"/>
              </w:tabs>
              <w:jc w:val="center"/>
              <w:rPr>
                <w:sz w:val="20"/>
                <w:szCs w:val="16"/>
              </w:rPr>
            </w:pPr>
          </w:p>
          <w:p w14:paraId="6703ABB9" w14:textId="77777777" w:rsidR="00EE2F19" w:rsidRPr="00227C4B" w:rsidRDefault="00EE2F19" w:rsidP="00152247">
            <w:pPr>
              <w:tabs>
                <w:tab w:val="left" w:pos="284"/>
              </w:tabs>
              <w:jc w:val="center"/>
              <w:rPr>
                <w:sz w:val="16"/>
                <w:szCs w:val="16"/>
              </w:rPr>
            </w:pPr>
            <w:r w:rsidRPr="00227C4B">
              <w:rPr>
                <w:sz w:val="16"/>
                <w:szCs w:val="16"/>
              </w:rPr>
              <w:t xml:space="preserve">80,2 </w:t>
            </w:r>
            <w:r w:rsidRPr="00227C4B">
              <w:rPr>
                <w:rFonts w:ascii="Wingdings 3" w:hAnsi="Wingdings 3" w:cs="Wingdings 3"/>
                <w:sz w:val="16"/>
                <w:szCs w:val="16"/>
              </w:rPr>
              <w:t></w:t>
            </w:r>
            <w:r w:rsidRPr="00227C4B">
              <w:rPr>
                <w:sz w:val="16"/>
                <w:szCs w:val="16"/>
              </w:rPr>
              <w:t xml:space="preserve"> 80,7</w:t>
            </w:r>
          </w:p>
          <w:p w14:paraId="12DFB6B2" w14:textId="77777777" w:rsidR="00EE2F19" w:rsidRPr="00227C4B" w:rsidRDefault="00EE2F19" w:rsidP="00152247">
            <w:pPr>
              <w:tabs>
                <w:tab w:val="left" w:pos="284"/>
              </w:tabs>
              <w:jc w:val="center"/>
              <w:rPr>
                <w:b/>
                <w:sz w:val="16"/>
                <w:szCs w:val="16"/>
              </w:rPr>
            </w:pPr>
            <w:r w:rsidRPr="00227C4B">
              <w:rPr>
                <w:sz w:val="16"/>
                <w:szCs w:val="16"/>
              </w:rPr>
              <w:t>0,55</w:t>
            </w:r>
          </w:p>
        </w:tc>
      </w:tr>
      <w:tr w:rsidR="00EE2F19" w:rsidRPr="00227C4B" w14:paraId="66984DE7" w14:textId="77777777" w:rsidTr="00152247">
        <w:tc>
          <w:tcPr>
            <w:tcW w:w="3794" w:type="dxa"/>
            <w:tcBorders>
              <w:top w:val="single" w:sz="4" w:space="0" w:color="auto"/>
              <w:left w:val="single" w:sz="4" w:space="0" w:color="auto"/>
              <w:bottom w:val="single" w:sz="4" w:space="0" w:color="auto"/>
              <w:right w:val="nil"/>
            </w:tcBorders>
            <w:shd w:val="clear" w:color="auto" w:fill="auto"/>
            <w:hideMark/>
          </w:tcPr>
          <w:p w14:paraId="17A3A5BC" w14:textId="77777777" w:rsidR="00EE2F19" w:rsidRPr="00227C4B" w:rsidRDefault="00506843" w:rsidP="00152247">
            <w:pPr>
              <w:tabs>
                <w:tab w:val="left" w:pos="284"/>
              </w:tabs>
              <w:rPr>
                <w:b/>
                <w:sz w:val="20"/>
                <w:szCs w:val="20"/>
              </w:rPr>
            </w:pPr>
            <w:proofErr w:type="spellStart"/>
            <w:r w:rsidRPr="00227C4B">
              <w:rPr>
                <w:b/>
                <w:sz w:val="20"/>
                <w:szCs w:val="20"/>
              </w:rPr>
              <w:t>Zab</w:t>
            </w:r>
            <w:r>
              <w:rPr>
                <w:b/>
                <w:sz w:val="20"/>
                <w:szCs w:val="20"/>
              </w:rPr>
              <w:t>ilj</w:t>
            </w:r>
            <w:r w:rsidRPr="00227C4B">
              <w:rPr>
                <w:b/>
                <w:sz w:val="20"/>
                <w:szCs w:val="20"/>
              </w:rPr>
              <w:t>ežena</w:t>
            </w:r>
            <w:proofErr w:type="spellEnd"/>
            <w:r w:rsidRPr="00227C4B">
              <w:rPr>
                <w:b/>
                <w:sz w:val="20"/>
                <w:szCs w:val="20"/>
              </w:rPr>
              <w:t xml:space="preserve"> </w:t>
            </w:r>
            <w:proofErr w:type="spellStart"/>
            <w:r w:rsidR="00EE2F19" w:rsidRPr="00227C4B">
              <w:rPr>
                <w:b/>
                <w:sz w:val="20"/>
                <w:szCs w:val="20"/>
              </w:rPr>
              <w:t>stopa</w:t>
            </w:r>
            <w:proofErr w:type="spellEnd"/>
            <w:r w:rsidR="00EE2F19" w:rsidRPr="00227C4B">
              <w:rPr>
                <w:b/>
                <w:sz w:val="20"/>
                <w:szCs w:val="20"/>
              </w:rPr>
              <w:t xml:space="preserve"> </w:t>
            </w:r>
            <w:proofErr w:type="spellStart"/>
            <w:r w:rsidR="00EE2F19" w:rsidRPr="00227C4B">
              <w:rPr>
                <w:b/>
                <w:sz w:val="20"/>
                <w:szCs w:val="20"/>
              </w:rPr>
              <w:t>teške</w:t>
            </w:r>
            <w:proofErr w:type="spellEnd"/>
            <w:r w:rsidR="00EE2F19" w:rsidRPr="00227C4B">
              <w:rPr>
                <w:b/>
                <w:sz w:val="20"/>
                <w:szCs w:val="20"/>
              </w:rPr>
              <w:t xml:space="preserve"> </w:t>
            </w:r>
            <w:proofErr w:type="spellStart"/>
            <w:r w:rsidR="00EE2F19" w:rsidRPr="00227C4B">
              <w:rPr>
                <w:b/>
                <w:sz w:val="20"/>
                <w:szCs w:val="20"/>
              </w:rPr>
              <w:t>ili</w:t>
            </w:r>
            <w:proofErr w:type="spellEnd"/>
            <w:r w:rsidR="00EE2F19" w:rsidRPr="00227C4B">
              <w:rPr>
                <w:b/>
                <w:sz w:val="20"/>
                <w:szCs w:val="20"/>
              </w:rPr>
              <w:t xml:space="preserve"> GK </w:t>
            </w:r>
            <w:proofErr w:type="spellStart"/>
            <w:r w:rsidR="00EE2F19" w:rsidRPr="00227C4B">
              <w:rPr>
                <w:b/>
                <w:sz w:val="20"/>
                <w:szCs w:val="20"/>
              </w:rPr>
              <w:t>potvrđene</w:t>
            </w:r>
            <w:proofErr w:type="spellEnd"/>
            <w:r w:rsidR="00EE2F19" w:rsidRPr="00227C4B">
              <w:rPr>
                <w:b/>
                <w:sz w:val="20"/>
                <w:szCs w:val="20"/>
              </w:rPr>
              <w:t xml:space="preserve"> </w:t>
            </w:r>
            <w:proofErr w:type="spellStart"/>
            <w:r w:rsidR="00EE2F19" w:rsidRPr="00227C4B">
              <w:rPr>
                <w:b/>
                <w:sz w:val="20"/>
                <w:szCs w:val="20"/>
              </w:rPr>
              <w:t>hipoglikemije</w:t>
            </w:r>
            <w:r w:rsidR="00EE2F19" w:rsidRPr="00227C4B">
              <w:rPr>
                <w:b/>
                <w:sz w:val="20"/>
                <w:szCs w:val="20"/>
                <w:vertAlign w:val="superscript"/>
              </w:rPr>
              <w:t>B</w:t>
            </w:r>
            <w:proofErr w:type="spellEnd"/>
            <w:r w:rsidR="00EE2F19" w:rsidRPr="00227C4B">
              <w:rPr>
                <w:b/>
                <w:sz w:val="20"/>
                <w:szCs w:val="20"/>
              </w:rPr>
              <w:t xml:space="preserve"> po </w:t>
            </w:r>
            <w:proofErr w:type="spellStart"/>
            <w:r w:rsidR="00EE2F19" w:rsidRPr="00227C4B">
              <w:rPr>
                <w:b/>
                <w:sz w:val="20"/>
                <w:szCs w:val="20"/>
              </w:rPr>
              <w:t>pacijent-godini</w:t>
            </w:r>
            <w:proofErr w:type="spellEnd"/>
            <w:r w:rsidR="00EE2F19" w:rsidRPr="00227C4B">
              <w:rPr>
                <w:b/>
                <w:sz w:val="20"/>
                <w:szCs w:val="20"/>
              </w:rPr>
              <w:t xml:space="preserve"> </w:t>
            </w:r>
            <w:proofErr w:type="spellStart"/>
            <w:r w:rsidR="00EE2F19" w:rsidRPr="00227C4B">
              <w:rPr>
                <w:b/>
                <w:sz w:val="20"/>
                <w:szCs w:val="20"/>
              </w:rPr>
              <w:t>izloženosti</w:t>
            </w:r>
            <w:proofErr w:type="spellEnd"/>
            <w:r w:rsidR="00EE2F19" w:rsidRPr="00227C4B">
              <w:rPr>
                <w:b/>
                <w:sz w:val="20"/>
                <w:szCs w:val="20"/>
              </w:rPr>
              <w:t xml:space="preserve"> (</w:t>
            </w:r>
            <w:proofErr w:type="spellStart"/>
            <w:r w:rsidR="00EE2F19" w:rsidRPr="00227C4B">
              <w:rPr>
                <w:b/>
                <w:sz w:val="20"/>
                <w:szCs w:val="20"/>
              </w:rPr>
              <w:t>procenat</w:t>
            </w:r>
            <w:proofErr w:type="spellEnd"/>
            <w:r w:rsidR="00EE2F19" w:rsidRPr="00227C4B">
              <w:rPr>
                <w:b/>
                <w:sz w:val="20"/>
                <w:szCs w:val="20"/>
              </w:rPr>
              <w:t xml:space="preserve"> </w:t>
            </w:r>
            <w:proofErr w:type="spellStart"/>
            <w:r w:rsidR="00EE2F19" w:rsidRPr="00227C4B">
              <w:rPr>
                <w:b/>
                <w:sz w:val="20"/>
                <w:szCs w:val="20"/>
              </w:rPr>
              <w:t>pacijenata</w:t>
            </w:r>
            <w:proofErr w:type="spellEnd"/>
            <w:r w:rsidR="00EE2F19" w:rsidRPr="00227C4B">
              <w:rPr>
                <w:b/>
                <w:sz w:val="20"/>
                <w:szCs w:val="20"/>
              </w:rPr>
              <w:t>)</w:t>
            </w:r>
          </w:p>
          <w:p w14:paraId="7C19CBAD" w14:textId="77777777" w:rsidR="00EE2F19" w:rsidRPr="00227C4B" w:rsidRDefault="00EE2F19" w:rsidP="000F6B37">
            <w:pPr>
              <w:tabs>
                <w:tab w:val="left" w:pos="284"/>
              </w:tabs>
              <w:rPr>
                <w:b/>
                <w:color w:val="FF0000"/>
                <w:sz w:val="22"/>
                <w:szCs w:val="22"/>
              </w:rPr>
            </w:pPr>
            <w:proofErr w:type="spellStart"/>
            <w:r w:rsidRPr="00227C4B">
              <w:rPr>
                <w:i/>
                <w:sz w:val="16"/>
                <w:szCs w:val="16"/>
              </w:rPr>
              <w:t>Proc</w:t>
            </w:r>
            <w:r w:rsidR="00F85F91">
              <w:rPr>
                <w:i/>
                <w:sz w:val="16"/>
                <w:szCs w:val="16"/>
              </w:rPr>
              <w:t>i</w:t>
            </w:r>
            <w:r>
              <w:rPr>
                <w:i/>
                <w:sz w:val="16"/>
                <w:szCs w:val="16"/>
              </w:rPr>
              <w:t>j</w:t>
            </w:r>
            <w:r w:rsidRPr="00227C4B">
              <w:rPr>
                <w:i/>
                <w:sz w:val="16"/>
                <w:szCs w:val="16"/>
              </w:rPr>
              <w:t>enjen</w:t>
            </w:r>
            <w:proofErr w:type="spellEnd"/>
            <w:r w:rsidRPr="00227C4B">
              <w:rPr>
                <w:i/>
                <w:sz w:val="16"/>
                <w:szCs w:val="16"/>
              </w:rPr>
              <w:t xml:space="preserve"> </w:t>
            </w:r>
            <w:proofErr w:type="spellStart"/>
            <w:r w:rsidRPr="00227C4B">
              <w:rPr>
                <w:i/>
                <w:sz w:val="16"/>
                <w:szCs w:val="16"/>
              </w:rPr>
              <w:t>odnos</w:t>
            </w:r>
            <w:proofErr w:type="spellEnd"/>
            <w:r w:rsidRPr="00227C4B">
              <w:rPr>
                <w:i/>
                <w:sz w:val="16"/>
                <w:szCs w:val="16"/>
              </w:rPr>
              <w:t xml:space="preserve"> </w:t>
            </w:r>
            <w:proofErr w:type="spellStart"/>
            <w:r w:rsidRPr="00227C4B">
              <w:rPr>
                <w:i/>
                <w:sz w:val="16"/>
                <w:szCs w:val="16"/>
              </w:rPr>
              <w:t>stopa</w:t>
            </w:r>
            <w:proofErr w:type="spellEnd"/>
            <w:r w:rsidR="000F6B37">
              <w:rPr>
                <w:i/>
                <w:sz w:val="16"/>
                <w:szCs w:val="16"/>
              </w:rPr>
              <w:t xml:space="preserve"> </w:t>
            </w:r>
          </w:p>
        </w:tc>
        <w:tc>
          <w:tcPr>
            <w:tcW w:w="2126" w:type="dxa"/>
            <w:tcBorders>
              <w:top w:val="single" w:sz="4" w:space="0" w:color="auto"/>
              <w:left w:val="nil"/>
              <w:bottom w:val="single" w:sz="4" w:space="0" w:color="auto"/>
              <w:right w:val="nil"/>
            </w:tcBorders>
            <w:shd w:val="clear" w:color="auto" w:fill="auto"/>
          </w:tcPr>
          <w:p w14:paraId="04A79666" w14:textId="77777777" w:rsidR="00EE2F19" w:rsidRPr="00227C4B" w:rsidRDefault="00EE2F19" w:rsidP="00152247">
            <w:pPr>
              <w:tabs>
                <w:tab w:val="left" w:pos="284"/>
              </w:tabs>
              <w:jc w:val="center"/>
              <w:rPr>
                <w:sz w:val="16"/>
                <w:szCs w:val="16"/>
              </w:rPr>
            </w:pPr>
          </w:p>
          <w:p w14:paraId="2C4185EC" w14:textId="77777777" w:rsidR="00EE2F19" w:rsidRPr="00227C4B" w:rsidRDefault="00EE2F19" w:rsidP="00152247">
            <w:pPr>
              <w:tabs>
                <w:tab w:val="left" w:pos="284"/>
              </w:tabs>
              <w:jc w:val="center"/>
              <w:rPr>
                <w:sz w:val="16"/>
                <w:szCs w:val="16"/>
              </w:rPr>
            </w:pPr>
          </w:p>
          <w:p w14:paraId="68BB716B" w14:textId="77777777" w:rsidR="00EE2F19" w:rsidRPr="00227C4B" w:rsidRDefault="00EE2F19" w:rsidP="00152247">
            <w:pPr>
              <w:tabs>
                <w:tab w:val="left" w:pos="284"/>
              </w:tabs>
              <w:jc w:val="center"/>
              <w:rPr>
                <w:sz w:val="16"/>
                <w:szCs w:val="16"/>
              </w:rPr>
            </w:pPr>
          </w:p>
          <w:p w14:paraId="79FB0908" w14:textId="77777777" w:rsidR="00EE2F19" w:rsidRPr="00227C4B" w:rsidRDefault="00EE2F19" w:rsidP="00152247">
            <w:pPr>
              <w:tabs>
                <w:tab w:val="left" w:pos="284"/>
              </w:tabs>
              <w:jc w:val="center"/>
              <w:rPr>
                <w:sz w:val="16"/>
                <w:szCs w:val="16"/>
              </w:rPr>
            </w:pPr>
            <w:r w:rsidRPr="00227C4B">
              <w:rPr>
                <w:sz w:val="16"/>
                <w:szCs w:val="16"/>
              </w:rPr>
              <w:t>59,0 (92,7)</w:t>
            </w:r>
          </w:p>
          <w:p w14:paraId="2E967F14" w14:textId="77777777" w:rsidR="00EE2F19" w:rsidRPr="00227C4B" w:rsidRDefault="00EE2F19" w:rsidP="00152247">
            <w:pPr>
              <w:tabs>
                <w:tab w:val="left" w:pos="284"/>
              </w:tabs>
              <w:jc w:val="center"/>
              <w:rPr>
                <w:i/>
                <w:sz w:val="16"/>
                <w:szCs w:val="16"/>
              </w:rPr>
            </w:pPr>
            <w:r w:rsidRPr="00227C4B">
              <w:rPr>
                <w:i/>
                <w:sz w:val="16"/>
                <w:szCs w:val="16"/>
              </w:rPr>
              <w:t>1,01 [0,88;1,15]</w:t>
            </w:r>
            <w:r w:rsidRPr="00227C4B">
              <w:rPr>
                <w:i/>
                <w:sz w:val="16"/>
                <w:szCs w:val="16"/>
                <w:vertAlign w:val="superscript"/>
              </w:rPr>
              <w:t>C</w:t>
            </w:r>
          </w:p>
        </w:tc>
        <w:tc>
          <w:tcPr>
            <w:tcW w:w="1985" w:type="dxa"/>
            <w:tcBorders>
              <w:top w:val="single" w:sz="4" w:space="0" w:color="auto"/>
              <w:left w:val="nil"/>
              <w:bottom w:val="single" w:sz="4" w:space="0" w:color="auto"/>
              <w:right w:val="nil"/>
            </w:tcBorders>
            <w:shd w:val="clear" w:color="auto" w:fill="auto"/>
          </w:tcPr>
          <w:p w14:paraId="5E95EFD1" w14:textId="77777777" w:rsidR="00EE2F19" w:rsidRPr="00227C4B" w:rsidRDefault="00EE2F19" w:rsidP="00152247">
            <w:pPr>
              <w:tabs>
                <w:tab w:val="left" w:pos="284"/>
              </w:tabs>
              <w:jc w:val="center"/>
              <w:rPr>
                <w:sz w:val="16"/>
                <w:szCs w:val="16"/>
              </w:rPr>
            </w:pPr>
          </w:p>
          <w:p w14:paraId="391DFEB1" w14:textId="77777777" w:rsidR="00EE2F19" w:rsidRPr="00227C4B" w:rsidRDefault="00EE2F19" w:rsidP="00152247">
            <w:pPr>
              <w:tabs>
                <w:tab w:val="left" w:pos="284"/>
              </w:tabs>
              <w:jc w:val="center"/>
              <w:rPr>
                <w:sz w:val="16"/>
                <w:szCs w:val="16"/>
              </w:rPr>
            </w:pPr>
          </w:p>
          <w:p w14:paraId="4EC09701" w14:textId="77777777" w:rsidR="00EE2F19" w:rsidRPr="00227C4B" w:rsidRDefault="00EE2F19" w:rsidP="00152247">
            <w:pPr>
              <w:tabs>
                <w:tab w:val="left" w:pos="284"/>
              </w:tabs>
              <w:jc w:val="center"/>
              <w:rPr>
                <w:sz w:val="16"/>
                <w:szCs w:val="16"/>
              </w:rPr>
            </w:pPr>
          </w:p>
          <w:p w14:paraId="4D6DDEE0" w14:textId="77777777" w:rsidR="00EE2F19" w:rsidRPr="00227C4B" w:rsidRDefault="00EE2F19" w:rsidP="00152247">
            <w:pPr>
              <w:tabs>
                <w:tab w:val="left" w:pos="284"/>
              </w:tabs>
              <w:jc w:val="center"/>
              <w:rPr>
                <w:sz w:val="16"/>
                <w:szCs w:val="16"/>
              </w:rPr>
            </w:pPr>
            <w:r w:rsidRPr="00227C4B">
              <w:rPr>
                <w:sz w:val="16"/>
                <w:szCs w:val="16"/>
              </w:rPr>
              <w:t>54,4 (95,0)</w:t>
            </w:r>
          </w:p>
          <w:p w14:paraId="0B0C053B" w14:textId="77777777" w:rsidR="00EE2F19" w:rsidRPr="00227C4B" w:rsidRDefault="00EE2F19" w:rsidP="00152247">
            <w:pPr>
              <w:tabs>
                <w:tab w:val="left" w:pos="284"/>
              </w:tabs>
              <w:jc w:val="center"/>
              <w:rPr>
                <w:b/>
                <w:i/>
                <w:sz w:val="16"/>
                <w:szCs w:val="16"/>
              </w:rPr>
            </w:pPr>
            <w:r w:rsidRPr="00227C4B">
              <w:rPr>
                <w:i/>
                <w:sz w:val="16"/>
                <w:szCs w:val="16"/>
              </w:rPr>
              <w:t>0,92 [0,81;1,06]</w:t>
            </w:r>
            <w:r w:rsidRPr="00227C4B">
              <w:rPr>
                <w:i/>
                <w:sz w:val="16"/>
                <w:szCs w:val="16"/>
                <w:vertAlign w:val="superscript"/>
              </w:rPr>
              <w:t>D</w:t>
            </w:r>
          </w:p>
        </w:tc>
        <w:tc>
          <w:tcPr>
            <w:tcW w:w="1950" w:type="dxa"/>
            <w:tcBorders>
              <w:top w:val="single" w:sz="4" w:space="0" w:color="auto"/>
              <w:left w:val="nil"/>
              <w:bottom w:val="single" w:sz="4" w:space="0" w:color="auto"/>
              <w:right w:val="single" w:sz="4" w:space="0" w:color="auto"/>
            </w:tcBorders>
            <w:shd w:val="clear" w:color="auto" w:fill="auto"/>
          </w:tcPr>
          <w:p w14:paraId="67315158" w14:textId="77777777" w:rsidR="00EE2F19" w:rsidRPr="00227C4B" w:rsidRDefault="00EE2F19" w:rsidP="00152247">
            <w:pPr>
              <w:tabs>
                <w:tab w:val="left" w:pos="284"/>
              </w:tabs>
              <w:jc w:val="center"/>
              <w:rPr>
                <w:sz w:val="16"/>
                <w:szCs w:val="16"/>
              </w:rPr>
            </w:pPr>
          </w:p>
          <w:p w14:paraId="6A0A7D8D" w14:textId="77777777" w:rsidR="00EE2F19" w:rsidRPr="00227C4B" w:rsidRDefault="00EE2F19" w:rsidP="00152247">
            <w:pPr>
              <w:tabs>
                <w:tab w:val="left" w:pos="284"/>
              </w:tabs>
              <w:jc w:val="center"/>
              <w:rPr>
                <w:sz w:val="16"/>
                <w:szCs w:val="16"/>
              </w:rPr>
            </w:pPr>
          </w:p>
          <w:p w14:paraId="2F7F693C" w14:textId="77777777" w:rsidR="00EE2F19" w:rsidRPr="00227C4B" w:rsidRDefault="00EE2F19" w:rsidP="00152247">
            <w:pPr>
              <w:tabs>
                <w:tab w:val="left" w:pos="284"/>
              </w:tabs>
              <w:jc w:val="center"/>
              <w:rPr>
                <w:sz w:val="16"/>
                <w:szCs w:val="16"/>
              </w:rPr>
            </w:pPr>
          </w:p>
          <w:p w14:paraId="45F4E290" w14:textId="77777777" w:rsidR="00EE2F19" w:rsidRPr="00227C4B" w:rsidRDefault="00EE2F19" w:rsidP="00152247">
            <w:pPr>
              <w:tabs>
                <w:tab w:val="left" w:pos="284"/>
              </w:tabs>
              <w:jc w:val="center"/>
              <w:rPr>
                <w:sz w:val="16"/>
                <w:szCs w:val="16"/>
              </w:rPr>
            </w:pPr>
            <w:r w:rsidRPr="00227C4B">
              <w:rPr>
                <w:sz w:val="16"/>
                <w:szCs w:val="16"/>
              </w:rPr>
              <w:t>58,7 (97,4)</w:t>
            </w:r>
          </w:p>
          <w:p w14:paraId="5EA477E4" w14:textId="77777777" w:rsidR="00EE2F19" w:rsidRPr="00227C4B" w:rsidRDefault="00EE2F19" w:rsidP="00152247">
            <w:pPr>
              <w:tabs>
                <w:tab w:val="left" w:pos="284"/>
              </w:tabs>
              <w:jc w:val="center"/>
              <w:rPr>
                <w:b/>
                <w:sz w:val="16"/>
                <w:szCs w:val="16"/>
              </w:rPr>
            </w:pPr>
          </w:p>
        </w:tc>
      </w:tr>
    </w:tbl>
    <w:p w14:paraId="7BF17C38" w14:textId="2B48D7EC" w:rsidR="00EE2F19" w:rsidRPr="00B26148" w:rsidRDefault="00EE2F19" w:rsidP="00EE2F19">
      <w:pPr>
        <w:tabs>
          <w:tab w:val="left" w:pos="284"/>
        </w:tabs>
        <w:jc w:val="both"/>
        <w:rPr>
          <w:sz w:val="18"/>
          <w:szCs w:val="18"/>
        </w:rPr>
      </w:pPr>
      <w:proofErr w:type="spellStart"/>
      <w:r w:rsidRPr="00B26148">
        <w:rPr>
          <w:sz w:val="18"/>
          <w:szCs w:val="18"/>
        </w:rPr>
        <w:t>Početne</w:t>
      </w:r>
      <w:proofErr w:type="spellEnd"/>
      <w:r w:rsidRPr="00B26148">
        <w:rPr>
          <w:sz w:val="18"/>
          <w:szCs w:val="18"/>
        </w:rPr>
        <w:t xml:space="preserve"> </w:t>
      </w:r>
      <w:proofErr w:type="spellStart"/>
      <w:r w:rsidRPr="00B26148">
        <w:rPr>
          <w:sz w:val="18"/>
          <w:szCs w:val="18"/>
        </w:rPr>
        <w:t>vrijednosti</w:t>
      </w:r>
      <w:proofErr w:type="spellEnd"/>
      <w:r w:rsidR="00520AE3" w:rsidRPr="00B26148">
        <w:rPr>
          <w:sz w:val="18"/>
          <w:szCs w:val="18"/>
        </w:rPr>
        <w:t xml:space="preserve"> i </w:t>
      </w:r>
      <w:proofErr w:type="spellStart"/>
      <w:r w:rsidR="003C7F98">
        <w:rPr>
          <w:sz w:val="18"/>
          <w:szCs w:val="18"/>
        </w:rPr>
        <w:t>v</w:t>
      </w:r>
      <w:r w:rsidRPr="00B26148">
        <w:rPr>
          <w:sz w:val="18"/>
          <w:szCs w:val="18"/>
        </w:rPr>
        <w:t>rijednosti</w:t>
      </w:r>
      <w:proofErr w:type="spellEnd"/>
      <w:r w:rsidRPr="00B26148">
        <w:rPr>
          <w:sz w:val="18"/>
          <w:szCs w:val="18"/>
        </w:rPr>
        <w:t xml:space="preserve"> </w:t>
      </w:r>
      <w:proofErr w:type="spellStart"/>
      <w:r w:rsidRPr="00B26148">
        <w:rPr>
          <w:sz w:val="18"/>
          <w:szCs w:val="18"/>
        </w:rPr>
        <w:t>na</w:t>
      </w:r>
      <w:proofErr w:type="spellEnd"/>
      <w:r w:rsidRPr="00B26148">
        <w:rPr>
          <w:sz w:val="18"/>
          <w:szCs w:val="18"/>
        </w:rPr>
        <w:t xml:space="preserve"> </w:t>
      </w:r>
      <w:proofErr w:type="spellStart"/>
      <w:r w:rsidRPr="00B26148">
        <w:rPr>
          <w:sz w:val="18"/>
          <w:szCs w:val="18"/>
        </w:rPr>
        <w:t>kraju</w:t>
      </w:r>
      <w:proofErr w:type="spellEnd"/>
      <w:r w:rsidRPr="00B26148">
        <w:rPr>
          <w:sz w:val="18"/>
          <w:szCs w:val="18"/>
        </w:rPr>
        <w:t xml:space="preserve"> </w:t>
      </w:r>
      <w:proofErr w:type="spellStart"/>
      <w:r w:rsidRPr="00B26148">
        <w:rPr>
          <w:sz w:val="18"/>
          <w:szCs w:val="18"/>
        </w:rPr>
        <w:t>ispitivanja</w:t>
      </w:r>
      <w:proofErr w:type="spellEnd"/>
      <w:r w:rsidRPr="00B26148">
        <w:rPr>
          <w:sz w:val="18"/>
          <w:szCs w:val="18"/>
        </w:rPr>
        <w:t xml:space="preserve"> </w:t>
      </w:r>
      <w:proofErr w:type="spellStart"/>
      <w:r w:rsidR="00520AE3" w:rsidRPr="00B26148">
        <w:rPr>
          <w:sz w:val="18"/>
          <w:szCs w:val="18"/>
        </w:rPr>
        <w:t>su</w:t>
      </w:r>
      <w:proofErr w:type="spellEnd"/>
      <w:r w:rsidR="00520AE3" w:rsidRPr="00B26148">
        <w:rPr>
          <w:sz w:val="18"/>
          <w:szCs w:val="18"/>
        </w:rPr>
        <w:t xml:space="preserve"> </w:t>
      </w:r>
      <w:proofErr w:type="spellStart"/>
      <w:r w:rsidRPr="00B26148">
        <w:rPr>
          <w:sz w:val="18"/>
          <w:szCs w:val="18"/>
        </w:rPr>
        <w:t>dobijene</w:t>
      </w:r>
      <w:proofErr w:type="spellEnd"/>
      <w:r w:rsidRPr="00B26148">
        <w:rPr>
          <w:sz w:val="18"/>
          <w:szCs w:val="18"/>
        </w:rPr>
        <w:t xml:space="preserve"> </w:t>
      </w:r>
      <w:proofErr w:type="spellStart"/>
      <w:r w:rsidRPr="00B26148">
        <w:rPr>
          <w:sz w:val="18"/>
          <w:szCs w:val="18"/>
        </w:rPr>
        <w:t>na</w:t>
      </w:r>
      <w:proofErr w:type="spellEnd"/>
      <w:r w:rsidRPr="00B26148">
        <w:rPr>
          <w:sz w:val="18"/>
          <w:szCs w:val="18"/>
        </w:rPr>
        <w:t xml:space="preserve"> </w:t>
      </w:r>
      <w:proofErr w:type="spellStart"/>
      <w:r w:rsidRPr="00B26148">
        <w:rPr>
          <w:sz w:val="18"/>
          <w:szCs w:val="18"/>
        </w:rPr>
        <w:t>osnovu</w:t>
      </w:r>
      <w:proofErr w:type="spellEnd"/>
      <w:r w:rsidRPr="00B26148">
        <w:rPr>
          <w:sz w:val="18"/>
          <w:szCs w:val="18"/>
        </w:rPr>
        <w:t xml:space="preserve"> </w:t>
      </w:r>
      <w:proofErr w:type="spellStart"/>
      <w:r w:rsidRPr="00B26148">
        <w:rPr>
          <w:sz w:val="18"/>
          <w:szCs w:val="18"/>
        </w:rPr>
        <w:t>srednjih</w:t>
      </w:r>
      <w:proofErr w:type="spellEnd"/>
      <w:r w:rsidRPr="00B26148">
        <w:rPr>
          <w:sz w:val="18"/>
          <w:szCs w:val="18"/>
        </w:rPr>
        <w:t xml:space="preserve"> </w:t>
      </w:r>
      <w:proofErr w:type="spellStart"/>
      <w:r w:rsidRPr="00B26148">
        <w:rPr>
          <w:sz w:val="18"/>
          <w:szCs w:val="18"/>
        </w:rPr>
        <w:t>posl</w:t>
      </w:r>
      <w:r w:rsidR="005A154F" w:rsidRPr="00B26148">
        <w:rPr>
          <w:sz w:val="18"/>
          <w:szCs w:val="18"/>
        </w:rPr>
        <w:t>j</w:t>
      </w:r>
      <w:r w:rsidRPr="00B26148">
        <w:rPr>
          <w:sz w:val="18"/>
          <w:szCs w:val="18"/>
        </w:rPr>
        <w:t>ednjih</w:t>
      </w:r>
      <w:proofErr w:type="spellEnd"/>
      <w:r w:rsidRPr="00B26148">
        <w:rPr>
          <w:sz w:val="18"/>
          <w:szCs w:val="18"/>
        </w:rPr>
        <w:t xml:space="preserve"> </w:t>
      </w:r>
      <w:proofErr w:type="spellStart"/>
      <w:r w:rsidRPr="00B26148">
        <w:rPr>
          <w:sz w:val="18"/>
          <w:szCs w:val="18"/>
        </w:rPr>
        <w:t>dostupnih</w:t>
      </w:r>
      <w:proofErr w:type="spellEnd"/>
      <w:r w:rsidRPr="00B26148">
        <w:rPr>
          <w:sz w:val="18"/>
          <w:szCs w:val="18"/>
        </w:rPr>
        <w:t xml:space="preserve"> </w:t>
      </w:r>
      <w:proofErr w:type="spellStart"/>
      <w:r w:rsidR="005A154F" w:rsidRPr="00B26148">
        <w:rPr>
          <w:sz w:val="18"/>
          <w:szCs w:val="18"/>
        </w:rPr>
        <w:t>zabilježenih</w:t>
      </w:r>
      <w:proofErr w:type="spellEnd"/>
      <w:r w:rsidR="005A154F" w:rsidRPr="00B26148">
        <w:rPr>
          <w:sz w:val="18"/>
          <w:szCs w:val="18"/>
        </w:rPr>
        <w:t xml:space="preserve"> </w:t>
      </w:r>
      <w:proofErr w:type="spellStart"/>
      <w:r w:rsidRPr="00B26148">
        <w:rPr>
          <w:sz w:val="18"/>
          <w:szCs w:val="18"/>
        </w:rPr>
        <w:t>vrijednosti</w:t>
      </w:r>
      <w:proofErr w:type="spellEnd"/>
      <w:r w:rsidRPr="00B26148">
        <w:rPr>
          <w:sz w:val="18"/>
          <w:szCs w:val="18"/>
        </w:rPr>
        <w:t>. 95% -</w:t>
      </w:r>
      <w:proofErr w:type="spellStart"/>
      <w:r w:rsidRPr="00B26148">
        <w:rPr>
          <w:sz w:val="18"/>
          <w:szCs w:val="18"/>
        </w:rPr>
        <w:t>tni</w:t>
      </w:r>
      <w:proofErr w:type="spellEnd"/>
      <w:r w:rsidRPr="00B26148">
        <w:rPr>
          <w:sz w:val="18"/>
          <w:szCs w:val="18"/>
        </w:rPr>
        <w:t xml:space="preserve"> interval </w:t>
      </w:r>
      <w:proofErr w:type="spellStart"/>
      <w:r w:rsidRPr="00B26148">
        <w:rPr>
          <w:sz w:val="18"/>
          <w:szCs w:val="18"/>
        </w:rPr>
        <w:t>pouzdanosti</w:t>
      </w:r>
      <w:proofErr w:type="spellEnd"/>
      <w:r w:rsidRPr="00B26148">
        <w:rPr>
          <w:sz w:val="18"/>
          <w:szCs w:val="18"/>
        </w:rPr>
        <w:t xml:space="preserve"> </w:t>
      </w:r>
      <w:proofErr w:type="spellStart"/>
      <w:r w:rsidRPr="00B26148">
        <w:rPr>
          <w:sz w:val="18"/>
          <w:szCs w:val="18"/>
        </w:rPr>
        <w:t>naveden</w:t>
      </w:r>
      <w:proofErr w:type="spellEnd"/>
      <w:r w:rsidRPr="00B26148">
        <w:rPr>
          <w:sz w:val="18"/>
          <w:szCs w:val="18"/>
        </w:rPr>
        <w:t xml:space="preserve"> je u ‘[]’ </w:t>
      </w:r>
    </w:p>
    <w:p w14:paraId="7A37605C" w14:textId="77777777" w:rsidR="00EE2F19" w:rsidRPr="00B26148" w:rsidRDefault="00EE2F19" w:rsidP="00EE2F19">
      <w:pPr>
        <w:tabs>
          <w:tab w:val="left" w:pos="284"/>
        </w:tabs>
        <w:jc w:val="both"/>
        <w:rPr>
          <w:sz w:val="18"/>
          <w:szCs w:val="18"/>
        </w:rPr>
      </w:pPr>
      <w:r w:rsidRPr="00B26148">
        <w:rPr>
          <w:sz w:val="18"/>
          <w:szCs w:val="18"/>
          <w:vertAlign w:val="superscript"/>
        </w:rPr>
        <w:t>A</w:t>
      </w:r>
      <w:r w:rsidRPr="00B26148">
        <w:rPr>
          <w:sz w:val="18"/>
          <w:szCs w:val="18"/>
        </w:rPr>
        <w:t xml:space="preserve"> Test </w:t>
      </w:r>
      <w:proofErr w:type="spellStart"/>
      <w:r w:rsidRPr="00B26148">
        <w:rPr>
          <w:sz w:val="18"/>
          <w:szCs w:val="18"/>
        </w:rPr>
        <w:t>sa</w:t>
      </w:r>
      <w:proofErr w:type="spellEnd"/>
      <w:r w:rsidRPr="00B26148">
        <w:rPr>
          <w:sz w:val="18"/>
          <w:szCs w:val="18"/>
        </w:rPr>
        <w:t xml:space="preserve"> </w:t>
      </w:r>
      <w:proofErr w:type="spellStart"/>
      <w:r w:rsidRPr="00B26148">
        <w:rPr>
          <w:sz w:val="18"/>
          <w:szCs w:val="18"/>
        </w:rPr>
        <w:t>obrokom</w:t>
      </w:r>
      <w:proofErr w:type="spellEnd"/>
      <w:r w:rsidRPr="00B26148">
        <w:rPr>
          <w:sz w:val="18"/>
          <w:szCs w:val="18"/>
        </w:rPr>
        <w:t xml:space="preserve"> </w:t>
      </w:r>
    </w:p>
    <w:p w14:paraId="3978988B" w14:textId="24903893" w:rsidR="00EE2F19" w:rsidRPr="00B26148" w:rsidRDefault="00EE2F19" w:rsidP="003C7F98">
      <w:pPr>
        <w:tabs>
          <w:tab w:val="left" w:pos="284"/>
        </w:tabs>
        <w:ind w:left="142" w:hanging="142"/>
        <w:jc w:val="both"/>
        <w:rPr>
          <w:sz w:val="18"/>
          <w:szCs w:val="18"/>
        </w:rPr>
      </w:pPr>
      <w:r w:rsidRPr="00B26148">
        <w:rPr>
          <w:sz w:val="18"/>
          <w:szCs w:val="18"/>
          <w:vertAlign w:val="superscript"/>
        </w:rPr>
        <w:t>B</w:t>
      </w:r>
      <w:r w:rsidRPr="00B26148">
        <w:rPr>
          <w:sz w:val="18"/>
          <w:szCs w:val="18"/>
        </w:rPr>
        <w:t xml:space="preserve"> </w:t>
      </w:r>
      <w:proofErr w:type="spellStart"/>
      <w:r w:rsidRPr="00B26148">
        <w:rPr>
          <w:sz w:val="18"/>
          <w:szCs w:val="18"/>
        </w:rPr>
        <w:t>Teška</w:t>
      </w:r>
      <w:proofErr w:type="spellEnd"/>
      <w:r w:rsidRPr="00B26148">
        <w:rPr>
          <w:sz w:val="18"/>
          <w:szCs w:val="18"/>
        </w:rPr>
        <w:t xml:space="preserve"> </w:t>
      </w:r>
      <w:proofErr w:type="spellStart"/>
      <w:r w:rsidRPr="00B26148">
        <w:rPr>
          <w:sz w:val="18"/>
          <w:szCs w:val="18"/>
        </w:rPr>
        <w:t>hipoglikemija</w:t>
      </w:r>
      <w:proofErr w:type="spellEnd"/>
      <w:r w:rsidRPr="00B26148">
        <w:rPr>
          <w:sz w:val="18"/>
          <w:szCs w:val="18"/>
        </w:rPr>
        <w:t xml:space="preserve"> (</w:t>
      </w:r>
      <w:proofErr w:type="spellStart"/>
      <w:r w:rsidRPr="00B26148">
        <w:rPr>
          <w:sz w:val="18"/>
          <w:szCs w:val="18"/>
        </w:rPr>
        <w:t>epizoda</w:t>
      </w:r>
      <w:proofErr w:type="spellEnd"/>
      <w:r w:rsidRPr="00B26148">
        <w:rPr>
          <w:sz w:val="18"/>
          <w:szCs w:val="18"/>
        </w:rPr>
        <w:t xml:space="preserve"> u </w:t>
      </w:r>
      <w:proofErr w:type="spellStart"/>
      <w:r w:rsidRPr="00B26148">
        <w:rPr>
          <w:sz w:val="18"/>
          <w:szCs w:val="18"/>
        </w:rPr>
        <w:t>kojoj</w:t>
      </w:r>
      <w:proofErr w:type="spellEnd"/>
      <w:r w:rsidRPr="00B26148">
        <w:rPr>
          <w:sz w:val="18"/>
          <w:szCs w:val="18"/>
        </w:rPr>
        <w:t xml:space="preserve"> je </w:t>
      </w:r>
      <w:proofErr w:type="spellStart"/>
      <w:r w:rsidRPr="00B26148">
        <w:rPr>
          <w:sz w:val="18"/>
          <w:szCs w:val="18"/>
        </w:rPr>
        <w:t>potrebna</w:t>
      </w:r>
      <w:proofErr w:type="spellEnd"/>
      <w:r w:rsidRPr="00B26148">
        <w:rPr>
          <w:sz w:val="18"/>
          <w:szCs w:val="18"/>
        </w:rPr>
        <w:t xml:space="preserve"> </w:t>
      </w:r>
      <w:proofErr w:type="spellStart"/>
      <w:r w:rsidRPr="00B26148">
        <w:rPr>
          <w:sz w:val="18"/>
          <w:szCs w:val="18"/>
        </w:rPr>
        <w:t>pomoć</w:t>
      </w:r>
      <w:proofErr w:type="spellEnd"/>
      <w:r w:rsidRPr="00B26148">
        <w:rPr>
          <w:sz w:val="18"/>
          <w:szCs w:val="18"/>
        </w:rPr>
        <w:t xml:space="preserve"> </w:t>
      </w:r>
      <w:proofErr w:type="spellStart"/>
      <w:r w:rsidRPr="00B26148">
        <w:rPr>
          <w:sz w:val="18"/>
          <w:szCs w:val="18"/>
        </w:rPr>
        <w:t>druge</w:t>
      </w:r>
      <w:proofErr w:type="spellEnd"/>
      <w:r w:rsidRPr="00B26148">
        <w:rPr>
          <w:sz w:val="18"/>
          <w:szCs w:val="18"/>
        </w:rPr>
        <w:t xml:space="preserve"> </w:t>
      </w:r>
      <w:proofErr w:type="spellStart"/>
      <w:r w:rsidRPr="00B26148">
        <w:rPr>
          <w:sz w:val="18"/>
          <w:szCs w:val="18"/>
        </w:rPr>
        <w:t>osobe</w:t>
      </w:r>
      <w:proofErr w:type="spellEnd"/>
      <w:r w:rsidRPr="00B26148">
        <w:rPr>
          <w:sz w:val="18"/>
          <w:szCs w:val="18"/>
        </w:rPr>
        <w:t xml:space="preserve">) </w:t>
      </w:r>
      <w:proofErr w:type="spellStart"/>
      <w:r w:rsidRPr="00B26148">
        <w:rPr>
          <w:sz w:val="18"/>
          <w:szCs w:val="18"/>
        </w:rPr>
        <w:t>ili</w:t>
      </w:r>
      <w:proofErr w:type="spellEnd"/>
      <w:r w:rsidRPr="00B26148">
        <w:rPr>
          <w:sz w:val="18"/>
          <w:szCs w:val="18"/>
        </w:rPr>
        <w:t xml:space="preserve"> </w:t>
      </w:r>
      <w:proofErr w:type="spellStart"/>
      <w:r w:rsidRPr="00B26148">
        <w:rPr>
          <w:sz w:val="18"/>
          <w:szCs w:val="18"/>
        </w:rPr>
        <w:t>hipoglikemija</w:t>
      </w:r>
      <w:proofErr w:type="spellEnd"/>
      <w:r w:rsidRPr="00B26148">
        <w:rPr>
          <w:sz w:val="18"/>
          <w:szCs w:val="18"/>
        </w:rPr>
        <w:t xml:space="preserve"> </w:t>
      </w:r>
      <w:proofErr w:type="spellStart"/>
      <w:r w:rsidRPr="00B26148">
        <w:rPr>
          <w:sz w:val="18"/>
          <w:szCs w:val="18"/>
        </w:rPr>
        <w:t>potvrđena</w:t>
      </w:r>
      <w:proofErr w:type="spellEnd"/>
      <w:r w:rsidRPr="00B26148">
        <w:rPr>
          <w:sz w:val="18"/>
          <w:szCs w:val="18"/>
        </w:rPr>
        <w:t xml:space="preserve"> </w:t>
      </w:r>
      <w:proofErr w:type="spellStart"/>
      <w:r w:rsidRPr="00B26148">
        <w:rPr>
          <w:sz w:val="18"/>
          <w:szCs w:val="18"/>
        </w:rPr>
        <w:t>izmjerenim</w:t>
      </w:r>
      <w:proofErr w:type="spellEnd"/>
      <w:r w:rsidRPr="00B26148">
        <w:rPr>
          <w:sz w:val="18"/>
          <w:szCs w:val="18"/>
        </w:rPr>
        <w:t xml:space="preserve"> </w:t>
      </w:r>
      <w:proofErr w:type="spellStart"/>
      <w:r w:rsidRPr="00B26148">
        <w:rPr>
          <w:sz w:val="18"/>
          <w:szCs w:val="18"/>
        </w:rPr>
        <w:t>vrijednostima</w:t>
      </w:r>
      <w:proofErr w:type="spellEnd"/>
      <w:r w:rsidRPr="00B26148">
        <w:rPr>
          <w:sz w:val="18"/>
          <w:szCs w:val="18"/>
        </w:rPr>
        <w:t xml:space="preserve"> </w:t>
      </w:r>
      <w:proofErr w:type="spellStart"/>
      <w:r w:rsidRPr="00B26148">
        <w:rPr>
          <w:sz w:val="18"/>
          <w:szCs w:val="18"/>
        </w:rPr>
        <w:t>glukoze</w:t>
      </w:r>
      <w:proofErr w:type="spellEnd"/>
      <w:r w:rsidRPr="00B26148">
        <w:rPr>
          <w:sz w:val="18"/>
          <w:szCs w:val="18"/>
        </w:rPr>
        <w:t xml:space="preserve"> u </w:t>
      </w:r>
      <w:proofErr w:type="spellStart"/>
      <w:r w:rsidRPr="00B26148">
        <w:rPr>
          <w:sz w:val="18"/>
          <w:szCs w:val="18"/>
        </w:rPr>
        <w:t>krvi</w:t>
      </w:r>
      <w:proofErr w:type="spellEnd"/>
      <w:r w:rsidRPr="00B26148">
        <w:rPr>
          <w:sz w:val="18"/>
          <w:szCs w:val="18"/>
        </w:rPr>
        <w:t xml:space="preserve"> (GK) </w:t>
      </w:r>
      <w:proofErr w:type="spellStart"/>
      <w:r w:rsidRPr="00B26148">
        <w:rPr>
          <w:sz w:val="18"/>
          <w:szCs w:val="18"/>
        </w:rPr>
        <w:t>definisanim</w:t>
      </w:r>
      <w:proofErr w:type="spellEnd"/>
      <w:r w:rsidRPr="00B26148">
        <w:rPr>
          <w:sz w:val="18"/>
          <w:szCs w:val="18"/>
        </w:rPr>
        <w:t xml:space="preserve"> </w:t>
      </w:r>
      <w:proofErr w:type="spellStart"/>
      <w:r w:rsidRPr="00B26148">
        <w:rPr>
          <w:sz w:val="18"/>
          <w:szCs w:val="18"/>
        </w:rPr>
        <w:t>kao</w:t>
      </w:r>
      <w:proofErr w:type="spellEnd"/>
      <w:r w:rsidRPr="00B26148">
        <w:rPr>
          <w:sz w:val="18"/>
          <w:szCs w:val="18"/>
        </w:rPr>
        <w:t xml:space="preserve"> </w:t>
      </w:r>
      <w:proofErr w:type="spellStart"/>
      <w:r w:rsidRPr="00B26148">
        <w:rPr>
          <w:sz w:val="18"/>
          <w:szCs w:val="18"/>
        </w:rPr>
        <w:t>epizode</w:t>
      </w:r>
      <w:proofErr w:type="spellEnd"/>
      <w:r w:rsidRPr="00B26148">
        <w:rPr>
          <w:sz w:val="18"/>
          <w:szCs w:val="18"/>
        </w:rPr>
        <w:t xml:space="preserve"> </w:t>
      </w:r>
      <w:proofErr w:type="spellStart"/>
      <w:r w:rsidRPr="00B26148">
        <w:rPr>
          <w:sz w:val="18"/>
          <w:szCs w:val="18"/>
        </w:rPr>
        <w:t>potvrđene</w:t>
      </w:r>
      <w:proofErr w:type="spellEnd"/>
      <w:r w:rsidRPr="00B26148">
        <w:rPr>
          <w:sz w:val="18"/>
          <w:szCs w:val="18"/>
        </w:rPr>
        <w:t xml:space="preserve"> </w:t>
      </w:r>
      <w:proofErr w:type="spellStart"/>
      <w:r w:rsidRPr="00B26148">
        <w:rPr>
          <w:sz w:val="18"/>
          <w:szCs w:val="18"/>
        </w:rPr>
        <w:t>vrijednošću</w:t>
      </w:r>
      <w:proofErr w:type="spellEnd"/>
      <w:r w:rsidRPr="00B26148">
        <w:rPr>
          <w:sz w:val="18"/>
          <w:szCs w:val="18"/>
        </w:rPr>
        <w:t xml:space="preserve"> </w:t>
      </w:r>
      <w:proofErr w:type="spellStart"/>
      <w:r w:rsidRPr="00B26148">
        <w:rPr>
          <w:sz w:val="18"/>
          <w:szCs w:val="18"/>
        </w:rPr>
        <w:t>glukoze</w:t>
      </w:r>
      <w:proofErr w:type="spellEnd"/>
      <w:r w:rsidRPr="00B26148">
        <w:rPr>
          <w:sz w:val="18"/>
          <w:szCs w:val="18"/>
        </w:rPr>
        <w:t xml:space="preserve"> u </w:t>
      </w:r>
      <w:proofErr w:type="spellStart"/>
      <w:r w:rsidRPr="00B26148">
        <w:rPr>
          <w:sz w:val="18"/>
          <w:szCs w:val="18"/>
        </w:rPr>
        <w:t>plazmi</w:t>
      </w:r>
      <w:proofErr w:type="spellEnd"/>
      <w:r w:rsidRPr="00B26148">
        <w:rPr>
          <w:sz w:val="18"/>
          <w:szCs w:val="18"/>
        </w:rPr>
        <w:t xml:space="preserve"> &lt;</w:t>
      </w:r>
      <w:r w:rsidR="00A73EB6">
        <w:rPr>
          <w:sz w:val="18"/>
          <w:szCs w:val="18"/>
        </w:rPr>
        <w:t xml:space="preserve"> </w:t>
      </w:r>
      <w:r w:rsidRPr="00B26148">
        <w:rPr>
          <w:sz w:val="18"/>
          <w:szCs w:val="18"/>
        </w:rPr>
        <w:t>3,1 mmol/</w:t>
      </w:r>
      <w:r w:rsidR="003C7F98">
        <w:rPr>
          <w:sz w:val="18"/>
          <w:szCs w:val="18"/>
        </w:rPr>
        <w:t>l</w:t>
      </w:r>
      <w:r w:rsidRPr="00B26148">
        <w:rPr>
          <w:sz w:val="18"/>
          <w:szCs w:val="18"/>
        </w:rPr>
        <w:t xml:space="preserve"> bez </w:t>
      </w:r>
      <w:proofErr w:type="spellStart"/>
      <w:r w:rsidRPr="00B26148">
        <w:rPr>
          <w:sz w:val="18"/>
          <w:szCs w:val="18"/>
        </w:rPr>
        <w:t>obzira</w:t>
      </w:r>
      <w:proofErr w:type="spellEnd"/>
      <w:r w:rsidRPr="00B26148">
        <w:rPr>
          <w:sz w:val="18"/>
          <w:szCs w:val="18"/>
        </w:rPr>
        <w:t xml:space="preserve"> </w:t>
      </w:r>
      <w:proofErr w:type="spellStart"/>
      <w:r w:rsidRPr="00B26148">
        <w:rPr>
          <w:sz w:val="18"/>
          <w:szCs w:val="18"/>
        </w:rPr>
        <w:t>na</w:t>
      </w:r>
      <w:proofErr w:type="spellEnd"/>
      <w:r w:rsidRPr="00B26148">
        <w:rPr>
          <w:sz w:val="18"/>
          <w:szCs w:val="18"/>
        </w:rPr>
        <w:t xml:space="preserve"> </w:t>
      </w:r>
      <w:proofErr w:type="spellStart"/>
      <w:r w:rsidRPr="00B26148">
        <w:rPr>
          <w:sz w:val="18"/>
          <w:szCs w:val="18"/>
        </w:rPr>
        <w:t>simptome</w:t>
      </w:r>
      <w:proofErr w:type="spellEnd"/>
    </w:p>
    <w:p w14:paraId="6280CE5B" w14:textId="77777777" w:rsidR="00EE2F19" w:rsidRPr="00B26148" w:rsidRDefault="00EE2F19" w:rsidP="00EE2F19">
      <w:pPr>
        <w:tabs>
          <w:tab w:val="left" w:pos="284"/>
        </w:tabs>
        <w:jc w:val="both"/>
        <w:rPr>
          <w:sz w:val="18"/>
          <w:szCs w:val="18"/>
        </w:rPr>
      </w:pPr>
      <w:r w:rsidRPr="00B26148">
        <w:rPr>
          <w:sz w:val="18"/>
          <w:szCs w:val="18"/>
          <w:vertAlign w:val="superscript"/>
        </w:rPr>
        <w:t>C</w:t>
      </w:r>
      <w:r w:rsidRPr="00B26148">
        <w:rPr>
          <w:sz w:val="18"/>
          <w:szCs w:val="18"/>
        </w:rPr>
        <w:t xml:space="preserve"> </w:t>
      </w:r>
      <w:proofErr w:type="spellStart"/>
      <w:r w:rsidRPr="00B26148">
        <w:rPr>
          <w:sz w:val="18"/>
          <w:szCs w:val="18"/>
        </w:rPr>
        <w:t>Razlika</w:t>
      </w:r>
      <w:proofErr w:type="spellEnd"/>
      <w:r w:rsidRPr="00B26148">
        <w:rPr>
          <w:sz w:val="18"/>
          <w:szCs w:val="18"/>
        </w:rPr>
        <w:t xml:space="preserve"> za </w:t>
      </w:r>
      <w:proofErr w:type="spellStart"/>
      <w:r w:rsidRPr="00B26148">
        <w:rPr>
          <w:sz w:val="18"/>
          <w:szCs w:val="18"/>
        </w:rPr>
        <w:t>Fiasp</w:t>
      </w:r>
      <w:proofErr w:type="spellEnd"/>
      <w:r w:rsidRPr="00B26148">
        <w:rPr>
          <w:sz w:val="18"/>
          <w:szCs w:val="18"/>
        </w:rPr>
        <w:t xml:space="preserve"> </w:t>
      </w:r>
      <w:proofErr w:type="spellStart"/>
      <w:r w:rsidRPr="00B26148">
        <w:rPr>
          <w:sz w:val="18"/>
          <w:szCs w:val="18"/>
        </w:rPr>
        <w:t>uz</w:t>
      </w:r>
      <w:proofErr w:type="spellEnd"/>
      <w:r w:rsidRPr="00B26148">
        <w:rPr>
          <w:sz w:val="18"/>
          <w:szCs w:val="18"/>
        </w:rPr>
        <w:t xml:space="preserve"> </w:t>
      </w:r>
      <w:proofErr w:type="spellStart"/>
      <w:r w:rsidRPr="00B26148">
        <w:rPr>
          <w:sz w:val="18"/>
          <w:szCs w:val="18"/>
        </w:rPr>
        <w:t>obrok</w:t>
      </w:r>
      <w:proofErr w:type="spellEnd"/>
      <w:r w:rsidRPr="00B26148">
        <w:rPr>
          <w:sz w:val="18"/>
          <w:szCs w:val="18"/>
        </w:rPr>
        <w:t xml:space="preserve"> – </w:t>
      </w:r>
      <w:proofErr w:type="spellStart"/>
      <w:r w:rsidRPr="00B26148">
        <w:rPr>
          <w:sz w:val="18"/>
          <w:szCs w:val="18"/>
        </w:rPr>
        <w:t>NovoRapid</w:t>
      </w:r>
      <w:proofErr w:type="spellEnd"/>
      <w:r w:rsidRPr="00B26148">
        <w:rPr>
          <w:sz w:val="18"/>
          <w:szCs w:val="18"/>
        </w:rPr>
        <w:t xml:space="preserve"> </w:t>
      </w:r>
      <w:proofErr w:type="spellStart"/>
      <w:r w:rsidRPr="00B26148">
        <w:rPr>
          <w:sz w:val="18"/>
          <w:szCs w:val="18"/>
        </w:rPr>
        <w:t>uz</w:t>
      </w:r>
      <w:proofErr w:type="spellEnd"/>
      <w:r w:rsidRPr="00B26148">
        <w:rPr>
          <w:sz w:val="18"/>
          <w:szCs w:val="18"/>
        </w:rPr>
        <w:t xml:space="preserve"> </w:t>
      </w:r>
      <w:proofErr w:type="spellStart"/>
      <w:r w:rsidRPr="00B26148">
        <w:rPr>
          <w:sz w:val="18"/>
          <w:szCs w:val="18"/>
        </w:rPr>
        <w:t>obrok</w:t>
      </w:r>
      <w:proofErr w:type="spellEnd"/>
    </w:p>
    <w:p w14:paraId="02796C4D" w14:textId="77777777" w:rsidR="00EE2F19" w:rsidRPr="00B26148" w:rsidRDefault="00EE2F19" w:rsidP="00EE2F19">
      <w:pPr>
        <w:tabs>
          <w:tab w:val="left" w:pos="284"/>
        </w:tabs>
        <w:jc w:val="both"/>
        <w:rPr>
          <w:sz w:val="18"/>
          <w:szCs w:val="18"/>
        </w:rPr>
      </w:pPr>
      <w:r w:rsidRPr="00B26148">
        <w:rPr>
          <w:sz w:val="18"/>
          <w:szCs w:val="18"/>
          <w:vertAlign w:val="superscript"/>
        </w:rPr>
        <w:t>D</w:t>
      </w:r>
      <w:r w:rsidRPr="00B26148">
        <w:rPr>
          <w:sz w:val="18"/>
          <w:szCs w:val="18"/>
        </w:rPr>
        <w:t xml:space="preserve"> </w:t>
      </w:r>
      <w:proofErr w:type="spellStart"/>
      <w:r w:rsidRPr="00B26148">
        <w:rPr>
          <w:sz w:val="18"/>
          <w:szCs w:val="18"/>
        </w:rPr>
        <w:t>Razlika</w:t>
      </w:r>
      <w:proofErr w:type="spellEnd"/>
      <w:r w:rsidRPr="00B26148">
        <w:rPr>
          <w:sz w:val="18"/>
          <w:szCs w:val="18"/>
        </w:rPr>
        <w:t xml:space="preserve"> za </w:t>
      </w:r>
      <w:proofErr w:type="spellStart"/>
      <w:r w:rsidRPr="00B26148">
        <w:rPr>
          <w:sz w:val="18"/>
          <w:szCs w:val="18"/>
        </w:rPr>
        <w:t>Fiasp</w:t>
      </w:r>
      <w:proofErr w:type="spellEnd"/>
      <w:r w:rsidRPr="00B26148">
        <w:rPr>
          <w:sz w:val="18"/>
          <w:szCs w:val="18"/>
        </w:rPr>
        <w:t xml:space="preserve"> </w:t>
      </w:r>
      <w:proofErr w:type="spellStart"/>
      <w:r w:rsidRPr="00B26148">
        <w:rPr>
          <w:sz w:val="18"/>
          <w:szCs w:val="18"/>
        </w:rPr>
        <w:t>nakon</w:t>
      </w:r>
      <w:proofErr w:type="spellEnd"/>
      <w:r w:rsidRPr="00B26148">
        <w:rPr>
          <w:sz w:val="18"/>
          <w:szCs w:val="18"/>
        </w:rPr>
        <w:t xml:space="preserve"> </w:t>
      </w:r>
      <w:proofErr w:type="spellStart"/>
      <w:r w:rsidRPr="00B26148">
        <w:rPr>
          <w:sz w:val="18"/>
          <w:szCs w:val="18"/>
        </w:rPr>
        <w:t>obroka</w:t>
      </w:r>
      <w:proofErr w:type="spellEnd"/>
      <w:r w:rsidRPr="00B26148">
        <w:rPr>
          <w:sz w:val="18"/>
          <w:szCs w:val="18"/>
        </w:rPr>
        <w:t xml:space="preserve"> – </w:t>
      </w:r>
      <w:proofErr w:type="spellStart"/>
      <w:r w:rsidRPr="00B26148">
        <w:rPr>
          <w:sz w:val="18"/>
          <w:szCs w:val="18"/>
        </w:rPr>
        <w:t>NovoRapid</w:t>
      </w:r>
      <w:proofErr w:type="spellEnd"/>
      <w:r w:rsidRPr="00B26148">
        <w:rPr>
          <w:sz w:val="18"/>
          <w:szCs w:val="18"/>
        </w:rPr>
        <w:t xml:space="preserve"> </w:t>
      </w:r>
      <w:proofErr w:type="spellStart"/>
      <w:r w:rsidRPr="00B26148">
        <w:rPr>
          <w:sz w:val="18"/>
          <w:szCs w:val="18"/>
        </w:rPr>
        <w:t>uz</w:t>
      </w:r>
      <w:proofErr w:type="spellEnd"/>
      <w:r w:rsidRPr="00B26148">
        <w:rPr>
          <w:sz w:val="18"/>
          <w:szCs w:val="18"/>
        </w:rPr>
        <w:t xml:space="preserve"> </w:t>
      </w:r>
      <w:proofErr w:type="spellStart"/>
      <w:r w:rsidRPr="00B26148">
        <w:rPr>
          <w:sz w:val="18"/>
          <w:szCs w:val="18"/>
        </w:rPr>
        <w:t>obrok</w:t>
      </w:r>
      <w:proofErr w:type="spellEnd"/>
    </w:p>
    <w:p w14:paraId="073C8764" w14:textId="77777777" w:rsidR="00EE2F19" w:rsidRPr="001D23DB" w:rsidRDefault="00EE2F19" w:rsidP="00EE2F19">
      <w:pPr>
        <w:tabs>
          <w:tab w:val="left" w:pos="284"/>
        </w:tabs>
        <w:jc w:val="both"/>
        <w:rPr>
          <w:sz w:val="21"/>
          <w:szCs w:val="21"/>
          <w:lang w:val="de-DE"/>
        </w:rPr>
      </w:pPr>
      <w:r w:rsidRPr="001D23DB">
        <w:rPr>
          <w:sz w:val="18"/>
          <w:szCs w:val="18"/>
          <w:vertAlign w:val="superscript"/>
          <w:lang w:val="de-DE"/>
        </w:rPr>
        <w:t>E</w:t>
      </w:r>
      <w:r w:rsidRPr="001D23DB">
        <w:rPr>
          <w:sz w:val="18"/>
          <w:szCs w:val="18"/>
          <w:lang w:val="de-DE"/>
        </w:rPr>
        <w:t xml:space="preserve"> </w:t>
      </w:r>
      <w:proofErr w:type="spellStart"/>
      <w:r w:rsidRPr="001D23DB">
        <w:rPr>
          <w:sz w:val="18"/>
          <w:szCs w:val="18"/>
          <w:lang w:val="de-DE"/>
        </w:rPr>
        <w:t>Statistički</w:t>
      </w:r>
      <w:proofErr w:type="spellEnd"/>
      <w:r w:rsidRPr="001D23DB">
        <w:rPr>
          <w:sz w:val="18"/>
          <w:szCs w:val="18"/>
          <w:lang w:val="de-DE"/>
        </w:rPr>
        <w:t xml:space="preserve"> </w:t>
      </w:r>
      <w:proofErr w:type="spellStart"/>
      <w:r w:rsidRPr="001D23DB">
        <w:rPr>
          <w:sz w:val="18"/>
          <w:szCs w:val="18"/>
          <w:lang w:val="de-DE"/>
        </w:rPr>
        <w:t>značajno</w:t>
      </w:r>
      <w:proofErr w:type="spellEnd"/>
      <w:r w:rsidRPr="001D23DB">
        <w:rPr>
          <w:sz w:val="18"/>
          <w:szCs w:val="18"/>
          <w:lang w:val="de-DE"/>
        </w:rPr>
        <w:t xml:space="preserve"> u </w:t>
      </w:r>
      <w:proofErr w:type="spellStart"/>
      <w:r w:rsidRPr="001D23DB">
        <w:rPr>
          <w:sz w:val="18"/>
          <w:szCs w:val="18"/>
          <w:lang w:val="de-DE"/>
        </w:rPr>
        <w:t>korist</w:t>
      </w:r>
      <w:proofErr w:type="spellEnd"/>
      <w:r w:rsidRPr="001D23DB">
        <w:rPr>
          <w:sz w:val="18"/>
          <w:szCs w:val="18"/>
          <w:lang w:val="de-DE"/>
        </w:rPr>
        <w:t xml:space="preserve"> </w:t>
      </w:r>
      <w:proofErr w:type="spellStart"/>
      <w:r w:rsidRPr="001D23DB">
        <w:rPr>
          <w:sz w:val="18"/>
          <w:szCs w:val="18"/>
          <w:lang w:val="de-DE"/>
        </w:rPr>
        <w:t>lijeka</w:t>
      </w:r>
      <w:proofErr w:type="spellEnd"/>
      <w:r w:rsidRPr="001D23DB">
        <w:rPr>
          <w:sz w:val="18"/>
          <w:szCs w:val="18"/>
          <w:lang w:val="de-DE"/>
        </w:rPr>
        <w:t xml:space="preserve"> </w:t>
      </w:r>
      <w:proofErr w:type="spellStart"/>
      <w:r w:rsidRPr="001D23DB">
        <w:rPr>
          <w:sz w:val="18"/>
          <w:szCs w:val="18"/>
          <w:lang w:val="de-DE"/>
        </w:rPr>
        <w:t>Fiasp</w:t>
      </w:r>
      <w:proofErr w:type="spellEnd"/>
      <w:r w:rsidRPr="001D23DB">
        <w:rPr>
          <w:sz w:val="18"/>
          <w:szCs w:val="18"/>
          <w:lang w:val="de-DE"/>
        </w:rPr>
        <w:t xml:space="preserve"> </w:t>
      </w:r>
      <w:proofErr w:type="spellStart"/>
      <w:r w:rsidRPr="001D23DB">
        <w:rPr>
          <w:sz w:val="18"/>
          <w:szCs w:val="18"/>
          <w:lang w:val="de-DE"/>
        </w:rPr>
        <w:t>uz</w:t>
      </w:r>
      <w:proofErr w:type="spellEnd"/>
      <w:r w:rsidRPr="001D23DB">
        <w:rPr>
          <w:sz w:val="18"/>
          <w:szCs w:val="18"/>
          <w:lang w:val="de-DE"/>
        </w:rPr>
        <w:t xml:space="preserve"> </w:t>
      </w:r>
      <w:proofErr w:type="spellStart"/>
      <w:r w:rsidRPr="001D23DB">
        <w:rPr>
          <w:sz w:val="18"/>
          <w:szCs w:val="18"/>
          <w:lang w:val="de-DE"/>
        </w:rPr>
        <w:t>obrok</w:t>
      </w:r>
      <w:proofErr w:type="spellEnd"/>
    </w:p>
    <w:p w14:paraId="3822AA66" w14:textId="77777777" w:rsidR="00EE2F19" w:rsidRPr="001D23DB" w:rsidRDefault="00EE2F19" w:rsidP="00EE2F19">
      <w:pPr>
        <w:tabs>
          <w:tab w:val="left" w:pos="284"/>
        </w:tabs>
        <w:jc w:val="both"/>
        <w:rPr>
          <w:sz w:val="22"/>
          <w:szCs w:val="22"/>
          <w:lang w:val="de-DE"/>
        </w:rPr>
      </w:pPr>
    </w:p>
    <w:p w14:paraId="24EFD5D3" w14:textId="77777777" w:rsidR="00EE2F19" w:rsidRPr="001D23DB" w:rsidRDefault="00EE2F19" w:rsidP="00EE2F19">
      <w:pPr>
        <w:tabs>
          <w:tab w:val="left" w:pos="284"/>
        </w:tabs>
        <w:jc w:val="both"/>
        <w:rPr>
          <w:sz w:val="22"/>
          <w:szCs w:val="22"/>
          <w:lang w:val="de-DE"/>
        </w:rPr>
      </w:pPr>
      <w:r w:rsidRPr="001D23DB">
        <w:rPr>
          <w:sz w:val="22"/>
          <w:szCs w:val="22"/>
          <w:lang w:val="de-DE"/>
        </w:rPr>
        <w:t xml:space="preserve">33,3% </w:t>
      </w:r>
      <w:proofErr w:type="spellStart"/>
      <w:r w:rsidRPr="001D23DB">
        <w:rPr>
          <w:sz w:val="22"/>
          <w:szCs w:val="22"/>
          <w:lang w:val="de-DE"/>
        </w:rPr>
        <w:t>pacijenata</w:t>
      </w:r>
      <w:proofErr w:type="spellEnd"/>
      <w:r w:rsidRPr="001D23DB">
        <w:rPr>
          <w:sz w:val="22"/>
          <w:szCs w:val="22"/>
          <w:lang w:val="de-DE"/>
        </w:rPr>
        <w:t xml:space="preserve"> </w:t>
      </w:r>
      <w:proofErr w:type="spellStart"/>
      <w:r w:rsidRPr="001D23DB">
        <w:rPr>
          <w:sz w:val="22"/>
          <w:szCs w:val="22"/>
          <w:lang w:val="de-DE"/>
        </w:rPr>
        <w:t>liječenih</w:t>
      </w:r>
      <w:proofErr w:type="spellEnd"/>
      <w:r w:rsidRPr="001D23DB">
        <w:rPr>
          <w:sz w:val="22"/>
          <w:szCs w:val="22"/>
          <w:lang w:val="de-DE"/>
        </w:rPr>
        <w:t xml:space="preserve"> </w:t>
      </w:r>
      <w:proofErr w:type="spellStart"/>
      <w:r w:rsidRPr="001D23DB">
        <w:rPr>
          <w:sz w:val="22"/>
          <w:szCs w:val="22"/>
          <w:lang w:val="de-DE"/>
        </w:rPr>
        <w:t>lijekom</w:t>
      </w:r>
      <w:proofErr w:type="spellEnd"/>
      <w:r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prim</w:t>
      </w:r>
      <w:r w:rsidR="00F85F91" w:rsidRPr="001D23DB">
        <w:rPr>
          <w:sz w:val="22"/>
          <w:szCs w:val="22"/>
          <w:lang w:val="de-DE"/>
        </w:rPr>
        <w:t>i</w:t>
      </w:r>
      <w:r w:rsidRPr="001D23DB">
        <w:rPr>
          <w:sz w:val="22"/>
          <w:szCs w:val="22"/>
          <w:lang w:val="de-DE"/>
        </w:rPr>
        <w:t>jenjenim</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w:t>
      </w:r>
      <w:proofErr w:type="spellStart"/>
      <w:r w:rsidRPr="001D23DB">
        <w:rPr>
          <w:sz w:val="22"/>
          <w:szCs w:val="22"/>
          <w:lang w:val="de-DE"/>
        </w:rPr>
        <w:t>postigli</w:t>
      </w:r>
      <w:proofErr w:type="spellEnd"/>
      <w:r w:rsidRPr="001D23DB">
        <w:rPr>
          <w:sz w:val="22"/>
          <w:szCs w:val="22"/>
          <w:lang w:val="de-DE"/>
        </w:rPr>
        <w:t xml:space="preserve"> </w:t>
      </w:r>
      <w:proofErr w:type="spellStart"/>
      <w:r w:rsidRPr="001D23DB">
        <w:rPr>
          <w:sz w:val="22"/>
          <w:szCs w:val="22"/>
          <w:lang w:val="de-DE"/>
        </w:rPr>
        <w:t>su</w:t>
      </w:r>
      <w:proofErr w:type="spellEnd"/>
      <w:r w:rsidRPr="001D23DB">
        <w:rPr>
          <w:sz w:val="22"/>
          <w:szCs w:val="22"/>
          <w:lang w:val="de-DE"/>
        </w:rPr>
        <w:t xml:space="preserve"> HbA</w:t>
      </w:r>
      <w:r w:rsidRPr="001D23DB">
        <w:rPr>
          <w:sz w:val="22"/>
          <w:szCs w:val="22"/>
          <w:vertAlign w:val="subscript"/>
          <w:lang w:val="de-DE"/>
        </w:rPr>
        <w:t>1c</w:t>
      </w:r>
      <w:r w:rsidRPr="001D23DB">
        <w:rPr>
          <w:sz w:val="22"/>
          <w:szCs w:val="22"/>
          <w:lang w:val="de-DE"/>
        </w:rPr>
        <w:t xml:space="preserve"> </w:t>
      </w:r>
      <w:proofErr w:type="spellStart"/>
      <w:r w:rsidRPr="001D23DB">
        <w:rPr>
          <w:sz w:val="22"/>
          <w:szCs w:val="22"/>
          <w:lang w:val="de-DE"/>
        </w:rPr>
        <w:t>od</w:t>
      </w:r>
      <w:proofErr w:type="spellEnd"/>
      <w:r w:rsidRPr="001D23DB">
        <w:rPr>
          <w:sz w:val="22"/>
          <w:szCs w:val="22"/>
          <w:lang w:val="de-DE"/>
        </w:rPr>
        <w:t xml:space="preserve"> &lt;7%</w:t>
      </w:r>
      <w:r w:rsidR="00520AE3" w:rsidRPr="001D23DB">
        <w:rPr>
          <w:sz w:val="22"/>
          <w:szCs w:val="22"/>
          <w:lang w:val="de-DE"/>
        </w:rPr>
        <w:t>,</w:t>
      </w:r>
      <w:r w:rsidRPr="001D23DB">
        <w:rPr>
          <w:sz w:val="22"/>
          <w:szCs w:val="22"/>
          <w:lang w:val="de-DE"/>
        </w:rPr>
        <w:t xml:space="preserve"> u </w:t>
      </w:r>
      <w:proofErr w:type="spellStart"/>
      <w:r w:rsidRPr="001D23DB">
        <w:rPr>
          <w:sz w:val="22"/>
          <w:szCs w:val="22"/>
          <w:lang w:val="de-DE"/>
        </w:rPr>
        <w:t>poređenju</w:t>
      </w:r>
      <w:proofErr w:type="spellEnd"/>
      <w:r w:rsidRPr="001D23DB">
        <w:rPr>
          <w:sz w:val="22"/>
          <w:szCs w:val="22"/>
          <w:lang w:val="de-DE"/>
        </w:rPr>
        <w:t xml:space="preserve"> </w:t>
      </w:r>
      <w:proofErr w:type="spellStart"/>
      <w:r w:rsidRPr="001D23DB">
        <w:rPr>
          <w:sz w:val="22"/>
          <w:szCs w:val="22"/>
          <w:lang w:val="de-DE"/>
        </w:rPr>
        <w:t>sa</w:t>
      </w:r>
      <w:proofErr w:type="spellEnd"/>
      <w:r w:rsidRPr="001D23DB">
        <w:rPr>
          <w:sz w:val="22"/>
          <w:szCs w:val="22"/>
          <w:lang w:val="de-DE"/>
        </w:rPr>
        <w:t xml:space="preserve"> 23,3% </w:t>
      </w:r>
      <w:proofErr w:type="spellStart"/>
      <w:r w:rsidRPr="001D23DB">
        <w:rPr>
          <w:sz w:val="22"/>
          <w:szCs w:val="22"/>
          <w:lang w:val="de-DE"/>
        </w:rPr>
        <w:t>pacijenata</w:t>
      </w:r>
      <w:proofErr w:type="spellEnd"/>
      <w:r w:rsidRPr="001D23DB">
        <w:rPr>
          <w:sz w:val="22"/>
          <w:szCs w:val="22"/>
          <w:lang w:val="de-DE"/>
        </w:rPr>
        <w:t xml:space="preserve"> </w:t>
      </w:r>
      <w:proofErr w:type="spellStart"/>
      <w:r w:rsidRPr="001D23DB">
        <w:rPr>
          <w:sz w:val="22"/>
          <w:szCs w:val="22"/>
          <w:lang w:val="de-DE"/>
        </w:rPr>
        <w:t>liječenih</w:t>
      </w:r>
      <w:proofErr w:type="spellEnd"/>
      <w:r w:rsidRPr="001D23DB">
        <w:rPr>
          <w:sz w:val="22"/>
          <w:szCs w:val="22"/>
          <w:lang w:val="de-DE"/>
        </w:rPr>
        <w:t xml:space="preserve"> </w:t>
      </w:r>
      <w:proofErr w:type="spellStart"/>
      <w:r w:rsidRPr="001D23DB">
        <w:rPr>
          <w:sz w:val="22"/>
          <w:szCs w:val="22"/>
          <w:lang w:val="de-DE"/>
        </w:rPr>
        <w:t>lijekom</w:t>
      </w:r>
      <w:proofErr w:type="spellEnd"/>
      <w:r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prim</w:t>
      </w:r>
      <w:r w:rsidR="00F85F91" w:rsidRPr="001D23DB">
        <w:rPr>
          <w:sz w:val="22"/>
          <w:szCs w:val="22"/>
          <w:lang w:val="de-DE"/>
        </w:rPr>
        <w:t>i</w:t>
      </w:r>
      <w:r w:rsidRPr="001D23DB">
        <w:rPr>
          <w:sz w:val="22"/>
          <w:szCs w:val="22"/>
          <w:lang w:val="de-DE"/>
        </w:rPr>
        <w:t>jenjenim</w:t>
      </w:r>
      <w:proofErr w:type="spellEnd"/>
      <w:r w:rsidRPr="001D23DB">
        <w:rPr>
          <w:sz w:val="22"/>
          <w:szCs w:val="22"/>
          <w:lang w:val="de-DE"/>
        </w:rPr>
        <w:t xml:space="preserve"> </w:t>
      </w:r>
      <w:proofErr w:type="spellStart"/>
      <w:r w:rsidRPr="001D23DB">
        <w:rPr>
          <w:sz w:val="22"/>
          <w:szCs w:val="22"/>
          <w:lang w:val="de-DE"/>
        </w:rPr>
        <w:t>nakon</w:t>
      </w:r>
      <w:proofErr w:type="spellEnd"/>
      <w:r w:rsidRPr="001D23DB">
        <w:rPr>
          <w:sz w:val="22"/>
          <w:szCs w:val="22"/>
          <w:lang w:val="de-DE"/>
        </w:rPr>
        <w:t xml:space="preserve"> </w:t>
      </w:r>
      <w:proofErr w:type="spellStart"/>
      <w:r w:rsidRPr="001D23DB">
        <w:rPr>
          <w:sz w:val="22"/>
          <w:szCs w:val="22"/>
          <w:lang w:val="de-DE"/>
        </w:rPr>
        <w:t>obroka</w:t>
      </w:r>
      <w:proofErr w:type="spellEnd"/>
      <w:r w:rsidRPr="001D23DB">
        <w:rPr>
          <w:sz w:val="22"/>
          <w:szCs w:val="22"/>
          <w:lang w:val="de-DE"/>
        </w:rPr>
        <w:t xml:space="preserve"> i 28,2% </w:t>
      </w:r>
      <w:proofErr w:type="spellStart"/>
      <w:r w:rsidRPr="001D23DB">
        <w:rPr>
          <w:sz w:val="22"/>
          <w:szCs w:val="22"/>
          <w:lang w:val="de-DE"/>
        </w:rPr>
        <w:t>pacijenata</w:t>
      </w:r>
      <w:proofErr w:type="spellEnd"/>
      <w:r w:rsidRPr="001D23DB">
        <w:rPr>
          <w:sz w:val="22"/>
          <w:szCs w:val="22"/>
          <w:lang w:val="de-DE"/>
        </w:rPr>
        <w:t xml:space="preserve"> </w:t>
      </w:r>
      <w:proofErr w:type="spellStart"/>
      <w:r w:rsidRPr="001D23DB">
        <w:rPr>
          <w:sz w:val="22"/>
          <w:szCs w:val="22"/>
          <w:lang w:val="de-DE"/>
        </w:rPr>
        <w:t>liječenih</w:t>
      </w:r>
      <w:proofErr w:type="spellEnd"/>
      <w:r w:rsidRPr="001D23DB">
        <w:rPr>
          <w:sz w:val="22"/>
          <w:szCs w:val="22"/>
          <w:lang w:val="de-DE"/>
        </w:rPr>
        <w:t xml:space="preserve"> </w:t>
      </w:r>
      <w:proofErr w:type="spellStart"/>
      <w:r w:rsidRPr="001D23DB">
        <w:rPr>
          <w:sz w:val="22"/>
          <w:szCs w:val="22"/>
          <w:lang w:val="de-DE"/>
        </w:rPr>
        <w:t>lijekom</w:t>
      </w:r>
      <w:proofErr w:type="spellEnd"/>
      <w:r w:rsidRPr="001D23DB">
        <w:rPr>
          <w:sz w:val="22"/>
          <w:szCs w:val="22"/>
          <w:lang w:val="de-DE"/>
        </w:rPr>
        <w:t xml:space="preserve"> </w:t>
      </w:r>
      <w:proofErr w:type="spellStart"/>
      <w:r w:rsidRPr="001D23DB">
        <w:rPr>
          <w:sz w:val="22"/>
          <w:szCs w:val="22"/>
          <w:lang w:val="de-DE"/>
        </w:rPr>
        <w:t>NovoRapid</w:t>
      </w:r>
      <w:proofErr w:type="spellEnd"/>
      <w:r w:rsidRPr="001D23DB">
        <w:rPr>
          <w:sz w:val="22"/>
          <w:szCs w:val="22"/>
          <w:lang w:val="de-DE"/>
        </w:rPr>
        <w:t xml:space="preserve"> </w:t>
      </w:r>
      <w:proofErr w:type="spellStart"/>
      <w:r w:rsidRPr="001D23DB">
        <w:rPr>
          <w:sz w:val="22"/>
          <w:szCs w:val="22"/>
          <w:lang w:val="de-DE"/>
        </w:rPr>
        <w:t>prim</w:t>
      </w:r>
      <w:r w:rsidR="00F85F91" w:rsidRPr="001D23DB">
        <w:rPr>
          <w:sz w:val="22"/>
          <w:szCs w:val="22"/>
          <w:lang w:val="de-DE"/>
        </w:rPr>
        <w:t>i</w:t>
      </w:r>
      <w:r w:rsidRPr="001D23DB">
        <w:rPr>
          <w:sz w:val="22"/>
          <w:szCs w:val="22"/>
          <w:lang w:val="de-DE"/>
        </w:rPr>
        <w:t>jenjenim</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w:t>
      </w:r>
      <w:proofErr w:type="spellStart"/>
      <w:r w:rsidRPr="001D23DB">
        <w:rPr>
          <w:sz w:val="22"/>
          <w:szCs w:val="22"/>
          <w:lang w:val="de-DE"/>
        </w:rPr>
        <w:t>Proc</w:t>
      </w:r>
      <w:r w:rsidR="00F85F91" w:rsidRPr="001D23DB">
        <w:rPr>
          <w:sz w:val="22"/>
          <w:szCs w:val="22"/>
          <w:lang w:val="de-DE"/>
        </w:rPr>
        <w:t>i</w:t>
      </w:r>
      <w:r w:rsidRPr="001D23DB">
        <w:rPr>
          <w:sz w:val="22"/>
          <w:szCs w:val="22"/>
          <w:lang w:val="de-DE"/>
        </w:rPr>
        <w:t>jenjeni</w:t>
      </w:r>
      <w:proofErr w:type="spellEnd"/>
      <w:r w:rsidRPr="001D23DB">
        <w:rPr>
          <w:sz w:val="22"/>
          <w:szCs w:val="22"/>
          <w:lang w:val="de-DE"/>
        </w:rPr>
        <w:t xml:space="preserve"> </w:t>
      </w:r>
      <w:proofErr w:type="spellStart"/>
      <w:r w:rsidRPr="001D23DB">
        <w:rPr>
          <w:sz w:val="22"/>
          <w:szCs w:val="22"/>
          <w:lang w:val="de-DE"/>
        </w:rPr>
        <w:t>izgledi</w:t>
      </w:r>
      <w:proofErr w:type="spellEnd"/>
      <w:r w:rsidRPr="001D23DB">
        <w:rPr>
          <w:sz w:val="22"/>
          <w:szCs w:val="22"/>
          <w:lang w:val="de-DE"/>
        </w:rPr>
        <w:t xml:space="preserve"> </w:t>
      </w:r>
      <w:proofErr w:type="spellStart"/>
      <w:r w:rsidRPr="001D23DB">
        <w:rPr>
          <w:sz w:val="22"/>
          <w:szCs w:val="22"/>
          <w:lang w:val="de-DE"/>
        </w:rPr>
        <w:t>za</w:t>
      </w:r>
      <w:proofErr w:type="spellEnd"/>
      <w:r w:rsidRPr="001D23DB">
        <w:rPr>
          <w:sz w:val="22"/>
          <w:szCs w:val="22"/>
          <w:lang w:val="de-DE"/>
        </w:rPr>
        <w:t xml:space="preserve"> </w:t>
      </w:r>
      <w:proofErr w:type="spellStart"/>
      <w:r w:rsidRPr="001D23DB">
        <w:rPr>
          <w:sz w:val="22"/>
          <w:szCs w:val="22"/>
          <w:lang w:val="de-DE"/>
        </w:rPr>
        <w:t>postizanje</w:t>
      </w:r>
      <w:proofErr w:type="spellEnd"/>
      <w:r w:rsidRPr="001D23DB">
        <w:rPr>
          <w:sz w:val="22"/>
          <w:szCs w:val="22"/>
          <w:lang w:val="de-DE"/>
        </w:rPr>
        <w:t xml:space="preserve"> HbA</w:t>
      </w:r>
      <w:r w:rsidRPr="001D23DB">
        <w:rPr>
          <w:sz w:val="22"/>
          <w:szCs w:val="22"/>
          <w:vertAlign w:val="subscript"/>
          <w:lang w:val="de-DE"/>
        </w:rPr>
        <w:t>1c</w:t>
      </w:r>
      <w:r w:rsidRPr="001D23DB">
        <w:rPr>
          <w:sz w:val="22"/>
          <w:szCs w:val="22"/>
          <w:lang w:val="de-DE"/>
        </w:rPr>
        <w:t xml:space="preserve"> &lt;7% </w:t>
      </w:r>
      <w:proofErr w:type="spellStart"/>
      <w:r w:rsidRPr="001D23DB">
        <w:rPr>
          <w:sz w:val="22"/>
          <w:szCs w:val="22"/>
          <w:lang w:val="de-DE"/>
        </w:rPr>
        <w:t>statistički</w:t>
      </w:r>
      <w:proofErr w:type="spellEnd"/>
      <w:r w:rsidRPr="001D23DB">
        <w:rPr>
          <w:sz w:val="22"/>
          <w:szCs w:val="22"/>
          <w:lang w:val="de-DE"/>
        </w:rPr>
        <w:t xml:space="preserve"> </w:t>
      </w:r>
      <w:proofErr w:type="spellStart"/>
      <w:r w:rsidRPr="001D23DB">
        <w:rPr>
          <w:sz w:val="22"/>
          <w:szCs w:val="22"/>
          <w:lang w:val="de-DE"/>
        </w:rPr>
        <w:t>su</w:t>
      </w:r>
      <w:proofErr w:type="spellEnd"/>
      <w:r w:rsidRPr="001D23DB">
        <w:rPr>
          <w:sz w:val="22"/>
          <w:szCs w:val="22"/>
          <w:lang w:val="de-DE"/>
        </w:rPr>
        <w:t xml:space="preserve"> </w:t>
      </w:r>
      <w:proofErr w:type="spellStart"/>
      <w:r w:rsidRPr="001D23DB">
        <w:rPr>
          <w:sz w:val="22"/>
          <w:szCs w:val="22"/>
          <w:lang w:val="de-DE"/>
        </w:rPr>
        <w:t>značajno</w:t>
      </w:r>
      <w:proofErr w:type="spellEnd"/>
      <w:r w:rsidRPr="001D23DB">
        <w:rPr>
          <w:sz w:val="22"/>
          <w:szCs w:val="22"/>
          <w:lang w:val="de-DE"/>
        </w:rPr>
        <w:t xml:space="preserve"> </w:t>
      </w:r>
      <w:proofErr w:type="spellStart"/>
      <w:r w:rsidRPr="001D23DB">
        <w:rPr>
          <w:sz w:val="22"/>
          <w:szCs w:val="22"/>
          <w:lang w:val="de-DE"/>
        </w:rPr>
        <w:t>veći</w:t>
      </w:r>
      <w:proofErr w:type="spellEnd"/>
      <w:r w:rsidRPr="001D23DB">
        <w:rPr>
          <w:sz w:val="22"/>
          <w:szCs w:val="22"/>
          <w:lang w:val="de-DE"/>
        </w:rPr>
        <w:t xml:space="preserve"> </w:t>
      </w:r>
      <w:proofErr w:type="spellStart"/>
      <w:r w:rsidRPr="001D23DB">
        <w:rPr>
          <w:sz w:val="22"/>
          <w:szCs w:val="22"/>
          <w:lang w:val="de-DE"/>
        </w:rPr>
        <w:t>sa</w:t>
      </w:r>
      <w:proofErr w:type="spellEnd"/>
      <w:r w:rsidRPr="001D23DB">
        <w:rPr>
          <w:sz w:val="22"/>
          <w:szCs w:val="22"/>
          <w:lang w:val="de-DE"/>
        </w:rPr>
        <w:t xml:space="preserve"> </w:t>
      </w:r>
      <w:proofErr w:type="spellStart"/>
      <w:r w:rsidRPr="001D23DB">
        <w:rPr>
          <w:sz w:val="22"/>
          <w:szCs w:val="22"/>
          <w:lang w:val="de-DE"/>
        </w:rPr>
        <w:t>lijekom</w:t>
      </w:r>
      <w:proofErr w:type="spellEnd"/>
      <w:r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prim</w:t>
      </w:r>
      <w:r w:rsidR="00F85F91" w:rsidRPr="001D23DB">
        <w:rPr>
          <w:sz w:val="22"/>
          <w:szCs w:val="22"/>
          <w:lang w:val="de-DE"/>
        </w:rPr>
        <w:t>i</w:t>
      </w:r>
      <w:r w:rsidRPr="001D23DB">
        <w:rPr>
          <w:sz w:val="22"/>
          <w:szCs w:val="22"/>
          <w:lang w:val="de-DE"/>
        </w:rPr>
        <w:t>jenjenim</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w:t>
      </w:r>
      <w:proofErr w:type="spellStart"/>
      <w:r w:rsidRPr="001D23DB">
        <w:rPr>
          <w:sz w:val="22"/>
          <w:szCs w:val="22"/>
          <w:lang w:val="de-DE"/>
        </w:rPr>
        <w:t>nego</w:t>
      </w:r>
      <w:proofErr w:type="spellEnd"/>
      <w:r w:rsidRPr="001D23DB">
        <w:rPr>
          <w:sz w:val="22"/>
          <w:szCs w:val="22"/>
          <w:lang w:val="de-DE"/>
        </w:rPr>
        <w:t xml:space="preserve"> </w:t>
      </w:r>
      <w:proofErr w:type="spellStart"/>
      <w:r w:rsidRPr="001D23DB">
        <w:rPr>
          <w:sz w:val="22"/>
          <w:szCs w:val="22"/>
          <w:lang w:val="de-DE"/>
        </w:rPr>
        <w:t>sa</w:t>
      </w:r>
      <w:proofErr w:type="spellEnd"/>
      <w:r w:rsidRPr="001D23DB">
        <w:rPr>
          <w:sz w:val="22"/>
          <w:szCs w:val="22"/>
          <w:lang w:val="de-DE"/>
        </w:rPr>
        <w:t xml:space="preserve"> </w:t>
      </w:r>
      <w:proofErr w:type="spellStart"/>
      <w:r w:rsidRPr="001D23DB">
        <w:rPr>
          <w:sz w:val="22"/>
          <w:szCs w:val="22"/>
          <w:lang w:val="de-DE"/>
        </w:rPr>
        <w:t>lijekom</w:t>
      </w:r>
      <w:proofErr w:type="spellEnd"/>
      <w:r w:rsidRPr="001D23DB">
        <w:rPr>
          <w:sz w:val="22"/>
          <w:szCs w:val="22"/>
          <w:lang w:val="de-DE"/>
        </w:rPr>
        <w:t xml:space="preserve"> </w:t>
      </w:r>
      <w:proofErr w:type="spellStart"/>
      <w:r w:rsidRPr="001D23DB">
        <w:rPr>
          <w:sz w:val="22"/>
          <w:szCs w:val="22"/>
          <w:lang w:val="de-DE"/>
        </w:rPr>
        <w:t>NovoRapid</w:t>
      </w:r>
      <w:proofErr w:type="spellEnd"/>
      <w:r w:rsidRPr="001D23DB">
        <w:rPr>
          <w:sz w:val="22"/>
          <w:szCs w:val="22"/>
          <w:lang w:val="de-DE"/>
        </w:rPr>
        <w:t xml:space="preserve"> </w:t>
      </w:r>
      <w:proofErr w:type="spellStart"/>
      <w:r w:rsidRPr="001D23DB">
        <w:rPr>
          <w:sz w:val="22"/>
          <w:szCs w:val="22"/>
          <w:lang w:val="de-DE"/>
        </w:rPr>
        <w:t>prim</w:t>
      </w:r>
      <w:r w:rsidR="00F85F91" w:rsidRPr="001D23DB">
        <w:rPr>
          <w:sz w:val="22"/>
          <w:szCs w:val="22"/>
          <w:lang w:val="de-DE"/>
        </w:rPr>
        <w:t>i</w:t>
      </w:r>
      <w:r w:rsidRPr="001D23DB">
        <w:rPr>
          <w:sz w:val="22"/>
          <w:szCs w:val="22"/>
          <w:lang w:val="de-DE"/>
        </w:rPr>
        <w:t>jenjenim</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w:t>
      </w:r>
      <w:proofErr w:type="spellStart"/>
      <w:r w:rsidRPr="001D23DB">
        <w:rPr>
          <w:sz w:val="22"/>
          <w:szCs w:val="22"/>
          <w:lang w:val="de-DE"/>
        </w:rPr>
        <w:t>odnos</w:t>
      </w:r>
      <w:proofErr w:type="spellEnd"/>
      <w:r w:rsidRPr="001D23DB">
        <w:rPr>
          <w:sz w:val="22"/>
          <w:szCs w:val="22"/>
          <w:lang w:val="de-DE"/>
        </w:rPr>
        <w:t xml:space="preserve"> </w:t>
      </w:r>
      <w:proofErr w:type="spellStart"/>
      <w:r w:rsidRPr="001D23DB">
        <w:rPr>
          <w:sz w:val="22"/>
          <w:szCs w:val="22"/>
          <w:lang w:val="de-DE"/>
        </w:rPr>
        <w:t>mogućnosti</w:t>
      </w:r>
      <w:proofErr w:type="spellEnd"/>
      <w:r w:rsidRPr="001D23DB">
        <w:rPr>
          <w:sz w:val="22"/>
          <w:szCs w:val="22"/>
          <w:lang w:val="de-DE"/>
        </w:rPr>
        <w:t xml:space="preserve"> (engl. </w:t>
      </w:r>
      <w:proofErr w:type="spellStart"/>
      <w:r w:rsidRPr="001D23DB">
        <w:rPr>
          <w:i/>
          <w:sz w:val="22"/>
          <w:szCs w:val="22"/>
          <w:lang w:val="de-DE"/>
        </w:rPr>
        <w:t>odds</w:t>
      </w:r>
      <w:proofErr w:type="spellEnd"/>
      <w:r w:rsidRPr="001D23DB">
        <w:rPr>
          <w:i/>
          <w:sz w:val="22"/>
          <w:szCs w:val="22"/>
          <w:lang w:val="de-DE"/>
        </w:rPr>
        <w:t xml:space="preserve"> </w:t>
      </w:r>
      <w:proofErr w:type="spellStart"/>
      <w:r w:rsidRPr="001D23DB">
        <w:rPr>
          <w:i/>
          <w:sz w:val="22"/>
          <w:szCs w:val="22"/>
          <w:lang w:val="de-DE"/>
        </w:rPr>
        <w:t>ratio</w:t>
      </w:r>
      <w:proofErr w:type="spellEnd"/>
      <w:r w:rsidRPr="001D23DB">
        <w:rPr>
          <w:sz w:val="22"/>
          <w:szCs w:val="22"/>
          <w:lang w:val="de-DE"/>
        </w:rPr>
        <w:t>): 1,47 [1,02; 2,13]</w:t>
      </w:r>
      <w:r w:rsidRPr="001D23DB">
        <w:rPr>
          <w:sz w:val="22"/>
          <w:szCs w:val="22"/>
          <w:vertAlign w:val="subscript"/>
          <w:lang w:val="de-DE"/>
        </w:rPr>
        <w:t>95% CI</w:t>
      </w:r>
      <w:r w:rsidRPr="001D23DB">
        <w:rPr>
          <w:sz w:val="22"/>
          <w:szCs w:val="22"/>
          <w:lang w:val="de-DE"/>
        </w:rPr>
        <w:t xml:space="preserve">). </w:t>
      </w:r>
      <w:proofErr w:type="spellStart"/>
      <w:r w:rsidRPr="001D23DB">
        <w:rPr>
          <w:sz w:val="22"/>
          <w:szCs w:val="22"/>
          <w:lang w:val="de-DE"/>
        </w:rPr>
        <w:t>Nije</w:t>
      </w:r>
      <w:proofErr w:type="spellEnd"/>
      <w:r w:rsidRPr="001D23DB">
        <w:rPr>
          <w:sz w:val="22"/>
          <w:szCs w:val="22"/>
          <w:lang w:val="de-DE"/>
        </w:rPr>
        <w:t xml:space="preserve"> </w:t>
      </w:r>
      <w:proofErr w:type="spellStart"/>
      <w:r w:rsidRPr="001D23DB">
        <w:rPr>
          <w:sz w:val="22"/>
          <w:szCs w:val="22"/>
          <w:lang w:val="de-DE"/>
        </w:rPr>
        <w:t>pokazana</w:t>
      </w:r>
      <w:proofErr w:type="spellEnd"/>
      <w:r w:rsidRPr="001D23DB">
        <w:rPr>
          <w:sz w:val="22"/>
          <w:szCs w:val="22"/>
          <w:lang w:val="de-DE"/>
        </w:rPr>
        <w:t xml:space="preserve"> </w:t>
      </w:r>
      <w:proofErr w:type="spellStart"/>
      <w:r w:rsidRPr="001D23DB">
        <w:rPr>
          <w:sz w:val="22"/>
          <w:szCs w:val="22"/>
          <w:lang w:val="de-DE"/>
        </w:rPr>
        <w:t>statistički</w:t>
      </w:r>
      <w:proofErr w:type="spellEnd"/>
      <w:r w:rsidRPr="001D23DB">
        <w:rPr>
          <w:sz w:val="22"/>
          <w:szCs w:val="22"/>
          <w:lang w:val="de-DE"/>
        </w:rPr>
        <w:t xml:space="preserve"> </w:t>
      </w:r>
      <w:proofErr w:type="spellStart"/>
      <w:r w:rsidRPr="001D23DB">
        <w:rPr>
          <w:sz w:val="22"/>
          <w:szCs w:val="22"/>
          <w:lang w:val="de-DE"/>
        </w:rPr>
        <w:t>značajna</w:t>
      </w:r>
      <w:proofErr w:type="spellEnd"/>
      <w:r w:rsidRPr="001D23DB">
        <w:rPr>
          <w:sz w:val="22"/>
          <w:szCs w:val="22"/>
          <w:lang w:val="de-DE"/>
        </w:rPr>
        <w:t xml:space="preserve"> </w:t>
      </w:r>
      <w:proofErr w:type="spellStart"/>
      <w:r w:rsidRPr="001D23DB">
        <w:rPr>
          <w:sz w:val="22"/>
          <w:szCs w:val="22"/>
          <w:lang w:val="de-DE"/>
        </w:rPr>
        <w:t>razlika</w:t>
      </w:r>
      <w:proofErr w:type="spellEnd"/>
      <w:r w:rsidRPr="001D23DB">
        <w:rPr>
          <w:sz w:val="22"/>
          <w:szCs w:val="22"/>
          <w:lang w:val="de-DE"/>
        </w:rPr>
        <w:t xml:space="preserve"> </w:t>
      </w:r>
      <w:proofErr w:type="spellStart"/>
      <w:r w:rsidRPr="001D23DB">
        <w:rPr>
          <w:sz w:val="22"/>
          <w:szCs w:val="22"/>
          <w:lang w:val="de-DE"/>
        </w:rPr>
        <w:t>između</w:t>
      </w:r>
      <w:proofErr w:type="spellEnd"/>
      <w:r w:rsidRPr="001D23DB">
        <w:rPr>
          <w:sz w:val="22"/>
          <w:szCs w:val="22"/>
          <w:lang w:val="de-DE"/>
        </w:rPr>
        <w:t xml:space="preserve"> </w:t>
      </w:r>
      <w:proofErr w:type="spellStart"/>
      <w:r w:rsidRPr="001D23DB">
        <w:rPr>
          <w:sz w:val="22"/>
          <w:szCs w:val="22"/>
          <w:lang w:val="de-DE"/>
        </w:rPr>
        <w:t>lijeka</w:t>
      </w:r>
      <w:proofErr w:type="spellEnd"/>
      <w:r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nakon</w:t>
      </w:r>
      <w:proofErr w:type="spellEnd"/>
      <w:r w:rsidRPr="001D23DB">
        <w:rPr>
          <w:sz w:val="22"/>
          <w:szCs w:val="22"/>
          <w:lang w:val="de-DE"/>
        </w:rPr>
        <w:t xml:space="preserve"> </w:t>
      </w:r>
      <w:proofErr w:type="spellStart"/>
      <w:r w:rsidRPr="001D23DB">
        <w:rPr>
          <w:sz w:val="22"/>
          <w:szCs w:val="22"/>
          <w:lang w:val="de-DE"/>
        </w:rPr>
        <w:t>obroka</w:t>
      </w:r>
      <w:proofErr w:type="spellEnd"/>
      <w:r w:rsidRPr="001D23DB">
        <w:rPr>
          <w:sz w:val="22"/>
          <w:szCs w:val="22"/>
          <w:lang w:val="de-DE"/>
        </w:rPr>
        <w:t xml:space="preserve"> i </w:t>
      </w:r>
      <w:proofErr w:type="spellStart"/>
      <w:r w:rsidRPr="001D23DB">
        <w:rPr>
          <w:sz w:val="22"/>
          <w:szCs w:val="22"/>
          <w:lang w:val="de-DE"/>
        </w:rPr>
        <w:t>lijeka</w:t>
      </w:r>
      <w:proofErr w:type="spellEnd"/>
      <w:r w:rsidRPr="001D23DB">
        <w:rPr>
          <w:sz w:val="22"/>
          <w:szCs w:val="22"/>
          <w:lang w:val="de-DE"/>
        </w:rPr>
        <w:t xml:space="preserve"> </w:t>
      </w:r>
      <w:proofErr w:type="spellStart"/>
      <w:r w:rsidRPr="001D23DB">
        <w:rPr>
          <w:sz w:val="22"/>
          <w:szCs w:val="22"/>
          <w:lang w:val="de-DE"/>
        </w:rPr>
        <w:t>NovoRapid</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w:t>
      </w:r>
    </w:p>
    <w:p w14:paraId="1FEAD4D9" w14:textId="77777777" w:rsidR="00EE2F19" w:rsidRPr="001D23DB" w:rsidRDefault="00EE2F19" w:rsidP="00480FB1">
      <w:pPr>
        <w:tabs>
          <w:tab w:val="left" w:pos="540"/>
          <w:tab w:val="left" w:pos="569"/>
        </w:tabs>
        <w:rPr>
          <w:sz w:val="22"/>
          <w:szCs w:val="22"/>
          <w:lang w:val="de-DE"/>
        </w:rPr>
      </w:pPr>
    </w:p>
    <w:p w14:paraId="0EF45078" w14:textId="77777777" w:rsidR="00EE2F19" w:rsidRPr="001D23DB" w:rsidRDefault="00F85F91" w:rsidP="00EE2F19">
      <w:pPr>
        <w:tabs>
          <w:tab w:val="left" w:pos="284"/>
        </w:tabs>
        <w:jc w:val="both"/>
        <w:rPr>
          <w:sz w:val="22"/>
          <w:szCs w:val="22"/>
          <w:lang w:val="de-DE"/>
        </w:rPr>
      </w:pPr>
      <w:proofErr w:type="spellStart"/>
      <w:r w:rsidRPr="001D23DB">
        <w:rPr>
          <w:sz w:val="22"/>
          <w:szCs w:val="22"/>
          <w:lang w:val="de-DE"/>
        </w:rPr>
        <w:t>Lijek</w:t>
      </w:r>
      <w:proofErr w:type="spellEnd"/>
      <w:r w:rsidRPr="001D23DB">
        <w:rPr>
          <w:sz w:val="22"/>
          <w:szCs w:val="22"/>
          <w:lang w:val="de-DE"/>
        </w:rPr>
        <w:t xml:space="preserve"> </w:t>
      </w:r>
      <w:proofErr w:type="spellStart"/>
      <w:r w:rsidR="00EE2F19" w:rsidRPr="001D23DB">
        <w:rPr>
          <w:sz w:val="22"/>
          <w:szCs w:val="22"/>
          <w:lang w:val="de-DE"/>
        </w:rPr>
        <w:t>Fiasp</w:t>
      </w:r>
      <w:proofErr w:type="spellEnd"/>
      <w:r w:rsidR="00EE2F19" w:rsidRPr="001D23DB">
        <w:rPr>
          <w:sz w:val="22"/>
          <w:szCs w:val="22"/>
          <w:lang w:val="de-DE"/>
        </w:rPr>
        <w:t xml:space="preserve"> </w:t>
      </w:r>
      <w:proofErr w:type="spellStart"/>
      <w:r w:rsidR="00EE2F19" w:rsidRPr="001D23DB">
        <w:rPr>
          <w:sz w:val="22"/>
          <w:szCs w:val="22"/>
          <w:lang w:val="de-DE"/>
        </w:rPr>
        <w:t>koji</w:t>
      </w:r>
      <w:proofErr w:type="spellEnd"/>
      <w:r w:rsidR="00EE2F19" w:rsidRPr="001D23DB">
        <w:rPr>
          <w:sz w:val="22"/>
          <w:szCs w:val="22"/>
          <w:lang w:val="de-DE"/>
        </w:rPr>
        <w:t xml:space="preserve"> je </w:t>
      </w:r>
      <w:proofErr w:type="spellStart"/>
      <w:r w:rsidR="00EE2F19" w:rsidRPr="001D23DB">
        <w:rPr>
          <w:sz w:val="22"/>
          <w:szCs w:val="22"/>
          <w:lang w:val="de-DE"/>
        </w:rPr>
        <w:t>prim</w:t>
      </w:r>
      <w:r w:rsidRPr="001D23DB">
        <w:rPr>
          <w:sz w:val="22"/>
          <w:szCs w:val="22"/>
          <w:lang w:val="de-DE"/>
        </w:rPr>
        <w:t>i</w:t>
      </w:r>
      <w:r w:rsidR="00EE2F19" w:rsidRPr="001D23DB">
        <w:rPr>
          <w:sz w:val="22"/>
          <w:szCs w:val="22"/>
          <w:lang w:val="de-DE"/>
        </w:rPr>
        <w:t>jenjen</w:t>
      </w:r>
      <w:proofErr w:type="spellEnd"/>
      <w:r w:rsidR="00EE2F19" w:rsidRPr="001D23DB">
        <w:rPr>
          <w:sz w:val="22"/>
          <w:szCs w:val="22"/>
          <w:lang w:val="de-DE"/>
        </w:rPr>
        <w:t xml:space="preserve"> </w:t>
      </w:r>
      <w:proofErr w:type="spellStart"/>
      <w:r w:rsidR="00EE2F19" w:rsidRPr="001D23DB">
        <w:rPr>
          <w:sz w:val="22"/>
          <w:szCs w:val="22"/>
          <w:lang w:val="de-DE"/>
        </w:rPr>
        <w:t>uz</w:t>
      </w:r>
      <w:proofErr w:type="spellEnd"/>
      <w:r w:rsidR="00EE2F19" w:rsidRPr="001D23DB">
        <w:rPr>
          <w:sz w:val="22"/>
          <w:szCs w:val="22"/>
          <w:lang w:val="de-DE"/>
        </w:rPr>
        <w:t xml:space="preserve"> </w:t>
      </w:r>
      <w:proofErr w:type="spellStart"/>
      <w:r w:rsidR="00EE2F19" w:rsidRPr="001D23DB">
        <w:rPr>
          <w:sz w:val="22"/>
          <w:szCs w:val="22"/>
          <w:lang w:val="de-DE"/>
        </w:rPr>
        <w:t>obrok</w:t>
      </w:r>
      <w:proofErr w:type="spellEnd"/>
      <w:r w:rsidR="00EE2F19" w:rsidRPr="001D23DB">
        <w:rPr>
          <w:sz w:val="22"/>
          <w:szCs w:val="22"/>
          <w:lang w:val="de-DE"/>
        </w:rPr>
        <w:t xml:space="preserve"> </w:t>
      </w:r>
      <w:proofErr w:type="spellStart"/>
      <w:r w:rsidR="00EE2F19" w:rsidRPr="001D23DB">
        <w:rPr>
          <w:sz w:val="22"/>
          <w:szCs w:val="22"/>
          <w:lang w:val="de-DE"/>
        </w:rPr>
        <w:t>doveo</w:t>
      </w:r>
      <w:proofErr w:type="spellEnd"/>
      <w:r w:rsidR="00EE2F19" w:rsidRPr="001D23DB">
        <w:rPr>
          <w:sz w:val="22"/>
          <w:szCs w:val="22"/>
          <w:lang w:val="de-DE"/>
        </w:rPr>
        <w:t xml:space="preserve"> je do </w:t>
      </w:r>
      <w:proofErr w:type="spellStart"/>
      <w:r w:rsidR="00EE2F19" w:rsidRPr="001D23DB">
        <w:rPr>
          <w:sz w:val="22"/>
          <w:szCs w:val="22"/>
          <w:lang w:val="de-DE"/>
        </w:rPr>
        <w:t>značajno</w:t>
      </w:r>
      <w:proofErr w:type="spellEnd"/>
      <w:r w:rsidR="00EE2F19" w:rsidRPr="001D23DB">
        <w:rPr>
          <w:sz w:val="22"/>
          <w:szCs w:val="22"/>
          <w:lang w:val="de-DE"/>
        </w:rPr>
        <w:t xml:space="preserve"> </w:t>
      </w:r>
      <w:proofErr w:type="spellStart"/>
      <w:r w:rsidR="00EE2F19" w:rsidRPr="001D23DB">
        <w:rPr>
          <w:sz w:val="22"/>
          <w:szCs w:val="22"/>
          <w:lang w:val="de-DE"/>
        </w:rPr>
        <w:t>nižeg</w:t>
      </w:r>
      <w:proofErr w:type="spellEnd"/>
      <w:r w:rsidR="00EE2F19" w:rsidRPr="001D23DB">
        <w:rPr>
          <w:sz w:val="22"/>
          <w:szCs w:val="22"/>
          <w:lang w:val="de-DE"/>
        </w:rPr>
        <w:t xml:space="preserve"> </w:t>
      </w:r>
      <w:proofErr w:type="spellStart"/>
      <w:r w:rsidR="00EE2F19" w:rsidRPr="001D23DB">
        <w:rPr>
          <w:sz w:val="22"/>
          <w:szCs w:val="22"/>
          <w:lang w:val="de-DE"/>
        </w:rPr>
        <w:t>povećanja</w:t>
      </w:r>
      <w:proofErr w:type="spellEnd"/>
      <w:r w:rsidR="00EE2F19" w:rsidRPr="001D23DB">
        <w:rPr>
          <w:sz w:val="22"/>
          <w:szCs w:val="22"/>
          <w:lang w:val="de-DE"/>
        </w:rPr>
        <w:t xml:space="preserve"> </w:t>
      </w:r>
      <w:proofErr w:type="spellStart"/>
      <w:r w:rsidR="00EE2F19" w:rsidRPr="001D23DB">
        <w:rPr>
          <w:sz w:val="22"/>
          <w:szCs w:val="22"/>
          <w:lang w:val="de-DE"/>
        </w:rPr>
        <w:t>glukoze</w:t>
      </w:r>
      <w:proofErr w:type="spellEnd"/>
      <w:r w:rsidR="00EE2F19" w:rsidRPr="001D23DB">
        <w:rPr>
          <w:sz w:val="22"/>
          <w:szCs w:val="22"/>
          <w:lang w:val="de-DE"/>
        </w:rPr>
        <w:t xml:space="preserve"> 1 </w:t>
      </w:r>
      <w:proofErr w:type="spellStart"/>
      <w:r w:rsidR="00520AE3" w:rsidRPr="001D23DB">
        <w:rPr>
          <w:sz w:val="22"/>
          <w:szCs w:val="22"/>
          <w:lang w:val="de-DE"/>
        </w:rPr>
        <w:t>sat</w:t>
      </w:r>
      <w:proofErr w:type="spellEnd"/>
      <w:r w:rsidR="00520AE3" w:rsidRPr="001D23DB">
        <w:rPr>
          <w:sz w:val="22"/>
          <w:szCs w:val="22"/>
          <w:lang w:val="de-DE"/>
        </w:rPr>
        <w:t xml:space="preserve"> </w:t>
      </w:r>
      <w:r w:rsidR="00EE2F19" w:rsidRPr="001D23DB">
        <w:rPr>
          <w:sz w:val="22"/>
          <w:szCs w:val="22"/>
          <w:lang w:val="de-DE"/>
        </w:rPr>
        <w:t xml:space="preserve">i 2 </w:t>
      </w:r>
      <w:proofErr w:type="spellStart"/>
      <w:r w:rsidR="00EE2F19" w:rsidRPr="001D23DB">
        <w:rPr>
          <w:sz w:val="22"/>
          <w:szCs w:val="22"/>
          <w:lang w:val="de-DE"/>
        </w:rPr>
        <w:t>sata</w:t>
      </w:r>
      <w:proofErr w:type="spellEnd"/>
      <w:r w:rsidR="00EE2F19" w:rsidRPr="001D23DB">
        <w:rPr>
          <w:sz w:val="22"/>
          <w:szCs w:val="22"/>
          <w:lang w:val="de-DE"/>
        </w:rPr>
        <w:t xml:space="preserve"> </w:t>
      </w:r>
      <w:proofErr w:type="spellStart"/>
      <w:r w:rsidR="00EE2F19" w:rsidRPr="001D23DB">
        <w:rPr>
          <w:sz w:val="22"/>
          <w:szCs w:val="22"/>
          <w:lang w:val="de-DE"/>
        </w:rPr>
        <w:t>nakon</w:t>
      </w:r>
      <w:proofErr w:type="spellEnd"/>
      <w:r w:rsidR="00EE2F19" w:rsidRPr="001D23DB">
        <w:rPr>
          <w:sz w:val="22"/>
          <w:szCs w:val="22"/>
          <w:lang w:val="de-DE"/>
        </w:rPr>
        <w:t xml:space="preserve"> </w:t>
      </w:r>
      <w:proofErr w:type="spellStart"/>
      <w:r w:rsidR="00EE2F19" w:rsidRPr="001D23DB">
        <w:rPr>
          <w:sz w:val="22"/>
          <w:szCs w:val="22"/>
          <w:lang w:val="de-DE"/>
        </w:rPr>
        <w:t>obroka</w:t>
      </w:r>
      <w:proofErr w:type="spellEnd"/>
      <w:r w:rsidRPr="001D23DB">
        <w:rPr>
          <w:sz w:val="22"/>
          <w:szCs w:val="22"/>
          <w:lang w:val="de-DE"/>
        </w:rPr>
        <w:t>,</w:t>
      </w:r>
      <w:r w:rsidR="00EE2F19" w:rsidRPr="001D23DB">
        <w:rPr>
          <w:sz w:val="22"/>
          <w:szCs w:val="22"/>
          <w:lang w:val="de-DE"/>
        </w:rPr>
        <w:t xml:space="preserve"> u </w:t>
      </w:r>
      <w:proofErr w:type="spellStart"/>
      <w:r w:rsidR="00EE2F19" w:rsidRPr="001D23DB">
        <w:rPr>
          <w:sz w:val="22"/>
          <w:szCs w:val="22"/>
          <w:lang w:val="de-DE"/>
        </w:rPr>
        <w:t>poređenju</w:t>
      </w:r>
      <w:proofErr w:type="spellEnd"/>
      <w:r w:rsidR="00EE2F19" w:rsidRPr="001D23DB">
        <w:rPr>
          <w:sz w:val="22"/>
          <w:szCs w:val="22"/>
          <w:lang w:val="de-DE"/>
        </w:rPr>
        <w:t xml:space="preserve"> </w:t>
      </w:r>
      <w:proofErr w:type="spellStart"/>
      <w:r w:rsidR="00EE2F19" w:rsidRPr="001D23DB">
        <w:rPr>
          <w:sz w:val="22"/>
          <w:szCs w:val="22"/>
          <w:lang w:val="de-DE"/>
        </w:rPr>
        <w:t>sa</w:t>
      </w:r>
      <w:proofErr w:type="spellEnd"/>
      <w:r w:rsidR="00EE2F19" w:rsidRPr="001D23DB">
        <w:rPr>
          <w:sz w:val="22"/>
          <w:szCs w:val="22"/>
          <w:lang w:val="de-DE"/>
        </w:rPr>
        <w:t xml:space="preserve"> </w:t>
      </w:r>
      <w:proofErr w:type="spellStart"/>
      <w:r w:rsidR="00EE2F19" w:rsidRPr="001D23DB">
        <w:rPr>
          <w:sz w:val="22"/>
          <w:szCs w:val="22"/>
          <w:lang w:val="de-DE"/>
        </w:rPr>
        <w:t>lijekom</w:t>
      </w:r>
      <w:proofErr w:type="spellEnd"/>
      <w:r w:rsidR="00EE2F19" w:rsidRPr="001D23DB">
        <w:rPr>
          <w:sz w:val="22"/>
          <w:szCs w:val="22"/>
          <w:lang w:val="de-DE"/>
        </w:rPr>
        <w:t xml:space="preserve"> </w:t>
      </w:r>
      <w:proofErr w:type="spellStart"/>
      <w:r w:rsidR="00EE2F19" w:rsidRPr="001D23DB">
        <w:rPr>
          <w:sz w:val="22"/>
          <w:szCs w:val="22"/>
          <w:lang w:val="de-DE"/>
        </w:rPr>
        <w:t>NovoRapid</w:t>
      </w:r>
      <w:proofErr w:type="spellEnd"/>
      <w:r w:rsidR="00EE2F19" w:rsidRPr="001D23DB">
        <w:rPr>
          <w:sz w:val="22"/>
          <w:szCs w:val="22"/>
          <w:lang w:val="de-DE"/>
        </w:rPr>
        <w:t xml:space="preserve"> </w:t>
      </w:r>
      <w:proofErr w:type="spellStart"/>
      <w:r w:rsidR="00EE2F19" w:rsidRPr="001D23DB">
        <w:rPr>
          <w:sz w:val="22"/>
          <w:szCs w:val="22"/>
          <w:lang w:val="de-DE"/>
        </w:rPr>
        <w:t>prim</w:t>
      </w:r>
      <w:r w:rsidRPr="001D23DB">
        <w:rPr>
          <w:sz w:val="22"/>
          <w:szCs w:val="22"/>
          <w:lang w:val="de-DE"/>
        </w:rPr>
        <w:t>i</w:t>
      </w:r>
      <w:r w:rsidR="00EE2F19" w:rsidRPr="001D23DB">
        <w:rPr>
          <w:sz w:val="22"/>
          <w:szCs w:val="22"/>
          <w:lang w:val="de-DE"/>
        </w:rPr>
        <w:t>jenjenim</w:t>
      </w:r>
      <w:proofErr w:type="spellEnd"/>
      <w:r w:rsidR="00EE2F19" w:rsidRPr="001D23DB">
        <w:rPr>
          <w:sz w:val="22"/>
          <w:szCs w:val="22"/>
          <w:lang w:val="de-DE"/>
        </w:rPr>
        <w:t xml:space="preserve"> </w:t>
      </w:r>
      <w:proofErr w:type="spellStart"/>
      <w:r w:rsidR="00EE2F19" w:rsidRPr="001D23DB">
        <w:rPr>
          <w:sz w:val="22"/>
          <w:szCs w:val="22"/>
          <w:lang w:val="de-DE"/>
        </w:rPr>
        <w:t>uz</w:t>
      </w:r>
      <w:proofErr w:type="spellEnd"/>
      <w:r w:rsidR="00EE2F19" w:rsidRPr="001D23DB">
        <w:rPr>
          <w:sz w:val="22"/>
          <w:szCs w:val="22"/>
          <w:lang w:val="de-DE"/>
        </w:rPr>
        <w:t xml:space="preserve"> </w:t>
      </w:r>
      <w:proofErr w:type="spellStart"/>
      <w:r w:rsidR="00EE2F19" w:rsidRPr="001D23DB">
        <w:rPr>
          <w:sz w:val="22"/>
          <w:szCs w:val="22"/>
          <w:lang w:val="de-DE"/>
        </w:rPr>
        <w:t>obrok</w:t>
      </w:r>
      <w:proofErr w:type="spellEnd"/>
      <w:r w:rsidR="00EE2F19" w:rsidRPr="001D23DB">
        <w:rPr>
          <w:sz w:val="22"/>
          <w:szCs w:val="22"/>
          <w:lang w:val="de-DE"/>
        </w:rPr>
        <w:t xml:space="preserve">.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00EE2F19" w:rsidRPr="001D23DB">
        <w:rPr>
          <w:sz w:val="22"/>
          <w:szCs w:val="22"/>
          <w:lang w:val="de-DE"/>
        </w:rPr>
        <w:t>Fiasp</w:t>
      </w:r>
      <w:proofErr w:type="spellEnd"/>
      <w:r w:rsidR="00EE2F19" w:rsidRPr="001D23DB">
        <w:rPr>
          <w:sz w:val="22"/>
          <w:szCs w:val="22"/>
          <w:lang w:val="de-DE"/>
        </w:rPr>
        <w:t xml:space="preserve"> </w:t>
      </w:r>
      <w:proofErr w:type="spellStart"/>
      <w:r w:rsidR="00EE2F19" w:rsidRPr="001D23DB">
        <w:rPr>
          <w:sz w:val="22"/>
          <w:szCs w:val="22"/>
          <w:lang w:val="de-DE"/>
        </w:rPr>
        <w:t>prim</w:t>
      </w:r>
      <w:r w:rsidR="00520AE3" w:rsidRPr="001D23DB">
        <w:rPr>
          <w:sz w:val="22"/>
          <w:szCs w:val="22"/>
          <w:lang w:val="de-DE"/>
        </w:rPr>
        <w:t>i</w:t>
      </w:r>
      <w:r w:rsidR="00EE2F19" w:rsidRPr="001D23DB">
        <w:rPr>
          <w:sz w:val="22"/>
          <w:szCs w:val="22"/>
          <w:lang w:val="de-DE"/>
        </w:rPr>
        <w:t>jenjen</w:t>
      </w:r>
      <w:proofErr w:type="spellEnd"/>
      <w:r w:rsidR="00EE2F19" w:rsidRPr="001D23DB">
        <w:rPr>
          <w:sz w:val="22"/>
          <w:szCs w:val="22"/>
          <w:lang w:val="de-DE"/>
        </w:rPr>
        <w:t xml:space="preserve"> </w:t>
      </w:r>
      <w:proofErr w:type="spellStart"/>
      <w:r w:rsidR="00EE2F19" w:rsidRPr="001D23DB">
        <w:rPr>
          <w:sz w:val="22"/>
          <w:szCs w:val="22"/>
          <w:lang w:val="de-DE"/>
        </w:rPr>
        <w:t>nakon</w:t>
      </w:r>
      <w:proofErr w:type="spellEnd"/>
      <w:r w:rsidR="00EE2F19" w:rsidRPr="001D23DB">
        <w:rPr>
          <w:sz w:val="22"/>
          <w:szCs w:val="22"/>
          <w:lang w:val="de-DE"/>
        </w:rPr>
        <w:t xml:space="preserve"> </w:t>
      </w:r>
      <w:proofErr w:type="spellStart"/>
      <w:r w:rsidR="00EE2F19" w:rsidRPr="001D23DB">
        <w:rPr>
          <w:sz w:val="22"/>
          <w:szCs w:val="22"/>
          <w:lang w:val="de-DE"/>
        </w:rPr>
        <w:t>obroka</w:t>
      </w:r>
      <w:proofErr w:type="spellEnd"/>
      <w:r w:rsidR="00EE2F19" w:rsidRPr="001D23DB">
        <w:rPr>
          <w:sz w:val="22"/>
          <w:szCs w:val="22"/>
          <w:lang w:val="de-DE"/>
        </w:rPr>
        <w:t xml:space="preserve"> </w:t>
      </w:r>
      <w:proofErr w:type="spellStart"/>
      <w:r w:rsidR="00EE2F19" w:rsidRPr="001D23DB">
        <w:rPr>
          <w:sz w:val="22"/>
          <w:szCs w:val="22"/>
          <w:lang w:val="de-DE"/>
        </w:rPr>
        <w:t>postigao</w:t>
      </w:r>
      <w:proofErr w:type="spellEnd"/>
      <w:r w:rsidR="00EE2F19" w:rsidRPr="001D23DB">
        <w:rPr>
          <w:sz w:val="22"/>
          <w:szCs w:val="22"/>
          <w:lang w:val="de-DE"/>
        </w:rPr>
        <w:t xml:space="preserve"> je </w:t>
      </w:r>
      <w:proofErr w:type="spellStart"/>
      <w:r w:rsidR="00EE2F19" w:rsidRPr="001D23DB">
        <w:rPr>
          <w:sz w:val="22"/>
          <w:szCs w:val="22"/>
          <w:lang w:val="de-DE"/>
        </w:rPr>
        <w:t>veće</w:t>
      </w:r>
      <w:proofErr w:type="spellEnd"/>
      <w:r w:rsidR="00EE2F19" w:rsidRPr="001D23DB">
        <w:rPr>
          <w:sz w:val="22"/>
          <w:szCs w:val="22"/>
          <w:lang w:val="de-DE"/>
        </w:rPr>
        <w:t xml:space="preserve"> </w:t>
      </w:r>
      <w:proofErr w:type="spellStart"/>
      <w:r w:rsidR="00EE2F19" w:rsidRPr="001D23DB">
        <w:rPr>
          <w:sz w:val="22"/>
          <w:szCs w:val="22"/>
          <w:lang w:val="de-DE"/>
        </w:rPr>
        <w:t>povećanje</w:t>
      </w:r>
      <w:proofErr w:type="spellEnd"/>
      <w:r w:rsidR="00EE2F19" w:rsidRPr="001D23DB">
        <w:rPr>
          <w:sz w:val="22"/>
          <w:szCs w:val="22"/>
          <w:lang w:val="de-DE"/>
        </w:rPr>
        <w:t xml:space="preserve"> </w:t>
      </w:r>
      <w:proofErr w:type="spellStart"/>
      <w:r w:rsidR="00EE2F19" w:rsidRPr="001D23DB">
        <w:rPr>
          <w:sz w:val="22"/>
          <w:szCs w:val="22"/>
          <w:lang w:val="de-DE"/>
        </w:rPr>
        <w:t>glukoze</w:t>
      </w:r>
      <w:proofErr w:type="spellEnd"/>
      <w:r w:rsidR="00EE2F19" w:rsidRPr="001D23DB">
        <w:rPr>
          <w:sz w:val="22"/>
          <w:szCs w:val="22"/>
          <w:lang w:val="de-DE"/>
        </w:rPr>
        <w:t xml:space="preserve"> 1 </w:t>
      </w:r>
      <w:proofErr w:type="spellStart"/>
      <w:r w:rsidR="00EE2F19" w:rsidRPr="001D23DB">
        <w:rPr>
          <w:sz w:val="22"/>
          <w:szCs w:val="22"/>
          <w:lang w:val="de-DE"/>
        </w:rPr>
        <w:t>sat</w:t>
      </w:r>
      <w:proofErr w:type="spellEnd"/>
      <w:r w:rsidR="00EE2F19" w:rsidRPr="001D23DB">
        <w:rPr>
          <w:sz w:val="22"/>
          <w:szCs w:val="22"/>
          <w:lang w:val="de-DE"/>
        </w:rPr>
        <w:t xml:space="preserve"> </w:t>
      </w:r>
      <w:proofErr w:type="spellStart"/>
      <w:r w:rsidR="00EE2F19" w:rsidRPr="001D23DB">
        <w:rPr>
          <w:sz w:val="22"/>
          <w:szCs w:val="22"/>
          <w:lang w:val="de-DE"/>
        </w:rPr>
        <w:t>nakon</w:t>
      </w:r>
      <w:proofErr w:type="spellEnd"/>
      <w:r w:rsidR="00EE2F19" w:rsidRPr="001D23DB">
        <w:rPr>
          <w:sz w:val="22"/>
          <w:szCs w:val="22"/>
          <w:lang w:val="de-DE"/>
        </w:rPr>
        <w:t xml:space="preserve"> </w:t>
      </w:r>
      <w:proofErr w:type="spellStart"/>
      <w:r w:rsidR="00EE2F19" w:rsidRPr="001D23DB">
        <w:rPr>
          <w:sz w:val="22"/>
          <w:szCs w:val="22"/>
          <w:lang w:val="de-DE"/>
        </w:rPr>
        <w:t>obroka</w:t>
      </w:r>
      <w:proofErr w:type="spellEnd"/>
      <w:r w:rsidR="00EE2F19" w:rsidRPr="001D23DB">
        <w:rPr>
          <w:sz w:val="22"/>
          <w:szCs w:val="22"/>
          <w:lang w:val="de-DE"/>
        </w:rPr>
        <w:t xml:space="preserve"> i </w:t>
      </w:r>
      <w:proofErr w:type="spellStart"/>
      <w:r w:rsidR="00EE2F19" w:rsidRPr="001D23DB">
        <w:rPr>
          <w:sz w:val="22"/>
          <w:szCs w:val="22"/>
          <w:lang w:val="de-DE"/>
        </w:rPr>
        <w:t>uporedivo</w:t>
      </w:r>
      <w:proofErr w:type="spellEnd"/>
      <w:r w:rsidR="00EE2F19" w:rsidRPr="001D23DB">
        <w:rPr>
          <w:sz w:val="22"/>
          <w:szCs w:val="22"/>
          <w:lang w:val="de-DE"/>
        </w:rPr>
        <w:t xml:space="preserve"> </w:t>
      </w:r>
      <w:proofErr w:type="spellStart"/>
      <w:r w:rsidR="00EE2F19" w:rsidRPr="001D23DB">
        <w:rPr>
          <w:sz w:val="22"/>
          <w:szCs w:val="22"/>
          <w:lang w:val="de-DE"/>
        </w:rPr>
        <w:t>povećanje</w:t>
      </w:r>
      <w:proofErr w:type="spellEnd"/>
      <w:r w:rsidR="00EE2F19" w:rsidRPr="001D23DB">
        <w:rPr>
          <w:sz w:val="22"/>
          <w:szCs w:val="22"/>
          <w:lang w:val="de-DE"/>
        </w:rPr>
        <w:t xml:space="preserve"> </w:t>
      </w:r>
      <w:proofErr w:type="spellStart"/>
      <w:r w:rsidR="00EE2F19" w:rsidRPr="001D23DB">
        <w:rPr>
          <w:sz w:val="22"/>
          <w:szCs w:val="22"/>
          <w:lang w:val="de-DE"/>
        </w:rPr>
        <w:t>glukoze</w:t>
      </w:r>
      <w:proofErr w:type="spellEnd"/>
      <w:r w:rsidR="00EE2F19" w:rsidRPr="001D23DB">
        <w:rPr>
          <w:sz w:val="22"/>
          <w:szCs w:val="22"/>
          <w:lang w:val="de-DE"/>
        </w:rPr>
        <w:t xml:space="preserve"> 2 </w:t>
      </w:r>
      <w:proofErr w:type="spellStart"/>
      <w:r w:rsidR="00EE2F19" w:rsidRPr="001D23DB">
        <w:rPr>
          <w:sz w:val="22"/>
          <w:szCs w:val="22"/>
          <w:lang w:val="de-DE"/>
        </w:rPr>
        <w:t>sata</w:t>
      </w:r>
      <w:proofErr w:type="spellEnd"/>
      <w:r w:rsidR="00EE2F19" w:rsidRPr="001D23DB">
        <w:rPr>
          <w:sz w:val="22"/>
          <w:szCs w:val="22"/>
          <w:lang w:val="de-DE"/>
        </w:rPr>
        <w:t xml:space="preserve"> </w:t>
      </w:r>
      <w:proofErr w:type="spellStart"/>
      <w:r w:rsidR="00EE2F19" w:rsidRPr="001D23DB">
        <w:rPr>
          <w:sz w:val="22"/>
          <w:szCs w:val="22"/>
          <w:lang w:val="de-DE"/>
        </w:rPr>
        <w:t>nakon</w:t>
      </w:r>
      <w:proofErr w:type="spellEnd"/>
      <w:r w:rsidR="00EE2F19" w:rsidRPr="001D23DB">
        <w:rPr>
          <w:sz w:val="22"/>
          <w:szCs w:val="22"/>
          <w:lang w:val="de-DE"/>
        </w:rPr>
        <w:t xml:space="preserve"> </w:t>
      </w:r>
      <w:proofErr w:type="spellStart"/>
      <w:r w:rsidR="00EE2F19" w:rsidRPr="001D23DB">
        <w:rPr>
          <w:sz w:val="22"/>
          <w:szCs w:val="22"/>
          <w:lang w:val="de-DE"/>
        </w:rPr>
        <w:t>obroka</w:t>
      </w:r>
      <w:proofErr w:type="spellEnd"/>
      <w:r w:rsidR="00EE2F19" w:rsidRPr="001D23DB">
        <w:rPr>
          <w:sz w:val="22"/>
          <w:szCs w:val="22"/>
          <w:lang w:val="de-DE"/>
        </w:rPr>
        <w:t xml:space="preserve"> u </w:t>
      </w:r>
      <w:proofErr w:type="spellStart"/>
      <w:r w:rsidR="00EE2F19" w:rsidRPr="001D23DB">
        <w:rPr>
          <w:sz w:val="22"/>
          <w:szCs w:val="22"/>
          <w:lang w:val="de-DE"/>
        </w:rPr>
        <w:t>poređenju</w:t>
      </w:r>
      <w:proofErr w:type="spellEnd"/>
      <w:r w:rsidR="00EE2F19" w:rsidRPr="001D23DB">
        <w:rPr>
          <w:sz w:val="22"/>
          <w:szCs w:val="22"/>
          <w:lang w:val="de-DE"/>
        </w:rPr>
        <w:t xml:space="preserve"> </w:t>
      </w:r>
      <w:proofErr w:type="spellStart"/>
      <w:r w:rsidR="00EE2F19" w:rsidRPr="001D23DB">
        <w:rPr>
          <w:sz w:val="22"/>
          <w:szCs w:val="22"/>
          <w:lang w:val="de-DE"/>
        </w:rPr>
        <w:t>sa</w:t>
      </w:r>
      <w:proofErr w:type="spellEnd"/>
      <w:r w:rsidR="00EE2F19" w:rsidRPr="001D23DB">
        <w:rPr>
          <w:sz w:val="22"/>
          <w:szCs w:val="22"/>
          <w:lang w:val="de-DE"/>
        </w:rPr>
        <w:t xml:space="preserve"> </w:t>
      </w:r>
      <w:proofErr w:type="spellStart"/>
      <w:r w:rsidR="00EE2F19" w:rsidRPr="001D23DB">
        <w:rPr>
          <w:sz w:val="22"/>
          <w:szCs w:val="22"/>
          <w:lang w:val="de-DE"/>
        </w:rPr>
        <w:t>lijekom</w:t>
      </w:r>
      <w:proofErr w:type="spellEnd"/>
      <w:r w:rsidR="00EE2F19" w:rsidRPr="001D23DB">
        <w:rPr>
          <w:sz w:val="22"/>
          <w:szCs w:val="22"/>
          <w:lang w:val="de-DE"/>
        </w:rPr>
        <w:t xml:space="preserve"> </w:t>
      </w:r>
      <w:proofErr w:type="spellStart"/>
      <w:r w:rsidR="00EE2F19" w:rsidRPr="001D23DB">
        <w:rPr>
          <w:sz w:val="22"/>
          <w:szCs w:val="22"/>
          <w:lang w:val="de-DE"/>
        </w:rPr>
        <w:t>NovoRapid</w:t>
      </w:r>
      <w:proofErr w:type="spellEnd"/>
      <w:r w:rsidR="00EE2F19" w:rsidRPr="001D23DB">
        <w:rPr>
          <w:sz w:val="22"/>
          <w:szCs w:val="22"/>
          <w:lang w:val="de-DE"/>
        </w:rPr>
        <w:t xml:space="preserve"> </w:t>
      </w:r>
      <w:proofErr w:type="spellStart"/>
      <w:r w:rsidR="00EE2F19" w:rsidRPr="001D23DB">
        <w:rPr>
          <w:sz w:val="22"/>
          <w:szCs w:val="22"/>
          <w:lang w:val="de-DE"/>
        </w:rPr>
        <w:t>prim</w:t>
      </w:r>
      <w:r w:rsidR="00520AE3" w:rsidRPr="001D23DB">
        <w:rPr>
          <w:sz w:val="22"/>
          <w:szCs w:val="22"/>
          <w:lang w:val="de-DE"/>
        </w:rPr>
        <w:t>i</w:t>
      </w:r>
      <w:r w:rsidR="00EE2F19" w:rsidRPr="001D23DB">
        <w:rPr>
          <w:sz w:val="22"/>
          <w:szCs w:val="22"/>
          <w:lang w:val="de-DE"/>
        </w:rPr>
        <w:t>jenjenim</w:t>
      </w:r>
      <w:proofErr w:type="spellEnd"/>
      <w:r w:rsidR="00EE2F19" w:rsidRPr="001D23DB">
        <w:rPr>
          <w:sz w:val="22"/>
          <w:szCs w:val="22"/>
          <w:lang w:val="de-DE"/>
        </w:rPr>
        <w:t xml:space="preserve"> </w:t>
      </w:r>
      <w:proofErr w:type="spellStart"/>
      <w:r w:rsidR="00EE2F19" w:rsidRPr="001D23DB">
        <w:rPr>
          <w:sz w:val="22"/>
          <w:szCs w:val="22"/>
          <w:lang w:val="de-DE"/>
        </w:rPr>
        <w:t>uz</w:t>
      </w:r>
      <w:proofErr w:type="spellEnd"/>
      <w:r w:rsidR="00EE2F19" w:rsidRPr="001D23DB">
        <w:rPr>
          <w:sz w:val="22"/>
          <w:szCs w:val="22"/>
          <w:lang w:val="de-DE"/>
        </w:rPr>
        <w:t xml:space="preserve"> </w:t>
      </w:r>
      <w:proofErr w:type="spellStart"/>
      <w:r w:rsidR="00EE2F19" w:rsidRPr="001D23DB">
        <w:rPr>
          <w:sz w:val="22"/>
          <w:szCs w:val="22"/>
          <w:lang w:val="de-DE"/>
        </w:rPr>
        <w:t>obrok</w:t>
      </w:r>
      <w:proofErr w:type="spellEnd"/>
      <w:r w:rsidR="00EE2F19" w:rsidRPr="001D23DB">
        <w:rPr>
          <w:sz w:val="22"/>
          <w:szCs w:val="22"/>
          <w:lang w:val="de-DE"/>
        </w:rPr>
        <w:t xml:space="preserve"> (</w:t>
      </w:r>
      <w:proofErr w:type="spellStart"/>
      <w:r w:rsidR="00EE2F19" w:rsidRPr="001D23DB">
        <w:rPr>
          <w:sz w:val="22"/>
          <w:szCs w:val="22"/>
          <w:lang w:val="de-DE"/>
        </w:rPr>
        <w:t>Tabela</w:t>
      </w:r>
      <w:proofErr w:type="spellEnd"/>
      <w:r w:rsidR="00EE2F19" w:rsidRPr="001D23DB">
        <w:rPr>
          <w:sz w:val="22"/>
          <w:szCs w:val="22"/>
          <w:lang w:val="de-DE"/>
        </w:rPr>
        <w:t xml:space="preserve"> 3).</w:t>
      </w:r>
    </w:p>
    <w:p w14:paraId="4DBFB195" w14:textId="77777777" w:rsidR="00EE2F19" w:rsidRPr="001D23DB" w:rsidRDefault="00EE2F19" w:rsidP="00EE2F19">
      <w:pPr>
        <w:tabs>
          <w:tab w:val="left" w:pos="284"/>
        </w:tabs>
        <w:jc w:val="both"/>
        <w:rPr>
          <w:sz w:val="22"/>
          <w:szCs w:val="22"/>
          <w:lang w:val="de-DE"/>
        </w:rPr>
      </w:pPr>
    </w:p>
    <w:p w14:paraId="4E0C7E7D" w14:textId="3724CCE4" w:rsidR="00EE2F19" w:rsidRPr="001D23DB" w:rsidRDefault="00EE2F19" w:rsidP="00EE2F19">
      <w:pPr>
        <w:tabs>
          <w:tab w:val="left" w:pos="284"/>
        </w:tabs>
        <w:jc w:val="both"/>
        <w:rPr>
          <w:sz w:val="22"/>
          <w:szCs w:val="22"/>
          <w:lang w:val="de-DE"/>
        </w:rPr>
      </w:pPr>
      <w:proofErr w:type="spellStart"/>
      <w:r w:rsidRPr="001D23DB">
        <w:rPr>
          <w:sz w:val="22"/>
          <w:szCs w:val="22"/>
          <w:lang w:val="de-DE"/>
        </w:rPr>
        <w:t>Medijana</w:t>
      </w:r>
      <w:proofErr w:type="spellEnd"/>
      <w:r w:rsidRPr="001D23DB">
        <w:rPr>
          <w:sz w:val="22"/>
          <w:szCs w:val="22"/>
          <w:lang w:val="de-DE"/>
        </w:rPr>
        <w:t xml:space="preserve"> </w:t>
      </w:r>
      <w:proofErr w:type="spellStart"/>
      <w:r w:rsidRPr="001D23DB">
        <w:rPr>
          <w:sz w:val="22"/>
          <w:szCs w:val="22"/>
          <w:lang w:val="de-DE"/>
        </w:rPr>
        <w:t>ukupne</w:t>
      </w:r>
      <w:proofErr w:type="spellEnd"/>
      <w:r w:rsidRPr="001D23DB">
        <w:rPr>
          <w:sz w:val="22"/>
          <w:szCs w:val="22"/>
          <w:lang w:val="de-DE"/>
        </w:rPr>
        <w:t xml:space="preserve"> </w:t>
      </w:r>
      <w:proofErr w:type="spellStart"/>
      <w:r w:rsidRPr="001D23DB">
        <w:rPr>
          <w:sz w:val="22"/>
          <w:szCs w:val="22"/>
          <w:lang w:val="de-DE"/>
        </w:rPr>
        <w:t>doze</w:t>
      </w:r>
      <w:proofErr w:type="spellEnd"/>
      <w:r w:rsidRPr="001D23DB">
        <w:rPr>
          <w:sz w:val="22"/>
          <w:szCs w:val="22"/>
          <w:lang w:val="de-DE"/>
        </w:rPr>
        <w:t xml:space="preserve"> </w:t>
      </w:r>
      <w:proofErr w:type="spellStart"/>
      <w:r w:rsidRPr="001D23DB">
        <w:rPr>
          <w:sz w:val="22"/>
          <w:szCs w:val="22"/>
          <w:lang w:val="de-DE"/>
        </w:rPr>
        <w:t>bolus</w:t>
      </w:r>
      <w:proofErr w:type="spellEnd"/>
      <w:r w:rsidRPr="001D23DB">
        <w:rPr>
          <w:sz w:val="22"/>
          <w:szCs w:val="22"/>
          <w:lang w:val="de-DE"/>
        </w:rPr>
        <w:t xml:space="preserve"> </w:t>
      </w:r>
      <w:proofErr w:type="spellStart"/>
      <w:r w:rsidRPr="001D23DB">
        <w:rPr>
          <w:sz w:val="22"/>
          <w:szCs w:val="22"/>
          <w:lang w:val="de-DE"/>
        </w:rPr>
        <w:t>insulina</w:t>
      </w:r>
      <w:proofErr w:type="spellEnd"/>
      <w:r w:rsidRPr="001D23DB">
        <w:rPr>
          <w:sz w:val="22"/>
          <w:szCs w:val="22"/>
          <w:lang w:val="de-DE"/>
        </w:rPr>
        <w:t xml:space="preserve"> na </w:t>
      </w:r>
      <w:proofErr w:type="spellStart"/>
      <w:r w:rsidRPr="001D23DB">
        <w:rPr>
          <w:sz w:val="22"/>
          <w:szCs w:val="22"/>
          <w:lang w:val="de-DE"/>
        </w:rPr>
        <w:t>kraju</w:t>
      </w:r>
      <w:proofErr w:type="spellEnd"/>
      <w:r w:rsidRPr="001D23DB">
        <w:rPr>
          <w:sz w:val="22"/>
          <w:szCs w:val="22"/>
          <w:lang w:val="de-DE"/>
        </w:rPr>
        <w:t xml:space="preserve"> </w:t>
      </w:r>
      <w:proofErr w:type="spellStart"/>
      <w:r w:rsidRPr="001D23DB">
        <w:rPr>
          <w:sz w:val="22"/>
          <w:szCs w:val="22"/>
          <w:lang w:val="de-DE"/>
        </w:rPr>
        <w:t>ispitivanja</w:t>
      </w:r>
      <w:proofErr w:type="spellEnd"/>
      <w:r w:rsidRPr="001D23DB">
        <w:rPr>
          <w:sz w:val="22"/>
          <w:szCs w:val="22"/>
          <w:lang w:val="de-DE"/>
        </w:rPr>
        <w:t xml:space="preserve"> </w:t>
      </w:r>
      <w:proofErr w:type="spellStart"/>
      <w:r w:rsidRPr="001D23DB">
        <w:rPr>
          <w:sz w:val="22"/>
          <w:szCs w:val="22"/>
          <w:lang w:val="de-DE"/>
        </w:rPr>
        <w:t>bila</w:t>
      </w:r>
      <w:proofErr w:type="spellEnd"/>
      <w:r w:rsidRPr="001D23DB">
        <w:rPr>
          <w:sz w:val="22"/>
          <w:szCs w:val="22"/>
          <w:lang w:val="de-DE"/>
        </w:rPr>
        <w:t xml:space="preserve"> je </w:t>
      </w:r>
      <w:proofErr w:type="spellStart"/>
      <w:r w:rsidRPr="001D23DB">
        <w:rPr>
          <w:sz w:val="22"/>
          <w:szCs w:val="22"/>
          <w:lang w:val="de-DE"/>
        </w:rPr>
        <w:t>slična</w:t>
      </w:r>
      <w:proofErr w:type="spellEnd"/>
      <w:r w:rsidRPr="001D23DB">
        <w:rPr>
          <w:sz w:val="22"/>
          <w:szCs w:val="22"/>
          <w:lang w:val="de-DE"/>
        </w:rPr>
        <w:t xml:space="preserve"> </w:t>
      </w:r>
      <w:proofErr w:type="spellStart"/>
      <w:r w:rsidRPr="001D23DB">
        <w:rPr>
          <w:sz w:val="22"/>
          <w:szCs w:val="22"/>
          <w:lang w:val="de-DE"/>
        </w:rPr>
        <w:t>za</w:t>
      </w:r>
      <w:proofErr w:type="spellEnd"/>
      <w:r w:rsidRPr="001D23DB">
        <w:rPr>
          <w:sz w:val="22"/>
          <w:szCs w:val="22"/>
          <w:lang w:val="de-DE"/>
        </w:rPr>
        <w:t xml:space="preserve">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prim</w:t>
      </w:r>
      <w:r w:rsidR="00520AE3" w:rsidRPr="001D23DB">
        <w:rPr>
          <w:sz w:val="22"/>
          <w:szCs w:val="22"/>
          <w:lang w:val="de-DE"/>
        </w:rPr>
        <w:t>i</w:t>
      </w:r>
      <w:r w:rsidRPr="001D23DB">
        <w:rPr>
          <w:sz w:val="22"/>
          <w:szCs w:val="22"/>
          <w:lang w:val="de-DE"/>
        </w:rPr>
        <w:t>jenjen</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prim</w:t>
      </w:r>
      <w:r w:rsidR="00520AE3" w:rsidRPr="001D23DB">
        <w:rPr>
          <w:sz w:val="22"/>
          <w:szCs w:val="22"/>
          <w:lang w:val="de-DE"/>
        </w:rPr>
        <w:t>i</w:t>
      </w:r>
      <w:r w:rsidRPr="001D23DB">
        <w:rPr>
          <w:sz w:val="22"/>
          <w:szCs w:val="22"/>
          <w:lang w:val="de-DE"/>
        </w:rPr>
        <w:t>jenjen</w:t>
      </w:r>
      <w:proofErr w:type="spellEnd"/>
      <w:r w:rsidRPr="001D23DB">
        <w:rPr>
          <w:sz w:val="22"/>
          <w:szCs w:val="22"/>
          <w:lang w:val="de-DE"/>
        </w:rPr>
        <w:t xml:space="preserve"> </w:t>
      </w:r>
      <w:proofErr w:type="spellStart"/>
      <w:r w:rsidRPr="001D23DB">
        <w:rPr>
          <w:sz w:val="22"/>
          <w:szCs w:val="22"/>
          <w:lang w:val="de-DE"/>
        </w:rPr>
        <w:t>nakon</w:t>
      </w:r>
      <w:proofErr w:type="spellEnd"/>
      <w:r w:rsidRPr="001D23DB">
        <w:rPr>
          <w:sz w:val="22"/>
          <w:szCs w:val="22"/>
          <w:lang w:val="de-DE"/>
        </w:rPr>
        <w:t xml:space="preserve"> </w:t>
      </w:r>
      <w:proofErr w:type="spellStart"/>
      <w:r w:rsidRPr="001D23DB">
        <w:rPr>
          <w:sz w:val="22"/>
          <w:szCs w:val="22"/>
          <w:lang w:val="de-DE"/>
        </w:rPr>
        <w:t>obroka</w:t>
      </w:r>
      <w:proofErr w:type="spellEnd"/>
      <w:r w:rsidR="00520AE3" w:rsidRPr="001D23DB">
        <w:rPr>
          <w:sz w:val="22"/>
          <w:szCs w:val="22"/>
          <w:lang w:val="de-DE"/>
        </w:rPr>
        <w:t>,</w:t>
      </w:r>
      <w:r w:rsidRPr="001D23DB">
        <w:rPr>
          <w:sz w:val="22"/>
          <w:szCs w:val="22"/>
          <w:lang w:val="de-DE"/>
        </w:rPr>
        <w:t xml:space="preserve"> i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Pr="001D23DB">
        <w:rPr>
          <w:sz w:val="22"/>
          <w:szCs w:val="22"/>
          <w:lang w:val="de-DE"/>
        </w:rPr>
        <w:t>NovoRapid</w:t>
      </w:r>
      <w:proofErr w:type="spellEnd"/>
      <w:r w:rsidRPr="001D23DB">
        <w:rPr>
          <w:sz w:val="22"/>
          <w:szCs w:val="22"/>
          <w:lang w:val="de-DE"/>
        </w:rPr>
        <w:t xml:space="preserve"> </w:t>
      </w:r>
      <w:proofErr w:type="spellStart"/>
      <w:r w:rsidRPr="001D23DB">
        <w:rPr>
          <w:sz w:val="22"/>
          <w:szCs w:val="22"/>
          <w:lang w:val="de-DE"/>
        </w:rPr>
        <w:t>prim</w:t>
      </w:r>
      <w:r w:rsidR="00520AE3" w:rsidRPr="001D23DB">
        <w:rPr>
          <w:sz w:val="22"/>
          <w:szCs w:val="22"/>
          <w:lang w:val="de-DE"/>
        </w:rPr>
        <w:t>i</w:t>
      </w:r>
      <w:r w:rsidRPr="001D23DB">
        <w:rPr>
          <w:sz w:val="22"/>
          <w:szCs w:val="22"/>
          <w:lang w:val="de-DE"/>
        </w:rPr>
        <w:t>jenjen</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w:t>
      </w:r>
      <w:proofErr w:type="spellStart"/>
      <w:r w:rsidRPr="001D23DB">
        <w:rPr>
          <w:sz w:val="22"/>
          <w:szCs w:val="22"/>
          <w:lang w:val="de-DE"/>
        </w:rPr>
        <w:t>promjena</w:t>
      </w:r>
      <w:proofErr w:type="spellEnd"/>
      <w:r w:rsidRPr="001D23DB">
        <w:rPr>
          <w:sz w:val="22"/>
          <w:szCs w:val="22"/>
          <w:lang w:val="de-DE"/>
        </w:rPr>
        <w:t xml:space="preserve"> </w:t>
      </w:r>
      <w:proofErr w:type="spellStart"/>
      <w:r w:rsidRPr="001D23DB">
        <w:rPr>
          <w:sz w:val="22"/>
          <w:szCs w:val="22"/>
          <w:lang w:val="de-DE"/>
        </w:rPr>
        <w:t>od</w:t>
      </w:r>
      <w:proofErr w:type="spellEnd"/>
      <w:r w:rsidRPr="001D23DB">
        <w:rPr>
          <w:sz w:val="22"/>
          <w:szCs w:val="22"/>
          <w:lang w:val="de-DE"/>
        </w:rPr>
        <w:t xml:space="preserve"> </w:t>
      </w:r>
      <w:proofErr w:type="spellStart"/>
      <w:r w:rsidRPr="001D23DB">
        <w:rPr>
          <w:sz w:val="22"/>
          <w:szCs w:val="22"/>
          <w:lang w:val="de-DE"/>
        </w:rPr>
        <w:t>početnih</w:t>
      </w:r>
      <w:proofErr w:type="spellEnd"/>
      <w:r w:rsidRPr="001D23DB">
        <w:rPr>
          <w:sz w:val="22"/>
          <w:szCs w:val="22"/>
          <w:lang w:val="de-DE"/>
        </w:rPr>
        <w:t xml:space="preserve"> </w:t>
      </w:r>
      <w:proofErr w:type="spellStart"/>
      <w:r w:rsidRPr="001D23DB">
        <w:rPr>
          <w:sz w:val="22"/>
          <w:szCs w:val="22"/>
          <w:lang w:val="de-DE"/>
        </w:rPr>
        <w:t>vrijednosti</w:t>
      </w:r>
      <w:proofErr w:type="spellEnd"/>
      <w:r w:rsidRPr="001D23DB">
        <w:rPr>
          <w:sz w:val="22"/>
          <w:szCs w:val="22"/>
          <w:lang w:val="de-DE"/>
        </w:rPr>
        <w:t xml:space="preserve"> do </w:t>
      </w:r>
      <w:proofErr w:type="spellStart"/>
      <w:r w:rsidRPr="001D23DB">
        <w:rPr>
          <w:sz w:val="22"/>
          <w:szCs w:val="22"/>
          <w:lang w:val="de-DE"/>
        </w:rPr>
        <w:t>kraja</w:t>
      </w:r>
      <w:proofErr w:type="spellEnd"/>
      <w:r w:rsidRPr="001D23DB">
        <w:rPr>
          <w:sz w:val="22"/>
          <w:szCs w:val="22"/>
          <w:lang w:val="de-DE"/>
        </w:rPr>
        <w:t xml:space="preserve"> </w:t>
      </w:r>
      <w:proofErr w:type="spellStart"/>
      <w:r w:rsidRPr="001D23DB">
        <w:rPr>
          <w:sz w:val="22"/>
          <w:szCs w:val="22"/>
          <w:lang w:val="de-DE"/>
        </w:rPr>
        <w:t>ispitivanja</w:t>
      </w:r>
      <w:proofErr w:type="spellEnd"/>
      <w:r w:rsidRPr="001D23DB">
        <w:rPr>
          <w:sz w:val="22"/>
          <w:szCs w:val="22"/>
          <w:lang w:val="de-DE"/>
        </w:rPr>
        <w:t xml:space="preserve">: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0,33→0,39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 xml:space="preserve">;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nakon</w:t>
      </w:r>
      <w:proofErr w:type="spellEnd"/>
      <w:r w:rsidRPr="001D23DB">
        <w:rPr>
          <w:sz w:val="22"/>
          <w:szCs w:val="22"/>
          <w:lang w:val="de-DE"/>
        </w:rPr>
        <w:t xml:space="preserve"> </w:t>
      </w:r>
      <w:proofErr w:type="spellStart"/>
      <w:r w:rsidRPr="001D23DB">
        <w:rPr>
          <w:sz w:val="22"/>
          <w:szCs w:val="22"/>
          <w:lang w:val="de-DE"/>
        </w:rPr>
        <w:t>obroka</w:t>
      </w:r>
      <w:proofErr w:type="spellEnd"/>
      <w:r w:rsidRPr="001D23DB">
        <w:rPr>
          <w:sz w:val="22"/>
          <w:szCs w:val="22"/>
          <w:lang w:val="de-DE"/>
        </w:rPr>
        <w:t xml:space="preserve">: 0,35→0,39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 xml:space="preserve">; i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Pr="001D23DB">
        <w:rPr>
          <w:sz w:val="22"/>
          <w:szCs w:val="22"/>
          <w:lang w:val="de-DE"/>
        </w:rPr>
        <w:t>NovoRapid</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0,36→0,38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 xml:space="preserve">). </w:t>
      </w:r>
      <w:proofErr w:type="spellStart"/>
      <w:r w:rsidRPr="001D23DB">
        <w:rPr>
          <w:sz w:val="22"/>
          <w:szCs w:val="22"/>
          <w:lang w:val="de-DE"/>
        </w:rPr>
        <w:t>Promjene</w:t>
      </w:r>
      <w:proofErr w:type="spellEnd"/>
      <w:r w:rsidRPr="001D23DB">
        <w:rPr>
          <w:sz w:val="22"/>
          <w:szCs w:val="22"/>
          <w:lang w:val="de-DE"/>
        </w:rPr>
        <w:t xml:space="preserve"> u </w:t>
      </w:r>
      <w:proofErr w:type="spellStart"/>
      <w:r w:rsidRPr="001D23DB">
        <w:rPr>
          <w:sz w:val="22"/>
          <w:szCs w:val="22"/>
          <w:lang w:val="de-DE"/>
        </w:rPr>
        <w:t>medijani</w:t>
      </w:r>
      <w:proofErr w:type="spellEnd"/>
      <w:r w:rsidRPr="001D23DB">
        <w:rPr>
          <w:sz w:val="22"/>
          <w:szCs w:val="22"/>
          <w:lang w:val="de-DE"/>
        </w:rPr>
        <w:t xml:space="preserve"> </w:t>
      </w:r>
      <w:proofErr w:type="spellStart"/>
      <w:r w:rsidRPr="001D23DB">
        <w:rPr>
          <w:sz w:val="22"/>
          <w:szCs w:val="22"/>
          <w:lang w:val="de-DE"/>
        </w:rPr>
        <w:t>ukupne</w:t>
      </w:r>
      <w:proofErr w:type="spellEnd"/>
      <w:r w:rsidRPr="001D23DB">
        <w:rPr>
          <w:sz w:val="22"/>
          <w:szCs w:val="22"/>
          <w:lang w:val="de-DE"/>
        </w:rPr>
        <w:t xml:space="preserve"> </w:t>
      </w:r>
      <w:proofErr w:type="spellStart"/>
      <w:r w:rsidRPr="001D23DB">
        <w:rPr>
          <w:sz w:val="22"/>
          <w:szCs w:val="22"/>
          <w:lang w:val="de-DE"/>
        </w:rPr>
        <w:t>doze</w:t>
      </w:r>
      <w:proofErr w:type="spellEnd"/>
      <w:r w:rsidRPr="001D23DB">
        <w:rPr>
          <w:sz w:val="22"/>
          <w:szCs w:val="22"/>
          <w:lang w:val="de-DE"/>
        </w:rPr>
        <w:t xml:space="preserve"> </w:t>
      </w:r>
      <w:proofErr w:type="spellStart"/>
      <w:r w:rsidRPr="001D23DB">
        <w:rPr>
          <w:sz w:val="22"/>
          <w:szCs w:val="22"/>
          <w:lang w:val="de-DE"/>
        </w:rPr>
        <w:t>bazalnog</w:t>
      </w:r>
      <w:proofErr w:type="spellEnd"/>
      <w:r w:rsidRPr="001D23DB">
        <w:rPr>
          <w:sz w:val="22"/>
          <w:szCs w:val="22"/>
          <w:lang w:val="de-DE"/>
        </w:rPr>
        <w:t xml:space="preserve"> </w:t>
      </w:r>
      <w:proofErr w:type="spellStart"/>
      <w:r w:rsidRPr="001D23DB">
        <w:rPr>
          <w:sz w:val="22"/>
          <w:szCs w:val="22"/>
          <w:lang w:val="de-DE"/>
        </w:rPr>
        <w:t>insulina</w:t>
      </w:r>
      <w:proofErr w:type="spellEnd"/>
      <w:r w:rsidRPr="001D23DB">
        <w:rPr>
          <w:sz w:val="22"/>
          <w:szCs w:val="22"/>
          <w:lang w:val="de-DE"/>
        </w:rPr>
        <w:t xml:space="preserve"> </w:t>
      </w:r>
      <w:proofErr w:type="spellStart"/>
      <w:r w:rsidRPr="001D23DB">
        <w:rPr>
          <w:sz w:val="22"/>
          <w:szCs w:val="22"/>
          <w:lang w:val="de-DE"/>
        </w:rPr>
        <w:t>od</w:t>
      </w:r>
      <w:proofErr w:type="spellEnd"/>
      <w:r w:rsidRPr="001D23DB">
        <w:rPr>
          <w:sz w:val="22"/>
          <w:szCs w:val="22"/>
          <w:lang w:val="de-DE"/>
        </w:rPr>
        <w:t xml:space="preserve"> </w:t>
      </w:r>
      <w:proofErr w:type="spellStart"/>
      <w:r w:rsidRPr="001D23DB">
        <w:rPr>
          <w:sz w:val="22"/>
          <w:szCs w:val="22"/>
          <w:lang w:val="de-DE"/>
        </w:rPr>
        <w:t>početka</w:t>
      </w:r>
      <w:proofErr w:type="spellEnd"/>
      <w:r w:rsidRPr="001D23DB">
        <w:rPr>
          <w:sz w:val="22"/>
          <w:szCs w:val="22"/>
          <w:lang w:val="de-DE"/>
        </w:rPr>
        <w:t xml:space="preserve"> </w:t>
      </w:r>
      <w:proofErr w:type="spellStart"/>
      <w:r w:rsidRPr="001D23DB">
        <w:rPr>
          <w:sz w:val="22"/>
          <w:szCs w:val="22"/>
          <w:lang w:val="de-DE"/>
        </w:rPr>
        <w:t>ispitivanja</w:t>
      </w:r>
      <w:proofErr w:type="spellEnd"/>
      <w:r w:rsidRPr="001D23DB">
        <w:rPr>
          <w:sz w:val="22"/>
          <w:szCs w:val="22"/>
          <w:lang w:val="de-DE"/>
        </w:rPr>
        <w:t xml:space="preserve"> do </w:t>
      </w:r>
      <w:proofErr w:type="spellStart"/>
      <w:r w:rsidRPr="001D23DB">
        <w:rPr>
          <w:sz w:val="22"/>
          <w:szCs w:val="22"/>
          <w:lang w:val="de-DE"/>
        </w:rPr>
        <w:t>kraja</w:t>
      </w:r>
      <w:proofErr w:type="spellEnd"/>
      <w:r w:rsidRPr="001D23DB">
        <w:rPr>
          <w:sz w:val="22"/>
          <w:szCs w:val="22"/>
          <w:lang w:val="de-DE"/>
        </w:rPr>
        <w:t xml:space="preserve"> </w:t>
      </w:r>
      <w:proofErr w:type="spellStart"/>
      <w:r w:rsidRPr="001D23DB">
        <w:rPr>
          <w:sz w:val="22"/>
          <w:szCs w:val="22"/>
          <w:lang w:val="de-DE"/>
        </w:rPr>
        <w:t>ispitivanja</w:t>
      </w:r>
      <w:proofErr w:type="spellEnd"/>
      <w:r w:rsidRPr="001D23DB">
        <w:rPr>
          <w:sz w:val="22"/>
          <w:szCs w:val="22"/>
          <w:lang w:val="de-DE"/>
        </w:rPr>
        <w:t xml:space="preserve"> </w:t>
      </w:r>
      <w:proofErr w:type="spellStart"/>
      <w:r w:rsidRPr="001D23DB">
        <w:rPr>
          <w:sz w:val="22"/>
          <w:szCs w:val="22"/>
          <w:lang w:val="de-DE"/>
        </w:rPr>
        <w:t>bile</w:t>
      </w:r>
      <w:proofErr w:type="spellEnd"/>
      <w:r w:rsidRPr="001D23DB">
        <w:rPr>
          <w:sz w:val="22"/>
          <w:szCs w:val="22"/>
          <w:lang w:val="de-DE"/>
        </w:rPr>
        <w:t xml:space="preserve"> </w:t>
      </w:r>
      <w:proofErr w:type="spellStart"/>
      <w:r w:rsidRPr="001D23DB">
        <w:rPr>
          <w:sz w:val="22"/>
          <w:szCs w:val="22"/>
          <w:lang w:val="de-DE"/>
        </w:rPr>
        <w:t>su</w:t>
      </w:r>
      <w:proofErr w:type="spellEnd"/>
      <w:r w:rsidRPr="001D23DB">
        <w:rPr>
          <w:sz w:val="22"/>
          <w:szCs w:val="22"/>
          <w:lang w:val="de-DE"/>
        </w:rPr>
        <w:t xml:space="preserve"> </w:t>
      </w:r>
      <w:proofErr w:type="spellStart"/>
      <w:r w:rsidRPr="001D23DB">
        <w:rPr>
          <w:sz w:val="22"/>
          <w:szCs w:val="22"/>
          <w:lang w:val="de-DE"/>
        </w:rPr>
        <w:t>uporedive</w:t>
      </w:r>
      <w:proofErr w:type="spellEnd"/>
      <w:r w:rsidRPr="001D23DB">
        <w:rPr>
          <w:sz w:val="22"/>
          <w:szCs w:val="22"/>
          <w:lang w:val="de-DE"/>
        </w:rPr>
        <w:t xml:space="preserve"> </w:t>
      </w:r>
      <w:proofErr w:type="spellStart"/>
      <w:r w:rsidRPr="001D23DB">
        <w:rPr>
          <w:sz w:val="22"/>
          <w:szCs w:val="22"/>
          <w:lang w:val="de-DE"/>
        </w:rPr>
        <w:t>za</w:t>
      </w:r>
      <w:proofErr w:type="spellEnd"/>
      <w:r w:rsidRPr="001D23DB">
        <w:rPr>
          <w:sz w:val="22"/>
          <w:szCs w:val="22"/>
          <w:lang w:val="de-DE"/>
        </w:rPr>
        <w:t xml:space="preserve">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prim</w:t>
      </w:r>
      <w:r w:rsidR="00520AE3" w:rsidRPr="001D23DB">
        <w:rPr>
          <w:sz w:val="22"/>
          <w:szCs w:val="22"/>
          <w:lang w:val="de-DE"/>
        </w:rPr>
        <w:t>i</w:t>
      </w:r>
      <w:r w:rsidRPr="001D23DB">
        <w:rPr>
          <w:sz w:val="22"/>
          <w:szCs w:val="22"/>
          <w:lang w:val="de-DE"/>
        </w:rPr>
        <w:t>jenjen</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(0,41→0,39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 xml:space="preserve">),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prim</w:t>
      </w:r>
      <w:r w:rsidR="00520AE3" w:rsidRPr="001D23DB">
        <w:rPr>
          <w:sz w:val="22"/>
          <w:szCs w:val="22"/>
          <w:lang w:val="de-DE"/>
        </w:rPr>
        <w:t>i</w:t>
      </w:r>
      <w:r w:rsidRPr="001D23DB">
        <w:rPr>
          <w:sz w:val="22"/>
          <w:szCs w:val="22"/>
          <w:lang w:val="de-DE"/>
        </w:rPr>
        <w:t>jenjen</w:t>
      </w:r>
      <w:proofErr w:type="spellEnd"/>
      <w:r w:rsidRPr="001D23DB">
        <w:rPr>
          <w:sz w:val="22"/>
          <w:szCs w:val="22"/>
          <w:lang w:val="de-DE"/>
        </w:rPr>
        <w:t xml:space="preserve"> </w:t>
      </w:r>
      <w:proofErr w:type="spellStart"/>
      <w:r w:rsidRPr="001D23DB">
        <w:rPr>
          <w:sz w:val="22"/>
          <w:szCs w:val="22"/>
          <w:lang w:val="de-DE"/>
        </w:rPr>
        <w:t>nakon</w:t>
      </w:r>
      <w:proofErr w:type="spellEnd"/>
      <w:r w:rsidRPr="001D23DB">
        <w:rPr>
          <w:sz w:val="22"/>
          <w:szCs w:val="22"/>
          <w:lang w:val="de-DE"/>
        </w:rPr>
        <w:t xml:space="preserve"> </w:t>
      </w:r>
      <w:proofErr w:type="spellStart"/>
      <w:r w:rsidRPr="001D23DB">
        <w:rPr>
          <w:sz w:val="22"/>
          <w:szCs w:val="22"/>
          <w:lang w:val="de-DE"/>
        </w:rPr>
        <w:t>obroka</w:t>
      </w:r>
      <w:proofErr w:type="spellEnd"/>
      <w:r w:rsidRPr="001D23DB">
        <w:rPr>
          <w:sz w:val="22"/>
          <w:szCs w:val="22"/>
          <w:lang w:val="de-DE"/>
        </w:rPr>
        <w:t xml:space="preserve"> (0,43→0,42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 xml:space="preserve">) i </w:t>
      </w:r>
      <w:proofErr w:type="spellStart"/>
      <w:r w:rsidR="00520AE3" w:rsidRPr="001D23DB">
        <w:rPr>
          <w:sz w:val="22"/>
          <w:szCs w:val="22"/>
          <w:lang w:val="de-DE"/>
        </w:rPr>
        <w:t>lijek</w:t>
      </w:r>
      <w:proofErr w:type="spellEnd"/>
      <w:r w:rsidR="00520AE3" w:rsidRPr="001D23DB">
        <w:rPr>
          <w:sz w:val="22"/>
          <w:szCs w:val="22"/>
          <w:lang w:val="de-DE"/>
        </w:rPr>
        <w:t xml:space="preserve"> </w:t>
      </w:r>
      <w:proofErr w:type="spellStart"/>
      <w:r w:rsidRPr="001D23DB">
        <w:rPr>
          <w:sz w:val="22"/>
          <w:szCs w:val="22"/>
          <w:lang w:val="de-DE"/>
        </w:rPr>
        <w:t>NovoRapid</w:t>
      </w:r>
      <w:proofErr w:type="spellEnd"/>
      <w:r w:rsidRPr="001D23DB">
        <w:rPr>
          <w:sz w:val="22"/>
          <w:szCs w:val="22"/>
          <w:lang w:val="de-DE"/>
        </w:rPr>
        <w:t xml:space="preserve"> </w:t>
      </w:r>
      <w:proofErr w:type="spellStart"/>
      <w:r w:rsidRPr="001D23DB">
        <w:rPr>
          <w:sz w:val="22"/>
          <w:szCs w:val="22"/>
          <w:lang w:val="de-DE"/>
        </w:rPr>
        <w:t>prim</w:t>
      </w:r>
      <w:r w:rsidR="00520AE3" w:rsidRPr="001D23DB">
        <w:rPr>
          <w:sz w:val="22"/>
          <w:szCs w:val="22"/>
          <w:lang w:val="de-DE"/>
        </w:rPr>
        <w:t>i</w:t>
      </w:r>
      <w:r w:rsidRPr="001D23DB">
        <w:rPr>
          <w:sz w:val="22"/>
          <w:szCs w:val="22"/>
          <w:lang w:val="de-DE"/>
        </w:rPr>
        <w:t>jenjen</w:t>
      </w:r>
      <w:proofErr w:type="spellEnd"/>
      <w:r w:rsidRPr="001D23DB">
        <w:rPr>
          <w:sz w:val="22"/>
          <w:szCs w:val="22"/>
          <w:lang w:val="de-DE"/>
        </w:rPr>
        <w:t xml:space="preserve"> </w:t>
      </w:r>
      <w:proofErr w:type="spellStart"/>
      <w:r w:rsidRPr="001D23DB">
        <w:rPr>
          <w:sz w:val="22"/>
          <w:szCs w:val="22"/>
          <w:lang w:val="de-DE"/>
        </w:rPr>
        <w:t>uz</w:t>
      </w:r>
      <w:proofErr w:type="spellEnd"/>
      <w:r w:rsidRPr="001D23DB">
        <w:rPr>
          <w:sz w:val="22"/>
          <w:szCs w:val="22"/>
          <w:lang w:val="de-DE"/>
        </w:rPr>
        <w:t xml:space="preserve"> </w:t>
      </w:r>
      <w:proofErr w:type="spellStart"/>
      <w:r w:rsidRPr="001D23DB">
        <w:rPr>
          <w:sz w:val="22"/>
          <w:szCs w:val="22"/>
          <w:lang w:val="de-DE"/>
        </w:rPr>
        <w:t>obrok</w:t>
      </w:r>
      <w:proofErr w:type="spellEnd"/>
      <w:r w:rsidRPr="001D23DB">
        <w:rPr>
          <w:sz w:val="22"/>
          <w:szCs w:val="22"/>
          <w:lang w:val="de-DE"/>
        </w:rPr>
        <w:t xml:space="preserve"> (0,43→0,43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w:t>
      </w:r>
    </w:p>
    <w:p w14:paraId="505D67B0" w14:textId="77777777" w:rsidR="00EE2F19" w:rsidRPr="001D23DB" w:rsidRDefault="00EE2F19" w:rsidP="00EE2F19">
      <w:pPr>
        <w:tabs>
          <w:tab w:val="left" w:pos="284"/>
        </w:tabs>
        <w:jc w:val="both"/>
        <w:rPr>
          <w:sz w:val="22"/>
          <w:szCs w:val="22"/>
          <w:lang w:val="de-DE"/>
        </w:rPr>
      </w:pPr>
    </w:p>
    <w:p w14:paraId="2A5FA275" w14:textId="77777777" w:rsidR="00EE2F19" w:rsidRPr="00732ABF" w:rsidRDefault="00EE2F19" w:rsidP="00EE2F19">
      <w:pPr>
        <w:tabs>
          <w:tab w:val="left" w:pos="284"/>
        </w:tabs>
        <w:jc w:val="both"/>
        <w:rPr>
          <w:i/>
          <w:sz w:val="22"/>
          <w:szCs w:val="22"/>
          <w:lang w:val="pt-BR"/>
        </w:rPr>
      </w:pPr>
      <w:proofErr w:type="spellStart"/>
      <w:r w:rsidRPr="00732ABF">
        <w:rPr>
          <w:i/>
          <w:sz w:val="22"/>
          <w:szCs w:val="22"/>
          <w:lang w:val="pt-BR"/>
        </w:rPr>
        <w:t>Pacijenti</w:t>
      </w:r>
      <w:proofErr w:type="spellEnd"/>
      <w:r w:rsidRPr="00732ABF">
        <w:rPr>
          <w:i/>
          <w:sz w:val="22"/>
          <w:szCs w:val="22"/>
          <w:lang w:val="pt-BR"/>
        </w:rPr>
        <w:t xml:space="preserve"> </w:t>
      </w:r>
      <w:proofErr w:type="spellStart"/>
      <w:r w:rsidRPr="00732ABF">
        <w:rPr>
          <w:i/>
          <w:sz w:val="22"/>
          <w:szCs w:val="22"/>
          <w:lang w:val="pt-BR"/>
        </w:rPr>
        <w:t>sa</w:t>
      </w:r>
      <w:proofErr w:type="spellEnd"/>
      <w:r w:rsidRPr="00732ABF">
        <w:rPr>
          <w:i/>
          <w:sz w:val="22"/>
          <w:szCs w:val="22"/>
          <w:lang w:val="pt-BR"/>
        </w:rPr>
        <w:t xml:space="preserve"> </w:t>
      </w:r>
      <w:proofErr w:type="spellStart"/>
      <w:r w:rsidRPr="00732ABF">
        <w:rPr>
          <w:i/>
          <w:sz w:val="22"/>
          <w:szCs w:val="22"/>
          <w:lang w:val="pt-BR"/>
        </w:rPr>
        <w:t>dijabetes</w:t>
      </w:r>
      <w:proofErr w:type="spellEnd"/>
      <w:r w:rsidRPr="00732ABF">
        <w:rPr>
          <w:i/>
          <w:sz w:val="22"/>
          <w:szCs w:val="22"/>
          <w:lang w:val="pt-BR"/>
        </w:rPr>
        <w:t xml:space="preserve"> </w:t>
      </w:r>
      <w:proofErr w:type="spellStart"/>
      <w:r w:rsidRPr="00732ABF">
        <w:rPr>
          <w:i/>
          <w:sz w:val="22"/>
          <w:szCs w:val="22"/>
          <w:lang w:val="pt-BR"/>
        </w:rPr>
        <w:t>melitusom</w:t>
      </w:r>
      <w:proofErr w:type="spellEnd"/>
      <w:r w:rsidRPr="00732ABF">
        <w:rPr>
          <w:i/>
          <w:sz w:val="22"/>
          <w:szCs w:val="22"/>
          <w:lang w:val="pt-BR"/>
        </w:rPr>
        <w:t xml:space="preserve"> tip</w:t>
      </w:r>
      <w:r w:rsidR="00520AE3">
        <w:rPr>
          <w:i/>
          <w:sz w:val="22"/>
          <w:szCs w:val="22"/>
          <w:lang w:val="pt-BR"/>
        </w:rPr>
        <w:t>a</w:t>
      </w:r>
      <w:r w:rsidRPr="00732ABF">
        <w:rPr>
          <w:i/>
          <w:sz w:val="22"/>
          <w:szCs w:val="22"/>
          <w:lang w:val="pt-BR"/>
        </w:rPr>
        <w:t xml:space="preserve"> 2</w:t>
      </w:r>
    </w:p>
    <w:p w14:paraId="31E81BFA" w14:textId="77777777" w:rsidR="00EE2F19" w:rsidRPr="00732ABF" w:rsidRDefault="00EE2F19" w:rsidP="00EE2F19">
      <w:pPr>
        <w:tabs>
          <w:tab w:val="left" w:pos="284"/>
        </w:tabs>
        <w:jc w:val="both"/>
        <w:rPr>
          <w:sz w:val="22"/>
          <w:szCs w:val="22"/>
          <w:lang w:val="pt-BR"/>
        </w:rPr>
      </w:pPr>
      <w:proofErr w:type="spellStart"/>
      <w:r w:rsidRPr="00732ABF">
        <w:rPr>
          <w:sz w:val="22"/>
          <w:szCs w:val="22"/>
          <w:lang w:val="pt-BR"/>
        </w:rPr>
        <w:t>Snižavanje</w:t>
      </w:r>
      <w:proofErr w:type="spellEnd"/>
      <w:r w:rsidRPr="00732ABF">
        <w:rPr>
          <w:sz w:val="22"/>
          <w:szCs w:val="22"/>
          <w:lang w:val="pt-BR"/>
        </w:rPr>
        <w:t xml:space="preserve"> HbA</w:t>
      </w:r>
      <w:r w:rsidRPr="00732ABF">
        <w:rPr>
          <w:sz w:val="22"/>
          <w:szCs w:val="22"/>
          <w:vertAlign w:val="subscript"/>
          <w:lang w:val="pt-BR"/>
        </w:rPr>
        <w:t>1c</w:t>
      </w:r>
      <w:r w:rsidRPr="00732ABF">
        <w:rPr>
          <w:sz w:val="22"/>
          <w:szCs w:val="22"/>
          <w:lang w:val="pt-BR"/>
        </w:rPr>
        <w:t xml:space="preserve"> </w:t>
      </w:r>
      <w:proofErr w:type="spellStart"/>
      <w:r w:rsidRPr="00732ABF">
        <w:rPr>
          <w:sz w:val="22"/>
          <w:szCs w:val="22"/>
          <w:lang w:val="pt-BR"/>
        </w:rPr>
        <w:t>od</w:t>
      </w:r>
      <w:proofErr w:type="spellEnd"/>
      <w:r w:rsidRPr="00732ABF">
        <w:rPr>
          <w:sz w:val="22"/>
          <w:szCs w:val="22"/>
          <w:lang w:val="pt-BR"/>
        </w:rPr>
        <w:t xml:space="preserve"> </w:t>
      </w:r>
      <w:proofErr w:type="spellStart"/>
      <w:r w:rsidRPr="00732ABF">
        <w:rPr>
          <w:sz w:val="22"/>
          <w:szCs w:val="22"/>
          <w:lang w:val="pt-BR"/>
        </w:rPr>
        <w:t>početnih</w:t>
      </w:r>
      <w:proofErr w:type="spellEnd"/>
      <w:r w:rsidRPr="00732ABF">
        <w:rPr>
          <w:sz w:val="22"/>
          <w:szCs w:val="22"/>
          <w:lang w:val="pt-BR"/>
        </w:rPr>
        <w:t xml:space="preserve"> </w:t>
      </w:r>
      <w:proofErr w:type="spellStart"/>
      <w:r w:rsidRPr="00732ABF">
        <w:rPr>
          <w:sz w:val="22"/>
          <w:szCs w:val="22"/>
          <w:lang w:val="pt-BR"/>
        </w:rPr>
        <w:t>vrijednosti</w:t>
      </w:r>
      <w:proofErr w:type="spellEnd"/>
      <w:r w:rsidRPr="00732ABF">
        <w:rPr>
          <w:sz w:val="22"/>
          <w:szCs w:val="22"/>
          <w:lang w:val="pt-BR"/>
        </w:rPr>
        <w:t xml:space="preserve"> do </w:t>
      </w:r>
      <w:proofErr w:type="spellStart"/>
      <w:r w:rsidRPr="00732ABF">
        <w:rPr>
          <w:sz w:val="22"/>
          <w:szCs w:val="22"/>
          <w:lang w:val="pt-BR"/>
        </w:rPr>
        <w:t>kraja</w:t>
      </w:r>
      <w:proofErr w:type="spellEnd"/>
      <w:r w:rsidRPr="00732ABF">
        <w:rPr>
          <w:sz w:val="22"/>
          <w:szCs w:val="22"/>
          <w:lang w:val="pt-BR"/>
        </w:rPr>
        <w:t xml:space="preserve"> </w:t>
      </w:r>
      <w:proofErr w:type="spellStart"/>
      <w:r w:rsidRPr="00732ABF">
        <w:rPr>
          <w:sz w:val="22"/>
          <w:szCs w:val="22"/>
          <w:lang w:val="pt-BR"/>
        </w:rPr>
        <w:t>ispitivanja</w:t>
      </w:r>
      <w:proofErr w:type="spellEnd"/>
      <w:r w:rsidRPr="00732ABF">
        <w:rPr>
          <w:sz w:val="22"/>
          <w:szCs w:val="22"/>
          <w:lang w:val="pt-BR"/>
        </w:rPr>
        <w:t xml:space="preserve"> </w:t>
      </w:r>
      <w:proofErr w:type="spellStart"/>
      <w:r w:rsidRPr="00732ABF">
        <w:rPr>
          <w:sz w:val="22"/>
          <w:szCs w:val="22"/>
          <w:lang w:val="pt-BR"/>
        </w:rPr>
        <w:t>je</w:t>
      </w:r>
      <w:proofErr w:type="spellEnd"/>
      <w:r w:rsidRPr="00732ABF">
        <w:rPr>
          <w:sz w:val="22"/>
          <w:szCs w:val="22"/>
          <w:lang w:val="pt-BR"/>
        </w:rPr>
        <w:t xml:space="preserve"> </w:t>
      </w:r>
      <w:proofErr w:type="spellStart"/>
      <w:r w:rsidRPr="00732ABF">
        <w:rPr>
          <w:sz w:val="22"/>
          <w:szCs w:val="22"/>
          <w:lang w:val="pt-BR"/>
        </w:rPr>
        <w:t>bilo</w:t>
      </w:r>
      <w:proofErr w:type="spellEnd"/>
      <w:r w:rsidRPr="00732ABF">
        <w:rPr>
          <w:sz w:val="22"/>
          <w:szCs w:val="22"/>
          <w:lang w:val="pt-BR"/>
        </w:rPr>
        <w:t xml:space="preserve"> </w:t>
      </w:r>
      <w:proofErr w:type="spellStart"/>
      <w:r w:rsidRPr="00732ABF">
        <w:rPr>
          <w:sz w:val="22"/>
          <w:szCs w:val="22"/>
          <w:lang w:val="pt-BR"/>
        </w:rPr>
        <w:t>neinferiorno</w:t>
      </w:r>
      <w:proofErr w:type="spellEnd"/>
      <w:r w:rsidRPr="00732ABF">
        <w:rPr>
          <w:sz w:val="22"/>
          <w:szCs w:val="22"/>
          <w:lang w:val="pt-BR"/>
        </w:rPr>
        <w:t xml:space="preserve"> u </w:t>
      </w:r>
      <w:proofErr w:type="spellStart"/>
      <w:r w:rsidRPr="00732ABF">
        <w:rPr>
          <w:sz w:val="22"/>
          <w:szCs w:val="22"/>
          <w:lang w:val="pt-BR"/>
        </w:rPr>
        <w:t>poređenju</w:t>
      </w:r>
      <w:proofErr w:type="spellEnd"/>
      <w:r w:rsidRPr="00732ABF">
        <w:rPr>
          <w:sz w:val="22"/>
          <w:szCs w:val="22"/>
          <w:lang w:val="pt-BR"/>
        </w:rPr>
        <w:t xml:space="preserve"> </w:t>
      </w:r>
      <w:proofErr w:type="spellStart"/>
      <w:r w:rsidRPr="00732ABF">
        <w:rPr>
          <w:sz w:val="22"/>
          <w:szCs w:val="22"/>
          <w:lang w:val="pt-BR"/>
        </w:rPr>
        <w:t>sa</w:t>
      </w:r>
      <w:proofErr w:type="spellEnd"/>
      <w:r w:rsidRPr="00732ABF">
        <w:rPr>
          <w:sz w:val="22"/>
          <w:szCs w:val="22"/>
          <w:lang w:val="pt-BR"/>
        </w:rPr>
        <w:t xml:space="preserve"> </w:t>
      </w:r>
      <w:proofErr w:type="spellStart"/>
      <w:r w:rsidRPr="00732ABF">
        <w:rPr>
          <w:sz w:val="22"/>
          <w:szCs w:val="22"/>
          <w:lang w:val="pt-BR"/>
        </w:rPr>
        <w:t>onim</w:t>
      </w:r>
      <w:proofErr w:type="spellEnd"/>
      <w:r w:rsidRPr="00732ABF">
        <w:rPr>
          <w:sz w:val="22"/>
          <w:szCs w:val="22"/>
          <w:lang w:val="pt-BR"/>
        </w:rPr>
        <w:t xml:space="preserve"> </w:t>
      </w:r>
      <w:proofErr w:type="spellStart"/>
      <w:r w:rsidRPr="00732ABF">
        <w:rPr>
          <w:sz w:val="22"/>
          <w:szCs w:val="22"/>
          <w:lang w:val="pt-BR"/>
        </w:rPr>
        <w:t>postignutim</w:t>
      </w:r>
      <w:proofErr w:type="spellEnd"/>
      <w:r w:rsidRPr="00732ABF">
        <w:rPr>
          <w:sz w:val="22"/>
          <w:szCs w:val="22"/>
          <w:lang w:val="pt-BR"/>
        </w:rPr>
        <w:t xml:space="preserve"> </w:t>
      </w:r>
      <w:proofErr w:type="spellStart"/>
      <w:r w:rsidRPr="00732ABF">
        <w:rPr>
          <w:sz w:val="22"/>
          <w:szCs w:val="22"/>
          <w:lang w:val="pt-BR"/>
        </w:rPr>
        <w:t>sa</w:t>
      </w:r>
      <w:proofErr w:type="spellEnd"/>
      <w:r w:rsidRPr="00732ABF">
        <w:rPr>
          <w:sz w:val="22"/>
          <w:szCs w:val="22"/>
          <w:lang w:val="pt-BR"/>
        </w:rPr>
        <w:t xml:space="preserve"> </w:t>
      </w:r>
      <w:proofErr w:type="spellStart"/>
      <w:r w:rsidRPr="00732ABF">
        <w:rPr>
          <w:sz w:val="22"/>
          <w:szCs w:val="22"/>
          <w:lang w:val="pt-BR"/>
        </w:rPr>
        <w:t>lijekom</w:t>
      </w:r>
      <w:proofErr w:type="spellEnd"/>
      <w:r w:rsidRPr="00732ABF">
        <w:rPr>
          <w:sz w:val="22"/>
          <w:szCs w:val="22"/>
          <w:lang w:val="pt-BR"/>
        </w:rPr>
        <w:t xml:space="preserve"> </w:t>
      </w:r>
      <w:proofErr w:type="spellStart"/>
      <w:r w:rsidRPr="00732ABF">
        <w:rPr>
          <w:sz w:val="22"/>
          <w:szCs w:val="22"/>
          <w:lang w:val="pt-BR"/>
        </w:rPr>
        <w:t>NovoRapid</w:t>
      </w:r>
      <w:proofErr w:type="spellEnd"/>
      <w:r w:rsidRPr="00732ABF">
        <w:rPr>
          <w:sz w:val="22"/>
          <w:szCs w:val="22"/>
          <w:lang w:val="pt-BR"/>
        </w:rPr>
        <w:t xml:space="preserve"> (Tabela 4).</w:t>
      </w:r>
    </w:p>
    <w:p w14:paraId="30860583" w14:textId="77777777" w:rsidR="00CC6368" w:rsidRPr="00732ABF" w:rsidRDefault="00CC6368" w:rsidP="00CC6368">
      <w:pPr>
        <w:tabs>
          <w:tab w:val="left" w:pos="284"/>
        </w:tabs>
        <w:jc w:val="both"/>
        <w:rPr>
          <w:sz w:val="22"/>
          <w:szCs w:val="22"/>
          <w:lang w:val="pt-BR"/>
        </w:rPr>
      </w:pPr>
    </w:p>
    <w:tbl>
      <w:tblPr>
        <w:tblW w:w="0" w:type="auto"/>
        <w:tblLayout w:type="fixed"/>
        <w:tblLook w:val="04A0" w:firstRow="1" w:lastRow="0" w:firstColumn="1" w:lastColumn="0" w:noHBand="0" w:noVBand="1"/>
      </w:tblPr>
      <w:tblGrid>
        <w:gridCol w:w="3369"/>
        <w:gridCol w:w="2976"/>
        <w:gridCol w:w="2673"/>
      </w:tblGrid>
      <w:tr w:rsidR="00CC6368" w:rsidRPr="00016D77" w14:paraId="0A9BD1BA" w14:textId="77777777" w:rsidTr="00152247">
        <w:trPr>
          <w:trHeight w:val="273"/>
        </w:trPr>
        <w:tc>
          <w:tcPr>
            <w:tcW w:w="9018" w:type="dxa"/>
            <w:gridSpan w:val="3"/>
            <w:tcBorders>
              <w:top w:val="nil"/>
              <w:left w:val="nil"/>
              <w:bottom w:val="single" w:sz="4" w:space="0" w:color="auto"/>
              <w:right w:val="nil"/>
            </w:tcBorders>
            <w:hideMark/>
          </w:tcPr>
          <w:p w14:paraId="208E3534" w14:textId="77777777" w:rsidR="00CC6368" w:rsidRPr="001D23DB" w:rsidRDefault="00CC6368" w:rsidP="00152247">
            <w:pPr>
              <w:autoSpaceDE w:val="0"/>
              <w:autoSpaceDN w:val="0"/>
              <w:adjustRightInd w:val="0"/>
              <w:rPr>
                <w:sz w:val="22"/>
                <w:szCs w:val="22"/>
                <w:lang w:val="pt-BR"/>
              </w:rPr>
            </w:pPr>
            <w:r w:rsidRPr="001D23DB">
              <w:rPr>
                <w:b/>
                <w:bCs/>
                <w:sz w:val="22"/>
                <w:szCs w:val="22"/>
                <w:lang w:val="pt-BR"/>
              </w:rPr>
              <w:t xml:space="preserve">Tabela 4 </w:t>
            </w:r>
            <w:proofErr w:type="spellStart"/>
            <w:r w:rsidRPr="001D23DB">
              <w:rPr>
                <w:b/>
                <w:bCs/>
                <w:sz w:val="22"/>
                <w:szCs w:val="22"/>
                <w:lang w:val="pt-BR"/>
              </w:rPr>
              <w:t>Rezultati</w:t>
            </w:r>
            <w:proofErr w:type="spellEnd"/>
            <w:r w:rsidRPr="001D23DB">
              <w:rPr>
                <w:b/>
                <w:bCs/>
                <w:sz w:val="22"/>
                <w:szCs w:val="22"/>
                <w:lang w:val="pt-BR"/>
              </w:rPr>
              <w:t xml:space="preserve"> 26-nedjeljnog </w:t>
            </w:r>
            <w:proofErr w:type="spellStart"/>
            <w:r w:rsidRPr="001D23DB">
              <w:rPr>
                <w:b/>
                <w:bCs/>
                <w:sz w:val="22"/>
                <w:szCs w:val="22"/>
                <w:lang w:val="pt-BR"/>
              </w:rPr>
              <w:t>ispitivanja</w:t>
            </w:r>
            <w:proofErr w:type="spellEnd"/>
            <w:r w:rsidRPr="001D23DB">
              <w:rPr>
                <w:b/>
                <w:bCs/>
                <w:sz w:val="22"/>
                <w:szCs w:val="22"/>
                <w:lang w:val="pt-BR"/>
              </w:rPr>
              <w:t xml:space="preserve"> </w:t>
            </w:r>
            <w:proofErr w:type="spellStart"/>
            <w:r w:rsidRPr="001D23DB">
              <w:rPr>
                <w:b/>
                <w:bCs/>
                <w:sz w:val="22"/>
                <w:szCs w:val="22"/>
                <w:lang w:val="pt-BR"/>
              </w:rPr>
              <w:t>bazal-bolus</w:t>
            </w:r>
            <w:proofErr w:type="spellEnd"/>
            <w:r w:rsidRPr="001D23DB">
              <w:rPr>
                <w:b/>
                <w:bCs/>
                <w:sz w:val="22"/>
                <w:szCs w:val="22"/>
                <w:lang w:val="pt-BR"/>
              </w:rPr>
              <w:t xml:space="preserve"> </w:t>
            </w:r>
            <w:proofErr w:type="spellStart"/>
            <w:r w:rsidRPr="001D23DB">
              <w:rPr>
                <w:b/>
                <w:bCs/>
                <w:sz w:val="22"/>
                <w:szCs w:val="22"/>
                <w:lang w:val="pt-BR"/>
              </w:rPr>
              <w:t>terapije</w:t>
            </w:r>
            <w:proofErr w:type="spellEnd"/>
            <w:r w:rsidRPr="001D23DB">
              <w:rPr>
                <w:b/>
                <w:bCs/>
                <w:sz w:val="22"/>
                <w:szCs w:val="22"/>
                <w:lang w:val="pt-BR"/>
              </w:rPr>
              <w:t xml:space="preserve"> </w:t>
            </w:r>
            <w:proofErr w:type="spellStart"/>
            <w:r w:rsidRPr="001D23DB">
              <w:rPr>
                <w:b/>
                <w:sz w:val="22"/>
                <w:szCs w:val="22"/>
                <w:lang w:val="pt-BR"/>
              </w:rPr>
              <w:t>sa</w:t>
            </w:r>
            <w:proofErr w:type="spellEnd"/>
            <w:r w:rsidRPr="001D23DB">
              <w:rPr>
                <w:b/>
                <w:sz w:val="22"/>
                <w:szCs w:val="22"/>
                <w:lang w:val="pt-BR"/>
              </w:rPr>
              <w:t xml:space="preserve"> </w:t>
            </w:r>
            <w:proofErr w:type="spellStart"/>
            <w:r w:rsidRPr="001D23DB">
              <w:rPr>
                <w:b/>
                <w:sz w:val="22"/>
                <w:szCs w:val="22"/>
                <w:lang w:val="pt-BR"/>
              </w:rPr>
              <w:t>dijabetesom</w:t>
            </w:r>
            <w:proofErr w:type="spellEnd"/>
            <w:r w:rsidRPr="001D23DB">
              <w:rPr>
                <w:b/>
                <w:sz w:val="22"/>
                <w:szCs w:val="22"/>
                <w:lang w:val="pt-BR"/>
              </w:rPr>
              <w:t xml:space="preserve"> </w:t>
            </w:r>
            <w:r w:rsidRPr="001D23DB">
              <w:rPr>
                <w:b/>
                <w:bCs/>
                <w:sz w:val="22"/>
                <w:szCs w:val="22"/>
                <w:lang w:val="pt-BR"/>
              </w:rPr>
              <w:t>tip</w:t>
            </w:r>
            <w:r w:rsidR="00520AE3" w:rsidRPr="001D23DB">
              <w:rPr>
                <w:b/>
                <w:bCs/>
                <w:sz w:val="22"/>
                <w:szCs w:val="22"/>
                <w:lang w:val="pt-BR"/>
              </w:rPr>
              <w:t>a</w:t>
            </w:r>
            <w:r w:rsidRPr="001D23DB">
              <w:rPr>
                <w:b/>
                <w:bCs/>
                <w:sz w:val="22"/>
                <w:szCs w:val="22"/>
                <w:lang w:val="pt-BR"/>
              </w:rPr>
              <w:t xml:space="preserve"> 2 </w:t>
            </w:r>
          </w:p>
        </w:tc>
      </w:tr>
      <w:tr w:rsidR="00CC6368" w:rsidRPr="008A00FB" w14:paraId="5F371545" w14:textId="77777777" w:rsidTr="00152247">
        <w:trPr>
          <w:trHeight w:val="246"/>
        </w:trPr>
        <w:tc>
          <w:tcPr>
            <w:tcW w:w="3369" w:type="dxa"/>
            <w:tcBorders>
              <w:top w:val="single" w:sz="4" w:space="0" w:color="auto"/>
              <w:left w:val="single" w:sz="4" w:space="0" w:color="auto"/>
              <w:bottom w:val="single" w:sz="4" w:space="0" w:color="auto"/>
              <w:right w:val="nil"/>
            </w:tcBorders>
          </w:tcPr>
          <w:p w14:paraId="16C98B23" w14:textId="77777777" w:rsidR="00CC6368" w:rsidRPr="001D23DB" w:rsidRDefault="00CC6368" w:rsidP="00152247">
            <w:pPr>
              <w:autoSpaceDE w:val="0"/>
              <w:autoSpaceDN w:val="0"/>
              <w:adjustRightInd w:val="0"/>
              <w:rPr>
                <w:b/>
                <w:bCs/>
                <w:color w:val="000000"/>
                <w:sz w:val="20"/>
                <w:szCs w:val="20"/>
                <w:lang w:val="pt-BR"/>
              </w:rPr>
            </w:pPr>
          </w:p>
        </w:tc>
        <w:tc>
          <w:tcPr>
            <w:tcW w:w="2976" w:type="dxa"/>
            <w:tcBorders>
              <w:top w:val="single" w:sz="4" w:space="0" w:color="auto"/>
              <w:left w:val="nil"/>
              <w:bottom w:val="single" w:sz="4" w:space="0" w:color="auto"/>
              <w:right w:val="nil"/>
            </w:tcBorders>
            <w:vAlign w:val="center"/>
            <w:hideMark/>
          </w:tcPr>
          <w:p w14:paraId="4CEB8AE4" w14:textId="2B4AB28C" w:rsidR="00CC6368" w:rsidRPr="008A00FB" w:rsidRDefault="003C7F98" w:rsidP="00152247">
            <w:pPr>
              <w:autoSpaceDE w:val="0"/>
              <w:autoSpaceDN w:val="0"/>
              <w:adjustRightInd w:val="0"/>
              <w:jc w:val="center"/>
              <w:rPr>
                <w:b/>
                <w:bCs/>
                <w:color w:val="000000"/>
                <w:sz w:val="20"/>
                <w:szCs w:val="20"/>
              </w:rPr>
            </w:pPr>
            <w:r>
              <w:rPr>
                <w:b/>
                <w:bCs/>
                <w:color w:val="000000"/>
                <w:sz w:val="20"/>
                <w:szCs w:val="20"/>
              </w:rPr>
              <w:t xml:space="preserve">Lijek </w:t>
            </w:r>
            <w:proofErr w:type="spellStart"/>
            <w:r w:rsidR="00CC6368" w:rsidRPr="008A00FB">
              <w:rPr>
                <w:b/>
                <w:bCs/>
                <w:color w:val="000000"/>
                <w:sz w:val="20"/>
                <w:szCs w:val="20"/>
              </w:rPr>
              <w:t>Fiasp</w:t>
            </w:r>
            <w:proofErr w:type="spellEnd"/>
            <w:r w:rsidR="00CC6368" w:rsidRPr="008A00FB">
              <w:rPr>
                <w:b/>
                <w:bCs/>
                <w:color w:val="000000"/>
                <w:sz w:val="20"/>
                <w:szCs w:val="20"/>
              </w:rPr>
              <w:t xml:space="preserve"> </w:t>
            </w:r>
          </w:p>
          <w:p w14:paraId="033C2A1E" w14:textId="77777777" w:rsidR="00CC6368" w:rsidRPr="008A00FB" w:rsidRDefault="00CC6368" w:rsidP="00152247">
            <w:pPr>
              <w:autoSpaceDE w:val="0"/>
              <w:autoSpaceDN w:val="0"/>
              <w:adjustRightInd w:val="0"/>
              <w:jc w:val="center"/>
              <w:rPr>
                <w:color w:val="000000"/>
                <w:sz w:val="20"/>
                <w:szCs w:val="20"/>
              </w:rPr>
            </w:pPr>
            <w:r w:rsidRPr="008A00FB">
              <w:rPr>
                <w:b/>
                <w:bCs/>
                <w:color w:val="000000"/>
                <w:sz w:val="20"/>
                <w:szCs w:val="20"/>
              </w:rPr>
              <w:t xml:space="preserve">+ insulin </w:t>
            </w:r>
            <w:proofErr w:type="spellStart"/>
            <w:r w:rsidRPr="008A00FB">
              <w:rPr>
                <w:b/>
                <w:bCs/>
                <w:color w:val="000000"/>
                <w:sz w:val="20"/>
                <w:szCs w:val="20"/>
              </w:rPr>
              <w:t>glargin</w:t>
            </w:r>
            <w:proofErr w:type="spellEnd"/>
          </w:p>
        </w:tc>
        <w:tc>
          <w:tcPr>
            <w:tcW w:w="2673" w:type="dxa"/>
            <w:tcBorders>
              <w:top w:val="single" w:sz="4" w:space="0" w:color="auto"/>
              <w:left w:val="nil"/>
              <w:bottom w:val="single" w:sz="4" w:space="0" w:color="auto"/>
              <w:right w:val="single" w:sz="4" w:space="0" w:color="auto"/>
            </w:tcBorders>
            <w:vAlign w:val="center"/>
            <w:hideMark/>
          </w:tcPr>
          <w:p w14:paraId="362879D8" w14:textId="16017CAA" w:rsidR="00CC6368" w:rsidRPr="008A00FB" w:rsidRDefault="003C7F98" w:rsidP="00152247">
            <w:pPr>
              <w:autoSpaceDE w:val="0"/>
              <w:autoSpaceDN w:val="0"/>
              <w:adjustRightInd w:val="0"/>
              <w:jc w:val="center"/>
              <w:rPr>
                <w:b/>
                <w:bCs/>
                <w:sz w:val="20"/>
                <w:szCs w:val="20"/>
              </w:rPr>
            </w:pPr>
            <w:r>
              <w:rPr>
                <w:b/>
                <w:bCs/>
                <w:sz w:val="20"/>
                <w:szCs w:val="20"/>
              </w:rPr>
              <w:t xml:space="preserve">Lijek </w:t>
            </w:r>
            <w:proofErr w:type="spellStart"/>
            <w:r w:rsidR="00CC6368" w:rsidRPr="008A00FB">
              <w:rPr>
                <w:b/>
                <w:bCs/>
                <w:sz w:val="20"/>
                <w:szCs w:val="20"/>
              </w:rPr>
              <w:t>NovoRapid</w:t>
            </w:r>
            <w:proofErr w:type="spellEnd"/>
            <w:r w:rsidR="00CC6368" w:rsidRPr="008A00FB">
              <w:rPr>
                <w:b/>
                <w:bCs/>
                <w:sz w:val="20"/>
                <w:szCs w:val="20"/>
              </w:rPr>
              <w:t xml:space="preserve"> </w:t>
            </w:r>
          </w:p>
          <w:p w14:paraId="49D72F1C" w14:textId="77777777" w:rsidR="00CC6368" w:rsidRPr="008A00FB" w:rsidRDefault="00CC6368" w:rsidP="00152247">
            <w:pPr>
              <w:autoSpaceDE w:val="0"/>
              <w:autoSpaceDN w:val="0"/>
              <w:adjustRightInd w:val="0"/>
              <w:jc w:val="center"/>
              <w:rPr>
                <w:sz w:val="20"/>
                <w:szCs w:val="20"/>
              </w:rPr>
            </w:pPr>
            <w:r w:rsidRPr="008A00FB">
              <w:rPr>
                <w:b/>
                <w:bCs/>
                <w:sz w:val="20"/>
                <w:szCs w:val="20"/>
              </w:rPr>
              <w:t xml:space="preserve">+ insulin </w:t>
            </w:r>
            <w:proofErr w:type="spellStart"/>
            <w:r w:rsidRPr="008A00FB">
              <w:rPr>
                <w:b/>
                <w:bCs/>
                <w:sz w:val="20"/>
                <w:szCs w:val="20"/>
              </w:rPr>
              <w:t>glargin</w:t>
            </w:r>
            <w:proofErr w:type="spellEnd"/>
          </w:p>
        </w:tc>
      </w:tr>
      <w:tr w:rsidR="00CC6368" w:rsidRPr="008A00FB" w14:paraId="56017754" w14:textId="77777777" w:rsidTr="00152247">
        <w:trPr>
          <w:trHeight w:val="132"/>
        </w:trPr>
        <w:tc>
          <w:tcPr>
            <w:tcW w:w="3369" w:type="dxa"/>
            <w:tcBorders>
              <w:top w:val="single" w:sz="4" w:space="0" w:color="auto"/>
              <w:left w:val="single" w:sz="4" w:space="0" w:color="auto"/>
              <w:bottom w:val="single" w:sz="4" w:space="0" w:color="auto"/>
              <w:right w:val="nil"/>
            </w:tcBorders>
            <w:hideMark/>
          </w:tcPr>
          <w:p w14:paraId="5F37D893" w14:textId="77777777" w:rsidR="00CC6368" w:rsidRPr="008A00FB" w:rsidRDefault="00CC6368" w:rsidP="00152247">
            <w:pPr>
              <w:autoSpaceDE w:val="0"/>
              <w:autoSpaceDN w:val="0"/>
              <w:adjustRightInd w:val="0"/>
              <w:rPr>
                <w:color w:val="000000"/>
                <w:sz w:val="20"/>
                <w:szCs w:val="20"/>
              </w:rPr>
            </w:pPr>
            <w:r w:rsidRPr="008A00FB">
              <w:rPr>
                <w:b/>
                <w:bCs/>
                <w:color w:val="000000"/>
                <w:sz w:val="20"/>
                <w:szCs w:val="20"/>
              </w:rPr>
              <w:t xml:space="preserve">N </w:t>
            </w:r>
          </w:p>
        </w:tc>
        <w:tc>
          <w:tcPr>
            <w:tcW w:w="2976" w:type="dxa"/>
            <w:tcBorders>
              <w:top w:val="single" w:sz="4" w:space="0" w:color="auto"/>
              <w:left w:val="nil"/>
              <w:bottom w:val="single" w:sz="4" w:space="0" w:color="auto"/>
              <w:right w:val="nil"/>
            </w:tcBorders>
            <w:vAlign w:val="center"/>
            <w:hideMark/>
          </w:tcPr>
          <w:p w14:paraId="7C7C5771"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345</w:t>
            </w:r>
          </w:p>
        </w:tc>
        <w:tc>
          <w:tcPr>
            <w:tcW w:w="2673" w:type="dxa"/>
            <w:tcBorders>
              <w:top w:val="single" w:sz="4" w:space="0" w:color="auto"/>
              <w:left w:val="nil"/>
              <w:bottom w:val="single" w:sz="4" w:space="0" w:color="auto"/>
              <w:right w:val="single" w:sz="4" w:space="0" w:color="auto"/>
            </w:tcBorders>
            <w:vAlign w:val="center"/>
            <w:hideMark/>
          </w:tcPr>
          <w:p w14:paraId="4933744D"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344</w:t>
            </w:r>
          </w:p>
        </w:tc>
      </w:tr>
      <w:tr w:rsidR="00CC6368" w:rsidRPr="008A00FB" w14:paraId="7282029D" w14:textId="77777777" w:rsidTr="00152247">
        <w:trPr>
          <w:trHeight w:val="505"/>
        </w:trPr>
        <w:tc>
          <w:tcPr>
            <w:tcW w:w="3369" w:type="dxa"/>
            <w:vMerge w:val="restart"/>
            <w:tcBorders>
              <w:top w:val="single" w:sz="4" w:space="0" w:color="auto"/>
              <w:left w:val="single" w:sz="4" w:space="0" w:color="auto"/>
              <w:bottom w:val="single" w:sz="4" w:space="0" w:color="auto"/>
              <w:right w:val="nil"/>
            </w:tcBorders>
            <w:hideMark/>
          </w:tcPr>
          <w:p w14:paraId="114BA4B0" w14:textId="77777777" w:rsidR="00CC6368" w:rsidRPr="008A00FB" w:rsidRDefault="00CC6368" w:rsidP="00152247">
            <w:pPr>
              <w:autoSpaceDE w:val="0"/>
              <w:autoSpaceDN w:val="0"/>
              <w:adjustRightInd w:val="0"/>
              <w:rPr>
                <w:color w:val="000000"/>
                <w:sz w:val="16"/>
                <w:szCs w:val="16"/>
              </w:rPr>
            </w:pPr>
            <w:r w:rsidRPr="008A00FB">
              <w:rPr>
                <w:b/>
                <w:bCs/>
                <w:color w:val="000000"/>
                <w:sz w:val="20"/>
                <w:szCs w:val="20"/>
              </w:rPr>
              <w:t>HbA</w:t>
            </w:r>
            <w:r w:rsidRPr="008A00FB">
              <w:rPr>
                <w:b/>
                <w:bCs/>
                <w:color w:val="000000"/>
                <w:sz w:val="20"/>
                <w:szCs w:val="13"/>
                <w:vertAlign w:val="subscript"/>
              </w:rPr>
              <w:t>1c</w:t>
            </w:r>
            <w:r w:rsidRPr="008A00FB">
              <w:rPr>
                <w:b/>
                <w:bCs/>
                <w:color w:val="000000"/>
                <w:sz w:val="13"/>
                <w:szCs w:val="13"/>
              </w:rPr>
              <w:t xml:space="preserve"> </w:t>
            </w:r>
            <w:r w:rsidRPr="008A00FB">
              <w:rPr>
                <w:b/>
                <w:bCs/>
                <w:color w:val="000000"/>
                <w:sz w:val="20"/>
                <w:szCs w:val="20"/>
              </w:rPr>
              <w:t xml:space="preserve">(%) </w:t>
            </w:r>
          </w:p>
          <w:p w14:paraId="1DF9BF3E"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t>Početna</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w:t>
            </w:r>
            <w:proofErr w:type="spellEnd"/>
            <w:r w:rsidRPr="008A00FB">
              <w:rPr>
                <w:color w:val="000000"/>
                <w:sz w:val="16"/>
                <w:szCs w:val="16"/>
              </w:rPr>
              <w:t xml:space="preserve"> </w:t>
            </w:r>
            <w:r w:rsidRPr="008A00FB">
              <w:rPr>
                <w:rFonts w:ascii="Wingdings 3" w:hAnsi="Wingdings 3" w:cs="Wingdings 3"/>
                <w:color w:val="000000"/>
                <w:sz w:val="16"/>
                <w:szCs w:val="16"/>
              </w:rPr>
              <w:t></w:t>
            </w:r>
            <w:r w:rsidRPr="008A00FB">
              <w:rPr>
                <w:color w:val="000000"/>
                <w:sz w:val="16"/>
                <w:szCs w:val="16"/>
              </w:rPr>
              <w:t xml:space="preserve"> Kraj </w:t>
            </w:r>
            <w:proofErr w:type="spellStart"/>
            <w:r w:rsidRPr="008A00FB">
              <w:rPr>
                <w:color w:val="000000"/>
                <w:sz w:val="16"/>
                <w:szCs w:val="16"/>
              </w:rPr>
              <w:t>ispitivanja</w:t>
            </w:r>
            <w:proofErr w:type="spellEnd"/>
            <w:r w:rsidRPr="008A00FB">
              <w:rPr>
                <w:color w:val="000000"/>
                <w:sz w:val="16"/>
                <w:szCs w:val="16"/>
              </w:rPr>
              <w:t xml:space="preserve"> </w:t>
            </w:r>
          </w:p>
          <w:p w14:paraId="112A760F"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t>Prilagođena</w:t>
            </w:r>
            <w:proofErr w:type="spellEnd"/>
            <w:r w:rsidRPr="008A00FB">
              <w:rPr>
                <w:color w:val="000000"/>
                <w:sz w:val="16"/>
                <w:szCs w:val="16"/>
              </w:rPr>
              <w:t xml:space="preserve"> </w:t>
            </w:r>
            <w:proofErr w:type="spellStart"/>
            <w:r w:rsidRPr="008A00FB">
              <w:rPr>
                <w:color w:val="000000"/>
                <w:sz w:val="16"/>
                <w:szCs w:val="16"/>
              </w:rPr>
              <w:t>prom</w:t>
            </w:r>
            <w:r>
              <w:rPr>
                <w:color w:val="000000"/>
                <w:sz w:val="16"/>
                <w:szCs w:val="16"/>
              </w:rPr>
              <w:t>j</w:t>
            </w:r>
            <w:r w:rsidRPr="008A00FB">
              <w:rPr>
                <w:color w:val="000000"/>
                <w:sz w:val="16"/>
                <w:szCs w:val="16"/>
              </w:rPr>
              <w:t>ena</w:t>
            </w:r>
            <w:proofErr w:type="spellEnd"/>
            <w:r w:rsidRPr="008A00FB">
              <w:rPr>
                <w:color w:val="000000"/>
                <w:sz w:val="16"/>
                <w:szCs w:val="16"/>
              </w:rPr>
              <w:t xml:space="preserve"> </w:t>
            </w:r>
            <w:proofErr w:type="spellStart"/>
            <w:r w:rsidRPr="008A00FB">
              <w:rPr>
                <w:color w:val="000000"/>
                <w:sz w:val="16"/>
                <w:szCs w:val="16"/>
              </w:rPr>
              <w:t>od</w:t>
            </w:r>
            <w:proofErr w:type="spellEnd"/>
            <w:r w:rsidRPr="008A00FB">
              <w:rPr>
                <w:color w:val="000000"/>
                <w:sz w:val="16"/>
                <w:szCs w:val="16"/>
              </w:rPr>
              <w:t xml:space="preserve"> </w:t>
            </w:r>
            <w:proofErr w:type="spellStart"/>
            <w:r w:rsidRPr="008A00FB">
              <w:rPr>
                <w:color w:val="000000"/>
                <w:sz w:val="16"/>
                <w:szCs w:val="16"/>
              </w:rPr>
              <w:t>početne</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ednosti</w:t>
            </w:r>
            <w:proofErr w:type="spellEnd"/>
          </w:p>
          <w:p w14:paraId="24FFCA55" w14:textId="77777777" w:rsidR="00CC6368" w:rsidRPr="008A00FB" w:rsidRDefault="00CC6368" w:rsidP="00152247">
            <w:pPr>
              <w:autoSpaceDE w:val="0"/>
              <w:autoSpaceDN w:val="0"/>
              <w:adjustRightInd w:val="0"/>
              <w:rPr>
                <w:color w:val="000000"/>
                <w:sz w:val="16"/>
                <w:szCs w:val="16"/>
              </w:rPr>
            </w:pPr>
            <w:proofErr w:type="spellStart"/>
            <w:r w:rsidRPr="008A00FB">
              <w:rPr>
                <w:i/>
                <w:iCs/>
                <w:color w:val="000000"/>
                <w:sz w:val="16"/>
                <w:szCs w:val="16"/>
              </w:rPr>
              <w:t>Proc</w:t>
            </w:r>
            <w:r w:rsidR="00520AE3">
              <w:rPr>
                <w:i/>
                <w:iCs/>
                <w:color w:val="000000"/>
                <w:sz w:val="16"/>
                <w:szCs w:val="16"/>
              </w:rPr>
              <w:t>i</w:t>
            </w:r>
            <w:r>
              <w:rPr>
                <w:i/>
                <w:iCs/>
                <w:color w:val="000000"/>
                <w:sz w:val="16"/>
                <w:szCs w:val="16"/>
              </w:rPr>
              <w:t>j</w:t>
            </w:r>
            <w:r w:rsidRPr="008A00FB">
              <w:rPr>
                <w:i/>
                <w:iCs/>
                <w:color w:val="000000"/>
                <w:sz w:val="16"/>
                <w:szCs w:val="16"/>
              </w:rPr>
              <w:t>enjena</w:t>
            </w:r>
            <w:proofErr w:type="spellEnd"/>
            <w:r w:rsidRPr="008A00FB">
              <w:rPr>
                <w:i/>
                <w:iCs/>
                <w:color w:val="000000"/>
                <w:sz w:val="16"/>
                <w:szCs w:val="16"/>
              </w:rPr>
              <w:t xml:space="preserve"> </w:t>
            </w:r>
            <w:proofErr w:type="spellStart"/>
            <w:r w:rsidRPr="008A00FB">
              <w:rPr>
                <w:i/>
                <w:iCs/>
                <w:color w:val="000000"/>
                <w:sz w:val="16"/>
                <w:szCs w:val="16"/>
              </w:rPr>
              <w:t>razlika</w:t>
            </w:r>
            <w:proofErr w:type="spellEnd"/>
            <w:r w:rsidRPr="008A00FB">
              <w:rPr>
                <w:i/>
                <w:iCs/>
                <w:color w:val="000000"/>
                <w:sz w:val="16"/>
                <w:szCs w:val="16"/>
              </w:rPr>
              <w:t xml:space="preserve"> u </w:t>
            </w:r>
            <w:proofErr w:type="spellStart"/>
            <w:r w:rsidRPr="008A00FB">
              <w:rPr>
                <w:i/>
                <w:iCs/>
                <w:color w:val="000000"/>
                <w:sz w:val="16"/>
                <w:szCs w:val="16"/>
              </w:rPr>
              <w:t>l</w:t>
            </w:r>
            <w:r>
              <w:rPr>
                <w:i/>
                <w:iCs/>
                <w:color w:val="000000"/>
                <w:sz w:val="16"/>
                <w:szCs w:val="16"/>
              </w:rPr>
              <w:t>ij</w:t>
            </w:r>
            <w:r w:rsidRPr="008A00FB">
              <w:rPr>
                <w:i/>
                <w:iCs/>
                <w:color w:val="000000"/>
                <w:sz w:val="16"/>
                <w:szCs w:val="16"/>
              </w:rPr>
              <w:t>ečenju</w:t>
            </w:r>
            <w:proofErr w:type="spellEnd"/>
            <w:r w:rsidRPr="008A00FB">
              <w:rPr>
                <w:i/>
                <w:iCs/>
                <w:color w:val="000000"/>
                <w:sz w:val="16"/>
                <w:szCs w:val="16"/>
              </w:rPr>
              <w:t xml:space="preserve"> </w:t>
            </w:r>
            <w:r w:rsidRPr="008A00FB">
              <w:rPr>
                <w:color w:val="000000"/>
                <w:sz w:val="16"/>
                <w:szCs w:val="16"/>
              </w:rPr>
              <w:t xml:space="preserve"> </w:t>
            </w:r>
          </w:p>
        </w:tc>
        <w:tc>
          <w:tcPr>
            <w:tcW w:w="2976" w:type="dxa"/>
            <w:tcBorders>
              <w:top w:val="single" w:sz="4" w:space="0" w:color="auto"/>
              <w:left w:val="nil"/>
              <w:bottom w:val="nil"/>
              <w:right w:val="nil"/>
            </w:tcBorders>
            <w:vAlign w:val="center"/>
          </w:tcPr>
          <w:p w14:paraId="0401F127" w14:textId="77777777" w:rsidR="00CC6368" w:rsidRPr="008A00FB" w:rsidRDefault="00CC6368" w:rsidP="00152247">
            <w:pPr>
              <w:autoSpaceDE w:val="0"/>
              <w:autoSpaceDN w:val="0"/>
              <w:adjustRightInd w:val="0"/>
              <w:jc w:val="center"/>
              <w:rPr>
                <w:color w:val="000000"/>
                <w:sz w:val="20"/>
                <w:szCs w:val="16"/>
              </w:rPr>
            </w:pPr>
          </w:p>
          <w:p w14:paraId="598D2994"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 xml:space="preserve">8,0 </w:t>
            </w:r>
            <w:r w:rsidRPr="008A00FB">
              <w:rPr>
                <w:rFonts w:ascii="Wingdings 3" w:hAnsi="Wingdings 3" w:cs="Wingdings 3"/>
                <w:color w:val="000000"/>
                <w:sz w:val="16"/>
                <w:szCs w:val="16"/>
              </w:rPr>
              <w:t></w:t>
            </w:r>
            <w:r w:rsidRPr="008A00FB">
              <w:rPr>
                <w:color w:val="000000"/>
                <w:sz w:val="16"/>
                <w:szCs w:val="16"/>
              </w:rPr>
              <w:t xml:space="preserve"> 6,6</w:t>
            </w:r>
          </w:p>
          <w:p w14:paraId="1780E663"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-1,38</w:t>
            </w:r>
          </w:p>
        </w:tc>
        <w:tc>
          <w:tcPr>
            <w:tcW w:w="2673" w:type="dxa"/>
            <w:tcBorders>
              <w:top w:val="single" w:sz="4" w:space="0" w:color="auto"/>
              <w:left w:val="nil"/>
              <w:bottom w:val="nil"/>
              <w:right w:val="single" w:sz="4" w:space="0" w:color="auto"/>
            </w:tcBorders>
            <w:vAlign w:val="center"/>
          </w:tcPr>
          <w:p w14:paraId="471332B7" w14:textId="77777777" w:rsidR="00CC6368" w:rsidRPr="008A00FB" w:rsidRDefault="00CC6368" w:rsidP="00152247">
            <w:pPr>
              <w:autoSpaceDE w:val="0"/>
              <w:autoSpaceDN w:val="0"/>
              <w:adjustRightInd w:val="0"/>
              <w:jc w:val="center"/>
              <w:rPr>
                <w:color w:val="000000"/>
                <w:sz w:val="20"/>
                <w:szCs w:val="16"/>
              </w:rPr>
            </w:pPr>
          </w:p>
          <w:p w14:paraId="468D6CA6"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 xml:space="preserve">7,9 </w:t>
            </w:r>
            <w:r w:rsidRPr="008A00FB">
              <w:rPr>
                <w:rFonts w:ascii="Wingdings 3" w:hAnsi="Wingdings 3" w:cs="Wingdings 3"/>
                <w:color w:val="000000"/>
                <w:sz w:val="16"/>
                <w:szCs w:val="16"/>
              </w:rPr>
              <w:t></w:t>
            </w:r>
            <w:r w:rsidRPr="008A00FB">
              <w:rPr>
                <w:color w:val="000000"/>
                <w:sz w:val="16"/>
                <w:szCs w:val="16"/>
              </w:rPr>
              <w:t xml:space="preserve"> 6,6</w:t>
            </w:r>
          </w:p>
          <w:p w14:paraId="3A8DF1CC"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-1,36</w:t>
            </w:r>
          </w:p>
        </w:tc>
      </w:tr>
      <w:tr w:rsidR="00CC6368" w:rsidRPr="008A00FB" w14:paraId="5AF53A60" w14:textId="77777777" w:rsidTr="00FE68F5">
        <w:trPr>
          <w:trHeight w:val="117"/>
        </w:trPr>
        <w:tc>
          <w:tcPr>
            <w:tcW w:w="3369" w:type="dxa"/>
            <w:vMerge/>
            <w:tcBorders>
              <w:top w:val="single" w:sz="4" w:space="0" w:color="auto"/>
              <w:left w:val="single" w:sz="4" w:space="0" w:color="auto"/>
              <w:bottom w:val="single" w:sz="4" w:space="0" w:color="auto"/>
              <w:right w:val="nil"/>
            </w:tcBorders>
            <w:vAlign w:val="center"/>
            <w:hideMark/>
          </w:tcPr>
          <w:p w14:paraId="00AB2345" w14:textId="77777777" w:rsidR="00CC6368" w:rsidRPr="008A00FB" w:rsidRDefault="00CC6368" w:rsidP="00152247">
            <w:pPr>
              <w:rPr>
                <w:color w:val="000000"/>
                <w:sz w:val="16"/>
                <w:szCs w:val="16"/>
              </w:rPr>
            </w:pPr>
          </w:p>
        </w:tc>
        <w:tc>
          <w:tcPr>
            <w:tcW w:w="5649" w:type="dxa"/>
            <w:gridSpan w:val="2"/>
            <w:tcBorders>
              <w:top w:val="nil"/>
              <w:left w:val="nil"/>
              <w:bottom w:val="single" w:sz="4" w:space="0" w:color="auto"/>
              <w:right w:val="single" w:sz="4" w:space="0" w:color="auto"/>
            </w:tcBorders>
            <w:vAlign w:val="center"/>
            <w:hideMark/>
          </w:tcPr>
          <w:p w14:paraId="4074C6A3" w14:textId="77777777" w:rsidR="00CC6368" w:rsidRPr="008A00FB" w:rsidRDefault="00CC6368" w:rsidP="00152247">
            <w:pPr>
              <w:autoSpaceDE w:val="0"/>
              <w:autoSpaceDN w:val="0"/>
              <w:adjustRightInd w:val="0"/>
              <w:jc w:val="center"/>
              <w:rPr>
                <w:color w:val="000000"/>
                <w:sz w:val="16"/>
                <w:szCs w:val="16"/>
              </w:rPr>
            </w:pPr>
            <w:r w:rsidRPr="008A00FB">
              <w:rPr>
                <w:i/>
                <w:iCs/>
                <w:color w:val="000000"/>
                <w:sz w:val="16"/>
                <w:szCs w:val="16"/>
              </w:rPr>
              <w:t>-0,02 [-0,15;0,10]</w:t>
            </w:r>
          </w:p>
        </w:tc>
      </w:tr>
      <w:tr w:rsidR="00CC6368" w:rsidRPr="008A00FB" w14:paraId="2B6A27D7" w14:textId="77777777" w:rsidTr="00152247">
        <w:trPr>
          <w:trHeight w:val="106"/>
        </w:trPr>
        <w:tc>
          <w:tcPr>
            <w:tcW w:w="3369" w:type="dxa"/>
            <w:vMerge w:val="restart"/>
            <w:tcBorders>
              <w:top w:val="single" w:sz="4" w:space="0" w:color="auto"/>
              <w:left w:val="single" w:sz="4" w:space="0" w:color="auto"/>
              <w:bottom w:val="single" w:sz="4" w:space="0" w:color="auto"/>
              <w:right w:val="nil"/>
            </w:tcBorders>
            <w:hideMark/>
          </w:tcPr>
          <w:p w14:paraId="0CCD4E0B" w14:textId="77777777" w:rsidR="00CC6368" w:rsidRPr="008A00FB" w:rsidRDefault="00CC6368" w:rsidP="00152247">
            <w:pPr>
              <w:autoSpaceDE w:val="0"/>
              <w:autoSpaceDN w:val="0"/>
              <w:adjustRightInd w:val="0"/>
              <w:rPr>
                <w:color w:val="000000"/>
                <w:sz w:val="16"/>
                <w:szCs w:val="16"/>
              </w:rPr>
            </w:pPr>
            <w:r w:rsidRPr="008A00FB">
              <w:rPr>
                <w:b/>
                <w:bCs/>
                <w:color w:val="000000"/>
                <w:sz w:val="20"/>
                <w:szCs w:val="20"/>
              </w:rPr>
              <w:t>HbA</w:t>
            </w:r>
            <w:r w:rsidRPr="008A00FB">
              <w:rPr>
                <w:b/>
                <w:bCs/>
                <w:color w:val="000000"/>
                <w:sz w:val="20"/>
                <w:szCs w:val="13"/>
                <w:vertAlign w:val="subscript"/>
              </w:rPr>
              <w:t>1c</w:t>
            </w:r>
            <w:r w:rsidRPr="008A00FB">
              <w:rPr>
                <w:b/>
                <w:bCs/>
                <w:color w:val="000000"/>
                <w:sz w:val="13"/>
                <w:szCs w:val="13"/>
              </w:rPr>
              <w:t xml:space="preserve"> </w:t>
            </w:r>
            <w:r w:rsidRPr="008A00FB">
              <w:rPr>
                <w:b/>
                <w:bCs/>
                <w:color w:val="000000"/>
                <w:sz w:val="20"/>
                <w:szCs w:val="20"/>
              </w:rPr>
              <w:t xml:space="preserve">(mmol/mol) </w:t>
            </w:r>
          </w:p>
          <w:p w14:paraId="3B37B551"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t>Početna</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w:t>
            </w:r>
            <w:proofErr w:type="spellEnd"/>
            <w:r w:rsidRPr="008A00FB">
              <w:rPr>
                <w:color w:val="000000"/>
                <w:sz w:val="16"/>
                <w:szCs w:val="16"/>
              </w:rPr>
              <w:t xml:space="preserve"> </w:t>
            </w:r>
            <w:r w:rsidRPr="008A00FB">
              <w:rPr>
                <w:rFonts w:ascii="Wingdings 3" w:hAnsi="Wingdings 3" w:cs="Wingdings 3"/>
                <w:color w:val="000000"/>
                <w:sz w:val="16"/>
                <w:szCs w:val="16"/>
              </w:rPr>
              <w:t></w:t>
            </w:r>
            <w:r w:rsidRPr="008A00FB">
              <w:rPr>
                <w:color w:val="000000"/>
                <w:sz w:val="16"/>
                <w:szCs w:val="16"/>
              </w:rPr>
              <w:t xml:space="preserve"> Kraj </w:t>
            </w:r>
            <w:proofErr w:type="spellStart"/>
            <w:r w:rsidRPr="008A00FB">
              <w:rPr>
                <w:color w:val="000000"/>
                <w:sz w:val="16"/>
                <w:szCs w:val="16"/>
              </w:rPr>
              <w:t>ispitivanja</w:t>
            </w:r>
            <w:proofErr w:type="spellEnd"/>
            <w:r w:rsidRPr="008A00FB">
              <w:rPr>
                <w:color w:val="000000"/>
                <w:sz w:val="16"/>
                <w:szCs w:val="16"/>
              </w:rPr>
              <w:t xml:space="preserve"> </w:t>
            </w:r>
          </w:p>
          <w:p w14:paraId="6333BC8A"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t>Prilagođena</w:t>
            </w:r>
            <w:proofErr w:type="spellEnd"/>
            <w:r w:rsidRPr="008A00FB">
              <w:rPr>
                <w:color w:val="000000"/>
                <w:sz w:val="16"/>
                <w:szCs w:val="16"/>
              </w:rPr>
              <w:t xml:space="preserve"> </w:t>
            </w:r>
            <w:proofErr w:type="spellStart"/>
            <w:r w:rsidRPr="008A00FB">
              <w:rPr>
                <w:color w:val="000000"/>
                <w:sz w:val="16"/>
                <w:szCs w:val="16"/>
              </w:rPr>
              <w:t>prom</w:t>
            </w:r>
            <w:r>
              <w:rPr>
                <w:color w:val="000000"/>
                <w:sz w:val="16"/>
                <w:szCs w:val="16"/>
              </w:rPr>
              <w:t>j</w:t>
            </w:r>
            <w:r w:rsidRPr="008A00FB">
              <w:rPr>
                <w:color w:val="000000"/>
                <w:sz w:val="16"/>
                <w:szCs w:val="16"/>
              </w:rPr>
              <w:t>ena</w:t>
            </w:r>
            <w:proofErr w:type="spellEnd"/>
            <w:r w:rsidRPr="008A00FB">
              <w:rPr>
                <w:color w:val="000000"/>
                <w:sz w:val="16"/>
                <w:szCs w:val="16"/>
              </w:rPr>
              <w:t xml:space="preserve"> </w:t>
            </w:r>
            <w:proofErr w:type="spellStart"/>
            <w:r w:rsidRPr="008A00FB">
              <w:rPr>
                <w:color w:val="000000"/>
                <w:sz w:val="16"/>
                <w:szCs w:val="16"/>
              </w:rPr>
              <w:t>od</w:t>
            </w:r>
            <w:proofErr w:type="spellEnd"/>
            <w:r w:rsidRPr="008A00FB">
              <w:rPr>
                <w:color w:val="000000"/>
                <w:sz w:val="16"/>
                <w:szCs w:val="16"/>
              </w:rPr>
              <w:t xml:space="preserve"> </w:t>
            </w:r>
            <w:proofErr w:type="spellStart"/>
            <w:r w:rsidRPr="008A00FB">
              <w:rPr>
                <w:color w:val="000000"/>
                <w:sz w:val="16"/>
                <w:szCs w:val="16"/>
              </w:rPr>
              <w:t>početne</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ednosti</w:t>
            </w:r>
            <w:proofErr w:type="spellEnd"/>
            <w:r w:rsidRPr="008A00FB">
              <w:rPr>
                <w:color w:val="000000"/>
                <w:sz w:val="16"/>
                <w:szCs w:val="16"/>
              </w:rPr>
              <w:t xml:space="preserve"> </w:t>
            </w:r>
          </w:p>
          <w:p w14:paraId="52D4EB59" w14:textId="77777777" w:rsidR="00CC6368" w:rsidRPr="008A00FB" w:rsidRDefault="00CC6368" w:rsidP="00152247">
            <w:pPr>
              <w:autoSpaceDE w:val="0"/>
              <w:autoSpaceDN w:val="0"/>
              <w:adjustRightInd w:val="0"/>
              <w:rPr>
                <w:color w:val="000000"/>
                <w:sz w:val="16"/>
                <w:szCs w:val="16"/>
              </w:rPr>
            </w:pPr>
            <w:proofErr w:type="spellStart"/>
            <w:r w:rsidRPr="008A00FB">
              <w:rPr>
                <w:i/>
                <w:iCs/>
                <w:color w:val="000000"/>
                <w:sz w:val="16"/>
                <w:szCs w:val="16"/>
              </w:rPr>
              <w:t>Proc</w:t>
            </w:r>
            <w:r w:rsidR="00163CD0">
              <w:rPr>
                <w:i/>
                <w:iCs/>
                <w:color w:val="000000"/>
                <w:sz w:val="16"/>
                <w:szCs w:val="16"/>
              </w:rPr>
              <w:t>i</w:t>
            </w:r>
            <w:r>
              <w:rPr>
                <w:i/>
                <w:iCs/>
                <w:color w:val="000000"/>
                <w:sz w:val="16"/>
                <w:szCs w:val="16"/>
              </w:rPr>
              <w:t>j</w:t>
            </w:r>
            <w:r w:rsidRPr="008A00FB">
              <w:rPr>
                <w:i/>
                <w:iCs/>
                <w:color w:val="000000"/>
                <w:sz w:val="16"/>
                <w:szCs w:val="16"/>
              </w:rPr>
              <w:t>enjena</w:t>
            </w:r>
            <w:proofErr w:type="spellEnd"/>
            <w:r w:rsidRPr="008A00FB">
              <w:rPr>
                <w:i/>
                <w:iCs/>
                <w:color w:val="000000"/>
                <w:sz w:val="16"/>
                <w:szCs w:val="16"/>
              </w:rPr>
              <w:t xml:space="preserve"> </w:t>
            </w:r>
            <w:proofErr w:type="spellStart"/>
            <w:r w:rsidRPr="008A00FB">
              <w:rPr>
                <w:i/>
                <w:iCs/>
                <w:color w:val="000000"/>
                <w:sz w:val="16"/>
                <w:szCs w:val="16"/>
              </w:rPr>
              <w:t>razlika</w:t>
            </w:r>
            <w:proofErr w:type="spellEnd"/>
            <w:r w:rsidRPr="008A00FB">
              <w:rPr>
                <w:i/>
                <w:iCs/>
                <w:color w:val="000000"/>
                <w:sz w:val="16"/>
                <w:szCs w:val="16"/>
              </w:rPr>
              <w:t xml:space="preserve"> u </w:t>
            </w:r>
            <w:proofErr w:type="spellStart"/>
            <w:r w:rsidRPr="008A00FB">
              <w:rPr>
                <w:i/>
                <w:iCs/>
                <w:color w:val="000000"/>
                <w:sz w:val="16"/>
                <w:szCs w:val="16"/>
              </w:rPr>
              <w:t>l</w:t>
            </w:r>
            <w:r>
              <w:rPr>
                <w:i/>
                <w:iCs/>
                <w:color w:val="000000"/>
                <w:sz w:val="16"/>
                <w:szCs w:val="16"/>
              </w:rPr>
              <w:t>ij</w:t>
            </w:r>
            <w:r w:rsidRPr="008A00FB">
              <w:rPr>
                <w:i/>
                <w:iCs/>
                <w:color w:val="000000"/>
                <w:sz w:val="16"/>
                <w:szCs w:val="16"/>
              </w:rPr>
              <w:t>ečenju</w:t>
            </w:r>
            <w:proofErr w:type="spellEnd"/>
            <w:r w:rsidRPr="008A00FB">
              <w:rPr>
                <w:i/>
                <w:iCs/>
                <w:color w:val="000000"/>
                <w:sz w:val="16"/>
                <w:szCs w:val="16"/>
              </w:rPr>
              <w:t xml:space="preserve"> </w:t>
            </w:r>
          </w:p>
        </w:tc>
        <w:tc>
          <w:tcPr>
            <w:tcW w:w="2976" w:type="dxa"/>
            <w:tcBorders>
              <w:top w:val="single" w:sz="4" w:space="0" w:color="auto"/>
              <w:left w:val="nil"/>
              <w:bottom w:val="nil"/>
              <w:right w:val="nil"/>
            </w:tcBorders>
            <w:vAlign w:val="center"/>
          </w:tcPr>
          <w:p w14:paraId="4D55A0C7" w14:textId="77777777" w:rsidR="00CC6368" w:rsidRPr="008A00FB" w:rsidRDefault="00CC6368" w:rsidP="00152247">
            <w:pPr>
              <w:autoSpaceDE w:val="0"/>
              <w:autoSpaceDN w:val="0"/>
              <w:adjustRightInd w:val="0"/>
              <w:jc w:val="center"/>
              <w:rPr>
                <w:color w:val="000000"/>
                <w:sz w:val="20"/>
                <w:szCs w:val="16"/>
              </w:rPr>
            </w:pPr>
          </w:p>
          <w:p w14:paraId="6905DE43"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 xml:space="preserve">63,5 </w:t>
            </w:r>
            <w:r w:rsidRPr="008A00FB">
              <w:rPr>
                <w:rFonts w:ascii="Wingdings 3" w:hAnsi="Wingdings 3" w:cs="Wingdings 3"/>
                <w:color w:val="000000"/>
                <w:sz w:val="16"/>
                <w:szCs w:val="16"/>
              </w:rPr>
              <w:t></w:t>
            </w:r>
            <w:r w:rsidRPr="008A00FB">
              <w:rPr>
                <w:color w:val="000000"/>
                <w:sz w:val="16"/>
                <w:szCs w:val="16"/>
              </w:rPr>
              <w:t xml:space="preserve"> 49,0</w:t>
            </w:r>
          </w:p>
          <w:p w14:paraId="212CA6BB"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-15,10</w:t>
            </w:r>
          </w:p>
        </w:tc>
        <w:tc>
          <w:tcPr>
            <w:tcW w:w="2673" w:type="dxa"/>
            <w:tcBorders>
              <w:top w:val="single" w:sz="4" w:space="0" w:color="auto"/>
              <w:left w:val="nil"/>
              <w:bottom w:val="nil"/>
              <w:right w:val="single" w:sz="4" w:space="0" w:color="auto"/>
            </w:tcBorders>
            <w:vAlign w:val="center"/>
          </w:tcPr>
          <w:p w14:paraId="4905071C" w14:textId="77777777" w:rsidR="00CC6368" w:rsidRPr="008A00FB" w:rsidRDefault="00CC6368" w:rsidP="00152247">
            <w:pPr>
              <w:autoSpaceDE w:val="0"/>
              <w:autoSpaceDN w:val="0"/>
              <w:adjustRightInd w:val="0"/>
              <w:jc w:val="center"/>
              <w:rPr>
                <w:color w:val="000000"/>
                <w:sz w:val="20"/>
                <w:szCs w:val="16"/>
              </w:rPr>
            </w:pPr>
          </w:p>
          <w:p w14:paraId="60EE9955"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 xml:space="preserve">62,7 </w:t>
            </w:r>
            <w:r w:rsidRPr="008A00FB">
              <w:rPr>
                <w:rFonts w:ascii="Wingdings 3" w:hAnsi="Wingdings 3" w:cs="Wingdings 3"/>
                <w:color w:val="000000"/>
                <w:sz w:val="16"/>
                <w:szCs w:val="16"/>
              </w:rPr>
              <w:t></w:t>
            </w:r>
            <w:r w:rsidRPr="008A00FB">
              <w:rPr>
                <w:color w:val="000000"/>
                <w:sz w:val="16"/>
                <w:szCs w:val="16"/>
              </w:rPr>
              <w:t xml:space="preserve"> 48,6</w:t>
            </w:r>
          </w:p>
          <w:p w14:paraId="3C7D3BC1"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-14,86</w:t>
            </w:r>
          </w:p>
        </w:tc>
      </w:tr>
      <w:tr w:rsidR="00CC6368" w:rsidRPr="008A00FB" w14:paraId="7C9010E1" w14:textId="77777777" w:rsidTr="00FE68F5">
        <w:trPr>
          <w:trHeight w:val="106"/>
        </w:trPr>
        <w:tc>
          <w:tcPr>
            <w:tcW w:w="3369" w:type="dxa"/>
            <w:vMerge/>
            <w:tcBorders>
              <w:top w:val="single" w:sz="4" w:space="0" w:color="auto"/>
              <w:left w:val="single" w:sz="4" w:space="0" w:color="auto"/>
              <w:bottom w:val="single" w:sz="4" w:space="0" w:color="auto"/>
              <w:right w:val="nil"/>
            </w:tcBorders>
            <w:vAlign w:val="center"/>
            <w:hideMark/>
          </w:tcPr>
          <w:p w14:paraId="22873CF2" w14:textId="77777777" w:rsidR="00CC6368" w:rsidRPr="008A00FB" w:rsidRDefault="00CC6368" w:rsidP="00152247">
            <w:pPr>
              <w:rPr>
                <w:color w:val="000000"/>
                <w:sz w:val="16"/>
                <w:szCs w:val="16"/>
              </w:rPr>
            </w:pPr>
          </w:p>
        </w:tc>
        <w:tc>
          <w:tcPr>
            <w:tcW w:w="5649" w:type="dxa"/>
            <w:gridSpan w:val="2"/>
            <w:tcBorders>
              <w:top w:val="nil"/>
              <w:left w:val="nil"/>
              <w:bottom w:val="single" w:sz="4" w:space="0" w:color="auto"/>
              <w:right w:val="single" w:sz="4" w:space="0" w:color="auto"/>
            </w:tcBorders>
            <w:vAlign w:val="center"/>
            <w:hideMark/>
          </w:tcPr>
          <w:p w14:paraId="3939E196" w14:textId="77777777" w:rsidR="00CC6368" w:rsidRPr="008A00FB" w:rsidRDefault="00CC6368" w:rsidP="00152247">
            <w:pPr>
              <w:autoSpaceDE w:val="0"/>
              <w:autoSpaceDN w:val="0"/>
              <w:adjustRightInd w:val="0"/>
              <w:jc w:val="center"/>
              <w:rPr>
                <w:color w:val="000000"/>
                <w:sz w:val="16"/>
                <w:szCs w:val="16"/>
              </w:rPr>
            </w:pPr>
            <w:r w:rsidRPr="008A00FB">
              <w:rPr>
                <w:i/>
                <w:iCs/>
                <w:color w:val="000000"/>
                <w:sz w:val="16"/>
                <w:szCs w:val="16"/>
              </w:rPr>
              <w:t>-0,24 [-1,60;1,11]</w:t>
            </w:r>
          </w:p>
        </w:tc>
      </w:tr>
      <w:tr w:rsidR="00CC6368" w:rsidRPr="008A00FB" w14:paraId="3EFE0780" w14:textId="77777777" w:rsidTr="00152247">
        <w:trPr>
          <w:trHeight w:val="106"/>
        </w:trPr>
        <w:tc>
          <w:tcPr>
            <w:tcW w:w="3369" w:type="dxa"/>
            <w:vMerge w:val="restart"/>
            <w:tcBorders>
              <w:top w:val="single" w:sz="4" w:space="0" w:color="auto"/>
              <w:left w:val="single" w:sz="4" w:space="0" w:color="auto"/>
              <w:bottom w:val="single" w:sz="4" w:space="0" w:color="auto"/>
              <w:right w:val="nil"/>
            </w:tcBorders>
            <w:hideMark/>
          </w:tcPr>
          <w:p w14:paraId="3DE47C54" w14:textId="4BD72FF3" w:rsidR="00CC6368" w:rsidRPr="008A00FB" w:rsidRDefault="00CC6368" w:rsidP="00152247">
            <w:pPr>
              <w:autoSpaceDE w:val="0"/>
              <w:autoSpaceDN w:val="0"/>
              <w:adjustRightInd w:val="0"/>
              <w:rPr>
                <w:color w:val="000000"/>
                <w:sz w:val="16"/>
                <w:szCs w:val="16"/>
              </w:rPr>
            </w:pPr>
            <w:proofErr w:type="spellStart"/>
            <w:r w:rsidRPr="008A00FB">
              <w:rPr>
                <w:b/>
                <w:bCs/>
                <w:color w:val="000000"/>
                <w:sz w:val="20"/>
                <w:szCs w:val="20"/>
              </w:rPr>
              <w:t>Povećanje</w:t>
            </w:r>
            <w:proofErr w:type="spellEnd"/>
            <w:r w:rsidRPr="008A00FB">
              <w:rPr>
                <w:b/>
                <w:bCs/>
                <w:color w:val="000000"/>
                <w:sz w:val="20"/>
                <w:szCs w:val="20"/>
              </w:rPr>
              <w:t xml:space="preserve"> </w:t>
            </w:r>
            <w:proofErr w:type="spellStart"/>
            <w:r w:rsidRPr="008A00FB">
              <w:rPr>
                <w:b/>
                <w:bCs/>
                <w:color w:val="000000"/>
                <w:sz w:val="20"/>
                <w:szCs w:val="20"/>
              </w:rPr>
              <w:t>glukoze</w:t>
            </w:r>
            <w:proofErr w:type="spellEnd"/>
            <w:r w:rsidRPr="008A00FB">
              <w:rPr>
                <w:b/>
                <w:bCs/>
                <w:color w:val="000000"/>
                <w:sz w:val="20"/>
                <w:szCs w:val="20"/>
              </w:rPr>
              <w:t xml:space="preserve"> 2 h </w:t>
            </w:r>
            <w:proofErr w:type="spellStart"/>
            <w:r w:rsidRPr="008A00FB">
              <w:rPr>
                <w:b/>
                <w:bCs/>
                <w:color w:val="000000"/>
                <w:sz w:val="20"/>
                <w:szCs w:val="20"/>
              </w:rPr>
              <w:t>nakon</w:t>
            </w:r>
            <w:proofErr w:type="spellEnd"/>
            <w:r w:rsidRPr="008A00FB">
              <w:rPr>
                <w:b/>
                <w:bCs/>
                <w:color w:val="000000"/>
                <w:sz w:val="20"/>
                <w:szCs w:val="20"/>
              </w:rPr>
              <w:t xml:space="preserve"> </w:t>
            </w:r>
            <w:proofErr w:type="spellStart"/>
            <w:r w:rsidRPr="008A00FB">
              <w:rPr>
                <w:b/>
                <w:bCs/>
                <w:color w:val="000000"/>
                <w:sz w:val="20"/>
                <w:szCs w:val="20"/>
              </w:rPr>
              <w:t>obroka</w:t>
            </w:r>
            <w:proofErr w:type="spellEnd"/>
            <w:r w:rsidRPr="008A00FB">
              <w:rPr>
                <w:b/>
                <w:bCs/>
                <w:color w:val="000000"/>
                <w:sz w:val="20"/>
                <w:szCs w:val="20"/>
              </w:rPr>
              <w:t xml:space="preserve"> (mmol/</w:t>
            </w:r>
            <w:r w:rsidR="003C7F98">
              <w:rPr>
                <w:b/>
                <w:bCs/>
                <w:color w:val="000000"/>
                <w:sz w:val="20"/>
                <w:szCs w:val="20"/>
              </w:rPr>
              <w:t>l</w:t>
            </w:r>
            <w:r w:rsidRPr="008A00FB">
              <w:rPr>
                <w:b/>
                <w:bCs/>
                <w:color w:val="000000"/>
                <w:sz w:val="20"/>
                <w:szCs w:val="20"/>
              </w:rPr>
              <w:t>)</w:t>
            </w:r>
            <w:r w:rsidRPr="008A00FB">
              <w:rPr>
                <w:b/>
                <w:bCs/>
                <w:color w:val="000000"/>
                <w:sz w:val="13"/>
                <w:szCs w:val="13"/>
              </w:rPr>
              <w:t xml:space="preserve"> </w:t>
            </w:r>
            <w:r w:rsidRPr="008A00FB">
              <w:rPr>
                <w:b/>
                <w:bCs/>
                <w:color w:val="000000"/>
                <w:sz w:val="20"/>
                <w:szCs w:val="20"/>
                <w:vertAlign w:val="superscript"/>
              </w:rPr>
              <w:t>A</w:t>
            </w:r>
          </w:p>
          <w:p w14:paraId="01826E46"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t>Početna</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w:t>
            </w:r>
            <w:proofErr w:type="spellEnd"/>
            <w:r w:rsidRPr="008A00FB">
              <w:rPr>
                <w:color w:val="000000"/>
                <w:sz w:val="16"/>
                <w:szCs w:val="16"/>
              </w:rPr>
              <w:t xml:space="preserve"> </w:t>
            </w:r>
            <w:r w:rsidRPr="008A00FB">
              <w:rPr>
                <w:rFonts w:ascii="Wingdings 3" w:hAnsi="Wingdings 3" w:cs="Wingdings 3"/>
                <w:color w:val="000000"/>
                <w:sz w:val="16"/>
                <w:szCs w:val="16"/>
              </w:rPr>
              <w:t></w:t>
            </w:r>
            <w:r w:rsidRPr="008A00FB">
              <w:rPr>
                <w:color w:val="000000"/>
                <w:sz w:val="16"/>
                <w:szCs w:val="16"/>
              </w:rPr>
              <w:t xml:space="preserve"> Kraj </w:t>
            </w:r>
            <w:proofErr w:type="spellStart"/>
            <w:r w:rsidRPr="008A00FB">
              <w:rPr>
                <w:color w:val="000000"/>
                <w:sz w:val="16"/>
                <w:szCs w:val="16"/>
              </w:rPr>
              <w:t>ispitivanja</w:t>
            </w:r>
            <w:proofErr w:type="spellEnd"/>
            <w:r w:rsidRPr="008A00FB">
              <w:rPr>
                <w:color w:val="000000"/>
                <w:sz w:val="16"/>
                <w:szCs w:val="16"/>
              </w:rPr>
              <w:t xml:space="preserve"> </w:t>
            </w:r>
          </w:p>
          <w:p w14:paraId="03CD190C"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t>Prilagođena</w:t>
            </w:r>
            <w:proofErr w:type="spellEnd"/>
            <w:r w:rsidRPr="008A00FB">
              <w:rPr>
                <w:color w:val="000000"/>
                <w:sz w:val="16"/>
                <w:szCs w:val="16"/>
              </w:rPr>
              <w:t xml:space="preserve"> </w:t>
            </w:r>
            <w:proofErr w:type="spellStart"/>
            <w:r w:rsidRPr="008A00FB">
              <w:rPr>
                <w:color w:val="000000"/>
                <w:sz w:val="16"/>
                <w:szCs w:val="16"/>
              </w:rPr>
              <w:t>prom</w:t>
            </w:r>
            <w:r>
              <w:rPr>
                <w:color w:val="000000"/>
                <w:sz w:val="16"/>
                <w:szCs w:val="16"/>
              </w:rPr>
              <w:t>j</w:t>
            </w:r>
            <w:r w:rsidRPr="008A00FB">
              <w:rPr>
                <w:color w:val="000000"/>
                <w:sz w:val="16"/>
                <w:szCs w:val="16"/>
              </w:rPr>
              <w:t>ena</w:t>
            </w:r>
            <w:proofErr w:type="spellEnd"/>
            <w:r w:rsidRPr="008A00FB">
              <w:rPr>
                <w:color w:val="000000"/>
                <w:sz w:val="16"/>
                <w:szCs w:val="16"/>
              </w:rPr>
              <w:t xml:space="preserve"> </w:t>
            </w:r>
            <w:proofErr w:type="spellStart"/>
            <w:r w:rsidRPr="008A00FB">
              <w:rPr>
                <w:color w:val="000000"/>
                <w:sz w:val="16"/>
                <w:szCs w:val="16"/>
              </w:rPr>
              <w:t>od</w:t>
            </w:r>
            <w:proofErr w:type="spellEnd"/>
            <w:r w:rsidRPr="008A00FB">
              <w:rPr>
                <w:color w:val="000000"/>
                <w:sz w:val="16"/>
                <w:szCs w:val="16"/>
              </w:rPr>
              <w:t xml:space="preserve"> </w:t>
            </w:r>
            <w:proofErr w:type="spellStart"/>
            <w:r w:rsidRPr="008A00FB">
              <w:rPr>
                <w:color w:val="000000"/>
                <w:sz w:val="16"/>
                <w:szCs w:val="16"/>
              </w:rPr>
              <w:t>početne</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ednosti</w:t>
            </w:r>
            <w:proofErr w:type="spellEnd"/>
          </w:p>
          <w:p w14:paraId="6E469BE1" w14:textId="77777777" w:rsidR="00CC6368" w:rsidRPr="008A00FB" w:rsidRDefault="00CC6368" w:rsidP="00152247">
            <w:pPr>
              <w:autoSpaceDE w:val="0"/>
              <w:autoSpaceDN w:val="0"/>
              <w:adjustRightInd w:val="0"/>
              <w:rPr>
                <w:color w:val="000000"/>
                <w:sz w:val="16"/>
                <w:szCs w:val="16"/>
              </w:rPr>
            </w:pPr>
            <w:proofErr w:type="spellStart"/>
            <w:r w:rsidRPr="008A00FB">
              <w:rPr>
                <w:i/>
                <w:iCs/>
                <w:color w:val="000000"/>
                <w:sz w:val="16"/>
                <w:szCs w:val="16"/>
              </w:rPr>
              <w:t>Proc</w:t>
            </w:r>
            <w:r w:rsidR="00163CD0">
              <w:rPr>
                <w:i/>
                <w:iCs/>
                <w:color w:val="000000"/>
                <w:sz w:val="16"/>
                <w:szCs w:val="16"/>
              </w:rPr>
              <w:t>i</w:t>
            </w:r>
            <w:r>
              <w:rPr>
                <w:i/>
                <w:iCs/>
                <w:color w:val="000000"/>
                <w:sz w:val="16"/>
                <w:szCs w:val="16"/>
              </w:rPr>
              <w:t>j</w:t>
            </w:r>
            <w:r w:rsidRPr="008A00FB">
              <w:rPr>
                <w:i/>
                <w:iCs/>
                <w:color w:val="000000"/>
                <w:sz w:val="16"/>
                <w:szCs w:val="16"/>
              </w:rPr>
              <w:t>enjena</w:t>
            </w:r>
            <w:proofErr w:type="spellEnd"/>
            <w:r w:rsidRPr="008A00FB">
              <w:rPr>
                <w:i/>
                <w:iCs/>
                <w:color w:val="000000"/>
                <w:sz w:val="16"/>
                <w:szCs w:val="16"/>
              </w:rPr>
              <w:t xml:space="preserve"> </w:t>
            </w:r>
            <w:proofErr w:type="spellStart"/>
            <w:r w:rsidRPr="008A00FB">
              <w:rPr>
                <w:i/>
                <w:iCs/>
                <w:color w:val="000000"/>
                <w:sz w:val="16"/>
                <w:szCs w:val="16"/>
              </w:rPr>
              <w:t>razlika</w:t>
            </w:r>
            <w:proofErr w:type="spellEnd"/>
            <w:r w:rsidRPr="008A00FB">
              <w:rPr>
                <w:i/>
                <w:iCs/>
                <w:color w:val="000000"/>
                <w:sz w:val="16"/>
                <w:szCs w:val="16"/>
              </w:rPr>
              <w:t xml:space="preserve"> u </w:t>
            </w:r>
            <w:proofErr w:type="spellStart"/>
            <w:r w:rsidRPr="008A00FB">
              <w:rPr>
                <w:i/>
                <w:iCs/>
                <w:color w:val="000000"/>
                <w:sz w:val="16"/>
                <w:szCs w:val="16"/>
              </w:rPr>
              <w:t>l</w:t>
            </w:r>
            <w:r>
              <w:rPr>
                <w:i/>
                <w:iCs/>
                <w:color w:val="000000"/>
                <w:sz w:val="16"/>
                <w:szCs w:val="16"/>
              </w:rPr>
              <w:t>ij</w:t>
            </w:r>
            <w:r w:rsidRPr="008A00FB">
              <w:rPr>
                <w:i/>
                <w:iCs/>
                <w:color w:val="000000"/>
                <w:sz w:val="16"/>
                <w:szCs w:val="16"/>
              </w:rPr>
              <w:t>ečenju</w:t>
            </w:r>
            <w:proofErr w:type="spellEnd"/>
            <w:r w:rsidRPr="008A00FB">
              <w:rPr>
                <w:i/>
                <w:iCs/>
                <w:color w:val="000000"/>
                <w:sz w:val="16"/>
                <w:szCs w:val="16"/>
              </w:rPr>
              <w:t xml:space="preserve"> </w:t>
            </w:r>
            <w:r w:rsidRPr="008A00FB">
              <w:rPr>
                <w:color w:val="000000"/>
                <w:sz w:val="16"/>
                <w:szCs w:val="16"/>
              </w:rPr>
              <w:t xml:space="preserve"> </w:t>
            </w:r>
          </w:p>
        </w:tc>
        <w:tc>
          <w:tcPr>
            <w:tcW w:w="2976" w:type="dxa"/>
            <w:tcBorders>
              <w:top w:val="single" w:sz="4" w:space="0" w:color="auto"/>
              <w:left w:val="nil"/>
              <w:bottom w:val="nil"/>
              <w:right w:val="nil"/>
            </w:tcBorders>
            <w:vAlign w:val="center"/>
          </w:tcPr>
          <w:p w14:paraId="25D6E6C2" w14:textId="77777777" w:rsidR="00CC6368" w:rsidRPr="008A00FB" w:rsidRDefault="00CC6368" w:rsidP="00152247">
            <w:pPr>
              <w:autoSpaceDE w:val="0"/>
              <w:autoSpaceDN w:val="0"/>
              <w:adjustRightInd w:val="0"/>
              <w:jc w:val="center"/>
              <w:rPr>
                <w:color w:val="000000"/>
                <w:sz w:val="20"/>
                <w:szCs w:val="16"/>
              </w:rPr>
            </w:pPr>
          </w:p>
          <w:p w14:paraId="405F56CD" w14:textId="77777777" w:rsidR="00CC6368" w:rsidRPr="008A00FB" w:rsidRDefault="00CC6368" w:rsidP="00152247">
            <w:pPr>
              <w:autoSpaceDE w:val="0"/>
              <w:autoSpaceDN w:val="0"/>
              <w:adjustRightInd w:val="0"/>
              <w:jc w:val="center"/>
              <w:rPr>
                <w:color w:val="000000"/>
                <w:sz w:val="20"/>
                <w:szCs w:val="16"/>
              </w:rPr>
            </w:pPr>
          </w:p>
          <w:p w14:paraId="2491C466"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 xml:space="preserve">7,6 </w:t>
            </w:r>
            <w:r w:rsidRPr="008A00FB">
              <w:rPr>
                <w:rFonts w:ascii="Wingdings 3" w:hAnsi="Wingdings 3" w:cs="Wingdings 3"/>
                <w:color w:val="000000"/>
                <w:sz w:val="16"/>
                <w:szCs w:val="16"/>
              </w:rPr>
              <w:t></w:t>
            </w:r>
            <w:r w:rsidRPr="008A00FB">
              <w:rPr>
                <w:color w:val="000000"/>
                <w:sz w:val="16"/>
                <w:szCs w:val="16"/>
              </w:rPr>
              <w:t xml:space="preserve"> 4,6</w:t>
            </w:r>
          </w:p>
          <w:p w14:paraId="0728534D"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-3,24</w:t>
            </w:r>
          </w:p>
        </w:tc>
        <w:tc>
          <w:tcPr>
            <w:tcW w:w="2673" w:type="dxa"/>
            <w:tcBorders>
              <w:top w:val="single" w:sz="4" w:space="0" w:color="auto"/>
              <w:left w:val="nil"/>
              <w:bottom w:val="nil"/>
              <w:right w:val="single" w:sz="4" w:space="0" w:color="auto"/>
            </w:tcBorders>
            <w:vAlign w:val="center"/>
          </w:tcPr>
          <w:p w14:paraId="31106712" w14:textId="77777777" w:rsidR="00CC6368" w:rsidRPr="008A00FB" w:rsidRDefault="00CC6368" w:rsidP="00152247">
            <w:pPr>
              <w:autoSpaceDE w:val="0"/>
              <w:autoSpaceDN w:val="0"/>
              <w:adjustRightInd w:val="0"/>
              <w:jc w:val="center"/>
              <w:rPr>
                <w:color w:val="000000"/>
                <w:sz w:val="20"/>
                <w:szCs w:val="16"/>
              </w:rPr>
            </w:pPr>
          </w:p>
          <w:p w14:paraId="5D4EFCEC" w14:textId="77777777" w:rsidR="00CC6368" w:rsidRPr="008A00FB" w:rsidRDefault="00CC6368" w:rsidP="00152247">
            <w:pPr>
              <w:autoSpaceDE w:val="0"/>
              <w:autoSpaceDN w:val="0"/>
              <w:adjustRightInd w:val="0"/>
              <w:jc w:val="center"/>
              <w:rPr>
                <w:color w:val="000000"/>
                <w:sz w:val="20"/>
                <w:szCs w:val="16"/>
              </w:rPr>
            </w:pPr>
          </w:p>
          <w:p w14:paraId="3A49CC57"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 xml:space="preserve">7,3 </w:t>
            </w:r>
            <w:r w:rsidRPr="008A00FB">
              <w:rPr>
                <w:rFonts w:ascii="Wingdings 3" w:hAnsi="Wingdings 3" w:cs="Wingdings 3"/>
                <w:color w:val="000000"/>
                <w:sz w:val="16"/>
                <w:szCs w:val="16"/>
              </w:rPr>
              <w:t></w:t>
            </w:r>
            <w:r w:rsidRPr="008A00FB">
              <w:rPr>
                <w:color w:val="000000"/>
                <w:sz w:val="16"/>
                <w:szCs w:val="16"/>
              </w:rPr>
              <w:t xml:space="preserve"> 4,9</w:t>
            </w:r>
          </w:p>
          <w:p w14:paraId="3C3100F2"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-2,87</w:t>
            </w:r>
          </w:p>
        </w:tc>
      </w:tr>
      <w:tr w:rsidR="00CC6368" w:rsidRPr="008A00FB" w14:paraId="56EC8C26" w14:textId="77777777" w:rsidTr="00FE68F5">
        <w:trPr>
          <w:trHeight w:val="106"/>
        </w:trPr>
        <w:tc>
          <w:tcPr>
            <w:tcW w:w="3369" w:type="dxa"/>
            <w:vMerge/>
            <w:tcBorders>
              <w:top w:val="single" w:sz="4" w:space="0" w:color="auto"/>
              <w:left w:val="single" w:sz="4" w:space="0" w:color="auto"/>
              <w:bottom w:val="single" w:sz="4" w:space="0" w:color="auto"/>
              <w:right w:val="nil"/>
            </w:tcBorders>
            <w:vAlign w:val="center"/>
            <w:hideMark/>
          </w:tcPr>
          <w:p w14:paraId="32728D32" w14:textId="77777777" w:rsidR="00CC6368" w:rsidRPr="008A00FB" w:rsidRDefault="00CC6368" w:rsidP="00152247">
            <w:pPr>
              <w:rPr>
                <w:color w:val="000000"/>
                <w:sz w:val="16"/>
                <w:szCs w:val="16"/>
              </w:rPr>
            </w:pPr>
          </w:p>
        </w:tc>
        <w:tc>
          <w:tcPr>
            <w:tcW w:w="5649" w:type="dxa"/>
            <w:gridSpan w:val="2"/>
            <w:tcBorders>
              <w:top w:val="nil"/>
              <w:left w:val="nil"/>
              <w:bottom w:val="single" w:sz="4" w:space="0" w:color="auto"/>
              <w:right w:val="single" w:sz="4" w:space="0" w:color="auto"/>
            </w:tcBorders>
            <w:vAlign w:val="center"/>
            <w:hideMark/>
          </w:tcPr>
          <w:p w14:paraId="6F9F8CE1" w14:textId="77777777" w:rsidR="00CC6368" w:rsidRPr="008A00FB" w:rsidRDefault="00CC6368" w:rsidP="00152247">
            <w:pPr>
              <w:autoSpaceDE w:val="0"/>
              <w:autoSpaceDN w:val="0"/>
              <w:adjustRightInd w:val="0"/>
              <w:jc w:val="center"/>
              <w:rPr>
                <w:color w:val="000000"/>
                <w:sz w:val="16"/>
                <w:szCs w:val="16"/>
              </w:rPr>
            </w:pPr>
            <w:r w:rsidRPr="008A00FB">
              <w:rPr>
                <w:i/>
                <w:iCs/>
                <w:color w:val="000000"/>
                <w:sz w:val="16"/>
                <w:szCs w:val="16"/>
              </w:rPr>
              <w:t>-0,36 [-0,81;0,08]</w:t>
            </w:r>
          </w:p>
        </w:tc>
      </w:tr>
      <w:tr w:rsidR="00CC6368" w:rsidRPr="008A00FB" w14:paraId="4B66706F" w14:textId="77777777" w:rsidTr="00152247">
        <w:trPr>
          <w:trHeight w:val="106"/>
        </w:trPr>
        <w:tc>
          <w:tcPr>
            <w:tcW w:w="3369" w:type="dxa"/>
            <w:vMerge w:val="restart"/>
            <w:tcBorders>
              <w:top w:val="single" w:sz="4" w:space="0" w:color="auto"/>
              <w:left w:val="single" w:sz="4" w:space="0" w:color="auto"/>
              <w:bottom w:val="single" w:sz="4" w:space="0" w:color="auto"/>
              <w:right w:val="nil"/>
            </w:tcBorders>
            <w:hideMark/>
          </w:tcPr>
          <w:p w14:paraId="4BC963BF" w14:textId="1957613C" w:rsidR="00CC6368" w:rsidRPr="008A00FB" w:rsidRDefault="00CC6368" w:rsidP="00152247">
            <w:pPr>
              <w:autoSpaceDE w:val="0"/>
              <w:autoSpaceDN w:val="0"/>
              <w:adjustRightInd w:val="0"/>
              <w:rPr>
                <w:color w:val="000000"/>
                <w:sz w:val="16"/>
                <w:szCs w:val="16"/>
              </w:rPr>
            </w:pPr>
            <w:proofErr w:type="spellStart"/>
            <w:r w:rsidRPr="008A00FB">
              <w:rPr>
                <w:b/>
                <w:bCs/>
                <w:color w:val="000000"/>
                <w:sz w:val="20"/>
                <w:szCs w:val="20"/>
              </w:rPr>
              <w:t>Povećanje</w:t>
            </w:r>
            <w:proofErr w:type="spellEnd"/>
            <w:r w:rsidRPr="008A00FB">
              <w:rPr>
                <w:b/>
                <w:bCs/>
                <w:color w:val="000000"/>
                <w:sz w:val="20"/>
                <w:szCs w:val="20"/>
              </w:rPr>
              <w:t xml:space="preserve"> </w:t>
            </w:r>
            <w:proofErr w:type="spellStart"/>
            <w:r w:rsidRPr="008A00FB">
              <w:rPr>
                <w:b/>
                <w:bCs/>
                <w:color w:val="000000"/>
                <w:sz w:val="20"/>
                <w:szCs w:val="20"/>
              </w:rPr>
              <w:t>glukoze</w:t>
            </w:r>
            <w:proofErr w:type="spellEnd"/>
            <w:r w:rsidRPr="008A00FB">
              <w:rPr>
                <w:b/>
                <w:bCs/>
                <w:color w:val="000000"/>
                <w:sz w:val="20"/>
                <w:szCs w:val="20"/>
              </w:rPr>
              <w:t xml:space="preserve"> 1 h </w:t>
            </w:r>
            <w:proofErr w:type="spellStart"/>
            <w:r w:rsidRPr="008A00FB">
              <w:rPr>
                <w:b/>
                <w:bCs/>
                <w:color w:val="000000"/>
                <w:sz w:val="20"/>
                <w:szCs w:val="20"/>
              </w:rPr>
              <w:t>nakon</w:t>
            </w:r>
            <w:proofErr w:type="spellEnd"/>
            <w:r w:rsidRPr="008A00FB">
              <w:rPr>
                <w:b/>
                <w:bCs/>
                <w:color w:val="000000"/>
                <w:sz w:val="20"/>
                <w:szCs w:val="20"/>
              </w:rPr>
              <w:t xml:space="preserve"> </w:t>
            </w:r>
            <w:proofErr w:type="spellStart"/>
            <w:r w:rsidRPr="008A00FB">
              <w:rPr>
                <w:b/>
                <w:bCs/>
                <w:color w:val="000000"/>
                <w:sz w:val="20"/>
                <w:szCs w:val="20"/>
              </w:rPr>
              <w:t>obroka</w:t>
            </w:r>
            <w:proofErr w:type="spellEnd"/>
            <w:r w:rsidRPr="008A00FB">
              <w:rPr>
                <w:b/>
                <w:bCs/>
                <w:color w:val="000000"/>
                <w:sz w:val="20"/>
                <w:szCs w:val="20"/>
              </w:rPr>
              <w:t xml:space="preserve"> (mmol/</w:t>
            </w:r>
            <w:r w:rsidR="003C7F98">
              <w:rPr>
                <w:b/>
                <w:bCs/>
                <w:color w:val="000000"/>
                <w:sz w:val="20"/>
                <w:szCs w:val="20"/>
              </w:rPr>
              <w:t>l</w:t>
            </w:r>
            <w:r w:rsidRPr="008A00FB">
              <w:rPr>
                <w:b/>
                <w:bCs/>
                <w:color w:val="000000"/>
                <w:sz w:val="20"/>
                <w:szCs w:val="20"/>
              </w:rPr>
              <w:t>)</w:t>
            </w:r>
            <w:r w:rsidRPr="00831E07">
              <w:rPr>
                <w:b/>
                <w:bCs/>
                <w:color w:val="000000"/>
                <w:sz w:val="20"/>
                <w:szCs w:val="13"/>
                <w:vertAlign w:val="superscript"/>
              </w:rPr>
              <w:t>A</w:t>
            </w:r>
            <w:r w:rsidRPr="008A00FB">
              <w:rPr>
                <w:color w:val="000000"/>
                <w:sz w:val="13"/>
                <w:szCs w:val="13"/>
              </w:rPr>
              <w:t xml:space="preserve"> </w:t>
            </w:r>
          </w:p>
          <w:p w14:paraId="08047D58"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lastRenderedPageBreak/>
              <w:t>Početna</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w:t>
            </w:r>
            <w:proofErr w:type="spellEnd"/>
            <w:r w:rsidRPr="008A00FB">
              <w:rPr>
                <w:color w:val="000000"/>
                <w:sz w:val="16"/>
                <w:szCs w:val="16"/>
              </w:rPr>
              <w:t xml:space="preserve"> </w:t>
            </w:r>
            <w:r w:rsidRPr="008A00FB">
              <w:rPr>
                <w:rFonts w:ascii="Wingdings 3" w:hAnsi="Wingdings 3" w:cs="Wingdings 3"/>
                <w:color w:val="000000"/>
                <w:sz w:val="16"/>
                <w:szCs w:val="16"/>
              </w:rPr>
              <w:t></w:t>
            </w:r>
            <w:r w:rsidRPr="008A00FB">
              <w:rPr>
                <w:color w:val="000000"/>
                <w:sz w:val="16"/>
                <w:szCs w:val="16"/>
              </w:rPr>
              <w:t xml:space="preserve"> Kraj </w:t>
            </w:r>
            <w:proofErr w:type="spellStart"/>
            <w:r w:rsidRPr="008A00FB">
              <w:rPr>
                <w:color w:val="000000"/>
                <w:sz w:val="16"/>
                <w:szCs w:val="16"/>
              </w:rPr>
              <w:t>ispitivanja</w:t>
            </w:r>
            <w:proofErr w:type="spellEnd"/>
            <w:r w:rsidRPr="008A00FB">
              <w:rPr>
                <w:color w:val="000000"/>
                <w:sz w:val="16"/>
                <w:szCs w:val="16"/>
              </w:rPr>
              <w:t xml:space="preserve"> </w:t>
            </w:r>
          </w:p>
          <w:p w14:paraId="2F493C1D"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t>Prilagođena</w:t>
            </w:r>
            <w:proofErr w:type="spellEnd"/>
            <w:r w:rsidRPr="008A00FB">
              <w:rPr>
                <w:color w:val="000000"/>
                <w:sz w:val="16"/>
                <w:szCs w:val="16"/>
              </w:rPr>
              <w:t xml:space="preserve"> </w:t>
            </w:r>
            <w:proofErr w:type="spellStart"/>
            <w:r w:rsidRPr="008A00FB">
              <w:rPr>
                <w:color w:val="000000"/>
                <w:sz w:val="16"/>
                <w:szCs w:val="16"/>
              </w:rPr>
              <w:t>prom</w:t>
            </w:r>
            <w:r>
              <w:rPr>
                <w:color w:val="000000"/>
                <w:sz w:val="16"/>
                <w:szCs w:val="16"/>
              </w:rPr>
              <w:t>j</w:t>
            </w:r>
            <w:r w:rsidRPr="008A00FB">
              <w:rPr>
                <w:color w:val="000000"/>
                <w:sz w:val="16"/>
                <w:szCs w:val="16"/>
              </w:rPr>
              <w:t>ena</w:t>
            </w:r>
            <w:proofErr w:type="spellEnd"/>
            <w:r w:rsidRPr="008A00FB">
              <w:rPr>
                <w:color w:val="000000"/>
                <w:sz w:val="16"/>
                <w:szCs w:val="16"/>
              </w:rPr>
              <w:t xml:space="preserve"> </w:t>
            </w:r>
            <w:proofErr w:type="spellStart"/>
            <w:r w:rsidRPr="008A00FB">
              <w:rPr>
                <w:color w:val="000000"/>
                <w:sz w:val="16"/>
                <w:szCs w:val="16"/>
              </w:rPr>
              <w:t>od</w:t>
            </w:r>
            <w:proofErr w:type="spellEnd"/>
            <w:r w:rsidRPr="008A00FB">
              <w:rPr>
                <w:color w:val="000000"/>
                <w:sz w:val="16"/>
                <w:szCs w:val="16"/>
              </w:rPr>
              <w:t xml:space="preserve"> </w:t>
            </w:r>
            <w:proofErr w:type="spellStart"/>
            <w:r w:rsidRPr="008A00FB">
              <w:rPr>
                <w:color w:val="000000"/>
                <w:sz w:val="16"/>
                <w:szCs w:val="16"/>
              </w:rPr>
              <w:t>početne</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ednosti</w:t>
            </w:r>
            <w:proofErr w:type="spellEnd"/>
            <w:r w:rsidRPr="008A00FB">
              <w:rPr>
                <w:color w:val="000000"/>
                <w:sz w:val="16"/>
                <w:szCs w:val="16"/>
              </w:rPr>
              <w:t xml:space="preserve"> </w:t>
            </w:r>
          </w:p>
          <w:p w14:paraId="2793DF48" w14:textId="77777777" w:rsidR="00CC6368" w:rsidRPr="008A00FB" w:rsidRDefault="00CC6368" w:rsidP="00152247">
            <w:pPr>
              <w:autoSpaceDE w:val="0"/>
              <w:autoSpaceDN w:val="0"/>
              <w:adjustRightInd w:val="0"/>
              <w:rPr>
                <w:color w:val="000000"/>
                <w:sz w:val="16"/>
                <w:szCs w:val="16"/>
              </w:rPr>
            </w:pPr>
            <w:proofErr w:type="spellStart"/>
            <w:r w:rsidRPr="008A00FB">
              <w:rPr>
                <w:i/>
                <w:iCs/>
                <w:color w:val="000000"/>
                <w:sz w:val="16"/>
                <w:szCs w:val="16"/>
              </w:rPr>
              <w:t>Proc</w:t>
            </w:r>
            <w:r w:rsidR="00163CD0">
              <w:rPr>
                <w:i/>
                <w:iCs/>
                <w:color w:val="000000"/>
                <w:sz w:val="16"/>
                <w:szCs w:val="16"/>
              </w:rPr>
              <w:t>i</w:t>
            </w:r>
            <w:r>
              <w:rPr>
                <w:i/>
                <w:iCs/>
                <w:color w:val="000000"/>
                <w:sz w:val="16"/>
                <w:szCs w:val="16"/>
              </w:rPr>
              <w:t>j</w:t>
            </w:r>
            <w:r w:rsidRPr="008A00FB">
              <w:rPr>
                <w:i/>
                <w:iCs/>
                <w:color w:val="000000"/>
                <w:sz w:val="16"/>
                <w:szCs w:val="16"/>
              </w:rPr>
              <w:t>enjena</w:t>
            </w:r>
            <w:proofErr w:type="spellEnd"/>
            <w:r w:rsidRPr="008A00FB">
              <w:rPr>
                <w:i/>
                <w:iCs/>
                <w:color w:val="000000"/>
                <w:sz w:val="16"/>
                <w:szCs w:val="16"/>
              </w:rPr>
              <w:t xml:space="preserve"> </w:t>
            </w:r>
            <w:proofErr w:type="spellStart"/>
            <w:r w:rsidRPr="008A00FB">
              <w:rPr>
                <w:i/>
                <w:iCs/>
                <w:color w:val="000000"/>
                <w:sz w:val="16"/>
                <w:szCs w:val="16"/>
              </w:rPr>
              <w:t>razlika</w:t>
            </w:r>
            <w:proofErr w:type="spellEnd"/>
            <w:r w:rsidRPr="008A00FB">
              <w:rPr>
                <w:i/>
                <w:iCs/>
                <w:color w:val="000000"/>
                <w:sz w:val="16"/>
                <w:szCs w:val="16"/>
              </w:rPr>
              <w:t xml:space="preserve"> u </w:t>
            </w:r>
            <w:proofErr w:type="spellStart"/>
            <w:r w:rsidRPr="008A00FB">
              <w:rPr>
                <w:i/>
                <w:iCs/>
                <w:color w:val="000000"/>
                <w:sz w:val="16"/>
                <w:szCs w:val="16"/>
              </w:rPr>
              <w:t>l</w:t>
            </w:r>
            <w:r>
              <w:rPr>
                <w:i/>
                <w:iCs/>
                <w:color w:val="000000"/>
                <w:sz w:val="16"/>
                <w:szCs w:val="16"/>
              </w:rPr>
              <w:t>ij</w:t>
            </w:r>
            <w:r w:rsidRPr="008A00FB">
              <w:rPr>
                <w:i/>
                <w:iCs/>
                <w:color w:val="000000"/>
                <w:sz w:val="16"/>
                <w:szCs w:val="16"/>
              </w:rPr>
              <w:t>ečenju</w:t>
            </w:r>
            <w:proofErr w:type="spellEnd"/>
            <w:r w:rsidRPr="008A00FB">
              <w:rPr>
                <w:i/>
                <w:iCs/>
                <w:color w:val="000000"/>
                <w:sz w:val="16"/>
                <w:szCs w:val="16"/>
              </w:rPr>
              <w:t xml:space="preserve"> </w:t>
            </w:r>
          </w:p>
        </w:tc>
        <w:tc>
          <w:tcPr>
            <w:tcW w:w="2976" w:type="dxa"/>
            <w:tcBorders>
              <w:top w:val="single" w:sz="4" w:space="0" w:color="auto"/>
              <w:left w:val="nil"/>
              <w:bottom w:val="nil"/>
              <w:right w:val="nil"/>
            </w:tcBorders>
            <w:vAlign w:val="center"/>
          </w:tcPr>
          <w:p w14:paraId="6EE99037" w14:textId="77777777" w:rsidR="00CC6368" w:rsidRPr="008A00FB" w:rsidRDefault="00CC6368" w:rsidP="00152247">
            <w:pPr>
              <w:autoSpaceDE w:val="0"/>
              <w:autoSpaceDN w:val="0"/>
              <w:adjustRightInd w:val="0"/>
              <w:jc w:val="center"/>
              <w:rPr>
                <w:color w:val="000000"/>
                <w:sz w:val="20"/>
                <w:szCs w:val="16"/>
              </w:rPr>
            </w:pPr>
          </w:p>
          <w:p w14:paraId="114E7DA0" w14:textId="77777777" w:rsidR="00CC6368" w:rsidRPr="008A00FB" w:rsidRDefault="00CC6368" w:rsidP="00152247">
            <w:pPr>
              <w:autoSpaceDE w:val="0"/>
              <w:autoSpaceDN w:val="0"/>
              <w:adjustRightInd w:val="0"/>
              <w:jc w:val="center"/>
              <w:rPr>
                <w:color w:val="000000"/>
                <w:sz w:val="20"/>
                <w:szCs w:val="16"/>
              </w:rPr>
            </w:pPr>
          </w:p>
          <w:p w14:paraId="0B362F7B"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lastRenderedPageBreak/>
              <w:t xml:space="preserve">6,0 </w:t>
            </w:r>
            <w:r w:rsidRPr="008A00FB">
              <w:rPr>
                <w:rFonts w:ascii="Wingdings 3" w:hAnsi="Wingdings 3" w:cs="Wingdings 3"/>
                <w:color w:val="000000"/>
                <w:sz w:val="16"/>
                <w:szCs w:val="16"/>
              </w:rPr>
              <w:t></w:t>
            </w:r>
            <w:r w:rsidRPr="008A00FB">
              <w:rPr>
                <w:color w:val="000000"/>
                <w:sz w:val="16"/>
                <w:szCs w:val="16"/>
              </w:rPr>
              <w:t xml:space="preserve"> 4,1</w:t>
            </w:r>
          </w:p>
          <w:p w14:paraId="38C838AF"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-2,14</w:t>
            </w:r>
          </w:p>
        </w:tc>
        <w:tc>
          <w:tcPr>
            <w:tcW w:w="2673" w:type="dxa"/>
            <w:tcBorders>
              <w:top w:val="single" w:sz="4" w:space="0" w:color="auto"/>
              <w:left w:val="nil"/>
              <w:bottom w:val="nil"/>
              <w:right w:val="single" w:sz="4" w:space="0" w:color="auto"/>
            </w:tcBorders>
            <w:vAlign w:val="center"/>
          </w:tcPr>
          <w:p w14:paraId="7433517C" w14:textId="77777777" w:rsidR="00CC6368" w:rsidRPr="008A00FB" w:rsidRDefault="00CC6368" w:rsidP="00152247">
            <w:pPr>
              <w:autoSpaceDE w:val="0"/>
              <w:autoSpaceDN w:val="0"/>
              <w:adjustRightInd w:val="0"/>
              <w:jc w:val="center"/>
              <w:rPr>
                <w:color w:val="000000"/>
                <w:sz w:val="20"/>
                <w:szCs w:val="16"/>
              </w:rPr>
            </w:pPr>
          </w:p>
          <w:p w14:paraId="6FC9FFEC" w14:textId="77777777" w:rsidR="00CC6368" w:rsidRPr="008A00FB" w:rsidRDefault="00CC6368" w:rsidP="00152247">
            <w:pPr>
              <w:autoSpaceDE w:val="0"/>
              <w:autoSpaceDN w:val="0"/>
              <w:adjustRightInd w:val="0"/>
              <w:jc w:val="center"/>
              <w:rPr>
                <w:color w:val="000000"/>
                <w:sz w:val="20"/>
                <w:szCs w:val="16"/>
              </w:rPr>
            </w:pPr>
          </w:p>
          <w:p w14:paraId="336C06EF"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lastRenderedPageBreak/>
              <w:t xml:space="preserve">5,9 </w:t>
            </w:r>
            <w:r w:rsidRPr="008A00FB">
              <w:rPr>
                <w:rFonts w:ascii="Wingdings 3" w:hAnsi="Wingdings 3" w:cs="Wingdings 3"/>
                <w:color w:val="000000"/>
                <w:sz w:val="16"/>
                <w:szCs w:val="16"/>
              </w:rPr>
              <w:t></w:t>
            </w:r>
            <w:r w:rsidRPr="008A00FB">
              <w:rPr>
                <w:color w:val="000000"/>
                <w:sz w:val="16"/>
                <w:szCs w:val="16"/>
              </w:rPr>
              <w:t xml:space="preserve"> 4,6</w:t>
            </w:r>
          </w:p>
          <w:p w14:paraId="5252BE96"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-1,55</w:t>
            </w:r>
          </w:p>
        </w:tc>
      </w:tr>
      <w:tr w:rsidR="00CC6368" w:rsidRPr="008A00FB" w14:paraId="02BED315" w14:textId="77777777" w:rsidTr="00FE68F5">
        <w:trPr>
          <w:trHeight w:val="106"/>
        </w:trPr>
        <w:tc>
          <w:tcPr>
            <w:tcW w:w="3369" w:type="dxa"/>
            <w:vMerge/>
            <w:tcBorders>
              <w:top w:val="single" w:sz="4" w:space="0" w:color="auto"/>
              <w:left w:val="single" w:sz="4" w:space="0" w:color="auto"/>
              <w:bottom w:val="single" w:sz="4" w:space="0" w:color="auto"/>
              <w:right w:val="nil"/>
            </w:tcBorders>
            <w:vAlign w:val="center"/>
            <w:hideMark/>
          </w:tcPr>
          <w:p w14:paraId="33F43A67" w14:textId="77777777" w:rsidR="00CC6368" w:rsidRPr="008A00FB" w:rsidRDefault="00CC6368" w:rsidP="00152247">
            <w:pPr>
              <w:rPr>
                <w:color w:val="000000"/>
                <w:sz w:val="16"/>
                <w:szCs w:val="16"/>
              </w:rPr>
            </w:pPr>
          </w:p>
        </w:tc>
        <w:tc>
          <w:tcPr>
            <w:tcW w:w="5649" w:type="dxa"/>
            <w:gridSpan w:val="2"/>
            <w:tcBorders>
              <w:top w:val="nil"/>
              <w:left w:val="nil"/>
              <w:bottom w:val="single" w:sz="4" w:space="0" w:color="auto"/>
              <w:right w:val="single" w:sz="4" w:space="0" w:color="auto"/>
            </w:tcBorders>
            <w:vAlign w:val="center"/>
            <w:hideMark/>
          </w:tcPr>
          <w:p w14:paraId="3B71405C" w14:textId="77777777" w:rsidR="00CC6368" w:rsidRPr="008A00FB" w:rsidRDefault="00CC6368" w:rsidP="00152247">
            <w:pPr>
              <w:autoSpaceDE w:val="0"/>
              <w:autoSpaceDN w:val="0"/>
              <w:adjustRightInd w:val="0"/>
              <w:jc w:val="center"/>
              <w:rPr>
                <w:color w:val="000000"/>
                <w:sz w:val="16"/>
                <w:szCs w:val="16"/>
              </w:rPr>
            </w:pPr>
            <w:r w:rsidRPr="008A00FB">
              <w:rPr>
                <w:i/>
                <w:iCs/>
                <w:color w:val="000000"/>
                <w:sz w:val="16"/>
                <w:szCs w:val="16"/>
              </w:rPr>
              <w:t>-0,59 [-1,09;-0,09]</w:t>
            </w:r>
            <w:r w:rsidRPr="008A00FB">
              <w:rPr>
                <w:color w:val="000000"/>
                <w:sz w:val="16"/>
                <w:szCs w:val="10"/>
                <w:vertAlign w:val="superscript"/>
              </w:rPr>
              <w:t>C</w:t>
            </w:r>
          </w:p>
        </w:tc>
      </w:tr>
      <w:tr w:rsidR="00CC6368" w:rsidRPr="008A00FB" w14:paraId="11534039" w14:textId="77777777" w:rsidTr="00152247">
        <w:trPr>
          <w:trHeight w:val="106"/>
        </w:trPr>
        <w:tc>
          <w:tcPr>
            <w:tcW w:w="3369" w:type="dxa"/>
            <w:vMerge w:val="restart"/>
            <w:tcBorders>
              <w:top w:val="single" w:sz="4" w:space="0" w:color="auto"/>
              <w:left w:val="single" w:sz="4" w:space="0" w:color="auto"/>
              <w:bottom w:val="single" w:sz="4" w:space="0" w:color="auto"/>
              <w:right w:val="nil"/>
            </w:tcBorders>
            <w:hideMark/>
          </w:tcPr>
          <w:p w14:paraId="6DB46EF2" w14:textId="77777777" w:rsidR="00CC6368" w:rsidRPr="008A00FB" w:rsidRDefault="00CC6368" w:rsidP="00152247">
            <w:pPr>
              <w:autoSpaceDE w:val="0"/>
              <w:autoSpaceDN w:val="0"/>
              <w:adjustRightInd w:val="0"/>
              <w:rPr>
                <w:color w:val="000000"/>
                <w:sz w:val="16"/>
                <w:szCs w:val="16"/>
              </w:rPr>
            </w:pPr>
            <w:proofErr w:type="spellStart"/>
            <w:r w:rsidRPr="008A00FB">
              <w:rPr>
                <w:b/>
                <w:bCs/>
                <w:color w:val="000000"/>
                <w:sz w:val="20"/>
                <w:szCs w:val="20"/>
              </w:rPr>
              <w:t>T</w:t>
            </w:r>
            <w:r>
              <w:rPr>
                <w:b/>
                <w:bCs/>
                <w:color w:val="000000"/>
                <w:sz w:val="20"/>
                <w:szCs w:val="20"/>
              </w:rPr>
              <w:t>j</w:t>
            </w:r>
            <w:r w:rsidRPr="008A00FB">
              <w:rPr>
                <w:b/>
                <w:bCs/>
                <w:color w:val="000000"/>
                <w:sz w:val="20"/>
                <w:szCs w:val="20"/>
              </w:rPr>
              <w:t>elesna</w:t>
            </w:r>
            <w:proofErr w:type="spellEnd"/>
            <w:r w:rsidRPr="008A00FB">
              <w:rPr>
                <w:b/>
                <w:bCs/>
                <w:color w:val="000000"/>
                <w:sz w:val="20"/>
                <w:szCs w:val="20"/>
              </w:rPr>
              <w:t xml:space="preserve"> masa (kg) </w:t>
            </w:r>
          </w:p>
          <w:p w14:paraId="3E111B19"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t>Početna</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w:t>
            </w:r>
            <w:proofErr w:type="spellEnd"/>
            <w:r w:rsidRPr="008A00FB">
              <w:rPr>
                <w:color w:val="000000"/>
                <w:sz w:val="16"/>
                <w:szCs w:val="16"/>
              </w:rPr>
              <w:t xml:space="preserve"> </w:t>
            </w:r>
            <w:r w:rsidRPr="008A00FB">
              <w:rPr>
                <w:rFonts w:ascii="Wingdings 3" w:hAnsi="Wingdings 3" w:cs="Wingdings 3"/>
                <w:color w:val="000000"/>
                <w:sz w:val="16"/>
                <w:szCs w:val="16"/>
              </w:rPr>
              <w:t></w:t>
            </w:r>
            <w:r w:rsidRPr="008A00FB">
              <w:rPr>
                <w:color w:val="000000"/>
                <w:sz w:val="16"/>
                <w:szCs w:val="16"/>
              </w:rPr>
              <w:t xml:space="preserve"> Kraj </w:t>
            </w:r>
            <w:proofErr w:type="spellStart"/>
            <w:r w:rsidRPr="008A00FB">
              <w:rPr>
                <w:color w:val="000000"/>
                <w:sz w:val="16"/>
                <w:szCs w:val="16"/>
              </w:rPr>
              <w:t>ispitivanja</w:t>
            </w:r>
            <w:proofErr w:type="spellEnd"/>
            <w:r w:rsidRPr="008A00FB">
              <w:rPr>
                <w:color w:val="000000"/>
                <w:sz w:val="16"/>
                <w:szCs w:val="16"/>
              </w:rPr>
              <w:t xml:space="preserve"> </w:t>
            </w:r>
          </w:p>
          <w:p w14:paraId="31496F1E" w14:textId="77777777" w:rsidR="00CC6368" w:rsidRPr="008A00FB" w:rsidRDefault="00CC6368" w:rsidP="00152247">
            <w:pPr>
              <w:autoSpaceDE w:val="0"/>
              <w:autoSpaceDN w:val="0"/>
              <w:adjustRightInd w:val="0"/>
              <w:rPr>
                <w:color w:val="000000"/>
                <w:sz w:val="16"/>
                <w:szCs w:val="16"/>
              </w:rPr>
            </w:pPr>
            <w:proofErr w:type="spellStart"/>
            <w:r w:rsidRPr="008A00FB">
              <w:rPr>
                <w:color w:val="000000"/>
                <w:sz w:val="16"/>
                <w:szCs w:val="16"/>
              </w:rPr>
              <w:t>Prilagođena</w:t>
            </w:r>
            <w:proofErr w:type="spellEnd"/>
            <w:r w:rsidRPr="008A00FB">
              <w:rPr>
                <w:color w:val="000000"/>
                <w:sz w:val="16"/>
                <w:szCs w:val="16"/>
              </w:rPr>
              <w:t xml:space="preserve"> </w:t>
            </w:r>
            <w:proofErr w:type="spellStart"/>
            <w:r w:rsidRPr="008A00FB">
              <w:rPr>
                <w:color w:val="000000"/>
                <w:sz w:val="16"/>
                <w:szCs w:val="16"/>
              </w:rPr>
              <w:t>prom</w:t>
            </w:r>
            <w:r>
              <w:rPr>
                <w:color w:val="000000"/>
                <w:sz w:val="16"/>
                <w:szCs w:val="16"/>
              </w:rPr>
              <w:t>j</w:t>
            </w:r>
            <w:r w:rsidRPr="008A00FB">
              <w:rPr>
                <w:color w:val="000000"/>
                <w:sz w:val="16"/>
                <w:szCs w:val="16"/>
              </w:rPr>
              <w:t>ena</w:t>
            </w:r>
            <w:proofErr w:type="spellEnd"/>
            <w:r w:rsidRPr="008A00FB">
              <w:rPr>
                <w:color w:val="000000"/>
                <w:sz w:val="16"/>
                <w:szCs w:val="16"/>
              </w:rPr>
              <w:t xml:space="preserve"> </w:t>
            </w:r>
            <w:proofErr w:type="spellStart"/>
            <w:r w:rsidRPr="008A00FB">
              <w:rPr>
                <w:color w:val="000000"/>
                <w:sz w:val="16"/>
                <w:szCs w:val="16"/>
              </w:rPr>
              <w:t>od</w:t>
            </w:r>
            <w:proofErr w:type="spellEnd"/>
            <w:r w:rsidRPr="008A00FB">
              <w:rPr>
                <w:color w:val="000000"/>
                <w:sz w:val="16"/>
                <w:szCs w:val="16"/>
              </w:rPr>
              <w:t xml:space="preserve"> </w:t>
            </w:r>
            <w:proofErr w:type="spellStart"/>
            <w:r w:rsidRPr="008A00FB">
              <w:rPr>
                <w:color w:val="000000"/>
                <w:sz w:val="16"/>
                <w:szCs w:val="16"/>
              </w:rPr>
              <w:t>početne</w:t>
            </w:r>
            <w:proofErr w:type="spellEnd"/>
            <w:r w:rsidRPr="008A00FB">
              <w:rPr>
                <w:color w:val="000000"/>
                <w:sz w:val="16"/>
                <w:szCs w:val="16"/>
              </w:rPr>
              <w:t xml:space="preserve"> </w:t>
            </w:r>
            <w:proofErr w:type="spellStart"/>
            <w:r w:rsidRPr="008A00FB">
              <w:rPr>
                <w:color w:val="000000"/>
                <w:sz w:val="16"/>
                <w:szCs w:val="16"/>
              </w:rPr>
              <w:t>vr</w:t>
            </w:r>
            <w:r>
              <w:rPr>
                <w:color w:val="000000"/>
                <w:sz w:val="16"/>
                <w:szCs w:val="16"/>
              </w:rPr>
              <w:t>ij</w:t>
            </w:r>
            <w:r w:rsidRPr="008A00FB">
              <w:rPr>
                <w:color w:val="000000"/>
                <w:sz w:val="16"/>
                <w:szCs w:val="16"/>
              </w:rPr>
              <w:t>ednosti</w:t>
            </w:r>
            <w:proofErr w:type="spellEnd"/>
            <w:r w:rsidRPr="008A00FB">
              <w:rPr>
                <w:color w:val="000000"/>
                <w:sz w:val="16"/>
                <w:szCs w:val="16"/>
              </w:rPr>
              <w:t xml:space="preserve"> </w:t>
            </w:r>
          </w:p>
          <w:p w14:paraId="69388DFD" w14:textId="77777777" w:rsidR="00CC6368" w:rsidRPr="008A00FB" w:rsidRDefault="00CC6368" w:rsidP="00152247">
            <w:pPr>
              <w:autoSpaceDE w:val="0"/>
              <w:autoSpaceDN w:val="0"/>
              <w:adjustRightInd w:val="0"/>
              <w:rPr>
                <w:color w:val="000000"/>
                <w:sz w:val="16"/>
                <w:szCs w:val="16"/>
              </w:rPr>
            </w:pPr>
            <w:proofErr w:type="spellStart"/>
            <w:r w:rsidRPr="008A00FB">
              <w:rPr>
                <w:i/>
                <w:iCs/>
                <w:color w:val="000000"/>
                <w:sz w:val="16"/>
                <w:szCs w:val="16"/>
              </w:rPr>
              <w:t>Proc</w:t>
            </w:r>
            <w:r w:rsidR="00163CD0">
              <w:rPr>
                <w:i/>
                <w:iCs/>
                <w:color w:val="000000"/>
                <w:sz w:val="16"/>
                <w:szCs w:val="16"/>
              </w:rPr>
              <w:t>i</w:t>
            </w:r>
            <w:r>
              <w:rPr>
                <w:i/>
                <w:iCs/>
                <w:color w:val="000000"/>
                <w:sz w:val="16"/>
                <w:szCs w:val="16"/>
              </w:rPr>
              <w:t>j</w:t>
            </w:r>
            <w:r w:rsidRPr="008A00FB">
              <w:rPr>
                <w:i/>
                <w:iCs/>
                <w:color w:val="000000"/>
                <w:sz w:val="16"/>
                <w:szCs w:val="16"/>
              </w:rPr>
              <w:t>enjena</w:t>
            </w:r>
            <w:proofErr w:type="spellEnd"/>
            <w:r w:rsidRPr="008A00FB">
              <w:rPr>
                <w:i/>
                <w:iCs/>
                <w:color w:val="000000"/>
                <w:sz w:val="16"/>
                <w:szCs w:val="16"/>
              </w:rPr>
              <w:t xml:space="preserve"> </w:t>
            </w:r>
            <w:proofErr w:type="spellStart"/>
            <w:r w:rsidRPr="008A00FB">
              <w:rPr>
                <w:i/>
                <w:iCs/>
                <w:color w:val="000000"/>
                <w:sz w:val="16"/>
                <w:szCs w:val="16"/>
              </w:rPr>
              <w:t>razlika</w:t>
            </w:r>
            <w:proofErr w:type="spellEnd"/>
            <w:r w:rsidRPr="008A00FB">
              <w:rPr>
                <w:i/>
                <w:iCs/>
                <w:color w:val="000000"/>
                <w:sz w:val="16"/>
                <w:szCs w:val="16"/>
              </w:rPr>
              <w:t xml:space="preserve"> u </w:t>
            </w:r>
            <w:proofErr w:type="spellStart"/>
            <w:r w:rsidRPr="008A00FB">
              <w:rPr>
                <w:i/>
                <w:iCs/>
                <w:color w:val="000000"/>
                <w:sz w:val="16"/>
                <w:szCs w:val="16"/>
              </w:rPr>
              <w:t>l</w:t>
            </w:r>
            <w:r>
              <w:rPr>
                <w:i/>
                <w:iCs/>
                <w:color w:val="000000"/>
                <w:sz w:val="16"/>
                <w:szCs w:val="16"/>
              </w:rPr>
              <w:t>ij</w:t>
            </w:r>
            <w:r w:rsidRPr="008A00FB">
              <w:rPr>
                <w:i/>
                <w:iCs/>
                <w:color w:val="000000"/>
                <w:sz w:val="16"/>
                <w:szCs w:val="16"/>
              </w:rPr>
              <w:t>ečenju</w:t>
            </w:r>
            <w:proofErr w:type="spellEnd"/>
            <w:r w:rsidRPr="008A00FB">
              <w:rPr>
                <w:i/>
                <w:iCs/>
                <w:color w:val="000000"/>
                <w:sz w:val="16"/>
                <w:szCs w:val="16"/>
              </w:rPr>
              <w:t xml:space="preserve"> </w:t>
            </w:r>
          </w:p>
        </w:tc>
        <w:tc>
          <w:tcPr>
            <w:tcW w:w="2976" w:type="dxa"/>
            <w:tcBorders>
              <w:top w:val="single" w:sz="4" w:space="0" w:color="auto"/>
              <w:left w:val="nil"/>
              <w:bottom w:val="nil"/>
              <w:right w:val="nil"/>
            </w:tcBorders>
            <w:vAlign w:val="center"/>
          </w:tcPr>
          <w:p w14:paraId="39AC16AD" w14:textId="77777777" w:rsidR="00CC6368" w:rsidRPr="008A00FB" w:rsidRDefault="00CC6368" w:rsidP="00152247">
            <w:pPr>
              <w:autoSpaceDE w:val="0"/>
              <w:autoSpaceDN w:val="0"/>
              <w:adjustRightInd w:val="0"/>
              <w:jc w:val="center"/>
              <w:rPr>
                <w:color w:val="000000"/>
                <w:sz w:val="20"/>
                <w:szCs w:val="16"/>
              </w:rPr>
            </w:pPr>
          </w:p>
          <w:p w14:paraId="19EEB6AE"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 xml:space="preserve">89,0 </w:t>
            </w:r>
            <w:r w:rsidRPr="008A00FB">
              <w:rPr>
                <w:rFonts w:ascii="Wingdings 3" w:hAnsi="Wingdings 3" w:cs="Wingdings 3"/>
                <w:color w:val="000000"/>
                <w:sz w:val="16"/>
                <w:szCs w:val="16"/>
              </w:rPr>
              <w:t></w:t>
            </w:r>
            <w:r w:rsidRPr="008A00FB">
              <w:rPr>
                <w:color w:val="000000"/>
                <w:sz w:val="16"/>
                <w:szCs w:val="16"/>
              </w:rPr>
              <w:t xml:space="preserve"> 91,6</w:t>
            </w:r>
          </w:p>
          <w:p w14:paraId="75E2DDCA"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2,68</w:t>
            </w:r>
          </w:p>
        </w:tc>
        <w:tc>
          <w:tcPr>
            <w:tcW w:w="2673" w:type="dxa"/>
            <w:tcBorders>
              <w:top w:val="single" w:sz="4" w:space="0" w:color="auto"/>
              <w:left w:val="nil"/>
              <w:bottom w:val="nil"/>
              <w:right w:val="single" w:sz="4" w:space="0" w:color="auto"/>
            </w:tcBorders>
            <w:vAlign w:val="center"/>
          </w:tcPr>
          <w:p w14:paraId="1B639183" w14:textId="77777777" w:rsidR="00CC6368" w:rsidRPr="008A00FB" w:rsidRDefault="00CC6368" w:rsidP="00152247">
            <w:pPr>
              <w:autoSpaceDE w:val="0"/>
              <w:autoSpaceDN w:val="0"/>
              <w:adjustRightInd w:val="0"/>
              <w:jc w:val="center"/>
              <w:rPr>
                <w:color w:val="000000"/>
                <w:sz w:val="20"/>
                <w:szCs w:val="16"/>
              </w:rPr>
            </w:pPr>
          </w:p>
          <w:p w14:paraId="55D1FD45"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 xml:space="preserve">88,3 </w:t>
            </w:r>
            <w:r w:rsidRPr="008A00FB">
              <w:rPr>
                <w:rFonts w:ascii="Wingdings 3" w:hAnsi="Wingdings 3" w:cs="Wingdings 3"/>
                <w:color w:val="000000"/>
                <w:sz w:val="16"/>
                <w:szCs w:val="16"/>
              </w:rPr>
              <w:t></w:t>
            </w:r>
            <w:r w:rsidRPr="008A00FB">
              <w:rPr>
                <w:color w:val="000000"/>
                <w:sz w:val="16"/>
                <w:szCs w:val="16"/>
              </w:rPr>
              <w:t xml:space="preserve"> 90,8</w:t>
            </w:r>
          </w:p>
          <w:p w14:paraId="73EE201F"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2,67</w:t>
            </w:r>
          </w:p>
        </w:tc>
      </w:tr>
      <w:tr w:rsidR="00CC6368" w:rsidRPr="008A00FB" w14:paraId="17900AA0" w14:textId="77777777" w:rsidTr="00FE68F5">
        <w:trPr>
          <w:trHeight w:val="106"/>
        </w:trPr>
        <w:tc>
          <w:tcPr>
            <w:tcW w:w="3369" w:type="dxa"/>
            <w:vMerge/>
            <w:tcBorders>
              <w:top w:val="single" w:sz="4" w:space="0" w:color="auto"/>
              <w:left w:val="single" w:sz="4" w:space="0" w:color="auto"/>
              <w:bottom w:val="single" w:sz="4" w:space="0" w:color="auto"/>
              <w:right w:val="nil"/>
            </w:tcBorders>
            <w:vAlign w:val="center"/>
            <w:hideMark/>
          </w:tcPr>
          <w:p w14:paraId="41D38108" w14:textId="77777777" w:rsidR="00CC6368" w:rsidRPr="008A00FB" w:rsidRDefault="00CC6368" w:rsidP="00152247">
            <w:pPr>
              <w:rPr>
                <w:color w:val="000000"/>
                <w:sz w:val="16"/>
                <w:szCs w:val="16"/>
              </w:rPr>
            </w:pPr>
          </w:p>
        </w:tc>
        <w:tc>
          <w:tcPr>
            <w:tcW w:w="5649" w:type="dxa"/>
            <w:gridSpan w:val="2"/>
            <w:tcBorders>
              <w:top w:val="nil"/>
              <w:left w:val="nil"/>
              <w:bottom w:val="single" w:sz="4" w:space="0" w:color="auto"/>
              <w:right w:val="single" w:sz="4" w:space="0" w:color="auto"/>
            </w:tcBorders>
            <w:vAlign w:val="center"/>
            <w:hideMark/>
          </w:tcPr>
          <w:p w14:paraId="6A09DDD4" w14:textId="77777777" w:rsidR="00CC6368" w:rsidRPr="008A00FB" w:rsidRDefault="00CC6368" w:rsidP="00152247">
            <w:pPr>
              <w:autoSpaceDE w:val="0"/>
              <w:autoSpaceDN w:val="0"/>
              <w:adjustRightInd w:val="0"/>
              <w:jc w:val="center"/>
              <w:rPr>
                <w:color w:val="000000"/>
                <w:sz w:val="16"/>
                <w:szCs w:val="16"/>
              </w:rPr>
            </w:pPr>
            <w:r w:rsidRPr="008A00FB">
              <w:rPr>
                <w:i/>
                <w:iCs/>
                <w:color w:val="000000"/>
                <w:sz w:val="16"/>
                <w:szCs w:val="16"/>
              </w:rPr>
              <w:t>0,00 [-0,60;0,61]</w:t>
            </w:r>
          </w:p>
        </w:tc>
      </w:tr>
      <w:tr w:rsidR="00CC6368" w:rsidRPr="008A00FB" w14:paraId="60E209F5" w14:textId="77777777" w:rsidTr="00152247">
        <w:trPr>
          <w:trHeight w:val="450"/>
        </w:trPr>
        <w:tc>
          <w:tcPr>
            <w:tcW w:w="3369" w:type="dxa"/>
            <w:vMerge w:val="restart"/>
            <w:tcBorders>
              <w:top w:val="single" w:sz="4" w:space="0" w:color="auto"/>
              <w:left w:val="single" w:sz="4" w:space="0" w:color="auto"/>
              <w:bottom w:val="single" w:sz="4" w:space="0" w:color="auto"/>
              <w:right w:val="nil"/>
            </w:tcBorders>
            <w:hideMark/>
          </w:tcPr>
          <w:p w14:paraId="0BF4523A" w14:textId="77777777" w:rsidR="00CC6368" w:rsidRPr="008A00FB" w:rsidRDefault="00163CD0" w:rsidP="00152247">
            <w:pPr>
              <w:autoSpaceDE w:val="0"/>
              <w:autoSpaceDN w:val="0"/>
              <w:adjustRightInd w:val="0"/>
              <w:rPr>
                <w:b/>
                <w:bCs/>
                <w:color w:val="000000"/>
                <w:sz w:val="20"/>
                <w:szCs w:val="20"/>
              </w:rPr>
            </w:pPr>
            <w:proofErr w:type="spellStart"/>
            <w:r w:rsidRPr="008A00FB">
              <w:rPr>
                <w:b/>
                <w:bCs/>
                <w:color w:val="000000"/>
                <w:sz w:val="20"/>
                <w:szCs w:val="20"/>
              </w:rPr>
              <w:t>Zab</w:t>
            </w:r>
            <w:r>
              <w:rPr>
                <w:b/>
                <w:bCs/>
                <w:color w:val="000000"/>
                <w:sz w:val="20"/>
                <w:szCs w:val="20"/>
              </w:rPr>
              <w:t>ilj</w:t>
            </w:r>
            <w:r w:rsidRPr="008A00FB">
              <w:rPr>
                <w:b/>
                <w:bCs/>
                <w:color w:val="000000"/>
                <w:sz w:val="20"/>
                <w:szCs w:val="20"/>
              </w:rPr>
              <w:t>ežena</w:t>
            </w:r>
            <w:proofErr w:type="spellEnd"/>
            <w:r w:rsidRPr="008A00FB">
              <w:rPr>
                <w:b/>
                <w:bCs/>
                <w:color w:val="000000"/>
                <w:sz w:val="20"/>
                <w:szCs w:val="20"/>
              </w:rPr>
              <w:t xml:space="preserve"> </w:t>
            </w:r>
            <w:proofErr w:type="spellStart"/>
            <w:r w:rsidR="00CC6368" w:rsidRPr="008A00FB">
              <w:rPr>
                <w:b/>
                <w:bCs/>
                <w:color w:val="000000"/>
                <w:sz w:val="20"/>
                <w:szCs w:val="20"/>
              </w:rPr>
              <w:t>stopa</w:t>
            </w:r>
            <w:proofErr w:type="spellEnd"/>
            <w:r w:rsidR="00CC6368" w:rsidRPr="008A00FB">
              <w:rPr>
                <w:b/>
                <w:bCs/>
                <w:color w:val="000000"/>
                <w:sz w:val="20"/>
                <w:szCs w:val="20"/>
              </w:rPr>
              <w:t xml:space="preserve"> </w:t>
            </w:r>
            <w:proofErr w:type="spellStart"/>
            <w:r w:rsidR="00CC6368" w:rsidRPr="008A00FB">
              <w:rPr>
                <w:b/>
                <w:bCs/>
                <w:color w:val="000000"/>
                <w:sz w:val="20"/>
                <w:szCs w:val="20"/>
              </w:rPr>
              <w:t>teške</w:t>
            </w:r>
            <w:proofErr w:type="spellEnd"/>
            <w:r w:rsidR="00CC6368" w:rsidRPr="008A00FB">
              <w:rPr>
                <w:b/>
                <w:bCs/>
                <w:color w:val="000000"/>
                <w:sz w:val="20"/>
                <w:szCs w:val="20"/>
              </w:rPr>
              <w:t xml:space="preserve"> </w:t>
            </w:r>
            <w:proofErr w:type="spellStart"/>
            <w:r w:rsidR="00CC6368" w:rsidRPr="008A00FB">
              <w:rPr>
                <w:b/>
                <w:bCs/>
                <w:color w:val="000000"/>
                <w:sz w:val="20"/>
                <w:szCs w:val="20"/>
              </w:rPr>
              <w:t>ili</w:t>
            </w:r>
            <w:proofErr w:type="spellEnd"/>
            <w:r w:rsidR="00CC6368" w:rsidRPr="008A00FB">
              <w:rPr>
                <w:b/>
                <w:bCs/>
                <w:color w:val="000000"/>
                <w:sz w:val="20"/>
                <w:szCs w:val="20"/>
              </w:rPr>
              <w:t xml:space="preserve"> GK </w:t>
            </w:r>
            <w:proofErr w:type="spellStart"/>
            <w:r w:rsidR="00CC6368" w:rsidRPr="008A00FB">
              <w:rPr>
                <w:b/>
                <w:bCs/>
                <w:color w:val="000000"/>
                <w:sz w:val="20"/>
                <w:szCs w:val="20"/>
              </w:rPr>
              <w:t>potvrđene</w:t>
            </w:r>
            <w:proofErr w:type="spellEnd"/>
            <w:r w:rsidR="00CC6368" w:rsidRPr="008A00FB">
              <w:rPr>
                <w:b/>
                <w:bCs/>
                <w:color w:val="000000"/>
                <w:sz w:val="20"/>
                <w:szCs w:val="20"/>
              </w:rPr>
              <w:t xml:space="preserve"> </w:t>
            </w:r>
            <w:proofErr w:type="spellStart"/>
            <w:r w:rsidR="00CC6368" w:rsidRPr="008A00FB">
              <w:rPr>
                <w:b/>
                <w:bCs/>
                <w:color w:val="000000"/>
                <w:sz w:val="20"/>
                <w:szCs w:val="20"/>
              </w:rPr>
              <w:t>hipoglikemije</w:t>
            </w:r>
            <w:r w:rsidR="00CC6368" w:rsidRPr="008A00FB">
              <w:rPr>
                <w:b/>
                <w:bCs/>
                <w:color w:val="000000"/>
                <w:sz w:val="20"/>
                <w:szCs w:val="20"/>
                <w:vertAlign w:val="superscript"/>
              </w:rPr>
              <w:t>B</w:t>
            </w:r>
            <w:proofErr w:type="spellEnd"/>
            <w:r w:rsidR="00CC6368" w:rsidRPr="008A00FB">
              <w:rPr>
                <w:b/>
                <w:bCs/>
                <w:color w:val="000000"/>
                <w:sz w:val="13"/>
                <w:szCs w:val="13"/>
              </w:rPr>
              <w:t xml:space="preserve"> </w:t>
            </w:r>
            <w:r w:rsidR="00CC6368" w:rsidRPr="008A00FB">
              <w:rPr>
                <w:b/>
                <w:bCs/>
                <w:color w:val="000000"/>
                <w:sz w:val="20"/>
                <w:szCs w:val="20"/>
              </w:rPr>
              <w:t xml:space="preserve">po </w:t>
            </w:r>
            <w:proofErr w:type="spellStart"/>
            <w:r w:rsidR="00CC6368" w:rsidRPr="008A00FB">
              <w:rPr>
                <w:b/>
                <w:bCs/>
                <w:color w:val="000000"/>
                <w:sz w:val="20"/>
                <w:szCs w:val="20"/>
              </w:rPr>
              <w:t>pacijent-godini</w:t>
            </w:r>
            <w:proofErr w:type="spellEnd"/>
            <w:r w:rsidR="00CC6368" w:rsidRPr="008A00FB">
              <w:rPr>
                <w:b/>
                <w:bCs/>
                <w:color w:val="000000"/>
                <w:sz w:val="20"/>
                <w:szCs w:val="20"/>
              </w:rPr>
              <w:t xml:space="preserve"> </w:t>
            </w:r>
            <w:proofErr w:type="spellStart"/>
            <w:r w:rsidR="00CC6368" w:rsidRPr="008A00FB">
              <w:rPr>
                <w:b/>
                <w:bCs/>
                <w:color w:val="000000"/>
                <w:sz w:val="20"/>
                <w:szCs w:val="20"/>
              </w:rPr>
              <w:t>izloženosti</w:t>
            </w:r>
            <w:proofErr w:type="spellEnd"/>
            <w:r w:rsidR="00CC6368" w:rsidRPr="008A00FB">
              <w:rPr>
                <w:b/>
                <w:bCs/>
                <w:color w:val="000000"/>
                <w:sz w:val="20"/>
                <w:szCs w:val="20"/>
              </w:rPr>
              <w:t xml:space="preserve"> (</w:t>
            </w:r>
            <w:proofErr w:type="spellStart"/>
            <w:r w:rsidR="00CC6368" w:rsidRPr="008A00FB">
              <w:rPr>
                <w:b/>
                <w:color w:val="000000"/>
                <w:sz w:val="20"/>
                <w:szCs w:val="20"/>
              </w:rPr>
              <w:t>procenat</w:t>
            </w:r>
            <w:proofErr w:type="spellEnd"/>
            <w:r w:rsidR="00CC6368" w:rsidRPr="008A00FB">
              <w:rPr>
                <w:b/>
                <w:color w:val="000000"/>
                <w:sz w:val="20"/>
                <w:szCs w:val="20"/>
              </w:rPr>
              <w:t xml:space="preserve"> </w:t>
            </w:r>
            <w:proofErr w:type="spellStart"/>
            <w:r w:rsidR="00CC6368" w:rsidRPr="008A00FB">
              <w:rPr>
                <w:b/>
                <w:color w:val="000000"/>
                <w:sz w:val="20"/>
                <w:szCs w:val="20"/>
              </w:rPr>
              <w:t>pacijenata</w:t>
            </w:r>
            <w:proofErr w:type="spellEnd"/>
            <w:r w:rsidR="00CC6368" w:rsidRPr="008A00FB">
              <w:rPr>
                <w:b/>
                <w:bCs/>
                <w:color w:val="000000"/>
                <w:sz w:val="20"/>
                <w:szCs w:val="20"/>
              </w:rPr>
              <w:t xml:space="preserve">) </w:t>
            </w:r>
          </w:p>
          <w:p w14:paraId="37033417" w14:textId="77777777" w:rsidR="00CC6368" w:rsidRPr="008A00FB" w:rsidRDefault="00CC6368" w:rsidP="00152247">
            <w:pPr>
              <w:autoSpaceDE w:val="0"/>
              <w:autoSpaceDN w:val="0"/>
              <w:adjustRightInd w:val="0"/>
              <w:rPr>
                <w:sz w:val="16"/>
                <w:szCs w:val="20"/>
              </w:rPr>
            </w:pPr>
            <w:proofErr w:type="spellStart"/>
            <w:r w:rsidRPr="008A00FB">
              <w:rPr>
                <w:i/>
                <w:iCs/>
                <w:sz w:val="16"/>
                <w:szCs w:val="16"/>
              </w:rPr>
              <w:t>Proc</w:t>
            </w:r>
            <w:r w:rsidR="00163CD0">
              <w:rPr>
                <w:i/>
                <w:iCs/>
                <w:sz w:val="16"/>
                <w:szCs w:val="16"/>
              </w:rPr>
              <w:t>i</w:t>
            </w:r>
            <w:r>
              <w:rPr>
                <w:i/>
                <w:iCs/>
                <w:sz w:val="16"/>
                <w:szCs w:val="16"/>
              </w:rPr>
              <w:t>j</w:t>
            </w:r>
            <w:r w:rsidRPr="008A00FB">
              <w:rPr>
                <w:i/>
                <w:iCs/>
                <w:sz w:val="16"/>
                <w:szCs w:val="16"/>
              </w:rPr>
              <w:t>enjen</w:t>
            </w:r>
            <w:proofErr w:type="spellEnd"/>
            <w:r w:rsidRPr="008A00FB">
              <w:rPr>
                <w:i/>
                <w:iCs/>
                <w:sz w:val="16"/>
                <w:szCs w:val="16"/>
              </w:rPr>
              <w:t xml:space="preserve"> </w:t>
            </w:r>
            <w:proofErr w:type="spellStart"/>
            <w:r w:rsidRPr="008A00FB">
              <w:rPr>
                <w:i/>
                <w:iCs/>
                <w:sz w:val="16"/>
                <w:szCs w:val="16"/>
              </w:rPr>
              <w:t>odnos</w:t>
            </w:r>
            <w:proofErr w:type="spellEnd"/>
            <w:r w:rsidRPr="008A00FB">
              <w:rPr>
                <w:i/>
                <w:iCs/>
                <w:sz w:val="16"/>
                <w:szCs w:val="16"/>
              </w:rPr>
              <w:t xml:space="preserve"> </w:t>
            </w:r>
            <w:proofErr w:type="spellStart"/>
            <w:r w:rsidRPr="008A00FB">
              <w:rPr>
                <w:i/>
                <w:iCs/>
                <w:sz w:val="16"/>
                <w:szCs w:val="16"/>
              </w:rPr>
              <w:t>stopa</w:t>
            </w:r>
            <w:proofErr w:type="spellEnd"/>
          </w:p>
        </w:tc>
        <w:tc>
          <w:tcPr>
            <w:tcW w:w="2976" w:type="dxa"/>
            <w:tcBorders>
              <w:top w:val="single" w:sz="4" w:space="0" w:color="auto"/>
              <w:left w:val="nil"/>
              <w:bottom w:val="nil"/>
              <w:right w:val="nil"/>
            </w:tcBorders>
            <w:vAlign w:val="center"/>
          </w:tcPr>
          <w:p w14:paraId="10F238F7" w14:textId="77777777" w:rsidR="00CC6368" w:rsidRPr="008A00FB" w:rsidRDefault="00CC6368" w:rsidP="00152247">
            <w:pPr>
              <w:autoSpaceDE w:val="0"/>
              <w:autoSpaceDN w:val="0"/>
              <w:adjustRightInd w:val="0"/>
              <w:jc w:val="center"/>
              <w:rPr>
                <w:color w:val="000000"/>
                <w:sz w:val="20"/>
                <w:szCs w:val="16"/>
              </w:rPr>
            </w:pPr>
          </w:p>
          <w:p w14:paraId="378010B5" w14:textId="77777777" w:rsidR="00CC6368" w:rsidRPr="008A00FB" w:rsidRDefault="00CC6368" w:rsidP="00152247">
            <w:pPr>
              <w:autoSpaceDE w:val="0"/>
              <w:autoSpaceDN w:val="0"/>
              <w:adjustRightInd w:val="0"/>
              <w:jc w:val="center"/>
              <w:rPr>
                <w:color w:val="000000"/>
                <w:sz w:val="20"/>
                <w:szCs w:val="16"/>
              </w:rPr>
            </w:pPr>
          </w:p>
          <w:p w14:paraId="470DB357" w14:textId="77777777" w:rsidR="00CC6368" w:rsidRPr="008A00FB" w:rsidRDefault="00CC6368" w:rsidP="00152247">
            <w:pPr>
              <w:autoSpaceDE w:val="0"/>
              <w:autoSpaceDN w:val="0"/>
              <w:adjustRightInd w:val="0"/>
              <w:jc w:val="center"/>
              <w:rPr>
                <w:color w:val="000000"/>
                <w:sz w:val="20"/>
                <w:szCs w:val="16"/>
              </w:rPr>
            </w:pPr>
          </w:p>
          <w:p w14:paraId="73A5E44C"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17,9 (76,8)</w:t>
            </w:r>
          </w:p>
        </w:tc>
        <w:tc>
          <w:tcPr>
            <w:tcW w:w="2673" w:type="dxa"/>
            <w:tcBorders>
              <w:top w:val="single" w:sz="4" w:space="0" w:color="auto"/>
              <w:left w:val="nil"/>
              <w:bottom w:val="nil"/>
              <w:right w:val="single" w:sz="4" w:space="0" w:color="auto"/>
            </w:tcBorders>
            <w:vAlign w:val="center"/>
          </w:tcPr>
          <w:p w14:paraId="3E3433B1" w14:textId="77777777" w:rsidR="00CC6368" w:rsidRPr="008A00FB" w:rsidRDefault="00CC6368" w:rsidP="00152247">
            <w:pPr>
              <w:autoSpaceDE w:val="0"/>
              <w:autoSpaceDN w:val="0"/>
              <w:adjustRightInd w:val="0"/>
              <w:jc w:val="center"/>
              <w:rPr>
                <w:color w:val="000000"/>
                <w:sz w:val="20"/>
                <w:szCs w:val="16"/>
              </w:rPr>
            </w:pPr>
          </w:p>
          <w:p w14:paraId="73AFDF58" w14:textId="77777777" w:rsidR="00CC6368" w:rsidRPr="008A00FB" w:rsidRDefault="00CC6368" w:rsidP="00152247">
            <w:pPr>
              <w:autoSpaceDE w:val="0"/>
              <w:autoSpaceDN w:val="0"/>
              <w:adjustRightInd w:val="0"/>
              <w:jc w:val="center"/>
              <w:rPr>
                <w:color w:val="000000"/>
                <w:sz w:val="20"/>
                <w:szCs w:val="16"/>
              </w:rPr>
            </w:pPr>
          </w:p>
          <w:p w14:paraId="3D182F33" w14:textId="77777777" w:rsidR="00CC6368" w:rsidRPr="008A00FB" w:rsidRDefault="00CC6368" w:rsidP="00152247">
            <w:pPr>
              <w:autoSpaceDE w:val="0"/>
              <w:autoSpaceDN w:val="0"/>
              <w:adjustRightInd w:val="0"/>
              <w:jc w:val="center"/>
              <w:rPr>
                <w:color w:val="000000"/>
                <w:sz w:val="20"/>
                <w:szCs w:val="16"/>
              </w:rPr>
            </w:pPr>
          </w:p>
          <w:p w14:paraId="63D797A9" w14:textId="77777777" w:rsidR="00CC6368" w:rsidRPr="008A00FB" w:rsidRDefault="00CC6368" w:rsidP="00152247">
            <w:pPr>
              <w:autoSpaceDE w:val="0"/>
              <w:autoSpaceDN w:val="0"/>
              <w:adjustRightInd w:val="0"/>
              <w:jc w:val="center"/>
              <w:rPr>
                <w:color w:val="000000"/>
                <w:sz w:val="16"/>
                <w:szCs w:val="16"/>
              </w:rPr>
            </w:pPr>
            <w:r w:rsidRPr="008A00FB">
              <w:rPr>
                <w:color w:val="000000"/>
                <w:sz w:val="16"/>
                <w:szCs w:val="16"/>
              </w:rPr>
              <w:t>16,6 (73,3)</w:t>
            </w:r>
          </w:p>
        </w:tc>
      </w:tr>
      <w:tr w:rsidR="00CC6368" w:rsidRPr="008A00FB" w14:paraId="36557970" w14:textId="77777777" w:rsidTr="00FE68F5">
        <w:trPr>
          <w:trHeight w:val="108"/>
        </w:trPr>
        <w:tc>
          <w:tcPr>
            <w:tcW w:w="3369" w:type="dxa"/>
            <w:vMerge/>
            <w:tcBorders>
              <w:top w:val="single" w:sz="4" w:space="0" w:color="auto"/>
              <w:left w:val="single" w:sz="4" w:space="0" w:color="auto"/>
              <w:bottom w:val="single" w:sz="4" w:space="0" w:color="auto"/>
              <w:right w:val="nil"/>
            </w:tcBorders>
            <w:vAlign w:val="center"/>
            <w:hideMark/>
          </w:tcPr>
          <w:p w14:paraId="5AA4D47E" w14:textId="77777777" w:rsidR="00CC6368" w:rsidRPr="008A00FB" w:rsidRDefault="00CC6368" w:rsidP="00152247">
            <w:pPr>
              <w:rPr>
                <w:sz w:val="16"/>
                <w:szCs w:val="20"/>
              </w:rPr>
            </w:pPr>
          </w:p>
        </w:tc>
        <w:tc>
          <w:tcPr>
            <w:tcW w:w="5649" w:type="dxa"/>
            <w:gridSpan w:val="2"/>
            <w:tcBorders>
              <w:top w:val="nil"/>
              <w:left w:val="nil"/>
              <w:bottom w:val="single" w:sz="4" w:space="0" w:color="auto"/>
              <w:right w:val="single" w:sz="4" w:space="0" w:color="auto"/>
            </w:tcBorders>
            <w:vAlign w:val="center"/>
            <w:hideMark/>
          </w:tcPr>
          <w:p w14:paraId="0078D379" w14:textId="77777777" w:rsidR="00CC6368" w:rsidRPr="008A00FB" w:rsidRDefault="00CC6368" w:rsidP="00152247">
            <w:pPr>
              <w:autoSpaceDE w:val="0"/>
              <w:autoSpaceDN w:val="0"/>
              <w:adjustRightInd w:val="0"/>
              <w:jc w:val="center"/>
              <w:rPr>
                <w:color w:val="000000"/>
                <w:sz w:val="16"/>
                <w:szCs w:val="16"/>
              </w:rPr>
            </w:pPr>
            <w:r w:rsidRPr="008A00FB">
              <w:rPr>
                <w:i/>
                <w:iCs/>
                <w:color w:val="000000"/>
                <w:sz w:val="16"/>
                <w:szCs w:val="16"/>
              </w:rPr>
              <w:t>1,09 [0,88;1,36]</w:t>
            </w:r>
          </w:p>
        </w:tc>
      </w:tr>
    </w:tbl>
    <w:p w14:paraId="0820852D" w14:textId="4839FA1C" w:rsidR="00FE68F5" w:rsidRPr="00FE68F5" w:rsidRDefault="00FE68F5" w:rsidP="00C46C9C">
      <w:pPr>
        <w:autoSpaceDE w:val="0"/>
        <w:autoSpaceDN w:val="0"/>
        <w:adjustRightInd w:val="0"/>
        <w:jc w:val="both"/>
        <w:rPr>
          <w:color w:val="000000"/>
          <w:sz w:val="18"/>
          <w:szCs w:val="18"/>
        </w:rPr>
      </w:pPr>
      <w:proofErr w:type="spellStart"/>
      <w:r w:rsidRPr="00FE68F5">
        <w:rPr>
          <w:color w:val="000000"/>
          <w:sz w:val="18"/>
          <w:szCs w:val="18"/>
        </w:rPr>
        <w:t>Početne</w:t>
      </w:r>
      <w:proofErr w:type="spellEnd"/>
      <w:r w:rsidRPr="00FE68F5">
        <w:rPr>
          <w:color w:val="000000"/>
          <w:sz w:val="18"/>
          <w:szCs w:val="18"/>
        </w:rPr>
        <w:t xml:space="preserve"> </w:t>
      </w:r>
      <w:proofErr w:type="spellStart"/>
      <w:r w:rsidRPr="00FE68F5">
        <w:rPr>
          <w:color w:val="000000"/>
          <w:sz w:val="18"/>
          <w:szCs w:val="18"/>
        </w:rPr>
        <w:t>vrijednosti</w:t>
      </w:r>
      <w:proofErr w:type="spellEnd"/>
      <w:r w:rsidRPr="00FE68F5">
        <w:rPr>
          <w:color w:val="000000"/>
          <w:sz w:val="18"/>
          <w:szCs w:val="18"/>
        </w:rPr>
        <w:t xml:space="preserve"> i </w:t>
      </w:r>
      <w:proofErr w:type="spellStart"/>
      <w:r w:rsidR="003C7F98">
        <w:rPr>
          <w:color w:val="000000"/>
          <w:sz w:val="18"/>
          <w:szCs w:val="18"/>
        </w:rPr>
        <w:t>v</w:t>
      </w:r>
      <w:r w:rsidRPr="00FE68F5">
        <w:rPr>
          <w:color w:val="000000"/>
          <w:sz w:val="18"/>
          <w:szCs w:val="18"/>
        </w:rPr>
        <w:t>rijednosti</w:t>
      </w:r>
      <w:proofErr w:type="spellEnd"/>
      <w:r w:rsidRPr="00FE68F5">
        <w:rPr>
          <w:color w:val="000000"/>
          <w:sz w:val="18"/>
          <w:szCs w:val="18"/>
        </w:rPr>
        <w:t xml:space="preserve"> </w:t>
      </w:r>
      <w:proofErr w:type="spellStart"/>
      <w:r w:rsidRPr="00FE68F5">
        <w:rPr>
          <w:color w:val="000000"/>
          <w:sz w:val="18"/>
          <w:szCs w:val="18"/>
        </w:rPr>
        <w:t>na</w:t>
      </w:r>
      <w:proofErr w:type="spellEnd"/>
      <w:r w:rsidRPr="00FE68F5">
        <w:rPr>
          <w:color w:val="000000"/>
          <w:sz w:val="18"/>
          <w:szCs w:val="18"/>
        </w:rPr>
        <w:t xml:space="preserve"> </w:t>
      </w:r>
      <w:proofErr w:type="spellStart"/>
      <w:r w:rsidRPr="00FE68F5">
        <w:rPr>
          <w:color w:val="000000"/>
          <w:sz w:val="18"/>
          <w:szCs w:val="18"/>
        </w:rPr>
        <w:t>kraju</w:t>
      </w:r>
      <w:proofErr w:type="spellEnd"/>
      <w:r w:rsidRPr="00FE68F5">
        <w:rPr>
          <w:color w:val="000000"/>
          <w:sz w:val="18"/>
          <w:szCs w:val="18"/>
        </w:rPr>
        <w:t xml:space="preserve"> </w:t>
      </w:r>
      <w:proofErr w:type="spellStart"/>
      <w:r w:rsidRPr="00FE68F5">
        <w:rPr>
          <w:color w:val="000000"/>
          <w:sz w:val="18"/>
          <w:szCs w:val="18"/>
        </w:rPr>
        <w:t>ispitivanja</w:t>
      </w:r>
      <w:proofErr w:type="spellEnd"/>
      <w:r w:rsidRPr="00FE68F5">
        <w:rPr>
          <w:color w:val="000000"/>
          <w:sz w:val="18"/>
          <w:szCs w:val="18"/>
        </w:rPr>
        <w:t xml:space="preserve"> </w:t>
      </w:r>
      <w:proofErr w:type="spellStart"/>
      <w:r w:rsidRPr="00FE68F5">
        <w:rPr>
          <w:color w:val="000000"/>
          <w:sz w:val="18"/>
          <w:szCs w:val="18"/>
        </w:rPr>
        <w:t>su</w:t>
      </w:r>
      <w:proofErr w:type="spellEnd"/>
      <w:r w:rsidRPr="00FE68F5">
        <w:rPr>
          <w:color w:val="000000"/>
          <w:sz w:val="18"/>
          <w:szCs w:val="18"/>
        </w:rPr>
        <w:t xml:space="preserve"> </w:t>
      </w:r>
      <w:proofErr w:type="spellStart"/>
      <w:r w:rsidRPr="00FE68F5">
        <w:rPr>
          <w:color w:val="000000"/>
          <w:sz w:val="18"/>
          <w:szCs w:val="18"/>
        </w:rPr>
        <w:t>dobijene</w:t>
      </w:r>
      <w:proofErr w:type="spellEnd"/>
      <w:r w:rsidRPr="00FE68F5">
        <w:rPr>
          <w:color w:val="000000"/>
          <w:sz w:val="18"/>
          <w:szCs w:val="18"/>
        </w:rPr>
        <w:t xml:space="preserve"> </w:t>
      </w:r>
      <w:proofErr w:type="spellStart"/>
      <w:r w:rsidRPr="00FE68F5">
        <w:rPr>
          <w:color w:val="000000"/>
          <w:sz w:val="18"/>
          <w:szCs w:val="18"/>
        </w:rPr>
        <w:t>na</w:t>
      </w:r>
      <w:proofErr w:type="spellEnd"/>
      <w:r w:rsidRPr="00FE68F5">
        <w:rPr>
          <w:color w:val="000000"/>
          <w:sz w:val="18"/>
          <w:szCs w:val="18"/>
        </w:rPr>
        <w:t xml:space="preserve"> </w:t>
      </w:r>
      <w:proofErr w:type="spellStart"/>
      <w:r w:rsidRPr="00FE68F5">
        <w:rPr>
          <w:color w:val="000000"/>
          <w:sz w:val="18"/>
          <w:szCs w:val="18"/>
        </w:rPr>
        <w:t>osnovu</w:t>
      </w:r>
      <w:proofErr w:type="spellEnd"/>
      <w:r w:rsidRPr="00FE68F5">
        <w:rPr>
          <w:color w:val="000000"/>
          <w:sz w:val="18"/>
          <w:szCs w:val="18"/>
        </w:rPr>
        <w:t xml:space="preserve"> </w:t>
      </w:r>
      <w:proofErr w:type="spellStart"/>
      <w:r w:rsidRPr="00FE68F5">
        <w:rPr>
          <w:color w:val="000000"/>
          <w:sz w:val="18"/>
          <w:szCs w:val="18"/>
        </w:rPr>
        <w:t>srednjih</w:t>
      </w:r>
      <w:proofErr w:type="spellEnd"/>
      <w:r w:rsidRPr="00FE68F5">
        <w:rPr>
          <w:color w:val="000000"/>
          <w:sz w:val="18"/>
          <w:szCs w:val="18"/>
        </w:rPr>
        <w:t xml:space="preserve"> </w:t>
      </w:r>
      <w:proofErr w:type="spellStart"/>
      <w:r w:rsidRPr="00FE68F5">
        <w:rPr>
          <w:color w:val="000000"/>
          <w:sz w:val="18"/>
          <w:szCs w:val="18"/>
        </w:rPr>
        <w:t>posljednjih</w:t>
      </w:r>
      <w:proofErr w:type="spellEnd"/>
      <w:r w:rsidRPr="00FE68F5">
        <w:rPr>
          <w:color w:val="000000"/>
          <w:sz w:val="18"/>
          <w:szCs w:val="18"/>
        </w:rPr>
        <w:t xml:space="preserve"> </w:t>
      </w:r>
      <w:proofErr w:type="spellStart"/>
      <w:r w:rsidRPr="00FE68F5">
        <w:rPr>
          <w:color w:val="000000"/>
          <w:sz w:val="18"/>
          <w:szCs w:val="18"/>
        </w:rPr>
        <w:t>dostupnih</w:t>
      </w:r>
      <w:proofErr w:type="spellEnd"/>
      <w:r w:rsidRPr="00FE68F5">
        <w:rPr>
          <w:color w:val="000000"/>
          <w:sz w:val="18"/>
          <w:szCs w:val="18"/>
        </w:rPr>
        <w:t xml:space="preserve"> </w:t>
      </w:r>
      <w:proofErr w:type="spellStart"/>
      <w:r w:rsidRPr="00FE68F5">
        <w:rPr>
          <w:color w:val="000000"/>
          <w:sz w:val="18"/>
          <w:szCs w:val="18"/>
        </w:rPr>
        <w:t>zabilježenih</w:t>
      </w:r>
      <w:proofErr w:type="spellEnd"/>
      <w:r w:rsidRPr="00FE68F5">
        <w:rPr>
          <w:color w:val="000000"/>
          <w:sz w:val="18"/>
          <w:szCs w:val="18"/>
        </w:rPr>
        <w:t xml:space="preserve"> </w:t>
      </w:r>
      <w:proofErr w:type="spellStart"/>
      <w:r w:rsidRPr="00FE68F5">
        <w:rPr>
          <w:color w:val="000000"/>
          <w:sz w:val="18"/>
          <w:szCs w:val="18"/>
        </w:rPr>
        <w:t>vrijednosti</w:t>
      </w:r>
      <w:proofErr w:type="spellEnd"/>
      <w:r w:rsidRPr="00FE68F5">
        <w:rPr>
          <w:color w:val="000000"/>
          <w:sz w:val="18"/>
          <w:szCs w:val="18"/>
        </w:rPr>
        <w:t>. 95% -</w:t>
      </w:r>
      <w:proofErr w:type="spellStart"/>
      <w:r w:rsidRPr="00FE68F5">
        <w:rPr>
          <w:color w:val="000000"/>
          <w:sz w:val="18"/>
          <w:szCs w:val="18"/>
        </w:rPr>
        <w:t>tni</w:t>
      </w:r>
      <w:proofErr w:type="spellEnd"/>
      <w:r w:rsidRPr="00FE68F5">
        <w:rPr>
          <w:color w:val="000000"/>
          <w:sz w:val="18"/>
          <w:szCs w:val="18"/>
        </w:rPr>
        <w:t xml:space="preserve"> interval </w:t>
      </w:r>
      <w:proofErr w:type="spellStart"/>
      <w:r w:rsidRPr="00FE68F5">
        <w:rPr>
          <w:color w:val="000000"/>
          <w:sz w:val="18"/>
          <w:szCs w:val="18"/>
        </w:rPr>
        <w:t>pouzdanosti</w:t>
      </w:r>
      <w:proofErr w:type="spellEnd"/>
      <w:r w:rsidRPr="00FE68F5">
        <w:rPr>
          <w:color w:val="000000"/>
          <w:sz w:val="18"/>
          <w:szCs w:val="18"/>
        </w:rPr>
        <w:t xml:space="preserve"> </w:t>
      </w:r>
      <w:proofErr w:type="spellStart"/>
      <w:r w:rsidRPr="00FE68F5">
        <w:rPr>
          <w:color w:val="000000"/>
          <w:sz w:val="18"/>
          <w:szCs w:val="18"/>
        </w:rPr>
        <w:t>naveden</w:t>
      </w:r>
      <w:proofErr w:type="spellEnd"/>
      <w:r w:rsidRPr="00FE68F5">
        <w:rPr>
          <w:color w:val="000000"/>
          <w:sz w:val="18"/>
          <w:szCs w:val="18"/>
        </w:rPr>
        <w:t xml:space="preserve"> je u ‘[]’</w:t>
      </w:r>
    </w:p>
    <w:p w14:paraId="62A1B2DD" w14:textId="77777777" w:rsidR="00FE68F5" w:rsidRPr="00FE68F5" w:rsidRDefault="00FE68F5" w:rsidP="00C46C9C">
      <w:pPr>
        <w:autoSpaceDE w:val="0"/>
        <w:autoSpaceDN w:val="0"/>
        <w:adjustRightInd w:val="0"/>
        <w:jc w:val="both"/>
        <w:rPr>
          <w:color w:val="000000"/>
          <w:sz w:val="18"/>
          <w:szCs w:val="18"/>
        </w:rPr>
      </w:pPr>
      <w:r w:rsidRPr="00FE68F5">
        <w:rPr>
          <w:color w:val="000000"/>
          <w:sz w:val="18"/>
          <w:szCs w:val="18"/>
          <w:vertAlign w:val="superscript"/>
        </w:rPr>
        <w:t>A</w:t>
      </w:r>
      <w:r w:rsidRPr="00FE68F5">
        <w:rPr>
          <w:color w:val="000000"/>
          <w:sz w:val="18"/>
          <w:szCs w:val="18"/>
        </w:rPr>
        <w:t xml:space="preserve"> Test </w:t>
      </w:r>
      <w:proofErr w:type="spellStart"/>
      <w:r w:rsidRPr="00FE68F5">
        <w:rPr>
          <w:color w:val="000000"/>
          <w:sz w:val="18"/>
          <w:szCs w:val="18"/>
        </w:rPr>
        <w:t>sa</w:t>
      </w:r>
      <w:proofErr w:type="spellEnd"/>
      <w:r w:rsidRPr="00FE68F5">
        <w:rPr>
          <w:color w:val="000000"/>
          <w:sz w:val="18"/>
          <w:szCs w:val="18"/>
        </w:rPr>
        <w:t xml:space="preserve"> </w:t>
      </w:r>
      <w:proofErr w:type="spellStart"/>
      <w:r w:rsidRPr="00FE68F5">
        <w:rPr>
          <w:color w:val="000000"/>
          <w:sz w:val="18"/>
          <w:szCs w:val="18"/>
        </w:rPr>
        <w:t>obrokom</w:t>
      </w:r>
      <w:proofErr w:type="spellEnd"/>
    </w:p>
    <w:p w14:paraId="7057A5DE" w14:textId="733CF0AA" w:rsidR="00FE68F5" w:rsidRPr="00FE68F5" w:rsidRDefault="00FE68F5" w:rsidP="003C7F98">
      <w:pPr>
        <w:tabs>
          <w:tab w:val="left" w:pos="284"/>
        </w:tabs>
        <w:jc w:val="both"/>
        <w:rPr>
          <w:sz w:val="18"/>
          <w:szCs w:val="18"/>
        </w:rPr>
      </w:pPr>
      <w:r w:rsidRPr="00FE68F5">
        <w:rPr>
          <w:sz w:val="18"/>
          <w:szCs w:val="18"/>
          <w:vertAlign w:val="superscript"/>
        </w:rPr>
        <w:t>B</w:t>
      </w:r>
      <w:r w:rsidRPr="00FE68F5">
        <w:rPr>
          <w:sz w:val="18"/>
          <w:szCs w:val="18"/>
        </w:rPr>
        <w:t xml:space="preserve"> </w:t>
      </w:r>
      <w:proofErr w:type="spellStart"/>
      <w:r w:rsidRPr="00FE68F5">
        <w:rPr>
          <w:sz w:val="18"/>
          <w:szCs w:val="18"/>
        </w:rPr>
        <w:t>Teška</w:t>
      </w:r>
      <w:proofErr w:type="spellEnd"/>
      <w:r w:rsidRPr="00FE68F5">
        <w:rPr>
          <w:sz w:val="18"/>
          <w:szCs w:val="18"/>
        </w:rPr>
        <w:t xml:space="preserve"> </w:t>
      </w:r>
      <w:proofErr w:type="spellStart"/>
      <w:r w:rsidRPr="00FE68F5">
        <w:rPr>
          <w:sz w:val="18"/>
          <w:szCs w:val="18"/>
        </w:rPr>
        <w:t>hipoglikemija</w:t>
      </w:r>
      <w:proofErr w:type="spellEnd"/>
      <w:r w:rsidRPr="00FE68F5">
        <w:rPr>
          <w:sz w:val="18"/>
          <w:szCs w:val="18"/>
        </w:rPr>
        <w:t xml:space="preserve"> (</w:t>
      </w:r>
      <w:proofErr w:type="spellStart"/>
      <w:r w:rsidRPr="00FE68F5">
        <w:rPr>
          <w:sz w:val="18"/>
          <w:szCs w:val="18"/>
        </w:rPr>
        <w:t>epizoda</w:t>
      </w:r>
      <w:proofErr w:type="spellEnd"/>
      <w:r w:rsidRPr="00FE68F5">
        <w:rPr>
          <w:sz w:val="18"/>
          <w:szCs w:val="18"/>
        </w:rPr>
        <w:t xml:space="preserve"> u </w:t>
      </w:r>
      <w:proofErr w:type="spellStart"/>
      <w:r w:rsidRPr="00FE68F5">
        <w:rPr>
          <w:sz w:val="18"/>
          <w:szCs w:val="18"/>
        </w:rPr>
        <w:t>kojoj</w:t>
      </w:r>
      <w:proofErr w:type="spellEnd"/>
      <w:r w:rsidRPr="00FE68F5">
        <w:rPr>
          <w:sz w:val="18"/>
          <w:szCs w:val="18"/>
        </w:rPr>
        <w:t xml:space="preserve"> je </w:t>
      </w:r>
      <w:proofErr w:type="spellStart"/>
      <w:r w:rsidRPr="00FE68F5">
        <w:rPr>
          <w:sz w:val="18"/>
          <w:szCs w:val="18"/>
        </w:rPr>
        <w:t>potrebna</w:t>
      </w:r>
      <w:proofErr w:type="spellEnd"/>
      <w:r w:rsidRPr="00FE68F5">
        <w:rPr>
          <w:sz w:val="18"/>
          <w:szCs w:val="18"/>
        </w:rPr>
        <w:t xml:space="preserve"> </w:t>
      </w:r>
      <w:proofErr w:type="spellStart"/>
      <w:r w:rsidRPr="00FE68F5">
        <w:rPr>
          <w:sz w:val="18"/>
          <w:szCs w:val="18"/>
        </w:rPr>
        <w:t>pomoć</w:t>
      </w:r>
      <w:proofErr w:type="spellEnd"/>
      <w:r w:rsidRPr="00FE68F5">
        <w:rPr>
          <w:sz w:val="18"/>
          <w:szCs w:val="18"/>
        </w:rPr>
        <w:t xml:space="preserve"> </w:t>
      </w:r>
      <w:proofErr w:type="spellStart"/>
      <w:r w:rsidRPr="00FE68F5">
        <w:rPr>
          <w:sz w:val="18"/>
          <w:szCs w:val="18"/>
        </w:rPr>
        <w:t>druge</w:t>
      </w:r>
      <w:proofErr w:type="spellEnd"/>
      <w:r w:rsidRPr="00FE68F5">
        <w:rPr>
          <w:sz w:val="18"/>
          <w:szCs w:val="18"/>
        </w:rPr>
        <w:t xml:space="preserve"> </w:t>
      </w:r>
      <w:proofErr w:type="spellStart"/>
      <w:r w:rsidRPr="00FE68F5">
        <w:rPr>
          <w:sz w:val="18"/>
          <w:szCs w:val="18"/>
        </w:rPr>
        <w:t>osobe</w:t>
      </w:r>
      <w:proofErr w:type="spellEnd"/>
      <w:r w:rsidRPr="00FE68F5">
        <w:rPr>
          <w:sz w:val="18"/>
          <w:szCs w:val="18"/>
        </w:rPr>
        <w:t xml:space="preserve">) </w:t>
      </w:r>
      <w:proofErr w:type="spellStart"/>
      <w:r w:rsidRPr="00FE68F5">
        <w:rPr>
          <w:sz w:val="18"/>
          <w:szCs w:val="18"/>
        </w:rPr>
        <w:t>ili</w:t>
      </w:r>
      <w:proofErr w:type="spellEnd"/>
      <w:r w:rsidRPr="00FE68F5">
        <w:rPr>
          <w:sz w:val="18"/>
          <w:szCs w:val="18"/>
        </w:rPr>
        <w:t xml:space="preserve"> </w:t>
      </w:r>
      <w:proofErr w:type="spellStart"/>
      <w:r w:rsidRPr="00FE68F5">
        <w:rPr>
          <w:sz w:val="18"/>
          <w:szCs w:val="18"/>
        </w:rPr>
        <w:t>hipoglikemija</w:t>
      </w:r>
      <w:proofErr w:type="spellEnd"/>
      <w:r w:rsidRPr="00FE68F5">
        <w:rPr>
          <w:sz w:val="18"/>
          <w:szCs w:val="18"/>
        </w:rPr>
        <w:t xml:space="preserve"> </w:t>
      </w:r>
      <w:proofErr w:type="spellStart"/>
      <w:r w:rsidRPr="00FE68F5">
        <w:rPr>
          <w:sz w:val="18"/>
          <w:szCs w:val="18"/>
        </w:rPr>
        <w:t>potvrđena</w:t>
      </w:r>
      <w:proofErr w:type="spellEnd"/>
      <w:r w:rsidRPr="00FE68F5">
        <w:rPr>
          <w:sz w:val="18"/>
          <w:szCs w:val="18"/>
        </w:rPr>
        <w:t xml:space="preserve"> </w:t>
      </w:r>
      <w:proofErr w:type="spellStart"/>
      <w:r w:rsidRPr="00FE68F5">
        <w:rPr>
          <w:sz w:val="18"/>
          <w:szCs w:val="18"/>
        </w:rPr>
        <w:t>izmjerenim</w:t>
      </w:r>
      <w:proofErr w:type="spellEnd"/>
      <w:r w:rsidRPr="00FE68F5">
        <w:rPr>
          <w:sz w:val="18"/>
          <w:szCs w:val="18"/>
        </w:rPr>
        <w:t xml:space="preserve"> </w:t>
      </w:r>
      <w:proofErr w:type="spellStart"/>
      <w:r w:rsidRPr="00FE68F5">
        <w:rPr>
          <w:sz w:val="18"/>
          <w:szCs w:val="18"/>
        </w:rPr>
        <w:t>vrijednostima</w:t>
      </w:r>
      <w:proofErr w:type="spellEnd"/>
      <w:r w:rsidRPr="00FE68F5">
        <w:rPr>
          <w:sz w:val="18"/>
          <w:szCs w:val="18"/>
        </w:rPr>
        <w:t xml:space="preserve"> </w:t>
      </w:r>
      <w:proofErr w:type="spellStart"/>
      <w:r w:rsidRPr="00FE68F5">
        <w:rPr>
          <w:sz w:val="18"/>
          <w:szCs w:val="18"/>
        </w:rPr>
        <w:t>glukoze</w:t>
      </w:r>
      <w:proofErr w:type="spellEnd"/>
      <w:r w:rsidRPr="00FE68F5">
        <w:rPr>
          <w:sz w:val="18"/>
          <w:szCs w:val="18"/>
        </w:rPr>
        <w:t xml:space="preserve"> u </w:t>
      </w:r>
      <w:proofErr w:type="spellStart"/>
      <w:r w:rsidRPr="00FE68F5">
        <w:rPr>
          <w:sz w:val="18"/>
          <w:szCs w:val="18"/>
        </w:rPr>
        <w:t>krvi</w:t>
      </w:r>
      <w:proofErr w:type="spellEnd"/>
      <w:r w:rsidRPr="00FE68F5">
        <w:rPr>
          <w:sz w:val="18"/>
          <w:szCs w:val="18"/>
        </w:rPr>
        <w:t xml:space="preserve"> (GK) </w:t>
      </w:r>
      <w:proofErr w:type="spellStart"/>
      <w:r w:rsidRPr="00FE68F5">
        <w:rPr>
          <w:sz w:val="18"/>
          <w:szCs w:val="18"/>
        </w:rPr>
        <w:t>definisanim</w:t>
      </w:r>
      <w:proofErr w:type="spellEnd"/>
      <w:r w:rsidRPr="00FE68F5">
        <w:rPr>
          <w:sz w:val="18"/>
          <w:szCs w:val="18"/>
        </w:rPr>
        <w:t xml:space="preserve"> </w:t>
      </w:r>
      <w:proofErr w:type="spellStart"/>
      <w:r w:rsidRPr="00FE68F5">
        <w:rPr>
          <w:sz w:val="18"/>
          <w:szCs w:val="18"/>
        </w:rPr>
        <w:t>kao</w:t>
      </w:r>
      <w:proofErr w:type="spellEnd"/>
      <w:r w:rsidRPr="00FE68F5">
        <w:rPr>
          <w:sz w:val="18"/>
          <w:szCs w:val="18"/>
        </w:rPr>
        <w:t xml:space="preserve"> </w:t>
      </w:r>
      <w:proofErr w:type="spellStart"/>
      <w:r w:rsidRPr="00FE68F5">
        <w:rPr>
          <w:sz w:val="18"/>
          <w:szCs w:val="18"/>
        </w:rPr>
        <w:t>epizode</w:t>
      </w:r>
      <w:proofErr w:type="spellEnd"/>
      <w:r w:rsidRPr="00FE68F5">
        <w:rPr>
          <w:sz w:val="18"/>
          <w:szCs w:val="18"/>
        </w:rPr>
        <w:t xml:space="preserve"> </w:t>
      </w:r>
      <w:proofErr w:type="spellStart"/>
      <w:r w:rsidRPr="00FE68F5">
        <w:rPr>
          <w:sz w:val="18"/>
          <w:szCs w:val="18"/>
        </w:rPr>
        <w:t>potvrđene</w:t>
      </w:r>
      <w:proofErr w:type="spellEnd"/>
      <w:r w:rsidRPr="00FE68F5">
        <w:rPr>
          <w:sz w:val="18"/>
          <w:szCs w:val="18"/>
        </w:rPr>
        <w:t xml:space="preserve"> </w:t>
      </w:r>
      <w:proofErr w:type="spellStart"/>
      <w:r w:rsidRPr="00FE68F5">
        <w:rPr>
          <w:sz w:val="18"/>
          <w:szCs w:val="18"/>
        </w:rPr>
        <w:t>vrijednošću</w:t>
      </w:r>
      <w:proofErr w:type="spellEnd"/>
      <w:r w:rsidRPr="00FE68F5">
        <w:rPr>
          <w:sz w:val="18"/>
          <w:szCs w:val="18"/>
        </w:rPr>
        <w:t xml:space="preserve"> </w:t>
      </w:r>
      <w:proofErr w:type="spellStart"/>
      <w:r w:rsidRPr="00FE68F5">
        <w:rPr>
          <w:sz w:val="18"/>
          <w:szCs w:val="18"/>
        </w:rPr>
        <w:t>glukoze</w:t>
      </w:r>
      <w:proofErr w:type="spellEnd"/>
      <w:r w:rsidRPr="00FE68F5">
        <w:rPr>
          <w:sz w:val="18"/>
          <w:szCs w:val="18"/>
        </w:rPr>
        <w:t xml:space="preserve"> u </w:t>
      </w:r>
      <w:proofErr w:type="spellStart"/>
      <w:r w:rsidRPr="00FE68F5">
        <w:rPr>
          <w:sz w:val="18"/>
          <w:szCs w:val="18"/>
        </w:rPr>
        <w:t>plazmi</w:t>
      </w:r>
      <w:proofErr w:type="spellEnd"/>
      <w:r w:rsidRPr="00FE68F5">
        <w:rPr>
          <w:sz w:val="18"/>
          <w:szCs w:val="18"/>
        </w:rPr>
        <w:t xml:space="preserve"> &lt;</w:t>
      </w:r>
      <w:r w:rsidR="00A73EB6">
        <w:rPr>
          <w:sz w:val="18"/>
          <w:szCs w:val="18"/>
        </w:rPr>
        <w:t xml:space="preserve"> </w:t>
      </w:r>
      <w:r w:rsidRPr="00FE68F5">
        <w:rPr>
          <w:sz w:val="18"/>
          <w:szCs w:val="18"/>
        </w:rPr>
        <w:t>3,1 mmol/</w:t>
      </w:r>
      <w:r w:rsidR="003C7F98">
        <w:rPr>
          <w:sz w:val="18"/>
          <w:szCs w:val="18"/>
        </w:rPr>
        <w:t>l</w:t>
      </w:r>
      <w:r w:rsidRPr="00FE68F5">
        <w:rPr>
          <w:sz w:val="18"/>
          <w:szCs w:val="18"/>
        </w:rPr>
        <w:t xml:space="preserve"> bez </w:t>
      </w:r>
      <w:proofErr w:type="spellStart"/>
      <w:r w:rsidRPr="00FE68F5">
        <w:rPr>
          <w:sz w:val="18"/>
          <w:szCs w:val="18"/>
        </w:rPr>
        <w:t>obzira</w:t>
      </w:r>
      <w:proofErr w:type="spellEnd"/>
      <w:r w:rsidRPr="00FE68F5">
        <w:rPr>
          <w:sz w:val="18"/>
          <w:szCs w:val="18"/>
        </w:rPr>
        <w:t xml:space="preserve"> </w:t>
      </w:r>
      <w:proofErr w:type="spellStart"/>
      <w:r w:rsidRPr="00FE68F5">
        <w:rPr>
          <w:sz w:val="18"/>
          <w:szCs w:val="18"/>
        </w:rPr>
        <w:t>na</w:t>
      </w:r>
      <w:proofErr w:type="spellEnd"/>
      <w:r w:rsidRPr="00FE68F5">
        <w:rPr>
          <w:sz w:val="18"/>
          <w:szCs w:val="18"/>
        </w:rPr>
        <w:t xml:space="preserve"> </w:t>
      </w:r>
      <w:proofErr w:type="spellStart"/>
      <w:r w:rsidRPr="00FE68F5">
        <w:rPr>
          <w:sz w:val="18"/>
          <w:szCs w:val="18"/>
        </w:rPr>
        <w:t>simptome</w:t>
      </w:r>
      <w:proofErr w:type="spellEnd"/>
    </w:p>
    <w:p w14:paraId="6D8330D4" w14:textId="77777777" w:rsidR="00CC6368" w:rsidRPr="001D23DB" w:rsidRDefault="00FE68F5">
      <w:pPr>
        <w:tabs>
          <w:tab w:val="left" w:pos="284"/>
        </w:tabs>
        <w:jc w:val="both"/>
        <w:rPr>
          <w:sz w:val="22"/>
          <w:szCs w:val="22"/>
          <w:lang w:val="de-DE"/>
        </w:rPr>
      </w:pPr>
      <w:r w:rsidRPr="001D23DB">
        <w:rPr>
          <w:sz w:val="18"/>
          <w:szCs w:val="18"/>
          <w:vertAlign w:val="superscript"/>
          <w:lang w:val="de-DE"/>
        </w:rPr>
        <w:t>C</w:t>
      </w:r>
      <w:r w:rsidRPr="001D23DB">
        <w:rPr>
          <w:sz w:val="18"/>
          <w:szCs w:val="18"/>
          <w:lang w:val="de-DE"/>
        </w:rPr>
        <w:t xml:space="preserve"> </w:t>
      </w:r>
      <w:proofErr w:type="spellStart"/>
      <w:r w:rsidRPr="001D23DB">
        <w:rPr>
          <w:sz w:val="18"/>
          <w:szCs w:val="18"/>
          <w:lang w:val="de-DE"/>
        </w:rPr>
        <w:t>Statistički</w:t>
      </w:r>
      <w:proofErr w:type="spellEnd"/>
      <w:r w:rsidRPr="001D23DB">
        <w:rPr>
          <w:sz w:val="18"/>
          <w:szCs w:val="18"/>
          <w:lang w:val="de-DE"/>
        </w:rPr>
        <w:t xml:space="preserve"> </w:t>
      </w:r>
      <w:proofErr w:type="spellStart"/>
      <w:r w:rsidRPr="001D23DB">
        <w:rPr>
          <w:sz w:val="18"/>
          <w:szCs w:val="18"/>
          <w:lang w:val="de-DE"/>
        </w:rPr>
        <w:t>značajno</w:t>
      </w:r>
      <w:proofErr w:type="spellEnd"/>
      <w:r w:rsidRPr="001D23DB">
        <w:rPr>
          <w:sz w:val="18"/>
          <w:szCs w:val="18"/>
          <w:lang w:val="de-DE"/>
        </w:rPr>
        <w:t xml:space="preserve"> u </w:t>
      </w:r>
      <w:proofErr w:type="spellStart"/>
      <w:r w:rsidRPr="001D23DB">
        <w:rPr>
          <w:sz w:val="18"/>
          <w:szCs w:val="18"/>
          <w:lang w:val="de-DE"/>
        </w:rPr>
        <w:t>korist</w:t>
      </w:r>
      <w:proofErr w:type="spellEnd"/>
      <w:r w:rsidRPr="001D23DB">
        <w:rPr>
          <w:sz w:val="18"/>
          <w:szCs w:val="18"/>
          <w:lang w:val="de-DE"/>
        </w:rPr>
        <w:t xml:space="preserve"> </w:t>
      </w:r>
      <w:proofErr w:type="spellStart"/>
      <w:r w:rsidRPr="001D23DB">
        <w:rPr>
          <w:sz w:val="18"/>
          <w:szCs w:val="18"/>
          <w:lang w:val="de-DE"/>
        </w:rPr>
        <w:t>lijeka</w:t>
      </w:r>
      <w:proofErr w:type="spellEnd"/>
      <w:r w:rsidRPr="001D23DB">
        <w:rPr>
          <w:sz w:val="18"/>
          <w:szCs w:val="18"/>
          <w:lang w:val="de-DE"/>
        </w:rPr>
        <w:t xml:space="preserve"> </w:t>
      </w:r>
      <w:proofErr w:type="spellStart"/>
      <w:r w:rsidRPr="001D23DB">
        <w:rPr>
          <w:sz w:val="18"/>
          <w:szCs w:val="18"/>
          <w:lang w:val="de-DE"/>
        </w:rPr>
        <w:t>Fiasp</w:t>
      </w:r>
      <w:proofErr w:type="spellEnd"/>
    </w:p>
    <w:p w14:paraId="5CF52688" w14:textId="77777777" w:rsidR="00FE68F5" w:rsidRPr="001D23DB" w:rsidRDefault="00FE68F5">
      <w:pPr>
        <w:tabs>
          <w:tab w:val="left" w:pos="284"/>
        </w:tabs>
        <w:jc w:val="both"/>
        <w:rPr>
          <w:sz w:val="22"/>
          <w:szCs w:val="22"/>
          <w:lang w:val="de-DE"/>
        </w:rPr>
      </w:pPr>
    </w:p>
    <w:p w14:paraId="43D41070" w14:textId="77777777" w:rsidR="00CC6368" w:rsidRPr="001D23DB" w:rsidRDefault="00CC6368" w:rsidP="00CC6368">
      <w:pPr>
        <w:tabs>
          <w:tab w:val="left" w:pos="284"/>
        </w:tabs>
        <w:jc w:val="both"/>
        <w:rPr>
          <w:sz w:val="22"/>
          <w:szCs w:val="22"/>
          <w:lang w:val="de-DE"/>
        </w:rPr>
      </w:pPr>
      <w:proofErr w:type="spellStart"/>
      <w:r w:rsidRPr="001D23DB">
        <w:rPr>
          <w:sz w:val="22"/>
          <w:szCs w:val="22"/>
          <w:lang w:val="de-DE"/>
        </w:rPr>
        <w:t>Doziranje</w:t>
      </w:r>
      <w:proofErr w:type="spellEnd"/>
      <w:r w:rsidRPr="001D23DB">
        <w:rPr>
          <w:sz w:val="22"/>
          <w:szCs w:val="22"/>
          <w:lang w:val="de-DE"/>
        </w:rPr>
        <w:t xml:space="preserve"> </w:t>
      </w:r>
      <w:proofErr w:type="spellStart"/>
      <w:r w:rsidRPr="001D23DB">
        <w:rPr>
          <w:sz w:val="22"/>
          <w:szCs w:val="22"/>
          <w:lang w:val="de-DE"/>
        </w:rPr>
        <w:t>nakon</w:t>
      </w:r>
      <w:proofErr w:type="spellEnd"/>
      <w:r w:rsidRPr="001D23DB">
        <w:rPr>
          <w:sz w:val="22"/>
          <w:szCs w:val="22"/>
          <w:lang w:val="de-DE"/>
        </w:rPr>
        <w:t xml:space="preserve"> </w:t>
      </w:r>
      <w:proofErr w:type="spellStart"/>
      <w:r w:rsidRPr="001D23DB">
        <w:rPr>
          <w:sz w:val="22"/>
          <w:szCs w:val="22"/>
          <w:lang w:val="de-DE"/>
        </w:rPr>
        <w:t>obroka</w:t>
      </w:r>
      <w:proofErr w:type="spellEnd"/>
      <w:r w:rsidRPr="001D23DB">
        <w:rPr>
          <w:sz w:val="22"/>
          <w:szCs w:val="22"/>
          <w:lang w:val="de-DE"/>
        </w:rPr>
        <w:t xml:space="preserve"> </w:t>
      </w:r>
      <w:proofErr w:type="spellStart"/>
      <w:r w:rsidRPr="001D23DB">
        <w:rPr>
          <w:sz w:val="22"/>
          <w:szCs w:val="22"/>
          <w:lang w:val="de-DE"/>
        </w:rPr>
        <w:t>nije</w:t>
      </w:r>
      <w:proofErr w:type="spellEnd"/>
      <w:r w:rsidRPr="001D23DB">
        <w:rPr>
          <w:sz w:val="22"/>
          <w:szCs w:val="22"/>
          <w:lang w:val="de-DE"/>
        </w:rPr>
        <w:t xml:space="preserve"> </w:t>
      </w:r>
      <w:proofErr w:type="spellStart"/>
      <w:r w:rsidRPr="001D23DB">
        <w:rPr>
          <w:sz w:val="22"/>
          <w:szCs w:val="22"/>
          <w:lang w:val="de-DE"/>
        </w:rPr>
        <w:t>ispitivano</w:t>
      </w:r>
      <w:proofErr w:type="spellEnd"/>
      <w:r w:rsidRPr="001D23DB">
        <w:rPr>
          <w:sz w:val="22"/>
          <w:szCs w:val="22"/>
          <w:lang w:val="de-DE"/>
        </w:rPr>
        <w:t xml:space="preserve"> </w:t>
      </w:r>
      <w:proofErr w:type="spellStart"/>
      <w:r w:rsidRPr="001D23DB">
        <w:rPr>
          <w:sz w:val="22"/>
          <w:szCs w:val="22"/>
          <w:lang w:val="de-DE"/>
        </w:rPr>
        <w:t>kod</w:t>
      </w:r>
      <w:proofErr w:type="spellEnd"/>
      <w:r w:rsidRPr="001D23DB">
        <w:rPr>
          <w:sz w:val="22"/>
          <w:szCs w:val="22"/>
          <w:lang w:val="de-DE"/>
        </w:rPr>
        <w:t xml:space="preserve"> </w:t>
      </w:r>
      <w:proofErr w:type="spellStart"/>
      <w:r w:rsidRPr="001D23DB">
        <w:rPr>
          <w:sz w:val="22"/>
          <w:szCs w:val="22"/>
          <w:lang w:val="de-DE"/>
        </w:rPr>
        <w:t>pacijenata</w:t>
      </w:r>
      <w:proofErr w:type="spellEnd"/>
      <w:r w:rsidRPr="001D23DB">
        <w:rPr>
          <w:sz w:val="22"/>
          <w:szCs w:val="22"/>
          <w:lang w:val="de-DE"/>
        </w:rPr>
        <w:t xml:space="preserve"> </w:t>
      </w:r>
      <w:proofErr w:type="spellStart"/>
      <w:r w:rsidRPr="001D23DB">
        <w:rPr>
          <w:sz w:val="22"/>
          <w:szCs w:val="22"/>
          <w:lang w:val="de-DE"/>
        </w:rPr>
        <w:t>sa</w:t>
      </w:r>
      <w:proofErr w:type="spellEnd"/>
      <w:r w:rsidRPr="001D23DB">
        <w:rPr>
          <w:sz w:val="22"/>
          <w:szCs w:val="22"/>
          <w:lang w:val="de-DE"/>
        </w:rPr>
        <w:t xml:space="preserve"> </w:t>
      </w:r>
      <w:proofErr w:type="spellStart"/>
      <w:r w:rsidRPr="001D23DB">
        <w:rPr>
          <w:sz w:val="22"/>
          <w:szCs w:val="22"/>
          <w:lang w:val="de-DE"/>
        </w:rPr>
        <w:t>dijabetes</w:t>
      </w:r>
      <w:r w:rsidR="009E4B69" w:rsidRPr="001D23DB">
        <w:rPr>
          <w:sz w:val="22"/>
          <w:szCs w:val="22"/>
          <w:lang w:val="de-DE"/>
        </w:rPr>
        <w:t>om</w:t>
      </w:r>
      <w:proofErr w:type="spellEnd"/>
      <w:r w:rsidRPr="001D23DB">
        <w:rPr>
          <w:sz w:val="22"/>
          <w:szCs w:val="22"/>
          <w:lang w:val="de-DE"/>
        </w:rPr>
        <w:t xml:space="preserve"> </w:t>
      </w:r>
      <w:proofErr w:type="spellStart"/>
      <w:r w:rsidRPr="001D23DB">
        <w:rPr>
          <w:sz w:val="22"/>
          <w:szCs w:val="22"/>
          <w:lang w:val="de-DE"/>
        </w:rPr>
        <w:t>tip</w:t>
      </w:r>
      <w:r w:rsidR="00A83F36" w:rsidRPr="001D23DB">
        <w:rPr>
          <w:sz w:val="22"/>
          <w:szCs w:val="22"/>
          <w:lang w:val="de-DE"/>
        </w:rPr>
        <w:t>a</w:t>
      </w:r>
      <w:proofErr w:type="spellEnd"/>
      <w:r w:rsidRPr="001D23DB">
        <w:rPr>
          <w:sz w:val="22"/>
          <w:szCs w:val="22"/>
          <w:lang w:val="de-DE"/>
        </w:rPr>
        <w:t xml:space="preserve"> 2.</w:t>
      </w:r>
    </w:p>
    <w:p w14:paraId="39877B25" w14:textId="77777777" w:rsidR="00CC6368" w:rsidRPr="001D23DB" w:rsidRDefault="00CC6368" w:rsidP="00CC6368">
      <w:pPr>
        <w:tabs>
          <w:tab w:val="left" w:pos="284"/>
        </w:tabs>
        <w:jc w:val="both"/>
        <w:rPr>
          <w:sz w:val="22"/>
          <w:szCs w:val="22"/>
          <w:lang w:val="de-DE"/>
        </w:rPr>
      </w:pPr>
    </w:p>
    <w:p w14:paraId="1D8C07D8" w14:textId="77777777" w:rsidR="00CC6368" w:rsidRPr="001D23DB" w:rsidRDefault="00CC6368" w:rsidP="00CC6368">
      <w:pPr>
        <w:tabs>
          <w:tab w:val="left" w:pos="284"/>
        </w:tabs>
        <w:jc w:val="both"/>
        <w:rPr>
          <w:sz w:val="22"/>
          <w:szCs w:val="22"/>
          <w:lang w:val="de-DE"/>
        </w:rPr>
      </w:pPr>
      <w:r w:rsidRPr="001D23DB">
        <w:rPr>
          <w:sz w:val="22"/>
          <w:szCs w:val="22"/>
          <w:lang w:val="de-DE"/>
        </w:rPr>
        <w:t xml:space="preserve">74,8% </w:t>
      </w:r>
      <w:proofErr w:type="spellStart"/>
      <w:r w:rsidRPr="001D23DB">
        <w:rPr>
          <w:sz w:val="22"/>
          <w:szCs w:val="22"/>
          <w:lang w:val="de-DE"/>
        </w:rPr>
        <w:t>pacijenata</w:t>
      </w:r>
      <w:proofErr w:type="spellEnd"/>
      <w:r w:rsidRPr="001D23DB">
        <w:rPr>
          <w:sz w:val="22"/>
          <w:szCs w:val="22"/>
          <w:lang w:val="de-DE"/>
        </w:rPr>
        <w:t xml:space="preserve"> </w:t>
      </w:r>
      <w:proofErr w:type="spellStart"/>
      <w:r w:rsidRPr="001D23DB">
        <w:rPr>
          <w:sz w:val="22"/>
          <w:szCs w:val="22"/>
          <w:lang w:val="de-DE"/>
        </w:rPr>
        <w:t>liječenih</w:t>
      </w:r>
      <w:proofErr w:type="spellEnd"/>
      <w:r w:rsidRPr="001D23DB">
        <w:rPr>
          <w:sz w:val="22"/>
          <w:szCs w:val="22"/>
          <w:lang w:val="de-DE"/>
        </w:rPr>
        <w:t xml:space="preserve"> </w:t>
      </w:r>
      <w:proofErr w:type="spellStart"/>
      <w:r w:rsidRPr="001D23DB">
        <w:rPr>
          <w:sz w:val="22"/>
          <w:szCs w:val="22"/>
          <w:lang w:val="de-DE"/>
        </w:rPr>
        <w:t>lijekom</w:t>
      </w:r>
      <w:proofErr w:type="spellEnd"/>
      <w:r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postigli</w:t>
      </w:r>
      <w:proofErr w:type="spellEnd"/>
      <w:r w:rsidRPr="001D23DB">
        <w:rPr>
          <w:sz w:val="22"/>
          <w:szCs w:val="22"/>
          <w:lang w:val="de-DE"/>
        </w:rPr>
        <w:t xml:space="preserve"> </w:t>
      </w:r>
      <w:proofErr w:type="spellStart"/>
      <w:r w:rsidRPr="001D23DB">
        <w:rPr>
          <w:sz w:val="22"/>
          <w:szCs w:val="22"/>
          <w:lang w:val="de-DE"/>
        </w:rPr>
        <w:t>su</w:t>
      </w:r>
      <w:proofErr w:type="spellEnd"/>
      <w:r w:rsidRPr="001D23DB">
        <w:rPr>
          <w:sz w:val="22"/>
          <w:szCs w:val="22"/>
          <w:lang w:val="de-DE"/>
        </w:rPr>
        <w:t xml:space="preserve"> </w:t>
      </w:r>
      <w:proofErr w:type="spellStart"/>
      <w:r w:rsidRPr="001D23DB">
        <w:rPr>
          <w:sz w:val="22"/>
          <w:szCs w:val="22"/>
          <w:lang w:val="de-DE"/>
        </w:rPr>
        <w:t>ciljni</w:t>
      </w:r>
      <w:proofErr w:type="spellEnd"/>
      <w:r w:rsidRPr="001D23DB">
        <w:rPr>
          <w:sz w:val="22"/>
          <w:szCs w:val="22"/>
          <w:lang w:val="de-DE"/>
        </w:rPr>
        <w:t xml:space="preserve"> HbA</w:t>
      </w:r>
      <w:r w:rsidRPr="001D23DB">
        <w:rPr>
          <w:sz w:val="22"/>
          <w:szCs w:val="22"/>
          <w:vertAlign w:val="subscript"/>
          <w:lang w:val="de-DE"/>
        </w:rPr>
        <w:t>1c</w:t>
      </w:r>
      <w:r w:rsidRPr="001D23DB">
        <w:rPr>
          <w:sz w:val="22"/>
          <w:szCs w:val="22"/>
          <w:lang w:val="de-DE"/>
        </w:rPr>
        <w:t xml:space="preserve"> </w:t>
      </w:r>
      <w:proofErr w:type="spellStart"/>
      <w:r w:rsidRPr="001D23DB">
        <w:rPr>
          <w:sz w:val="22"/>
          <w:szCs w:val="22"/>
          <w:lang w:val="de-DE"/>
        </w:rPr>
        <w:t>od</w:t>
      </w:r>
      <w:proofErr w:type="spellEnd"/>
      <w:r w:rsidRPr="001D23DB">
        <w:rPr>
          <w:sz w:val="22"/>
          <w:szCs w:val="22"/>
          <w:lang w:val="de-DE"/>
        </w:rPr>
        <w:t xml:space="preserve"> &lt;7% u </w:t>
      </w:r>
      <w:proofErr w:type="spellStart"/>
      <w:r w:rsidRPr="001D23DB">
        <w:rPr>
          <w:sz w:val="22"/>
          <w:szCs w:val="22"/>
          <w:lang w:val="de-DE"/>
        </w:rPr>
        <w:t>poređenju</w:t>
      </w:r>
      <w:proofErr w:type="spellEnd"/>
      <w:r w:rsidRPr="001D23DB">
        <w:rPr>
          <w:sz w:val="22"/>
          <w:szCs w:val="22"/>
          <w:lang w:val="de-DE"/>
        </w:rPr>
        <w:t xml:space="preserve"> </w:t>
      </w:r>
      <w:proofErr w:type="spellStart"/>
      <w:r w:rsidRPr="001D23DB">
        <w:rPr>
          <w:sz w:val="22"/>
          <w:szCs w:val="22"/>
          <w:lang w:val="de-DE"/>
        </w:rPr>
        <w:t>sa</w:t>
      </w:r>
      <w:proofErr w:type="spellEnd"/>
      <w:r w:rsidRPr="001D23DB">
        <w:rPr>
          <w:sz w:val="22"/>
          <w:szCs w:val="22"/>
          <w:lang w:val="de-DE"/>
        </w:rPr>
        <w:t xml:space="preserve"> 75,9% </w:t>
      </w:r>
      <w:proofErr w:type="spellStart"/>
      <w:r w:rsidRPr="001D23DB">
        <w:rPr>
          <w:sz w:val="22"/>
          <w:szCs w:val="22"/>
          <w:lang w:val="de-DE"/>
        </w:rPr>
        <w:t>pacijenata</w:t>
      </w:r>
      <w:proofErr w:type="spellEnd"/>
      <w:r w:rsidRPr="001D23DB">
        <w:rPr>
          <w:sz w:val="22"/>
          <w:szCs w:val="22"/>
          <w:lang w:val="de-DE"/>
        </w:rPr>
        <w:t xml:space="preserve"> </w:t>
      </w:r>
      <w:proofErr w:type="spellStart"/>
      <w:r w:rsidRPr="001D23DB">
        <w:rPr>
          <w:sz w:val="22"/>
          <w:szCs w:val="22"/>
          <w:lang w:val="de-DE"/>
        </w:rPr>
        <w:t>liječenih</w:t>
      </w:r>
      <w:proofErr w:type="spellEnd"/>
      <w:r w:rsidRPr="001D23DB">
        <w:rPr>
          <w:sz w:val="22"/>
          <w:szCs w:val="22"/>
          <w:lang w:val="de-DE"/>
        </w:rPr>
        <w:t xml:space="preserve"> </w:t>
      </w:r>
      <w:proofErr w:type="spellStart"/>
      <w:r w:rsidRPr="001D23DB">
        <w:rPr>
          <w:sz w:val="22"/>
          <w:szCs w:val="22"/>
          <w:lang w:val="de-DE"/>
        </w:rPr>
        <w:t>lijekom</w:t>
      </w:r>
      <w:proofErr w:type="spellEnd"/>
      <w:r w:rsidRPr="001D23DB">
        <w:rPr>
          <w:sz w:val="22"/>
          <w:szCs w:val="22"/>
          <w:lang w:val="de-DE"/>
        </w:rPr>
        <w:t xml:space="preserve"> </w:t>
      </w:r>
      <w:proofErr w:type="spellStart"/>
      <w:r w:rsidRPr="001D23DB">
        <w:rPr>
          <w:sz w:val="22"/>
          <w:szCs w:val="22"/>
          <w:lang w:val="de-DE"/>
        </w:rPr>
        <w:t>NovoRapid</w:t>
      </w:r>
      <w:proofErr w:type="spellEnd"/>
      <w:r w:rsidRPr="001D23DB">
        <w:rPr>
          <w:sz w:val="22"/>
          <w:szCs w:val="22"/>
          <w:lang w:val="de-DE"/>
        </w:rPr>
        <w:t xml:space="preserve">. </w:t>
      </w:r>
      <w:proofErr w:type="spellStart"/>
      <w:r w:rsidRPr="001D23DB">
        <w:rPr>
          <w:sz w:val="22"/>
          <w:szCs w:val="22"/>
          <w:lang w:val="de-DE"/>
        </w:rPr>
        <w:t>Nije</w:t>
      </w:r>
      <w:proofErr w:type="spellEnd"/>
      <w:r w:rsidRPr="001D23DB">
        <w:rPr>
          <w:sz w:val="22"/>
          <w:szCs w:val="22"/>
          <w:lang w:val="de-DE"/>
        </w:rPr>
        <w:t xml:space="preserve"> </w:t>
      </w:r>
      <w:proofErr w:type="spellStart"/>
      <w:r w:rsidRPr="001D23DB">
        <w:rPr>
          <w:sz w:val="22"/>
          <w:szCs w:val="22"/>
          <w:lang w:val="de-DE"/>
        </w:rPr>
        <w:t>postojala</w:t>
      </w:r>
      <w:proofErr w:type="spellEnd"/>
      <w:r w:rsidRPr="001D23DB">
        <w:rPr>
          <w:sz w:val="22"/>
          <w:szCs w:val="22"/>
          <w:lang w:val="de-DE"/>
        </w:rPr>
        <w:t xml:space="preserve"> </w:t>
      </w:r>
      <w:proofErr w:type="spellStart"/>
      <w:r w:rsidRPr="001D23DB">
        <w:rPr>
          <w:sz w:val="22"/>
          <w:szCs w:val="22"/>
          <w:lang w:val="de-DE"/>
        </w:rPr>
        <w:t>statistički</w:t>
      </w:r>
      <w:proofErr w:type="spellEnd"/>
      <w:r w:rsidRPr="001D23DB">
        <w:rPr>
          <w:sz w:val="22"/>
          <w:szCs w:val="22"/>
          <w:lang w:val="de-DE"/>
        </w:rPr>
        <w:t xml:space="preserve"> </w:t>
      </w:r>
      <w:proofErr w:type="spellStart"/>
      <w:r w:rsidRPr="001D23DB">
        <w:rPr>
          <w:sz w:val="22"/>
          <w:szCs w:val="22"/>
          <w:lang w:val="de-DE"/>
        </w:rPr>
        <w:t>značajna</w:t>
      </w:r>
      <w:proofErr w:type="spellEnd"/>
      <w:r w:rsidRPr="001D23DB">
        <w:rPr>
          <w:sz w:val="22"/>
          <w:szCs w:val="22"/>
          <w:lang w:val="de-DE"/>
        </w:rPr>
        <w:t xml:space="preserve"> </w:t>
      </w:r>
      <w:proofErr w:type="spellStart"/>
      <w:r w:rsidRPr="001D23DB">
        <w:rPr>
          <w:sz w:val="22"/>
          <w:szCs w:val="22"/>
          <w:lang w:val="de-DE"/>
        </w:rPr>
        <w:t>razlika</w:t>
      </w:r>
      <w:proofErr w:type="spellEnd"/>
      <w:r w:rsidRPr="001D23DB">
        <w:rPr>
          <w:sz w:val="22"/>
          <w:szCs w:val="22"/>
          <w:lang w:val="de-DE"/>
        </w:rPr>
        <w:t xml:space="preserve"> </w:t>
      </w:r>
      <w:proofErr w:type="spellStart"/>
      <w:r w:rsidRPr="001D23DB">
        <w:rPr>
          <w:sz w:val="22"/>
          <w:szCs w:val="22"/>
          <w:lang w:val="de-DE"/>
        </w:rPr>
        <w:t>između</w:t>
      </w:r>
      <w:proofErr w:type="spellEnd"/>
      <w:r w:rsidRPr="001D23DB">
        <w:rPr>
          <w:sz w:val="22"/>
          <w:szCs w:val="22"/>
          <w:lang w:val="de-DE"/>
        </w:rPr>
        <w:t xml:space="preserve"> </w:t>
      </w:r>
      <w:proofErr w:type="spellStart"/>
      <w:r w:rsidRPr="001D23DB">
        <w:rPr>
          <w:sz w:val="22"/>
          <w:szCs w:val="22"/>
          <w:lang w:val="de-DE"/>
        </w:rPr>
        <w:t>ljekova</w:t>
      </w:r>
      <w:proofErr w:type="spellEnd"/>
      <w:r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i </w:t>
      </w:r>
      <w:proofErr w:type="spellStart"/>
      <w:r w:rsidRPr="001D23DB">
        <w:rPr>
          <w:sz w:val="22"/>
          <w:szCs w:val="22"/>
          <w:lang w:val="de-DE"/>
        </w:rPr>
        <w:t>NovoRapid</w:t>
      </w:r>
      <w:proofErr w:type="spellEnd"/>
      <w:r w:rsidRPr="001D23DB">
        <w:rPr>
          <w:sz w:val="22"/>
          <w:szCs w:val="22"/>
          <w:lang w:val="de-DE"/>
        </w:rPr>
        <w:t xml:space="preserve"> u </w:t>
      </w:r>
      <w:proofErr w:type="spellStart"/>
      <w:r w:rsidRPr="001D23DB">
        <w:rPr>
          <w:sz w:val="22"/>
          <w:szCs w:val="22"/>
          <w:lang w:val="de-DE"/>
        </w:rPr>
        <w:t>proc</w:t>
      </w:r>
      <w:r w:rsidR="00A83F36" w:rsidRPr="001D23DB">
        <w:rPr>
          <w:sz w:val="22"/>
          <w:szCs w:val="22"/>
          <w:lang w:val="de-DE"/>
        </w:rPr>
        <w:t>i</w:t>
      </w:r>
      <w:r w:rsidRPr="001D23DB">
        <w:rPr>
          <w:sz w:val="22"/>
          <w:szCs w:val="22"/>
          <w:lang w:val="de-DE"/>
        </w:rPr>
        <w:t>jenjenim</w:t>
      </w:r>
      <w:proofErr w:type="spellEnd"/>
      <w:r w:rsidRPr="001D23DB">
        <w:rPr>
          <w:sz w:val="22"/>
          <w:szCs w:val="22"/>
          <w:lang w:val="de-DE"/>
        </w:rPr>
        <w:t xml:space="preserve"> </w:t>
      </w:r>
      <w:proofErr w:type="spellStart"/>
      <w:r w:rsidRPr="001D23DB">
        <w:rPr>
          <w:sz w:val="22"/>
          <w:szCs w:val="22"/>
          <w:lang w:val="de-DE"/>
        </w:rPr>
        <w:t>mogućnostima</w:t>
      </w:r>
      <w:proofErr w:type="spellEnd"/>
      <w:r w:rsidRPr="001D23DB">
        <w:rPr>
          <w:sz w:val="22"/>
          <w:szCs w:val="22"/>
          <w:lang w:val="de-DE"/>
        </w:rPr>
        <w:t xml:space="preserve"> </w:t>
      </w:r>
      <w:proofErr w:type="spellStart"/>
      <w:r w:rsidRPr="001D23DB">
        <w:rPr>
          <w:sz w:val="22"/>
          <w:szCs w:val="22"/>
          <w:lang w:val="de-DE"/>
        </w:rPr>
        <w:t>postizanja</w:t>
      </w:r>
      <w:proofErr w:type="spellEnd"/>
      <w:r w:rsidRPr="001D23DB">
        <w:rPr>
          <w:sz w:val="22"/>
          <w:szCs w:val="22"/>
          <w:lang w:val="de-DE"/>
        </w:rPr>
        <w:t xml:space="preserve"> HbA</w:t>
      </w:r>
      <w:r w:rsidRPr="001D23DB">
        <w:rPr>
          <w:sz w:val="22"/>
          <w:szCs w:val="22"/>
          <w:vertAlign w:val="subscript"/>
          <w:lang w:val="de-DE"/>
        </w:rPr>
        <w:t>1c</w:t>
      </w:r>
      <w:r w:rsidRPr="001D23DB">
        <w:rPr>
          <w:sz w:val="22"/>
          <w:szCs w:val="22"/>
          <w:lang w:val="de-DE"/>
        </w:rPr>
        <w:t xml:space="preserve"> &lt;7%.</w:t>
      </w:r>
    </w:p>
    <w:p w14:paraId="2015B54C" w14:textId="77777777" w:rsidR="00CC6368" w:rsidRPr="001D23DB" w:rsidRDefault="00CC6368" w:rsidP="00CC6368">
      <w:pPr>
        <w:tabs>
          <w:tab w:val="left" w:pos="284"/>
        </w:tabs>
        <w:jc w:val="both"/>
        <w:rPr>
          <w:sz w:val="22"/>
          <w:szCs w:val="22"/>
          <w:lang w:val="de-DE"/>
        </w:rPr>
      </w:pPr>
    </w:p>
    <w:p w14:paraId="7BD8F78D" w14:textId="77777777" w:rsidR="00CC6368" w:rsidRPr="001D23DB" w:rsidRDefault="00CC6368" w:rsidP="00CC6368">
      <w:pPr>
        <w:tabs>
          <w:tab w:val="left" w:pos="284"/>
        </w:tabs>
        <w:jc w:val="both"/>
        <w:rPr>
          <w:sz w:val="22"/>
          <w:szCs w:val="22"/>
          <w:lang w:val="de-DE"/>
        </w:rPr>
      </w:pPr>
      <w:proofErr w:type="spellStart"/>
      <w:r w:rsidRPr="001D23DB">
        <w:rPr>
          <w:sz w:val="22"/>
          <w:szCs w:val="22"/>
          <w:lang w:val="de-DE"/>
        </w:rPr>
        <w:t>Medijana</w:t>
      </w:r>
      <w:proofErr w:type="spellEnd"/>
      <w:r w:rsidRPr="001D23DB">
        <w:rPr>
          <w:sz w:val="22"/>
          <w:szCs w:val="22"/>
          <w:lang w:val="de-DE"/>
        </w:rPr>
        <w:t xml:space="preserve"> </w:t>
      </w:r>
      <w:proofErr w:type="spellStart"/>
      <w:r w:rsidRPr="001D23DB">
        <w:rPr>
          <w:sz w:val="22"/>
          <w:szCs w:val="22"/>
          <w:lang w:val="de-DE"/>
        </w:rPr>
        <w:t>ukupne</w:t>
      </w:r>
      <w:proofErr w:type="spellEnd"/>
      <w:r w:rsidRPr="001D23DB">
        <w:rPr>
          <w:sz w:val="22"/>
          <w:szCs w:val="22"/>
          <w:lang w:val="de-DE"/>
        </w:rPr>
        <w:t xml:space="preserve"> </w:t>
      </w:r>
      <w:proofErr w:type="spellStart"/>
      <w:r w:rsidRPr="001D23DB">
        <w:rPr>
          <w:sz w:val="22"/>
          <w:szCs w:val="22"/>
          <w:lang w:val="de-DE"/>
        </w:rPr>
        <w:t>doze</w:t>
      </w:r>
      <w:proofErr w:type="spellEnd"/>
      <w:r w:rsidRPr="001D23DB">
        <w:rPr>
          <w:sz w:val="22"/>
          <w:szCs w:val="22"/>
          <w:lang w:val="de-DE"/>
        </w:rPr>
        <w:t xml:space="preserve"> </w:t>
      </w:r>
      <w:proofErr w:type="spellStart"/>
      <w:r w:rsidRPr="001D23DB">
        <w:rPr>
          <w:sz w:val="22"/>
          <w:szCs w:val="22"/>
          <w:lang w:val="de-DE"/>
        </w:rPr>
        <w:t>bolus</w:t>
      </w:r>
      <w:proofErr w:type="spellEnd"/>
      <w:r w:rsidRPr="001D23DB">
        <w:rPr>
          <w:sz w:val="22"/>
          <w:szCs w:val="22"/>
          <w:lang w:val="de-DE"/>
        </w:rPr>
        <w:t xml:space="preserve"> </w:t>
      </w:r>
      <w:proofErr w:type="spellStart"/>
      <w:r w:rsidRPr="001D23DB">
        <w:rPr>
          <w:sz w:val="22"/>
          <w:szCs w:val="22"/>
          <w:lang w:val="de-DE"/>
        </w:rPr>
        <w:t>insulina</w:t>
      </w:r>
      <w:proofErr w:type="spellEnd"/>
      <w:r w:rsidRPr="001D23DB">
        <w:rPr>
          <w:sz w:val="22"/>
          <w:szCs w:val="22"/>
          <w:lang w:val="de-DE"/>
        </w:rPr>
        <w:t xml:space="preserve"> na </w:t>
      </w:r>
      <w:proofErr w:type="spellStart"/>
      <w:r w:rsidRPr="001D23DB">
        <w:rPr>
          <w:sz w:val="22"/>
          <w:szCs w:val="22"/>
          <w:lang w:val="de-DE"/>
        </w:rPr>
        <w:t>kraju</w:t>
      </w:r>
      <w:proofErr w:type="spellEnd"/>
      <w:r w:rsidRPr="001D23DB">
        <w:rPr>
          <w:sz w:val="22"/>
          <w:szCs w:val="22"/>
          <w:lang w:val="de-DE"/>
        </w:rPr>
        <w:t xml:space="preserve"> </w:t>
      </w:r>
      <w:proofErr w:type="spellStart"/>
      <w:r w:rsidRPr="001D23DB">
        <w:rPr>
          <w:sz w:val="22"/>
          <w:szCs w:val="22"/>
          <w:lang w:val="de-DE"/>
        </w:rPr>
        <w:t>ispitivanja</w:t>
      </w:r>
      <w:proofErr w:type="spellEnd"/>
      <w:r w:rsidRPr="001D23DB">
        <w:rPr>
          <w:sz w:val="22"/>
          <w:szCs w:val="22"/>
          <w:lang w:val="de-DE"/>
        </w:rPr>
        <w:t xml:space="preserve"> </w:t>
      </w:r>
      <w:proofErr w:type="spellStart"/>
      <w:r w:rsidRPr="001D23DB">
        <w:rPr>
          <w:sz w:val="22"/>
          <w:szCs w:val="22"/>
          <w:lang w:val="de-DE"/>
        </w:rPr>
        <w:t>bila</w:t>
      </w:r>
      <w:proofErr w:type="spellEnd"/>
      <w:r w:rsidRPr="001D23DB">
        <w:rPr>
          <w:sz w:val="22"/>
          <w:szCs w:val="22"/>
          <w:lang w:val="de-DE"/>
        </w:rPr>
        <w:t xml:space="preserve"> je </w:t>
      </w:r>
      <w:proofErr w:type="spellStart"/>
      <w:r w:rsidRPr="001D23DB">
        <w:rPr>
          <w:sz w:val="22"/>
          <w:szCs w:val="22"/>
          <w:lang w:val="de-DE"/>
        </w:rPr>
        <w:t>slična</w:t>
      </w:r>
      <w:proofErr w:type="spellEnd"/>
      <w:r w:rsidRPr="001D23DB">
        <w:rPr>
          <w:sz w:val="22"/>
          <w:szCs w:val="22"/>
          <w:lang w:val="de-DE"/>
        </w:rPr>
        <w:t xml:space="preserve"> </w:t>
      </w:r>
      <w:proofErr w:type="spellStart"/>
      <w:r w:rsidRPr="001D23DB">
        <w:rPr>
          <w:sz w:val="22"/>
          <w:szCs w:val="22"/>
          <w:lang w:val="de-DE"/>
        </w:rPr>
        <w:t>za</w:t>
      </w:r>
      <w:proofErr w:type="spellEnd"/>
      <w:r w:rsidRPr="001D23DB">
        <w:rPr>
          <w:sz w:val="22"/>
          <w:szCs w:val="22"/>
          <w:lang w:val="de-DE"/>
        </w:rPr>
        <w:t xml:space="preserve"> </w:t>
      </w:r>
      <w:proofErr w:type="spellStart"/>
      <w:r w:rsidR="00A83F36" w:rsidRPr="001D23DB">
        <w:rPr>
          <w:sz w:val="22"/>
          <w:szCs w:val="22"/>
          <w:lang w:val="de-DE"/>
        </w:rPr>
        <w:t>ljekove</w:t>
      </w:r>
      <w:proofErr w:type="spellEnd"/>
      <w:r w:rsidR="00A83F36"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i </w:t>
      </w:r>
      <w:proofErr w:type="spellStart"/>
      <w:r w:rsidRPr="001D23DB">
        <w:rPr>
          <w:sz w:val="22"/>
          <w:szCs w:val="22"/>
          <w:lang w:val="de-DE"/>
        </w:rPr>
        <w:t>NovoRapid</w:t>
      </w:r>
      <w:proofErr w:type="spellEnd"/>
      <w:r w:rsidRPr="001D23DB">
        <w:rPr>
          <w:sz w:val="22"/>
          <w:szCs w:val="22"/>
          <w:lang w:val="de-DE"/>
        </w:rPr>
        <w:t xml:space="preserve"> (</w:t>
      </w:r>
      <w:proofErr w:type="spellStart"/>
      <w:r w:rsidRPr="001D23DB">
        <w:rPr>
          <w:sz w:val="22"/>
          <w:szCs w:val="22"/>
          <w:lang w:val="de-DE"/>
        </w:rPr>
        <w:t>promjena</w:t>
      </w:r>
      <w:proofErr w:type="spellEnd"/>
      <w:r w:rsidRPr="001D23DB">
        <w:rPr>
          <w:sz w:val="22"/>
          <w:szCs w:val="22"/>
          <w:lang w:val="de-DE"/>
        </w:rPr>
        <w:t xml:space="preserve"> </w:t>
      </w:r>
      <w:proofErr w:type="spellStart"/>
      <w:r w:rsidRPr="001D23DB">
        <w:rPr>
          <w:sz w:val="22"/>
          <w:szCs w:val="22"/>
          <w:lang w:val="de-DE"/>
        </w:rPr>
        <w:t>od</w:t>
      </w:r>
      <w:proofErr w:type="spellEnd"/>
      <w:r w:rsidRPr="001D23DB">
        <w:rPr>
          <w:sz w:val="22"/>
          <w:szCs w:val="22"/>
          <w:lang w:val="de-DE"/>
        </w:rPr>
        <w:t xml:space="preserve"> </w:t>
      </w:r>
      <w:proofErr w:type="spellStart"/>
      <w:r w:rsidRPr="001D23DB">
        <w:rPr>
          <w:sz w:val="22"/>
          <w:szCs w:val="22"/>
          <w:lang w:val="de-DE"/>
        </w:rPr>
        <w:t>početnih</w:t>
      </w:r>
      <w:proofErr w:type="spellEnd"/>
      <w:r w:rsidRPr="001D23DB">
        <w:rPr>
          <w:sz w:val="22"/>
          <w:szCs w:val="22"/>
          <w:lang w:val="de-DE"/>
        </w:rPr>
        <w:t xml:space="preserve"> </w:t>
      </w:r>
      <w:proofErr w:type="spellStart"/>
      <w:r w:rsidRPr="001D23DB">
        <w:rPr>
          <w:sz w:val="22"/>
          <w:szCs w:val="22"/>
          <w:lang w:val="de-DE"/>
        </w:rPr>
        <w:t>vrijednosti</w:t>
      </w:r>
      <w:proofErr w:type="spellEnd"/>
      <w:r w:rsidRPr="001D23DB">
        <w:rPr>
          <w:sz w:val="22"/>
          <w:szCs w:val="22"/>
          <w:lang w:val="de-DE"/>
        </w:rPr>
        <w:t xml:space="preserve"> do </w:t>
      </w:r>
      <w:proofErr w:type="spellStart"/>
      <w:r w:rsidRPr="001D23DB">
        <w:rPr>
          <w:sz w:val="22"/>
          <w:szCs w:val="22"/>
          <w:lang w:val="de-DE"/>
        </w:rPr>
        <w:t>kraja</w:t>
      </w:r>
      <w:proofErr w:type="spellEnd"/>
      <w:r w:rsidRPr="001D23DB">
        <w:rPr>
          <w:sz w:val="22"/>
          <w:szCs w:val="22"/>
          <w:lang w:val="de-DE"/>
        </w:rPr>
        <w:t xml:space="preserve"> </w:t>
      </w:r>
      <w:proofErr w:type="spellStart"/>
      <w:r w:rsidRPr="001D23DB">
        <w:rPr>
          <w:sz w:val="22"/>
          <w:szCs w:val="22"/>
          <w:lang w:val="de-DE"/>
        </w:rPr>
        <w:t>ispitivanja</w:t>
      </w:r>
      <w:proofErr w:type="spellEnd"/>
      <w:r w:rsidRPr="001D23DB">
        <w:rPr>
          <w:sz w:val="22"/>
          <w:szCs w:val="22"/>
          <w:lang w:val="de-DE"/>
        </w:rPr>
        <w:t xml:space="preserve">: </w:t>
      </w:r>
      <w:proofErr w:type="spellStart"/>
      <w:r w:rsidR="00A83F36" w:rsidRPr="001D23DB">
        <w:rPr>
          <w:sz w:val="22"/>
          <w:szCs w:val="22"/>
          <w:lang w:val="de-DE"/>
        </w:rPr>
        <w:t>lijek</w:t>
      </w:r>
      <w:proofErr w:type="spellEnd"/>
      <w:r w:rsidR="00A83F36"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0,21→0,49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 xml:space="preserve"> i </w:t>
      </w:r>
      <w:proofErr w:type="spellStart"/>
      <w:r w:rsidR="00A83F36" w:rsidRPr="001D23DB">
        <w:rPr>
          <w:sz w:val="22"/>
          <w:szCs w:val="22"/>
          <w:lang w:val="de-DE"/>
        </w:rPr>
        <w:t>lijek</w:t>
      </w:r>
      <w:proofErr w:type="spellEnd"/>
      <w:r w:rsidR="00A83F36" w:rsidRPr="001D23DB">
        <w:rPr>
          <w:sz w:val="22"/>
          <w:szCs w:val="22"/>
          <w:lang w:val="de-DE"/>
        </w:rPr>
        <w:t xml:space="preserve"> </w:t>
      </w:r>
      <w:proofErr w:type="spellStart"/>
      <w:r w:rsidRPr="001D23DB">
        <w:rPr>
          <w:sz w:val="22"/>
          <w:szCs w:val="22"/>
          <w:lang w:val="de-DE"/>
        </w:rPr>
        <w:t>NovoRapid</w:t>
      </w:r>
      <w:proofErr w:type="spellEnd"/>
      <w:r w:rsidRPr="001D23DB">
        <w:rPr>
          <w:sz w:val="22"/>
          <w:szCs w:val="22"/>
          <w:lang w:val="de-DE"/>
        </w:rPr>
        <w:t xml:space="preserve">: 0,21→0,51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 xml:space="preserve">). </w:t>
      </w:r>
      <w:proofErr w:type="spellStart"/>
      <w:r w:rsidRPr="001D23DB">
        <w:rPr>
          <w:sz w:val="22"/>
          <w:szCs w:val="22"/>
          <w:lang w:val="de-DE"/>
        </w:rPr>
        <w:t>Promjene</w:t>
      </w:r>
      <w:proofErr w:type="spellEnd"/>
      <w:r w:rsidRPr="001D23DB">
        <w:rPr>
          <w:sz w:val="22"/>
          <w:szCs w:val="22"/>
          <w:lang w:val="de-DE"/>
        </w:rPr>
        <w:t xml:space="preserve"> u </w:t>
      </w:r>
      <w:proofErr w:type="spellStart"/>
      <w:r w:rsidRPr="001D23DB">
        <w:rPr>
          <w:sz w:val="22"/>
          <w:szCs w:val="22"/>
          <w:lang w:val="de-DE"/>
        </w:rPr>
        <w:t>medijani</w:t>
      </w:r>
      <w:proofErr w:type="spellEnd"/>
      <w:r w:rsidRPr="001D23DB">
        <w:rPr>
          <w:sz w:val="22"/>
          <w:szCs w:val="22"/>
          <w:lang w:val="de-DE"/>
        </w:rPr>
        <w:t xml:space="preserve"> </w:t>
      </w:r>
      <w:proofErr w:type="spellStart"/>
      <w:r w:rsidRPr="001D23DB">
        <w:rPr>
          <w:sz w:val="22"/>
          <w:szCs w:val="22"/>
          <w:lang w:val="de-DE"/>
        </w:rPr>
        <w:t>ukupne</w:t>
      </w:r>
      <w:proofErr w:type="spellEnd"/>
      <w:r w:rsidRPr="001D23DB">
        <w:rPr>
          <w:sz w:val="22"/>
          <w:szCs w:val="22"/>
          <w:lang w:val="de-DE"/>
        </w:rPr>
        <w:t xml:space="preserve"> </w:t>
      </w:r>
      <w:proofErr w:type="spellStart"/>
      <w:r w:rsidRPr="001D23DB">
        <w:rPr>
          <w:sz w:val="22"/>
          <w:szCs w:val="22"/>
          <w:lang w:val="de-DE"/>
        </w:rPr>
        <w:t>doze</w:t>
      </w:r>
      <w:proofErr w:type="spellEnd"/>
      <w:r w:rsidRPr="001D23DB">
        <w:rPr>
          <w:sz w:val="22"/>
          <w:szCs w:val="22"/>
          <w:lang w:val="de-DE"/>
        </w:rPr>
        <w:t xml:space="preserve"> </w:t>
      </w:r>
      <w:proofErr w:type="spellStart"/>
      <w:r w:rsidRPr="001D23DB">
        <w:rPr>
          <w:sz w:val="22"/>
          <w:szCs w:val="22"/>
          <w:lang w:val="de-DE"/>
        </w:rPr>
        <w:t>bazalnog</w:t>
      </w:r>
      <w:proofErr w:type="spellEnd"/>
      <w:r w:rsidRPr="001D23DB">
        <w:rPr>
          <w:sz w:val="22"/>
          <w:szCs w:val="22"/>
          <w:lang w:val="de-DE"/>
        </w:rPr>
        <w:t xml:space="preserve"> </w:t>
      </w:r>
      <w:proofErr w:type="spellStart"/>
      <w:r w:rsidRPr="001D23DB">
        <w:rPr>
          <w:sz w:val="22"/>
          <w:szCs w:val="22"/>
          <w:lang w:val="de-DE"/>
        </w:rPr>
        <w:t>insulina</w:t>
      </w:r>
      <w:proofErr w:type="spellEnd"/>
      <w:r w:rsidRPr="001D23DB">
        <w:rPr>
          <w:sz w:val="22"/>
          <w:szCs w:val="22"/>
          <w:lang w:val="de-DE"/>
        </w:rPr>
        <w:t xml:space="preserve"> </w:t>
      </w:r>
      <w:proofErr w:type="spellStart"/>
      <w:r w:rsidRPr="001D23DB">
        <w:rPr>
          <w:sz w:val="22"/>
          <w:szCs w:val="22"/>
          <w:lang w:val="de-DE"/>
        </w:rPr>
        <w:t>od</w:t>
      </w:r>
      <w:proofErr w:type="spellEnd"/>
      <w:r w:rsidRPr="001D23DB">
        <w:rPr>
          <w:sz w:val="22"/>
          <w:szCs w:val="22"/>
          <w:lang w:val="de-DE"/>
        </w:rPr>
        <w:t xml:space="preserve"> </w:t>
      </w:r>
      <w:proofErr w:type="spellStart"/>
      <w:r w:rsidRPr="001D23DB">
        <w:rPr>
          <w:sz w:val="22"/>
          <w:szCs w:val="22"/>
          <w:lang w:val="de-DE"/>
        </w:rPr>
        <w:t>početka</w:t>
      </w:r>
      <w:proofErr w:type="spellEnd"/>
      <w:r w:rsidRPr="001D23DB">
        <w:rPr>
          <w:sz w:val="22"/>
          <w:szCs w:val="22"/>
          <w:lang w:val="de-DE"/>
        </w:rPr>
        <w:t xml:space="preserve"> do </w:t>
      </w:r>
      <w:proofErr w:type="spellStart"/>
      <w:r w:rsidRPr="001D23DB">
        <w:rPr>
          <w:sz w:val="22"/>
          <w:szCs w:val="22"/>
          <w:lang w:val="de-DE"/>
        </w:rPr>
        <w:t>kraja</w:t>
      </w:r>
      <w:proofErr w:type="spellEnd"/>
      <w:r w:rsidRPr="001D23DB">
        <w:rPr>
          <w:sz w:val="22"/>
          <w:szCs w:val="22"/>
          <w:lang w:val="de-DE"/>
        </w:rPr>
        <w:t xml:space="preserve"> </w:t>
      </w:r>
      <w:proofErr w:type="spellStart"/>
      <w:r w:rsidRPr="001D23DB">
        <w:rPr>
          <w:sz w:val="22"/>
          <w:szCs w:val="22"/>
          <w:lang w:val="de-DE"/>
        </w:rPr>
        <w:t>ispitivanja</w:t>
      </w:r>
      <w:proofErr w:type="spellEnd"/>
      <w:r w:rsidRPr="001D23DB">
        <w:rPr>
          <w:sz w:val="22"/>
          <w:szCs w:val="22"/>
          <w:lang w:val="de-DE"/>
        </w:rPr>
        <w:t xml:space="preserve"> </w:t>
      </w:r>
      <w:proofErr w:type="spellStart"/>
      <w:r w:rsidRPr="001D23DB">
        <w:rPr>
          <w:sz w:val="22"/>
          <w:szCs w:val="22"/>
          <w:lang w:val="de-DE"/>
        </w:rPr>
        <w:t>bile</w:t>
      </w:r>
      <w:proofErr w:type="spellEnd"/>
      <w:r w:rsidRPr="001D23DB">
        <w:rPr>
          <w:sz w:val="22"/>
          <w:szCs w:val="22"/>
          <w:lang w:val="de-DE"/>
        </w:rPr>
        <w:t xml:space="preserve"> </w:t>
      </w:r>
      <w:proofErr w:type="spellStart"/>
      <w:r w:rsidRPr="001D23DB">
        <w:rPr>
          <w:sz w:val="22"/>
          <w:szCs w:val="22"/>
          <w:lang w:val="de-DE"/>
        </w:rPr>
        <w:t>su</w:t>
      </w:r>
      <w:proofErr w:type="spellEnd"/>
      <w:r w:rsidRPr="001D23DB">
        <w:rPr>
          <w:sz w:val="22"/>
          <w:szCs w:val="22"/>
          <w:lang w:val="de-DE"/>
        </w:rPr>
        <w:t xml:space="preserve"> </w:t>
      </w:r>
      <w:proofErr w:type="spellStart"/>
      <w:r w:rsidRPr="001D23DB">
        <w:rPr>
          <w:sz w:val="22"/>
          <w:szCs w:val="22"/>
          <w:lang w:val="de-DE"/>
        </w:rPr>
        <w:t>uporedive</w:t>
      </w:r>
      <w:proofErr w:type="spellEnd"/>
      <w:r w:rsidRPr="001D23DB">
        <w:rPr>
          <w:sz w:val="22"/>
          <w:szCs w:val="22"/>
          <w:lang w:val="de-DE"/>
        </w:rPr>
        <w:t xml:space="preserve"> </w:t>
      </w:r>
      <w:proofErr w:type="spellStart"/>
      <w:r w:rsidRPr="001D23DB">
        <w:rPr>
          <w:sz w:val="22"/>
          <w:szCs w:val="22"/>
          <w:lang w:val="de-DE"/>
        </w:rPr>
        <w:t>za</w:t>
      </w:r>
      <w:proofErr w:type="spellEnd"/>
      <w:r w:rsidRPr="001D23DB">
        <w:rPr>
          <w:sz w:val="22"/>
          <w:szCs w:val="22"/>
          <w:lang w:val="de-DE"/>
        </w:rPr>
        <w:t xml:space="preserve"> </w:t>
      </w:r>
      <w:proofErr w:type="spellStart"/>
      <w:r w:rsidR="00A83F36" w:rsidRPr="001D23DB">
        <w:rPr>
          <w:sz w:val="22"/>
          <w:szCs w:val="22"/>
          <w:lang w:val="de-DE"/>
        </w:rPr>
        <w:t>lijek</w:t>
      </w:r>
      <w:proofErr w:type="spellEnd"/>
      <w:r w:rsidR="00A83F36"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(0,56→0,53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 xml:space="preserve">) i </w:t>
      </w:r>
      <w:proofErr w:type="spellStart"/>
      <w:r w:rsidR="00A83F36" w:rsidRPr="001D23DB">
        <w:rPr>
          <w:sz w:val="22"/>
          <w:szCs w:val="22"/>
          <w:lang w:val="de-DE"/>
        </w:rPr>
        <w:t>lijek</w:t>
      </w:r>
      <w:proofErr w:type="spellEnd"/>
      <w:r w:rsidR="00A83F36" w:rsidRPr="001D23DB">
        <w:rPr>
          <w:sz w:val="22"/>
          <w:szCs w:val="22"/>
          <w:lang w:val="de-DE"/>
        </w:rPr>
        <w:t xml:space="preserve"> </w:t>
      </w:r>
      <w:proofErr w:type="spellStart"/>
      <w:r w:rsidRPr="001D23DB">
        <w:rPr>
          <w:sz w:val="22"/>
          <w:szCs w:val="22"/>
          <w:lang w:val="de-DE"/>
        </w:rPr>
        <w:t>NovoRapid</w:t>
      </w:r>
      <w:proofErr w:type="spellEnd"/>
      <w:r w:rsidRPr="001D23DB">
        <w:rPr>
          <w:sz w:val="22"/>
          <w:szCs w:val="22"/>
          <w:lang w:val="de-DE"/>
        </w:rPr>
        <w:t xml:space="preserve"> (0,52→0,48 </w:t>
      </w:r>
      <w:proofErr w:type="spellStart"/>
      <w:r w:rsidRPr="001D23DB">
        <w:rPr>
          <w:sz w:val="22"/>
          <w:szCs w:val="22"/>
          <w:lang w:val="de-DE"/>
        </w:rPr>
        <w:t>jedinica</w:t>
      </w:r>
      <w:proofErr w:type="spellEnd"/>
      <w:r w:rsidRPr="001D23DB">
        <w:rPr>
          <w:sz w:val="22"/>
          <w:szCs w:val="22"/>
          <w:lang w:val="de-DE"/>
        </w:rPr>
        <w:t>/kg/</w:t>
      </w:r>
      <w:proofErr w:type="spellStart"/>
      <w:r w:rsidRPr="001D23DB">
        <w:rPr>
          <w:sz w:val="22"/>
          <w:szCs w:val="22"/>
          <w:lang w:val="de-DE"/>
        </w:rPr>
        <w:t>dan</w:t>
      </w:r>
      <w:proofErr w:type="spellEnd"/>
      <w:r w:rsidRPr="001D23DB">
        <w:rPr>
          <w:sz w:val="22"/>
          <w:szCs w:val="22"/>
          <w:lang w:val="de-DE"/>
        </w:rPr>
        <w:t>).</w:t>
      </w:r>
    </w:p>
    <w:p w14:paraId="4D9DDF59" w14:textId="77777777" w:rsidR="00CC6368" w:rsidRPr="001D23DB" w:rsidRDefault="00CC6368" w:rsidP="00CC6368">
      <w:pPr>
        <w:tabs>
          <w:tab w:val="left" w:pos="284"/>
        </w:tabs>
        <w:jc w:val="both"/>
        <w:rPr>
          <w:sz w:val="22"/>
          <w:szCs w:val="22"/>
          <w:lang w:val="de-DE"/>
        </w:rPr>
      </w:pPr>
    </w:p>
    <w:p w14:paraId="3C8E2E60" w14:textId="77777777" w:rsidR="00CC6368" w:rsidRPr="001D23DB" w:rsidRDefault="00CC6368" w:rsidP="00CC6368">
      <w:pPr>
        <w:tabs>
          <w:tab w:val="left" w:pos="284"/>
        </w:tabs>
        <w:jc w:val="both"/>
        <w:rPr>
          <w:i/>
          <w:sz w:val="22"/>
          <w:szCs w:val="22"/>
          <w:lang w:val="de-DE"/>
        </w:rPr>
      </w:pPr>
      <w:proofErr w:type="spellStart"/>
      <w:r w:rsidRPr="001D23DB">
        <w:rPr>
          <w:i/>
          <w:sz w:val="22"/>
          <w:szCs w:val="22"/>
          <w:lang w:val="de-DE"/>
        </w:rPr>
        <w:t>Starije</w:t>
      </w:r>
      <w:proofErr w:type="spellEnd"/>
      <w:r w:rsidRPr="001D23DB">
        <w:rPr>
          <w:i/>
          <w:sz w:val="22"/>
          <w:szCs w:val="22"/>
          <w:lang w:val="de-DE"/>
        </w:rPr>
        <w:t xml:space="preserve"> </w:t>
      </w:r>
      <w:proofErr w:type="spellStart"/>
      <w:r w:rsidRPr="001D23DB">
        <w:rPr>
          <w:i/>
          <w:sz w:val="22"/>
          <w:szCs w:val="22"/>
          <w:lang w:val="de-DE"/>
        </w:rPr>
        <w:t>osobe</w:t>
      </w:r>
      <w:proofErr w:type="spellEnd"/>
      <w:r w:rsidRPr="001D23DB">
        <w:rPr>
          <w:i/>
          <w:sz w:val="22"/>
          <w:szCs w:val="22"/>
          <w:lang w:val="de-DE"/>
        </w:rPr>
        <w:t xml:space="preserve"> </w:t>
      </w:r>
    </w:p>
    <w:p w14:paraId="3595F8EF" w14:textId="77777777" w:rsidR="00CC6368" w:rsidRPr="001D23DB" w:rsidRDefault="00CC6368" w:rsidP="00CC6368">
      <w:pPr>
        <w:tabs>
          <w:tab w:val="left" w:pos="284"/>
        </w:tabs>
        <w:jc w:val="both"/>
        <w:rPr>
          <w:sz w:val="22"/>
          <w:szCs w:val="22"/>
          <w:lang w:val="de-DE"/>
        </w:rPr>
      </w:pPr>
      <w:r w:rsidRPr="001D23DB">
        <w:rPr>
          <w:sz w:val="22"/>
          <w:szCs w:val="22"/>
          <w:lang w:val="de-DE"/>
        </w:rPr>
        <w:t xml:space="preserve">U </w:t>
      </w:r>
      <w:proofErr w:type="spellStart"/>
      <w:r w:rsidRPr="001D23DB">
        <w:rPr>
          <w:sz w:val="22"/>
          <w:szCs w:val="22"/>
          <w:lang w:val="de-DE"/>
        </w:rPr>
        <w:t>tri</w:t>
      </w:r>
      <w:proofErr w:type="spellEnd"/>
      <w:r w:rsidRPr="001D23DB">
        <w:rPr>
          <w:sz w:val="22"/>
          <w:szCs w:val="22"/>
          <w:lang w:val="de-DE"/>
        </w:rPr>
        <w:t xml:space="preserve"> </w:t>
      </w:r>
      <w:proofErr w:type="spellStart"/>
      <w:r w:rsidRPr="001D23DB">
        <w:rPr>
          <w:sz w:val="22"/>
          <w:szCs w:val="22"/>
          <w:lang w:val="de-DE"/>
        </w:rPr>
        <w:t>kontrolisana</w:t>
      </w:r>
      <w:proofErr w:type="spellEnd"/>
      <w:r w:rsidRPr="001D23DB">
        <w:rPr>
          <w:sz w:val="22"/>
          <w:szCs w:val="22"/>
          <w:lang w:val="de-DE"/>
        </w:rPr>
        <w:t xml:space="preserve"> </w:t>
      </w:r>
      <w:proofErr w:type="spellStart"/>
      <w:r w:rsidRPr="001D23DB">
        <w:rPr>
          <w:sz w:val="22"/>
          <w:szCs w:val="22"/>
          <w:lang w:val="de-DE"/>
        </w:rPr>
        <w:t>klinička</w:t>
      </w:r>
      <w:proofErr w:type="spellEnd"/>
      <w:r w:rsidRPr="001D23DB">
        <w:rPr>
          <w:sz w:val="22"/>
          <w:szCs w:val="22"/>
          <w:lang w:val="de-DE"/>
        </w:rPr>
        <w:t xml:space="preserve"> </w:t>
      </w:r>
      <w:proofErr w:type="spellStart"/>
      <w:r w:rsidRPr="001D23DB">
        <w:rPr>
          <w:sz w:val="22"/>
          <w:szCs w:val="22"/>
          <w:lang w:val="de-DE"/>
        </w:rPr>
        <w:t>ispitivanja</w:t>
      </w:r>
      <w:proofErr w:type="spellEnd"/>
      <w:r w:rsidRPr="001D23DB">
        <w:rPr>
          <w:sz w:val="22"/>
          <w:szCs w:val="22"/>
          <w:lang w:val="de-DE"/>
        </w:rPr>
        <w:t xml:space="preserve">, 192 </w:t>
      </w:r>
      <w:proofErr w:type="spellStart"/>
      <w:r w:rsidRPr="001D23DB">
        <w:rPr>
          <w:sz w:val="22"/>
          <w:szCs w:val="22"/>
          <w:lang w:val="de-DE"/>
        </w:rPr>
        <w:t>od</w:t>
      </w:r>
      <w:proofErr w:type="spellEnd"/>
      <w:r w:rsidRPr="001D23DB">
        <w:rPr>
          <w:sz w:val="22"/>
          <w:szCs w:val="22"/>
          <w:lang w:val="de-DE"/>
        </w:rPr>
        <w:t xml:space="preserve"> 1219 (16%) </w:t>
      </w:r>
      <w:proofErr w:type="spellStart"/>
      <w:r w:rsidRPr="001D23DB">
        <w:rPr>
          <w:sz w:val="22"/>
          <w:szCs w:val="22"/>
          <w:lang w:val="de-DE"/>
        </w:rPr>
        <w:t>pacijenata</w:t>
      </w:r>
      <w:proofErr w:type="spellEnd"/>
      <w:r w:rsidRPr="001D23DB">
        <w:rPr>
          <w:sz w:val="22"/>
          <w:szCs w:val="22"/>
          <w:lang w:val="de-DE"/>
        </w:rPr>
        <w:t xml:space="preserve"> </w:t>
      </w:r>
      <w:proofErr w:type="spellStart"/>
      <w:r w:rsidRPr="001D23DB">
        <w:rPr>
          <w:sz w:val="22"/>
          <w:szCs w:val="22"/>
          <w:lang w:val="de-DE"/>
        </w:rPr>
        <w:t>sa</w:t>
      </w:r>
      <w:proofErr w:type="spellEnd"/>
      <w:r w:rsidRPr="001D23DB">
        <w:rPr>
          <w:sz w:val="22"/>
          <w:szCs w:val="22"/>
          <w:lang w:val="de-DE"/>
        </w:rPr>
        <w:t xml:space="preserve"> </w:t>
      </w:r>
      <w:proofErr w:type="spellStart"/>
      <w:r w:rsidRPr="001D23DB">
        <w:rPr>
          <w:sz w:val="22"/>
          <w:szCs w:val="22"/>
          <w:lang w:val="de-DE"/>
        </w:rPr>
        <w:t>dijabetes</w:t>
      </w:r>
      <w:r w:rsidR="009E4B69" w:rsidRPr="001D23DB">
        <w:rPr>
          <w:sz w:val="22"/>
          <w:szCs w:val="22"/>
          <w:lang w:val="de-DE"/>
        </w:rPr>
        <w:t>om</w:t>
      </w:r>
      <w:proofErr w:type="spellEnd"/>
      <w:r w:rsidRPr="001D23DB">
        <w:rPr>
          <w:sz w:val="22"/>
          <w:szCs w:val="22"/>
          <w:lang w:val="de-DE"/>
        </w:rPr>
        <w:t xml:space="preserve"> </w:t>
      </w:r>
      <w:proofErr w:type="spellStart"/>
      <w:r w:rsidRPr="001D23DB">
        <w:rPr>
          <w:sz w:val="22"/>
          <w:szCs w:val="22"/>
          <w:lang w:val="de-DE"/>
        </w:rPr>
        <w:t>tip</w:t>
      </w:r>
      <w:r w:rsidR="00A83F36" w:rsidRPr="001D23DB">
        <w:rPr>
          <w:sz w:val="22"/>
          <w:szCs w:val="22"/>
          <w:lang w:val="de-DE"/>
        </w:rPr>
        <w:t>a</w:t>
      </w:r>
      <w:proofErr w:type="spellEnd"/>
      <w:r w:rsidRPr="001D23DB">
        <w:rPr>
          <w:sz w:val="22"/>
          <w:szCs w:val="22"/>
          <w:lang w:val="de-DE"/>
        </w:rPr>
        <w:t xml:space="preserve"> 1 </w:t>
      </w:r>
      <w:proofErr w:type="spellStart"/>
      <w:r w:rsidRPr="001D23DB">
        <w:rPr>
          <w:sz w:val="22"/>
          <w:szCs w:val="22"/>
          <w:lang w:val="de-DE"/>
        </w:rPr>
        <w:t>ili</w:t>
      </w:r>
      <w:proofErr w:type="spellEnd"/>
      <w:r w:rsidRPr="001D23DB">
        <w:rPr>
          <w:sz w:val="22"/>
          <w:szCs w:val="22"/>
          <w:lang w:val="de-DE"/>
        </w:rPr>
        <w:t xml:space="preserve"> </w:t>
      </w:r>
      <w:proofErr w:type="spellStart"/>
      <w:r w:rsidRPr="001D23DB">
        <w:rPr>
          <w:sz w:val="22"/>
          <w:szCs w:val="22"/>
          <w:lang w:val="de-DE"/>
        </w:rPr>
        <w:t>dijabetes</w:t>
      </w:r>
      <w:r w:rsidR="009E4B69" w:rsidRPr="001D23DB">
        <w:rPr>
          <w:sz w:val="22"/>
          <w:szCs w:val="22"/>
          <w:lang w:val="de-DE"/>
        </w:rPr>
        <w:t>om</w:t>
      </w:r>
      <w:proofErr w:type="spellEnd"/>
      <w:r w:rsidRPr="001D23DB">
        <w:rPr>
          <w:sz w:val="22"/>
          <w:szCs w:val="22"/>
          <w:lang w:val="de-DE"/>
        </w:rPr>
        <w:t xml:space="preserve"> </w:t>
      </w:r>
      <w:proofErr w:type="spellStart"/>
      <w:r w:rsidRPr="001D23DB">
        <w:rPr>
          <w:sz w:val="22"/>
          <w:szCs w:val="22"/>
          <w:lang w:val="de-DE"/>
        </w:rPr>
        <w:t>tip</w:t>
      </w:r>
      <w:r w:rsidR="00A83F36" w:rsidRPr="001D23DB">
        <w:rPr>
          <w:sz w:val="22"/>
          <w:szCs w:val="22"/>
          <w:lang w:val="de-DE"/>
        </w:rPr>
        <w:t>a</w:t>
      </w:r>
      <w:proofErr w:type="spellEnd"/>
      <w:r w:rsidRPr="001D23DB">
        <w:rPr>
          <w:sz w:val="22"/>
          <w:szCs w:val="22"/>
          <w:lang w:val="de-DE"/>
        </w:rPr>
        <w:t xml:space="preserve"> 2 </w:t>
      </w:r>
      <w:proofErr w:type="spellStart"/>
      <w:r w:rsidRPr="001D23DB">
        <w:rPr>
          <w:sz w:val="22"/>
          <w:szCs w:val="22"/>
          <w:lang w:val="de-DE"/>
        </w:rPr>
        <w:t>liječenih</w:t>
      </w:r>
      <w:proofErr w:type="spellEnd"/>
      <w:r w:rsidRPr="001D23DB">
        <w:rPr>
          <w:sz w:val="22"/>
          <w:szCs w:val="22"/>
          <w:lang w:val="de-DE"/>
        </w:rPr>
        <w:t xml:space="preserve"> </w:t>
      </w:r>
      <w:proofErr w:type="spellStart"/>
      <w:r w:rsidRPr="001D23DB">
        <w:rPr>
          <w:sz w:val="22"/>
          <w:szCs w:val="22"/>
          <w:lang w:val="de-DE"/>
        </w:rPr>
        <w:t>lijekom</w:t>
      </w:r>
      <w:proofErr w:type="spellEnd"/>
      <w:r w:rsidRPr="001D23DB">
        <w:rPr>
          <w:sz w:val="22"/>
          <w:szCs w:val="22"/>
          <w:lang w:val="de-DE"/>
        </w:rPr>
        <w:t xml:space="preserve"> </w:t>
      </w:r>
      <w:proofErr w:type="spellStart"/>
      <w:r w:rsidRPr="001D23DB">
        <w:rPr>
          <w:sz w:val="22"/>
          <w:szCs w:val="22"/>
          <w:lang w:val="de-DE"/>
        </w:rPr>
        <w:t>Fiasp</w:t>
      </w:r>
      <w:proofErr w:type="spellEnd"/>
      <w:r w:rsidRPr="001D23DB">
        <w:rPr>
          <w:sz w:val="22"/>
          <w:szCs w:val="22"/>
          <w:lang w:val="de-DE"/>
        </w:rPr>
        <w:t xml:space="preserve"> </w:t>
      </w:r>
      <w:proofErr w:type="spellStart"/>
      <w:r w:rsidRPr="001D23DB">
        <w:rPr>
          <w:sz w:val="22"/>
          <w:szCs w:val="22"/>
          <w:lang w:val="de-DE"/>
        </w:rPr>
        <w:t>imali</w:t>
      </w:r>
      <w:proofErr w:type="spellEnd"/>
      <w:r w:rsidRPr="001D23DB">
        <w:rPr>
          <w:sz w:val="22"/>
          <w:szCs w:val="22"/>
          <w:lang w:val="de-DE"/>
        </w:rPr>
        <w:t xml:space="preserve"> </w:t>
      </w:r>
      <w:proofErr w:type="spellStart"/>
      <w:r w:rsidRPr="001D23DB">
        <w:rPr>
          <w:sz w:val="22"/>
          <w:szCs w:val="22"/>
          <w:lang w:val="de-DE"/>
        </w:rPr>
        <w:t>su</w:t>
      </w:r>
      <w:proofErr w:type="spellEnd"/>
      <w:r w:rsidRPr="001D23DB">
        <w:rPr>
          <w:sz w:val="22"/>
          <w:szCs w:val="22"/>
          <w:lang w:val="de-DE"/>
        </w:rPr>
        <w:t xml:space="preserve"> ≥65 </w:t>
      </w:r>
      <w:proofErr w:type="spellStart"/>
      <w:r w:rsidRPr="001D23DB">
        <w:rPr>
          <w:sz w:val="22"/>
          <w:szCs w:val="22"/>
          <w:lang w:val="de-DE"/>
        </w:rPr>
        <w:t>godina</w:t>
      </w:r>
      <w:proofErr w:type="spellEnd"/>
      <w:r w:rsidRPr="001D23DB">
        <w:rPr>
          <w:sz w:val="22"/>
          <w:szCs w:val="22"/>
          <w:lang w:val="de-DE"/>
        </w:rPr>
        <w:t xml:space="preserve">, a </w:t>
      </w:r>
      <w:proofErr w:type="spellStart"/>
      <w:r w:rsidRPr="001D23DB">
        <w:rPr>
          <w:sz w:val="22"/>
          <w:szCs w:val="22"/>
          <w:lang w:val="de-DE"/>
        </w:rPr>
        <w:t>njih</w:t>
      </w:r>
      <w:proofErr w:type="spellEnd"/>
      <w:r w:rsidRPr="001D23DB">
        <w:rPr>
          <w:sz w:val="22"/>
          <w:szCs w:val="22"/>
          <w:lang w:val="de-DE"/>
        </w:rPr>
        <w:t xml:space="preserve"> 24 </w:t>
      </w:r>
      <w:proofErr w:type="spellStart"/>
      <w:r w:rsidRPr="001D23DB">
        <w:rPr>
          <w:sz w:val="22"/>
          <w:szCs w:val="22"/>
          <w:lang w:val="de-DE"/>
        </w:rPr>
        <w:t>od</w:t>
      </w:r>
      <w:proofErr w:type="spellEnd"/>
      <w:r w:rsidRPr="001D23DB">
        <w:rPr>
          <w:sz w:val="22"/>
          <w:szCs w:val="22"/>
          <w:lang w:val="de-DE"/>
        </w:rPr>
        <w:t xml:space="preserve"> 1219 (2%) </w:t>
      </w:r>
      <w:proofErr w:type="spellStart"/>
      <w:r w:rsidRPr="001D23DB">
        <w:rPr>
          <w:sz w:val="22"/>
          <w:szCs w:val="22"/>
          <w:lang w:val="de-DE"/>
        </w:rPr>
        <w:t>imali</w:t>
      </w:r>
      <w:proofErr w:type="spellEnd"/>
      <w:r w:rsidRPr="001D23DB">
        <w:rPr>
          <w:sz w:val="22"/>
          <w:szCs w:val="22"/>
          <w:lang w:val="de-DE"/>
        </w:rPr>
        <w:t xml:space="preserve"> </w:t>
      </w:r>
      <w:proofErr w:type="spellStart"/>
      <w:r w:rsidRPr="001D23DB">
        <w:rPr>
          <w:sz w:val="22"/>
          <w:szCs w:val="22"/>
          <w:lang w:val="de-DE"/>
        </w:rPr>
        <w:t>su</w:t>
      </w:r>
      <w:proofErr w:type="spellEnd"/>
      <w:r w:rsidRPr="001D23DB">
        <w:rPr>
          <w:sz w:val="22"/>
          <w:szCs w:val="22"/>
          <w:lang w:val="de-DE"/>
        </w:rPr>
        <w:t xml:space="preserve"> ≥75 </w:t>
      </w:r>
      <w:proofErr w:type="spellStart"/>
      <w:r w:rsidRPr="001D23DB">
        <w:rPr>
          <w:sz w:val="22"/>
          <w:szCs w:val="22"/>
          <w:lang w:val="de-DE"/>
        </w:rPr>
        <w:t>godina</w:t>
      </w:r>
      <w:proofErr w:type="spellEnd"/>
      <w:r w:rsidRPr="001D23DB">
        <w:rPr>
          <w:sz w:val="22"/>
          <w:szCs w:val="22"/>
          <w:lang w:val="de-DE"/>
        </w:rPr>
        <w:t xml:space="preserve">. </w:t>
      </w:r>
      <w:proofErr w:type="spellStart"/>
      <w:r w:rsidRPr="001D23DB">
        <w:rPr>
          <w:sz w:val="22"/>
          <w:szCs w:val="22"/>
          <w:lang w:val="de-DE"/>
        </w:rPr>
        <w:t>Nijesu</w:t>
      </w:r>
      <w:proofErr w:type="spellEnd"/>
      <w:r w:rsidRPr="001D23DB">
        <w:rPr>
          <w:sz w:val="22"/>
          <w:szCs w:val="22"/>
          <w:lang w:val="de-DE"/>
        </w:rPr>
        <w:t xml:space="preserve"> </w:t>
      </w:r>
      <w:proofErr w:type="spellStart"/>
      <w:r w:rsidR="00A83F36" w:rsidRPr="001D23DB">
        <w:rPr>
          <w:sz w:val="22"/>
          <w:szCs w:val="22"/>
          <w:lang w:val="de-DE"/>
        </w:rPr>
        <w:t>zabilježene</w:t>
      </w:r>
      <w:proofErr w:type="spellEnd"/>
      <w:r w:rsidR="00A83F36" w:rsidRPr="001D23DB">
        <w:rPr>
          <w:sz w:val="22"/>
          <w:szCs w:val="22"/>
          <w:lang w:val="de-DE"/>
        </w:rPr>
        <w:t xml:space="preserve"> </w:t>
      </w:r>
      <w:proofErr w:type="spellStart"/>
      <w:r w:rsidRPr="001D23DB">
        <w:rPr>
          <w:sz w:val="22"/>
          <w:szCs w:val="22"/>
          <w:lang w:val="de-DE"/>
        </w:rPr>
        <w:t>ukupne</w:t>
      </w:r>
      <w:proofErr w:type="spellEnd"/>
      <w:r w:rsidRPr="001D23DB">
        <w:rPr>
          <w:sz w:val="22"/>
          <w:szCs w:val="22"/>
          <w:lang w:val="de-DE"/>
        </w:rPr>
        <w:t xml:space="preserve"> </w:t>
      </w:r>
      <w:proofErr w:type="spellStart"/>
      <w:r w:rsidRPr="001D23DB">
        <w:rPr>
          <w:sz w:val="22"/>
          <w:szCs w:val="22"/>
          <w:lang w:val="de-DE"/>
        </w:rPr>
        <w:t>razlike</w:t>
      </w:r>
      <w:proofErr w:type="spellEnd"/>
      <w:r w:rsidRPr="001D23DB">
        <w:rPr>
          <w:sz w:val="22"/>
          <w:szCs w:val="22"/>
          <w:lang w:val="de-DE"/>
        </w:rPr>
        <w:t xml:space="preserve"> u </w:t>
      </w:r>
      <w:proofErr w:type="spellStart"/>
      <w:r w:rsidRPr="001D23DB">
        <w:rPr>
          <w:sz w:val="22"/>
          <w:szCs w:val="22"/>
          <w:lang w:val="de-DE"/>
        </w:rPr>
        <w:t>bezbjednosti</w:t>
      </w:r>
      <w:proofErr w:type="spellEnd"/>
      <w:r w:rsidRPr="001D23DB">
        <w:rPr>
          <w:sz w:val="22"/>
          <w:szCs w:val="22"/>
          <w:lang w:val="de-DE"/>
        </w:rPr>
        <w:t xml:space="preserve"> </w:t>
      </w:r>
      <w:proofErr w:type="spellStart"/>
      <w:r w:rsidRPr="001D23DB">
        <w:rPr>
          <w:sz w:val="22"/>
          <w:szCs w:val="22"/>
          <w:lang w:val="de-DE"/>
        </w:rPr>
        <w:t>ili</w:t>
      </w:r>
      <w:proofErr w:type="spellEnd"/>
      <w:r w:rsidRPr="001D23DB">
        <w:rPr>
          <w:sz w:val="22"/>
          <w:szCs w:val="22"/>
          <w:lang w:val="de-DE"/>
        </w:rPr>
        <w:t xml:space="preserve"> </w:t>
      </w:r>
      <w:proofErr w:type="spellStart"/>
      <w:r w:rsidRPr="001D23DB">
        <w:rPr>
          <w:sz w:val="22"/>
          <w:szCs w:val="22"/>
          <w:lang w:val="de-DE"/>
        </w:rPr>
        <w:t>efikasnosti</w:t>
      </w:r>
      <w:proofErr w:type="spellEnd"/>
      <w:r w:rsidRPr="001D23DB">
        <w:rPr>
          <w:sz w:val="22"/>
          <w:szCs w:val="22"/>
          <w:lang w:val="de-DE"/>
        </w:rPr>
        <w:t xml:space="preserve"> </w:t>
      </w:r>
      <w:proofErr w:type="spellStart"/>
      <w:r w:rsidRPr="001D23DB">
        <w:rPr>
          <w:sz w:val="22"/>
          <w:szCs w:val="22"/>
          <w:lang w:val="de-DE"/>
        </w:rPr>
        <w:t>između</w:t>
      </w:r>
      <w:proofErr w:type="spellEnd"/>
      <w:r w:rsidRPr="001D23DB">
        <w:rPr>
          <w:sz w:val="22"/>
          <w:szCs w:val="22"/>
          <w:lang w:val="de-DE"/>
        </w:rPr>
        <w:t xml:space="preserve"> </w:t>
      </w:r>
      <w:proofErr w:type="spellStart"/>
      <w:r w:rsidRPr="001D23DB">
        <w:rPr>
          <w:sz w:val="22"/>
          <w:szCs w:val="22"/>
          <w:lang w:val="de-DE"/>
        </w:rPr>
        <w:t>starijih</w:t>
      </w:r>
      <w:proofErr w:type="spellEnd"/>
      <w:r w:rsidRPr="001D23DB">
        <w:rPr>
          <w:sz w:val="22"/>
          <w:szCs w:val="22"/>
          <w:lang w:val="de-DE"/>
        </w:rPr>
        <w:t xml:space="preserve"> i </w:t>
      </w:r>
      <w:proofErr w:type="spellStart"/>
      <w:r w:rsidRPr="001D23DB">
        <w:rPr>
          <w:sz w:val="22"/>
          <w:szCs w:val="22"/>
          <w:lang w:val="de-DE"/>
        </w:rPr>
        <w:t>mlađih</w:t>
      </w:r>
      <w:proofErr w:type="spellEnd"/>
      <w:r w:rsidRPr="001D23DB">
        <w:rPr>
          <w:sz w:val="22"/>
          <w:szCs w:val="22"/>
          <w:lang w:val="de-DE"/>
        </w:rPr>
        <w:t xml:space="preserve"> </w:t>
      </w:r>
      <w:proofErr w:type="spellStart"/>
      <w:r w:rsidRPr="001D23DB">
        <w:rPr>
          <w:sz w:val="22"/>
          <w:szCs w:val="22"/>
          <w:lang w:val="de-DE"/>
        </w:rPr>
        <w:t>pacijenata</w:t>
      </w:r>
      <w:proofErr w:type="spellEnd"/>
      <w:r w:rsidRPr="001D23DB">
        <w:rPr>
          <w:sz w:val="22"/>
          <w:szCs w:val="22"/>
          <w:lang w:val="de-DE"/>
        </w:rPr>
        <w:t>.</w:t>
      </w:r>
    </w:p>
    <w:p w14:paraId="557BBD6B" w14:textId="77777777" w:rsidR="00CC6368" w:rsidRPr="001D23DB" w:rsidRDefault="00CC6368" w:rsidP="00CC6368">
      <w:pPr>
        <w:tabs>
          <w:tab w:val="left" w:pos="284"/>
        </w:tabs>
        <w:jc w:val="both"/>
        <w:rPr>
          <w:sz w:val="22"/>
          <w:szCs w:val="22"/>
          <w:lang w:val="de-DE"/>
        </w:rPr>
      </w:pPr>
    </w:p>
    <w:p w14:paraId="071E8E7C" w14:textId="77777777" w:rsidR="00CC6368" w:rsidRPr="00732ABF" w:rsidRDefault="00CC6368" w:rsidP="00CC6368">
      <w:pPr>
        <w:tabs>
          <w:tab w:val="left" w:pos="284"/>
        </w:tabs>
        <w:jc w:val="both"/>
        <w:rPr>
          <w:i/>
          <w:sz w:val="22"/>
          <w:szCs w:val="22"/>
          <w:lang w:val="it-IT"/>
        </w:rPr>
      </w:pPr>
      <w:proofErr w:type="spellStart"/>
      <w:r w:rsidRPr="00732ABF">
        <w:rPr>
          <w:i/>
          <w:sz w:val="22"/>
          <w:szCs w:val="22"/>
          <w:lang w:val="it-IT"/>
        </w:rPr>
        <w:t>Kontinuirana</w:t>
      </w:r>
      <w:proofErr w:type="spellEnd"/>
      <w:r w:rsidRPr="00732ABF">
        <w:rPr>
          <w:i/>
          <w:sz w:val="22"/>
          <w:szCs w:val="22"/>
          <w:lang w:val="it-IT"/>
        </w:rPr>
        <w:t xml:space="preserve"> </w:t>
      </w:r>
      <w:proofErr w:type="spellStart"/>
      <w:r w:rsidRPr="00732ABF">
        <w:rPr>
          <w:i/>
          <w:sz w:val="22"/>
          <w:szCs w:val="22"/>
          <w:lang w:val="it-IT"/>
        </w:rPr>
        <w:t>supkutana</w:t>
      </w:r>
      <w:proofErr w:type="spellEnd"/>
      <w:r w:rsidRPr="00732ABF">
        <w:rPr>
          <w:i/>
          <w:sz w:val="22"/>
          <w:szCs w:val="22"/>
          <w:lang w:val="it-IT"/>
        </w:rPr>
        <w:t xml:space="preserve"> </w:t>
      </w:r>
      <w:proofErr w:type="spellStart"/>
      <w:r w:rsidRPr="00732ABF">
        <w:rPr>
          <w:i/>
          <w:sz w:val="22"/>
          <w:szCs w:val="22"/>
          <w:lang w:val="it-IT"/>
        </w:rPr>
        <w:t>insulinska</w:t>
      </w:r>
      <w:proofErr w:type="spellEnd"/>
      <w:r w:rsidRPr="00732ABF">
        <w:rPr>
          <w:i/>
          <w:sz w:val="22"/>
          <w:szCs w:val="22"/>
          <w:lang w:val="it-IT"/>
        </w:rPr>
        <w:t xml:space="preserve"> </w:t>
      </w:r>
      <w:proofErr w:type="spellStart"/>
      <w:r w:rsidRPr="00732ABF">
        <w:rPr>
          <w:i/>
          <w:sz w:val="22"/>
          <w:szCs w:val="22"/>
          <w:lang w:val="it-IT"/>
        </w:rPr>
        <w:t>infuzija</w:t>
      </w:r>
      <w:proofErr w:type="spellEnd"/>
      <w:r w:rsidRPr="00732ABF">
        <w:rPr>
          <w:i/>
          <w:sz w:val="22"/>
          <w:szCs w:val="22"/>
          <w:lang w:val="it-IT"/>
        </w:rPr>
        <w:t xml:space="preserve"> (KSII)</w:t>
      </w:r>
    </w:p>
    <w:p w14:paraId="3A4CF201" w14:textId="03E9AA90" w:rsidR="00CC6368" w:rsidRPr="00732ABF" w:rsidRDefault="00CC6368" w:rsidP="00CC6368">
      <w:pPr>
        <w:tabs>
          <w:tab w:val="left" w:pos="284"/>
        </w:tabs>
        <w:jc w:val="both"/>
        <w:rPr>
          <w:sz w:val="22"/>
          <w:szCs w:val="22"/>
          <w:lang w:val="it-IT"/>
        </w:rPr>
      </w:pPr>
      <w:proofErr w:type="spellStart"/>
      <w:r w:rsidRPr="00732ABF">
        <w:rPr>
          <w:sz w:val="22"/>
          <w:szCs w:val="22"/>
          <w:lang w:val="it-IT"/>
        </w:rPr>
        <w:t>Randomizovano</w:t>
      </w:r>
      <w:proofErr w:type="spellEnd"/>
      <w:r w:rsidRPr="00732ABF">
        <w:rPr>
          <w:sz w:val="22"/>
          <w:szCs w:val="22"/>
          <w:lang w:val="it-IT"/>
        </w:rPr>
        <w:t xml:space="preserve"> (2:1), 6-nedjeljno, </w:t>
      </w:r>
      <w:proofErr w:type="spellStart"/>
      <w:r w:rsidRPr="00732ABF">
        <w:rPr>
          <w:sz w:val="22"/>
          <w:szCs w:val="22"/>
          <w:lang w:val="it-IT"/>
        </w:rPr>
        <w:t>d</w:t>
      </w:r>
      <w:r w:rsidR="00EE2CF5">
        <w:rPr>
          <w:sz w:val="22"/>
          <w:szCs w:val="22"/>
          <w:lang w:val="it-IT"/>
        </w:rPr>
        <w:t>vostruko</w:t>
      </w:r>
      <w:proofErr w:type="spellEnd"/>
      <w:r w:rsidRPr="00732ABF">
        <w:rPr>
          <w:sz w:val="22"/>
          <w:szCs w:val="22"/>
          <w:lang w:val="it-IT"/>
        </w:rPr>
        <w:t xml:space="preserve"> </w:t>
      </w:r>
      <w:proofErr w:type="spellStart"/>
      <w:r w:rsidRPr="00732ABF">
        <w:rPr>
          <w:sz w:val="22"/>
          <w:szCs w:val="22"/>
          <w:lang w:val="it-IT"/>
        </w:rPr>
        <w:t>slijepo</w:t>
      </w:r>
      <w:proofErr w:type="spellEnd"/>
      <w:r w:rsidRPr="00732ABF">
        <w:rPr>
          <w:sz w:val="22"/>
          <w:szCs w:val="22"/>
          <w:lang w:val="it-IT"/>
        </w:rPr>
        <w:t xml:space="preserve">, </w:t>
      </w:r>
      <w:proofErr w:type="spellStart"/>
      <w:r w:rsidRPr="00732ABF">
        <w:rPr>
          <w:sz w:val="22"/>
          <w:szCs w:val="22"/>
          <w:lang w:val="it-IT"/>
        </w:rPr>
        <w:t>aktivno</w:t>
      </w:r>
      <w:proofErr w:type="spellEnd"/>
      <w:r w:rsidRPr="00732ABF">
        <w:rPr>
          <w:sz w:val="22"/>
          <w:szCs w:val="22"/>
          <w:lang w:val="it-IT"/>
        </w:rPr>
        <w:t xml:space="preserve"> </w:t>
      </w:r>
      <w:proofErr w:type="spellStart"/>
      <w:r w:rsidRPr="00732ABF">
        <w:rPr>
          <w:sz w:val="22"/>
          <w:szCs w:val="22"/>
          <w:lang w:val="it-IT"/>
        </w:rPr>
        <w:t>kontrolisano</w:t>
      </w:r>
      <w:proofErr w:type="spellEnd"/>
      <w:r w:rsidRPr="00732ABF">
        <w:rPr>
          <w:sz w:val="22"/>
          <w:szCs w:val="22"/>
          <w:lang w:val="it-IT"/>
        </w:rPr>
        <w:t xml:space="preserve"> </w:t>
      </w:r>
      <w:proofErr w:type="spellStart"/>
      <w:r w:rsidRPr="00732ABF">
        <w:rPr>
          <w:sz w:val="22"/>
          <w:szCs w:val="22"/>
          <w:lang w:val="it-IT"/>
        </w:rPr>
        <w:t>kliničko</w:t>
      </w:r>
      <w:proofErr w:type="spellEnd"/>
      <w:r w:rsidRPr="00732ABF">
        <w:rPr>
          <w:sz w:val="22"/>
          <w:szCs w:val="22"/>
          <w:lang w:val="it-IT"/>
        </w:rPr>
        <w:t xml:space="preserve"> </w:t>
      </w:r>
      <w:proofErr w:type="spellStart"/>
      <w:r w:rsidRPr="00732ABF">
        <w:rPr>
          <w:sz w:val="22"/>
          <w:szCs w:val="22"/>
          <w:lang w:val="it-IT"/>
        </w:rPr>
        <w:t>ispitivanje</w:t>
      </w:r>
      <w:proofErr w:type="spellEnd"/>
      <w:r w:rsidRPr="00732ABF">
        <w:rPr>
          <w:sz w:val="22"/>
          <w:szCs w:val="22"/>
          <w:lang w:val="it-IT"/>
        </w:rPr>
        <w:t xml:space="preserve"> sa </w:t>
      </w:r>
      <w:proofErr w:type="spellStart"/>
      <w:r w:rsidRPr="00732ABF">
        <w:rPr>
          <w:sz w:val="22"/>
          <w:szCs w:val="22"/>
          <w:lang w:val="it-IT"/>
        </w:rPr>
        <w:t>uporednim</w:t>
      </w:r>
      <w:proofErr w:type="spellEnd"/>
      <w:r w:rsidRPr="00732ABF">
        <w:rPr>
          <w:sz w:val="22"/>
          <w:szCs w:val="22"/>
          <w:lang w:val="it-IT"/>
        </w:rPr>
        <w:t xml:space="preserve"> </w:t>
      </w:r>
      <w:proofErr w:type="spellStart"/>
      <w:r w:rsidRPr="00732ABF">
        <w:rPr>
          <w:sz w:val="22"/>
          <w:szCs w:val="22"/>
          <w:lang w:val="it-IT"/>
        </w:rPr>
        <w:t>grupama</w:t>
      </w:r>
      <w:proofErr w:type="spellEnd"/>
      <w:r w:rsidRPr="00732ABF">
        <w:rPr>
          <w:sz w:val="22"/>
          <w:szCs w:val="22"/>
          <w:lang w:val="it-IT"/>
        </w:rPr>
        <w:t xml:space="preserve"> </w:t>
      </w:r>
      <w:proofErr w:type="spellStart"/>
      <w:r w:rsidRPr="00732ABF">
        <w:rPr>
          <w:sz w:val="22"/>
          <w:szCs w:val="22"/>
          <w:lang w:val="it-IT"/>
        </w:rPr>
        <w:t>procjenjivalo</w:t>
      </w:r>
      <w:proofErr w:type="spellEnd"/>
      <w:r w:rsidRPr="00732ABF">
        <w:rPr>
          <w:sz w:val="22"/>
          <w:szCs w:val="22"/>
          <w:lang w:val="it-IT"/>
        </w:rPr>
        <w:t xml:space="preserve"> je </w:t>
      </w:r>
      <w:proofErr w:type="spellStart"/>
      <w:r w:rsidRPr="00732ABF">
        <w:rPr>
          <w:sz w:val="22"/>
          <w:szCs w:val="22"/>
          <w:lang w:val="it-IT"/>
        </w:rPr>
        <w:t>kompatibilnost</w:t>
      </w:r>
      <w:proofErr w:type="spellEnd"/>
      <w:r w:rsidRPr="00732ABF">
        <w:rPr>
          <w:sz w:val="22"/>
          <w:szCs w:val="22"/>
          <w:lang w:val="it-IT"/>
        </w:rPr>
        <w:t xml:space="preserve"> </w:t>
      </w:r>
      <w:proofErr w:type="spellStart"/>
      <w:r w:rsidRPr="00732ABF">
        <w:rPr>
          <w:sz w:val="22"/>
          <w:szCs w:val="22"/>
          <w:lang w:val="it-IT"/>
        </w:rPr>
        <w:t>ljekova</w:t>
      </w:r>
      <w:proofErr w:type="spellEnd"/>
      <w:r w:rsidRPr="00732ABF">
        <w:rPr>
          <w:sz w:val="22"/>
          <w:szCs w:val="22"/>
          <w:lang w:val="it-IT"/>
        </w:rPr>
        <w:t xml:space="preserve"> </w:t>
      </w:r>
      <w:proofErr w:type="spellStart"/>
      <w:r w:rsidRPr="00732ABF">
        <w:rPr>
          <w:sz w:val="22"/>
          <w:szCs w:val="22"/>
          <w:lang w:val="it-IT"/>
        </w:rPr>
        <w:t>Fiasp</w:t>
      </w:r>
      <w:proofErr w:type="spellEnd"/>
      <w:r w:rsidRPr="00732ABF">
        <w:rPr>
          <w:sz w:val="22"/>
          <w:szCs w:val="22"/>
          <w:lang w:val="it-IT"/>
        </w:rPr>
        <w:t xml:space="preserve"> i </w:t>
      </w:r>
      <w:proofErr w:type="spellStart"/>
      <w:r w:rsidRPr="00732ABF">
        <w:rPr>
          <w:sz w:val="22"/>
          <w:szCs w:val="22"/>
          <w:lang w:val="it-IT"/>
        </w:rPr>
        <w:t>NovoRapid</w:t>
      </w:r>
      <w:proofErr w:type="spellEnd"/>
      <w:r w:rsidRPr="00732ABF">
        <w:rPr>
          <w:sz w:val="22"/>
          <w:szCs w:val="22"/>
          <w:lang w:val="it-IT"/>
        </w:rPr>
        <w:t xml:space="preserve"> </w:t>
      </w:r>
      <w:proofErr w:type="spellStart"/>
      <w:r w:rsidRPr="00732ABF">
        <w:rPr>
          <w:sz w:val="22"/>
          <w:szCs w:val="22"/>
          <w:lang w:val="it-IT"/>
        </w:rPr>
        <w:t>kada</w:t>
      </w:r>
      <w:proofErr w:type="spellEnd"/>
      <w:r w:rsidRPr="00732ABF">
        <w:rPr>
          <w:sz w:val="22"/>
          <w:szCs w:val="22"/>
          <w:lang w:val="it-IT"/>
        </w:rPr>
        <w:t xml:space="preserve"> se </w:t>
      </w:r>
      <w:proofErr w:type="spellStart"/>
      <w:r w:rsidRPr="00732ABF">
        <w:rPr>
          <w:sz w:val="22"/>
          <w:szCs w:val="22"/>
          <w:lang w:val="it-IT"/>
        </w:rPr>
        <w:t>primjenjuju</w:t>
      </w:r>
      <w:proofErr w:type="spellEnd"/>
      <w:r w:rsidRPr="00732ABF">
        <w:rPr>
          <w:sz w:val="22"/>
          <w:szCs w:val="22"/>
          <w:lang w:val="it-IT"/>
        </w:rPr>
        <w:t xml:space="preserve"> </w:t>
      </w:r>
      <w:proofErr w:type="spellStart"/>
      <w:r w:rsidRPr="00732ABF">
        <w:rPr>
          <w:sz w:val="22"/>
          <w:szCs w:val="22"/>
          <w:lang w:val="it-IT"/>
        </w:rPr>
        <w:t>pomoću</w:t>
      </w:r>
      <w:proofErr w:type="spellEnd"/>
      <w:r w:rsidRPr="00732ABF">
        <w:rPr>
          <w:sz w:val="22"/>
          <w:szCs w:val="22"/>
          <w:lang w:val="it-IT"/>
        </w:rPr>
        <w:t xml:space="preserve"> sistema za KSII </w:t>
      </w:r>
      <w:proofErr w:type="spellStart"/>
      <w:r w:rsidRPr="00732ABF">
        <w:rPr>
          <w:sz w:val="22"/>
          <w:szCs w:val="22"/>
          <w:lang w:val="it-IT"/>
        </w:rPr>
        <w:t>kod</w:t>
      </w:r>
      <w:proofErr w:type="spellEnd"/>
      <w:r w:rsidRPr="00732ABF">
        <w:rPr>
          <w:sz w:val="22"/>
          <w:szCs w:val="22"/>
          <w:lang w:val="it-IT"/>
        </w:rPr>
        <w:t xml:space="preserve"> </w:t>
      </w:r>
      <w:proofErr w:type="spellStart"/>
      <w:r w:rsidRPr="00732ABF">
        <w:rPr>
          <w:sz w:val="22"/>
          <w:szCs w:val="22"/>
          <w:lang w:val="it-IT"/>
        </w:rPr>
        <w:t>odraslih</w:t>
      </w:r>
      <w:proofErr w:type="spellEnd"/>
      <w:r w:rsidRPr="00732ABF">
        <w:rPr>
          <w:sz w:val="22"/>
          <w:szCs w:val="22"/>
          <w:lang w:val="it-IT"/>
        </w:rPr>
        <w:t xml:space="preserve"> </w:t>
      </w:r>
      <w:proofErr w:type="spellStart"/>
      <w:r w:rsidRPr="00732ABF">
        <w:rPr>
          <w:sz w:val="22"/>
          <w:szCs w:val="22"/>
          <w:lang w:val="it-IT"/>
        </w:rPr>
        <w:t>pacijenata</w:t>
      </w:r>
      <w:proofErr w:type="spellEnd"/>
      <w:r w:rsidRPr="00732ABF">
        <w:rPr>
          <w:sz w:val="22"/>
          <w:szCs w:val="22"/>
          <w:lang w:val="it-IT"/>
        </w:rPr>
        <w:t xml:space="preserve"> sa </w:t>
      </w:r>
      <w:proofErr w:type="spellStart"/>
      <w:r w:rsidRPr="00732ABF">
        <w:rPr>
          <w:sz w:val="22"/>
          <w:szCs w:val="22"/>
          <w:lang w:val="it-IT"/>
        </w:rPr>
        <w:t>dijabetes</w:t>
      </w:r>
      <w:proofErr w:type="spellEnd"/>
      <w:r w:rsidRPr="00732ABF">
        <w:rPr>
          <w:sz w:val="22"/>
          <w:szCs w:val="22"/>
          <w:lang w:val="it-IT"/>
        </w:rPr>
        <w:t xml:space="preserve"> </w:t>
      </w:r>
      <w:proofErr w:type="spellStart"/>
      <w:r w:rsidRPr="00732ABF">
        <w:rPr>
          <w:sz w:val="22"/>
          <w:szCs w:val="22"/>
          <w:lang w:val="it-IT"/>
        </w:rPr>
        <w:t>melitusom</w:t>
      </w:r>
      <w:proofErr w:type="spellEnd"/>
      <w:r w:rsidRPr="00732ABF">
        <w:rPr>
          <w:sz w:val="22"/>
          <w:szCs w:val="22"/>
          <w:lang w:val="it-IT"/>
        </w:rPr>
        <w:t xml:space="preserve"> tip</w:t>
      </w:r>
      <w:r w:rsidR="004A7559">
        <w:rPr>
          <w:sz w:val="22"/>
          <w:szCs w:val="22"/>
          <w:lang w:val="it-IT"/>
        </w:rPr>
        <w:t>a</w:t>
      </w:r>
      <w:r w:rsidRPr="00732ABF">
        <w:rPr>
          <w:sz w:val="22"/>
          <w:szCs w:val="22"/>
          <w:lang w:val="it-IT"/>
        </w:rPr>
        <w:t xml:space="preserve"> 1. </w:t>
      </w:r>
      <w:proofErr w:type="spellStart"/>
      <w:r w:rsidRPr="00732ABF">
        <w:rPr>
          <w:sz w:val="22"/>
          <w:szCs w:val="22"/>
          <w:lang w:val="it-IT"/>
        </w:rPr>
        <w:t>Nije</w:t>
      </w:r>
      <w:proofErr w:type="spellEnd"/>
      <w:r w:rsidRPr="00732ABF">
        <w:rPr>
          <w:sz w:val="22"/>
          <w:szCs w:val="22"/>
          <w:lang w:val="it-IT"/>
        </w:rPr>
        <w:t xml:space="preserve"> </w:t>
      </w:r>
      <w:proofErr w:type="spellStart"/>
      <w:r w:rsidRPr="00732ABF">
        <w:rPr>
          <w:sz w:val="22"/>
          <w:szCs w:val="22"/>
          <w:lang w:val="it-IT"/>
        </w:rPr>
        <w:t>bilo</w:t>
      </w:r>
      <w:proofErr w:type="spellEnd"/>
      <w:r w:rsidRPr="00732ABF">
        <w:rPr>
          <w:sz w:val="22"/>
          <w:szCs w:val="22"/>
          <w:lang w:val="it-IT"/>
        </w:rPr>
        <w:t xml:space="preserve"> </w:t>
      </w:r>
      <w:proofErr w:type="spellStart"/>
      <w:r w:rsidRPr="00732ABF">
        <w:rPr>
          <w:sz w:val="22"/>
          <w:szCs w:val="22"/>
          <w:lang w:val="it-IT"/>
        </w:rPr>
        <w:t>mikroskopski</w:t>
      </w:r>
      <w:proofErr w:type="spellEnd"/>
      <w:r w:rsidRPr="00732ABF">
        <w:rPr>
          <w:sz w:val="22"/>
          <w:szCs w:val="22"/>
          <w:lang w:val="it-IT"/>
        </w:rPr>
        <w:t xml:space="preserve"> </w:t>
      </w:r>
      <w:proofErr w:type="spellStart"/>
      <w:r w:rsidRPr="00732ABF">
        <w:rPr>
          <w:sz w:val="22"/>
          <w:szCs w:val="22"/>
          <w:lang w:val="it-IT"/>
        </w:rPr>
        <w:t>potvrđenih</w:t>
      </w:r>
      <w:proofErr w:type="spellEnd"/>
      <w:r w:rsidRPr="00732ABF">
        <w:rPr>
          <w:sz w:val="22"/>
          <w:szCs w:val="22"/>
          <w:lang w:val="it-IT"/>
        </w:rPr>
        <w:t xml:space="preserve"> </w:t>
      </w:r>
      <w:proofErr w:type="spellStart"/>
      <w:r w:rsidRPr="00732ABF">
        <w:rPr>
          <w:sz w:val="22"/>
          <w:szCs w:val="22"/>
          <w:lang w:val="it-IT"/>
        </w:rPr>
        <w:t>epizoda</w:t>
      </w:r>
      <w:proofErr w:type="spellEnd"/>
      <w:r w:rsidRPr="00732ABF">
        <w:rPr>
          <w:sz w:val="22"/>
          <w:szCs w:val="22"/>
          <w:lang w:val="it-IT"/>
        </w:rPr>
        <w:t xml:space="preserve"> </w:t>
      </w:r>
      <w:proofErr w:type="spellStart"/>
      <w:r w:rsidRPr="00732ABF">
        <w:rPr>
          <w:sz w:val="22"/>
          <w:szCs w:val="22"/>
          <w:lang w:val="it-IT"/>
        </w:rPr>
        <w:t>okluzija</w:t>
      </w:r>
      <w:proofErr w:type="spellEnd"/>
      <w:r w:rsidRPr="00732ABF">
        <w:rPr>
          <w:sz w:val="22"/>
          <w:szCs w:val="22"/>
          <w:lang w:val="it-IT"/>
        </w:rPr>
        <w:t xml:space="preserve"> </w:t>
      </w:r>
      <w:proofErr w:type="spellStart"/>
      <w:r w:rsidRPr="00732ABF">
        <w:rPr>
          <w:sz w:val="22"/>
          <w:szCs w:val="22"/>
          <w:lang w:val="it-IT"/>
        </w:rPr>
        <w:t>infuzionih</w:t>
      </w:r>
      <w:proofErr w:type="spellEnd"/>
      <w:r w:rsidRPr="00732ABF">
        <w:rPr>
          <w:sz w:val="22"/>
          <w:szCs w:val="22"/>
          <w:lang w:val="it-IT"/>
        </w:rPr>
        <w:t xml:space="preserve"> </w:t>
      </w:r>
      <w:proofErr w:type="spellStart"/>
      <w:r w:rsidRPr="00732ABF">
        <w:rPr>
          <w:sz w:val="22"/>
          <w:szCs w:val="22"/>
          <w:lang w:val="it-IT"/>
        </w:rPr>
        <w:t>setova</w:t>
      </w:r>
      <w:proofErr w:type="spellEnd"/>
      <w:r w:rsidRPr="00732ABF">
        <w:rPr>
          <w:sz w:val="22"/>
          <w:szCs w:val="22"/>
          <w:lang w:val="it-IT"/>
        </w:rPr>
        <w:t xml:space="preserve">, ni u </w:t>
      </w:r>
      <w:proofErr w:type="spellStart"/>
      <w:r w:rsidRPr="00732ABF">
        <w:rPr>
          <w:sz w:val="22"/>
          <w:szCs w:val="22"/>
          <w:lang w:val="it-IT"/>
        </w:rPr>
        <w:t>grupi</w:t>
      </w:r>
      <w:proofErr w:type="spellEnd"/>
      <w:r w:rsidRPr="00732ABF">
        <w:rPr>
          <w:sz w:val="22"/>
          <w:szCs w:val="22"/>
          <w:lang w:val="it-IT"/>
        </w:rPr>
        <w:t xml:space="preserve"> </w:t>
      </w:r>
      <w:proofErr w:type="spellStart"/>
      <w:r w:rsidRPr="00732ABF">
        <w:rPr>
          <w:sz w:val="22"/>
          <w:szCs w:val="22"/>
          <w:lang w:val="it-IT"/>
        </w:rPr>
        <w:t>koja</w:t>
      </w:r>
      <w:proofErr w:type="spellEnd"/>
      <w:r w:rsidRPr="00732ABF">
        <w:rPr>
          <w:sz w:val="22"/>
          <w:szCs w:val="22"/>
          <w:lang w:val="it-IT"/>
        </w:rPr>
        <w:t xml:space="preserve"> je </w:t>
      </w:r>
      <w:proofErr w:type="spellStart"/>
      <w:r w:rsidRPr="00732ABF">
        <w:rPr>
          <w:sz w:val="22"/>
          <w:szCs w:val="22"/>
          <w:lang w:val="it-IT"/>
        </w:rPr>
        <w:t>primala</w:t>
      </w:r>
      <w:proofErr w:type="spellEnd"/>
      <w:r w:rsidRPr="00732ABF">
        <w:rPr>
          <w:sz w:val="22"/>
          <w:szCs w:val="22"/>
          <w:lang w:val="it-IT"/>
        </w:rPr>
        <w:t xml:space="preserve"> </w:t>
      </w:r>
      <w:proofErr w:type="spellStart"/>
      <w:r w:rsidRPr="00732ABF">
        <w:rPr>
          <w:sz w:val="22"/>
          <w:szCs w:val="22"/>
          <w:lang w:val="it-IT"/>
        </w:rPr>
        <w:t>lijek</w:t>
      </w:r>
      <w:proofErr w:type="spellEnd"/>
      <w:r w:rsidRPr="00732ABF">
        <w:rPr>
          <w:sz w:val="22"/>
          <w:szCs w:val="22"/>
          <w:lang w:val="it-IT"/>
        </w:rPr>
        <w:t xml:space="preserve"> </w:t>
      </w:r>
      <w:proofErr w:type="spellStart"/>
      <w:r w:rsidRPr="00732ABF">
        <w:rPr>
          <w:sz w:val="22"/>
          <w:szCs w:val="22"/>
          <w:lang w:val="it-IT"/>
        </w:rPr>
        <w:t>Fiasp</w:t>
      </w:r>
      <w:proofErr w:type="spellEnd"/>
      <w:r w:rsidRPr="00732ABF">
        <w:rPr>
          <w:sz w:val="22"/>
          <w:szCs w:val="22"/>
          <w:lang w:val="it-IT"/>
        </w:rPr>
        <w:t xml:space="preserve"> (N=25), ni u </w:t>
      </w:r>
      <w:proofErr w:type="spellStart"/>
      <w:r w:rsidRPr="00732ABF">
        <w:rPr>
          <w:sz w:val="22"/>
          <w:szCs w:val="22"/>
          <w:lang w:val="it-IT"/>
        </w:rPr>
        <w:t>grupi</w:t>
      </w:r>
      <w:proofErr w:type="spellEnd"/>
      <w:r w:rsidRPr="00732ABF">
        <w:rPr>
          <w:sz w:val="22"/>
          <w:szCs w:val="22"/>
          <w:lang w:val="it-IT"/>
        </w:rPr>
        <w:t xml:space="preserve"> </w:t>
      </w:r>
      <w:proofErr w:type="spellStart"/>
      <w:r w:rsidRPr="00732ABF">
        <w:rPr>
          <w:sz w:val="22"/>
          <w:szCs w:val="22"/>
          <w:lang w:val="it-IT"/>
        </w:rPr>
        <w:t>koja</w:t>
      </w:r>
      <w:proofErr w:type="spellEnd"/>
      <w:r w:rsidRPr="00732ABF">
        <w:rPr>
          <w:sz w:val="22"/>
          <w:szCs w:val="22"/>
          <w:lang w:val="it-IT"/>
        </w:rPr>
        <w:t xml:space="preserve"> je </w:t>
      </w:r>
      <w:proofErr w:type="spellStart"/>
      <w:r w:rsidRPr="00732ABF">
        <w:rPr>
          <w:sz w:val="22"/>
          <w:szCs w:val="22"/>
          <w:lang w:val="it-IT"/>
        </w:rPr>
        <w:t>primala</w:t>
      </w:r>
      <w:proofErr w:type="spellEnd"/>
      <w:r w:rsidRPr="00732ABF">
        <w:rPr>
          <w:sz w:val="22"/>
          <w:szCs w:val="22"/>
          <w:lang w:val="it-IT"/>
        </w:rPr>
        <w:t xml:space="preserve"> </w:t>
      </w:r>
      <w:proofErr w:type="spellStart"/>
      <w:r w:rsidRPr="00732ABF">
        <w:rPr>
          <w:sz w:val="22"/>
          <w:szCs w:val="22"/>
          <w:lang w:val="it-IT"/>
        </w:rPr>
        <w:t>lijek</w:t>
      </w:r>
      <w:proofErr w:type="spellEnd"/>
      <w:r w:rsidRPr="00732ABF">
        <w:rPr>
          <w:sz w:val="22"/>
          <w:szCs w:val="22"/>
          <w:lang w:val="it-IT"/>
        </w:rPr>
        <w:t xml:space="preserve"> </w:t>
      </w:r>
      <w:proofErr w:type="spellStart"/>
      <w:r w:rsidRPr="00732ABF">
        <w:rPr>
          <w:sz w:val="22"/>
          <w:szCs w:val="22"/>
          <w:lang w:val="it-IT"/>
        </w:rPr>
        <w:t>NovoRapid</w:t>
      </w:r>
      <w:proofErr w:type="spellEnd"/>
      <w:r w:rsidRPr="00732ABF">
        <w:rPr>
          <w:sz w:val="22"/>
          <w:szCs w:val="22"/>
          <w:lang w:val="it-IT"/>
        </w:rPr>
        <w:t xml:space="preserve"> (N=12). </w:t>
      </w:r>
      <w:proofErr w:type="spellStart"/>
      <w:r w:rsidRPr="00732ABF">
        <w:rPr>
          <w:sz w:val="22"/>
          <w:szCs w:val="22"/>
          <w:lang w:val="it-IT"/>
        </w:rPr>
        <w:t>Dva</w:t>
      </w:r>
      <w:proofErr w:type="spellEnd"/>
      <w:r w:rsidRPr="00732ABF">
        <w:rPr>
          <w:sz w:val="22"/>
          <w:szCs w:val="22"/>
          <w:lang w:val="it-IT"/>
        </w:rPr>
        <w:t xml:space="preserve"> </w:t>
      </w:r>
      <w:proofErr w:type="spellStart"/>
      <w:r w:rsidRPr="00732ABF">
        <w:rPr>
          <w:sz w:val="22"/>
          <w:szCs w:val="22"/>
          <w:lang w:val="it-IT"/>
        </w:rPr>
        <w:t>pacijenta</w:t>
      </w:r>
      <w:proofErr w:type="spellEnd"/>
      <w:r w:rsidRPr="00732ABF">
        <w:rPr>
          <w:sz w:val="22"/>
          <w:szCs w:val="22"/>
          <w:lang w:val="it-IT"/>
        </w:rPr>
        <w:t xml:space="preserve"> u </w:t>
      </w:r>
      <w:proofErr w:type="spellStart"/>
      <w:r w:rsidRPr="00732ABF">
        <w:rPr>
          <w:sz w:val="22"/>
          <w:szCs w:val="22"/>
          <w:lang w:val="it-IT"/>
        </w:rPr>
        <w:t>grupi</w:t>
      </w:r>
      <w:proofErr w:type="spellEnd"/>
      <w:r w:rsidRPr="00732ABF">
        <w:rPr>
          <w:sz w:val="22"/>
          <w:szCs w:val="22"/>
          <w:lang w:val="it-IT"/>
        </w:rPr>
        <w:t xml:space="preserve"> </w:t>
      </w:r>
      <w:proofErr w:type="spellStart"/>
      <w:r w:rsidRPr="00732ABF">
        <w:rPr>
          <w:sz w:val="22"/>
          <w:szCs w:val="22"/>
          <w:lang w:val="it-IT"/>
        </w:rPr>
        <w:t>koja</w:t>
      </w:r>
      <w:proofErr w:type="spellEnd"/>
      <w:r w:rsidRPr="00732ABF">
        <w:rPr>
          <w:sz w:val="22"/>
          <w:szCs w:val="22"/>
          <w:lang w:val="it-IT"/>
        </w:rPr>
        <w:t xml:space="preserve"> je </w:t>
      </w:r>
      <w:proofErr w:type="spellStart"/>
      <w:r w:rsidRPr="00732ABF">
        <w:rPr>
          <w:sz w:val="22"/>
          <w:szCs w:val="22"/>
          <w:lang w:val="it-IT"/>
        </w:rPr>
        <w:t>primala</w:t>
      </w:r>
      <w:proofErr w:type="spellEnd"/>
      <w:r w:rsidRPr="00732ABF">
        <w:rPr>
          <w:sz w:val="22"/>
          <w:szCs w:val="22"/>
          <w:lang w:val="it-IT"/>
        </w:rPr>
        <w:t xml:space="preserve"> </w:t>
      </w:r>
      <w:proofErr w:type="spellStart"/>
      <w:r w:rsidR="004A7559">
        <w:rPr>
          <w:sz w:val="22"/>
          <w:szCs w:val="22"/>
          <w:lang w:val="it-IT"/>
        </w:rPr>
        <w:t>lijek</w:t>
      </w:r>
      <w:proofErr w:type="spellEnd"/>
      <w:r w:rsidR="004A7559">
        <w:rPr>
          <w:sz w:val="22"/>
          <w:szCs w:val="22"/>
          <w:lang w:val="it-IT"/>
        </w:rPr>
        <w:t xml:space="preserve"> </w:t>
      </w:r>
      <w:proofErr w:type="spellStart"/>
      <w:r w:rsidRPr="00732ABF">
        <w:rPr>
          <w:sz w:val="22"/>
          <w:szCs w:val="22"/>
          <w:lang w:val="it-IT"/>
        </w:rPr>
        <w:t>Fiasp</w:t>
      </w:r>
      <w:proofErr w:type="spellEnd"/>
      <w:r w:rsidRPr="00732ABF">
        <w:rPr>
          <w:sz w:val="22"/>
          <w:szCs w:val="22"/>
          <w:lang w:val="it-IT"/>
        </w:rPr>
        <w:t xml:space="preserve"> </w:t>
      </w:r>
      <w:proofErr w:type="spellStart"/>
      <w:r w:rsidRPr="00732ABF">
        <w:rPr>
          <w:sz w:val="22"/>
          <w:szCs w:val="22"/>
          <w:lang w:val="it-IT"/>
        </w:rPr>
        <w:t>zasebno</w:t>
      </w:r>
      <w:proofErr w:type="spellEnd"/>
      <w:r w:rsidRPr="00732ABF">
        <w:rPr>
          <w:sz w:val="22"/>
          <w:szCs w:val="22"/>
          <w:lang w:val="it-IT"/>
        </w:rPr>
        <w:t xml:space="preserve"> su </w:t>
      </w:r>
      <w:proofErr w:type="spellStart"/>
      <w:r w:rsidRPr="00732ABF">
        <w:rPr>
          <w:sz w:val="22"/>
          <w:szCs w:val="22"/>
          <w:lang w:val="it-IT"/>
        </w:rPr>
        <w:t>prijavila</w:t>
      </w:r>
      <w:proofErr w:type="spellEnd"/>
      <w:r w:rsidRPr="00732ABF">
        <w:rPr>
          <w:sz w:val="22"/>
          <w:szCs w:val="22"/>
          <w:lang w:val="it-IT"/>
        </w:rPr>
        <w:t xml:space="preserve"> </w:t>
      </w:r>
      <w:proofErr w:type="spellStart"/>
      <w:r w:rsidRPr="00732ABF">
        <w:rPr>
          <w:sz w:val="22"/>
          <w:szCs w:val="22"/>
          <w:lang w:val="it-IT"/>
        </w:rPr>
        <w:t>reakcije</w:t>
      </w:r>
      <w:proofErr w:type="spellEnd"/>
      <w:r w:rsidRPr="00732ABF">
        <w:rPr>
          <w:sz w:val="22"/>
          <w:szCs w:val="22"/>
          <w:lang w:val="it-IT"/>
        </w:rPr>
        <w:t xml:space="preserve"> </w:t>
      </w:r>
      <w:proofErr w:type="spellStart"/>
      <w:r w:rsidRPr="00732ABF">
        <w:rPr>
          <w:sz w:val="22"/>
          <w:szCs w:val="22"/>
          <w:lang w:val="it-IT"/>
        </w:rPr>
        <w:t>na</w:t>
      </w:r>
      <w:proofErr w:type="spellEnd"/>
      <w:r w:rsidRPr="00732ABF">
        <w:rPr>
          <w:sz w:val="22"/>
          <w:szCs w:val="22"/>
          <w:lang w:val="it-IT"/>
        </w:rPr>
        <w:t xml:space="preserve"> </w:t>
      </w:r>
      <w:proofErr w:type="spellStart"/>
      <w:r w:rsidRPr="00732ABF">
        <w:rPr>
          <w:sz w:val="22"/>
          <w:szCs w:val="22"/>
          <w:lang w:val="it-IT"/>
        </w:rPr>
        <w:t>mjestu</w:t>
      </w:r>
      <w:proofErr w:type="spellEnd"/>
      <w:r w:rsidRPr="00732ABF">
        <w:rPr>
          <w:sz w:val="22"/>
          <w:szCs w:val="22"/>
          <w:lang w:val="it-IT"/>
        </w:rPr>
        <w:t xml:space="preserve"> </w:t>
      </w:r>
      <w:proofErr w:type="spellStart"/>
      <w:r w:rsidRPr="00732ABF">
        <w:rPr>
          <w:sz w:val="22"/>
          <w:szCs w:val="22"/>
          <w:lang w:val="it-IT"/>
        </w:rPr>
        <w:t>infuzije</w:t>
      </w:r>
      <w:proofErr w:type="spellEnd"/>
      <w:r w:rsidRPr="00732ABF">
        <w:rPr>
          <w:sz w:val="22"/>
          <w:szCs w:val="22"/>
          <w:lang w:val="it-IT"/>
        </w:rPr>
        <w:t xml:space="preserve"> </w:t>
      </w:r>
      <w:proofErr w:type="spellStart"/>
      <w:r w:rsidRPr="00732ABF">
        <w:rPr>
          <w:sz w:val="22"/>
          <w:szCs w:val="22"/>
          <w:lang w:val="it-IT"/>
        </w:rPr>
        <w:t>nastale</w:t>
      </w:r>
      <w:proofErr w:type="spellEnd"/>
      <w:r w:rsidRPr="00732ABF">
        <w:rPr>
          <w:sz w:val="22"/>
          <w:szCs w:val="22"/>
          <w:lang w:val="it-IT"/>
        </w:rPr>
        <w:t xml:space="preserve"> </w:t>
      </w:r>
      <w:proofErr w:type="spellStart"/>
      <w:r w:rsidRPr="00732ABF">
        <w:rPr>
          <w:sz w:val="22"/>
          <w:szCs w:val="22"/>
          <w:lang w:val="it-IT"/>
        </w:rPr>
        <w:t>usl</w:t>
      </w:r>
      <w:r w:rsidR="004A7559">
        <w:rPr>
          <w:sz w:val="22"/>
          <w:szCs w:val="22"/>
          <w:lang w:val="it-IT"/>
        </w:rPr>
        <w:t>j</w:t>
      </w:r>
      <w:r w:rsidRPr="00732ABF">
        <w:rPr>
          <w:sz w:val="22"/>
          <w:szCs w:val="22"/>
          <w:lang w:val="it-IT"/>
        </w:rPr>
        <w:t>ed</w:t>
      </w:r>
      <w:proofErr w:type="spellEnd"/>
      <w:r w:rsidRPr="00732ABF">
        <w:rPr>
          <w:sz w:val="22"/>
          <w:szCs w:val="22"/>
          <w:lang w:val="it-IT"/>
        </w:rPr>
        <w:t xml:space="preserve"> </w:t>
      </w:r>
      <w:proofErr w:type="spellStart"/>
      <w:r w:rsidRPr="00732ABF">
        <w:rPr>
          <w:sz w:val="22"/>
          <w:szCs w:val="22"/>
          <w:lang w:val="it-IT"/>
        </w:rPr>
        <w:t>liječenja</w:t>
      </w:r>
      <w:proofErr w:type="spellEnd"/>
      <w:r w:rsidRPr="00732ABF">
        <w:rPr>
          <w:sz w:val="22"/>
          <w:szCs w:val="22"/>
          <w:lang w:val="it-IT"/>
        </w:rPr>
        <w:t>.</w:t>
      </w:r>
    </w:p>
    <w:p w14:paraId="34ECEABA" w14:textId="77777777" w:rsidR="00EE2F19" w:rsidRPr="00CC6368" w:rsidRDefault="00EE2F19" w:rsidP="00480FB1">
      <w:pPr>
        <w:tabs>
          <w:tab w:val="left" w:pos="540"/>
          <w:tab w:val="left" w:pos="569"/>
        </w:tabs>
        <w:rPr>
          <w:sz w:val="22"/>
          <w:szCs w:val="22"/>
          <w:lang w:val="it-IT"/>
        </w:rPr>
      </w:pPr>
    </w:p>
    <w:p w14:paraId="7FF5BDA7" w14:textId="7985CC04" w:rsidR="001766B9" w:rsidRDefault="00CC6368" w:rsidP="000F6B37">
      <w:pPr>
        <w:tabs>
          <w:tab w:val="left" w:pos="540"/>
          <w:tab w:val="left" w:pos="569"/>
        </w:tabs>
        <w:jc w:val="both"/>
        <w:rPr>
          <w:sz w:val="22"/>
          <w:szCs w:val="22"/>
          <w:lang w:val="it-IT"/>
        </w:rPr>
      </w:pPr>
      <w:r w:rsidRPr="00732ABF">
        <w:rPr>
          <w:sz w:val="22"/>
          <w:szCs w:val="22"/>
          <w:lang w:val="it-IT"/>
        </w:rPr>
        <w:t xml:space="preserve">U 2-nedjeljnom </w:t>
      </w:r>
      <w:proofErr w:type="spellStart"/>
      <w:r w:rsidRPr="00732ABF">
        <w:rPr>
          <w:sz w:val="22"/>
          <w:szCs w:val="22"/>
          <w:lang w:val="it-IT"/>
        </w:rPr>
        <w:t>ukrštenom</w:t>
      </w:r>
      <w:proofErr w:type="spellEnd"/>
      <w:r w:rsidRPr="00732ABF">
        <w:rPr>
          <w:sz w:val="22"/>
          <w:szCs w:val="22"/>
          <w:lang w:val="it-IT"/>
        </w:rPr>
        <w:t xml:space="preserve"> </w:t>
      </w:r>
      <w:proofErr w:type="spellStart"/>
      <w:r w:rsidRPr="00732ABF">
        <w:rPr>
          <w:sz w:val="22"/>
          <w:szCs w:val="22"/>
          <w:lang w:val="it-IT"/>
        </w:rPr>
        <w:t>ispitivanju</w:t>
      </w:r>
      <w:proofErr w:type="spellEnd"/>
      <w:r w:rsidRPr="00732ABF">
        <w:rPr>
          <w:sz w:val="22"/>
          <w:szCs w:val="22"/>
          <w:lang w:val="it-IT"/>
        </w:rPr>
        <w:t xml:space="preserve">, </w:t>
      </w:r>
      <w:proofErr w:type="spellStart"/>
      <w:r w:rsidR="004A7559">
        <w:rPr>
          <w:sz w:val="22"/>
          <w:szCs w:val="22"/>
          <w:lang w:val="it-IT"/>
        </w:rPr>
        <w:t>lijek</w:t>
      </w:r>
      <w:proofErr w:type="spellEnd"/>
      <w:r w:rsidR="004A7559">
        <w:rPr>
          <w:sz w:val="22"/>
          <w:szCs w:val="22"/>
          <w:lang w:val="it-IT"/>
        </w:rPr>
        <w:t xml:space="preserve"> </w:t>
      </w:r>
      <w:proofErr w:type="spellStart"/>
      <w:r w:rsidRPr="00732ABF">
        <w:rPr>
          <w:sz w:val="22"/>
          <w:szCs w:val="22"/>
          <w:lang w:val="it-IT"/>
        </w:rPr>
        <w:t>Fiasp</w:t>
      </w:r>
      <w:proofErr w:type="spellEnd"/>
      <w:r w:rsidRPr="00732ABF">
        <w:rPr>
          <w:sz w:val="22"/>
          <w:szCs w:val="22"/>
          <w:lang w:val="it-IT"/>
        </w:rPr>
        <w:t xml:space="preserve"> je </w:t>
      </w:r>
      <w:proofErr w:type="spellStart"/>
      <w:r w:rsidRPr="00732ABF">
        <w:rPr>
          <w:sz w:val="22"/>
          <w:szCs w:val="22"/>
          <w:lang w:val="it-IT"/>
        </w:rPr>
        <w:t>pokazao</w:t>
      </w:r>
      <w:proofErr w:type="spellEnd"/>
      <w:r w:rsidRPr="00732ABF">
        <w:rPr>
          <w:sz w:val="22"/>
          <w:szCs w:val="22"/>
          <w:lang w:val="it-IT"/>
        </w:rPr>
        <w:t xml:space="preserve"> </w:t>
      </w:r>
      <w:proofErr w:type="spellStart"/>
      <w:r w:rsidRPr="00732ABF">
        <w:rPr>
          <w:sz w:val="22"/>
          <w:szCs w:val="22"/>
          <w:lang w:val="it-IT"/>
        </w:rPr>
        <w:t>veći</w:t>
      </w:r>
      <w:proofErr w:type="spellEnd"/>
      <w:r w:rsidRPr="00732ABF">
        <w:rPr>
          <w:sz w:val="22"/>
          <w:szCs w:val="22"/>
          <w:lang w:val="it-IT"/>
        </w:rPr>
        <w:t xml:space="preserve"> </w:t>
      </w:r>
      <w:proofErr w:type="spellStart"/>
      <w:r w:rsidRPr="00732ABF">
        <w:rPr>
          <w:sz w:val="22"/>
          <w:szCs w:val="22"/>
          <w:lang w:val="it-IT"/>
        </w:rPr>
        <w:t>efekat</w:t>
      </w:r>
      <w:proofErr w:type="spellEnd"/>
      <w:r w:rsidRPr="00732ABF">
        <w:rPr>
          <w:sz w:val="22"/>
          <w:szCs w:val="22"/>
          <w:lang w:val="it-IT"/>
        </w:rPr>
        <w:t xml:space="preserve"> </w:t>
      </w:r>
      <w:proofErr w:type="spellStart"/>
      <w:r w:rsidRPr="00732ABF">
        <w:rPr>
          <w:sz w:val="22"/>
          <w:szCs w:val="22"/>
          <w:lang w:val="it-IT"/>
        </w:rPr>
        <w:t>snižavanja</w:t>
      </w:r>
      <w:proofErr w:type="spellEnd"/>
      <w:r w:rsidRPr="00732ABF">
        <w:rPr>
          <w:sz w:val="22"/>
          <w:szCs w:val="22"/>
          <w:lang w:val="it-IT"/>
        </w:rPr>
        <w:t xml:space="preserve"> </w:t>
      </w:r>
      <w:proofErr w:type="spellStart"/>
      <w:r w:rsidRPr="00732ABF">
        <w:rPr>
          <w:sz w:val="22"/>
          <w:szCs w:val="22"/>
          <w:lang w:val="it-IT"/>
        </w:rPr>
        <w:t>glukoze</w:t>
      </w:r>
      <w:proofErr w:type="spellEnd"/>
      <w:r w:rsidRPr="00732ABF">
        <w:rPr>
          <w:sz w:val="22"/>
          <w:szCs w:val="22"/>
          <w:lang w:val="it-IT"/>
        </w:rPr>
        <w:t xml:space="preserve"> </w:t>
      </w:r>
      <w:proofErr w:type="spellStart"/>
      <w:r w:rsidRPr="00732ABF">
        <w:rPr>
          <w:sz w:val="22"/>
          <w:szCs w:val="22"/>
          <w:lang w:val="it-IT"/>
        </w:rPr>
        <w:t>nakon</w:t>
      </w:r>
      <w:proofErr w:type="spellEnd"/>
      <w:r w:rsidRPr="00732ABF">
        <w:rPr>
          <w:sz w:val="22"/>
          <w:szCs w:val="22"/>
          <w:lang w:val="it-IT"/>
        </w:rPr>
        <w:t xml:space="preserve"> </w:t>
      </w:r>
      <w:proofErr w:type="spellStart"/>
      <w:r w:rsidRPr="00732ABF">
        <w:rPr>
          <w:sz w:val="22"/>
          <w:szCs w:val="22"/>
          <w:lang w:val="it-IT"/>
        </w:rPr>
        <w:t>obroka</w:t>
      </w:r>
      <w:proofErr w:type="spellEnd"/>
      <w:r w:rsidRPr="00732ABF">
        <w:rPr>
          <w:sz w:val="22"/>
          <w:szCs w:val="22"/>
          <w:lang w:val="it-IT"/>
        </w:rPr>
        <w:t xml:space="preserve"> </w:t>
      </w:r>
      <w:proofErr w:type="spellStart"/>
      <w:r w:rsidRPr="00732ABF">
        <w:rPr>
          <w:sz w:val="22"/>
          <w:szCs w:val="22"/>
          <w:lang w:val="it-IT"/>
        </w:rPr>
        <w:t>posl</w:t>
      </w:r>
      <w:r w:rsidR="004A7559">
        <w:rPr>
          <w:sz w:val="22"/>
          <w:szCs w:val="22"/>
          <w:lang w:val="it-IT"/>
        </w:rPr>
        <w:t>ij</w:t>
      </w:r>
      <w:r w:rsidRPr="00732ABF">
        <w:rPr>
          <w:sz w:val="22"/>
          <w:szCs w:val="22"/>
          <w:lang w:val="it-IT"/>
        </w:rPr>
        <w:t>e</w:t>
      </w:r>
      <w:proofErr w:type="spellEnd"/>
      <w:r w:rsidRPr="00732ABF">
        <w:rPr>
          <w:sz w:val="22"/>
          <w:szCs w:val="22"/>
          <w:lang w:val="it-IT"/>
        </w:rPr>
        <w:t xml:space="preserve"> testa sa </w:t>
      </w:r>
      <w:proofErr w:type="spellStart"/>
      <w:r w:rsidRPr="00732ABF">
        <w:rPr>
          <w:sz w:val="22"/>
          <w:szCs w:val="22"/>
          <w:lang w:val="it-IT"/>
        </w:rPr>
        <w:t>standardizovanim</w:t>
      </w:r>
      <w:proofErr w:type="spellEnd"/>
      <w:r w:rsidRPr="00732ABF">
        <w:rPr>
          <w:sz w:val="22"/>
          <w:szCs w:val="22"/>
          <w:lang w:val="it-IT"/>
        </w:rPr>
        <w:t xml:space="preserve"> </w:t>
      </w:r>
      <w:proofErr w:type="spellStart"/>
      <w:r w:rsidRPr="00732ABF">
        <w:rPr>
          <w:sz w:val="22"/>
          <w:szCs w:val="22"/>
          <w:lang w:val="it-IT"/>
        </w:rPr>
        <w:t>obrokom</w:t>
      </w:r>
      <w:proofErr w:type="spellEnd"/>
      <w:r w:rsidRPr="00732ABF">
        <w:rPr>
          <w:sz w:val="22"/>
          <w:szCs w:val="22"/>
          <w:lang w:val="it-IT"/>
        </w:rPr>
        <w:t xml:space="preserve"> u </w:t>
      </w:r>
      <w:proofErr w:type="spellStart"/>
      <w:r w:rsidRPr="00732ABF">
        <w:rPr>
          <w:sz w:val="22"/>
          <w:szCs w:val="22"/>
          <w:lang w:val="it-IT"/>
        </w:rPr>
        <w:t>odnosu</w:t>
      </w:r>
      <w:proofErr w:type="spellEnd"/>
      <w:r w:rsidRPr="00732ABF">
        <w:rPr>
          <w:sz w:val="22"/>
          <w:szCs w:val="22"/>
          <w:lang w:val="it-IT"/>
        </w:rPr>
        <w:t xml:space="preserve"> </w:t>
      </w:r>
      <w:proofErr w:type="spellStart"/>
      <w:r w:rsidRPr="00732ABF">
        <w:rPr>
          <w:sz w:val="22"/>
          <w:szCs w:val="22"/>
          <w:lang w:val="it-IT"/>
        </w:rPr>
        <w:t>na</w:t>
      </w:r>
      <w:proofErr w:type="spellEnd"/>
      <w:r w:rsidRPr="00732ABF">
        <w:rPr>
          <w:sz w:val="22"/>
          <w:szCs w:val="22"/>
          <w:lang w:val="it-IT"/>
        </w:rPr>
        <w:t xml:space="preserve"> </w:t>
      </w:r>
      <w:proofErr w:type="spellStart"/>
      <w:r w:rsidRPr="00732ABF">
        <w:rPr>
          <w:sz w:val="22"/>
          <w:szCs w:val="22"/>
          <w:lang w:val="it-IT"/>
        </w:rPr>
        <w:t>odgovor</w:t>
      </w:r>
      <w:proofErr w:type="spellEnd"/>
      <w:r w:rsidRPr="00732ABF">
        <w:rPr>
          <w:sz w:val="22"/>
          <w:szCs w:val="22"/>
          <w:lang w:val="it-IT"/>
        </w:rPr>
        <w:t xml:space="preserve"> </w:t>
      </w:r>
      <w:proofErr w:type="spellStart"/>
      <w:r w:rsidRPr="00732ABF">
        <w:rPr>
          <w:sz w:val="22"/>
          <w:szCs w:val="22"/>
          <w:lang w:val="it-IT"/>
        </w:rPr>
        <w:t>glukoze</w:t>
      </w:r>
      <w:proofErr w:type="spellEnd"/>
      <w:r w:rsidRPr="00732ABF">
        <w:rPr>
          <w:sz w:val="22"/>
          <w:szCs w:val="22"/>
          <w:lang w:val="it-IT"/>
        </w:rPr>
        <w:t xml:space="preserve"> 1 </w:t>
      </w:r>
      <w:proofErr w:type="spellStart"/>
      <w:r w:rsidR="004A7559">
        <w:rPr>
          <w:sz w:val="22"/>
          <w:szCs w:val="22"/>
          <w:lang w:val="it-IT"/>
        </w:rPr>
        <w:t>sat</w:t>
      </w:r>
      <w:proofErr w:type="spellEnd"/>
      <w:r w:rsidR="004A7559">
        <w:rPr>
          <w:sz w:val="22"/>
          <w:szCs w:val="22"/>
          <w:lang w:val="it-IT"/>
        </w:rPr>
        <w:t xml:space="preserve"> </w:t>
      </w:r>
      <w:r w:rsidRPr="00732ABF">
        <w:rPr>
          <w:sz w:val="22"/>
          <w:szCs w:val="22"/>
          <w:lang w:val="it-IT"/>
        </w:rPr>
        <w:t xml:space="preserve">i 2 </w:t>
      </w:r>
      <w:proofErr w:type="spellStart"/>
      <w:r w:rsidRPr="00732ABF">
        <w:rPr>
          <w:sz w:val="22"/>
          <w:szCs w:val="22"/>
          <w:lang w:val="it-IT"/>
        </w:rPr>
        <w:t>sata</w:t>
      </w:r>
      <w:proofErr w:type="spellEnd"/>
      <w:r w:rsidRPr="00732ABF">
        <w:rPr>
          <w:sz w:val="22"/>
          <w:szCs w:val="22"/>
          <w:lang w:val="it-IT"/>
        </w:rPr>
        <w:t xml:space="preserve"> </w:t>
      </w:r>
      <w:proofErr w:type="spellStart"/>
      <w:r w:rsidRPr="00732ABF">
        <w:rPr>
          <w:sz w:val="22"/>
          <w:szCs w:val="22"/>
          <w:lang w:val="it-IT"/>
        </w:rPr>
        <w:t>nakon</w:t>
      </w:r>
      <w:proofErr w:type="spellEnd"/>
      <w:r w:rsidRPr="00732ABF">
        <w:rPr>
          <w:sz w:val="22"/>
          <w:szCs w:val="22"/>
          <w:lang w:val="it-IT"/>
        </w:rPr>
        <w:t xml:space="preserve"> </w:t>
      </w:r>
      <w:proofErr w:type="spellStart"/>
      <w:r w:rsidRPr="00732ABF">
        <w:rPr>
          <w:sz w:val="22"/>
          <w:szCs w:val="22"/>
          <w:lang w:val="it-IT"/>
        </w:rPr>
        <w:t>obroka</w:t>
      </w:r>
      <w:proofErr w:type="spellEnd"/>
      <w:r w:rsidRPr="00732ABF">
        <w:rPr>
          <w:sz w:val="22"/>
          <w:szCs w:val="22"/>
          <w:lang w:val="it-IT"/>
        </w:rPr>
        <w:t xml:space="preserve"> (</w:t>
      </w:r>
      <w:proofErr w:type="spellStart"/>
      <w:r w:rsidRPr="00732ABF">
        <w:rPr>
          <w:sz w:val="22"/>
          <w:szCs w:val="22"/>
          <w:lang w:val="it-IT"/>
        </w:rPr>
        <w:t>razlika</w:t>
      </w:r>
      <w:proofErr w:type="spellEnd"/>
      <w:r w:rsidRPr="00732ABF">
        <w:rPr>
          <w:sz w:val="22"/>
          <w:szCs w:val="22"/>
          <w:lang w:val="it-IT"/>
        </w:rPr>
        <w:t xml:space="preserve"> u </w:t>
      </w:r>
      <w:proofErr w:type="spellStart"/>
      <w:r w:rsidRPr="00732ABF">
        <w:rPr>
          <w:sz w:val="22"/>
          <w:szCs w:val="22"/>
          <w:lang w:val="it-IT"/>
        </w:rPr>
        <w:t>liječenju</w:t>
      </w:r>
      <w:proofErr w:type="spellEnd"/>
      <w:r w:rsidRPr="00732ABF">
        <w:rPr>
          <w:sz w:val="22"/>
          <w:szCs w:val="22"/>
          <w:lang w:val="it-IT"/>
        </w:rPr>
        <w:t xml:space="preserve">: -0,50 </w:t>
      </w:r>
      <w:proofErr w:type="spellStart"/>
      <w:r w:rsidRPr="00732ABF">
        <w:rPr>
          <w:sz w:val="22"/>
          <w:szCs w:val="22"/>
          <w:lang w:val="it-IT"/>
        </w:rPr>
        <w:t>mmol</w:t>
      </w:r>
      <w:proofErr w:type="spellEnd"/>
      <w:r w:rsidRPr="00732ABF">
        <w:rPr>
          <w:sz w:val="22"/>
          <w:szCs w:val="22"/>
          <w:lang w:val="it-IT"/>
        </w:rPr>
        <w:t>/</w:t>
      </w:r>
      <w:r w:rsidR="00EE2CF5">
        <w:rPr>
          <w:sz w:val="22"/>
          <w:szCs w:val="22"/>
          <w:lang w:val="it-IT"/>
        </w:rPr>
        <w:t>l</w:t>
      </w:r>
      <w:r w:rsidRPr="00732ABF">
        <w:rPr>
          <w:sz w:val="22"/>
          <w:szCs w:val="22"/>
          <w:lang w:val="it-IT"/>
        </w:rPr>
        <w:t xml:space="preserve"> [-1,07; 0,07]</w:t>
      </w:r>
      <w:r w:rsidRPr="00732ABF">
        <w:rPr>
          <w:sz w:val="22"/>
          <w:szCs w:val="22"/>
          <w:vertAlign w:val="subscript"/>
          <w:lang w:val="it-IT"/>
        </w:rPr>
        <w:t>95% CI</w:t>
      </w:r>
      <w:r w:rsidRPr="00732ABF">
        <w:rPr>
          <w:sz w:val="22"/>
          <w:szCs w:val="22"/>
          <w:lang w:val="it-IT"/>
        </w:rPr>
        <w:t xml:space="preserve"> </w:t>
      </w:r>
      <w:proofErr w:type="spellStart"/>
      <w:r w:rsidRPr="00732ABF">
        <w:rPr>
          <w:sz w:val="22"/>
          <w:szCs w:val="22"/>
          <w:lang w:val="it-IT"/>
        </w:rPr>
        <w:t>odnosno</w:t>
      </w:r>
      <w:proofErr w:type="spellEnd"/>
      <w:r w:rsidRPr="00732ABF">
        <w:rPr>
          <w:sz w:val="22"/>
          <w:szCs w:val="22"/>
          <w:lang w:val="it-IT"/>
        </w:rPr>
        <w:t xml:space="preserve"> -0,99 </w:t>
      </w:r>
      <w:proofErr w:type="spellStart"/>
      <w:r w:rsidRPr="00732ABF">
        <w:rPr>
          <w:sz w:val="22"/>
          <w:szCs w:val="22"/>
          <w:lang w:val="it-IT"/>
        </w:rPr>
        <w:t>mmol</w:t>
      </w:r>
      <w:proofErr w:type="spellEnd"/>
      <w:r w:rsidRPr="00732ABF">
        <w:rPr>
          <w:sz w:val="22"/>
          <w:szCs w:val="22"/>
          <w:lang w:val="it-IT"/>
        </w:rPr>
        <w:t>/</w:t>
      </w:r>
      <w:r w:rsidR="00EE2CF5">
        <w:rPr>
          <w:sz w:val="22"/>
          <w:szCs w:val="22"/>
          <w:lang w:val="it-IT"/>
        </w:rPr>
        <w:t>l</w:t>
      </w:r>
      <w:r w:rsidRPr="00732ABF">
        <w:rPr>
          <w:sz w:val="22"/>
          <w:szCs w:val="22"/>
          <w:lang w:val="it-IT"/>
        </w:rPr>
        <w:t xml:space="preserve"> [-1,95; -0,03]</w:t>
      </w:r>
      <w:r w:rsidRPr="00732ABF">
        <w:rPr>
          <w:sz w:val="22"/>
          <w:szCs w:val="22"/>
          <w:vertAlign w:val="subscript"/>
          <w:lang w:val="it-IT"/>
        </w:rPr>
        <w:t>95% CI</w:t>
      </w:r>
      <w:r w:rsidRPr="00732ABF">
        <w:rPr>
          <w:sz w:val="22"/>
          <w:szCs w:val="22"/>
          <w:lang w:val="it-IT"/>
        </w:rPr>
        <w:t xml:space="preserve">), u </w:t>
      </w:r>
      <w:proofErr w:type="spellStart"/>
      <w:r w:rsidRPr="00732ABF">
        <w:rPr>
          <w:sz w:val="22"/>
          <w:szCs w:val="22"/>
          <w:lang w:val="it-IT"/>
        </w:rPr>
        <w:t>poređenju</w:t>
      </w:r>
      <w:proofErr w:type="spellEnd"/>
      <w:r w:rsidRPr="00732ABF">
        <w:rPr>
          <w:sz w:val="22"/>
          <w:szCs w:val="22"/>
          <w:lang w:val="it-IT"/>
        </w:rPr>
        <w:t xml:space="preserve"> sa </w:t>
      </w:r>
      <w:proofErr w:type="spellStart"/>
      <w:r w:rsidRPr="00732ABF">
        <w:rPr>
          <w:sz w:val="22"/>
          <w:szCs w:val="22"/>
          <w:lang w:val="it-IT"/>
        </w:rPr>
        <w:t>lijekom</w:t>
      </w:r>
      <w:proofErr w:type="spellEnd"/>
      <w:r w:rsidRPr="00732ABF">
        <w:rPr>
          <w:sz w:val="22"/>
          <w:szCs w:val="22"/>
          <w:lang w:val="it-IT"/>
        </w:rPr>
        <w:t xml:space="preserve"> </w:t>
      </w:r>
      <w:proofErr w:type="spellStart"/>
      <w:r w:rsidRPr="00732ABF">
        <w:rPr>
          <w:sz w:val="22"/>
          <w:szCs w:val="22"/>
          <w:lang w:val="it-IT"/>
        </w:rPr>
        <w:t>NovoRapid</w:t>
      </w:r>
      <w:proofErr w:type="spellEnd"/>
      <w:r w:rsidRPr="00732ABF">
        <w:rPr>
          <w:sz w:val="22"/>
          <w:szCs w:val="22"/>
          <w:lang w:val="it-IT"/>
        </w:rPr>
        <w:t xml:space="preserve"> </w:t>
      </w:r>
      <w:proofErr w:type="spellStart"/>
      <w:r w:rsidRPr="00732ABF">
        <w:rPr>
          <w:sz w:val="22"/>
          <w:szCs w:val="22"/>
          <w:lang w:val="it-IT"/>
        </w:rPr>
        <w:t>uz</w:t>
      </w:r>
      <w:proofErr w:type="spellEnd"/>
      <w:r w:rsidRPr="00732ABF">
        <w:rPr>
          <w:sz w:val="22"/>
          <w:szCs w:val="22"/>
          <w:lang w:val="it-IT"/>
        </w:rPr>
        <w:t xml:space="preserve"> </w:t>
      </w:r>
      <w:proofErr w:type="spellStart"/>
      <w:r w:rsidRPr="00732ABF">
        <w:rPr>
          <w:sz w:val="22"/>
          <w:szCs w:val="22"/>
          <w:lang w:val="it-IT"/>
        </w:rPr>
        <w:t>primjenu</w:t>
      </w:r>
      <w:proofErr w:type="spellEnd"/>
      <w:r w:rsidRPr="00732ABF">
        <w:rPr>
          <w:sz w:val="22"/>
          <w:szCs w:val="22"/>
          <w:lang w:val="it-IT"/>
        </w:rPr>
        <w:t xml:space="preserve"> </w:t>
      </w:r>
      <w:proofErr w:type="spellStart"/>
      <w:r w:rsidRPr="00732ABF">
        <w:rPr>
          <w:sz w:val="22"/>
          <w:szCs w:val="22"/>
          <w:lang w:val="it-IT"/>
        </w:rPr>
        <w:t>pomoću</w:t>
      </w:r>
      <w:proofErr w:type="spellEnd"/>
      <w:r w:rsidRPr="00732ABF">
        <w:rPr>
          <w:sz w:val="22"/>
          <w:szCs w:val="22"/>
          <w:lang w:val="it-IT"/>
        </w:rPr>
        <w:t xml:space="preserve"> sistema za KSII.</w:t>
      </w:r>
    </w:p>
    <w:p w14:paraId="1179B8F1" w14:textId="77777777" w:rsidR="009E4B69" w:rsidRDefault="009E4B69" w:rsidP="000F6B37">
      <w:pPr>
        <w:tabs>
          <w:tab w:val="left" w:pos="540"/>
          <w:tab w:val="left" w:pos="569"/>
        </w:tabs>
        <w:jc w:val="both"/>
        <w:rPr>
          <w:sz w:val="22"/>
          <w:szCs w:val="22"/>
          <w:lang w:val="it-IT"/>
        </w:rPr>
      </w:pPr>
    </w:p>
    <w:p w14:paraId="05B8A00A" w14:textId="77777777" w:rsidR="009E4B69" w:rsidRPr="005473EA" w:rsidRDefault="009E4B69" w:rsidP="009E4B69">
      <w:pPr>
        <w:tabs>
          <w:tab w:val="left" w:pos="540"/>
          <w:tab w:val="left" w:pos="569"/>
        </w:tabs>
        <w:jc w:val="both"/>
        <w:rPr>
          <w:i/>
          <w:iCs/>
          <w:sz w:val="22"/>
          <w:szCs w:val="22"/>
          <w:lang w:val="it-IT"/>
        </w:rPr>
      </w:pPr>
      <w:proofErr w:type="spellStart"/>
      <w:r w:rsidRPr="005473EA">
        <w:rPr>
          <w:i/>
          <w:iCs/>
          <w:sz w:val="22"/>
          <w:szCs w:val="22"/>
          <w:lang w:val="it-IT"/>
        </w:rPr>
        <w:t>Pedijatrijska</w:t>
      </w:r>
      <w:proofErr w:type="spellEnd"/>
      <w:r w:rsidRPr="005473EA">
        <w:rPr>
          <w:i/>
          <w:iCs/>
          <w:sz w:val="22"/>
          <w:szCs w:val="22"/>
          <w:lang w:val="it-IT"/>
        </w:rPr>
        <w:t xml:space="preserve"> </w:t>
      </w:r>
      <w:proofErr w:type="spellStart"/>
      <w:r w:rsidRPr="005473EA">
        <w:rPr>
          <w:i/>
          <w:iCs/>
          <w:sz w:val="22"/>
          <w:szCs w:val="22"/>
          <w:lang w:val="it-IT"/>
        </w:rPr>
        <w:t>populacija</w:t>
      </w:r>
      <w:proofErr w:type="spellEnd"/>
    </w:p>
    <w:p w14:paraId="16E052BD" w14:textId="77777777" w:rsidR="009E4B69" w:rsidRPr="005473EA" w:rsidRDefault="00213E55" w:rsidP="009E4B69">
      <w:pPr>
        <w:tabs>
          <w:tab w:val="left" w:pos="540"/>
          <w:tab w:val="left" w:pos="569"/>
        </w:tabs>
        <w:jc w:val="both"/>
        <w:rPr>
          <w:sz w:val="22"/>
          <w:szCs w:val="22"/>
          <w:lang w:val="it-IT"/>
        </w:rPr>
      </w:pPr>
      <w:proofErr w:type="spellStart"/>
      <w:r>
        <w:rPr>
          <w:sz w:val="22"/>
          <w:szCs w:val="22"/>
          <w:lang w:val="it-IT"/>
        </w:rPr>
        <w:t>Efikasnost</w:t>
      </w:r>
      <w:proofErr w:type="spellEnd"/>
      <w:r w:rsidR="009E4B69" w:rsidRPr="009E4B69">
        <w:rPr>
          <w:sz w:val="22"/>
          <w:szCs w:val="22"/>
          <w:lang w:val="it-IT"/>
        </w:rPr>
        <w:t xml:space="preserve"> i </w:t>
      </w:r>
      <w:proofErr w:type="spellStart"/>
      <w:r>
        <w:rPr>
          <w:sz w:val="22"/>
          <w:szCs w:val="22"/>
          <w:lang w:val="it-IT"/>
        </w:rPr>
        <w:t>bezbjednost</w:t>
      </w:r>
      <w:proofErr w:type="spellEnd"/>
      <w:r w:rsidR="009E4B69" w:rsidRPr="009E4B69">
        <w:rPr>
          <w:sz w:val="22"/>
          <w:szCs w:val="22"/>
          <w:lang w:val="it-IT"/>
        </w:rPr>
        <w:t xml:space="preserve"> </w:t>
      </w:r>
      <w:proofErr w:type="spellStart"/>
      <w:r w:rsidR="009E4B69" w:rsidRPr="009E4B69">
        <w:rPr>
          <w:sz w:val="22"/>
          <w:szCs w:val="22"/>
          <w:lang w:val="it-IT"/>
        </w:rPr>
        <w:t>lijeka</w:t>
      </w:r>
      <w:proofErr w:type="spellEnd"/>
      <w:r w:rsidR="009E4B69" w:rsidRPr="009E4B69">
        <w:rPr>
          <w:sz w:val="22"/>
          <w:szCs w:val="22"/>
          <w:lang w:val="it-IT"/>
        </w:rPr>
        <w:t xml:space="preserve"> </w:t>
      </w:r>
      <w:proofErr w:type="spellStart"/>
      <w:r w:rsidR="009E4B69" w:rsidRPr="009E4B69">
        <w:rPr>
          <w:sz w:val="22"/>
          <w:szCs w:val="22"/>
          <w:lang w:val="it-IT"/>
        </w:rPr>
        <w:t>Fiasp</w:t>
      </w:r>
      <w:proofErr w:type="spellEnd"/>
      <w:r w:rsidR="009E4B69" w:rsidRPr="009E4B69">
        <w:rPr>
          <w:sz w:val="22"/>
          <w:szCs w:val="22"/>
          <w:lang w:val="it-IT"/>
        </w:rPr>
        <w:t xml:space="preserve"> </w:t>
      </w:r>
      <w:proofErr w:type="spellStart"/>
      <w:r w:rsidR="009E4B69" w:rsidRPr="009E4B69">
        <w:rPr>
          <w:sz w:val="22"/>
          <w:szCs w:val="22"/>
          <w:lang w:val="it-IT"/>
        </w:rPr>
        <w:t>ispitiva</w:t>
      </w:r>
      <w:r>
        <w:rPr>
          <w:sz w:val="22"/>
          <w:szCs w:val="22"/>
          <w:lang w:val="it-IT"/>
        </w:rPr>
        <w:t>n</w:t>
      </w:r>
      <w:r w:rsidR="009E4B69" w:rsidRPr="009E4B69">
        <w:rPr>
          <w:sz w:val="22"/>
          <w:szCs w:val="22"/>
          <w:lang w:val="it-IT"/>
        </w:rPr>
        <w:t>e</w:t>
      </w:r>
      <w:proofErr w:type="spellEnd"/>
      <w:r w:rsidR="009E4B69" w:rsidRPr="009E4B69">
        <w:rPr>
          <w:sz w:val="22"/>
          <w:szCs w:val="22"/>
          <w:lang w:val="it-IT"/>
        </w:rPr>
        <w:t xml:space="preserve"> su </w:t>
      </w:r>
      <w:proofErr w:type="spellStart"/>
      <w:r w:rsidR="009E4B69" w:rsidRPr="009E4B69">
        <w:rPr>
          <w:sz w:val="22"/>
          <w:szCs w:val="22"/>
          <w:lang w:val="it-IT"/>
        </w:rPr>
        <w:t>t</w:t>
      </w:r>
      <w:r>
        <w:rPr>
          <w:sz w:val="22"/>
          <w:szCs w:val="22"/>
          <w:lang w:val="it-IT"/>
        </w:rPr>
        <w:t>o</w:t>
      </w:r>
      <w:r w:rsidR="009E4B69" w:rsidRPr="009E4B69">
        <w:rPr>
          <w:sz w:val="22"/>
          <w:szCs w:val="22"/>
          <w:lang w:val="it-IT"/>
        </w:rPr>
        <w:t>kom</w:t>
      </w:r>
      <w:proofErr w:type="spellEnd"/>
      <w:r w:rsidR="009E4B69" w:rsidRPr="009E4B69">
        <w:rPr>
          <w:sz w:val="22"/>
          <w:szCs w:val="22"/>
          <w:lang w:val="it-IT"/>
        </w:rPr>
        <w:t xml:space="preserve"> 26 </w:t>
      </w:r>
      <w:proofErr w:type="spellStart"/>
      <w:r>
        <w:rPr>
          <w:sz w:val="22"/>
          <w:szCs w:val="22"/>
          <w:lang w:val="it-IT"/>
        </w:rPr>
        <w:t>nedjelja</w:t>
      </w:r>
      <w:proofErr w:type="spellEnd"/>
      <w:r w:rsidR="009E4B69" w:rsidRPr="009E4B69">
        <w:rPr>
          <w:sz w:val="22"/>
          <w:szCs w:val="22"/>
          <w:lang w:val="it-IT"/>
        </w:rPr>
        <w:t xml:space="preserve"> u </w:t>
      </w:r>
      <w:r w:rsidRPr="009E4B69">
        <w:rPr>
          <w:sz w:val="22"/>
          <w:szCs w:val="22"/>
          <w:lang w:val="it-IT"/>
        </w:rPr>
        <w:t>1:1:1</w:t>
      </w:r>
      <w:r>
        <w:rPr>
          <w:sz w:val="22"/>
          <w:szCs w:val="22"/>
          <w:lang w:val="it-IT"/>
        </w:rPr>
        <w:t xml:space="preserve"> </w:t>
      </w:r>
      <w:proofErr w:type="spellStart"/>
      <w:r w:rsidR="009E4B69" w:rsidRPr="009E4B69">
        <w:rPr>
          <w:sz w:val="22"/>
          <w:szCs w:val="22"/>
          <w:lang w:val="it-IT"/>
        </w:rPr>
        <w:t>randomiz</w:t>
      </w:r>
      <w:r>
        <w:rPr>
          <w:sz w:val="22"/>
          <w:szCs w:val="22"/>
          <w:lang w:val="it-IT"/>
        </w:rPr>
        <w:t>ov</w:t>
      </w:r>
      <w:r w:rsidR="009E4B69" w:rsidRPr="009E4B69">
        <w:rPr>
          <w:sz w:val="22"/>
          <w:szCs w:val="22"/>
          <w:lang w:val="it-IT"/>
        </w:rPr>
        <w:t>anom</w:t>
      </w:r>
      <w:proofErr w:type="spellEnd"/>
      <w:r w:rsidR="009E4B69" w:rsidRPr="009E4B69">
        <w:rPr>
          <w:sz w:val="22"/>
          <w:szCs w:val="22"/>
          <w:lang w:val="it-IT"/>
        </w:rPr>
        <w:t xml:space="preserve">, </w:t>
      </w:r>
      <w:proofErr w:type="spellStart"/>
      <w:r w:rsidR="009E4B69" w:rsidRPr="009E4B69">
        <w:rPr>
          <w:sz w:val="22"/>
          <w:szCs w:val="22"/>
          <w:lang w:val="it-IT"/>
        </w:rPr>
        <w:t>aktivn</w:t>
      </w:r>
      <w:r>
        <w:rPr>
          <w:sz w:val="22"/>
          <w:szCs w:val="22"/>
          <w:lang w:val="it-IT"/>
        </w:rPr>
        <w:t>o</w:t>
      </w:r>
      <w:proofErr w:type="spellEnd"/>
      <w:r w:rsidR="009E4B69" w:rsidRPr="009E4B69">
        <w:rPr>
          <w:sz w:val="22"/>
          <w:szCs w:val="22"/>
          <w:lang w:val="it-IT"/>
        </w:rPr>
        <w:t xml:space="preserve"> </w:t>
      </w:r>
      <w:proofErr w:type="spellStart"/>
      <w:r w:rsidR="009E4B69" w:rsidRPr="009E4B69">
        <w:rPr>
          <w:sz w:val="22"/>
          <w:szCs w:val="22"/>
          <w:lang w:val="it-IT"/>
        </w:rPr>
        <w:t>kontroli</w:t>
      </w:r>
      <w:r>
        <w:rPr>
          <w:sz w:val="22"/>
          <w:szCs w:val="22"/>
          <w:lang w:val="it-IT"/>
        </w:rPr>
        <w:t>s</w:t>
      </w:r>
      <w:r w:rsidR="009E4B69" w:rsidRPr="009E4B69">
        <w:rPr>
          <w:sz w:val="22"/>
          <w:szCs w:val="22"/>
          <w:lang w:val="it-IT"/>
        </w:rPr>
        <w:t>anom</w:t>
      </w:r>
      <w:proofErr w:type="spellEnd"/>
      <w:r w:rsidR="009E4B69" w:rsidRPr="009E4B69">
        <w:rPr>
          <w:sz w:val="22"/>
          <w:szCs w:val="22"/>
          <w:lang w:val="it-IT"/>
        </w:rPr>
        <w:t xml:space="preserve"> </w:t>
      </w:r>
      <w:proofErr w:type="spellStart"/>
      <w:r w:rsidR="009E4B69" w:rsidRPr="009E4B69">
        <w:rPr>
          <w:sz w:val="22"/>
          <w:szCs w:val="22"/>
          <w:lang w:val="it-IT"/>
        </w:rPr>
        <w:t>kliničkom</w:t>
      </w:r>
      <w:proofErr w:type="spellEnd"/>
      <w:r w:rsidR="009E4B69" w:rsidRPr="009E4B69">
        <w:rPr>
          <w:sz w:val="22"/>
          <w:szCs w:val="22"/>
          <w:lang w:val="it-IT"/>
        </w:rPr>
        <w:t xml:space="preserve"> </w:t>
      </w:r>
      <w:proofErr w:type="spellStart"/>
      <w:r w:rsidR="009E4B69" w:rsidRPr="009E4B69">
        <w:rPr>
          <w:sz w:val="22"/>
          <w:szCs w:val="22"/>
          <w:lang w:val="it-IT"/>
        </w:rPr>
        <w:t>ispitivanju</w:t>
      </w:r>
      <w:proofErr w:type="spellEnd"/>
      <w:r w:rsidR="009E4B69" w:rsidRPr="009E4B69">
        <w:rPr>
          <w:sz w:val="22"/>
          <w:szCs w:val="22"/>
          <w:lang w:val="it-IT"/>
        </w:rPr>
        <w:t xml:space="preserve"> </w:t>
      </w:r>
      <w:proofErr w:type="spellStart"/>
      <w:r>
        <w:rPr>
          <w:sz w:val="22"/>
          <w:szCs w:val="22"/>
          <w:lang w:val="it-IT"/>
        </w:rPr>
        <w:t>kod</w:t>
      </w:r>
      <w:proofErr w:type="spellEnd"/>
      <w:r w:rsidR="009E4B69" w:rsidRPr="009E4B69">
        <w:rPr>
          <w:sz w:val="22"/>
          <w:szCs w:val="22"/>
          <w:lang w:val="it-IT"/>
        </w:rPr>
        <w:t xml:space="preserve"> </w:t>
      </w:r>
      <w:proofErr w:type="spellStart"/>
      <w:r w:rsidR="009E4B69" w:rsidRPr="009E4B69">
        <w:rPr>
          <w:sz w:val="22"/>
          <w:szCs w:val="22"/>
          <w:lang w:val="it-IT"/>
        </w:rPr>
        <w:t>djece</w:t>
      </w:r>
      <w:proofErr w:type="spellEnd"/>
      <w:r w:rsidR="009E4B69" w:rsidRPr="009E4B69">
        <w:rPr>
          <w:sz w:val="22"/>
          <w:szCs w:val="22"/>
          <w:lang w:val="it-IT"/>
        </w:rPr>
        <w:t xml:space="preserve"> i </w:t>
      </w:r>
      <w:proofErr w:type="spellStart"/>
      <w:r w:rsidR="009E4B69" w:rsidRPr="009E4B69">
        <w:rPr>
          <w:sz w:val="22"/>
          <w:szCs w:val="22"/>
          <w:lang w:val="it-IT"/>
        </w:rPr>
        <w:t>adolescenata</w:t>
      </w:r>
      <w:proofErr w:type="spellEnd"/>
      <w:r w:rsidR="009E4B69" w:rsidRPr="009E4B69">
        <w:rPr>
          <w:sz w:val="22"/>
          <w:szCs w:val="22"/>
          <w:lang w:val="it-IT"/>
        </w:rPr>
        <w:t xml:space="preserve"> sa </w:t>
      </w:r>
      <w:proofErr w:type="spellStart"/>
      <w:r>
        <w:rPr>
          <w:sz w:val="22"/>
          <w:szCs w:val="22"/>
          <w:lang w:val="it-IT"/>
        </w:rPr>
        <w:t>dijabetesom</w:t>
      </w:r>
      <w:proofErr w:type="spellEnd"/>
      <w:r w:rsidR="009E4B69" w:rsidRPr="009E4B69">
        <w:rPr>
          <w:sz w:val="22"/>
          <w:szCs w:val="22"/>
          <w:lang w:val="it-IT"/>
        </w:rPr>
        <w:t xml:space="preserve"> tipa 1 </w:t>
      </w:r>
      <w:proofErr w:type="spellStart"/>
      <w:r w:rsidR="009E4B69" w:rsidRPr="009E4B69">
        <w:rPr>
          <w:sz w:val="22"/>
          <w:szCs w:val="22"/>
          <w:lang w:val="it-IT"/>
        </w:rPr>
        <w:t>u</w:t>
      </w:r>
      <w:r>
        <w:rPr>
          <w:sz w:val="22"/>
          <w:szCs w:val="22"/>
          <w:lang w:val="it-IT"/>
        </w:rPr>
        <w:t>zrasta</w:t>
      </w:r>
      <w:proofErr w:type="spellEnd"/>
      <w:r>
        <w:rPr>
          <w:sz w:val="22"/>
          <w:szCs w:val="22"/>
          <w:lang w:val="it-IT"/>
        </w:rPr>
        <w:t xml:space="preserve"> </w:t>
      </w:r>
      <w:r w:rsidR="009E4B69" w:rsidRPr="009E4B69">
        <w:rPr>
          <w:sz w:val="22"/>
          <w:szCs w:val="22"/>
          <w:lang w:val="it-IT"/>
        </w:rPr>
        <w:t xml:space="preserve">od 1 do 18 </w:t>
      </w:r>
      <w:proofErr w:type="spellStart"/>
      <w:r w:rsidR="009E4B69" w:rsidRPr="009E4B69">
        <w:rPr>
          <w:sz w:val="22"/>
          <w:szCs w:val="22"/>
          <w:lang w:val="it-IT"/>
        </w:rPr>
        <w:t>godina</w:t>
      </w:r>
      <w:proofErr w:type="spellEnd"/>
      <w:r w:rsidR="009E4B69" w:rsidRPr="009E4B69">
        <w:rPr>
          <w:sz w:val="22"/>
          <w:szCs w:val="22"/>
          <w:lang w:val="it-IT"/>
        </w:rPr>
        <w:t xml:space="preserve"> (N=777). U tom </w:t>
      </w:r>
      <w:proofErr w:type="spellStart"/>
      <w:r w:rsidR="009E4B69" w:rsidRPr="009E4B69">
        <w:rPr>
          <w:sz w:val="22"/>
          <w:szCs w:val="22"/>
          <w:lang w:val="it-IT"/>
        </w:rPr>
        <w:t>ispitivanju</w:t>
      </w:r>
      <w:proofErr w:type="spellEnd"/>
      <w:r w:rsidR="009E4B69" w:rsidRPr="009E4B69">
        <w:rPr>
          <w:sz w:val="22"/>
          <w:szCs w:val="22"/>
          <w:lang w:val="it-IT"/>
        </w:rPr>
        <w:t xml:space="preserve"> </w:t>
      </w:r>
      <w:proofErr w:type="spellStart"/>
      <w:r w:rsidR="009E4B69" w:rsidRPr="009E4B69">
        <w:rPr>
          <w:sz w:val="22"/>
          <w:szCs w:val="22"/>
          <w:lang w:val="it-IT"/>
        </w:rPr>
        <w:t>upoređiva</w:t>
      </w:r>
      <w:r w:rsidR="00885D1E">
        <w:rPr>
          <w:sz w:val="22"/>
          <w:szCs w:val="22"/>
          <w:lang w:val="it-IT"/>
        </w:rPr>
        <w:t>n</w:t>
      </w:r>
      <w:r w:rsidR="009E4B69" w:rsidRPr="009E4B69">
        <w:rPr>
          <w:sz w:val="22"/>
          <w:szCs w:val="22"/>
          <w:lang w:val="it-IT"/>
        </w:rPr>
        <w:t>e</w:t>
      </w:r>
      <w:proofErr w:type="spellEnd"/>
      <w:r w:rsidR="009E4B69" w:rsidRPr="009E4B69">
        <w:rPr>
          <w:sz w:val="22"/>
          <w:szCs w:val="22"/>
          <w:lang w:val="it-IT"/>
        </w:rPr>
        <w:t xml:space="preserve"> </w:t>
      </w:r>
      <w:r w:rsidR="00885D1E">
        <w:rPr>
          <w:sz w:val="22"/>
          <w:szCs w:val="22"/>
          <w:lang w:val="it-IT"/>
        </w:rPr>
        <w:t xml:space="preserve">su </w:t>
      </w:r>
      <w:proofErr w:type="spellStart"/>
      <w:r w:rsidR="00885D1E">
        <w:rPr>
          <w:sz w:val="22"/>
          <w:szCs w:val="22"/>
          <w:lang w:val="it-IT"/>
        </w:rPr>
        <w:t>efikasnost</w:t>
      </w:r>
      <w:proofErr w:type="spellEnd"/>
      <w:r w:rsidR="00885D1E">
        <w:rPr>
          <w:sz w:val="22"/>
          <w:szCs w:val="22"/>
          <w:lang w:val="it-IT"/>
        </w:rPr>
        <w:t xml:space="preserve"> i </w:t>
      </w:r>
      <w:proofErr w:type="spellStart"/>
      <w:r w:rsidR="00885D1E">
        <w:rPr>
          <w:sz w:val="22"/>
          <w:szCs w:val="22"/>
          <w:lang w:val="it-IT"/>
        </w:rPr>
        <w:t>bezbjednost</w:t>
      </w:r>
      <w:proofErr w:type="spellEnd"/>
      <w:r w:rsidR="009E4B69" w:rsidRPr="009E4B69">
        <w:rPr>
          <w:sz w:val="22"/>
          <w:szCs w:val="22"/>
          <w:lang w:val="it-IT"/>
        </w:rPr>
        <w:t xml:space="preserve"> </w:t>
      </w:r>
      <w:proofErr w:type="spellStart"/>
      <w:r w:rsidR="009E4B69" w:rsidRPr="009E4B69">
        <w:rPr>
          <w:sz w:val="22"/>
          <w:szCs w:val="22"/>
          <w:lang w:val="it-IT"/>
        </w:rPr>
        <w:t>lijeka</w:t>
      </w:r>
      <w:proofErr w:type="spellEnd"/>
      <w:r w:rsidR="009E4B69" w:rsidRPr="009E4B69">
        <w:rPr>
          <w:sz w:val="22"/>
          <w:szCs w:val="22"/>
          <w:lang w:val="it-IT"/>
        </w:rPr>
        <w:t xml:space="preserve"> </w:t>
      </w:r>
      <w:proofErr w:type="spellStart"/>
      <w:r w:rsidR="009E4B69" w:rsidRPr="009E4B69">
        <w:rPr>
          <w:sz w:val="22"/>
          <w:szCs w:val="22"/>
          <w:lang w:val="it-IT"/>
        </w:rPr>
        <w:t>Fiasp</w:t>
      </w:r>
      <w:proofErr w:type="spellEnd"/>
      <w:r w:rsidR="009E4B69" w:rsidRPr="009E4B69">
        <w:rPr>
          <w:sz w:val="22"/>
          <w:szCs w:val="22"/>
          <w:lang w:val="it-IT"/>
        </w:rPr>
        <w:t xml:space="preserve"> </w:t>
      </w:r>
      <w:proofErr w:type="spellStart"/>
      <w:r w:rsidR="009E4B69" w:rsidRPr="009E4B69">
        <w:rPr>
          <w:sz w:val="22"/>
          <w:szCs w:val="22"/>
          <w:lang w:val="it-IT"/>
        </w:rPr>
        <w:t>prim</w:t>
      </w:r>
      <w:r w:rsidR="00885D1E">
        <w:rPr>
          <w:sz w:val="22"/>
          <w:szCs w:val="22"/>
          <w:lang w:val="it-IT"/>
        </w:rPr>
        <w:t>ij</w:t>
      </w:r>
      <w:r w:rsidR="009E4B69" w:rsidRPr="009E4B69">
        <w:rPr>
          <w:sz w:val="22"/>
          <w:szCs w:val="22"/>
          <w:lang w:val="it-IT"/>
        </w:rPr>
        <w:t>enjenog</w:t>
      </w:r>
      <w:proofErr w:type="spellEnd"/>
      <w:r w:rsidR="009E4B69" w:rsidRPr="009E4B69">
        <w:rPr>
          <w:sz w:val="22"/>
          <w:szCs w:val="22"/>
          <w:lang w:val="it-IT"/>
        </w:rPr>
        <w:t xml:space="preserve"> </w:t>
      </w:r>
      <w:proofErr w:type="spellStart"/>
      <w:r w:rsidR="009E4B69" w:rsidRPr="009E4B69">
        <w:rPr>
          <w:sz w:val="22"/>
          <w:szCs w:val="22"/>
          <w:lang w:val="it-IT"/>
        </w:rPr>
        <w:t>uz</w:t>
      </w:r>
      <w:proofErr w:type="spellEnd"/>
      <w:r w:rsidR="009E4B69" w:rsidRPr="009E4B69">
        <w:rPr>
          <w:sz w:val="22"/>
          <w:szCs w:val="22"/>
          <w:lang w:val="it-IT"/>
        </w:rPr>
        <w:t xml:space="preserve"> </w:t>
      </w:r>
      <w:proofErr w:type="spellStart"/>
      <w:r w:rsidR="009E4B69" w:rsidRPr="009E4B69">
        <w:rPr>
          <w:sz w:val="22"/>
          <w:szCs w:val="22"/>
          <w:lang w:val="it-IT"/>
        </w:rPr>
        <w:t>obrok</w:t>
      </w:r>
      <w:proofErr w:type="spellEnd"/>
      <w:r w:rsidR="009E4B69" w:rsidRPr="009E4B69">
        <w:rPr>
          <w:sz w:val="22"/>
          <w:szCs w:val="22"/>
          <w:lang w:val="it-IT"/>
        </w:rPr>
        <w:t xml:space="preserve"> (0-2 minut</w:t>
      </w:r>
      <w:r w:rsidR="00885D1E">
        <w:rPr>
          <w:sz w:val="22"/>
          <w:szCs w:val="22"/>
          <w:lang w:val="it-IT"/>
        </w:rPr>
        <w:t>a</w:t>
      </w:r>
      <w:r w:rsidR="009E4B69" w:rsidRPr="009E4B69">
        <w:rPr>
          <w:sz w:val="22"/>
          <w:szCs w:val="22"/>
          <w:lang w:val="it-IT"/>
        </w:rPr>
        <w:t xml:space="preserve"> </w:t>
      </w:r>
      <w:proofErr w:type="spellStart"/>
      <w:r w:rsidR="009E4B69" w:rsidRPr="009E4B69">
        <w:rPr>
          <w:sz w:val="22"/>
          <w:szCs w:val="22"/>
          <w:lang w:val="it-IT"/>
        </w:rPr>
        <w:t>prije</w:t>
      </w:r>
      <w:proofErr w:type="spellEnd"/>
      <w:r w:rsidR="009E4B69" w:rsidRPr="009E4B69">
        <w:rPr>
          <w:sz w:val="22"/>
          <w:szCs w:val="22"/>
          <w:lang w:val="it-IT"/>
        </w:rPr>
        <w:t xml:space="preserve"> </w:t>
      </w:r>
      <w:proofErr w:type="spellStart"/>
      <w:r w:rsidR="009E4B69" w:rsidRPr="009E4B69">
        <w:rPr>
          <w:sz w:val="22"/>
          <w:szCs w:val="22"/>
          <w:lang w:val="it-IT"/>
        </w:rPr>
        <w:t>obroka</w:t>
      </w:r>
      <w:proofErr w:type="spellEnd"/>
      <w:r w:rsidR="009E4B69" w:rsidRPr="009E4B69">
        <w:rPr>
          <w:sz w:val="22"/>
          <w:szCs w:val="22"/>
          <w:lang w:val="it-IT"/>
        </w:rPr>
        <w:t xml:space="preserve">) ili </w:t>
      </w:r>
      <w:proofErr w:type="spellStart"/>
      <w:r w:rsidR="009E4B69" w:rsidRPr="009E4B69">
        <w:rPr>
          <w:sz w:val="22"/>
          <w:szCs w:val="22"/>
          <w:lang w:val="it-IT"/>
        </w:rPr>
        <w:t>nakon</w:t>
      </w:r>
      <w:proofErr w:type="spellEnd"/>
      <w:r w:rsidR="009E4B69" w:rsidRPr="009E4B69">
        <w:rPr>
          <w:sz w:val="22"/>
          <w:szCs w:val="22"/>
          <w:lang w:val="it-IT"/>
        </w:rPr>
        <w:t xml:space="preserve"> </w:t>
      </w:r>
      <w:proofErr w:type="spellStart"/>
      <w:r w:rsidR="009E4B69" w:rsidRPr="009E4B69">
        <w:rPr>
          <w:sz w:val="22"/>
          <w:szCs w:val="22"/>
          <w:lang w:val="it-IT"/>
        </w:rPr>
        <w:t>obroka</w:t>
      </w:r>
      <w:proofErr w:type="spellEnd"/>
      <w:r w:rsidR="009E4B69" w:rsidRPr="009E4B69">
        <w:rPr>
          <w:sz w:val="22"/>
          <w:szCs w:val="22"/>
          <w:lang w:val="it-IT"/>
        </w:rPr>
        <w:t xml:space="preserve"> (20 minuta </w:t>
      </w:r>
      <w:proofErr w:type="spellStart"/>
      <w:r w:rsidR="009E4B69" w:rsidRPr="009E4B69">
        <w:rPr>
          <w:sz w:val="22"/>
          <w:szCs w:val="22"/>
          <w:lang w:val="it-IT"/>
        </w:rPr>
        <w:t>nakon</w:t>
      </w:r>
      <w:proofErr w:type="spellEnd"/>
      <w:r w:rsidR="009E4B69" w:rsidRPr="009E4B69">
        <w:rPr>
          <w:sz w:val="22"/>
          <w:szCs w:val="22"/>
          <w:lang w:val="it-IT"/>
        </w:rPr>
        <w:t xml:space="preserve"> </w:t>
      </w:r>
      <w:proofErr w:type="spellStart"/>
      <w:r w:rsidR="009E4B69" w:rsidRPr="009E4B69">
        <w:rPr>
          <w:sz w:val="22"/>
          <w:szCs w:val="22"/>
          <w:lang w:val="it-IT"/>
        </w:rPr>
        <w:t>početka</w:t>
      </w:r>
      <w:proofErr w:type="spellEnd"/>
      <w:r w:rsidR="009E4B69" w:rsidRPr="009E4B69">
        <w:rPr>
          <w:sz w:val="22"/>
          <w:szCs w:val="22"/>
          <w:lang w:val="it-IT"/>
        </w:rPr>
        <w:t xml:space="preserve"> </w:t>
      </w:r>
      <w:proofErr w:type="spellStart"/>
      <w:r w:rsidR="009E4B69" w:rsidRPr="009E4B69">
        <w:rPr>
          <w:sz w:val="22"/>
          <w:szCs w:val="22"/>
          <w:lang w:val="it-IT"/>
        </w:rPr>
        <w:t>obroka</w:t>
      </w:r>
      <w:proofErr w:type="spellEnd"/>
      <w:r w:rsidR="009E4B69" w:rsidRPr="009E4B69">
        <w:rPr>
          <w:sz w:val="22"/>
          <w:szCs w:val="22"/>
          <w:lang w:val="it-IT"/>
        </w:rPr>
        <w:t xml:space="preserve">) i </w:t>
      </w:r>
      <w:proofErr w:type="spellStart"/>
      <w:r w:rsidR="009E4B69" w:rsidRPr="009E4B69">
        <w:rPr>
          <w:sz w:val="22"/>
          <w:szCs w:val="22"/>
          <w:lang w:val="it-IT"/>
        </w:rPr>
        <w:t>lijeka</w:t>
      </w:r>
      <w:proofErr w:type="spellEnd"/>
      <w:r w:rsidR="009E4B69" w:rsidRPr="009E4B69">
        <w:rPr>
          <w:sz w:val="22"/>
          <w:szCs w:val="22"/>
          <w:lang w:val="it-IT"/>
        </w:rPr>
        <w:t xml:space="preserve"> </w:t>
      </w:r>
      <w:proofErr w:type="spellStart"/>
      <w:r w:rsidR="009E4B69" w:rsidRPr="009E4B69">
        <w:rPr>
          <w:sz w:val="22"/>
          <w:szCs w:val="22"/>
          <w:lang w:val="it-IT"/>
        </w:rPr>
        <w:t>NovoRapid</w:t>
      </w:r>
      <w:proofErr w:type="spellEnd"/>
      <w:r w:rsidR="009E4B69" w:rsidRPr="009E4B69">
        <w:rPr>
          <w:sz w:val="22"/>
          <w:szCs w:val="22"/>
          <w:lang w:val="it-IT"/>
        </w:rPr>
        <w:t xml:space="preserve"> </w:t>
      </w:r>
      <w:proofErr w:type="spellStart"/>
      <w:r w:rsidR="009E4B69" w:rsidRPr="009E4B69">
        <w:rPr>
          <w:sz w:val="22"/>
          <w:szCs w:val="22"/>
          <w:lang w:val="it-IT"/>
        </w:rPr>
        <w:t>primijenjenog</w:t>
      </w:r>
      <w:proofErr w:type="spellEnd"/>
      <w:r w:rsidR="009E4B69" w:rsidRPr="009E4B69">
        <w:rPr>
          <w:sz w:val="22"/>
          <w:szCs w:val="22"/>
          <w:lang w:val="it-IT"/>
        </w:rPr>
        <w:t xml:space="preserve"> </w:t>
      </w:r>
      <w:proofErr w:type="spellStart"/>
      <w:r w:rsidR="009E4B69" w:rsidRPr="009E4B69">
        <w:rPr>
          <w:sz w:val="22"/>
          <w:szCs w:val="22"/>
          <w:lang w:val="it-IT"/>
        </w:rPr>
        <w:t>uz</w:t>
      </w:r>
      <w:proofErr w:type="spellEnd"/>
      <w:r w:rsidR="009E4B69" w:rsidRPr="009E4B69">
        <w:rPr>
          <w:sz w:val="22"/>
          <w:szCs w:val="22"/>
          <w:lang w:val="it-IT"/>
        </w:rPr>
        <w:t xml:space="preserve"> </w:t>
      </w:r>
      <w:proofErr w:type="spellStart"/>
      <w:r w:rsidR="009E4B69" w:rsidRPr="009E4B69">
        <w:rPr>
          <w:sz w:val="22"/>
          <w:szCs w:val="22"/>
          <w:lang w:val="it-IT"/>
        </w:rPr>
        <w:t>obrok</w:t>
      </w:r>
      <w:proofErr w:type="spellEnd"/>
      <w:r w:rsidR="009E4B69" w:rsidRPr="009E4B69">
        <w:rPr>
          <w:sz w:val="22"/>
          <w:szCs w:val="22"/>
          <w:lang w:val="it-IT"/>
        </w:rPr>
        <w:t xml:space="preserve">. </w:t>
      </w:r>
      <w:r w:rsidR="009E4B69" w:rsidRPr="005473EA">
        <w:rPr>
          <w:sz w:val="22"/>
          <w:szCs w:val="22"/>
          <w:lang w:val="it-IT"/>
        </w:rPr>
        <w:t xml:space="preserve">Oba </w:t>
      </w:r>
      <w:proofErr w:type="spellStart"/>
      <w:r w:rsidR="009E4B69" w:rsidRPr="005473EA">
        <w:rPr>
          <w:sz w:val="22"/>
          <w:szCs w:val="22"/>
          <w:lang w:val="it-IT"/>
        </w:rPr>
        <w:t>lijeka</w:t>
      </w:r>
      <w:proofErr w:type="spellEnd"/>
      <w:r w:rsidR="009E4B69" w:rsidRPr="005473EA">
        <w:rPr>
          <w:sz w:val="22"/>
          <w:szCs w:val="22"/>
          <w:lang w:val="it-IT"/>
        </w:rPr>
        <w:t xml:space="preserve"> </w:t>
      </w:r>
      <w:r w:rsidR="00FD45F5">
        <w:rPr>
          <w:sz w:val="22"/>
          <w:szCs w:val="22"/>
          <w:lang w:val="it-IT"/>
        </w:rPr>
        <w:t xml:space="preserve">su </w:t>
      </w:r>
      <w:proofErr w:type="spellStart"/>
      <w:r w:rsidR="009E4B69" w:rsidRPr="005473EA">
        <w:rPr>
          <w:sz w:val="22"/>
          <w:szCs w:val="22"/>
          <w:lang w:val="it-IT"/>
        </w:rPr>
        <w:t>primjenjiva</w:t>
      </w:r>
      <w:r w:rsidR="00FD45F5">
        <w:rPr>
          <w:sz w:val="22"/>
          <w:szCs w:val="22"/>
          <w:lang w:val="it-IT"/>
        </w:rPr>
        <w:t>n</w:t>
      </w:r>
      <w:r w:rsidR="009E4B69" w:rsidRPr="005473EA">
        <w:rPr>
          <w:sz w:val="22"/>
          <w:szCs w:val="22"/>
          <w:lang w:val="it-IT"/>
        </w:rPr>
        <w:t>a</w:t>
      </w:r>
      <w:proofErr w:type="spellEnd"/>
      <w:r w:rsidR="009E4B69" w:rsidRPr="005473EA">
        <w:rPr>
          <w:sz w:val="22"/>
          <w:szCs w:val="22"/>
          <w:lang w:val="it-IT"/>
        </w:rPr>
        <w:t xml:space="preserve"> u </w:t>
      </w:r>
      <w:proofErr w:type="spellStart"/>
      <w:r w:rsidR="009E4B69" w:rsidRPr="005473EA">
        <w:rPr>
          <w:sz w:val="22"/>
          <w:szCs w:val="22"/>
          <w:lang w:val="it-IT"/>
        </w:rPr>
        <w:t>kombinaciji</w:t>
      </w:r>
      <w:proofErr w:type="spellEnd"/>
      <w:r w:rsidR="009E4B69" w:rsidRPr="005473EA">
        <w:rPr>
          <w:sz w:val="22"/>
          <w:szCs w:val="22"/>
          <w:lang w:val="it-IT"/>
        </w:rPr>
        <w:t xml:space="preserve"> s</w:t>
      </w:r>
      <w:r w:rsidR="00FD45F5">
        <w:rPr>
          <w:sz w:val="22"/>
          <w:szCs w:val="22"/>
          <w:lang w:val="it-IT"/>
        </w:rPr>
        <w:t>a</w:t>
      </w:r>
      <w:r w:rsidR="009E4B69" w:rsidRPr="005473EA">
        <w:rPr>
          <w:sz w:val="22"/>
          <w:szCs w:val="22"/>
          <w:lang w:val="it-IT"/>
        </w:rPr>
        <w:t xml:space="preserve"> </w:t>
      </w:r>
      <w:proofErr w:type="spellStart"/>
      <w:r w:rsidR="00FD45F5" w:rsidRPr="005473EA">
        <w:rPr>
          <w:sz w:val="22"/>
          <w:szCs w:val="22"/>
          <w:lang w:val="it-IT"/>
        </w:rPr>
        <w:t>in</w:t>
      </w:r>
      <w:r w:rsidR="00FD45F5">
        <w:rPr>
          <w:sz w:val="22"/>
          <w:szCs w:val="22"/>
          <w:lang w:val="it-IT"/>
        </w:rPr>
        <w:t>s</w:t>
      </w:r>
      <w:r w:rsidR="00FD45F5" w:rsidRPr="005473EA">
        <w:rPr>
          <w:sz w:val="22"/>
          <w:szCs w:val="22"/>
          <w:lang w:val="it-IT"/>
        </w:rPr>
        <w:t>ulin</w:t>
      </w:r>
      <w:proofErr w:type="spellEnd"/>
      <w:r w:rsidR="00FD45F5">
        <w:rPr>
          <w:sz w:val="22"/>
          <w:szCs w:val="22"/>
          <w:lang w:val="it-IT"/>
        </w:rPr>
        <w:t xml:space="preserve"> </w:t>
      </w:r>
      <w:proofErr w:type="spellStart"/>
      <w:r w:rsidR="009E4B69" w:rsidRPr="005473EA">
        <w:rPr>
          <w:sz w:val="22"/>
          <w:szCs w:val="22"/>
          <w:lang w:val="it-IT"/>
        </w:rPr>
        <w:t>degludek</w:t>
      </w:r>
      <w:r w:rsidR="00FD45F5">
        <w:rPr>
          <w:sz w:val="22"/>
          <w:szCs w:val="22"/>
          <w:lang w:val="it-IT"/>
        </w:rPr>
        <w:t>om</w:t>
      </w:r>
      <w:proofErr w:type="spellEnd"/>
      <w:r w:rsidR="009E4B69" w:rsidRPr="005473EA">
        <w:rPr>
          <w:sz w:val="22"/>
          <w:szCs w:val="22"/>
          <w:lang w:val="it-IT"/>
        </w:rPr>
        <w:t>.</w:t>
      </w:r>
    </w:p>
    <w:p w14:paraId="36D2CB7E" w14:textId="77777777" w:rsidR="009E4B69" w:rsidRPr="005473EA" w:rsidRDefault="007E0EE6" w:rsidP="009E4B69">
      <w:pPr>
        <w:tabs>
          <w:tab w:val="left" w:pos="540"/>
          <w:tab w:val="left" w:pos="569"/>
        </w:tabs>
        <w:jc w:val="both"/>
        <w:rPr>
          <w:sz w:val="22"/>
          <w:szCs w:val="22"/>
          <w:lang w:val="it-IT"/>
        </w:rPr>
      </w:pPr>
      <w:r>
        <w:rPr>
          <w:sz w:val="22"/>
          <w:szCs w:val="22"/>
          <w:lang w:val="it-IT"/>
        </w:rPr>
        <w:t>Grupa</w:t>
      </w:r>
      <w:r w:rsidR="009E4B69" w:rsidRPr="005473EA">
        <w:rPr>
          <w:sz w:val="22"/>
          <w:szCs w:val="22"/>
          <w:lang w:val="it-IT"/>
        </w:rPr>
        <w:t xml:space="preserve"> </w:t>
      </w:r>
      <w:proofErr w:type="spellStart"/>
      <w:r w:rsidR="009E4B69" w:rsidRPr="005473EA">
        <w:rPr>
          <w:sz w:val="22"/>
          <w:szCs w:val="22"/>
          <w:lang w:val="it-IT"/>
        </w:rPr>
        <w:t>koja</w:t>
      </w:r>
      <w:proofErr w:type="spellEnd"/>
      <w:r w:rsidR="009E4B69" w:rsidRPr="005473EA">
        <w:rPr>
          <w:sz w:val="22"/>
          <w:szCs w:val="22"/>
          <w:lang w:val="it-IT"/>
        </w:rPr>
        <w:t xml:space="preserve"> je </w:t>
      </w:r>
      <w:proofErr w:type="spellStart"/>
      <w:r w:rsidR="009E4B69" w:rsidRPr="005473EA">
        <w:rPr>
          <w:sz w:val="22"/>
          <w:szCs w:val="22"/>
          <w:lang w:val="it-IT"/>
        </w:rPr>
        <w:t>primala</w:t>
      </w:r>
      <w:proofErr w:type="spellEnd"/>
      <w:r w:rsidR="009E4B69" w:rsidRPr="005473EA">
        <w:rPr>
          <w:sz w:val="22"/>
          <w:szCs w:val="22"/>
          <w:lang w:val="it-IT"/>
        </w:rPr>
        <w:t xml:space="preserve"> </w:t>
      </w:r>
      <w:proofErr w:type="spellStart"/>
      <w:r w:rsidR="009E4B69" w:rsidRPr="005473EA">
        <w:rPr>
          <w:sz w:val="22"/>
          <w:szCs w:val="22"/>
          <w:lang w:val="it-IT"/>
        </w:rPr>
        <w:t>Fiasp</w:t>
      </w:r>
      <w:proofErr w:type="spellEnd"/>
      <w:r w:rsidR="009E4B69" w:rsidRPr="005473EA">
        <w:rPr>
          <w:sz w:val="22"/>
          <w:szCs w:val="22"/>
          <w:lang w:val="it-IT"/>
        </w:rPr>
        <w:t xml:space="preserve"> </w:t>
      </w:r>
      <w:proofErr w:type="spellStart"/>
      <w:r w:rsidR="009E4B69" w:rsidRPr="005473EA">
        <w:rPr>
          <w:sz w:val="22"/>
          <w:szCs w:val="22"/>
          <w:lang w:val="it-IT"/>
        </w:rPr>
        <w:t>uz</w:t>
      </w:r>
      <w:proofErr w:type="spellEnd"/>
      <w:r w:rsidR="009E4B69" w:rsidRPr="005473EA">
        <w:rPr>
          <w:sz w:val="22"/>
          <w:szCs w:val="22"/>
          <w:lang w:val="it-IT"/>
        </w:rPr>
        <w:t xml:space="preserve"> </w:t>
      </w:r>
      <w:proofErr w:type="spellStart"/>
      <w:r w:rsidR="009E4B69" w:rsidRPr="005473EA">
        <w:rPr>
          <w:sz w:val="22"/>
          <w:szCs w:val="22"/>
          <w:lang w:val="it-IT"/>
        </w:rPr>
        <w:t>obrok</w:t>
      </w:r>
      <w:proofErr w:type="spellEnd"/>
      <w:r w:rsidR="009E4B69" w:rsidRPr="005473EA">
        <w:rPr>
          <w:sz w:val="22"/>
          <w:szCs w:val="22"/>
          <w:lang w:val="it-IT"/>
        </w:rPr>
        <w:t xml:space="preserve"> </w:t>
      </w:r>
      <w:proofErr w:type="spellStart"/>
      <w:r w:rsidR="009E4B69" w:rsidRPr="005473EA">
        <w:rPr>
          <w:sz w:val="22"/>
          <w:szCs w:val="22"/>
          <w:lang w:val="it-IT"/>
        </w:rPr>
        <w:t>uključivala</w:t>
      </w:r>
      <w:proofErr w:type="spellEnd"/>
      <w:r w:rsidR="009E4B69" w:rsidRPr="005473EA">
        <w:rPr>
          <w:sz w:val="22"/>
          <w:szCs w:val="22"/>
          <w:lang w:val="it-IT"/>
        </w:rPr>
        <w:t xml:space="preserve"> je 16 </w:t>
      </w:r>
      <w:proofErr w:type="spellStart"/>
      <w:r w:rsidR="009E4B69" w:rsidRPr="005473EA">
        <w:rPr>
          <w:sz w:val="22"/>
          <w:szCs w:val="22"/>
          <w:lang w:val="it-IT"/>
        </w:rPr>
        <w:t>djece</w:t>
      </w:r>
      <w:proofErr w:type="spellEnd"/>
      <w:r w:rsidR="009E4B69" w:rsidRPr="005473EA">
        <w:rPr>
          <w:sz w:val="22"/>
          <w:szCs w:val="22"/>
          <w:lang w:val="it-IT"/>
        </w:rPr>
        <w:t xml:space="preserve"> </w:t>
      </w:r>
      <w:proofErr w:type="spellStart"/>
      <w:r w:rsidR="009E4B69" w:rsidRPr="005473EA">
        <w:rPr>
          <w:sz w:val="22"/>
          <w:szCs w:val="22"/>
          <w:lang w:val="it-IT"/>
        </w:rPr>
        <w:t>u</w:t>
      </w:r>
      <w:r>
        <w:rPr>
          <w:sz w:val="22"/>
          <w:szCs w:val="22"/>
          <w:lang w:val="it-IT"/>
        </w:rPr>
        <w:t>zrasta</w:t>
      </w:r>
      <w:proofErr w:type="spellEnd"/>
      <w:r w:rsidR="009E4B69" w:rsidRPr="005473EA">
        <w:rPr>
          <w:sz w:val="22"/>
          <w:szCs w:val="22"/>
          <w:lang w:val="it-IT"/>
        </w:rPr>
        <w:t xml:space="preserve"> od 2 do 5 </w:t>
      </w:r>
      <w:proofErr w:type="spellStart"/>
      <w:r w:rsidR="009E4B69" w:rsidRPr="005473EA">
        <w:rPr>
          <w:sz w:val="22"/>
          <w:szCs w:val="22"/>
          <w:lang w:val="it-IT"/>
        </w:rPr>
        <w:t>godina</w:t>
      </w:r>
      <w:proofErr w:type="spellEnd"/>
      <w:r w:rsidR="009E4B69" w:rsidRPr="005473EA">
        <w:rPr>
          <w:sz w:val="22"/>
          <w:szCs w:val="22"/>
          <w:lang w:val="it-IT"/>
        </w:rPr>
        <w:t xml:space="preserve">, 100 </w:t>
      </w:r>
      <w:proofErr w:type="spellStart"/>
      <w:r w:rsidR="009E4B69" w:rsidRPr="005473EA">
        <w:rPr>
          <w:sz w:val="22"/>
          <w:szCs w:val="22"/>
          <w:lang w:val="it-IT"/>
        </w:rPr>
        <w:t>djece</w:t>
      </w:r>
      <w:proofErr w:type="spellEnd"/>
      <w:r w:rsidR="009E4B69" w:rsidRPr="005473EA">
        <w:rPr>
          <w:sz w:val="22"/>
          <w:szCs w:val="22"/>
          <w:lang w:val="it-IT"/>
        </w:rPr>
        <w:t xml:space="preserve"> </w:t>
      </w:r>
      <w:proofErr w:type="spellStart"/>
      <w:r w:rsidR="009E4B69" w:rsidRPr="005473EA">
        <w:rPr>
          <w:sz w:val="22"/>
          <w:szCs w:val="22"/>
          <w:lang w:val="it-IT"/>
        </w:rPr>
        <w:t>u</w:t>
      </w:r>
      <w:r>
        <w:rPr>
          <w:sz w:val="22"/>
          <w:szCs w:val="22"/>
          <w:lang w:val="it-IT"/>
        </w:rPr>
        <w:t>zrasta</w:t>
      </w:r>
      <w:proofErr w:type="spellEnd"/>
      <w:r w:rsidR="009E4B69" w:rsidRPr="005473EA">
        <w:rPr>
          <w:sz w:val="22"/>
          <w:szCs w:val="22"/>
          <w:lang w:val="it-IT"/>
        </w:rPr>
        <w:t xml:space="preserve"> od 6 do 11 </w:t>
      </w:r>
      <w:proofErr w:type="spellStart"/>
      <w:r w:rsidR="009E4B69" w:rsidRPr="005473EA">
        <w:rPr>
          <w:sz w:val="22"/>
          <w:szCs w:val="22"/>
          <w:lang w:val="it-IT"/>
        </w:rPr>
        <w:t>godina</w:t>
      </w:r>
      <w:proofErr w:type="spellEnd"/>
      <w:r w:rsidR="009E4B69" w:rsidRPr="005473EA">
        <w:rPr>
          <w:sz w:val="22"/>
          <w:szCs w:val="22"/>
          <w:lang w:val="it-IT"/>
        </w:rPr>
        <w:t xml:space="preserve"> i 14</w:t>
      </w:r>
      <w:r w:rsidR="007A7B6A">
        <w:rPr>
          <w:sz w:val="22"/>
          <w:szCs w:val="22"/>
          <w:lang w:val="it-IT"/>
        </w:rPr>
        <w:t>4</w:t>
      </w:r>
      <w:r w:rsidR="009E4B69" w:rsidRPr="005473EA">
        <w:rPr>
          <w:sz w:val="22"/>
          <w:szCs w:val="22"/>
          <w:lang w:val="it-IT"/>
        </w:rPr>
        <w:t xml:space="preserve"> </w:t>
      </w:r>
      <w:proofErr w:type="spellStart"/>
      <w:r w:rsidR="009E4B69" w:rsidRPr="005473EA">
        <w:rPr>
          <w:sz w:val="22"/>
          <w:szCs w:val="22"/>
          <w:lang w:val="it-IT"/>
        </w:rPr>
        <w:t>adolescenta</w:t>
      </w:r>
      <w:proofErr w:type="spellEnd"/>
      <w:r w:rsidR="009E4B69" w:rsidRPr="005473EA">
        <w:rPr>
          <w:sz w:val="22"/>
          <w:szCs w:val="22"/>
          <w:lang w:val="it-IT"/>
        </w:rPr>
        <w:t xml:space="preserve"> </w:t>
      </w:r>
      <w:proofErr w:type="spellStart"/>
      <w:r w:rsidR="009E4B69" w:rsidRPr="005473EA">
        <w:rPr>
          <w:sz w:val="22"/>
          <w:szCs w:val="22"/>
          <w:lang w:val="it-IT"/>
        </w:rPr>
        <w:t>u</w:t>
      </w:r>
      <w:r>
        <w:rPr>
          <w:sz w:val="22"/>
          <w:szCs w:val="22"/>
          <w:lang w:val="it-IT"/>
        </w:rPr>
        <w:t>zrasta</w:t>
      </w:r>
      <w:proofErr w:type="spellEnd"/>
      <w:r w:rsidR="009E4B69" w:rsidRPr="005473EA">
        <w:rPr>
          <w:sz w:val="22"/>
          <w:szCs w:val="22"/>
          <w:lang w:val="it-IT"/>
        </w:rPr>
        <w:t xml:space="preserve"> od 12 do 17 </w:t>
      </w:r>
      <w:proofErr w:type="spellStart"/>
      <w:r w:rsidR="009E4B69" w:rsidRPr="005473EA">
        <w:rPr>
          <w:sz w:val="22"/>
          <w:szCs w:val="22"/>
          <w:lang w:val="it-IT"/>
        </w:rPr>
        <w:t>godina</w:t>
      </w:r>
      <w:proofErr w:type="spellEnd"/>
      <w:r w:rsidR="009E4B69" w:rsidRPr="005473EA">
        <w:rPr>
          <w:sz w:val="22"/>
          <w:szCs w:val="22"/>
          <w:lang w:val="it-IT"/>
        </w:rPr>
        <w:t xml:space="preserve">. </w:t>
      </w:r>
      <w:r>
        <w:rPr>
          <w:sz w:val="22"/>
          <w:szCs w:val="22"/>
          <w:lang w:val="it-IT"/>
        </w:rPr>
        <w:t>Grupa</w:t>
      </w:r>
      <w:r w:rsidR="009E4B69" w:rsidRPr="005473EA">
        <w:rPr>
          <w:sz w:val="22"/>
          <w:szCs w:val="22"/>
          <w:lang w:val="it-IT"/>
        </w:rPr>
        <w:t xml:space="preserve"> </w:t>
      </w:r>
      <w:proofErr w:type="spellStart"/>
      <w:r w:rsidR="009E4B69" w:rsidRPr="005473EA">
        <w:rPr>
          <w:sz w:val="22"/>
          <w:szCs w:val="22"/>
          <w:lang w:val="it-IT"/>
        </w:rPr>
        <w:t>koja</w:t>
      </w:r>
      <w:proofErr w:type="spellEnd"/>
      <w:r w:rsidR="009E4B69" w:rsidRPr="005473EA">
        <w:rPr>
          <w:sz w:val="22"/>
          <w:szCs w:val="22"/>
          <w:lang w:val="it-IT"/>
        </w:rPr>
        <w:t xml:space="preserve"> je </w:t>
      </w:r>
      <w:proofErr w:type="spellStart"/>
      <w:r w:rsidR="009E4B69" w:rsidRPr="005473EA">
        <w:rPr>
          <w:sz w:val="22"/>
          <w:szCs w:val="22"/>
          <w:lang w:val="it-IT"/>
        </w:rPr>
        <w:t>primala</w:t>
      </w:r>
      <w:proofErr w:type="spellEnd"/>
      <w:r w:rsidR="009E4B69" w:rsidRPr="005473EA">
        <w:rPr>
          <w:sz w:val="22"/>
          <w:szCs w:val="22"/>
          <w:lang w:val="it-IT"/>
        </w:rPr>
        <w:t xml:space="preserve"> </w:t>
      </w:r>
      <w:proofErr w:type="spellStart"/>
      <w:r w:rsidR="009E4B69" w:rsidRPr="005473EA">
        <w:rPr>
          <w:sz w:val="22"/>
          <w:szCs w:val="22"/>
          <w:lang w:val="it-IT"/>
        </w:rPr>
        <w:t>Fiasp</w:t>
      </w:r>
      <w:proofErr w:type="spellEnd"/>
      <w:r w:rsidR="009E4B69" w:rsidRPr="005473EA">
        <w:rPr>
          <w:sz w:val="22"/>
          <w:szCs w:val="22"/>
          <w:lang w:val="it-IT"/>
        </w:rPr>
        <w:t xml:space="preserve"> </w:t>
      </w:r>
      <w:proofErr w:type="spellStart"/>
      <w:r w:rsidR="009E4B69" w:rsidRPr="005473EA">
        <w:rPr>
          <w:sz w:val="22"/>
          <w:szCs w:val="22"/>
          <w:lang w:val="it-IT"/>
        </w:rPr>
        <w:t>nakon</w:t>
      </w:r>
      <w:proofErr w:type="spellEnd"/>
      <w:r w:rsidR="009E4B69" w:rsidRPr="005473EA">
        <w:rPr>
          <w:sz w:val="22"/>
          <w:szCs w:val="22"/>
          <w:lang w:val="it-IT"/>
        </w:rPr>
        <w:t xml:space="preserve"> </w:t>
      </w:r>
      <w:proofErr w:type="spellStart"/>
      <w:r w:rsidR="009E4B69" w:rsidRPr="005473EA">
        <w:rPr>
          <w:sz w:val="22"/>
          <w:szCs w:val="22"/>
          <w:lang w:val="it-IT"/>
        </w:rPr>
        <w:t>obroka</w:t>
      </w:r>
      <w:proofErr w:type="spellEnd"/>
      <w:r w:rsidR="009E4B69" w:rsidRPr="005473EA">
        <w:rPr>
          <w:sz w:val="22"/>
          <w:szCs w:val="22"/>
          <w:lang w:val="it-IT"/>
        </w:rPr>
        <w:t xml:space="preserve"> </w:t>
      </w:r>
      <w:proofErr w:type="spellStart"/>
      <w:r w:rsidR="009E4B69" w:rsidRPr="005473EA">
        <w:rPr>
          <w:sz w:val="22"/>
          <w:szCs w:val="22"/>
          <w:lang w:val="it-IT"/>
        </w:rPr>
        <w:t>uključivala</w:t>
      </w:r>
      <w:proofErr w:type="spellEnd"/>
      <w:r w:rsidR="009E4B69" w:rsidRPr="005473EA">
        <w:rPr>
          <w:sz w:val="22"/>
          <w:szCs w:val="22"/>
          <w:lang w:val="it-IT"/>
        </w:rPr>
        <w:t xml:space="preserve"> je 16 </w:t>
      </w:r>
      <w:proofErr w:type="spellStart"/>
      <w:r w:rsidR="009E4B69" w:rsidRPr="005473EA">
        <w:rPr>
          <w:sz w:val="22"/>
          <w:szCs w:val="22"/>
          <w:lang w:val="it-IT"/>
        </w:rPr>
        <w:t>djece</w:t>
      </w:r>
      <w:proofErr w:type="spellEnd"/>
      <w:r w:rsidR="009E4B69" w:rsidRPr="005473EA">
        <w:rPr>
          <w:sz w:val="22"/>
          <w:szCs w:val="22"/>
          <w:lang w:val="it-IT"/>
        </w:rPr>
        <w:t xml:space="preserve"> </w:t>
      </w:r>
      <w:proofErr w:type="spellStart"/>
      <w:r w:rsidR="009E4B69" w:rsidRPr="005473EA">
        <w:rPr>
          <w:sz w:val="22"/>
          <w:szCs w:val="22"/>
          <w:lang w:val="it-IT"/>
        </w:rPr>
        <w:t>u</w:t>
      </w:r>
      <w:r>
        <w:rPr>
          <w:sz w:val="22"/>
          <w:szCs w:val="22"/>
          <w:lang w:val="it-IT"/>
        </w:rPr>
        <w:t>zrasta</w:t>
      </w:r>
      <w:proofErr w:type="spellEnd"/>
      <w:r w:rsidR="009E4B69" w:rsidRPr="005473EA">
        <w:rPr>
          <w:sz w:val="22"/>
          <w:szCs w:val="22"/>
          <w:lang w:val="it-IT"/>
        </w:rPr>
        <w:t xml:space="preserve"> od 2 do 5 </w:t>
      </w:r>
      <w:proofErr w:type="spellStart"/>
      <w:r w:rsidR="009E4B69" w:rsidRPr="005473EA">
        <w:rPr>
          <w:sz w:val="22"/>
          <w:szCs w:val="22"/>
          <w:lang w:val="it-IT"/>
        </w:rPr>
        <w:t>godina</w:t>
      </w:r>
      <w:proofErr w:type="spellEnd"/>
      <w:r w:rsidR="009E4B69" w:rsidRPr="005473EA">
        <w:rPr>
          <w:sz w:val="22"/>
          <w:szCs w:val="22"/>
          <w:lang w:val="it-IT"/>
        </w:rPr>
        <w:t xml:space="preserve">, 100 </w:t>
      </w:r>
      <w:proofErr w:type="spellStart"/>
      <w:r w:rsidR="009E4B69" w:rsidRPr="005473EA">
        <w:rPr>
          <w:sz w:val="22"/>
          <w:szCs w:val="22"/>
          <w:lang w:val="it-IT"/>
        </w:rPr>
        <w:t>djece</w:t>
      </w:r>
      <w:proofErr w:type="spellEnd"/>
      <w:r w:rsidR="009E4B69" w:rsidRPr="005473EA">
        <w:rPr>
          <w:sz w:val="22"/>
          <w:szCs w:val="22"/>
          <w:lang w:val="it-IT"/>
        </w:rPr>
        <w:t xml:space="preserve"> </w:t>
      </w:r>
      <w:proofErr w:type="spellStart"/>
      <w:r w:rsidR="009E4B69" w:rsidRPr="005473EA">
        <w:rPr>
          <w:sz w:val="22"/>
          <w:szCs w:val="22"/>
          <w:lang w:val="it-IT"/>
        </w:rPr>
        <w:t>u</w:t>
      </w:r>
      <w:r>
        <w:rPr>
          <w:sz w:val="22"/>
          <w:szCs w:val="22"/>
          <w:lang w:val="it-IT"/>
        </w:rPr>
        <w:t>zrasta</w:t>
      </w:r>
      <w:proofErr w:type="spellEnd"/>
      <w:r w:rsidR="009E4B69" w:rsidRPr="005473EA">
        <w:rPr>
          <w:sz w:val="22"/>
          <w:szCs w:val="22"/>
          <w:lang w:val="it-IT"/>
        </w:rPr>
        <w:t xml:space="preserve"> od 6 do 11 </w:t>
      </w:r>
      <w:proofErr w:type="spellStart"/>
      <w:r w:rsidR="009E4B69" w:rsidRPr="005473EA">
        <w:rPr>
          <w:sz w:val="22"/>
          <w:szCs w:val="22"/>
          <w:lang w:val="it-IT"/>
        </w:rPr>
        <w:t>godina</w:t>
      </w:r>
      <w:proofErr w:type="spellEnd"/>
      <w:r w:rsidR="009E4B69" w:rsidRPr="005473EA">
        <w:rPr>
          <w:sz w:val="22"/>
          <w:szCs w:val="22"/>
          <w:lang w:val="it-IT"/>
        </w:rPr>
        <w:t xml:space="preserve"> i 143 </w:t>
      </w:r>
      <w:proofErr w:type="spellStart"/>
      <w:r w:rsidR="009E4B69" w:rsidRPr="005473EA">
        <w:rPr>
          <w:sz w:val="22"/>
          <w:szCs w:val="22"/>
          <w:lang w:val="it-IT"/>
        </w:rPr>
        <w:t>adolescenta</w:t>
      </w:r>
      <w:proofErr w:type="spellEnd"/>
      <w:r w:rsidR="009E4B69" w:rsidRPr="005473EA">
        <w:rPr>
          <w:sz w:val="22"/>
          <w:szCs w:val="22"/>
          <w:lang w:val="it-IT"/>
        </w:rPr>
        <w:t xml:space="preserve"> </w:t>
      </w:r>
      <w:proofErr w:type="spellStart"/>
      <w:r w:rsidR="009E4B69" w:rsidRPr="005473EA">
        <w:rPr>
          <w:sz w:val="22"/>
          <w:szCs w:val="22"/>
          <w:lang w:val="it-IT"/>
        </w:rPr>
        <w:t>u</w:t>
      </w:r>
      <w:r>
        <w:rPr>
          <w:sz w:val="22"/>
          <w:szCs w:val="22"/>
          <w:lang w:val="it-IT"/>
        </w:rPr>
        <w:t>zrasta</w:t>
      </w:r>
      <w:proofErr w:type="spellEnd"/>
      <w:r w:rsidR="009E4B69" w:rsidRPr="005473EA">
        <w:rPr>
          <w:sz w:val="22"/>
          <w:szCs w:val="22"/>
          <w:lang w:val="it-IT"/>
        </w:rPr>
        <w:t xml:space="preserve"> od 12 do 17 </w:t>
      </w:r>
      <w:proofErr w:type="spellStart"/>
      <w:r w:rsidR="009E4B69" w:rsidRPr="005473EA">
        <w:rPr>
          <w:sz w:val="22"/>
          <w:szCs w:val="22"/>
          <w:lang w:val="it-IT"/>
        </w:rPr>
        <w:t>godina</w:t>
      </w:r>
      <w:proofErr w:type="spellEnd"/>
      <w:r w:rsidR="009E4B69" w:rsidRPr="005473EA">
        <w:rPr>
          <w:sz w:val="22"/>
          <w:szCs w:val="22"/>
          <w:lang w:val="it-IT"/>
        </w:rPr>
        <w:t>.</w:t>
      </w:r>
    </w:p>
    <w:p w14:paraId="4FD56867" w14:textId="7561FC18" w:rsidR="009E4B69" w:rsidRPr="005473EA" w:rsidRDefault="00EE2CF5" w:rsidP="00604114">
      <w:pPr>
        <w:tabs>
          <w:tab w:val="left" w:pos="540"/>
          <w:tab w:val="left" w:pos="569"/>
        </w:tabs>
        <w:jc w:val="both"/>
        <w:rPr>
          <w:sz w:val="22"/>
          <w:szCs w:val="22"/>
          <w:lang w:val="it-IT"/>
        </w:rPr>
      </w:pPr>
      <w:proofErr w:type="spellStart"/>
      <w:r>
        <w:rPr>
          <w:sz w:val="22"/>
          <w:szCs w:val="22"/>
          <w:lang w:val="it-IT"/>
        </w:rPr>
        <w:lastRenderedPageBreak/>
        <w:t>Lijek</w:t>
      </w:r>
      <w:proofErr w:type="spellEnd"/>
      <w:r>
        <w:rPr>
          <w:sz w:val="22"/>
          <w:szCs w:val="22"/>
          <w:lang w:val="it-IT"/>
        </w:rPr>
        <w:t xml:space="preserve"> </w:t>
      </w:r>
      <w:proofErr w:type="spellStart"/>
      <w:r w:rsidR="009E4B69" w:rsidRPr="005473EA">
        <w:rPr>
          <w:sz w:val="22"/>
          <w:szCs w:val="22"/>
          <w:lang w:val="it-IT"/>
        </w:rPr>
        <w:t>Fiasp</w:t>
      </w:r>
      <w:proofErr w:type="spellEnd"/>
      <w:r w:rsidR="009E4B69" w:rsidRPr="005473EA">
        <w:rPr>
          <w:sz w:val="22"/>
          <w:szCs w:val="22"/>
          <w:lang w:val="it-IT"/>
        </w:rPr>
        <w:t xml:space="preserve"> </w:t>
      </w:r>
      <w:proofErr w:type="spellStart"/>
      <w:r w:rsidR="009E4B69" w:rsidRPr="005473EA">
        <w:rPr>
          <w:sz w:val="22"/>
          <w:szCs w:val="22"/>
          <w:lang w:val="it-IT"/>
        </w:rPr>
        <w:t>primijenjen</w:t>
      </w:r>
      <w:proofErr w:type="spellEnd"/>
      <w:r w:rsidR="009E4B69" w:rsidRPr="005473EA">
        <w:rPr>
          <w:sz w:val="22"/>
          <w:szCs w:val="22"/>
          <w:lang w:val="it-IT"/>
        </w:rPr>
        <w:t xml:space="preserve"> </w:t>
      </w:r>
      <w:proofErr w:type="spellStart"/>
      <w:r w:rsidR="009E4B69" w:rsidRPr="005473EA">
        <w:rPr>
          <w:sz w:val="22"/>
          <w:szCs w:val="22"/>
          <w:lang w:val="it-IT"/>
        </w:rPr>
        <w:t>uz</w:t>
      </w:r>
      <w:proofErr w:type="spellEnd"/>
      <w:r w:rsidR="009E4B69" w:rsidRPr="005473EA">
        <w:rPr>
          <w:sz w:val="22"/>
          <w:szCs w:val="22"/>
          <w:lang w:val="it-IT"/>
        </w:rPr>
        <w:t xml:space="preserve"> </w:t>
      </w:r>
      <w:proofErr w:type="spellStart"/>
      <w:r w:rsidR="009E4B69" w:rsidRPr="005473EA">
        <w:rPr>
          <w:sz w:val="22"/>
          <w:szCs w:val="22"/>
          <w:lang w:val="it-IT"/>
        </w:rPr>
        <w:t>obrok</w:t>
      </w:r>
      <w:proofErr w:type="spellEnd"/>
      <w:r w:rsidR="009E4B69" w:rsidRPr="005473EA">
        <w:rPr>
          <w:sz w:val="22"/>
          <w:szCs w:val="22"/>
          <w:lang w:val="it-IT"/>
        </w:rPr>
        <w:t xml:space="preserve"> </w:t>
      </w:r>
      <w:proofErr w:type="spellStart"/>
      <w:r w:rsidR="00604114">
        <w:rPr>
          <w:sz w:val="22"/>
          <w:szCs w:val="22"/>
          <w:lang w:val="it-IT"/>
        </w:rPr>
        <w:t>pokazao</w:t>
      </w:r>
      <w:proofErr w:type="spellEnd"/>
      <w:r w:rsidR="009E4B69" w:rsidRPr="005473EA">
        <w:rPr>
          <w:sz w:val="22"/>
          <w:szCs w:val="22"/>
          <w:lang w:val="it-IT"/>
        </w:rPr>
        <w:t xml:space="preserve"> je </w:t>
      </w:r>
      <w:proofErr w:type="spellStart"/>
      <w:r w:rsidR="009E4B69" w:rsidRPr="005473EA">
        <w:rPr>
          <w:sz w:val="22"/>
          <w:szCs w:val="22"/>
          <w:lang w:val="it-IT"/>
        </w:rPr>
        <w:t>superiornu</w:t>
      </w:r>
      <w:proofErr w:type="spellEnd"/>
      <w:r w:rsidR="009E4B69" w:rsidRPr="005473EA">
        <w:rPr>
          <w:sz w:val="22"/>
          <w:szCs w:val="22"/>
          <w:lang w:val="it-IT"/>
        </w:rPr>
        <w:t xml:space="preserve"> </w:t>
      </w:r>
      <w:proofErr w:type="spellStart"/>
      <w:r w:rsidR="009E4B69" w:rsidRPr="005473EA">
        <w:rPr>
          <w:sz w:val="22"/>
          <w:szCs w:val="22"/>
          <w:lang w:val="it-IT"/>
        </w:rPr>
        <w:t>regulaciju</w:t>
      </w:r>
      <w:proofErr w:type="spellEnd"/>
      <w:r w:rsidR="009E4B69" w:rsidRPr="005473EA">
        <w:rPr>
          <w:sz w:val="22"/>
          <w:szCs w:val="22"/>
          <w:lang w:val="it-IT"/>
        </w:rPr>
        <w:t xml:space="preserve"> </w:t>
      </w:r>
      <w:proofErr w:type="spellStart"/>
      <w:r w:rsidR="009E4B69" w:rsidRPr="005473EA">
        <w:rPr>
          <w:sz w:val="22"/>
          <w:szCs w:val="22"/>
          <w:lang w:val="it-IT"/>
        </w:rPr>
        <w:t>glikemije</w:t>
      </w:r>
      <w:proofErr w:type="spellEnd"/>
      <w:r w:rsidR="009E4B69" w:rsidRPr="005473EA">
        <w:rPr>
          <w:sz w:val="22"/>
          <w:szCs w:val="22"/>
          <w:lang w:val="it-IT"/>
        </w:rPr>
        <w:t xml:space="preserve"> u </w:t>
      </w:r>
      <w:proofErr w:type="spellStart"/>
      <w:r w:rsidR="009E4B69" w:rsidRPr="005473EA">
        <w:rPr>
          <w:sz w:val="22"/>
          <w:szCs w:val="22"/>
          <w:lang w:val="it-IT"/>
        </w:rPr>
        <w:t>odnosu</w:t>
      </w:r>
      <w:proofErr w:type="spellEnd"/>
      <w:r w:rsidR="009E4B69" w:rsidRPr="005473EA">
        <w:rPr>
          <w:sz w:val="22"/>
          <w:szCs w:val="22"/>
          <w:lang w:val="it-IT"/>
        </w:rPr>
        <w:t xml:space="preserve"> </w:t>
      </w:r>
      <w:proofErr w:type="spellStart"/>
      <w:r w:rsidR="009E4B69" w:rsidRPr="005473EA">
        <w:rPr>
          <w:sz w:val="22"/>
          <w:szCs w:val="22"/>
          <w:lang w:val="it-IT"/>
        </w:rPr>
        <w:t>na</w:t>
      </w:r>
      <w:proofErr w:type="spellEnd"/>
      <w:r w:rsidR="009E4B69" w:rsidRPr="005473EA">
        <w:rPr>
          <w:sz w:val="22"/>
          <w:szCs w:val="22"/>
          <w:lang w:val="it-IT"/>
        </w:rPr>
        <w:t xml:space="preserve"> </w:t>
      </w:r>
      <w:proofErr w:type="spellStart"/>
      <w:r>
        <w:rPr>
          <w:sz w:val="22"/>
          <w:szCs w:val="22"/>
          <w:lang w:val="it-IT"/>
        </w:rPr>
        <w:t>lijek</w:t>
      </w:r>
      <w:proofErr w:type="spellEnd"/>
      <w:r>
        <w:rPr>
          <w:sz w:val="22"/>
          <w:szCs w:val="22"/>
          <w:lang w:val="it-IT"/>
        </w:rPr>
        <w:t xml:space="preserve"> </w:t>
      </w:r>
      <w:proofErr w:type="spellStart"/>
      <w:r w:rsidR="009E4B69" w:rsidRPr="005473EA">
        <w:rPr>
          <w:sz w:val="22"/>
          <w:szCs w:val="22"/>
          <w:lang w:val="it-IT"/>
        </w:rPr>
        <w:t>NovoRapid</w:t>
      </w:r>
      <w:proofErr w:type="spellEnd"/>
      <w:r w:rsidR="009E4B69" w:rsidRPr="005473EA">
        <w:rPr>
          <w:sz w:val="22"/>
          <w:szCs w:val="22"/>
          <w:lang w:val="it-IT"/>
        </w:rPr>
        <w:t xml:space="preserve"> </w:t>
      </w:r>
      <w:proofErr w:type="spellStart"/>
      <w:r w:rsidR="009E4B69" w:rsidRPr="005473EA">
        <w:rPr>
          <w:sz w:val="22"/>
          <w:szCs w:val="22"/>
          <w:lang w:val="it-IT"/>
        </w:rPr>
        <w:t>primijenjen</w:t>
      </w:r>
      <w:proofErr w:type="spellEnd"/>
      <w:r w:rsidR="009E4B69" w:rsidRPr="005473EA">
        <w:rPr>
          <w:sz w:val="22"/>
          <w:szCs w:val="22"/>
          <w:lang w:val="it-IT"/>
        </w:rPr>
        <w:t xml:space="preserve"> </w:t>
      </w:r>
      <w:proofErr w:type="spellStart"/>
      <w:r w:rsidR="009E4B69" w:rsidRPr="005473EA">
        <w:rPr>
          <w:sz w:val="22"/>
          <w:szCs w:val="22"/>
          <w:lang w:val="it-IT"/>
        </w:rPr>
        <w:t>uz</w:t>
      </w:r>
      <w:proofErr w:type="spellEnd"/>
      <w:r w:rsidR="009E4B69" w:rsidRPr="005473EA">
        <w:rPr>
          <w:sz w:val="22"/>
          <w:szCs w:val="22"/>
          <w:lang w:val="it-IT"/>
        </w:rPr>
        <w:t xml:space="preserve"> </w:t>
      </w:r>
      <w:proofErr w:type="spellStart"/>
      <w:r w:rsidR="009E4B69" w:rsidRPr="005473EA">
        <w:rPr>
          <w:sz w:val="22"/>
          <w:szCs w:val="22"/>
          <w:lang w:val="it-IT"/>
        </w:rPr>
        <w:t>obrok</w:t>
      </w:r>
      <w:proofErr w:type="spellEnd"/>
      <w:r w:rsidR="00604114">
        <w:rPr>
          <w:sz w:val="22"/>
          <w:szCs w:val="22"/>
          <w:lang w:val="it-IT"/>
        </w:rPr>
        <w:t xml:space="preserve">, u </w:t>
      </w:r>
      <w:proofErr w:type="spellStart"/>
      <w:r w:rsidR="00604114">
        <w:rPr>
          <w:sz w:val="22"/>
          <w:szCs w:val="22"/>
          <w:lang w:val="it-IT"/>
        </w:rPr>
        <w:t>pogledu</w:t>
      </w:r>
      <w:proofErr w:type="spellEnd"/>
      <w:r w:rsidR="009E4B69" w:rsidRPr="005473EA">
        <w:rPr>
          <w:sz w:val="22"/>
          <w:szCs w:val="22"/>
          <w:lang w:val="it-IT"/>
        </w:rPr>
        <w:t xml:space="preserve"> </w:t>
      </w:r>
      <w:proofErr w:type="spellStart"/>
      <w:r w:rsidR="009E4B69" w:rsidRPr="005473EA">
        <w:rPr>
          <w:sz w:val="22"/>
          <w:szCs w:val="22"/>
          <w:lang w:val="it-IT"/>
        </w:rPr>
        <w:t>promjen</w:t>
      </w:r>
      <w:r w:rsidR="00604114">
        <w:rPr>
          <w:sz w:val="22"/>
          <w:szCs w:val="22"/>
          <w:lang w:val="it-IT"/>
        </w:rPr>
        <w:t>e</w:t>
      </w:r>
      <w:proofErr w:type="spellEnd"/>
      <w:r w:rsidR="009E4B69" w:rsidRPr="005473EA">
        <w:rPr>
          <w:sz w:val="22"/>
          <w:szCs w:val="22"/>
          <w:lang w:val="it-IT"/>
        </w:rPr>
        <w:t xml:space="preserve"> </w:t>
      </w:r>
      <w:r w:rsidR="00604114" w:rsidRPr="007B05AF">
        <w:rPr>
          <w:sz w:val="22"/>
          <w:szCs w:val="22"/>
          <w:lang w:val="it-IT"/>
        </w:rPr>
        <w:t>HbA</w:t>
      </w:r>
      <w:r w:rsidR="00604114" w:rsidRPr="007B05AF">
        <w:rPr>
          <w:sz w:val="22"/>
          <w:szCs w:val="22"/>
          <w:vertAlign w:val="subscript"/>
          <w:lang w:val="it-IT"/>
        </w:rPr>
        <w:t>1c</w:t>
      </w:r>
      <w:r w:rsidR="009E4B69" w:rsidRPr="005473EA">
        <w:rPr>
          <w:sz w:val="22"/>
          <w:szCs w:val="22"/>
          <w:lang w:val="it-IT"/>
        </w:rPr>
        <w:t xml:space="preserve"> (</w:t>
      </w:r>
      <w:proofErr w:type="spellStart"/>
      <w:r w:rsidR="009E4B69" w:rsidRPr="005473EA">
        <w:rPr>
          <w:sz w:val="22"/>
          <w:szCs w:val="22"/>
          <w:lang w:val="it-IT"/>
        </w:rPr>
        <w:t>procijenjena</w:t>
      </w:r>
      <w:proofErr w:type="spellEnd"/>
      <w:r w:rsidR="009E4B69" w:rsidRPr="005473EA">
        <w:rPr>
          <w:sz w:val="22"/>
          <w:szCs w:val="22"/>
          <w:lang w:val="it-IT"/>
        </w:rPr>
        <w:t xml:space="preserve"> </w:t>
      </w:r>
      <w:proofErr w:type="spellStart"/>
      <w:r w:rsidR="009E4B69" w:rsidRPr="005473EA">
        <w:rPr>
          <w:sz w:val="22"/>
          <w:szCs w:val="22"/>
          <w:lang w:val="it-IT"/>
        </w:rPr>
        <w:t>razlika</w:t>
      </w:r>
      <w:proofErr w:type="spellEnd"/>
      <w:r w:rsidR="009E4B69" w:rsidRPr="005473EA">
        <w:rPr>
          <w:sz w:val="22"/>
          <w:szCs w:val="22"/>
          <w:lang w:val="it-IT"/>
        </w:rPr>
        <w:t xml:space="preserve"> </w:t>
      </w:r>
      <w:proofErr w:type="spellStart"/>
      <w:r w:rsidR="009E4B69" w:rsidRPr="005473EA">
        <w:rPr>
          <w:sz w:val="22"/>
          <w:szCs w:val="22"/>
          <w:lang w:val="it-IT"/>
        </w:rPr>
        <w:t>između</w:t>
      </w:r>
      <w:proofErr w:type="spellEnd"/>
      <w:r w:rsidR="009E4B69" w:rsidRPr="005473EA">
        <w:rPr>
          <w:sz w:val="22"/>
          <w:szCs w:val="22"/>
          <w:lang w:val="it-IT"/>
        </w:rPr>
        <w:t xml:space="preserve"> </w:t>
      </w:r>
      <w:proofErr w:type="spellStart"/>
      <w:r w:rsidR="009E4B69" w:rsidRPr="005473EA">
        <w:rPr>
          <w:sz w:val="22"/>
          <w:szCs w:val="22"/>
          <w:lang w:val="it-IT"/>
        </w:rPr>
        <w:t>liječenja</w:t>
      </w:r>
      <w:proofErr w:type="spellEnd"/>
      <w:r w:rsidR="009E4B69" w:rsidRPr="005473EA">
        <w:rPr>
          <w:sz w:val="22"/>
          <w:szCs w:val="22"/>
          <w:lang w:val="it-IT"/>
        </w:rPr>
        <w:t>: -0,17% [-0,30; -0,03]</w:t>
      </w:r>
      <w:r w:rsidR="00604114" w:rsidRPr="007B05AF">
        <w:rPr>
          <w:sz w:val="22"/>
          <w:szCs w:val="22"/>
          <w:vertAlign w:val="subscript"/>
          <w:lang w:val="it-IT"/>
        </w:rPr>
        <w:t>95% CI</w:t>
      </w:r>
      <w:r w:rsidR="009E4B69" w:rsidRPr="005473EA">
        <w:rPr>
          <w:sz w:val="22"/>
          <w:szCs w:val="22"/>
          <w:lang w:val="it-IT"/>
        </w:rPr>
        <w:t xml:space="preserve">). </w:t>
      </w:r>
      <w:proofErr w:type="spellStart"/>
      <w:r>
        <w:rPr>
          <w:sz w:val="22"/>
          <w:szCs w:val="22"/>
          <w:lang w:val="it-IT"/>
        </w:rPr>
        <w:t>Lijek</w:t>
      </w:r>
      <w:proofErr w:type="spellEnd"/>
      <w:r>
        <w:rPr>
          <w:sz w:val="22"/>
          <w:szCs w:val="22"/>
          <w:lang w:val="it-IT"/>
        </w:rPr>
        <w:t xml:space="preserve"> </w:t>
      </w:r>
      <w:proofErr w:type="spellStart"/>
      <w:r w:rsidR="009E4B69" w:rsidRPr="005473EA">
        <w:rPr>
          <w:sz w:val="22"/>
          <w:szCs w:val="22"/>
          <w:lang w:val="it-IT"/>
        </w:rPr>
        <w:t>Fiasp</w:t>
      </w:r>
      <w:proofErr w:type="spellEnd"/>
      <w:r w:rsidR="009E4B69" w:rsidRPr="005473EA">
        <w:rPr>
          <w:sz w:val="22"/>
          <w:szCs w:val="22"/>
          <w:lang w:val="it-IT"/>
        </w:rPr>
        <w:t xml:space="preserve"> </w:t>
      </w:r>
      <w:proofErr w:type="spellStart"/>
      <w:r w:rsidR="009E4B69" w:rsidRPr="005473EA">
        <w:rPr>
          <w:sz w:val="22"/>
          <w:szCs w:val="22"/>
          <w:lang w:val="it-IT"/>
        </w:rPr>
        <w:t>primijenjen</w:t>
      </w:r>
      <w:proofErr w:type="spellEnd"/>
      <w:r w:rsidR="009E4B69" w:rsidRPr="005473EA">
        <w:rPr>
          <w:sz w:val="22"/>
          <w:szCs w:val="22"/>
          <w:lang w:val="it-IT"/>
        </w:rPr>
        <w:t xml:space="preserve"> </w:t>
      </w:r>
      <w:proofErr w:type="spellStart"/>
      <w:r w:rsidR="009E4B69" w:rsidRPr="005473EA">
        <w:rPr>
          <w:sz w:val="22"/>
          <w:szCs w:val="22"/>
          <w:lang w:val="it-IT"/>
        </w:rPr>
        <w:t>nakon</w:t>
      </w:r>
      <w:proofErr w:type="spellEnd"/>
      <w:r w:rsidR="009E4B69" w:rsidRPr="005473EA">
        <w:rPr>
          <w:sz w:val="22"/>
          <w:szCs w:val="22"/>
          <w:lang w:val="it-IT"/>
        </w:rPr>
        <w:t xml:space="preserve"> </w:t>
      </w:r>
      <w:proofErr w:type="spellStart"/>
      <w:r w:rsidR="009E4B69" w:rsidRPr="005473EA">
        <w:rPr>
          <w:sz w:val="22"/>
          <w:szCs w:val="22"/>
          <w:lang w:val="it-IT"/>
        </w:rPr>
        <w:t>obroka</w:t>
      </w:r>
      <w:proofErr w:type="spellEnd"/>
      <w:r w:rsidR="009E4B69" w:rsidRPr="005473EA">
        <w:rPr>
          <w:sz w:val="22"/>
          <w:szCs w:val="22"/>
          <w:lang w:val="it-IT"/>
        </w:rPr>
        <w:t xml:space="preserve"> </w:t>
      </w:r>
      <w:proofErr w:type="spellStart"/>
      <w:r w:rsidR="009E4B69" w:rsidRPr="005473EA">
        <w:rPr>
          <w:sz w:val="22"/>
          <w:szCs w:val="22"/>
          <w:lang w:val="it-IT"/>
        </w:rPr>
        <w:t>ostvario</w:t>
      </w:r>
      <w:proofErr w:type="spellEnd"/>
      <w:r w:rsidR="009E4B69" w:rsidRPr="005473EA">
        <w:rPr>
          <w:sz w:val="22"/>
          <w:szCs w:val="22"/>
          <w:lang w:val="it-IT"/>
        </w:rPr>
        <w:t xml:space="preserve"> je </w:t>
      </w:r>
      <w:proofErr w:type="spellStart"/>
      <w:r w:rsidR="009E4B69" w:rsidRPr="005473EA">
        <w:rPr>
          <w:sz w:val="22"/>
          <w:szCs w:val="22"/>
          <w:lang w:val="it-IT"/>
        </w:rPr>
        <w:t>neinferiornu</w:t>
      </w:r>
      <w:proofErr w:type="spellEnd"/>
      <w:r w:rsidR="009E4B69" w:rsidRPr="005473EA">
        <w:rPr>
          <w:sz w:val="22"/>
          <w:szCs w:val="22"/>
          <w:lang w:val="it-IT"/>
        </w:rPr>
        <w:t xml:space="preserve"> </w:t>
      </w:r>
      <w:proofErr w:type="spellStart"/>
      <w:r w:rsidR="009E4B69" w:rsidRPr="005473EA">
        <w:rPr>
          <w:sz w:val="22"/>
          <w:szCs w:val="22"/>
          <w:lang w:val="it-IT"/>
        </w:rPr>
        <w:t>regulaciju</w:t>
      </w:r>
      <w:proofErr w:type="spellEnd"/>
      <w:r w:rsidR="009E4B69" w:rsidRPr="005473EA">
        <w:rPr>
          <w:sz w:val="22"/>
          <w:szCs w:val="22"/>
          <w:lang w:val="it-IT"/>
        </w:rPr>
        <w:t xml:space="preserve"> </w:t>
      </w:r>
      <w:proofErr w:type="spellStart"/>
      <w:r w:rsidR="009E4B69" w:rsidRPr="005473EA">
        <w:rPr>
          <w:sz w:val="22"/>
          <w:szCs w:val="22"/>
          <w:lang w:val="it-IT"/>
        </w:rPr>
        <w:t>glikemije</w:t>
      </w:r>
      <w:proofErr w:type="spellEnd"/>
      <w:r w:rsidR="009E4B69" w:rsidRPr="005473EA">
        <w:rPr>
          <w:sz w:val="22"/>
          <w:szCs w:val="22"/>
          <w:lang w:val="it-IT"/>
        </w:rPr>
        <w:t xml:space="preserve"> u </w:t>
      </w:r>
      <w:proofErr w:type="spellStart"/>
      <w:r w:rsidR="00A83325">
        <w:rPr>
          <w:sz w:val="22"/>
          <w:szCs w:val="22"/>
          <w:lang w:val="it-IT"/>
        </w:rPr>
        <w:t>poređenju</w:t>
      </w:r>
      <w:proofErr w:type="spellEnd"/>
      <w:r w:rsidR="009E4B69" w:rsidRPr="005473EA">
        <w:rPr>
          <w:sz w:val="22"/>
          <w:szCs w:val="22"/>
          <w:lang w:val="it-IT"/>
        </w:rPr>
        <w:t xml:space="preserve"> s</w:t>
      </w:r>
      <w:r w:rsidR="00A83325">
        <w:rPr>
          <w:sz w:val="22"/>
          <w:szCs w:val="22"/>
          <w:lang w:val="it-IT"/>
        </w:rPr>
        <w:t>a</w:t>
      </w:r>
      <w:r w:rsidR="009E4B69" w:rsidRPr="005473EA">
        <w:rPr>
          <w:sz w:val="22"/>
          <w:szCs w:val="22"/>
          <w:lang w:val="it-IT"/>
        </w:rPr>
        <w:t xml:space="preserve"> </w:t>
      </w:r>
      <w:proofErr w:type="spellStart"/>
      <w:r w:rsidR="009E4B69" w:rsidRPr="005473EA">
        <w:rPr>
          <w:sz w:val="22"/>
          <w:szCs w:val="22"/>
          <w:lang w:val="it-IT"/>
        </w:rPr>
        <w:t>lijekom</w:t>
      </w:r>
      <w:proofErr w:type="spellEnd"/>
      <w:r w:rsidR="009E4B69" w:rsidRPr="005473EA">
        <w:rPr>
          <w:sz w:val="22"/>
          <w:szCs w:val="22"/>
          <w:lang w:val="it-IT"/>
        </w:rPr>
        <w:t xml:space="preserve"> </w:t>
      </w:r>
      <w:proofErr w:type="spellStart"/>
      <w:r w:rsidR="009E4B69" w:rsidRPr="005473EA">
        <w:rPr>
          <w:sz w:val="22"/>
          <w:szCs w:val="22"/>
          <w:lang w:val="it-IT"/>
        </w:rPr>
        <w:t>NovoRapid</w:t>
      </w:r>
      <w:proofErr w:type="spellEnd"/>
      <w:r w:rsidR="009E4B69" w:rsidRPr="005473EA">
        <w:rPr>
          <w:sz w:val="22"/>
          <w:szCs w:val="22"/>
          <w:lang w:val="it-IT"/>
        </w:rPr>
        <w:t xml:space="preserve"> </w:t>
      </w:r>
      <w:proofErr w:type="spellStart"/>
      <w:r w:rsidR="009E4B69" w:rsidRPr="005473EA">
        <w:rPr>
          <w:sz w:val="22"/>
          <w:szCs w:val="22"/>
          <w:lang w:val="it-IT"/>
        </w:rPr>
        <w:t>primijenjenim</w:t>
      </w:r>
      <w:proofErr w:type="spellEnd"/>
      <w:r w:rsidR="009E4B69" w:rsidRPr="005473EA">
        <w:rPr>
          <w:sz w:val="22"/>
          <w:szCs w:val="22"/>
          <w:lang w:val="it-IT"/>
        </w:rPr>
        <w:t xml:space="preserve"> </w:t>
      </w:r>
      <w:proofErr w:type="spellStart"/>
      <w:r w:rsidR="009E4B69" w:rsidRPr="005473EA">
        <w:rPr>
          <w:sz w:val="22"/>
          <w:szCs w:val="22"/>
          <w:lang w:val="it-IT"/>
        </w:rPr>
        <w:t>uz</w:t>
      </w:r>
      <w:proofErr w:type="spellEnd"/>
      <w:r w:rsidR="009E4B69" w:rsidRPr="005473EA">
        <w:rPr>
          <w:sz w:val="22"/>
          <w:szCs w:val="22"/>
          <w:lang w:val="it-IT"/>
        </w:rPr>
        <w:t xml:space="preserve"> </w:t>
      </w:r>
      <w:proofErr w:type="spellStart"/>
      <w:r w:rsidR="009E4B69" w:rsidRPr="005473EA">
        <w:rPr>
          <w:sz w:val="22"/>
          <w:szCs w:val="22"/>
          <w:lang w:val="it-IT"/>
        </w:rPr>
        <w:t>obrok</w:t>
      </w:r>
      <w:proofErr w:type="spellEnd"/>
      <w:r w:rsidR="009E4B69" w:rsidRPr="005473EA">
        <w:rPr>
          <w:sz w:val="22"/>
          <w:szCs w:val="22"/>
          <w:lang w:val="it-IT"/>
        </w:rPr>
        <w:t xml:space="preserve"> (</w:t>
      </w:r>
      <w:proofErr w:type="spellStart"/>
      <w:r w:rsidR="009E4B69" w:rsidRPr="005473EA">
        <w:rPr>
          <w:sz w:val="22"/>
          <w:szCs w:val="22"/>
          <w:lang w:val="it-IT"/>
        </w:rPr>
        <w:t>procijenjena</w:t>
      </w:r>
      <w:proofErr w:type="spellEnd"/>
      <w:r w:rsidR="009E4B69" w:rsidRPr="005473EA">
        <w:rPr>
          <w:sz w:val="22"/>
          <w:szCs w:val="22"/>
          <w:lang w:val="it-IT"/>
        </w:rPr>
        <w:t xml:space="preserve"> </w:t>
      </w:r>
      <w:proofErr w:type="spellStart"/>
      <w:r w:rsidR="009E4B69" w:rsidRPr="005473EA">
        <w:rPr>
          <w:sz w:val="22"/>
          <w:szCs w:val="22"/>
          <w:lang w:val="it-IT"/>
        </w:rPr>
        <w:t>razlika</w:t>
      </w:r>
      <w:proofErr w:type="spellEnd"/>
      <w:r w:rsidR="009E4B69" w:rsidRPr="005473EA">
        <w:rPr>
          <w:sz w:val="22"/>
          <w:szCs w:val="22"/>
          <w:lang w:val="it-IT"/>
        </w:rPr>
        <w:t xml:space="preserve"> </w:t>
      </w:r>
      <w:proofErr w:type="spellStart"/>
      <w:r w:rsidR="009E4B69" w:rsidRPr="005473EA">
        <w:rPr>
          <w:sz w:val="22"/>
          <w:szCs w:val="22"/>
          <w:lang w:val="it-IT"/>
        </w:rPr>
        <w:t>između</w:t>
      </w:r>
      <w:proofErr w:type="spellEnd"/>
      <w:r w:rsidR="009E4B69" w:rsidRPr="005473EA">
        <w:rPr>
          <w:sz w:val="22"/>
          <w:szCs w:val="22"/>
          <w:lang w:val="it-IT"/>
        </w:rPr>
        <w:t xml:space="preserve"> </w:t>
      </w:r>
      <w:proofErr w:type="spellStart"/>
      <w:r w:rsidR="009E4B69" w:rsidRPr="005473EA">
        <w:rPr>
          <w:sz w:val="22"/>
          <w:szCs w:val="22"/>
          <w:lang w:val="it-IT"/>
        </w:rPr>
        <w:t>liječenja</w:t>
      </w:r>
      <w:proofErr w:type="spellEnd"/>
      <w:r w:rsidR="009E4B69" w:rsidRPr="005473EA">
        <w:rPr>
          <w:sz w:val="22"/>
          <w:szCs w:val="22"/>
          <w:lang w:val="it-IT"/>
        </w:rPr>
        <w:t>: 0,13% [-0,01; 0,26]</w:t>
      </w:r>
      <w:r w:rsidR="00604114" w:rsidRPr="00C67CA7">
        <w:rPr>
          <w:sz w:val="22"/>
          <w:szCs w:val="22"/>
          <w:vertAlign w:val="subscript"/>
          <w:lang w:val="it-IT"/>
        </w:rPr>
        <w:t>95% CI</w:t>
      </w:r>
      <w:r w:rsidR="009E4B69" w:rsidRPr="005473EA">
        <w:rPr>
          <w:sz w:val="22"/>
          <w:szCs w:val="22"/>
          <w:lang w:val="it-IT"/>
        </w:rPr>
        <w:t>).</w:t>
      </w:r>
    </w:p>
    <w:p w14:paraId="49132A22" w14:textId="78A4A13C" w:rsidR="009E4B69" w:rsidRPr="005473EA" w:rsidRDefault="00EE2CF5" w:rsidP="009E4B69">
      <w:pPr>
        <w:tabs>
          <w:tab w:val="left" w:pos="540"/>
          <w:tab w:val="left" w:pos="569"/>
        </w:tabs>
        <w:jc w:val="both"/>
        <w:rPr>
          <w:sz w:val="22"/>
          <w:szCs w:val="22"/>
          <w:lang w:val="it-IT"/>
        </w:rPr>
      </w:pPr>
      <w:proofErr w:type="spellStart"/>
      <w:r>
        <w:rPr>
          <w:sz w:val="22"/>
          <w:szCs w:val="22"/>
          <w:lang w:val="it-IT"/>
        </w:rPr>
        <w:t>Lijek</w:t>
      </w:r>
      <w:proofErr w:type="spellEnd"/>
      <w:r>
        <w:rPr>
          <w:sz w:val="22"/>
          <w:szCs w:val="22"/>
          <w:lang w:val="it-IT"/>
        </w:rPr>
        <w:t xml:space="preserve"> </w:t>
      </w:r>
      <w:proofErr w:type="spellStart"/>
      <w:r w:rsidR="009E4B69" w:rsidRPr="005473EA">
        <w:rPr>
          <w:sz w:val="22"/>
          <w:szCs w:val="22"/>
          <w:lang w:val="it-IT"/>
        </w:rPr>
        <w:t>Fiasp</w:t>
      </w:r>
      <w:proofErr w:type="spellEnd"/>
      <w:r w:rsidR="009E4B69" w:rsidRPr="005473EA">
        <w:rPr>
          <w:sz w:val="22"/>
          <w:szCs w:val="22"/>
          <w:lang w:val="it-IT"/>
        </w:rPr>
        <w:t xml:space="preserve"> </w:t>
      </w:r>
      <w:proofErr w:type="spellStart"/>
      <w:r w:rsidR="009E4B69" w:rsidRPr="005473EA">
        <w:rPr>
          <w:sz w:val="22"/>
          <w:szCs w:val="22"/>
          <w:lang w:val="it-IT"/>
        </w:rPr>
        <w:t>primijenjen</w:t>
      </w:r>
      <w:proofErr w:type="spellEnd"/>
      <w:r w:rsidR="009E4B69" w:rsidRPr="005473EA">
        <w:rPr>
          <w:sz w:val="22"/>
          <w:szCs w:val="22"/>
          <w:lang w:val="it-IT"/>
        </w:rPr>
        <w:t xml:space="preserve"> </w:t>
      </w:r>
      <w:proofErr w:type="spellStart"/>
      <w:r w:rsidR="009E4B69" w:rsidRPr="005473EA">
        <w:rPr>
          <w:sz w:val="22"/>
          <w:szCs w:val="22"/>
          <w:lang w:val="it-IT"/>
        </w:rPr>
        <w:t>uz</w:t>
      </w:r>
      <w:proofErr w:type="spellEnd"/>
      <w:r w:rsidR="009E4B69" w:rsidRPr="005473EA">
        <w:rPr>
          <w:sz w:val="22"/>
          <w:szCs w:val="22"/>
          <w:lang w:val="it-IT"/>
        </w:rPr>
        <w:t xml:space="preserve"> </w:t>
      </w:r>
      <w:proofErr w:type="spellStart"/>
      <w:r w:rsidR="009E4B69" w:rsidRPr="005473EA">
        <w:rPr>
          <w:sz w:val="22"/>
          <w:szCs w:val="22"/>
          <w:lang w:val="it-IT"/>
        </w:rPr>
        <w:t>obrok</w:t>
      </w:r>
      <w:proofErr w:type="spellEnd"/>
      <w:r w:rsidR="009E4B69" w:rsidRPr="005473EA">
        <w:rPr>
          <w:sz w:val="22"/>
          <w:szCs w:val="22"/>
          <w:lang w:val="it-IT"/>
        </w:rPr>
        <w:t xml:space="preserve"> </w:t>
      </w:r>
      <w:proofErr w:type="spellStart"/>
      <w:r w:rsidR="009E4B69" w:rsidRPr="005473EA">
        <w:rPr>
          <w:sz w:val="22"/>
          <w:szCs w:val="22"/>
          <w:lang w:val="it-IT"/>
        </w:rPr>
        <w:t>doveo</w:t>
      </w:r>
      <w:proofErr w:type="spellEnd"/>
      <w:r w:rsidR="009E4B69" w:rsidRPr="005473EA">
        <w:rPr>
          <w:sz w:val="22"/>
          <w:szCs w:val="22"/>
          <w:lang w:val="it-IT"/>
        </w:rPr>
        <w:t xml:space="preserve"> je do </w:t>
      </w:r>
      <w:proofErr w:type="spellStart"/>
      <w:r w:rsidR="009E4B69" w:rsidRPr="005473EA">
        <w:rPr>
          <w:sz w:val="22"/>
          <w:szCs w:val="22"/>
          <w:lang w:val="it-IT"/>
        </w:rPr>
        <w:t>statistički</w:t>
      </w:r>
      <w:proofErr w:type="spellEnd"/>
      <w:r w:rsidR="009E4B69" w:rsidRPr="005473EA">
        <w:rPr>
          <w:sz w:val="22"/>
          <w:szCs w:val="22"/>
          <w:lang w:val="it-IT"/>
        </w:rPr>
        <w:t xml:space="preserve"> </w:t>
      </w:r>
      <w:proofErr w:type="spellStart"/>
      <w:r w:rsidR="009E4B69" w:rsidRPr="005473EA">
        <w:rPr>
          <w:sz w:val="22"/>
          <w:szCs w:val="22"/>
          <w:lang w:val="it-IT"/>
        </w:rPr>
        <w:t>značajnog</w:t>
      </w:r>
      <w:proofErr w:type="spellEnd"/>
      <w:r w:rsidR="009E4B69" w:rsidRPr="005473EA">
        <w:rPr>
          <w:sz w:val="22"/>
          <w:szCs w:val="22"/>
          <w:lang w:val="it-IT"/>
        </w:rPr>
        <w:t xml:space="preserve"> </w:t>
      </w:r>
      <w:proofErr w:type="spellStart"/>
      <w:r w:rsidR="009E4B69" w:rsidRPr="005473EA">
        <w:rPr>
          <w:sz w:val="22"/>
          <w:szCs w:val="22"/>
          <w:lang w:val="it-IT"/>
        </w:rPr>
        <w:t>poboljšanja</w:t>
      </w:r>
      <w:proofErr w:type="spellEnd"/>
      <w:r w:rsidR="009E4B69" w:rsidRPr="005473EA">
        <w:rPr>
          <w:sz w:val="22"/>
          <w:szCs w:val="22"/>
          <w:lang w:val="it-IT"/>
        </w:rPr>
        <w:t xml:space="preserve"> </w:t>
      </w:r>
      <w:proofErr w:type="spellStart"/>
      <w:r w:rsidR="009E4B69" w:rsidRPr="005473EA">
        <w:rPr>
          <w:sz w:val="22"/>
          <w:szCs w:val="22"/>
          <w:lang w:val="it-IT"/>
        </w:rPr>
        <w:t>srednje</w:t>
      </w:r>
      <w:proofErr w:type="spellEnd"/>
      <w:r w:rsidR="009E4B69" w:rsidRPr="005473EA">
        <w:rPr>
          <w:sz w:val="22"/>
          <w:szCs w:val="22"/>
          <w:lang w:val="it-IT"/>
        </w:rPr>
        <w:t xml:space="preserve"> </w:t>
      </w:r>
      <w:proofErr w:type="spellStart"/>
      <w:r w:rsidR="009E4B69" w:rsidRPr="005473EA">
        <w:rPr>
          <w:sz w:val="22"/>
          <w:szCs w:val="22"/>
          <w:lang w:val="it-IT"/>
        </w:rPr>
        <w:t>vrijednost</w:t>
      </w:r>
      <w:proofErr w:type="spellEnd"/>
      <w:r w:rsidR="009E4B69" w:rsidRPr="005473EA">
        <w:rPr>
          <w:sz w:val="22"/>
          <w:szCs w:val="22"/>
          <w:lang w:val="it-IT"/>
        </w:rPr>
        <w:t xml:space="preserve"> </w:t>
      </w:r>
      <w:proofErr w:type="spellStart"/>
      <w:r w:rsidR="009E4B69" w:rsidRPr="005473EA">
        <w:rPr>
          <w:sz w:val="22"/>
          <w:szCs w:val="22"/>
          <w:lang w:val="it-IT"/>
        </w:rPr>
        <w:t>porasta</w:t>
      </w:r>
      <w:proofErr w:type="spellEnd"/>
      <w:r w:rsidR="009E4B69" w:rsidRPr="005473EA">
        <w:rPr>
          <w:sz w:val="22"/>
          <w:szCs w:val="22"/>
          <w:lang w:val="it-IT"/>
        </w:rPr>
        <w:t xml:space="preserve"> </w:t>
      </w:r>
      <w:proofErr w:type="spellStart"/>
      <w:r w:rsidR="007140B9">
        <w:rPr>
          <w:sz w:val="22"/>
          <w:szCs w:val="22"/>
          <w:lang w:val="it-IT"/>
        </w:rPr>
        <w:t>nivoa</w:t>
      </w:r>
      <w:proofErr w:type="spellEnd"/>
      <w:r w:rsidR="009E4B69" w:rsidRPr="005473EA">
        <w:rPr>
          <w:sz w:val="22"/>
          <w:szCs w:val="22"/>
          <w:lang w:val="it-IT"/>
        </w:rPr>
        <w:t xml:space="preserve"> </w:t>
      </w:r>
      <w:proofErr w:type="spellStart"/>
      <w:r w:rsidR="009E4B69" w:rsidRPr="005473EA">
        <w:rPr>
          <w:sz w:val="22"/>
          <w:szCs w:val="22"/>
          <w:lang w:val="it-IT"/>
        </w:rPr>
        <w:t>glukoze</w:t>
      </w:r>
      <w:proofErr w:type="spellEnd"/>
      <w:r w:rsidR="009E4B69" w:rsidRPr="005473EA">
        <w:rPr>
          <w:sz w:val="22"/>
          <w:szCs w:val="22"/>
          <w:lang w:val="it-IT"/>
        </w:rPr>
        <w:t xml:space="preserve"> 1 </w:t>
      </w:r>
      <w:proofErr w:type="spellStart"/>
      <w:r w:rsidR="009E4B69" w:rsidRPr="005473EA">
        <w:rPr>
          <w:sz w:val="22"/>
          <w:szCs w:val="22"/>
          <w:lang w:val="it-IT"/>
        </w:rPr>
        <w:t>sat</w:t>
      </w:r>
      <w:proofErr w:type="spellEnd"/>
      <w:r w:rsidR="009E4B69" w:rsidRPr="005473EA">
        <w:rPr>
          <w:sz w:val="22"/>
          <w:szCs w:val="22"/>
          <w:lang w:val="it-IT"/>
        </w:rPr>
        <w:t xml:space="preserve"> </w:t>
      </w:r>
      <w:proofErr w:type="spellStart"/>
      <w:r w:rsidR="009E4B69" w:rsidRPr="005473EA">
        <w:rPr>
          <w:sz w:val="22"/>
          <w:szCs w:val="22"/>
          <w:lang w:val="it-IT"/>
        </w:rPr>
        <w:t>nakon</w:t>
      </w:r>
      <w:proofErr w:type="spellEnd"/>
      <w:r w:rsidR="009E4B69" w:rsidRPr="005473EA">
        <w:rPr>
          <w:sz w:val="22"/>
          <w:szCs w:val="22"/>
          <w:lang w:val="it-IT"/>
        </w:rPr>
        <w:t xml:space="preserve"> </w:t>
      </w:r>
      <w:proofErr w:type="spellStart"/>
      <w:r w:rsidR="009E4B69" w:rsidRPr="005473EA">
        <w:rPr>
          <w:sz w:val="22"/>
          <w:szCs w:val="22"/>
          <w:lang w:val="it-IT"/>
        </w:rPr>
        <w:t>obroka</w:t>
      </w:r>
      <w:proofErr w:type="spellEnd"/>
      <w:r w:rsidR="009E4B69" w:rsidRPr="005473EA">
        <w:rPr>
          <w:sz w:val="22"/>
          <w:szCs w:val="22"/>
          <w:lang w:val="it-IT"/>
        </w:rPr>
        <w:t xml:space="preserve"> </w:t>
      </w:r>
      <w:r w:rsidR="005B32C3">
        <w:rPr>
          <w:sz w:val="22"/>
          <w:szCs w:val="22"/>
          <w:lang w:val="it-IT"/>
        </w:rPr>
        <w:t>za</w:t>
      </w:r>
      <w:r w:rsidR="009E4B69" w:rsidRPr="005473EA">
        <w:rPr>
          <w:sz w:val="22"/>
          <w:szCs w:val="22"/>
          <w:lang w:val="it-IT"/>
        </w:rPr>
        <w:t xml:space="preserve"> </w:t>
      </w:r>
      <w:proofErr w:type="spellStart"/>
      <w:r w:rsidR="009E4B69" w:rsidRPr="005473EA">
        <w:rPr>
          <w:sz w:val="22"/>
          <w:szCs w:val="22"/>
          <w:lang w:val="it-IT"/>
        </w:rPr>
        <w:t>sva</w:t>
      </w:r>
      <w:proofErr w:type="spellEnd"/>
      <w:r w:rsidR="009E4B69" w:rsidRPr="005473EA">
        <w:rPr>
          <w:sz w:val="22"/>
          <w:szCs w:val="22"/>
          <w:lang w:val="it-IT"/>
        </w:rPr>
        <w:t xml:space="preserve"> tri </w:t>
      </w:r>
      <w:proofErr w:type="spellStart"/>
      <w:r w:rsidR="009E4B69" w:rsidRPr="005473EA">
        <w:rPr>
          <w:sz w:val="22"/>
          <w:szCs w:val="22"/>
          <w:lang w:val="it-IT"/>
        </w:rPr>
        <w:t>glavna</w:t>
      </w:r>
      <w:proofErr w:type="spellEnd"/>
      <w:r w:rsidR="009E4B69" w:rsidRPr="005473EA">
        <w:rPr>
          <w:sz w:val="22"/>
          <w:szCs w:val="22"/>
          <w:lang w:val="it-IT"/>
        </w:rPr>
        <w:t xml:space="preserve"> </w:t>
      </w:r>
      <w:proofErr w:type="spellStart"/>
      <w:r w:rsidR="009E4B69" w:rsidRPr="005473EA">
        <w:rPr>
          <w:sz w:val="22"/>
          <w:szCs w:val="22"/>
          <w:lang w:val="it-IT"/>
        </w:rPr>
        <w:t>obroka</w:t>
      </w:r>
      <w:proofErr w:type="spellEnd"/>
      <w:r w:rsidR="009E4B69" w:rsidRPr="005473EA">
        <w:rPr>
          <w:sz w:val="22"/>
          <w:szCs w:val="22"/>
          <w:lang w:val="it-IT"/>
        </w:rPr>
        <w:t xml:space="preserve"> u </w:t>
      </w:r>
      <w:proofErr w:type="spellStart"/>
      <w:r w:rsidR="007140B9">
        <w:rPr>
          <w:sz w:val="22"/>
          <w:szCs w:val="22"/>
          <w:lang w:val="it-IT"/>
        </w:rPr>
        <w:t>poređenju</w:t>
      </w:r>
      <w:proofErr w:type="spellEnd"/>
      <w:r w:rsidR="009E4B69" w:rsidRPr="005473EA">
        <w:rPr>
          <w:sz w:val="22"/>
          <w:szCs w:val="22"/>
          <w:lang w:val="it-IT"/>
        </w:rPr>
        <w:t xml:space="preserve"> s</w:t>
      </w:r>
      <w:r w:rsidR="007140B9">
        <w:rPr>
          <w:sz w:val="22"/>
          <w:szCs w:val="22"/>
          <w:lang w:val="it-IT"/>
        </w:rPr>
        <w:t>a</w:t>
      </w:r>
      <w:r w:rsidR="009E4B69" w:rsidRPr="005473EA">
        <w:rPr>
          <w:sz w:val="22"/>
          <w:szCs w:val="22"/>
          <w:lang w:val="it-IT"/>
        </w:rPr>
        <w:t xml:space="preserve"> </w:t>
      </w:r>
      <w:proofErr w:type="spellStart"/>
      <w:r w:rsidR="009E4B69" w:rsidRPr="005473EA">
        <w:rPr>
          <w:sz w:val="22"/>
          <w:szCs w:val="22"/>
          <w:lang w:val="it-IT"/>
        </w:rPr>
        <w:t>lijekom</w:t>
      </w:r>
      <w:proofErr w:type="spellEnd"/>
      <w:r w:rsidR="009E4B69" w:rsidRPr="005473EA">
        <w:rPr>
          <w:sz w:val="22"/>
          <w:szCs w:val="22"/>
          <w:lang w:val="it-IT"/>
        </w:rPr>
        <w:t xml:space="preserve"> </w:t>
      </w:r>
      <w:proofErr w:type="spellStart"/>
      <w:r w:rsidR="009E4B69" w:rsidRPr="005473EA">
        <w:rPr>
          <w:sz w:val="22"/>
          <w:szCs w:val="22"/>
          <w:lang w:val="it-IT"/>
        </w:rPr>
        <w:t>NovoRapid</w:t>
      </w:r>
      <w:proofErr w:type="spellEnd"/>
      <w:r w:rsidR="009E4B69" w:rsidRPr="005473EA">
        <w:rPr>
          <w:sz w:val="22"/>
          <w:szCs w:val="22"/>
          <w:lang w:val="it-IT"/>
        </w:rPr>
        <w:t xml:space="preserve"> (prema </w:t>
      </w:r>
      <w:proofErr w:type="spellStart"/>
      <w:r w:rsidR="009E4B69" w:rsidRPr="005473EA">
        <w:rPr>
          <w:sz w:val="22"/>
          <w:szCs w:val="22"/>
          <w:lang w:val="it-IT"/>
        </w:rPr>
        <w:t>samostalno</w:t>
      </w:r>
      <w:proofErr w:type="spellEnd"/>
      <w:r w:rsidR="009E4B69" w:rsidRPr="005473EA">
        <w:rPr>
          <w:sz w:val="22"/>
          <w:szCs w:val="22"/>
          <w:lang w:val="it-IT"/>
        </w:rPr>
        <w:t xml:space="preserve"> </w:t>
      </w:r>
      <w:proofErr w:type="spellStart"/>
      <w:r w:rsidR="009E4B69" w:rsidRPr="005473EA">
        <w:rPr>
          <w:sz w:val="22"/>
          <w:szCs w:val="22"/>
          <w:lang w:val="it-IT"/>
        </w:rPr>
        <w:t>izmjereno</w:t>
      </w:r>
      <w:r w:rsidR="007140B9">
        <w:rPr>
          <w:sz w:val="22"/>
          <w:szCs w:val="22"/>
          <w:lang w:val="it-IT"/>
        </w:rPr>
        <w:t>m</w:t>
      </w:r>
      <w:proofErr w:type="spellEnd"/>
      <w:r w:rsidR="007140B9">
        <w:rPr>
          <w:sz w:val="22"/>
          <w:szCs w:val="22"/>
          <w:lang w:val="it-IT"/>
        </w:rPr>
        <w:t xml:space="preserve"> </w:t>
      </w:r>
      <w:proofErr w:type="spellStart"/>
      <w:r w:rsidR="007140B9">
        <w:rPr>
          <w:sz w:val="22"/>
          <w:szCs w:val="22"/>
          <w:lang w:val="it-IT"/>
        </w:rPr>
        <w:t>nivou</w:t>
      </w:r>
      <w:proofErr w:type="spellEnd"/>
      <w:r w:rsidR="009E4B69" w:rsidRPr="005473EA">
        <w:rPr>
          <w:sz w:val="22"/>
          <w:szCs w:val="22"/>
          <w:lang w:val="it-IT"/>
        </w:rPr>
        <w:t xml:space="preserve"> </w:t>
      </w:r>
      <w:proofErr w:type="spellStart"/>
      <w:r w:rsidR="009E4B69" w:rsidRPr="005473EA">
        <w:rPr>
          <w:sz w:val="22"/>
          <w:szCs w:val="22"/>
          <w:lang w:val="it-IT"/>
        </w:rPr>
        <w:t>glukoz</w:t>
      </w:r>
      <w:r w:rsidR="007140B9">
        <w:rPr>
          <w:sz w:val="22"/>
          <w:szCs w:val="22"/>
          <w:lang w:val="it-IT"/>
        </w:rPr>
        <w:t>e</w:t>
      </w:r>
      <w:proofErr w:type="spellEnd"/>
      <w:r w:rsidR="009E4B69" w:rsidRPr="005473EA">
        <w:rPr>
          <w:sz w:val="22"/>
          <w:szCs w:val="22"/>
          <w:lang w:val="it-IT"/>
        </w:rPr>
        <w:t xml:space="preserve"> u </w:t>
      </w:r>
      <w:proofErr w:type="spellStart"/>
      <w:r w:rsidR="009E4B69" w:rsidRPr="005473EA">
        <w:rPr>
          <w:sz w:val="22"/>
          <w:szCs w:val="22"/>
          <w:lang w:val="it-IT"/>
        </w:rPr>
        <w:t>plazmi</w:t>
      </w:r>
      <w:proofErr w:type="spellEnd"/>
      <w:r w:rsidR="009E4B69" w:rsidRPr="005473EA">
        <w:rPr>
          <w:sz w:val="22"/>
          <w:szCs w:val="22"/>
          <w:lang w:val="it-IT"/>
        </w:rPr>
        <w:t xml:space="preserve">). </w:t>
      </w:r>
      <w:proofErr w:type="spellStart"/>
      <w:r w:rsidR="009E4B69" w:rsidRPr="005473EA">
        <w:rPr>
          <w:sz w:val="22"/>
          <w:szCs w:val="22"/>
          <w:lang w:val="it-IT"/>
        </w:rPr>
        <w:t>Kod</w:t>
      </w:r>
      <w:proofErr w:type="spellEnd"/>
      <w:r w:rsidR="009E4B69" w:rsidRPr="005473EA">
        <w:rPr>
          <w:sz w:val="22"/>
          <w:szCs w:val="22"/>
          <w:lang w:val="it-IT"/>
        </w:rPr>
        <w:t xml:space="preserve"> </w:t>
      </w:r>
      <w:proofErr w:type="spellStart"/>
      <w:r w:rsidR="009E4B69" w:rsidRPr="005473EA">
        <w:rPr>
          <w:sz w:val="22"/>
          <w:szCs w:val="22"/>
          <w:lang w:val="it-IT"/>
        </w:rPr>
        <w:t>primjene</w:t>
      </w:r>
      <w:proofErr w:type="spellEnd"/>
      <w:r w:rsidR="009E4B69" w:rsidRPr="005473EA">
        <w:rPr>
          <w:sz w:val="22"/>
          <w:szCs w:val="22"/>
          <w:lang w:val="it-IT"/>
        </w:rPr>
        <w:t xml:space="preserve"> </w:t>
      </w:r>
      <w:proofErr w:type="spellStart"/>
      <w:r w:rsidR="009E4B69" w:rsidRPr="005473EA">
        <w:rPr>
          <w:sz w:val="22"/>
          <w:szCs w:val="22"/>
          <w:lang w:val="it-IT"/>
        </w:rPr>
        <w:t>lijeka</w:t>
      </w:r>
      <w:proofErr w:type="spellEnd"/>
      <w:r w:rsidR="009E4B69" w:rsidRPr="005473EA">
        <w:rPr>
          <w:sz w:val="22"/>
          <w:szCs w:val="22"/>
          <w:lang w:val="it-IT"/>
        </w:rPr>
        <w:t xml:space="preserve"> </w:t>
      </w:r>
      <w:proofErr w:type="spellStart"/>
      <w:r w:rsidR="009E4B69" w:rsidRPr="005473EA">
        <w:rPr>
          <w:sz w:val="22"/>
          <w:szCs w:val="22"/>
          <w:lang w:val="it-IT"/>
        </w:rPr>
        <w:t>Fiasp</w:t>
      </w:r>
      <w:proofErr w:type="spellEnd"/>
      <w:r w:rsidR="009E4B69" w:rsidRPr="005473EA">
        <w:rPr>
          <w:sz w:val="22"/>
          <w:szCs w:val="22"/>
          <w:lang w:val="it-IT"/>
        </w:rPr>
        <w:t xml:space="preserve"> </w:t>
      </w:r>
      <w:proofErr w:type="spellStart"/>
      <w:r w:rsidR="009E4B69" w:rsidRPr="005473EA">
        <w:rPr>
          <w:sz w:val="22"/>
          <w:szCs w:val="22"/>
          <w:lang w:val="it-IT"/>
        </w:rPr>
        <w:t>nakon</w:t>
      </w:r>
      <w:proofErr w:type="spellEnd"/>
      <w:r w:rsidR="009E4B69" w:rsidRPr="005473EA">
        <w:rPr>
          <w:sz w:val="22"/>
          <w:szCs w:val="22"/>
          <w:lang w:val="it-IT"/>
        </w:rPr>
        <w:t xml:space="preserve"> </w:t>
      </w:r>
      <w:proofErr w:type="spellStart"/>
      <w:r w:rsidR="009E4B69" w:rsidRPr="005473EA">
        <w:rPr>
          <w:sz w:val="22"/>
          <w:szCs w:val="22"/>
          <w:lang w:val="it-IT"/>
        </w:rPr>
        <w:t>obroka</w:t>
      </w:r>
      <w:proofErr w:type="spellEnd"/>
      <w:r w:rsidR="00B85C5C">
        <w:rPr>
          <w:sz w:val="22"/>
          <w:szCs w:val="22"/>
          <w:lang w:val="it-IT"/>
        </w:rPr>
        <w:t>,</w:t>
      </w:r>
      <w:r w:rsidR="009E4B69" w:rsidRPr="005473EA">
        <w:rPr>
          <w:sz w:val="22"/>
          <w:szCs w:val="22"/>
          <w:lang w:val="it-IT"/>
        </w:rPr>
        <w:t xml:space="preserve"> </w:t>
      </w:r>
      <w:proofErr w:type="spellStart"/>
      <w:r w:rsidR="00B85C5C">
        <w:rPr>
          <w:sz w:val="22"/>
          <w:szCs w:val="22"/>
          <w:lang w:val="it-IT"/>
        </w:rPr>
        <w:t>poređenje</w:t>
      </w:r>
      <w:proofErr w:type="spellEnd"/>
      <w:r w:rsidR="00B85C5C">
        <w:rPr>
          <w:sz w:val="22"/>
          <w:szCs w:val="22"/>
          <w:lang w:val="it-IT"/>
        </w:rPr>
        <w:t xml:space="preserve"> je </w:t>
      </w:r>
      <w:proofErr w:type="spellStart"/>
      <w:r w:rsidR="009E4B69" w:rsidRPr="005473EA">
        <w:rPr>
          <w:sz w:val="22"/>
          <w:szCs w:val="22"/>
          <w:lang w:val="it-IT"/>
        </w:rPr>
        <w:t>išl</w:t>
      </w:r>
      <w:r w:rsidR="00B85C5C">
        <w:rPr>
          <w:sz w:val="22"/>
          <w:szCs w:val="22"/>
          <w:lang w:val="it-IT"/>
        </w:rPr>
        <w:t>o</w:t>
      </w:r>
      <w:proofErr w:type="spellEnd"/>
      <w:r w:rsidR="009E4B69" w:rsidRPr="005473EA">
        <w:rPr>
          <w:sz w:val="22"/>
          <w:szCs w:val="22"/>
          <w:lang w:val="it-IT"/>
        </w:rPr>
        <w:t xml:space="preserve"> u </w:t>
      </w:r>
      <w:proofErr w:type="spellStart"/>
      <w:r w:rsidR="009E4B69" w:rsidRPr="005473EA">
        <w:rPr>
          <w:sz w:val="22"/>
          <w:szCs w:val="22"/>
          <w:lang w:val="it-IT"/>
        </w:rPr>
        <w:t>korist</w:t>
      </w:r>
      <w:proofErr w:type="spellEnd"/>
      <w:r w:rsidR="009E4B69" w:rsidRPr="005473EA">
        <w:rPr>
          <w:sz w:val="22"/>
          <w:szCs w:val="22"/>
          <w:lang w:val="it-IT"/>
        </w:rPr>
        <w:t xml:space="preserve"> </w:t>
      </w:r>
      <w:proofErr w:type="spellStart"/>
      <w:r w:rsidR="009E4B69" w:rsidRPr="005473EA">
        <w:rPr>
          <w:sz w:val="22"/>
          <w:szCs w:val="22"/>
          <w:lang w:val="it-IT"/>
        </w:rPr>
        <w:t>lijeka</w:t>
      </w:r>
      <w:proofErr w:type="spellEnd"/>
      <w:r w:rsidR="009E4B69" w:rsidRPr="005473EA">
        <w:rPr>
          <w:sz w:val="22"/>
          <w:szCs w:val="22"/>
          <w:lang w:val="it-IT"/>
        </w:rPr>
        <w:t xml:space="preserve"> </w:t>
      </w:r>
      <w:proofErr w:type="spellStart"/>
      <w:r w:rsidR="009E4B69" w:rsidRPr="005473EA">
        <w:rPr>
          <w:sz w:val="22"/>
          <w:szCs w:val="22"/>
          <w:lang w:val="it-IT"/>
        </w:rPr>
        <w:t>NovoRapid</w:t>
      </w:r>
      <w:proofErr w:type="spellEnd"/>
      <w:r w:rsidR="009E4B69" w:rsidRPr="005473EA">
        <w:rPr>
          <w:sz w:val="22"/>
          <w:szCs w:val="22"/>
          <w:lang w:val="it-IT"/>
        </w:rPr>
        <w:t xml:space="preserve"> </w:t>
      </w:r>
      <w:proofErr w:type="spellStart"/>
      <w:r w:rsidR="009E4B69" w:rsidRPr="005473EA">
        <w:rPr>
          <w:sz w:val="22"/>
          <w:szCs w:val="22"/>
          <w:lang w:val="it-IT"/>
        </w:rPr>
        <w:t>primijenjenog</w:t>
      </w:r>
      <w:proofErr w:type="spellEnd"/>
      <w:r w:rsidR="009E4B69" w:rsidRPr="005473EA">
        <w:rPr>
          <w:sz w:val="22"/>
          <w:szCs w:val="22"/>
          <w:lang w:val="it-IT"/>
        </w:rPr>
        <w:t xml:space="preserve"> </w:t>
      </w:r>
      <w:proofErr w:type="spellStart"/>
      <w:r w:rsidR="009E4B69" w:rsidRPr="005473EA">
        <w:rPr>
          <w:sz w:val="22"/>
          <w:szCs w:val="22"/>
          <w:lang w:val="it-IT"/>
        </w:rPr>
        <w:t>uz</w:t>
      </w:r>
      <w:proofErr w:type="spellEnd"/>
      <w:r w:rsidR="009E4B69" w:rsidRPr="005473EA">
        <w:rPr>
          <w:sz w:val="22"/>
          <w:szCs w:val="22"/>
          <w:lang w:val="it-IT"/>
        </w:rPr>
        <w:t xml:space="preserve"> </w:t>
      </w:r>
      <w:proofErr w:type="spellStart"/>
      <w:r w:rsidR="009E4B69" w:rsidRPr="005473EA">
        <w:rPr>
          <w:sz w:val="22"/>
          <w:szCs w:val="22"/>
          <w:lang w:val="it-IT"/>
        </w:rPr>
        <w:t>obrok</w:t>
      </w:r>
      <w:proofErr w:type="spellEnd"/>
      <w:r w:rsidR="009E4B69" w:rsidRPr="005473EA">
        <w:rPr>
          <w:sz w:val="22"/>
          <w:szCs w:val="22"/>
          <w:lang w:val="it-IT"/>
        </w:rPr>
        <w:t>.</w:t>
      </w:r>
    </w:p>
    <w:p w14:paraId="7F4437B5" w14:textId="77777777" w:rsidR="009E4B69" w:rsidRPr="005473EA" w:rsidRDefault="00794510" w:rsidP="009E4B69">
      <w:pPr>
        <w:tabs>
          <w:tab w:val="left" w:pos="540"/>
          <w:tab w:val="left" w:pos="569"/>
        </w:tabs>
        <w:jc w:val="both"/>
        <w:rPr>
          <w:sz w:val="22"/>
          <w:szCs w:val="22"/>
          <w:lang w:val="it-IT"/>
        </w:rPr>
      </w:pPr>
      <w:proofErr w:type="spellStart"/>
      <w:r>
        <w:rPr>
          <w:sz w:val="22"/>
          <w:szCs w:val="22"/>
          <w:lang w:val="it-IT"/>
        </w:rPr>
        <w:t>Uopšteno</w:t>
      </w:r>
      <w:proofErr w:type="spellEnd"/>
      <w:r>
        <w:rPr>
          <w:sz w:val="22"/>
          <w:szCs w:val="22"/>
          <w:lang w:val="it-IT"/>
        </w:rPr>
        <w:t xml:space="preserve"> </w:t>
      </w:r>
      <w:proofErr w:type="spellStart"/>
      <w:r>
        <w:rPr>
          <w:sz w:val="22"/>
          <w:szCs w:val="22"/>
          <w:lang w:val="it-IT"/>
        </w:rPr>
        <w:t>posmatrano</w:t>
      </w:r>
      <w:proofErr w:type="spellEnd"/>
      <w:r>
        <w:rPr>
          <w:sz w:val="22"/>
          <w:szCs w:val="22"/>
          <w:lang w:val="it-IT"/>
        </w:rPr>
        <w:t>,</w:t>
      </w:r>
      <w:r w:rsidR="009E4B69" w:rsidRPr="005473EA">
        <w:rPr>
          <w:sz w:val="22"/>
          <w:szCs w:val="22"/>
          <w:lang w:val="it-IT"/>
        </w:rPr>
        <w:t xml:space="preserve"> </w:t>
      </w:r>
      <w:proofErr w:type="spellStart"/>
      <w:r w:rsidR="009E4B69" w:rsidRPr="005473EA">
        <w:rPr>
          <w:sz w:val="22"/>
          <w:szCs w:val="22"/>
          <w:lang w:val="it-IT"/>
        </w:rPr>
        <w:t>nije</w:t>
      </w:r>
      <w:proofErr w:type="spellEnd"/>
      <w:r w:rsidR="009E4B69" w:rsidRPr="005473EA">
        <w:rPr>
          <w:sz w:val="22"/>
          <w:szCs w:val="22"/>
          <w:lang w:val="it-IT"/>
        </w:rPr>
        <w:t xml:space="preserve"> </w:t>
      </w:r>
      <w:proofErr w:type="spellStart"/>
      <w:r w:rsidR="009F16F2">
        <w:rPr>
          <w:sz w:val="22"/>
          <w:szCs w:val="22"/>
          <w:lang w:val="it-IT"/>
        </w:rPr>
        <w:t>za</w:t>
      </w:r>
      <w:r w:rsidR="009E4B69" w:rsidRPr="005473EA">
        <w:rPr>
          <w:sz w:val="22"/>
          <w:szCs w:val="22"/>
          <w:lang w:val="it-IT"/>
        </w:rPr>
        <w:t>pažen</w:t>
      </w:r>
      <w:proofErr w:type="spellEnd"/>
      <w:r w:rsidR="009E4B69" w:rsidRPr="005473EA">
        <w:rPr>
          <w:sz w:val="22"/>
          <w:szCs w:val="22"/>
          <w:lang w:val="it-IT"/>
        </w:rPr>
        <w:t xml:space="preserve"> </w:t>
      </w:r>
      <w:proofErr w:type="spellStart"/>
      <w:r w:rsidR="009E4B69" w:rsidRPr="005473EA">
        <w:rPr>
          <w:sz w:val="22"/>
          <w:szCs w:val="22"/>
          <w:lang w:val="it-IT"/>
        </w:rPr>
        <w:t>povećan</w:t>
      </w:r>
      <w:proofErr w:type="spellEnd"/>
      <w:r w:rsidR="009E4B69" w:rsidRPr="005473EA">
        <w:rPr>
          <w:sz w:val="22"/>
          <w:szCs w:val="22"/>
          <w:lang w:val="it-IT"/>
        </w:rPr>
        <w:t xml:space="preserve"> </w:t>
      </w:r>
      <w:proofErr w:type="spellStart"/>
      <w:r w:rsidR="009E4B69" w:rsidRPr="005473EA">
        <w:rPr>
          <w:sz w:val="22"/>
          <w:szCs w:val="22"/>
          <w:lang w:val="it-IT"/>
        </w:rPr>
        <w:t>rizik</w:t>
      </w:r>
      <w:proofErr w:type="spellEnd"/>
      <w:r w:rsidR="009E4B69" w:rsidRPr="005473EA">
        <w:rPr>
          <w:sz w:val="22"/>
          <w:szCs w:val="22"/>
          <w:lang w:val="it-IT"/>
        </w:rPr>
        <w:t xml:space="preserve"> od </w:t>
      </w:r>
      <w:proofErr w:type="spellStart"/>
      <w:r w:rsidR="009E4B69" w:rsidRPr="005473EA">
        <w:rPr>
          <w:sz w:val="22"/>
          <w:szCs w:val="22"/>
          <w:lang w:val="it-IT"/>
        </w:rPr>
        <w:t>teške</w:t>
      </w:r>
      <w:proofErr w:type="spellEnd"/>
      <w:r w:rsidR="009E4B69" w:rsidRPr="005473EA">
        <w:rPr>
          <w:sz w:val="22"/>
          <w:szCs w:val="22"/>
          <w:lang w:val="it-IT"/>
        </w:rPr>
        <w:t xml:space="preserve"> </w:t>
      </w:r>
      <w:proofErr w:type="spellStart"/>
      <w:r w:rsidR="009E4B69" w:rsidRPr="005473EA">
        <w:rPr>
          <w:sz w:val="22"/>
          <w:szCs w:val="22"/>
          <w:lang w:val="it-IT"/>
        </w:rPr>
        <w:t>hipoglikemije</w:t>
      </w:r>
      <w:proofErr w:type="spellEnd"/>
      <w:r w:rsidR="009E4B69" w:rsidRPr="005473EA">
        <w:rPr>
          <w:sz w:val="22"/>
          <w:szCs w:val="22"/>
          <w:lang w:val="it-IT"/>
        </w:rPr>
        <w:t xml:space="preserve"> ili </w:t>
      </w:r>
      <w:proofErr w:type="spellStart"/>
      <w:r w:rsidR="009E4B69" w:rsidRPr="005473EA">
        <w:rPr>
          <w:sz w:val="22"/>
          <w:szCs w:val="22"/>
          <w:lang w:val="it-IT"/>
        </w:rPr>
        <w:t>hipoglikemije</w:t>
      </w:r>
      <w:proofErr w:type="spellEnd"/>
      <w:r w:rsidR="009E4B69" w:rsidRPr="005473EA">
        <w:rPr>
          <w:sz w:val="22"/>
          <w:szCs w:val="22"/>
          <w:lang w:val="it-IT"/>
        </w:rPr>
        <w:t xml:space="preserve"> </w:t>
      </w:r>
      <w:proofErr w:type="spellStart"/>
      <w:r w:rsidR="009E4B69" w:rsidRPr="005473EA">
        <w:rPr>
          <w:sz w:val="22"/>
          <w:szCs w:val="22"/>
          <w:lang w:val="it-IT"/>
        </w:rPr>
        <w:t>potvrđene</w:t>
      </w:r>
      <w:proofErr w:type="spellEnd"/>
      <w:r w:rsidR="009E4B69" w:rsidRPr="005473EA">
        <w:rPr>
          <w:sz w:val="22"/>
          <w:szCs w:val="22"/>
          <w:lang w:val="it-IT"/>
        </w:rPr>
        <w:t xml:space="preserve"> </w:t>
      </w:r>
      <w:proofErr w:type="spellStart"/>
      <w:r w:rsidR="009E4B69" w:rsidRPr="005473EA">
        <w:rPr>
          <w:sz w:val="22"/>
          <w:szCs w:val="22"/>
          <w:lang w:val="it-IT"/>
        </w:rPr>
        <w:t>izmjerenim</w:t>
      </w:r>
      <w:proofErr w:type="spellEnd"/>
      <w:r w:rsidR="009E4B69" w:rsidRPr="005473EA">
        <w:rPr>
          <w:sz w:val="22"/>
          <w:szCs w:val="22"/>
          <w:lang w:val="it-IT"/>
        </w:rPr>
        <w:t xml:space="preserve"> </w:t>
      </w:r>
      <w:proofErr w:type="spellStart"/>
      <w:r w:rsidR="009E4B69" w:rsidRPr="005473EA">
        <w:rPr>
          <w:sz w:val="22"/>
          <w:szCs w:val="22"/>
          <w:lang w:val="it-IT"/>
        </w:rPr>
        <w:t>vrijednostima</w:t>
      </w:r>
      <w:proofErr w:type="spellEnd"/>
      <w:r w:rsidR="009E4B69" w:rsidRPr="005473EA">
        <w:rPr>
          <w:sz w:val="22"/>
          <w:szCs w:val="22"/>
          <w:lang w:val="it-IT"/>
        </w:rPr>
        <w:t xml:space="preserve"> </w:t>
      </w:r>
      <w:proofErr w:type="spellStart"/>
      <w:r w:rsidR="009E4B69" w:rsidRPr="005473EA">
        <w:rPr>
          <w:sz w:val="22"/>
          <w:szCs w:val="22"/>
          <w:lang w:val="it-IT"/>
        </w:rPr>
        <w:t>glukoze</w:t>
      </w:r>
      <w:proofErr w:type="spellEnd"/>
      <w:r w:rsidR="009E4B69" w:rsidRPr="005473EA">
        <w:rPr>
          <w:sz w:val="22"/>
          <w:szCs w:val="22"/>
          <w:lang w:val="it-IT"/>
        </w:rPr>
        <w:t xml:space="preserve"> u </w:t>
      </w:r>
      <w:proofErr w:type="spellStart"/>
      <w:r w:rsidR="009E4B69" w:rsidRPr="005473EA">
        <w:rPr>
          <w:sz w:val="22"/>
          <w:szCs w:val="22"/>
          <w:lang w:val="it-IT"/>
        </w:rPr>
        <w:t>krvi</w:t>
      </w:r>
      <w:proofErr w:type="spellEnd"/>
      <w:r w:rsidR="009E4B69" w:rsidRPr="005473EA">
        <w:rPr>
          <w:sz w:val="22"/>
          <w:szCs w:val="22"/>
          <w:lang w:val="it-IT"/>
        </w:rPr>
        <w:t xml:space="preserve"> u </w:t>
      </w:r>
      <w:proofErr w:type="spellStart"/>
      <w:r w:rsidR="009F16F2">
        <w:rPr>
          <w:sz w:val="22"/>
          <w:szCs w:val="22"/>
          <w:lang w:val="it-IT"/>
        </w:rPr>
        <w:t>poređenju</w:t>
      </w:r>
      <w:proofErr w:type="spellEnd"/>
      <w:r w:rsidR="009F16F2">
        <w:rPr>
          <w:sz w:val="22"/>
          <w:szCs w:val="22"/>
          <w:lang w:val="it-IT"/>
        </w:rPr>
        <w:t xml:space="preserve"> sa </w:t>
      </w:r>
      <w:proofErr w:type="spellStart"/>
      <w:r w:rsidR="009F16F2">
        <w:rPr>
          <w:sz w:val="22"/>
          <w:szCs w:val="22"/>
          <w:lang w:val="it-IT"/>
        </w:rPr>
        <w:t>lijekom</w:t>
      </w:r>
      <w:proofErr w:type="spellEnd"/>
      <w:r w:rsidR="009E4B69" w:rsidRPr="005473EA">
        <w:rPr>
          <w:sz w:val="22"/>
          <w:szCs w:val="22"/>
          <w:lang w:val="it-IT"/>
        </w:rPr>
        <w:t xml:space="preserve"> </w:t>
      </w:r>
      <w:proofErr w:type="spellStart"/>
      <w:r w:rsidR="009E4B69" w:rsidRPr="005473EA">
        <w:rPr>
          <w:sz w:val="22"/>
          <w:szCs w:val="22"/>
          <w:lang w:val="it-IT"/>
        </w:rPr>
        <w:t>NovoRapid</w:t>
      </w:r>
      <w:proofErr w:type="spellEnd"/>
      <w:r w:rsidR="009E4B69" w:rsidRPr="005473EA">
        <w:rPr>
          <w:sz w:val="22"/>
          <w:szCs w:val="22"/>
          <w:lang w:val="it-IT"/>
        </w:rPr>
        <w:t>.</w:t>
      </w:r>
    </w:p>
    <w:p w14:paraId="771A2764" w14:textId="77777777" w:rsidR="009E4B69" w:rsidRPr="00CC6368" w:rsidRDefault="009F16F2" w:rsidP="009E4B69">
      <w:pPr>
        <w:tabs>
          <w:tab w:val="left" w:pos="540"/>
          <w:tab w:val="left" w:pos="569"/>
        </w:tabs>
        <w:jc w:val="both"/>
        <w:rPr>
          <w:sz w:val="22"/>
          <w:szCs w:val="22"/>
          <w:lang w:val="it-IT"/>
        </w:rPr>
      </w:pPr>
      <w:proofErr w:type="spellStart"/>
      <w:r>
        <w:rPr>
          <w:sz w:val="22"/>
          <w:szCs w:val="22"/>
          <w:lang w:val="it-IT"/>
        </w:rPr>
        <w:t>Zapaženi</w:t>
      </w:r>
      <w:proofErr w:type="spellEnd"/>
      <w:r w:rsidR="009E4B69" w:rsidRPr="009E4B69">
        <w:rPr>
          <w:sz w:val="22"/>
          <w:szCs w:val="22"/>
          <w:lang w:val="it-IT"/>
        </w:rPr>
        <w:t xml:space="preserve"> </w:t>
      </w:r>
      <w:proofErr w:type="spellStart"/>
      <w:r>
        <w:rPr>
          <w:sz w:val="22"/>
          <w:szCs w:val="22"/>
          <w:lang w:val="it-IT"/>
        </w:rPr>
        <w:t>efekti</w:t>
      </w:r>
      <w:proofErr w:type="spellEnd"/>
      <w:r w:rsidR="009E4B69" w:rsidRPr="009E4B69">
        <w:rPr>
          <w:sz w:val="22"/>
          <w:szCs w:val="22"/>
          <w:lang w:val="it-IT"/>
        </w:rPr>
        <w:t xml:space="preserve"> i </w:t>
      </w:r>
      <w:proofErr w:type="spellStart"/>
      <w:r>
        <w:rPr>
          <w:sz w:val="22"/>
          <w:szCs w:val="22"/>
          <w:lang w:val="it-IT"/>
        </w:rPr>
        <w:t>bezbjednosni</w:t>
      </w:r>
      <w:proofErr w:type="spellEnd"/>
      <w:r w:rsidR="009E4B69" w:rsidRPr="009E4B69">
        <w:rPr>
          <w:sz w:val="22"/>
          <w:szCs w:val="22"/>
          <w:lang w:val="it-IT"/>
        </w:rPr>
        <w:t xml:space="preserve"> profili bili su </w:t>
      </w:r>
      <w:proofErr w:type="spellStart"/>
      <w:r w:rsidR="009E4B69" w:rsidRPr="009E4B69">
        <w:rPr>
          <w:sz w:val="22"/>
          <w:szCs w:val="22"/>
          <w:lang w:val="it-IT"/>
        </w:rPr>
        <w:t>uporedivi</w:t>
      </w:r>
      <w:proofErr w:type="spellEnd"/>
      <w:r w:rsidR="009E4B69" w:rsidRPr="009E4B69">
        <w:rPr>
          <w:sz w:val="22"/>
          <w:szCs w:val="22"/>
          <w:lang w:val="it-IT"/>
        </w:rPr>
        <w:t xml:space="preserve"> u </w:t>
      </w:r>
      <w:proofErr w:type="spellStart"/>
      <w:r w:rsidR="009E4B69" w:rsidRPr="009E4B69">
        <w:rPr>
          <w:sz w:val="22"/>
          <w:szCs w:val="22"/>
          <w:lang w:val="it-IT"/>
        </w:rPr>
        <w:t>svim</w:t>
      </w:r>
      <w:proofErr w:type="spellEnd"/>
      <w:r w:rsidR="009E4B69" w:rsidRPr="009E4B69">
        <w:rPr>
          <w:sz w:val="22"/>
          <w:szCs w:val="22"/>
          <w:lang w:val="it-IT"/>
        </w:rPr>
        <w:t xml:space="preserve"> </w:t>
      </w:r>
      <w:proofErr w:type="spellStart"/>
      <w:r>
        <w:rPr>
          <w:sz w:val="22"/>
          <w:szCs w:val="22"/>
          <w:lang w:val="it-IT"/>
        </w:rPr>
        <w:t>starosnim</w:t>
      </w:r>
      <w:proofErr w:type="spellEnd"/>
      <w:r>
        <w:rPr>
          <w:sz w:val="22"/>
          <w:szCs w:val="22"/>
          <w:lang w:val="it-IT"/>
        </w:rPr>
        <w:t xml:space="preserve"> </w:t>
      </w:r>
      <w:proofErr w:type="spellStart"/>
      <w:r>
        <w:rPr>
          <w:sz w:val="22"/>
          <w:szCs w:val="22"/>
          <w:lang w:val="it-IT"/>
        </w:rPr>
        <w:t>grupama</w:t>
      </w:r>
      <w:proofErr w:type="spellEnd"/>
      <w:r w:rsidR="009E4B69" w:rsidRPr="009E4B69">
        <w:rPr>
          <w:sz w:val="22"/>
          <w:szCs w:val="22"/>
          <w:lang w:val="it-IT"/>
        </w:rPr>
        <w:t>.</w:t>
      </w:r>
    </w:p>
    <w:p w14:paraId="41662548" w14:textId="77777777" w:rsidR="00EE2F19" w:rsidRPr="00CC6368" w:rsidRDefault="00EE2F19" w:rsidP="00480FB1">
      <w:pPr>
        <w:tabs>
          <w:tab w:val="left" w:pos="540"/>
          <w:tab w:val="left" w:pos="569"/>
        </w:tabs>
        <w:rPr>
          <w:sz w:val="22"/>
          <w:szCs w:val="22"/>
          <w:lang w:val="it-IT"/>
        </w:rPr>
      </w:pPr>
    </w:p>
    <w:p w14:paraId="06B12209" w14:textId="77777777" w:rsidR="0072020E" w:rsidRPr="000F6B37" w:rsidRDefault="0072020E" w:rsidP="00480FB1">
      <w:pPr>
        <w:tabs>
          <w:tab w:val="left" w:pos="540"/>
          <w:tab w:val="left" w:pos="569"/>
        </w:tabs>
        <w:rPr>
          <w:b/>
          <w:bCs/>
          <w:sz w:val="22"/>
          <w:szCs w:val="22"/>
          <w:lang w:val="it-IT"/>
        </w:rPr>
      </w:pPr>
      <w:r w:rsidRPr="000F6B37">
        <w:rPr>
          <w:b/>
          <w:bCs/>
          <w:sz w:val="22"/>
          <w:szCs w:val="22"/>
          <w:lang w:val="it-IT"/>
        </w:rPr>
        <w:t xml:space="preserve">5.2. </w:t>
      </w:r>
      <w:r w:rsidR="00480FB1" w:rsidRPr="000F6B37">
        <w:rPr>
          <w:b/>
          <w:bCs/>
          <w:sz w:val="22"/>
          <w:szCs w:val="22"/>
          <w:lang w:val="it-IT"/>
        </w:rPr>
        <w:tab/>
      </w:r>
      <w:proofErr w:type="spellStart"/>
      <w:r w:rsidRPr="000F6B37">
        <w:rPr>
          <w:b/>
          <w:bCs/>
          <w:sz w:val="22"/>
          <w:szCs w:val="22"/>
          <w:lang w:val="it-IT"/>
        </w:rPr>
        <w:t>Farmakokinetički</w:t>
      </w:r>
      <w:proofErr w:type="spellEnd"/>
      <w:r w:rsidRPr="000F6B37">
        <w:rPr>
          <w:b/>
          <w:bCs/>
          <w:sz w:val="22"/>
          <w:szCs w:val="22"/>
          <w:lang w:val="it-IT"/>
        </w:rPr>
        <w:t xml:space="preserve"> </w:t>
      </w:r>
      <w:proofErr w:type="spellStart"/>
      <w:r w:rsidRPr="000F6B37">
        <w:rPr>
          <w:b/>
          <w:bCs/>
          <w:sz w:val="22"/>
          <w:szCs w:val="22"/>
          <w:lang w:val="it-IT"/>
        </w:rPr>
        <w:t>podaci</w:t>
      </w:r>
      <w:proofErr w:type="spellEnd"/>
      <w:r w:rsidR="003A7059" w:rsidRPr="000F6B37">
        <w:rPr>
          <w:b/>
          <w:bCs/>
          <w:sz w:val="22"/>
          <w:szCs w:val="22"/>
          <w:lang w:val="it-IT"/>
        </w:rPr>
        <w:t xml:space="preserve"> </w:t>
      </w:r>
    </w:p>
    <w:p w14:paraId="547375CE" w14:textId="77777777" w:rsidR="0072020E" w:rsidRPr="000F6B37" w:rsidRDefault="0072020E" w:rsidP="00480FB1">
      <w:pPr>
        <w:tabs>
          <w:tab w:val="left" w:pos="540"/>
          <w:tab w:val="left" w:pos="569"/>
        </w:tabs>
        <w:rPr>
          <w:bCs/>
          <w:sz w:val="22"/>
          <w:szCs w:val="22"/>
          <w:lang w:val="it-IT"/>
        </w:rPr>
      </w:pPr>
    </w:p>
    <w:p w14:paraId="6C7B4510" w14:textId="77777777" w:rsidR="00CC6368" w:rsidRPr="000F6B37" w:rsidRDefault="00CC6368" w:rsidP="00CC6368">
      <w:pPr>
        <w:tabs>
          <w:tab w:val="left" w:pos="284"/>
        </w:tabs>
        <w:jc w:val="both"/>
        <w:rPr>
          <w:sz w:val="22"/>
          <w:szCs w:val="22"/>
          <w:u w:val="single"/>
          <w:lang w:val="it-IT"/>
        </w:rPr>
      </w:pPr>
      <w:proofErr w:type="spellStart"/>
      <w:r w:rsidRPr="000F6B37">
        <w:rPr>
          <w:sz w:val="22"/>
          <w:szCs w:val="22"/>
          <w:u w:val="single"/>
          <w:lang w:val="it-IT"/>
        </w:rPr>
        <w:t>Resorpcija</w:t>
      </w:r>
      <w:proofErr w:type="spellEnd"/>
    </w:p>
    <w:p w14:paraId="50155FDC" w14:textId="77777777" w:rsidR="00CC6368" w:rsidRPr="000F6B37" w:rsidRDefault="00CC6368" w:rsidP="00CC6368">
      <w:pPr>
        <w:tabs>
          <w:tab w:val="left" w:pos="284"/>
        </w:tabs>
        <w:jc w:val="both"/>
        <w:rPr>
          <w:sz w:val="22"/>
          <w:szCs w:val="22"/>
          <w:u w:val="single"/>
          <w:lang w:val="it-IT"/>
        </w:rPr>
      </w:pPr>
    </w:p>
    <w:p w14:paraId="5F0B6E3C" w14:textId="34EB35A2" w:rsidR="00CC6368" w:rsidRPr="000F6B37" w:rsidRDefault="00A82C3F" w:rsidP="00CC6368">
      <w:pPr>
        <w:tabs>
          <w:tab w:val="left" w:pos="284"/>
        </w:tabs>
        <w:jc w:val="both"/>
        <w:rPr>
          <w:sz w:val="22"/>
          <w:szCs w:val="22"/>
          <w:lang w:val="it-IT"/>
        </w:rPr>
      </w:pPr>
      <w:proofErr w:type="spellStart"/>
      <w:r w:rsidRPr="000F6B37">
        <w:rPr>
          <w:sz w:val="22"/>
          <w:szCs w:val="22"/>
          <w:lang w:val="it-IT"/>
        </w:rPr>
        <w:t>Lijek</w:t>
      </w:r>
      <w:proofErr w:type="spellEnd"/>
      <w:r w:rsidRPr="000F6B37">
        <w:rPr>
          <w:sz w:val="22"/>
          <w:szCs w:val="22"/>
          <w:lang w:val="it-IT"/>
        </w:rPr>
        <w:t xml:space="preserve"> </w:t>
      </w:r>
      <w:proofErr w:type="spellStart"/>
      <w:r w:rsidR="00CC6368" w:rsidRPr="000F6B37">
        <w:rPr>
          <w:sz w:val="22"/>
          <w:szCs w:val="22"/>
          <w:lang w:val="it-IT"/>
        </w:rPr>
        <w:t>Fiasp</w:t>
      </w:r>
      <w:proofErr w:type="spellEnd"/>
      <w:r w:rsidR="00CC6368" w:rsidRPr="000F6B37">
        <w:rPr>
          <w:sz w:val="22"/>
          <w:szCs w:val="22"/>
          <w:lang w:val="it-IT"/>
        </w:rPr>
        <w:t xml:space="preserve"> je </w:t>
      </w:r>
      <w:proofErr w:type="spellStart"/>
      <w:r w:rsidR="00CC6368" w:rsidRPr="000F6B37">
        <w:rPr>
          <w:sz w:val="22"/>
          <w:szCs w:val="22"/>
          <w:lang w:val="it-IT"/>
        </w:rPr>
        <w:t>formulacija</w:t>
      </w:r>
      <w:proofErr w:type="spellEnd"/>
      <w:r w:rsidR="00CC6368" w:rsidRPr="000F6B37">
        <w:rPr>
          <w:sz w:val="22"/>
          <w:szCs w:val="22"/>
          <w:lang w:val="it-IT"/>
        </w:rPr>
        <w:t xml:space="preserve"> </w:t>
      </w:r>
      <w:proofErr w:type="spellStart"/>
      <w:r w:rsidR="00CC6368" w:rsidRPr="000F6B37">
        <w:rPr>
          <w:sz w:val="22"/>
          <w:szCs w:val="22"/>
          <w:lang w:val="it-IT"/>
        </w:rPr>
        <w:t>insulin</w:t>
      </w:r>
      <w:proofErr w:type="spellEnd"/>
      <w:r w:rsidR="00CC6368" w:rsidRPr="000F6B37">
        <w:rPr>
          <w:sz w:val="22"/>
          <w:szCs w:val="22"/>
          <w:lang w:val="it-IT"/>
        </w:rPr>
        <w:t xml:space="preserve"> </w:t>
      </w:r>
      <w:proofErr w:type="spellStart"/>
      <w:r w:rsidR="00CC6368" w:rsidRPr="000F6B37">
        <w:rPr>
          <w:sz w:val="22"/>
          <w:szCs w:val="22"/>
          <w:lang w:val="it-IT"/>
        </w:rPr>
        <w:t>asparta</w:t>
      </w:r>
      <w:proofErr w:type="spellEnd"/>
      <w:r w:rsidR="00CC6368" w:rsidRPr="000F6B37">
        <w:rPr>
          <w:sz w:val="22"/>
          <w:szCs w:val="22"/>
          <w:lang w:val="it-IT"/>
        </w:rPr>
        <w:t xml:space="preserve"> </w:t>
      </w:r>
      <w:proofErr w:type="spellStart"/>
      <w:r w:rsidR="00CC6368" w:rsidRPr="000F6B37">
        <w:rPr>
          <w:sz w:val="22"/>
          <w:szCs w:val="22"/>
          <w:lang w:val="it-IT"/>
        </w:rPr>
        <w:t>koja</w:t>
      </w:r>
      <w:proofErr w:type="spellEnd"/>
      <w:r w:rsidR="00CC6368" w:rsidRPr="000F6B37">
        <w:rPr>
          <w:sz w:val="22"/>
          <w:szCs w:val="22"/>
          <w:lang w:val="it-IT"/>
        </w:rPr>
        <w:t xml:space="preserve"> se </w:t>
      </w:r>
      <w:proofErr w:type="spellStart"/>
      <w:r w:rsidR="00CC6368" w:rsidRPr="000F6B37">
        <w:rPr>
          <w:sz w:val="22"/>
          <w:szCs w:val="22"/>
          <w:lang w:val="it-IT"/>
        </w:rPr>
        <w:t>uzima</w:t>
      </w:r>
      <w:proofErr w:type="spellEnd"/>
      <w:r w:rsidR="00CC6368" w:rsidRPr="000F6B37">
        <w:rPr>
          <w:sz w:val="22"/>
          <w:szCs w:val="22"/>
          <w:lang w:val="it-IT"/>
        </w:rPr>
        <w:t xml:space="preserve"> </w:t>
      </w:r>
      <w:proofErr w:type="spellStart"/>
      <w:r w:rsidR="00CC6368" w:rsidRPr="000F6B37">
        <w:rPr>
          <w:sz w:val="22"/>
          <w:szCs w:val="22"/>
          <w:lang w:val="it-IT"/>
        </w:rPr>
        <w:t>uz</w:t>
      </w:r>
      <w:proofErr w:type="spellEnd"/>
      <w:r w:rsidR="00CC6368" w:rsidRPr="000F6B37">
        <w:rPr>
          <w:sz w:val="22"/>
          <w:szCs w:val="22"/>
          <w:lang w:val="it-IT"/>
        </w:rPr>
        <w:t xml:space="preserve"> </w:t>
      </w:r>
      <w:proofErr w:type="spellStart"/>
      <w:r w:rsidR="00CC6368" w:rsidRPr="000F6B37">
        <w:rPr>
          <w:sz w:val="22"/>
          <w:szCs w:val="22"/>
          <w:lang w:val="it-IT"/>
        </w:rPr>
        <w:t>obrok</w:t>
      </w:r>
      <w:proofErr w:type="spellEnd"/>
      <w:r w:rsidR="00CC6368" w:rsidRPr="000F6B37">
        <w:rPr>
          <w:sz w:val="22"/>
          <w:szCs w:val="22"/>
          <w:lang w:val="it-IT"/>
        </w:rPr>
        <w:t xml:space="preserve">, u </w:t>
      </w:r>
      <w:proofErr w:type="spellStart"/>
      <w:r w:rsidR="00CC6368" w:rsidRPr="000F6B37">
        <w:rPr>
          <w:sz w:val="22"/>
          <w:szCs w:val="22"/>
          <w:lang w:val="it-IT"/>
        </w:rPr>
        <w:t>kojoj</w:t>
      </w:r>
      <w:proofErr w:type="spellEnd"/>
      <w:r w:rsidR="00CC6368" w:rsidRPr="000F6B37">
        <w:rPr>
          <w:sz w:val="22"/>
          <w:szCs w:val="22"/>
          <w:lang w:val="it-IT"/>
        </w:rPr>
        <w:t xml:space="preserve"> </w:t>
      </w:r>
      <w:proofErr w:type="spellStart"/>
      <w:r w:rsidR="00CC6368" w:rsidRPr="000F6B37">
        <w:rPr>
          <w:sz w:val="22"/>
          <w:szCs w:val="22"/>
          <w:lang w:val="it-IT"/>
        </w:rPr>
        <w:t>dodatak</w:t>
      </w:r>
      <w:proofErr w:type="spellEnd"/>
      <w:r w:rsidR="00CC6368" w:rsidRPr="000F6B37">
        <w:rPr>
          <w:sz w:val="22"/>
          <w:szCs w:val="22"/>
          <w:lang w:val="it-IT"/>
        </w:rPr>
        <w:t xml:space="preserve"> </w:t>
      </w:r>
      <w:proofErr w:type="spellStart"/>
      <w:r w:rsidR="00CC6368" w:rsidRPr="000F6B37">
        <w:rPr>
          <w:sz w:val="22"/>
          <w:szCs w:val="22"/>
          <w:lang w:val="it-IT"/>
        </w:rPr>
        <w:t>nikotinamida</w:t>
      </w:r>
      <w:proofErr w:type="spellEnd"/>
      <w:r w:rsidR="00CC6368" w:rsidRPr="000F6B37">
        <w:rPr>
          <w:sz w:val="22"/>
          <w:szCs w:val="22"/>
          <w:lang w:val="it-IT"/>
        </w:rPr>
        <w:t xml:space="preserve"> (vitamina B</w:t>
      </w:r>
      <w:r w:rsidR="00CC6368" w:rsidRPr="000F6B37">
        <w:rPr>
          <w:sz w:val="22"/>
          <w:szCs w:val="22"/>
          <w:vertAlign w:val="subscript"/>
          <w:lang w:val="it-IT"/>
        </w:rPr>
        <w:t>3</w:t>
      </w:r>
      <w:r w:rsidR="00CC6368" w:rsidRPr="000F6B37">
        <w:rPr>
          <w:sz w:val="22"/>
          <w:szCs w:val="22"/>
          <w:lang w:val="it-IT"/>
        </w:rPr>
        <w:t xml:space="preserve">) </w:t>
      </w:r>
      <w:proofErr w:type="spellStart"/>
      <w:r w:rsidR="00CC6368" w:rsidRPr="000F6B37">
        <w:rPr>
          <w:sz w:val="22"/>
          <w:szCs w:val="22"/>
          <w:lang w:val="it-IT"/>
        </w:rPr>
        <w:t>dovodi</w:t>
      </w:r>
      <w:proofErr w:type="spellEnd"/>
      <w:r w:rsidR="00CC6368" w:rsidRPr="000F6B37">
        <w:rPr>
          <w:sz w:val="22"/>
          <w:szCs w:val="22"/>
          <w:lang w:val="it-IT"/>
        </w:rPr>
        <w:t xml:space="preserve"> do </w:t>
      </w:r>
      <w:proofErr w:type="spellStart"/>
      <w:r w:rsidR="00CC6368" w:rsidRPr="000F6B37">
        <w:rPr>
          <w:sz w:val="22"/>
          <w:szCs w:val="22"/>
          <w:lang w:val="it-IT"/>
        </w:rPr>
        <w:t>brže</w:t>
      </w:r>
      <w:proofErr w:type="spellEnd"/>
      <w:r w:rsidR="00CC6368" w:rsidRPr="000F6B37">
        <w:rPr>
          <w:sz w:val="22"/>
          <w:szCs w:val="22"/>
          <w:lang w:val="it-IT"/>
        </w:rPr>
        <w:t xml:space="preserve"> </w:t>
      </w:r>
      <w:proofErr w:type="spellStart"/>
      <w:r w:rsidR="00CC6368" w:rsidRPr="000F6B37">
        <w:rPr>
          <w:sz w:val="22"/>
          <w:szCs w:val="22"/>
          <w:lang w:val="it-IT"/>
        </w:rPr>
        <w:t>početne</w:t>
      </w:r>
      <w:proofErr w:type="spellEnd"/>
      <w:r w:rsidR="00CC6368" w:rsidRPr="000F6B37">
        <w:rPr>
          <w:sz w:val="22"/>
          <w:szCs w:val="22"/>
          <w:lang w:val="it-IT"/>
        </w:rPr>
        <w:t xml:space="preserve"> </w:t>
      </w:r>
      <w:proofErr w:type="spellStart"/>
      <w:r w:rsidR="00CC6368" w:rsidRPr="000F6B37">
        <w:rPr>
          <w:sz w:val="22"/>
          <w:szCs w:val="22"/>
          <w:lang w:val="it-IT"/>
        </w:rPr>
        <w:t>resorpcije</w:t>
      </w:r>
      <w:proofErr w:type="spellEnd"/>
      <w:r w:rsidR="00CC6368" w:rsidRPr="000F6B37">
        <w:rPr>
          <w:sz w:val="22"/>
          <w:szCs w:val="22"/>
          <w:lang w:val="it-IT"/>
        </w:rPr>
        <w:t xml:space="preserve"> insulina. </w:t>
      </w:r>
      <w:proofErr w:type="spellStart"/>
      <w:r w:rsidR="00CC6368" w:rsidRPr="000F6B37">
        <w:rPr>
          <w:sz w:val="22"/>
          <w:szCs w:val="22"/>
          <w:lang w:val="it-IT"/>
        </w:rPr>
        <w:t>Insulin</w:t>
      </w:r>
      <w:proofErr w:type="spellEnd"/>
      <w:r w:rsidR="00CC6368" w:rsidRPr="000F6B37">
        <w:rPr>
          <w:sz w:val="22"/>
          <w:szCs w:val="22"/>
          <w:lang w:val="it-IT"/>
        </w:rPr>
        <w:t xml:space="preserve"> se </w:t>
      </w:r>
      <w:proofErr w:type="spellStart"/>
      <w:r w:rsidR="00CC6368" w:rsidRPr="000F6B37">
        <w:rPr>
          <w:sz w:val="22"/>
          <w:szCs w:val="22"/>
          <w:lang w:val="it-IT"/>
        </w:rPr>
        <w:t>pojavio</w:t>
      </w:r>
      <w:proofErr w:type="spellEnd"/>
      <w:r w:rsidR="00CC6368" w:rsidRPr="000F6B37">
        <w:rPr>
          <w:sz w:val="22"/>
          <w:szCs w:val="22"/>
          <w:lang w:val="it-IT"/>
        </w:rPr>
        <w:t xml:space="preserve"> u </w:t>
      </w:r>
      <w:proofErr w:type="spellStart"/>
      <w:r w:rsidR="00CC6368" w:rsidRPr="000F6B37">
        <w:rPr>
          <w:sz w:val="22"/>
          <w:szCs w:val="22"/>
          <w:lang w:val="it-IT"/>
        </w:rPr>
        <w:t>cirkulaciji</w:t>
      </w:r>
      <w:proofErr w:type="spellEnd"/>
      <w:r w:rsidR="00CC6368" w:rsidRPr="000F6B37">
        <w:rPr>
          <w:sz w:val="22"/>
          <w:szCs w:val="22"/>
          <w:lang w:val="it-IT"/>
        </w:rPr>
        <w:t xml:space="preserve"> </w:t>
      </w:r>
      <w:proofErr w:type="spellStart"/>
      <w:r w:rsidR="00CC6368" w:rsidRPr="000F6B37">
        <w:rPr>
          <w:sz w:val="22"/>
          <w:szCs w:val="22"/>
          <w:lang w:val="it-IT"/>
        </w:rPr>
        <w:t>otprilike</w:t>
      </w:r>
      <w:proofErr w:type="spellEnd"/>
      <w:r w:rsidR="00CC6368" w:rsidRPr="000F6B37">
        <w:rPr>
          <w:sz w:val="22"/>
          <w:szCs w:val="22"/>
          <w:lang w:val="it-IT"/>
        </w:rPr>
        <w:t xml:space="preserve"> 4 minuta </w:t>
      </w:r>
      <w:proofErr w:type="spellStart"/>
      <w:r w:rsidR="00CC6368" w:rsidRPr="000F6B37">
        <w:rPr>
          <w:sz w:val="22"/>
          <w:szCs w:val="22"/>
          <w:lang w:val="it-IT"/>
        </w:rPr>
        <w:t>nakon</w:t>
      </w:r>
      <w:proofErr w:type="spellEnd"/>
      <w:r w:rsidR="00CC6368" w:rsidRPr="000F6B37">
        <w:rPr>
          <w:sz w:val="22"/>
          <w:szCs w:val="22"/>
          <w:lang w:val="it-IT"/>
        </w:rPr>
        <w:t xml:space="preserve"> </w:t>
      </w:r>
      <w:proofErr w:type="spellStart"/>
      <w:r w:rsidR="00CC6368" w:rsidRPr="000F6B37">
        <w:rPr>
          <w:sz w:val="22"/>
          <w:szCs w:val="22"/>
          <w:lang w:val="it-IT"/>
        </w:rPr>
        <w:t>primjene</w:t>
      </w:r>
      <w:proofErr w:type="spellEnd"/>
      <w:r w:rsidR="00CC6368" w:rsidRPr="000F6B37">
        <w:rPr>
          <w:sz w:val="22"/>
          <w:szCs w:val="22"/>
          <w:lang w:val="it-IT"/>
        </w:rPr>
        <w:t xml:space="preserve"> (</w:t>
      </w:r>
      <w:proofErr w:type="spellStart"/>
      <w:r w:rsidR="00CC6368" w:rsidRPr="000F6B37">
        <w:rPr>
          <w:sz w:val="22"/>
          <w:szCs w:val="22"/>
          <w:lang w:val="it-IT"/>
        </w:rPr>
        <w:t>Slika</w:t>
      </w:r>
      <w:proofErr w:type="spellEnd"/>
      <w:r w:rsidR="00CC6368" w:rsidRPr="000F6B37">
        <w:rPr>
          <w:sz w:val="22"/>
          <w:szCs w:val="22"/>
          <w:lang w:val="it-IT"/>
        </w:rPr>
        <w:t xml:space="preserve"> 1). </w:t>
      </w:r>
      <w:proofErr w:type="spellStart"/>
      <w:r w:rsidR="00CC6368" w:rsidRPr="000F6B37">
        <w:rPr>
          <w:sz w:val="22"/>
          <w:szCs w:val="22"/>
          <w:lang w:val="it-IT"/>
        </w:rPr>
        <w:t>Nastup</w:t>
      </w:r>
      <w:proofErr w:type="spellEnd"/>
      <w:r w:rsidR="00CC6368" w:rsidRPr="000F6B37">
        <w:rPr>
          <w:sz w:val="22"/>
          <w:szCs w:val="22"/>
          <w:lang w:val="it-IT"/>
        </w:rPr>
        <w:t xml:space="preserve"> </w:t>
      </w:r>
      <w:proofErr w:type="spellStart"/>
      <w:r w:rsidR="00CC6368" w:rsidRPr="000F6B37">
        <w:rPr>
          <w:sz w:val="22"/>
          <w:szCs w:val="22"/>
          <w:lang w:val="it-IT"/>
        </w:rPr>
        <w:t>pojave</w:t>
      </w:r>
      <w:proofErr w:type="spellEnd"/>
      <w:r w:rsidR="00CC6368" w:rsidRPr="000F6B37">
        <w:rPr>
          <w:sz w:val="22"/>
          <w:szCs w:val="22"/>
          <w:lang w:val="it-IT"/>
        </w:rPr>
        <w:t xml:space="preserve"> </w:t>
      </w:r>
      <w:proofErr w:type="spellStart"/>
      <w:r w:rsidR="00CC6368" w:rsidRPr="000F6B37">
        <w:rPr>
          <w:sz w:val="22"/>
          <w:szCs w:val="22"/>
          <w:lang w:val="it-IT"/>
        </w:rPr>
        <w:t>bio</w:t>
      </w:r>
      <w:proofErr w:type="spellEnd"/>
      <w:r w:rsidR="00CC6368" w:rsidRPr="000F6B37">
        <w:rPr>
          <w:sz w:val="22"/>
          <w:szCs w:val="22"/>
          <w:lang w:val="it-IT"/>
        </w:rPr>
        <w:t xml:space="preserve"> je </w:t>
      </w:r>
      <w:proofErr w:type="spellStart"/>
      <w:r w:rsidR="00CC6368" w:rsidRPr="000F6B37">
        <w:rPr>
          <w:sz w:val="22"/>
          <w:szCs w:val="22"/>
          <w:lang w:val="it-IT"/>
        </w:rPr>
        <w:t>dvostruko</w:t>
      </w:r>
      <w:proofErr w:type="spellEnd"/>
      <w:r w:rsidR="00CC6368" w:rsidRPr="000F6B37">
        <w:rPr>
          <w:sz w:val="22"/>
          <w:szCs w:val="22"/>
          <w:lang w:val="it-IT"/>
        </w:rPr>
        <w:t xml:space="preserve"> </w:t>
      </w:r>
      <w:proofErr w:type="spellStart"/>
      <w:r w:rsidR="00CC6368" w:rsidRPr="000F6B37">
        <w:rPr>
          <w:sz w:val="22"/>
          <w:szCs w:val="22"/>
          <w:lang w:val="it-IT"/>
        </w:rPr>
        <w:t>brži</w:t>
      </w:r>
      <w:proofErr w:type="spellEnd"/>
      <w:r w:rsidR="00CC6368" w:rsidRPr="000F6B37">
        <w:rPr>
          <w:sz w:val="22"/>
          <w:szCs w:val="22"/>
          <w:lang w:val="it-IT"/>
        </w:rPr>
        <w:t xml:space="preserve"> (</w:t>
      </w:r>
      <w:proofErr w:type="spellStart"/>
      <w:r w:rsidR="00CC6368" w:rsidRPr="000F6B37">
        <w:rPr>
          <w:sz w:val="22"/>
          <w:szCs w:val="22"/>
          <w:lang w:val="it-IT"/>
        </w:rPr>
        <w:t>što</w:t>
      </w:r>
      <w:proofErr w:type="spellEnd"/>
      <w:r w:rsidR="00CC6368" w:rsidRPr="000F6B37">
        <w:rPr>
          <w:sz w:val="22"/>
          <w:szCs w:val="22"/>
          <w:lang w:val="it-IT"/>
        </w:rPr>
        <w:t xml:space="preserve"> </w:t>
      </w:r>
      <w:proofErr w:type="spellStart"/>
      <w:r w:rsidR="00CC6368" w:rsidRPr="000F6B37">
        <w:rPr>
          <w:sz w:val="22"/>
          <w:szCs w:val="22"/>
          <w:lang w:val="it-IT"/>
        </w:rPr>
        <w:t>odgovara</w:t>
      </w:r>
      <w:proofErr w:type="spellEnd"/>
      <w:r w:rsidR="00CC6368" w:rsidRPr="000F6B37">
        <w:rPr>
          <w:sz w:val="22"/>
          <w:szCs w:val="22"/>
          <w:lang w:val="it-IT"/>
        </w:rPr>
        <w:t xml:space="preserve"> </w:t>
      </w:r>
      <w:proofErr w:type="spellStart"/>
      <w:r w:rsidR="00CC6368" w:rsidRPr="000F6B37">
        <w:rPr>
          <w:sz w:val="22"/>
          <w:szCs w:val="22"/>
          <w:lang w:val="it-IT"/>
        </w:rPr>
        <w:t>pojavi</w:t>
      </w:r>
      <w:proofErr w:type="spellEnd"/>
      <w:r w:rsidR="00CC6368" w:rsidRPr="000F6B37">
        <w:rPr>
          <w:sz w:val="22"/>
          <w:szCs w:val="22"/>
          <w:lang w:val="it-IT"/>
        </w:rPr>
        <w:t xml:space="preserve"> 5 minuta </w:t>
      </w:r>
      <w:proofErr w:type="spellStart"/>
      <w:r w:rsidR="00CC6368" w:rsidRPr="000F6B37">
        <w:rPr>
          <w:sz w:val="22"/>
          <w:szCs w:val="22"/>
          <w:lang w:val="it-IT"/>
        </w:rPr>
        <w:t>ranije</w:t>
      </w:r>
      <w:proofErr w:type="spellEnd"/>
      <w:r w:rsidR="00CC6368" w:rsidRPr="000F6B37">
        <w:rPr>
          <w:sz w:val="22"/>
          <w:szCs w:val="22"/>
          <w:lang w:val="it-IT"/>
        </w:rPr>
        <w:t xml:space="preserve">), </w:t>
      </w:r>
      <w:proofErr w:type="spellStart"/>
      <w:r w:rsidR="00CC6368" w:rsidRPr="000F6B37">
        <w:rPr>
          <w:sz w:val="22"/>
          <w:szCs w:val="22"/>
          <w:lang w:val="it-IT"/>
        </w:rPr>
        <w:t>vrijeme</w:t>
      </w:r>
      <w:proofErr w:type="spellEnd"/>
      <w:r w:rsidR="00CC6368" w:rsidRPr="000F6B37">
        <w:rPr>
          <w:sz w:val="22"/>
          <w:szCs w:val="22"/>
          <w:lang w:val="it-IT"/>
        </w:rPr>
        <w:t xml:space="preserve"> do 50% </w:t>
      </w:r>
      <w:proofErr w:type="spellStart"/>
      <w:r w:rsidR="00CC6368" w:rsidRPr="000F6B37">
        <w:rPr>
          <w:sz w:val="22"/>
          <w:szCs w:val="22"/>
          <w:lang w:val="it-IT"/>
        </w:rPr>
        <w:t>maksimalne</w:t>
      </w:r>
      <w:proofErr w:type="spellEnd"/>
      <w:r w:rsidR="00CC6368" w:rsidRPr="000F6B37">
        <w:rPr>
          <w:sz w:val="22"/>
          <w:szCs w:val="22"/>
          <w:lang w:val="it-IT"/>
        </w:rPr>
        <w:t xml:space="preserve"> </w:t>
      </w:r>
      <w:proofErr w:type="spellStart"/>
      <w:r w:rsidR="00CC6368" w:rsidRPr="000F6B37">
        <w:rPr>
          <w:sz w:val="22"/>
          <w:szCs w:val="22"/>
          <w:lang w:val="it-IT"/>
        </w:rPr>
        <w:t>koncentracije</w:t>
      </w:r>
      <w:proofErr w:type="spellEnd"/>
      <w:r w:rsidR="00CC6368" w:rsidRPr="000F6B37">
        <w:rPr>
          <w:sz w:val="22"/>
          <w:szCs w:val="22"/>
          <w:lang w:val="it-IT"/>
        </w:rPr>
        <w:t xml:space="preserve"> </w:t>
      </w:r>
      <w:proofErr w:type="spellStart"/>
      <w:r w:rsidR="00CC6368" w:rsidRPr="000F6B37">
        <w:rPr>
          <w:sz w:val="22"/>
          <w:szCs w:val="22"/>
          <w:lang w:val="it-IT"/>
        </w:rPr>
        <w:t>bilo</w:t>
      </w:r>
      <w:proofErr w:type="spellEnd"/>
      <w:r w:rsidR="00CC6368" w:rsidRPr="000F6B37">
        <w:rPr>
          <w:sz w:val="22"/>
          <w:szCs w:val="22"/>
          <w:lang w:val="it-IT"/>
        </w:rPr>
        <w:t xml:space="preserve"> je 9 minuta </w:t>
      </w:r>
      <w:proofErr w:type="spellStart"/>
      <w:r w:rsidR="00CC6368" w:rsidRPr="000F6B37">
        <w:rPr>
          <w:sz w:val="22"/>
          <w:szCs w:val="22"/>
          <w:lang w:val="it-IT"/>
        </w:rPr>
        <w:t>kraće</w:t>
      </w:r>
      <w:proofErr w:type="spellEnd"/>
      <w:r w:rsidR="00CC6368" w:rsidRPr="000F6B37">
        <w:rPr>
          <w:sz w:val="22"/>
          <w:szCs w:val="22"/>
          <w:lang w:val="it-IT"/>
        </w:rPr>
        <w:t xml:space="preserve"> sa </w:t>
      </w:r>
      <w:proofErr w:type="spellStart"/>
      <w:r w:rsidR="00CC6368" w:rsidRPr="000F6B37">
        <w:rPr>
          <w:sz w:val="22"/>
          <w:szCs w:val="22"/>
          <w:lang w:val="it-IT"/>
        </w:rPr>
        <w:t>lijekom</w:t>
      </w:r>
      <w:proofErr w:type="spellEnd"/>
      <w:r w:rsidR="00CC6368" w:rsidRPr="000F6B37">
        <w:rPr>
          <w:sz w:val="22"/>
          <w:szCs w:val="22"/>
          <w:lang w:val="it-IT"/>
        </w:rPr>
        <w:t xml:space="preserve"> </w:t>
      </w:r>
      <w:proofErr w:type="spellStart"/>
      <w:r w:rsidR="00CC6368" w:rsidRPr="000F6B37">
        <w:rPr>
          <w:sz w:val="22"/>
          <w:szCs w:val="22"/>
          <w:lang w:val="it-IT"/>
        </w:rPr>
        <w:t>Fiasp</w:t>
      </w:r>
      <w:proofErr w:type="spellEnd"/>
      <w:r w:rsidR="00CC6368" w:rsidRPr="000F6B37">
        <w:rPr>
          <w:sz w:val="22"/>
          <w:szCs w:val="22"/>
          <w:lang w:val="it-IT"/>
        </w:rPr>
        <w:t xml:space="preserve"> u </w:t>
      </w:r>
      <w:proofErr w:type="spellStart"/>
      <w:r w:rsidR="00CC6368" w:rsidRPr="000F6B37">
        <w:rPr>
          <w:sz w:val="22"/>
          <w:szCs w:val="22"/>
          <w:lang w:val="it-IT"/>
        </w:rPr>
        <w:t>poređenju</w:t>
      </w:r>
      <w:proofErr w:type="spellEnd"/>
      <w:r w:rsidR="00CC6368" w:rsidRPr="000F6B37">
        <w:rPr>
          <w:sz w:val="22"/>
          <w:szCs w:val="22"/>
          <w:lang w:val="it-IT"/>
        </w:rPr>
        <w:t xml:space="preserve"> sa </w:t>
      </w:r>
      <w:proofErr w:type="spellStart"/>
      <w:r w:rsidR="00CC6368" w:rsidRPr="000F6B37">
        <w:rPr>
          <w:sz w:val="22"/>
          <w:szCs w:val="22"/>
          <w:lang w:val="it-IT"/>
        </w:rPr>
        <w:t>lijekom</w:t>
      </w:r>
      <w:proofErr w:type="spellEnd"/>
      <w:r w:rsidR="00CC6368" w:rsidRPr="000F6B37">
        <w:rPr>
          <w:sz w:val="22"/>
          <w:szCs w:val="22"/>
          <w:lang w:val="it-IT"/>
        </w:rPr>
        <w:t xml:space="preserve"> </w:t>
      </w:r>
      <w:proofErr w:type="spellStart"/>
      <w:r w:rsidR="00CC6368" w:rsidRPr="000F6B37">
        <w:rPr>
          <w:sz w:val="22"/>
          <w:szCs w:val="22"/>
          <w:lang w:val="it-IT"/>
        </w:rPr>
        <w:t>NovoRapid</w:t>
      </w:r>
      <w:proofErr w:type="spellEnd"/>
      <w:r w:rsidR="00CC6368" w:rsidRPr="000F6B37">
        <w:rPr>
          <w:sz w:val="22"/>
          <w:szCs w:val="22"/>
          <w:lang w:val="it-IT"/>
        </w:rPr>
        <w:t xml:space="preserve">, </w:t>
      </w:r>
      <w:proofErr w:type="spellStart"/>
      <w:r w:rsidR="00CC6368" w:rsidRPr="000F6B37">
        <w:rPr>
          <w:sz w:val="22"/>
          <w:szCs w:val="22"/>
          <w:lang w:val="it-IT"/>
        </w:rPr>
        <w:t>pri</w:t>
      </w:r>
      <w:proofErr w:type="spellEnd"/>
      <w:r w:rsidR="00CC6368" w:rsidRPr="000F6B37">
        <w:rPr>
          <w:sz w:val="22"/>
          <w:szCs w:val="22"/>
          <w:lang w:val="it-IT"/>
        </w:rPr>
        <w:t xml:space="preserve"> </w:t>
      </w:r>
      <w:proofErr w:type="spellStart"/>
      <w:r w:rsidR="00CC6368" w:rsidRPr="000F6B37">
        <w:rPr>
          <w:sz w:val="22"/>
          <w:szCs w:val="22"/>
          <w:lang w:val="it-IT"/>
        </w:rPr>
        <w:t>čemu</w:t>
      </w:r>
      <w:proofErr w:type="spellEnd"/>
      <w:r w:rsidR="00CC6368" w:rsidRPr="000F6B37">
        <w:rPr>
          <w:sz w:val="22"/>
          <w:szCs w:val="22"/>
          <w:lang w:val="it-IT"/>
        </w:rPr>
        <w:t xml:space="preserve"> je </w:t>
      </w:r>
      <w:proofErr w:type="spellStart"/>
      <w:r w:rsidR="00CC6368" w:rsidRPr="000F6B37">
        <w:rPr>
          <w:sz w:val="22"/>
          <w:szCs w:val="22"/>
          <w:lang w:val="it-IT"/>
        </w:rPr>
        <w:t>tokom</w:t>
      </w:r>
      <w:proofErr w:type="spellEnd"/>
      <w:r w:rsidR="00CC6368" w:rsidRPr="000F6B37">
        <w:rPr>
          <w:sz w:val="22"/>
          <w:szCs w:val="22"/>
          <w:lang w:val="it-IT"/>
        </w:rPr>
        <w:t xml:space="preserve"> </w:t>
      </w:r>
      <w:proofErr w:type="spellStart"/>
      <w:r w:rsidR="00CC6368" w:rsidRPr="000F6B37">
        <w:rPr>
          <w:sz w:val="22"/>
          <w:szCs w:val="22"/>
          <w:lang w:val="it-IT"/>
        </w:rPr>
        <w:t>prvih</w:t>
      </w:r>
      <w:proofErr w:type="spellEnd"/>
      <w:r w:rsidR="00CC6368" w:rsidRPr="000F6B37">
        <w:rPr>
          <w:sz w:val="22"/>
          <w:szCs w:val="22"/>
          <w:lang w:val="it-IT"/>
        </w:rPr>
        <w:t xml:space="preserve"> 15 minuta </w:t>
      </w:r>
      <w:proofErr w:type="spellStart"/>
      <w:r w:rsidR="00CC6368" w:rsidRPr="000F6B37">
        <w:rPr>
          <w:sz w:val="22"/>
          <w:szCs w:val="22"/>
          <w:lang w:val="it-IT"/>
        </w:rPr>
        <w:t>bilo</w:t>
      </w:r>
      <w:proofErr w:type="spellEnd"/>
      <w:r w:rsidR="00CC6368" w:rsidRPr="000F6B37">
        <w:rPr>
          <w:sz w:val="22"/>
          <w:szCs w:val="22"/>
          <w:lang w:val="it-IT"/>
        </w:rPr>
        <w:t xml:space="preserve"> </w:t>
      </w:r>
      <w:proofErr w:type="spellStart"/>
      <w:r w:rsidR="00CC6368" w:rsidRPr="000F6B37">
        <w:rPr>
          <w:sz w:val="22"/>
          <w:szCs w:val="22"/>
          <w:lang w:val="it-IT"/>
        </w:rPr>
        <w:t>dostupno</w:t>
      </w:r>
      <w:proofErr w:type="spellEnd"/>
      <w:r w:rsidR="00CC6368" w:rsidRPr="000F6B37">
        <w:rPr>
          <w:sz w:val="22"/>
          <w:szCs w:val="22"/>
          <w:lang w:val="it-IT"/>
        </w:rPr>
        <w:t xml:space="preserve"> </w:t>
      </w:r>
      <w:proofErr w:type="spellStart"/>
      <w:r w:rsidR="00CC6368" w:rsidRPr="000F6B37">
        <w:rPr>
          <w:sz w:val="22"/>
          <w:szCs w:val="22"/>
          <w:lang w:val="it-IT"/>
        </w:rPr>
        <w:t>četiri</w:t>
      </w:r>
      <w:proofErr w:type="spellEnd"/>
      <w:r w:rsidR="00CC6368" w:rsidRPr="000F6B37">
        <w:rPr>
          <w:sz w:val="22"/>
          <w:szCs w:val="22"/>
          <w:lang w:val="it-IT"/>
        </w:rPr>
        <w:t xml:space="preserve"> puta </w:t>
      </w:r>
      <w:proofErr w:type="spellStart"/>
      <w:r w:rsidR="00CC6368" w:rsidRPr="000F6B37">
        <w:rPr>
          <w:sz w:val="22"/>
          <w:szCs w:val="22"/>
          <w:lang w:val="it-IT"/>
        </w:rPr>
        <w:t>više</w:t>
      </w:r>
      <w:proofErr w:type="spellEnd"/>
      <w:r w:rsidR="00CC6368" w:rsidRPr="000F6B37">
        <w:rPr>
          <w:sz w:val="22"/>
          <w:szCs w:val="22"/>
          <w:lang w:val="it-IT"/>
        </w:rPr>
        <w:t xml:space="preserve"> insulina, a </w:t>
      </w:r>
      <w:proofErr w:type="spellStart"/>
      <w:r w:rsidR="00CC6368" w:rsidRPr="000F6B37">
        <w:rPr>
          <w:sz w:val="22"/>
          <w:szCs w:val="22"/>
          <w:lang w:val="it-IT"/>
        </w:rPr>
        <w:t>tokom</w:t>
      </w:r>
      <w:proofErr w:type="spellEnd"/>
      <w:r w:rsidR="00CC6368" w:rsidRPr="000F6B37">
        <w:rPr>
          <w:sz w:val="22"/>
          <w:szCs w:val="22"/>
          <w:lang w:val="it-IT"/>
        </w:rPr>
        <w:t xml:space="preserve"> </w:t>
      </w:r>
      <w:proofErr w:type="spellStart"/>
      <w:r w:rsidR="00CC6368" w:rsidRPr="000F6B37">
        <w:rPr>
          <w:sz w:val="22"/>
          <w:szCs w:val="22"/>
          <w:lang w:val="it-IT"/>
        </w:rPr>
        <w:t>prvih</w:t>
      </w:r>
      <w:proofErr w:type="spellEnd"/>
      <w:r w:rsidR="00CC6368" w:rsidRPr="000F6B37">
        <w:rPr>
          <w:sz w:val="22"/>
          <w:szCs w:val="22"/>
          <w:lang w:val="it-IT"/>
        </w:rPr>
        <w:t xml:space="preserve"> 30 minuta </w:t>
      </w:r>
      <w:proofErr w:type="spellStart"/>
      <w:r w:rsidR="00CC6368" w:rsidRPr="000F6B37">
        <w:rPr>
          <w:sz w:val="22"/>
          <w:szCs w:val="22"/>
          <w:lang w:val="it-IT"/>
        </w:rPr>
        <w:t>dvostruko</w:t>
      </w:r>
      <w:proofErr w:type="spellEnd"/>
      <w:r w:rsidR="00CC6368" w:rsidRPr="000F6B37">
        <w:rPr>
          <w:sz w:val="22"/>
          <w:szCs w:val="22"/>
          <w:lang w:val="it-IT"/>
        </w:rPr>
        <w:t xml:space="preserve"> </w:t>
      </w:r>
      <w:proofErr w:type="spellStart"/>
      <w:r w:rsidR="00CC6368" w:rsidRPr="000F6B37">
        <w:rPr>
          <w:sz w:val="22"/>
          <w:szCs w:val="22"/>
          <w:lang w:val="it-IT"/>
        </w:rPr>
        <w:t>više</w:t>
      </w:r>
      <w:proofErr w:type="spellEnd"/>
      <w:r w:rsidR="00CC6368" w:rsidRPr="000F6B37">
        <w:rPr>
          <w:sz w:val="22"/>
          <w:szCs w:val="22"/>
          <w:lang w:val="it-IT"/>
        </w:rPr>
        <w:t xml:space="preserve"> insulina.</w:t>
      </w:r>
    </w:p>
    <w:p w14:paraId="5490E28A" w14:textId="77777777" w:rsidR="00CC6368" w:rsidRPr="000F6B37" w:rsidRDefault="00CC6368" w:rsidP="00CC6368">
      <w:pPr>
        <w:tabs>
          <w:tab w:val="left" w:pos="284"/>
        </w:tabs>
        <w:jc w:val="both"/>
        <w:rPr>
          <w:sz w:val="22"/>
          <w:szCs w:val="22"/>
          <w:lang w:val="it-IT"/>
        </w:rPr>
      </w:pPr>
    </w:p>
    <w:bookmarkStart w:id="0" w:name="_MON_1535730626"/>
    <w:bookmarkEnd w:id="0"/>
    <w:p w14:paraId="554FB3CE" w14:textId="77777777" w:rsidR="00CC6368" w:rsidRPr="00422BC9" w:rsidRDefault="00CC6368" w:rsidP="00CC6368">
      <w:pPr>
        <w:tabs>
          <w:tab w:val="left" w:pos="284"/>
        </w:tabs>
        <w:jc w:val="center"/>
        <w:rPr>
          <w:sz w:val="22"/>
          <w:szCs w:val="22"/>
        </w:rPr>
      </w:pPr>
      <w:r w:rsidRPr="00BA31D1">
        <w:rPr>
          <w:szCs w:val="22"/>
          <w:lang w:val="en-GB"/>
        </w:rPr>
        <w:object w:dxaOrig="5670" w:dyaOrig="5251" w14:anchorId="2E902950">
          <v:shape id="_x0000_i1026" type="#_x0000_t75" style="width:280.5pt;height:259.5pt" o:ole="">
            <v:imagedata r:id="rId12" o:title=""/>
          </v:shape>
          <o:OLEObject Type="Embed" ProgID="Word.Document.12" ShapeID="_x0000_i1026" DrawAspect="Content" ObjectID="_1780472628" r:id="rId13">
            <o:FieldCodes>\s</o:FieldCodes>
          </o:OLEObject>
        </w:object>
      </w:r>
    </w:p>
    <w:p w14:paraId="6DB1C059" w14:textId="77777777" w:rsidR="00CC6368" w:rsidRPr="00422BC9" w:rsidRDefault="00CC6368" w:rsidP="00CC6368">
      <w:pPr>
        <w:tabs>
          <w:tab w:val="left" w:pos="284"/>
        </w:tabs>
        <w:jc w:val="both"/>
        <w:rPr>
          <w:b/>
          <w:sz w:val="22"/>
          <w:szCs w:val="22"/>
        </w:rPr>
      </w:pPr>
      <w:proofErr w:type="spellStart"/>
      <w:r w:rsidRPr="00422BC9">
        <w:rPr>
          <w:b/>
          <w:sz w:val="22"/>
          <w:szCs w:val="22"/>
        </w:rPr>
        <w:t>Slika</w:t>
      </w:r>
      <w:proofErr w:type="spellEnd"/>
      <w:r w:rsidRPr="00422BC9">
        <w:rPr>
          <w:b/>
          <w:sz w:val="22"/>
          <w:szCs w:val="22"/>
        </w:rPr>
        <w:t xml:space="preserve"> 1 </w:t>
      </w:r>
      <w:proofErr w:type="spellStart"/>
      <w:r w:rsidRPr="00422BC9">
        <w:rPr>
          <w:b/>
          <w:sz w:val="22"/>
          <w:szCs w:val="22"/>
        </w:rPr>
        <w:t>Profil</w:t>
      </w:r>
      <w:proofErr w:type="spellEnd"/>
      <w:r w:rsidRPr="00422BC9">
        <w:rPr>
          <w:b/>
          <w:sz w:val="22"/>
          <w:szCs w:val="22"/>
        </w:rPr>
        <w:t xml:space="preserve"> </w:t>
      </w:r>
      <w:proofErr w:type="spellStart"/>
      <w:r w:rsidRPr="00422BC9">
        <w:rPr>
          <w:b/>
          <w:sz w:val="22"/>
          <w:szCs w:val="22"/>
        </w:rPr>
        <w:t>srednje</w:t>
      </w:r>
      <w:proofErr w:type="spellEnd"/>
      <w:r w:rsidRPr="00422BC9">
        <w:rPr>
          <w:b/>
          <w:sz w:val="22"/>
          <w:szCs w:val="22"/>
        </w:rPr>
        <w:t xml:space="preserve"> </w:t>
      </w:r>
      <w:proofErr w:type="spellStart"/>
      <w:r w:rsidRPr="00422BC9">
        <w:rPr>
          <w:b/>
          <w:sz w:val="22"/>
          <w:szCs w:val="22"/>
        </w:rPr>
        <w:t>koncentracije</w:t>
      </w:r>
      <w:proofErr w:type="spellEnd"/>
      <w:r w:rsidRPr="00422BC9">
        <w:rPr>
          <w:b/>
          <w:sz w:val="22"/>
          <w:szCs w:val="22"/>
        </w:rPr>
        <w:t xml:space="preserve"> </w:t>
      </w:r>
      <w:proofErr w:type="spellStart"/>
      <w:r w:rsidRPr="00422BC9">
        <w:rPr>
          <w:b/>
          <w:sz w:val="22"/>
          <w:szCs w:val="22"/>
        </w:rPr>
        <w:t>insulina</w:t>
      </w:r>
      <w:proofErr w:type="spellEnd"/>
      <w:r w:rsidRPr="00422BC9">
        <w:rPr>
          <w:b/>
          <w:sz w:val="22"/>
          <w:szCs w:val="22"/>
        </w:rPr>
        <w:t xml:space="preserve"> </w:t>
      </w:r>
      <w:proofErr w:type="spellStart"/>
      <w:r w:rsidRPr="00422BC9">
        <w:rPr>
          <w:b/>
          <w:sz w:val="22"/>
          <w:szCs w:val="22"/>
        </w:rPr>
        <w:t>kod</w:t>
      </w:r>
      <w:proofErr w:type="spellEnd"/>
      <w:r w:rsidRPr="00422BC9">
        <w:rPr>
          <w:b/>
          <w:sz w:val="22"/>
          <w:szCs w:val="22"/>
        </w:rPr>
        <w:t xml:space="preserve"> </w:t>
      </w:r>
      <w:proofErr w:type="spellStart"/>
      <w:r w:rsidRPr="00422BC9">
        <w:rPr>
          <w:b/>
          <w:sz w:val="22"/>
          <w:szCs w:val="22"/>
        </w:rPr>
        <w:t>pacijenata</w:t>
      </w:r>
      <w:proofErr w:type="spellEnd"/>
      <w:r w:rsidRPr="00422BC9">
        <w:rPr>
          <w:b/>
          <w:sz w:val="22"/>
          <w:szCs w:val="22"/>
        </w:rPr>
        <w:t xml:space="preserve"> </w:t>
      </w:r>
      <w:proofErr w:type="spellStart"/>
      <w:r w:rsidRPr="00422BC9">
        <w:rPr>
          <w:b/>
          <w:sz w:val="22"/>
          <w:szCs w:val="22"/>
        </w:rPr>
        <w:t>sa</w:t>
      </w:r>
      <w:proofErr w:type="spellEnd"/>
      <w:r w:rsidRPr="00422BC9">
        <w:rPr>
          <w:b/>
          <w:sz w:val="22"/>
          <w:szCs w:val="22"/>
        </w:rPr>
        <w:t xml:space="preserve"> </w:t>
      </w:r>
      <w:proofErr w:type="spellStart"/>
      <w:r w:rsidRPr="00422BC9">
        <w:rPr>
          <w:b/>
          <w:sz w:val="22"/>
          <w:szCs w:val="22"/>
        </w:rPr>
        <w:t>dijabetesom</w:t>
      </w:r>
      <w:proofErr w:type="spellEnd"/>
      <w:r w:rsidRPr="00422BC9">
        <w:rPr>
          <w:b/>
          <w:sz w:val="22"/>
          <w:szCs w:val="22"/>
        </w:rPr>
        <w:t xml:space="preserve"> </w:t>
      </w:r>
      <w:proofErr w:type="spellStart"/>
      <w:r w:rsidRPr="00422BC9">
        <w:rPr>
          <w:b/>
          <w:sz w:val="22"/>
          <w:szCs w:val="22"/>
        </w:rPr>
        <w:t>tip</w:t>
      </w:r>
      <w:r w:rsidR="00E5507C">
        <w:rPr>
          <w:b/>
          <w:sz w:val="22"/>
          <w:szCs w:val="22"/>
        </w:rPr>
        <w:t>a</w:t>
      </w:r>
      <w:proofErr w:type="spellEnd"/>
      <w:r w:rsidRPr="00422BC9">
        <w:rPr>
          <w:b/>
          <w:sz w:val="22"/>
          <w:szCs w:val="22"/>
        </w:rPr>
        <w:t xml:space="preserve"> 1 </w:t>
      </w:r>
      <w:proofErr w:type="spellStart"/>
      <w:r w:rsidRPr="00422BC9">
        <w:rPr>
          <w:b/>
          <w:sz w:val="22"/>
          <w:szCs w:val="22"/>
        </w:rPr>
        <w:t>nakon</w:t>
      </w:r>
      <w:proofErr w:type="spellEnd"/>
      <w:r w:rsidRPr="00422BC9">
        <w:rPr>
          <w:b/>
          <w:sz w:val="22"/>
          <w:szCs w:val="22"/>
        </w:rPr>
        <w:t xml:space="preserve"> </w:t>
      </w:r>
      <w:proofErr w:type="spellStart"/>
      <w:r w:rsidRPr="00422BC9">
        <w:rPr>
          <w:b/>
          <w:sz w:val="22"/>
          <w:szCs w:val="22"/>
        </w:rPr>
        <w:t>supkutane</w:t>
      </w:r>
      <w:proofErr w:type="spellEnd"/>
      <w:r w:rsidRPr="00422BC9">
        <w:rPr>
          <w:b/>
          <w:sz w:val="22"/>
          <w:szCs w:val="22"/>
        </w:rPr>
        <w:t xml:space="preserve"> </w:t>
      </w:r>
      <w:proofErr w:type="spellStart"/>
      <w:r w:rsidRPr="00422BC9">
        <w:rPr>
          <w:b/>
          <w:sz w:val="22"/>
          <w:szCs w:val="22"/>
        </w:rPr>
        <w:t>injekcije</w:t>
      </w:r>
      <w:proofErr w:type="spellEnd"/>
    </w:p>
    <w:p w14:paraId="572D005B" w14:textId="77777777" w:rsidR="00CC6368" w:rsidRPr="00422BC9" w:rsidRDefault="00CC6368" w:rsidP="00CC6368">
      <w:pPr>
        <w:tabs>
          <w:tab w:val="left" w:pos="284"/>
        </w:tabs>
        <w:jc w:val="both"/>
        <w:rPr>
          <w:b/>
          <w:sz w:val="22"/>
          <w:szCs w:val="22"/>
        </w:rPr>
      </w:pPr>
    </w:p>
    <w:p w14:paraId="74737DCB" w14:textId="1CF0A8EC" w:rsidR="00CC6368" w:rsidRPr="00422BC9" w:rsidRDefault="00CC6368" w:rsidP="00CC6368">
      <w:pPr>
        <w:tabs>
          <w:tab w:val="left" w:pos="284"/>
        </w:tabs>
        <w:jc w:val="both"/>
        <w:rPr>
          <w:sz w:val="22"/>
          <w:szCs w:val="22"/>
        </w:rPr>
      </w:pP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insulinu</w:t>
      </w:r>
      <w:proofErr w:type="spellEnd"/>
      <w:r w:rsidRPr="00422BC9">
        <w:rPr>
          <w:sz w:val="22"/>
          <w:szCs w:val="22"/>
        </w:rPr>
        <w:t xml:space="preserve"> </w:t>
      </w:r>
      <w:proofErr w:type="spellStart"/>
      <w:r w:rsidRPr="00422BC9">
        <w:rPr>
          <w:sz w:val="22"/>
          <w:szCs w:val="22"/>
        </w:rPr>
        <w:t>bila</w:t>
      </w:r>
      <w:proofErr w:type="spellEnd"/>
      <w:r w:rsidRPr="00422BC9">
        <w:rPr>
          <w:sz w:val="22"/>
          <w:szCs w:val="22"/>
        </w:rPr>
        <w:t xml:space="preserve"> je </w:t>
      </w:r>
      <w:proofErr w:type="spellStart"/>
      <w:r w:rsidRPr="00422BC9">
        <w:rPr>
          <w:sz w:val="22"/>
          <w:szCs w:val="22"/>
        </w:rPr>
        <w:t>uporediva</w:t>
      </w:r>
      <w:proofErr w:type="spellEnd"/>
      <w:r w:rsidRPr="00422BC9">
        <w:rPr>
          <w:sz w:val="22"/>
          <w:szCs w:val="22"/>
        </w:rPr>
        <w:t xml:space="preserve"> </w:t>
      </w:r>
      <w:proofErr w:type="spellStart"/>
      <w:r w:rsidRPr="00422BC9">
        <w:rPr>
          <w:sz w:val="22"/>
          <w:szCs w:val="22"/>
        </w:rPr>
        <w:t>između</w:t>
      </w:r>
      <w:proofErr w:type="spellEnd"/>
      <w:r w:rsidRPr="00422BC9">
        <w:rPr>
          <w:sz w:val="22"/>
          <w:szCs w:val="22"/>
        </w:rPr>
        <w:t xml:space="preserve"> </w:t>
      </w:r>
      <w:proofErr w:type="spellStart"/>
      <w:r w:rsidRPr="00422BC9">
        <w:rPr>
          <w:sz w:val="22"/>
          <w:szCs w:val="22"/>
        </w:rPr>
        <w:t>l</w:t>
      </w:r>
      <w:r>
        <w:rPr>
          <w:sz w:val="22"/>
          <w:szCs w:val="22"/>
        </w:rPr>
        <w:t>j</w:t>
      </w:r>
      <w:r w:rsidRPr="00422BC9">
        <w:rPr>
          <w:sz w:val="22"/>
          <w:szCs w:val="22"/>
        </w:rPr>
        <w:t>ekova</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i </w:t>
      </w:r>
      <w:proofErr w:type="spellStart"/>
      <w:r w:rsidRPr="00422BC9">
        <w:rPr>
          <w:sz w:val="22"/>
          <w:szCs w:val="22"/>
        </w:rPr>
        <w:t>NovoRapid</w:t>
      </w:r>
      <w:proofErr w:type="spellEnd"/>
      <w:r w:rsidRPr="00422BC9">
        <w:rPr>
          <w:sz w:val="22"/>
          <w:szCs w:val="22"/>
        </w:rPr>
        <w:t xml:space="preserve">. </w:t>
      </w:r>
      <w:proofErr w:type="spellStart"/>
      <w:r w:rsidRPr="00422BC9">
        <w:rPr>
          <w:sz w:val="22"/>
          <w:szCs w:val="22"/>
        </w:rPr>
        <w:t>Srednja</w:t>
      </w:r>
      <w:proofErr w:type="spellEnd"/>
      <w:r w:rsidRPr="00422BC9">
        <w:rPr>
          <w:sz w:val="22"/>
          <w:szCs w:val="22"/>
        </w:rPr>
        <w:t xml:space="preserve"> </w:t>
      </w:r>
      <w:proofErr w:type="spellStart"/>
      <w:r w:rsidRPr="00422BC9">
        <w:rPr>
          <w:sz w:val="22"/>
          <w:szCs w:val="22"/>
        </w:rPr>
        <w:t>vr</w:t>
      </w:r>
      <w:r>
        <w:rPr>
          <w:sz w:val="22"/>
          <w:szCs w:val="22"/>
        </w:rPr>
        <w:t>ij</w:t>
      </w:r>
      <w:r w:rsidRPr="00422BC9">
        <w:rPr>
          <w:sz w:val="22"/>
          <w:szCs w:val="22"/>
        </w:rPr>
        <w:t>ednost</w:t>
      </w:r>
      <w:proofErr w:type="spellEnd"/>
      <w:r w:rsidRPr="00422BC9">
        <w:rPr>
          <w:sz w:val="22"/>
          <w:szCs w:val="22"/>
        </w:rPr>
        <w:t xml:space="preserve"> </w:t>
      </w:r>
      <w:proofErr w:type="spellStart"/>
      <w:r w:rsidRPr="00422BC9">
        <w:rPr>
          <w:sz w:val="22"/>
          <w:szCs w:val="22"/>
        </w:rPr>
        <w:t>C</w:t>
      </w:r>
      <w:r w:rsidRPr="00422BC9">
        <w:rPr>
          <w:sz w:val="22"/>
          <w:szCs w:val="22"/>
          <w:vertAlign w:val="subscript"/>
        </w:rPr>
        <w:t>max</w:t>
      </w:r>
      <w:proofErr w:type="spellEnd"/>
      <w:r w:rsidRPr="00422BC9">
        <w:rPr>
          <w:sz w:val="22"/>
          <w:szCs w:val="22"/>
        </w:rPr>
        <w:t xml:space="preserve"> za </w:t>
      </w:r>
      <w:proofErr w:type="spellStart"/>
      <w:r w:rsidRPr="00422BC9">
        <w:rPr>
          <w:sz w:val="22"/>
          <w:szCs w:val="22"/>
        </w:rPr>
        <w:t>dozu</w:t>
      </w:r>
      <w:proofErr w:type="spellEnd"/>
      <w:r w:rsidRPr="00422BC9">
        <w:rPr>
          <w:sz w:val="22"/>
          <w:szCs w:val="22"/>
        </w:rPr>
        <w:t xml:space="preserve"> od 0,2 </w:t>
      </w:r>
      <w:proofErr w:type="spellStart"/>
      <w:r w:rsidRPr="00422BC9">
        <w:rPr>
          <w:sz w:val="22"/>
          <w:szCs w:val="22"/>
        </w:rPr>
        <w:t>jedinice</w:t>
      </w:r>
      <w:proofErr w:type="spellEnd"/>
      <w:r w:rsidRPr="00422BC9">
        <w:rPr>
          <w:sz w:val="22"/>
          <w:szCs w:val="22"/>
        </w:rPr>
        <w:t xml:space="preserve">/kg </w:t>
      </w:r>
      <w:proofErr w:type="spellStart"/>
      <w:r w:rsidRPr="00422BC9">
        <w:rPr>
          <w:sz w:val="22"/>
          <w:szCs w:val="22"/>
        </w:rPr>
        <w:t>t</w:t>
      </w:r>
      <w:r>
        <w:rPr>
          <w:sz w:val="22"/>
          <w:szCs w:val="22"/>
        </w:rPr>
        <w:t>j</w:t>
      </w:r>
      <w:r w:rsidRPr="00422BC9">
        <w:rPr>
          <w:sz w:val="22"/>
          <w:szCs w:val="22"/>
        </w:rPr>
        <w:t>elesne</w:t>
      </w:r>
      <w:proofErr w:type="spellEnd"/>
      <w:r w:rsidRPr="00422BC9">
        <w:rPr>
          <w:sz w:val="22"/>
          <w:szCs w:val="22"/>
        </w:rPr>
        <w:t xml:space="preserve"> mase </w:t>
      </w:r>
      <w:proofErr w:type="spellStart"/>
      <w:r w:rsidRPr="00422BC9">
        <w:rPr>
          <w:sz w:val="22"/>
          <w:szCs w:val="22"/>
        </w:rPr>
        <w:t>iznosi</w:t>
      </w:r>
      <w:proofErr w:type="spellEnd"/>
      <w:r w:rsidRPr="00422BC9">
        <w:rPr>
          <w:sz w:val="22"/>
          <w:szCs w:val="22"/>
        </w:rPr>
        <w:t xml:space="preserve"> 298 </w:t>
      </w:r>
      <w:proofErr w:type="spellStart"/>
      <w:r w:rsidRPr="00422BC9">
        <w:rPr>
          <w:sz w:val="22"/>
          <w:szCs w:val="22"/>
        </w:rPr>
        <w:t>pikomol</w:t>
      </w:r>
      <w:proofErr w:type="spellEnd"/>
      <w:r w:rsidRPr="00422BC9">
        <w:rPr>
          <w:sz w:val="22"/>
          <w:szCs w:val="22"/>
        </w:rPr>
        <w:t>/</w:t>
      </w:r>
      <w:r w:rsidR="001F71DC">
        <w:rPr>
          <w:sz w:val="22"/>
          <w:szCs w:val="22"/>
        </w:rPr>
        <w:t>l</w:t>
      </w:r>
      <w:r w:rsidRPr="00422BC9">
        <w:rPr>
          <w:sz w:val="22"/>
          <w:szCs w:val="22"/>
        </w:rPr>
        <w:t xml:space="preserve"> i </w:t>
      </w:r>
      <w:proofErr w:type="spellStart"/>
      <w:r w:rsidRPr="00422BC9">
        <w:rPr>
          <w:sz w:val="22"/>
          <w:szCs w:val="22"/>
        </w:rPr>
        <w:t>uporediva</w:t>
      </w:r>
      <w:proofErr w:type="spellEnd"/>
      <w:r w:rsidRPr="00422BC9">
        <w:rPr>
          <w:sz w:val="22"/>
          <w:szCs w:val="22"/>
        </w:rPr>
        <w:t xml:space="preserve"> je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ekom</w:t>
      </w:r>
      <w:proofErr w:type="spellEnd"/>
      <w:r w:rsidRPr="00422BC9">
        <w:rPr>
          <w:sz w:val="22"/>
          <w:szCs w:val="22"/>
        </w:rPr>
        <w:t xml:space="preserve"> </w:t>
      </w:r>
      <w:proofErr w:type="spellStart"/>
      <w:r w:rsidRPr="00422BC9">
        <w:rPr>
          <w:sz w:val="22"/>
          <w:szCs w:val="22"/>
        </w:rPr>
        <w:t>NovoRapid</w:t>
      </w:r>
      <w:proofErr w:type="spellEnd"/>
      <w:r w:rsidRPr="00422BC9">
        <w:rPr>
          <w:sz w:val="22"/>
          <w:szCs w:val="22"/>
        </w:rPr>
        <w:t>.</w:t>
      </w:r>
    </w:p>
    <w:p w14:paraId="0DADD3AE" w14:textId="77777777" w:rsidR="00CC6368" w:rsidRPr="00422BC9" w:rsidRDefault="00CC6368" w:rsidP="00CC6368">
      <w:pPr>
        <w:tabs>
          <w:tab w:val="left" w:pos="284"/>
        </w:tabs>
        <w:jc w:val="both"/>
        <w:rPr>
          <w:sz w:val="22"/>
          <w:szCs w:val="22"/>
        </w:rPr>
      </w:pPr>
    </w:p>
    <w:p w14:paraId="609E624C" w14:textId="77777777" w:rsidR="00CC6368" w:rsidRPr="00422BC9" w:rsidRDefault="00CC6368" w:rsidP="00CC6368">
      <w:pPr>
        <w:tabs>
          <w:tab w:val="left" w:pos="284"/>
        </w:tabs>
        <w:jc w:val="both"/>
        <w:rPr>
          <w:sz w:val="22"/>
          <w:szCs w:val="22"/>
        </w:rPr>
      </w:pP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i </w:t>
      </w:r>
      <w:proofErr w:type="spellStart"/>
      <w:r w:rsidRPr="00422BC9">
        <w:rPr>
          <w:sz w:val="22"/>
          <w:szCs w:val="22"/>
        </w:rPr>
        <w:t>maksimalna</w:t>
      </w:r>
      <w:proofErr w:type="spellEnd"/>
      <w:r w:rsidRPr="00422BC9">
        <w:rPr>
          <w:sz w:val="22"/>
          <w:szCs w:val="22"/>
        </w:rPr>
        <w:t xml:space="preserve"> </w:t>
      </w:r>
      <w:proofErr w:type="spellStart"/>
      <w:r w:rsidRPr="00422BC9">
        <w:rPr>
          <w:sz w:val="22"/>
          <w:szCs w:val="22"/>
        </w:rPr>
        <w:t>koncentracija</w:t>
      </w:r>
      <w:proofErr w:type="spellEnd"/>
      <w:r w:rsidRPr="00422BC9">
        <w:rPr>
          <w:sz w:val="22"/>
          <w:szCs w:val="22"/>
        </w:rPr>
        <w:t xml:space="preserve"> </w:t>
      </w:r>
      <w:proofErr w:type="spellStart"/>
      <w:r w:rsidRPr="00422BC9">
        <w:rPr>
          <w:sz w:val="22"/>
          <w:szCs w:val="22"/>
        </w:rPr>
        <w:t>insulina</w:t>
      </w:r>
      <w:proofErr w:type="spellEnd"/>
      <w:r w:rsidRPr="00422BC9">
        <w:rPr>
          <w:sz w:val="22"/>
          <w:szCs w:val="22"/>
        </w:rPr>
        <w:t xml:space="preserve"> </w:t>
      </w:r>
      <w:proofErr w:type="spellStart"/>
      <w:r w:rsidRPr="00422BC9">
        <w:rPr>
          <w:sz w:val="22"/>
          <w:szCs w:val="22"/>
        </w:rPr>
        <w:t>proporcionalno</w:t>
      </w:r>
      <w:proofErr w:type="spellEnd"/>
      <w:r w:rsidRPr="00422BC9">
        <w:rPr>
          <w:sz w:val="22"/>
          <w:szCs w:val="22"/>
        </w:rPr>
        <w:t xml:space="preserve"> se </w:t>
      </w:r>
      <w:proofErr w:type="spellStart"/>
      <w:r w:rsidRPr="00422BC9">
        <w:rPr>
          <w:sz w:val="22"/>
          <w:szCs w:val="22"/>
        </w:rPr>
        <w:t>povećava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povećanjem</w:t>
      </w:r>
      <w:proofErr w:type="spellEnd"/>
      <w:r w:rsidRPr="00422BC9">
        <w:rPr>
          <w:sz w:val="22"/>
          <w:szCs w:val="22"/>
        </w:rPr>
        <w:t xml:space="preserve"> </w:t>
      </w:r>
      <w:proofErr w:type="spellStart"/>
      <w:r w:rsidRPr="00422BC9">
        <w:rPr>
          <w:sz w:val="22"/>
          <w:szCs w:val="22"/>
        </w:rPr>
        <w:t>supkutane</w:t>
      </w:r>
      <w:proofErr w:type="spellEnd"/>
      <w:r w:rsidRPr="00422BC9">
        <w:rPr>
          <w:sz w:val="22"/>
          <w:szCs w:val="22"/>
        </w:rPr>
        <w:t xml:space="preserve"> doze </w:t>
      </w:r>
      <w:proofErr w:type="spellStart"/>
      <w:r w:rsidRPr="00422BC9">
        <w:rPr>
          <w:sz w:val="22"/>
          <w:szCs w:val="22"/>
        </w:rPr>
        <w:t>l</w:t>
      </w:r>
      <w:r>
        <w:rPr>
          <w:sz w:val="22"/>
          <w:szCs w:val="22"/>
        </w:rPr>
        <w:t>ij</w:t>
      </w:r>
      <w:r w:rsidRPr="00422BC9">
        <w:rPr>
          <w:sz w:val="22"/>
          <w:szCs w:val="22"/>
        </w:rPr>
        <w:t>eka</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w:t>
      </w:r>
      <w:proofErr w:type="spellStart"/>
      <w:r w:rsidRPr="00422BC9">
        <w:rPr>
          <w:sz w:val="22"/>
          <w:szCs w:val="22"/>
        </w:rPr>
        <w:t>unutar</w:t>
      </w:r>
      <w:proofErr w:type="spellEnd"/>
      <w:r w:rsidRPr="00422BC9">
        <w:rPr>
          <w:sz w:val="22"/>
          <w:szCs w:val="22"/>
        </w:rPr>
        <w:t xml:space="preserve"> </w:t>
      </w:r>
      <w:proofErr w:type="spellStart"/>
      <w:r w:rsidRPr="00422BC9">
        <w:rPr>
          <w:sz w:val="22"/>
          <w:szCs w:val="22"/>
        </w:rPr>
        <w:t>terapijskog</w:t>
      </w:r>
      <w:proofErr w:type="spellEnd"/>
      <w:r w:rsidRPr="00422BC9">
        <w:rPr>
          <w:sz w:val="22"/>
          <w:szCs w:val="22"/>
        </w:rPr>
        <w:t xml:space="preserve"> </w:t>
      </w:r>
      <w:proofErr w:type="spellStart"/>
      <w:r w:rsidRPr="00422BC9">
        <w:rPr>
          <w:sz w:val="22"/>
          <w:szCs w:val="22"/>
        </w:rPr>
        <w:t>raspona</w:t>
      </w:r>
      <w:proofErr w:type="spellEnd"/>
      <w:r w:rsidRPr="00422BC9">
        <w:rPr>
          <w:sz w:val="22"/>
          <w:szCs w:val="22"/>
        </w:rPr>
        <w:t xml:space="preserve"> doze.</w:t>
      </w:r>
    </w:p>
    <w:p w14:paraId="372DDE45" w14:textId="77777777" w:rsidR="00CC6368" w:rsidRPr="00422BC9" w:rsidRDefault="00CC6368" w:rsidP="00CC6368">
      <w:pPr>
        <w:tabs>
          <w:tab w:val="left" w:pos="284"/>
        </w:tabs>
        <w:jc w:val="both"/>
        <w:rPr>
          <w:sz w:val="22"/>
          <w:szCs w:val="22"/>
        </w:rPr>
      </w:pPr>
    </w:p>
    <w:p w14:paraId="75B4BCAD" w14:textId="77777777" w:rsidR="00CC6368" w:rsidRPr="00422BC9" w:rsidRDefault="00CC6368" w:rsidP="00CC6368">
      <w:pPr>
        <w:tabs>
          <w:tab w:val="left" w:pos="284"/>
        </w:tabs>
        <w:jc w:val="both"/>
        <w:rPr>
          <w:sz w:val="22"/>
          <w:szCs w:val="22"/>
        </w:rPr>
      </w:pPr>
      <w:proofErr w:type="spellStart"/>
      <w:r w:rsidRPr="00422BC9">
        <w:rPr>
          <w:sz w:val="22"/>
          <w:szCs w:val="22"/>
        </w:rPr>
        <w:t>Apsolutna</w:t>
      </w:r>
      <w:proofErr w:type="spellEnd"/>
      <w:r w:rsidRPr="00422BC9">
        <w:rPr>
          <w:sz w:val="22"/>
          <w:szCs w:val="22"/>
        </w:rPr>
        <w:t xml:space="preserve"> </w:t>
      </w:r>
      <w:proofErr w:type="spellStart"/>
      <w:r w:rsidRPr="00422BC9">
        <w:rPr>
          <w:sz w:val="22"/>
          <w:szCs w:val="22"/>
        </w:rPr>
        <w:t>bioraspoloživost</w:t>
      </w:r>
      <w:proofErr w:type="spellEnd"/>
      <w:r w:rsidRPr="00422BC9">
        <w:rPr>
          <w:sz w:val="22"/>
          <w:szCs w:val="22"/>
        </w:rPr>
        <w:t xml:space="preserve"> insulin </w:t>
      </w:r>
      <w:proofErr w:type="spellStart"/>
      <w:r w:rsidRPr="00422BC9">
        <w:rPr>
          <w:sz w:val="22"/>
          <w:szCs w:val="22"/>
        </w:rPr>
        <w:t>asparta</w:t>
      </w:r>
      <w:proofErr w:type="spellEnd"/>
      <w:r w:rsidRPr="00422BC9">
        <w:rPr>
          <w:sz w:val="22"/>
          <w:szCs w:val="22"/>
        </w:rPr>
        <w:t xml:space="preserve"> </w:t>
      </w:r>
      <w:proofErr w:type="spellStart"/>
      <w:r w:rsidRPr="00422BC9">
        <w:rPr>
          <w:sz w:val="22"/>
          <w:szCs w:val="22"/>
        </w:rPr>
        <w:t>nakon</w:t>
      </w:r>
      <w:proofErr w:type="spellEnd"/>
      <w:r w:rsidRPr="00422BC9">
        <w:rPr>
          <w:sz w:val="22"/>
          <w:szCs w:val="22"/>
        </w:rPr>
        <w:t xml:space="preserve"> </w:t>
      </w:r>
      <w:proofErr w:type="spellStart"/>
      <w:r w:rsidRPr="00422BC9">
        <w:rPr>
          <w:sz w:val="22"/>
          <w:szCs w:val="22"/>
        </w:rPr>
        <w:t>supkutane</w:t>
      </w:r>
      <w:proofErr w:type="spellEnd"/>
      <w:r w:rsidRPr="00422BC9">
        <w:rPr>
          <w:sz w:val="22"/>
          <w:szCs w:val="22"/>
        </w:rPr>
        <w:t xml:space="preserve"> </w:t>
      </w:r>
      <w:proofErr w:type="spellStart"/>
      <w:r w:rsidRPr="00422BC9">
        <w:rPr>
          <w:sz w:val="22"/>
          <w:szCs w:val="22"/>
        </w:rPr>
        <w:t>prim</w:t>
      </w:r>
      <w:r>
        <w:rPr>
          <w:sz w:val="22"/>
          <w:szCs w:val="22"/>
        </w:rPr>
        <w:t>j</w:t>
      </w:r>
      <w:r w:rsidRPr="00422BC9">
        <w:rPr>
          <w:sz w:val="22"/>
          <w:szCs w:val="22"/>
        </w:rPr>
        <w:t>ene</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eka</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u abdomen, </w:t>
      </w:r>
      <w:proofErr w:type="spellStart"/>
      <w:r w:rsidRPr="00422BC9">
        <w:rPr>
          <w:sz w:val="22"/>
          <w:szCs w:val="22"/>
        </w:rPr>
        <w:t>deltoidni</w:t>
      </w:r>
      <w:proofErr w:type="spellEnd"/>
      <w:r w:rsidRPr="00422BC9">
        <w:rPr>
          <w:sz w:val="22"/>
          <w:szCs w:val="22"/>
        </w:rPr>
        <w:t xml:space="preserve"> </w:t>
      </w:r>
      <w:proofErr w:type="spellStart"/>
      <w:r w:rsidRPr="00422BC9">
        <w:rPr>
          <w:sz w:val="22"/>
          <w:szCs w:val="22"/>
        </w:rPr>
        <w:t>mišić</w:t>
      </w:r>
      <w:proofErr w:type="spellEnd"/>
      <w:r w:rsidRPr="00422BC9">
        <w:rPr>
          <w:sz w:val="22"/>
          <w:szCs w:val="22"/>
        </w:rPr>
        <w:t xml:space="preserve"> i </w:t>
      </w:r>
      <w:proofErr w:type="spellStart"/>
      <w:r w:rsidRPr="00422BC9">
        <w:rPr>
          <w:sz w:val="22"/>
          <w:szCs w:val="22"/>
        </w:rPr>
        <w:t>bedreni</w:t>
      </w:r>
      <w:proofErr w:type="spellEnd"/>
      <w:r w:rsidRPr="00422BC9">
        <w:rPr>
          <w:sz w:val="22"/>
          <w:szCs w:val="22"/>
        </w:rPr>
        <w:t xml:space="preserve"> </w:t>
      </w:r>
      <w:proofErr w:type="spellStart"/>
      <w:r w:rsidR="00506F81" w:rsidRPr="00422BC9">
        <w:rPr>
          <w:sz w:val="22"/>
          <w:szCs w:val="22"/>
        </w:rPr>
        <w:t>pred</w:t>
      </w:r>
      <w:r w:rsidR="00506F81">
        <w:rPr>
          <w:sz w:val="22"/>
          <w:szCs w:val="22"/>
        </w:rPr>
        <w:t>i</w:t>
      </w:r>
      <w:r w:rsidR="00506F81" w:rsidRPr="00422BC9">
        <w:rPr>
          <w:sz w:val="22"/>
          <w:szCs w:val="22"/>
        </w:rPr>
        <w:t>o</w:t>
      </w:r>
      <w:proofErr w:type="spellEnd"/>
      <w:r w:rsidR="00506F81" w:rsidRPr="00422BC9">
        <w:rPr>
          <w:sz w:val="22"/>
          <w:szCs w:val="22"/>
        </w:rPr>
        <w:t xml:space="preserve"> </w:t>
      </w:r>
      <w:proofErr w:type="spellStart"/>
      <w:r w:rsidRPr="00422BC9">
        <w:rPr>
          <w:sz w:val="22"/>
          <w:szCs w:val="22"/>
        </w:rPr>
        <w:t>iznosila</w:t>
      </w:r>
      <w:proofErr w:type="spellEnd"/>
      <w:r w:rsidRPr="00422BC9">
        <w:rPr>
          <w:sz w:val="22"/>
          <w:szCs w:val="22"/>
        </w:rPr>
        <w:t xml:space="preserve"> je </w:t>
      </w:r>
      <w:proofErr w:type="spellStart"/>
      <w:r w:rsidRPr="00422BC9">
        <w:rPr>
          <w:sz w:val="22"/>
          <w:szCs w:val="22"/>
        </w:rPr>
        <w:t>otprilike</w:t>
      </w:r>
      <w:proofErr w:type="spellEnd"/>
      <w:r w:rsidRPr="00422BC9">
        <w:rPr>
          <w:sz w:val="22"/>
          <w:szCs w:val="22"/>
        </w:rPr>
        <w:t xml:space="preserve"> 80%.</w:t>
      </w:r>
    </w:p>
    <w:p w14:paraId="31B74138" w14:textId="77777777" w:rsidR="00CC6368" w:rsidRDefault="00CC6368" w:rsidP="00480FB1">
      <w:pPr>
        <w:tabs>
          <w:tab w:val="left" w:pos="540"/>
          <w:tab w:val="left" w:pos="569"/>
        </w:tabs>
        <w:rPr>
          <w:bCs/>
          <w:sz w:val="22"/>
          <w:szCs w:val="22"/>
        </w:rPr>
      </w:pPr>
    </w:p>
    <w:p w14:paraId="5E4DCB4C" w14:textId="77777777" w:rsidR="00CC6368" w:rsidRPr="00422BC9" w:rsidRDefault="00CC6368" w:rsidP="00CC6368">
      <w:pPr>
        <w:tabs>
          <w:tab w:val="left" w:pos="284"/>
        </w:tabs>
        <w:jc w:val="both"/>
        <w:rPr>
          <w:sz w:val="22"/>
          <w:szCs w:val="22"/>
        </w:rPr>
      </w:pPr>
      <w:proofErr w:type="spellStart"/>
      <w:r w:rsidRPr="00422BC9">
        <w:rPr>
          <w:sz w:val="22"/>
          <w:szCs w:val="22"/>
        </w:rPr>
        <w:lastRenderedPageBreak/>
        <w:t>Nakon</w:t>
      </w:r>
      <w:proofErr w:type="spellEnd"/>
      <w:r w:rsidRPr="00422BC9">
        <w:rPr>
          <w:sz w:val="22"/>
          <w:szCs w:val="22"/>
        </w:rPr>
        <w:t xml:space="preserve"> </w:t>
      </w:r>
      <w:proofErr w:type="spellStart"/>
      <w:r w:rsidRPr="00422BC9">
        <w:rPr>
          <w:sz w:val="22"/>
          <w:szCs w:val="22"/>
        </w:rPr>
        <w:t>prim</w:t>
      </w:r>
      <w:r>
        <w:rPr>
          <w:sz w:val="22"/>
          <w:szCs w:val="22"/>
        </w:rPr>
        <w:t>j</w:t>
      </w:r>
      <w:r w:rsidRPr="00422BC9">
        <w:rPr>
          <w:sz w:val="22"/>
          <w:szCs w:val="22"/>
        </w:rPr>
        <w:t>ene</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eka</w:t>
      </w:r>
      <w:proofErr w:type="spellEnd"/>
      <w:r w:rsidRPr="00422BC9">
        <w:rPr>
          <w:sz w:val="22"/>
          <w:szCs w:val="22"/>
        </w:rPr>
        <w:t xml:space="preserve"> </w:t>
      </w:r>
      <w:proofErr w:type="spellStart"/>
      <w:r w:rsidRPr="00422BC9">
        <w:rPr>
          <w:sz w:val="22"/>
          <w:szCs w:val="22"/>
        </w:rPr>
        <w:t>Fiasp</w:t>
      </w:r>
      <w:proofErr w:type="spellEnd"/>
      <w:r w:rsidR="00506F81">
        <w:rPr>
          <w:sz w:val="22"/>
          <w:szCs w:val="22"/>
        </w:rPr>
        <w:t>,</w:t>
      </w:r>
      <w:r w:rsidRPr="00422BC9">
        <w:rPr>
          <w:sz w:val="22"/>
          <w:szCs w:val="22"/>
        </w:rPr>
        <w:t xml:space="preserve"> </w:t>
      </w:r>
      <w:proofErr w:type="spellStart"/>
      <w:r w:rsidRPr="00422BC9">
        <w:rPr>
          <w:sz w:val="22"/>
          <w:szCs w:val="22"/>
        </w:rPr>
        <w:t>brz</w:t>
      </w:r>
      <w:proofErr w:type="spellEnd"/>
      <w:r w:rsidRPr="00422BC9">
        <w:rPr>
          <w:sz w:val="22"/>
          <w:szCs w:val="22"/>
        </w:rPr>
        <w:t xml:space="preserve"> </w:t>
      </w:r>
      <w:proofErr w:type="spellStart"/>
      <w:r w:rsidRPr="00422BC9">
        <w:rPr>
          <w:sz w:val="22"/>
          <w:szCs w:val="22"/>
        </w:rPr>
        <w:t>nastup</w:t>
      </w:r>
      <w:proofErr w:type="spellEnd"/>
      <w:r w:rsidRPr="00422BC9">
        <w:rPr>
          <w:sz w:val="22"/>
          <w:szCs w:val="22"/>
        </w:rPr>
        <w:t xml:space="preserve"> </w:t>
      </w:r>
      <w:proofErr w:type="spellStart"/>
      <w:r w:rsidRPr="00422BC9">
        <w:rPr>
          <w:sz w:val="22"/>
          <w:szCs w:val="22"/>
        </w:rPr>
        <w:t>pojave</w:t>
      </w:r>
      <w:proofErr w:type="spellEnd"/>
      <w:r w:rsidRPr="00422BC9">
        <w:rPr>
          <w:sz w:val="22"/>
          <w:szCs w:val="22"/>
        </w:rPr>
        <w:t xml:space="preserve"> se </w:t>
      </w:r>
      <w:proofErr w:type="spellStart"/>
      <w:r w:rsidRPr="00422BC9">
        <w:rPr>
          <w:sz w:val="22"/>
          <w:szCs w:val="22"/>
        </w:rPr>
        <w:t>održava</w:t>
      </w:r>
      <w:proofErr w:type="spellEnd"/>
      <w:r w:rsidRPr="00422BC9">
        <w:rPr>
          <w:sz w:val="22"/>
          <w:szCs w:val="22"/>
        </w:rPr>
        <w:t xml:space="preserve"> </w:t>
      </w:r>
      <w:proofErr w:type="spellStart"/>
      <w:r w:rsidRPr="00422BC9">
        <w:rPr>
          <w:sz w:val="22"/>
          <w:szCs w:val="22"/>
        </w:rPr>
        <w:t>nezavisno</w:t>
      </w:r>
      <w:proofErr w:type="spellEnd"/>
      <w:r w:rsidRPr="00422BC9">
        <w:rPr>
          <w:sz w:val="22"/>
          <w:szCs w:val="22"/>
        </w:rPr>
        <w:t xml:space="preserve"> </w:t>
      </w:r>
      <w:proofErr w:type="spellStart"/>
      <w:r w:rsidRPr="00422BC9">
        <w:rPr>
          <w:sz w:val="22"/>
          <w:szCs w:val="22"/>
        </w:rPr>
        <w:t>od</w:t>
      </w:r>
      <w:proofErr w:type="spellEnd"/>
      <w:r w:rsidRPr="00422BC9">
        <w:rPr>
          <w:sz w:val="22"/>
          <w:szCs w:val="22"/>
        </w:rPr>
        <w:t xml:space="preserve"> </w:t>
      </w:r>
      <w:proofErr w:type="spellStart"/>
      <w:r w:rsidRPr="00422BC9">
        <w:rPr>
          <w:sz w:val="22"/>
          <w:szCs w:val="22"/>
        </w:rPr>
        <w:t>m</w:t>
      </w:r>
      <w:r>
        <w:rPr>
          <w:sz w:val="22"/>
          <w:szCs w:val="22"/>
        </w:rPr>
        <w:t>j</w:t>
      </w:r>
      <w:r w:rsidRPr="00422BC9">
        <w:rPr>
          <w:sz w:val="22"/>
          <w:szCs w:val="22"/>
        </w:rPr>
        <w:t>esta</w:t>
      </w:r>
      <w:proofErr w:type="spellEnd"/>
      <w:r w:rsidRPr="00422BC9">
        <w:rPr>
          <w:sz w:val="22"/>
          <w:szCs w:val="22"/>
        </w:rPr>
        <w:t xml:space="preserve"> </w:t>
      </w:r>
      <w:proofErr w:type="spellStart"/>
      <w:r w:rsidRPr="00422BC9">
        <w:rPr>
          <w:sz w:val="22"/>
          <w:szCs w:val="22"/>
        </w:rPr>
        <w:t>ubrizgavanja</w:t>
      </w:r>
      <w:proofErr w:type="spellEnd"/>
      <w:r w:rsidRPr="00422BC9">
        <w:rPr>
          <w:sz w:val="22"/>
          <w:szCs w:val="22"/>
        </w:rPr>
        <w:t xml:space="preserve">. </w:t>
      </w:r>
      <w:proofErr w:type="spellStart"/>
      <w:r w:rsidRPr="00422BC9">
        <w:rPr>
          <w:sz w:val="22"/>
          <w:szCs w:val="22"/>
        </w:rPr>
        <w:t>Vr</w:t>
      </w:r>
      <w:r>
        <w:rPr>
          <w:sz w:val="22"/>
          <w:szCs w:val="22"/>
        </w:rPr>
        <w:t>ij</w:t>
      </w:r>
      <w:r w:rsidRPr="00422BC9">
        <w:rPr>
          <w:sz w:val="22"/>
          <w:szCs w:val="22"/>
        </w:rPr>
        <w:t>eme</w:t>
      </w:r>
      <w:proofErr w:type="spellEnd"/>
      <w:r w:rsidRPr="00422BC9">
        <w:rPr>
          <w:sz w:val="22"/>
          <w:szCs w:val="22"/>
        </w:rPr>
        <w:t xml:space="preserve"> do </w:t>
      </w:r>
      <w:proofErr w:type="spellStart"/>
      <w:r w:rsidRPr="00422BC9">
        <w:rPr>
          <w:sz w:val="22"/>
          <w:szCs w:val="22"/>
        </w:rPr>
        <w:t>postizanja</w:t>
      </w:r>
      <w:proofErr w:type="spellEnd"/>
      <w:r w:rsidRPr="00422BC9">
        <w:rPr>
          <w:sz w:val="22"/>
          <w:szCs w:val="22"/>
        </w:rPr>
        <w:t xml:space="preserve"> </w:t>
      </w:r>
      <w:proofErr w:type="spellStart"/>
      <w:r w:rsidRPr="00422BC9">
        <w:rPr>
          <w:sz w:val="22"/>
          <w:szCs w:val="22"/>
        </w:rPr>
        <w:t>maksimalne</w:t>
      </w:r>
      <w:proofErr w:type="spellEnd"/>
      <w:r w:rsidRPr="00422BC9">
        <w:rPr>
          <w:sz w:val="22"/>
          <w:szCs w:val="22"/>
        </w:rPr>
        <w:t xml:space="preserve"> </w:t>
      </w:r>
      <w:proofErr w:type="spellStart"/>
      <w:r w:rsidRPr="00422BC9">
        <w:rPr>
          <w:sz w:val="22"/>
          <w:szCs w:val="22"/>
        </w:rPr>
        <w:t>koncentracije</w:t>
      </w:r>
      <w:proofErr w:type="spellEnd"/>
      <w:r w:rsidRPr="00422BC9">
        <w:rPr>
          <w:sz w:val="22"/>
          <w:szCs w:val="22"/>
        </w:rPr>
        <w:t xml:space="preserve"> i </w:t>
      </w: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insulin </w:t>
      </w:r>
      <w:proofErr w:type="spellStart"/>
      <w:r w:rsidRPr="00422BC9">
        <w:rPr>
          <w:sz w:val="22"/>
          <w:szCs w:val="22"/>
        </w:rPr>
        <w:t>aspartu</w:t>
      </w:r>
      <w:proofErr w:type="spellEnd"/>
      <w:r w:rsidRPr="00422BC9">
        <w:rPr>
          <w:sz w:val="22"/>
          <w:szCs w:val="22"/>
        </w:rPr>
        <w:t xml:space="preserve"> </w:t>
      </w:r>
      <w:proofErr w:type="spellStart"/>
      <w:r w:rsidRPr="00422BC9">
        <w:rPr>
          <w:sz w:val="22"/>
          <w:szCs w:val="22"/>
        </w:rPr>
        <w:t>bili</w:t>
      </w:r>
      <w:proofErr w:type="spellEnd"/>
      <w:r w:rsidRPr="00422BC9">
        <w:rPr>
          <w:sz w:val="22"/>
          <w:szCs w:val="22"/>
        </w:rPr>
        <w:t xml:space="preserve"> </w:t>
      </w:r>
      <w:proofErr w:type="spellStart"/>
      <w:r w:rsidRPr="00422BC9">
        <w:rPr>
          <w:sz w:val="22"/>
          <w:szCs w:val="22"/>
        </w:rPr>
        <w:t>su</w:t>
      </w:r>
      <w:proofErr w:type="spellEnd"/>
      <w:r w:rsidRPr="00422BC9">
        <w:rPr>
          <w:sz w:val="22"/>
          <w:szCs w:val="22"/>
        </w:rPr>
        <w:t xml:space="preserve"> </w:t>
      </w:r>
      <w:proofErr w:type="spellStart"/>
      <w:r w:rsidRPr="00422BC9">
        <w:rPr>
          <w:sz w:val="22"/>
          <w:szCs w:val="22"/>
        </w:rPr>
        <w:t>uporedivi</w:t>
      </w:r>
      <w:proofErr w:type="spellEnd"/>
      <w:r w:rsidRPr="00422BC9">
        <w:rPr>
          <w:sz w:val="22"/>
          <w:szCs w:val="22"/>
        </w:rPr>
        <w:t xml:space="preserve"> za abdomen, </w:t>
      </w:r>
      <w:proofErr w:type="spellStart"/>
      <w:r w:rsidRPr="00422BC9">
        <w:rPr>
          <w:sz w:val="22"/>
          <w:szCs w:val="22"/>
        </w:rPr>
        <w:t>nadlakticu</w:t>
      </w:r>
      <w:proofErr w:type="spellEnd"/>
      <w:r w:rsidRPr="00422BC9">
        <w:rPr>
          <w:sz w:val="22"/>
          <w:szCs w:val="22"/>
        </w:rPr>
        <w:t xml:space="preserve"> i </w:t>
      </w:r>
      <w:proofErr w:type="spellStart"/>
      <w:r w:rsidRPr="00422BC9">
        <w:rPr>
          <w:sz w:val="22"/>
          <w:szCs w:val="22"/>
        </w:rPr>
        <w:t>bedreni</w:t>
      </w:r>
      <w:proofErr w:type="spellEnd"/>
      <w:r w:rsidRPr="00422BC9">
        <w:rPr>
          <w:sz w:val="22"/>
          <w:szCs w:val="22"/>
        </w:rPr>
        <w:t xml:space="preserve"> </w:t>
      </w:r>
      <w:proofErr w:type="spellStart"/>
      <w:r w:rsidR="00506F81" w:rsidRPr="00422BC9">
        <w:rPr>
          <w:sz w:val="22"/>
          <w:szCs w:val="22"/>
        </w:rPr>
        <w:t>pred</w:t>
      </w:r>
      <w:r w:rsidR="00506F81">
        <w:rPr>
          <w:sz w:val="22"/>
          <w:szCs w:val="22"/>
        </w:rPr>
        <w:t>i</w:t>
      </w:r>
      <w:r w:rsidR="00506F81" w:rsidRPr="00422BC9">
        <w:rPr>
          <w:sz w:val="22"/>
          <w:szCs w:val="22"/>
        </w:rPr>
        <w:t>o</w:t>
      </w:r>
      <w:proofErr w:type="spellEnd"/>
      <w:r w:rsidRPr="00422BC9">
        <w:rPr>
          <w:sz w:val="22"/>
          <w:szCs w:val="22"/>
        </w:rPr>
        <w:t xml:space="preserve">. Rana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insulinu</w:t>
      </w:r>
      <w:proofErr w:type="spellEnd"/>
      <w:r w:rsidRPr="00422BC9">
        <w:rPr>
          <w:sz w:val="22"/>
          <w:szCs w:val="22"/>
        </w:rPr>
        <w:t xml:space="preserve"> i </w:t>
      </w:r>
      <w:proofErr w:type="spellStart"/>
      <w:r w:rsidRPr="00422BC9">
        <w:rPr>
          <w:sz w:val="22"/>
          <w:szCs w:val="22"/>
        </w:rPr>
        <w:t>maksimalna</w:t>
      </w:r>
      <w:proofErr w:type="spellEnd"/>
      <w:r w:rsidRPr="00422BC9">
        <w:rPr>
          <w:sz w:val="22"/>
          <w:szCs w:val="22"/>
        </w:rPr>
        <w:t xml:space="preserve"> </w:t>
      </w:r>
      <w:proofErr w:type="spellStart"/>
      <w:r w:rsidRPr="00422BC9">
        <w:rPr>
          <w:sz w:val="22"/>
          <w:szCs w:val="22"/>
        </w:rPr>
        <w:t>koncentracija</w:t>
      </w:r>
      <w:proofErr w:type="spellEnd"/>
      <w:r w:rsidRPr="00422BC9">
        <w:rPr>
          <w:sz w:val="22"/>
          <w:szCs w:val="22"/>
        </w:rPr>
        <w:t xml:space="preserve"> bile </w:t>
      </w:r>
      <w:proofErr w:type="spellStart"/>
      <w:r w:rsidRPr="00422BC9">
        <w:rPr>
          <w:sz w:val="22"/>
          <w:szCs w:val="22"/>
        </w:rPr>
        <w:t>su</w:t>
      </w:r>
      <w:proofErr w:type="spellEnd"/>
      <w:r w:rsidRPr="00422BC9">
        <w:rPr>
          <w:sz w:val="22"/>
          <w:szCs w:val="22"/>
        </w:rPr>
        <w:t xml:space="preserve"> </w:t>
      </w:r>
      <w:proofErr w:type="spellStart"/>
      <w:r w:rsidRPr="00422BC9">
        <w:rPr>
          <w:sz w:val="22"/>
          <w:szCs w:val="22"/>
        </w:rPr>
        <w:t>uporedive</w:t>
      </w:r>
      <w:proofErr w:type="spellEnd"/>
      <w:r w:rsidRPr="00422BC9">
        <w:rPr>
          <w:sz w:val="22"/>
          <w:szCs w:val="22"/>
        </w:rPr>
        <w:t xml:space="preserve"> za abdomen i </w:t>
      </w:r>
      <w:proofErr w:type="spellStart"/>
      <w:r w:rsidRPr="00422BC9">
        <w:rPr>
          <w:sz w:val="22"/>
          <w:szCs w:val="22"/>
        </w:rPr>
        <w:t>nadlakticu</w:t>
      </w:r>
      <w:proofErr w:type="spellEnd"/>
      <w:r w:rsidRPr="00422BC9">
        <w:rPr>
          <w:sz w:val="22"/>
          <w:szCs w:val="22"/>
        </w:rPr>
        <w:t xml:space="preserve">, </w:t>
      </w:r>
      <w:proofErr w:type="spellStart"/>
      <w:r w:rsidRPr="00422BC9">
        <w:rPr>
          <w:sz w:val="22"/>
          <w:szCs w:val="22"/>
        </w:rPr>
        <w:t>dok</w:t>
      </w:r>
      <w:proofErr w:type="spellEnd"/>
      <w:r w:rsidRPr="00422BC9">
        <w:rPr>
          <w:sz w:val="22"/>
          <w:szCs w:val="22"/>
        </w:rPr>
        <w:t xml:space="preserve"> je </w:t>
      </w:r>
      <w:proofErr w:type="spellStart"/>
      <w:r w:rsidRPr="00422BC9">
        <w:rPr>
          <w:sz w:val="22"/>
          <w:szCs w:val="22"/>
        </w:rPr>
        <w:t>vr</w:t>
      </w:r>
      <w:r>
        <w:rPr>
          <w:sz w:val="22"/>
          <w:szCs w:val="22"/>
        </w:rPr>
        <w:t>ij</w:t>
      </w:r>
      <w:r w:rsidRPr="00422BC9">
        <w:rPr>
          <w:sz w:val="22"/>
          <w:szCs w:val="22"/>
        </w:rPr>
        <w:t>ednost</w:t>
      </w:r>
      <w:proofErr w:type="spellEnd"/>
      <w:r w:rsidRPr="00422BC9">
        <w:rPr>
          <w:sz w:val="22"/>
          <w:szCs w:val="22"/>
        </w:rPr>
        <w:t xml:space="preserve"> za </w:t>
      </w:r>
      <w:proofErr w:type="spellStart"/>
      <w:r w:rsidRPr="00422BC9">
        <w:rPr>
          <w:sz w:val="22"/>
          <w:szCs w:val="22"/>
        </w:rPr>
        <w:t>bedreni</w:t>
      </w:r>
      <w:proofErr w:type="spellEnd"/>
      <w:r w:rsidRPr="00422BC9">
        <w:rPr>
          <w:sz w:val="22"/>
          <w:szCs w:val="22"/>
        </w:rPr>
        <w:t xml:space="preserve"> </w:t>
      </w:r>
      <w:proofErr w:type="spellStart"/>
      <w:r w:rsidR="00506F81" w:rsidRPr="00422BC9">
        <w:rPr>
          <w:sz w:val="22"/>
          <w:szCs w:val="22"/>
        </w:rPr>
        <w:t>pred</w:t>
      </w:r>
      <w:r w:rsidR="00506F81">
        <w:rPr>
          <w:sz w:val="22"/>
          <w:szCs w:val="22"/>
        </w:rPr>
        <w:t>i</w:t>
      </w:r>
      <w:r w:rsidR="00506F81" w:rsidRPr="00422BC9">
        <w:rPr>
          <w:sz w:val="22"/>
          <w:szCs w:val="22"/>
        </w:rPr>
        <w:t>o</w:t>
      </w:r>
      <w:proofErr w:type="spellEnd"/>
      <w:r w:rsidR="00506F81" w:rsidRPr="00422BC9">
        <w:rPr>
          <w:sz w:val="22"/>
          <w:szCs w:val="22"/>
        </w:rPr>
        <w:t xml:space="preserve"> </w:t>
      </w:r>
      <w:proofErr w:type="spellStart"/>
      <w:r w:rsidRPr="00422BC9">
        <w:rPr>
          <w:sz w:val="22"/>
          <w:szCs w:val="22"/>
        </w:rPr>
        <w:t>bila</w:t>
      </w:r>
      <w:proofErr w:type="spellEnd"/>
      <w:r w:rsidRPr="00422BC9">
        <w:rPr>
          <w:sz w:val="22"/>
          <w:szCs w:val="22"/>
        </w:rPr>
        <w:t xml:space="preserve"> </w:t>
      </w:r>
      <w:proofErr w:type="spellStart"/>
      <w:r w:rsidRPr="00422BC9">
        <w:rPr>
          <w:sz w:val="22"/>
          <w:szCs w:val="22"/>
        </w:rPr>
        <w:t>niža</w:t>
      </w:r>
      <w:proofErr w:type="spellEnd"/>
      <w:r w:rsidRPr="00422BC9">
        <w:rPr>
          <w:sz w:val="22"/>
          <w:szCs w:val="22"/>
        </w:rPr>
        <w:t>.</w:t>
      </w:r>
    </w:p>
    <w:p w14:paraId="697D0729" w14:textId="77777777" w:rsidR="00CC6368" w:rsidRPr="00422BC9" w:rsidRDefault="00CC6368" w:rsidP="00CC6368">
      <w:pPr>
        <w:tabs>
          <w:tab w:val="left" w:pos="284"/>
        </w:tabs>
        <w:jc w:val="both"/>
        <w:rPr>
          <w:sz w:val="22"/>
          <w:szCs w:val="22"/>
        </w:rPr>
      </w:pPr>
    </w:p>
    <w:p w14:paraId="7C88A6F4" w14:textId="77777777" w:rsidR="00CC6368" w:rsidRPr="00732ABF" w:rsidRDefault="00CC6368" w:rsidP="00CC6368">
      <w:pPr>
        <w:tabs>
          <w:tab w:val="left" w:pos="284"/>
        </w:tabs>
        <w:jc w:val="both"/>
        <w:rPr>
          <w:sz w:val="22"/>
          <w:szCs w:val="22"/>
          <w:u w:val="single"/>
          <w:lang w:val="it-IT"/>
        </w:rPr>
      </w:pPr>
      <w:proofErr w:type="spellStart"/>
      <w:r w:rsidRPr="00732ABF">
        <w:rPr>
          <w:sz w:val="22"/>
          <w:szCs w:val="22"/>
          <w:u w:val="single"/>
          <w:lang w:val="it-IT"/>
        </w:rPr>
        <w:t>Kontinuirana</w:t>
      </w:r>
      <w:proofErr w:type="spellEnd"/>
      <w:r w:rsidRPr="00732ABF">
        <w:rPr>
          <w:sz w:val="22"/>
          <w:szCs w:val="22"/>
          <w:u w:val="single"/>
          <w:lang w:val="it-IT"/>
        </w:rPr>
        <w:t xml:space="preserve"> </w:t>
      </w:r>
      <w:proofErr w:type="spellStart"/>
      <w:r w:rsidRPr="00732ABF">
        <w:rPr>
          <w:sz w:val="22"/>
          <w:szCs w:val="22"/>
          <w:u w:val="single"/>
          <w:lang w:val="it-IT"/>
        </w:rPr>
        <w:t>supkutana</w:t>
      </w:r>
      <w:proofErr w:type="spellEnd"/>
      <w:r w:rsidRPr="00732ABF">
        <w:rPr>
          <w:sz w:val="22"/>
          <w:szCs w:val="22"/>
          <w:u w:val="single"/>
          <w:lang w:val="it-IT"/>
        </w:rPr>
        <w:t xml:space="preserve"> </w:t>
      </w:r>
      <w:proofErr w:type="spellStart"/>
      <w:r w:rsidRPr="00732ABF">
        <w:rPr>
          <w:sz w:val="22"/>
          <w:szCs w:val="22"/>
          <w:u w:val="single"/>
          <w:lang w:val="it-IT"/>
        </w:rPr>
        <w:t>insulinska</w:t>
      </w:r>
      <w:proofErr w:type="spellEnd"/>
      <w:r w:rsidRPr="00732ABF">
        <w:rPr>
          <w:sz w:val="22"/>
          <w:szCs w:val="22"/>
          <w:u w:val="single"/>
          <w:lang w:val="it-IT"/>
        </w:rPr>
        <w:t xml:space="preserve"> </w:t>
      </w:r>
      <w:proofErr w:type="spellStart"/>
      <w:r w:rsidRPr="00732ABF">
        <w:rPr>
          <w:sz w:val="22"/>
          <w:szCs w:val="22"/>
          <w:u w:val="single"/>
          <w:lang w:val="it-IT"/>
        </w:rPr>
        <w:t>infuzija</w:t>
      </w:r>
      <w:proofErr w:type="spellEnd"/>
      <w:r w:rsidRPr="00732ABF">
        <w:rPr>
          <w:sz w:val="22"/>
          <w:szCs w:val="22"/>
          <w:u w:val="single"/>
          <w:lang w:val="it-IT"/>
        </w:rPr>
        <w:t xml:space="preserve"> (KSII)</w:t>
      </w:r>
    </w:p>
    <w:p w14:paraId="2179D089" w14:textId="77777777" w:rsidR="00CC6368" w:rsidRPr="00732ABF" w:rsidRDefault="00CC6368" w:rsidP="00CC6368">
      <w:pPr>
        <w:tabs>
          <w:tab w:val="left" w:pos="284"/>
        </w:tabs>
        <w:jc w:val="both"/>
        <w:rPr>
          <w:sz w:val="22"/>
          <w:szCs w:val="22"/>
          <w:lang w:val="it-IT"/>
        </w:rPr>
      </w:pPr>
      <w:proofErr w:type="spellStart"/>
      <w:r w:rsidRPr="00732ABF">
        <w:rPr>
          <w:sz w:val="22"/>
          <w:szCs w:val="22"/>
          <w:lang w:val="it-IT"/>
        </w:rPr>
        <w:t>Nastup</w:t>
      </w:r>
      <w:proofErr w:type="spellEnd"/>
      <w:r w:rsidRPr="00732ABF">
        <w:rPr>
          <w:sz w:val="22"/>
          <w:szCs w:val="22"/>
          <w:lang w:val="it-IT"/>
        </w:rPr>
        <w:t xml:space="preserve"> </w:t>
      </w:r>
      <w:proofErr w:type="spellStart"/>
      <w:r w:rsidRPr="00732ABF">
        <w:rPr>
          <w:sz w:val="22"/>
          <w:szCs w:val="22"/>
          <w:lang w:val="it-IT"/>
        </w:rPr>
        <w:t>izloženosti</w:t>
      </w:r>
      <w:proofErr w:type="spellEnd"/>
      <w:r w:rsidRPr="00732ABF">
        <w:rPr>
          <w:sz w:val="22"/>
          <w:szCs w:val="22"/>
          <w:lang w:val="it-IT"/>
        </w:rPr>
        <w:t xml:space="preserve"> </w:t>
      </w:r>
      <w:proofErr w:type="spellStart"/>
      <w:r w:rsidRPr="00732ABF">
        <w:rPr>
          <w:sz w:val="22"/>
          <w:szCs w:val="22"/>
          <w:lang w:val="it-IT"/>
        </w:rPr>
        <w:t>prilikom</w:t>
      </w:r>
      <w:proofErr w:type="spellEnd"/>
      <w:r w:rsidRPr="00732ABF">
        <w:rPr>
          <w:sz w:val="22"/>
          <w:szCs w:val="22"/>
          <w:lang w:val="it-IT"/>
        </w:rPr>
        <w:t xml:space="preserve"> </w:t>
      </w:r>
      <w:proofErr w:type="spellStart"/>
      <w:r w:rsidRPr="00732ABF">
        <w:rPr>
          <w:sz w:val="22"/>
          <w:szCs w:val="22"/>
          <w:lang w:val="it-IT"/>
        </w:rPr>
        <w:t>primjene</w:t>
      </w:r>
      <w:proofErr w:type="spellEnd"/>
      <w:r w:rsidRPr="00732ABF">
        <w:rPr>
          <w:sz w:val="22"/>
          <w:szCs w:val="22"/>
          <w:lang w:val="it-IT"/>
        </w:rPr>
        <w:t xml:space="preserve"> </w:t>
      </w:r>
      <w:proofErr w:type="spellStart"/>
      <w:r w:rsidRPr="00732ABF">
        <w:rPr>
          <w:sz w:val="22"/>
          <w:szCs w:val="22"/>
          <w:lang w:val="it-IT"/>
        </w:rPr>
        <w:t>pomoću</w:t>
      </w:r>
      <w:proofErr w:type="spellEnd"/>
      <w:r w:rsidRPr="00732ABF">
        <w:rPr>
          <w:sz w:val="22"/>
          <w:szCs w:val="22"/>
          <w:lang w:val="it-IT"/>
        </w:rPr>
        <w:t xml:space="preserve"> sistema za KSII (</w:t>
      </w:r>
      <w:proofErr w:type="spellStart"/>
      <w:r w:rsidRPr="00732ABF">
        <w:rPr>
          <w:sz w:val="22"/>
          <w:szCs w:val="22"/>
          <w:lang w:val="it-IT"/>
        </w:rPr>
        <w:t>vrijeme</w:t>
      </w:r>
      <w:proofErr w:type="spellEnd"/>
      <w:r w:rsidRPr="00732ABF">
        <w:rPr>
          <w:sz w:val="22"/>
          <w:szCs w:val="22"/>
          <w:lang w:val="it-IT"/>
        </w:rPr>
        <w:t xml:space="preserve"> do </w:t>
      </w:r>
      <w:proofErr w:type="spellStart"/>
      <w:r w:rsidRPr="00732ABF">
        <w:rPr>
          <w:sz w:val="22"/>
          <w:szCs w:val="22"/>
          <w:lang w:val="it-IT"/>
        </w:rPr>
        <w:t>postizanja</w:t>
      </w:r>
      <w:proofErr w:type="spellEnd"/>
      <w:r w:rsidRPr="00732ABF">
        <w:rPr>
          <w:sz w:val="22"/>
          <w:szCs w:val="22"/>
          <w:lang w:val="it-IT"/>
        </w:rPr>
        <w:t xml:space="preserve"> </w:t>
      </w:r>
      <w:proofErr w:type="spellStart"/>
      <w:r w:rsidRPr="00732ABF">
        <w:rPr>
          <w:sz w:val="22"/>
          <w:szCs w:val="22"/>
          <w:lang w:val="it-IT"/>
        </w:rPr>
        <w:t>maksimalne</w:t>
      </w:r>
      <w:proofErr w:type="spellEnd"/>
      <w:r w:rsidRPr="00732ABF">
        <w:rPr>
          <w:sz w:val="22"/>
          <w:szCs w:val="22"/>
          <w:lang w:val="it-IT"/>
        </w:rPr>
        <w:t xml:space="preserve"> </w:t>
      </w:r>
      <w:proofErr w:type="spellStart"/>
      <w:r w:rsidRPr="00732ABF">
        <w:rPr>
          <w:sz w:val="22"/>
          <w:szCs w:val="22"/>
          <w:lang w:val="it-IT"/>
        </w:rPr>
        <w:t>koncentracije</w:t>
      </w:r>
      <w:proofErr w:type="spellEnd"/>
      <w:r w:rsidRPr="00732ABF">
        <w:rPr>
          <w:sz w:val="22"/>
          <w:szCs w:val="22"/>
          <w:lang w:val="it-IT"/>
        </w:rPr>
        <w:t xml:space="preserve">) </w:t>
      </w:r>
      <w:proofErr w:type="spellStart"/>
      <w:r w:rsidRPr="00732ABF">
        <w:rPr>
          <w:sz w:val="22"/>
          <w:szCs w:val="22"/>
          <w:lang w:val="it-IT"/>
        </w:rPr>
        <w:t>bilo</w:t>
      </w:r>
      <w:proofErr w:type="spellEnd"/>
      <w:r w:rsidRPr="00732ABF">
        <w:rPr>
          <w:sz w:val="22"/>
          <w:szCs w:val="22"/>
          <w:lang w:val="it-IT"/>
        </w:rPr>
        <w:t xml:space="preserve"> je 26 minuta </w:t>
      </w:r>
      <w:proofErr w:type="spellStart"/>
      <w:r w:rsidRPr="00732ABF">
        <w:rPr>
          <w:sz w:val="22"/>
          <w:szCs w:val="22"/>
          <w:lang w:val="it-IT"/>
        </w:rPr>
        <w:t>kraće</w:t>
      </w:r>
      <w:proofErr w:type="spellEnd"/>
      <w:r w:rsidRPr="00732ABF">
        <w:rPr>
          <w:sz w:val="22"/>
          <w:szCs w:val="22"/>
          <w:lang w:val="it-IT"/>
        </w:rPr>
        <w:t xml:space="preserve"> sa </w:t>
      </w:r>
      <w:proofErr w:type="spellStart"/>
      <w:r w:rsidRPr="00732ABF">
        <w:rPr>
          <w:sz w:val="22"/>
          <w:szCs w:val="22"/>
          <w:lang w:val="it-IT"/>
        </w:rPr>
        <w:t>lijekom</w:t>
      </w:r>
      <w:proofErr w:type="spellEnd"/>
      <w:r w:rsidRPr="00732ABF">
        <w:rPr>
          <w:sz w:val="22"/>
          <w:szCs w:val="22"/>
          <w:lang w:val="it-IT"/>
        </w:rPr>
        <w:t xml:space="preserve"> </w:t>
      </w:r>
      <w:proofErr w:type="spellStart"/>
      <w:r w:rsidRPr="00732ABF">
        <w:rPr>
          <w:sz w:val="22"/>
          <w:szCs w:val="22"/>
          <w:lang w:val="it-IT"/>
        </w:rPr>
        <w:t>Fiasp</w:t>
      </w:r>
      <w:proofErr w:type="spellEnd"/>
      <w:r w:rsidRPr="00732ABF">
        <w:rPr>
          <w:sz w:val="22"/>
          <w:szCs w:val="22"/>
          <w:lang w:val="it-IT"/>
        </w:rPr>
        <w:t xml:space="preserve"> u </w:t>
      </w:r>
      <w:proofErr w:type="spellStart"/>
      <w:r w:rsidRPr="00732ABF">
        <w:rPr>
          <w:sz w:val="22"/>
          <w:szCs w:val="22"/>
          <w:lang w:val="it-IT"/>
        </w:rPr>
        <w:t>poređenju</w:t>
      </w:r>
      <w:proofErr w:type="spellEnd"/>
      <w:r w:rsidRPr="00732ABF">
        <w:rPr>
          <w:sz w:val="22"/>
          <w:szCs w:val="22"/>
          <w:lang w:val="it-IT"/>
        </w:rPr>
        <w:t xml:space="preserve"> sa </w:t>
      </w:r>
      <w:proofErr w:type="spellStart"/>
      <w:r w:rsidRPr="00732ABF">
        <w:rPr>
          <w:sz w:val="22"/>
          <w:szCs w:val="22"/>
          <w:lang w:val="it-IT"/>
        </w:rPr>
        <w:t>lijekom</w:t>
      </w:r>
      <w:proofErr w:type="spellEnd"/>
      <w:r w:rsidRPr="00732ABF">
        <w:rPr>
          <w:sz w:val="22"/>
          <w:szCs w:val="22"/>
          <w:lang w:val="it-IT"/>
        </w:rPr>
        <w:t xml:space="preserve"> </w:t>
      </w:r>
      <w:proofErr w:type="spellStart"/>
      <w:r w:rsidRPr="00732ABF">
        <w:rPr>
          <w:sz w:val="22"/>
          <w:szCs w:val="22"/>
          <w:lang w:val="it-IT"/>
        </w:rPr>
        <w:t>NovoRapid</w:t>
      </w:r>
      <w:proofErr w:type="spellEnd"/>
      <w:r w:rsidRPr="00732ABF">
        <w:rPr>
          <w:sz w:val="22"/>
          <w:szCs w:val="22"/>
          <w:lang w:val="it-IT"/>
        </w:rPr>
        <w:t xml:space="preserve">, </w:t>
      </w:r>
      <w:proofErr w:type="spellStart"/>
      <w:r w:rsidRPr="00732ABF">
        <w:rPr>
          <w:sz w:val="22"/>
          <w:szCs w:val="22"/>
          <w:lang w:val="it-IT"/>
        </w:rPr>
        <w:t>što</w:t>
      </w:r>
      <w:proofErr w:type="spellEnd"/>
      <w:r w:rsidRPr="00732ABF">
        <w:rPr>
          <w:sz w:val="22"/>
          <w:szCs w:val="22"/>
          <w:lang w:val="it-IT"/>
        </w:rPr>
        <w:t xml:space="preserve"> je </w:t>
      </w:r>
      <w:proofErr w:type="spellStart"/>
      <w:r w:rsidRPr="00732ABF">
        <w:rPr>
          <w:sz w:val="22"/>
          <w:szCs w:val="22"/>
          <w:lang w:val="it-IT"/>
        </w:rPr>
        <w:t>dovelo</w:t>
      </w:r>
      <w:proofErr w:type="spellEnd"/>
      <w:r w:rsidRPr="00732ABF">
        <w:rPr>
          <w:sz w:val="22"/>
          <w:szCs w:val="22"/>
          <w:lang w:val="it-IT"/>
        </w:rPr>
        <w:t xml:space="preserve"> do </w:t>
      </w:r>
      <w:proofErr w:type="spellStart"/>
      <w:r w:rsidRPr="00732ABF">
        <w:rPr>
          <w:sz w:val="22"/>
          <w:szCs w:val="22"/>
          <w:lang w:val="it-IT"/>
        </w:rPr>
        <w:t>otprilike</w:t>
      </w:r>
      <w:proofErr w:type="spellEnd"/>
      <w:r w:rsidRPr="00732ABF">
        <w:rPr>
          <w:sz w:val="22"/>
          <w:szCs w:val="22"/>
          <w:lang w:val="it-IT"/>
        </w:rPr>
        <w:t xml:space="preserve"> tri puta </w:t>
      </w:r>
      <w:proofErr w:type="spellStart"/>
      <w:r w:rsidRPr="00732ABF">
        <w:rPr>
          <w:sz w:val="22"/>
          <w:szCs w:val="22"/>
          <w:lang w:val="it-IT"/>
        </w:rPr>
        <w:t>više</w:t>
      </w:r>
      <w:proofErr w:type="spellEnd"/>
      <w:r w:rsidRPr="00732ABF">
        <w:rPr>
          <w:sz w:val="22"/>
          <w:szCs w:val="22"/>
          <w:lang w:val="it-IT"/>
        </w:rPr>
        <w:t xml:space="preserve"> </w:t>
      </w:r>
      <w:proofErr w:type="spellStart"/>
      <w:r w:rsidRPr="00732ABF">
        <w:rPr>
          <w:sz w:val="22"/>
          <w:szCs w:val="22"/>
          <w:lang w:val="it-IT"/>
        </w:rPr>
        <w:t>dostupnog</w:t>
      </w:r>
      <w:proofErr w:type="spellEnd"/>
      <w:r w:rsidRPr="00732ABF">
        <w:rPr>
          <w:sz w:val="22"/>
          <w:szCs w:val="22"/>
          <w:lang w:val="it-IT"/>
        </w:rPr>
        <w:t xml:space="preserve"> insulina </w:t>
      </w:r>
      <w:proofErr w:type="spellStart"/>
      <w:r w:rsidRPr="00732ABF">
        <w:rPr>
          <w:sz w:val="22"/>
          <w:szCs w:val="22"/>
          <w:lang w:val="it-IT"/>
        </w:rPr>
        <w:t>tokom</w:t>
      </w:r>
      <w:proofErr w:type="spellEnd"/>
      <w:r w:rsidRPr="00732ABF">
        <w:rPr>
          <w:sz w:val="22"/>
          <w:szCs w:val="22"/>
          <w:lang w:val="it-IT"/>
        </w:rPr>
        <w:t xml:space="preserve"> </w:t>
      </w:r>
      <w:proofErr w:type="spellStart"/>
      <w:r w:rsidRPr="00732ABF">
        <w:rPr>
          <w:sz w:val="22"/>
          <w:szCs w:val="22"/>
          <w:lang w:val="it-IT"/>
        </w:rPr>
        <w:t>prvih</w:t>
      </w:r>
      <w:proofErr w:type="spellEnd"/>
      <w:r w:rsidRPr="00732ABF">
        <w:rPr>
          <w:sz w:val="22"/>
          <w:szCs w:val="22"/>
          <w:lang w:val="it-IT"/>
        </w:rPr>
        <w:t xml:space="preserve"> 30 minuta (</w:t>
      </w:r>
      <w:proofErr w:type="spellStart"/>
      <w:r w:rsidRPr="00732ABF">
        <w:rPr>
          <w:sz w:val="22"/>
          <w:szCs w:val="22"/>
          <w:lang w:val="it-IT"/>
        </w:rPr>
        <w:t>Slika</w:t>
      </w:r>
      <w:proofErr w:type="spellEnd"/>
      <w:r w:rsidRPr="00732ABF">
        <w:rPr>
          <w:sz w:val="22"/>
          <w:szCs w:val="22"/>
          <w:lang w:val="it-IT"/>
        </w:rPr>
        <w:t xml:space="preserve"> 2).</w:t>
      </w:r>
    </w:p>
    <w:p w14:paraId="5941CED7" w14:textId="77777777" w:rsidR="00CC6368" w:rsidRPr="00732ABF" w:rsidRDefault="00CC6368" w:rsidP="00CC6368">
      <w:pPr>
        <w:tabs>
          <w:tab w:val="left" w:pos="284"/>
        </w:tabs>
        <w:jc w:val="both"/>
        <w:rPr>
          <w:sz w:val="22"/>
          <w:szCs w:val="22"/>
          <w:lang w:val="it-IT"/>
        </w:rPr>
      </w:pPr>
    </w:p>
    <w:bookmarkStart w:id="1" w:name="_MON_1536386628"/>
    <w:bookmarkEnd w:id="1"/>
    <w:p w14:paraId="4CA8FB5A" w14:textId="77777777" w:rsidR="00CC6368" w:rsidRPr="00422BC9" w:rsidRDefault="00CC6368" w:rsidP="00CC6368">
      <w:pPr>
        <w:tabs>
          <w:tab w:val="left" w:pos="284"/>
        </w:tabs>
        <w:jc w:val="center"/>
        <w:rPr>
          <w:sz w:val="22"/>
          <w:szCs w:val="22"/>
        </w:rPr>
      </w:pPr>
      <w:r w:rsidRPr="00BA31D1">
        <w:rPr>
          <w:color w:val="82786F"/>
          <w:szCs w:val="22"/>
          <w:lang w:val="en-GB"/>
        </w:rPr>
        <w:object w:dxaOrig="5670" w:dyaOrig="5460" w14:anchorId="6B8DAE43">
          <v:shape id="_x0000_i1027" type="#_x0000_t75" style="width:280.5pt;height:274pt" o:ole="">
            <v:imagedata r:id="rId14" o:title=""/>
          </v:shape>
          <o:OLEObject Type="Embed" ProgID="Word.Document.12" ShapeID="_x0000_i1027" DrawAspect="Content" ObjectID="_1780472629" r:id="rId15">
            <o:FieldCodes>\s</o:FieldCodes>
          </o:OLEObject>
        </w:object>
      </w:r>
    </w:p>
    <w:p w14:paraId="09BF7F18" w14:textId="77777777" w:rsidR="00CC6368" w:rsidRPr="00422BC9" w:rsidRDefault="00CC6368" w:rsidP="00CC6368">
      <w:pPr>
        <w:tabs>
          <w:tab w:val="left" w:pos="284"/>
        </w:tabs>
        <w:jc w:val="both"/>
        <w:rPr>
          <w:b/>
          <w:sz w:val="22"/>
          <w:szCs w:val="22"/>
        </w:rPr>
      </w:pPr>
      <w:proofErr w:type="spellStart"/>
      <w:r w:rsidRPr="00422BC9">
        <w:rPr>
          <w:b/>
          <w:sz w:val="22"/>
          <w:szCs w:val="22"/>
        </w:rPr>
        <w:t>Slika</w:t>
      </w:r>
      <w:proofErr w:type="spellEnd"/>
      <w:r w:rsidRPr="00422BC9">
        <w:rPr>
          <w:b/>
          <w:sz w:val="22"/>
          <w:szCs w:val="22"/>
        </w:rPr>
        <w:t xml:space="preserve"> 2 </w:t>
      </w:r>
      <w:proofErr w:type="spellStart"/>
      <w:r w:rsidRPr="00422BC9">
        <w:rPr>
          <w:b/>
          <w:sz w:val="22"/>
          <w:szCs w:val="22"/>
        </w:rPr>
        <w:t>Profili</w:t>
      </w:r>
      <w:proofErr w:type="spellEnd"/>
      <w:r w:rsidRPr="00422BC9">
        <w:rPr>
          <w:b/>
          <w:sz w:val="22"/>
          <w:szCs w:val="22"/>
        </w:rPr>
        <w:t xml:space="preserve"> </w:t>
      </w:r>
      <w:proofErr w:type="spellStart"/>
      <w:r w:rsidRPr="00422BC9">
        <w:rPr>
          <w:b/>
          <w:sz w:val="22"/>
          <w:szCs w:val="22"/>
        </w:rPr>
        <w:t>srednje</w:t>
      </w:r>
      <w:proofErr w:type="spellEnd"/>
      <w:r w:rsidRPr="00422BC9">
        <w:rPr>
          <w:b/>
          <w:sz w:val="22"/>
          <w:szCs w:val="22"/>
        </w:rPr>
        <w:t xml:space="preserve"> </w:t>
      </w:r>
      <w:proofErr w:type="spellStart"/>
      <w:r w:rsidRPr="00422BC9">
        <w:rPr>
          <w:b/>
          <w:sz w:val="22"/>
          <w:szCs w:val="22"/>
        </w:rPr>
        <w:t>koncentracije</w:t>
      </w:r>
      <w:proofErr w:type="spellEnd"/>
      <w:r w:rsidRPr="00422BC9">
        <w:rPr>
          <w:b/>
          <w:sz w:val="22"/>
          <w:szCs w:val="22"/>
        </w:rPr>
        <w:t xml:space="preserve"> </w:t>
      </w:r>
      <w:proofErr w:type="spellStart"/>
      <w:r w:rsidRPr="00422BC9">
        <w:rPr>
          <w:b/>
          <w:sz w:val="22"/>
          <w:szCs w:val="22"/>
        </w:rPr>
        <w:t>insulina</w:t>
      </w:r>
      <w:proofErr w:type="spellEnd"/>
      <w:r w:rsidRPr="00422BC9">
        <w:rPr>
          <w:b/>
          <w:sz w:val="22"/>
          <w:szCs w:val="22"/>
        </w:rPr>
        <w:t xml:space="preserve"> </w:t>
      </w:r>
      <w:proofErr w:type="spellStart"/>
      <w:r w:rsidRPr="00422BC9">
        <w:rPr>
          <w:b/>
          <w:sz w:val="22"/>
          <w:szCs w:val="22"/>
        </w:rPr>
        <w:t>kod</w:t>
      </w:r>
      <w:proofErr w:type="spellEnd"/>
      <w:r w:rsidRPr="00422BC9">
        <w:rPr>
          <w:b/>
          <w:sz w:val="22"/>
          <w:szCs w:val="22"/>
        </w:rPr>
        <w:t xml:space="preserve"> </w:t>
      </w:r>
      <w:proofErr w:type="spellStart"/>
      <w:r w:rsidRPr="00422BC9">
        <w:rPr>
          <w:b/>
          <w:sz w:val="22"/>
          <w:szCs w:val="22"/>
        </w:rPr>
        <w:t>pacijenata</w:t>
      </w:r>
      <w:proofErr w:type="spellEnd"/>
      <w:r w:rsidRPr="00422BC9">
        <w:rPr>
          <w:b/>
          <w:sz w:val="22"/>
          <w:szCs w:val="22"/>
        </w:rPr>
        <w:t xml:space="preserve"> </w:t>
      </w:r>
      <w:proofErr w:type="spellStart"/>
      <w:r w:rsidRPr="00422BC9">
        <w:rPr>
          <w:b/>
          <w:sz w:val="22"/>
          <w:szCs w:val="22"/>
        </w:rPr>
        <w:t>sa</w:t>
      </w:r>
      <w:proofErr w:type="spellEnd"/>
      <w:r w:rsidRPr="00422BC9">
        <w:rPr>
          <w:b/>
          <w:sz w:val="22"/>
          <w:szCs w:val="22"/>
        </w:rPr>
        <w:t xml:space="preserve"> </w:t>
      </w:r>
      <w:proofErr w:type="spellStart"/>
      <w:r w:rsidRPr="00422BC9">
        <w:rPr>
          <w:b/>
          <w:sz w:val="22"/>
          <w:szCs w:val="22"/>
        </w:rPr>
        <w:t>dijabetesom</w:t>
      </w:r>
      <w:proofErr w:type="spellEnd"/>
      <w:r w:rsidRPr="00422BC9">
        <w:rPr>
          <w:b/>
          <w:sz w:val="22"/>
          <w:szCs w:val="22"/>
        </w:rPr>
        <w:t xml:space="preserve"> </w:t>
      </w:r>
      <w:proofErr w:type="spellStart"/>
      <w:r w:rsidRPr="00422BC9">
        <w:rPr>
          <w:b/>
          <w:sz w:val="22"/>
          <w:szCs w:val="22"/>
        </w:rPr>
        <w:t>tip</w:t>
      </w:r>
      <w:r w:rsidR="00C96006">
        <w:rPr>
          <w:b/>
          <w:sz w:val="22"/>
          <w:szCs w:val="22"/>
        </w:rPr>
        <w:t>a</w:t>
      </w:r>
      <w:proofErr w:type="spellEnd"/>
      <w:r w:rsidRPr="00422BC9">
        <w:rPr>
          <w:b/>
          <w:sz w:val="22"/>
          <w:szCs w:val="22"/>
        </w:rPr>
        <w:t xml:space="preserve"> 1 </w:t>
      </w:r>
      <w:proofErr w:type="spellStart"/>
      <w:r w:rsidRPr="00422BC9">
        <w:rPr>
          <w:b/>
          <w:sz w:val="22"/>
          <w:szCs w:val="22"/>
        </w:rPr>
        <w:t>uz</w:t>
      </w:r>
      <w:proofErr w:type="spellEnd"/>
      <w:r w:rsidRPr="00422BC9">
        <w:rPr>
          <w:b/>
          <w:sz w:val="22"/>
          <w:szCs w:val="22"/>
        </w:rPr>
        <w:t xml:space="preserve"> </w:t>
      </w:r>
      <w:proofErr w:type="spellStart"/>
      <w:r w:rsidRPr="00422BC9">
        <w:rPr>
          <w:b/>
          <w:sz w:val="22"/>
          <w:szCs w:val="22"/>
        </w:rPr>
        <w:t>prim</w:t>
      </w:r>
      <w:r>
        <w:rPr>
          <w:b/>
          <w:sz w:val="22"/>
          <w:szCs w:val="22"/>
        </w:rPr>
        <w:t>j</w:t>
      </w:r>
      <w:r w:rsidRPr="00422BC9">
        <w:rPr>
          <w:b/>
          <w:sz w:val="22"/>
          <w:szCs w:val="22"/>
        </w:rPr>
        <w:t>enu</w:t>
      </w:r>
      <w:proofErr w:type="spellEnd"/>
      <w:r w:rsidRPr="00422BC9">
        <w:rPr>
          <w:b/>
          <w:sz w:val="22"/>
          <w:szCs w:val="22"/>
        </w:rPr>
        <w:t xml:space="preserve"> </w:t>
      </w:r>
      <w:proofErr w:type="spellStart"/>
      <w:r w:rsidRPr="00422BC9">
        <w:rPr>
          <w:b/>
          <w:sz w:val="22"/>
          <w:szCs w:val="22"/>
        </w:rPr>
        <w:t>pomoću</w:t>
      </w:r>
      <w:proofErr w:type="spellEnd"/>
      <w:r w:rsidRPr="00422BC9">
        <w:rPr>
          <w:b/>
          <w:sz w:val="22"/>
          <w:szCs w:val="22"/>
        </w:rPr>
        <w:t xml:space="preserve"> KSII (0-5 h) </w:t>
      </w:r>
      <w:proofErr w:type="spellStart"/>
      <w:r w:rsidRPr="00422BC9">
        <w:rPr>
          <w:b/>
          <w:sz w:val="22"/>
          <w:szCs w:val="22"/>
        </w:rPr>
        <w:t>korigovani</w:t>
      </w:r>
      <w:proofErr w:type="spellEnd"/>
      <w:r w:rsidRPr="00422BC9">
        <w:rPr>
          <w:b/>
          <w:sz w:val="22"/>
          <w:szCs w:val="22"/>
        </w:rPr>
        <w:t xml:space="preserve"> za </w:t>
      </w:r>
      <w:proofErr w:type="spellStart"/>
      <w:r w:rsidRPr="00422BC9">
        <w:rPr>
          <w:b/>
          <w:sz w:val="22"/>
          <w:szCs w:val="22"/>
        </w:rPr>
        <w:t>infuziju</w:t>
      </w:r>
      <w:proofErr w:type="spellEnd"/>
      <w:r w:rsidRPr="00422BC9">
        <w:rPr>
          <w:b/>
          <w:sz w:val="22"/>
          <w:szCs w:val="22"/>
        </w:rPr>
        <w:t xml:space="preserve"> </w:t>
      </w:r>
      <w:proofErr w:type="spellStart"/>
      <w:r w:rsidRPr="00422BC9">
        <w:rPr>
          <w:b/>
          <w:sz w:val="22"/>
          <w:szCs w:val="22"/>
        </w:rPr>
        <w:t>bazalnog</w:t>
      </w:r>
      <w:proofErr w:type="spellEnd"/>
      <w:r w:rsidRPr="00422BC9">
        <w:rPr>
          <w:b/>
          <w:sz w:val="22"/>
          <w:szCs w:val="22"/>
        </w:rPr>
        <w:t xml:space="preserve"> </w:t>
      </w:r>
      <w:proofErr w:type="spellStart"/>
      <w:r w:rsidRPr="00422BC9">
        <w:rPr>
          <w:b/>
          <w:sz w:val="22"/>
          <w:szCs w:val="22"/>
        </w:rPr>
        <w:t>insulina</w:t>
      </w:r>
      <w:proofErr w:type="spellEnd"/>
    </w:p>
    <w:p w14:paraId="127B7591" w14:textId="77777777" w:rsidR="00CC6368" w:rsidRPr="00422BC9" w:rsidRDefault="00CC6368" w:rsidP="00CC6368">
      <w:pPr>
        <w:tabs>
          <w:tab w:val="left" w:pos="284"/>
        </w:tabs>
        <w:jc w:val="both"/>
        <w:rPr>
          <w:sz w:val="22"/>
          <w:szCs w:val="22"/>
        </w:rPr>
      </w:pPr>
    </w:p>
    <w:p w14:paraId="2559F7D8" w14:textId="77777777" w:rsidR="00CC6368" w:rsidRPr="00CC6368" w:rsidRDefault="00CC6368" w:rsidP="00CC6368">
      <w:pPr>
        <w:tabs>
          <w:tab w:val="left" w:pos="540"/>
          <w:tab w:val="left" w:pos="569"/>
        </w:tabs>
        <w:jc w:val="both"/>
        <w:rPr>
          <w:bCs/>
          <w:sz w:val="22"/>
          <w:szCs w:val="22"/>
          <w:u w:val="single"/>
        </w:rPr>
      </w:pPr>
      <w:proofErr w:type="spellStart"/>
      <w:r w:rsidRPr="00CC6368">
        <w:rPr>
          <w:bCs/>
          <w:sz w:val="22"/>
          <w:szCs w:val="22"/>
          <w:u w:val="single"/>
        </w:rPr>
        <w:t>Distribucija</w:t>
      </w:r>
      <w:proofErr w:type="spellEnd"/>
    </w:p>
    <w:p w14:paraId="0785EDD7" w14:textId="77777777" w:rsidR="00CC6368" w:rsidRPr="00CC6368" w:rsidRDefault="00CC6368" w:rsidP="00CC6368">
      <w:pPr>
        <w:tabs>
          <w:tab w:val="left" w:pos="540"/>
          <w:tab w:val="left" w:pos="569"/>
        </w:tabs>
        <w:jc w:val="both"/>
        <w:rPr>
          <w:bCs/>
          <w:sz w:val="22"/>
          <w:szCs w:val="22"/>
        </w:rPr>
      </w:pPr>
    </w:p>
    <w:p w14:paraId="380218D0" w14:textId="77777777" w:rsidR="00CC6368" w:rsidRPr="00CC6368" w:rsidRDefault="00CC6368" w:rsidP="00CC6368">
      <w:pPr>
        <w:tabs>
          <w:tab w:val="left" w:pos="540"/>
          <w:tab w:val="left" w:pos="569"/>
        </w:tabs>
        <w:jc w:val="both"/>
        <w:rPr>
          <w:bCs/>
          <w:sz w:val="22"/>
          <w:szCs w:val="22"/>
        </w:rPr>
      </w:pPr>
      <w:r w:rsidRPr="00CC6368">
        <w:rPr>
          <w:bCs/>
          <w:sz w:val="22"/>
          <w:szCs w:val="22"/>
        </w:rPr>
        <w:t xml:space="preserve">Insulin </w:t>
      </w:r>
      <w:proofErr w:type="spellStart"/>
      <w:r w:rsidRPr="00CC6368">
        <w:rPr>
          <w:bCs/>
          <w:sz w:val="22"/>
          <w:szCs w:val="22"/>
        </w:rPr>
        <w:t>aspart</w:t>
      </w:r>
      <w:proofErr w:type="spellEnd"/>
      <w:r w:rsidRPr="00CC6368">
        <w:rPr>
          <w:bCs/>
          <w:sz w:val="22"/>
          <w:szCs w:val="22"/>
        </w:rPr>
        <w:t xml:space="preserve"> </w:t>
      </w:r>
      <w:proofErr w:type="spellStart"/>
      <w:r w:rsidRPr="00CC6368">
        <w:rPr>
          <w:bCs/>
          <w:sz w:val="22"/>
          <w:szCs w:val="22"/>
        </w:rPr>
        <w:t>ima</w:t>
      </w:r>
      <w:proofErr w:type="spellEnd"/>
      <w:r w:rsidRPr="00CC6368">
        <w:rPr>
          <w:bCs/>
          <w:sz w:val="22"/>
          <w:szCs w:val="22"/>
        </w:rPr>
        <w:t xml:space="preserve"> </w:t>
      </w:r>
      <w:proofErr w:type="spellStart"/>
      <w:r w:rsidRPr="00CC6368">
        <w:rPr>
          <w:bCs/>
          <w:sz w:val="22"/>
          <w:szCs w:val="22"/>
        </w:rPr>
        <w:t>niski</w:t>
      </w:r>
      <w:proofErr w:type="spellEnd"/>
      <w:r w:rsidRPr="00CC6368">
        <w:rPr>
          <w:bCs/>
          <w:sz w:val="22"/>
          <w:szCs w:val="22"/>
        </w:rPr>
        <w:t xml:space="preserve"> </w:t>
      </w:r>
      <w:proofErr w:type="spellStart"/>
      <w:r w:rsidRPr="00CC6368">
        <w:rPr>
          <w:bCs/>
          <w:sz w:val="22"/>
          <w:szCs w:val="22"/>
        </w:rPr>
        <w:t>afinitet</w:t>
      </w:r>
      <w:proofErr w:type="spellEnd"/>
      <w:r w:rsidRPr="00CC6368">
        <w:rPr>
          <w:bCs/>
          <w:sz w:val="22"/>
          <w:szCs w:val="22"/>
        </w:rPr>
        <w:t xml:space="preserve"> </w:t>
      </w:r>
      <w:proofErr w:type="spellStart"/>
      <w:r w:rsidRPr="00CC6368">
        <w:rPr>
          <w:bCs/>
          <w:sz w:val="22"/>
          <w:szCs w:val="22"/>
        </w:rPr>
        <w:t>vezivanja</w:t>
      </w:r>
      <w:proofErr w:type="spellEnd"/>
      <w:r w:rsidRPr="00CC6368">
        <w:rPr>
          <w:bCs/>
          <w:sz w:val="22"/>
          <w:szCs w:val="22"/>
        </w:rPr>
        <w:t xml:space="preserve"> za </w:t>
      </w:r>
      <w:proofErr w:type="spellStart"/>
      <w:r w:rsidRPr="00CC6368">
        <w:rPr>
          <w:bCs/>
          <w:sz w:val="22"/>
          <w:szCs w:val="22"/>
        </w:rPr>
        <w:t>proteine</w:t>
      </w:r>
      <w:proofErr w:type="spellEnd"/>
      <w:r w:rsidRPr="00CC6368">
        <w:rPr>
          <w:bCs/>
          <w:sz w:val="22"/>
          <w:szCs w:val="22"/>
        </w:rPr>
        <w:t xml:space="preserve"> </w:t>
      </w:r>
      <w:proofErr w:type="spellStart"/>
      <w:r w:rsidRPr="00CC6368">
        <w:rPr>
          <w:bCs/>
          <w:sz w:val="22"/>
          <w:szCs w:val="22"/>
        </w:rPr>
        <w:t>plazme</w:t>
      </w:r>
      <w:proofErr w:type="spellEnd"/>
      <w:r w:rsidRPr="00CC6368">
        <w:rPr>
          <w:bCs/>
          <w:sz w:val="22"/>
          <w:szCs w:val="22"/>
        </w:rPr>
        <w:t xml:space="preserve"> (&lt;10%), </w:t>
      </w:r>
      <w:proofErr w:type="spellStart"/>
      <w:r w:rsidRPr="00CC6368">
        <w:rPr>
          <w:bCs/>
          <w:sz w:val="22"/>
          <w:szCs w:val="22"/>
        </w:rPr>
        <w:t>slično</w:t>
      </w:r>
      <w:proofErr w:type="spellEnd"/>
      <w:r w:rsidRPr="00CC6368">
        <w:rPr>
          <w:bCs/>
          <w:sz w:val="22"/>
          <w:szCs w:val="22"/>
        </w:rPr>
        <w:t xml:space="preserve"> </w:t>
      </w:r>
      <w:proofErr w:type="spellStart"/>
      <w:r w:rsidRPr="00CC6368">
        <w:rPr>
          <w:bCs/>
          <w:sz w:val="22"/>
          <w:szCs w:val="22"/>
        </w:rPr>
        <w:t>kao</w:t>
      </w:r>
      <w:proofErr w:type="spellEnd"/>
      <w:r w:rsidRPr="00CC6368">
        <w:rPr>
          <w:bCs/>
          <w:sz w:val="22"/>
          <w:szCs w:val="22"/>
        </w:rPr>
        <w:t xml:space="preserve"> </w:t>
      </w:r>
      <w:proofErr w:type="spellStart"/>
      <w:r w:rsidRPr="00CC6368">
        <w:rPr>
          <w:bCs/>
          <w:sz w:val="22"/>
          <w:szCs w:val="22"/>
        </w:rPr>
        <w:t>kod</w:t>
      </w:r>
      <w:proofErr w:type="spellEnd"/>
      <w:r w:rsidRPr="00CC6368">
        <w:rPr>
          <w:bCs/>
          <w:sz w:val="22"/>
          <w:szCs w:val="22"/>
        </w:rPr>
        <w:t xml:space="preserve"> </w:t>
      </w:r>
      <w:proofErr w:type="spellStart"/>
      <w:r w:rsidRPr="00CC6368">
        <w:rPr>
          <w:bCs/>
          <w:sz w:val="22"/>
          <w:szCs w:val="22"/>
        </w:rPr>
        <w:t>običnog</w:t>
      </w:r>
      <w:proofErr w:type="spellEnd"/>
      <w:r w:rsidRPr="00CC6368">
        <w:rPr>
          <w:bCs/>
          <w:sz w:val="22"/>
          <w:szCs w:val="22"/>
        </w:rPr>
        <w:t xml:space="preserve"> </w:t>
      </w:r>
      <w:proofErr w:type="spellStart"/>
      <w:r w:rsidRPr="00CC6368">
        <w:rPr>
          <w:bCs/>
          <w:sz w:val="22"/>
          <w:szCs w:val="22"/>
        </w:rPr>
        <w:t>humanog</w:t>
      </w:r>
      <w:proofErr w:type="spellEnd"/>
      <w:r w:rsidRPr="00CC6368">
        <w:rPr>
          <w:bCs/>
          <w:sz w:val="22"/>
          <w:szCs w:val="22"/>
        </w:rPr>
        <w:t xml:space="preserve"> </w:t>
      </w:r>
      <w:proofErr w:type="spellStart"/>
      <w:r w:rsidRPr="00CC6368">
        <w:rPr>
          <w:bCs/>
          <w:sz w:val="22"/>
          <w:szCs w:val="22"/>
        </w:rPr>
        <w:t>insulina</w:t>
      </w:r>
      <w:proofErr w:type="spellEnd"/>
      <w:r w:rsidRPr="00CC6368">
        <w:rPr>
          <w:bCs/>
          <w:sz w:val="22"/>
          <w:szCs w:val="22"/>
        </w:rPr>
        <w:t>.</w:t>
      </w:r>
    </w:p>
    <w:p w14:paraId="437EB6E2" w14:textId="77777777" w:rsidR="00CC6368" w:rsidRPr="00CC6368" w:rsidRDefault="00CC6368" w:rsidP="00CC6368">
      <w:pPr>
        <w:tabs>
          <w:tab w:val="left" w:pos="540"/>
          <w:tab w:val="left" w:pos="569"/>
        </w:tabs>
        <w:jc w:val="both"/>
        <w:rPr>
          <w:bCs/>
          <w:sz w:val="22"/>
          <w:szCs w:val="22"/>
        </w:rPr>
      </w:pPr>
    </w:p>
    <w:p w14:paraId="6F3AD557" w14:textId="5A88C43D" w:rsidR="00CC6368" w:rsidRPr="00CC6368" w:rsidRDefault="00CC6368" w:rsidP="00CC6368">
      <w:pPr>
        <w:tabs>
          <w:tab w:val="left" w:pos="540"/>
          <w:tab w:val="left" w:pos="569"/>
        </w:tabs>
        <w:jc w:val="both"/>
        <w:rPr>
          <w:bCs/>
          <w:sz w:val="22"/>
          <w:szCs w:val="22"/>
        </w:rPr>
      </w:pPr>
      <w:proofErr w:type="spellStart"/>
      <w:r w:rsidRPr="00CC6368">
        <w:rPr>
          <w:bCs/>
          <w:sz w:val="22"/>
          <w:szCs w:val="22"/>
        </w:rPr>
        <w:t>Volumen</w:t>
      </w:r>
      <w:proofErr w:type="spellEnd"/>
      <w:r w:rsidRPr="00CC6368">
        <w:rPr>
          <w:bCs/>
          <w:sz w:val="22"/>
          <w:szCs w:val="22"/>
        </w:rPr>
        <w:t xml:space="preserve"> </w:t>
      </w:r>
      <w:proofErr w:type="spellStart"/>
      <w:r w:rsidRPr="00CC6368">
        <w:rPr>
          <w:bCs/>
          <w:sz w:val="22"/>
          <w:szCs w:val="22"/>
        </w:rPr>
        <w:t>distribucije</w:t>
      </w:r>
      <w:proofErr w:type="spellEnd"/>
      <w:r w:rsidRPr="00CC6368">
        <w:rPr>
          <w:bCs/>
          <w:sz w:val="22"/>
          <w:szCs w:val="22"/>
        </w:rPr>
        <w:t xml:space="preserve"> (</w:t>
      </w:r>
      <w:proofErr w:type="spellStart"/>
      <w:r w:rsidRPr="00CC6368">
        <w:rPr>
          <w:bCs/>
          <w:sz w:val="22"/>
          <w:szCs w:val="22"/>
        </w:rPr>
        <w:t>V</w:t>
      </w:r>
      <w:r w:rsidRPr="00CC6368">
        <w:rPr>
          <w:bCs/>
          <w:sz w:val="22"/>
          <w:szCs w:val="22"/>
          <w:vertAlign w:val="subscript"/>
        </w:rPr>
        <w:t>d</w:t>
      </w:r>
      <w:proofErr w:type="spellEnd"/>
      <w:r w:rsidRPr="00CC6368">
        <w:rPr>
          <w:bCs/>
          <w:sz w:val="22"/>
          <w:szCs w:val="22"/>
        </w:rPr>
        <w:t xml:space="preserve">) </w:t>
      </w:r>
      <w:proofErr w:type="spellStart"/>
      <w:r w:rsidRPr="00CC6368">
        <w:rPr>
          <w:bCs/>
          <w:sz w:val="22"/>
          <w:szCs w:val="22"/>
        </w:rPr>
        <w:t>nakon</w:t>
      </w:r>
      <w:proofErr w:type="spellEnd"/>
      <w:r w:rsidRPr="00CC6368">
        <w:rPr>
          <w:bCs/>
          <w:sz w:val="22"/>
          <w:szCs w:val="22"/>
        </w:rPr>
        <w:t xml:space="preserve"> </w:t>
      </w:r>
      <w:proofErr w:type="spellStart"/>
      <w:r w:rsidRPr="00CC6368">
        <w:rPr>
          <w:bCs/>
          <w:sz w:val="22"/>
          <w:szCs w:val="22"/>
        </w:rPr>
        <w:t>intravenske</w:t>
      </w:r>
      <w:proofErr w:type="spellEnd"/>
      <w:r w:rsidRPr="00CC6368">
        <w:rPr>
          <w:bCs/>
          <w:sz w:val="22"/>
          <w:szCs w:val="22"/>
        </w:rPr>
        <w:t xml:space="preserve"> </w:t>
      </w:r>
      <w:proofErr w:type="spellStart"/>
      <w:r w:rsidRPr="00CC6368">
        <w:rPr>
          <w:bCs/>
          <w:sz w:val="22"/>
          <w:szCs w:val="22"/>
        </w:rPr>
        <w:t>primjene</w:t>
      </w:r>
      <w:proofErr w:type="spellEnd"/>
      <w:r w:rsidRPr="00CC6368">
        <w:rPr>
          <w:bCs/>
          <w:sz w:val="22"/>
          <w:szCs w:val="22"/>
        </w:rPr>
        <w:t xml:space="preserve"> </w:t>
      </w:r>
      <w:proofErr w:type="spellStart"/>
      <w:r w:rsidRPr="00CC6368">
        <w:rPr>
          <w:bCs/>
          <w:sz w:val="22"/>
          <w:szCs w:val="22"/>
        </w:rPr>
        <w:t>iznosio</w:t>
      </w:r>
      <w:proofErr w:type="spellEnd"/>
      <w:r w:rsidRPr="00CC6368">
        <w:rPr>
          <w:bCs/>
          <w:sz w:val="22"/>
          <w:szCs w:val="22"/>
        </w:rPr>
        <w:t xml:space="preserve"> je 0,22 </w:t>
      </w:r>
      <w:r w:rsidR="001F71DC">
        <w:rPr>
          <w:bCs/>
          <w:sz w:val="22"/>
          <w:szCs w:val="22"/>
        </w:rPr>
        <w:t>l</w:t>
      </w:r>
      <w:r w:rsidRPr="00CC6368">
        <w:rPr>
          <w:bCs/>
          <w:sz w:val="22"/>
          <w:szCs w:val="22"/>
        </w:rPr>
        <w:t>/kg (</w:t>
      </w:r>
      <w:proofErr w:type="spellStart"/>
      <w:r w:rsidRPr="00CC6368">
        <w:rPr>
          <w:bCs/>
          <w:sz w:val="22"/>
          <w:szCs w:val="22"/>
        </w:rPr>
        <w:t>npr</w:t>
      </w:r>
      <w:proofErr w:type="spellEnd"/>
      <w:r w:rsidR="00C96006">
        <w:rPr>
          <w:bCs/>
          <w:sz w:val="22"/>
          <w:szCs w:val="22"/>
        </w:rPr>
        <w:t>.</w:t>
      </w:r>
      <w:r w:rsidRPr="00CC6368">
        <w:rPr>
          <w:bCs/>
          <w:sz w:val="22"/>
          <w:szCs w:val="22"/>
        </w:rPr>
        <w:t xml:space="preserve">, 15,4 </w:t>
      </w:r>
      <w:r w:rsidR="001F71DC">
        <w:rPr>
          <w:bCs/>
          <w:sz w:val="22"/>
          <w:szCs w:val="22"/>
        </w:rPr>
        <w:t>l</w:t>
      </w:r>
      <w:r w:rsidRPr="00CC6368">
        <w:rPr>
          <w:bCs/>
          <w:sz w:val="22"/>
          <w:szCs w:val="22"/>
        </w:rPr>
        <w:t xml:space="preserve"> za </w:t>
      </w:r>
      <w:proofErr w:type="spellStart"/>
      <w:r w:rsidRPr="00CC6368">
        <w:rPr>
          <w:bCs/>
          <w:sz w:val="22"/>
          <w:szCs w:val="22"/>
        </w:rPr>
        <w:t>ispitanika</w:t>
      </w:r>
      <w:proofErr w:type="spellEnd"/>
      <w:r w:rsidRPr="00CC6368">
        <w:rPr>
          <w:bCs/>
          <w:sz w:val="22"/>
          <w:szCs w:val="22"/>
        </w:rPr>
        <w:t xml:space="preserve"> koji </w:t>
      </w:r>
      <w:proofErr w:type="spellStart"/>
      <w:r w:rsidRPr="00CC6368">
        <w:rPr>
          <w:bCs/>
          <w:sz w:val="22"/>
          <w:szCs w:val="22"/>
        </w:rPr>
        <w:t>ima</w:t>
      </w:r>
      <w:proofErr w:type="spellEnd"/>
      <w:r w:rsidRPr="00CC6368">
        <w:rPr>
          <w:bCs/>
          <w:sz w:val="22"/>
          <w:szCs w:val="22"/>
        </w:rPr>
        <w:t xml:space="preserve"> 70 kg) </w:t>
      </w:r>
      <w:proofErr w:type="spellStart"/>
      <w:r w:rsidRPr="00CC6368">
        <w:rPr>
          <w:bCs/>
          <w:sz w:val="22"/>
          <w:szCs w:val="22"/>
        </w:rPr>
        <w:t>što</w:t>
      </w:r>
      <w:proofErr w:type="spellEnd"/>
      <w:r w:rsidRPr="00CC6368">
        <w:rPr>
          <w:bCs/>
          <w:sz w:val="22"/>
          <w:szCs w:val="22"/>
        </w:rPr>
        <w:t xml:space="preserve"> </w:t>
      </w:r>
      <w:proofErr w:type="spellStart"/>
      <w:r w:rsidRPr="00CC6368">
        <w:rPr>
          <w:bCs/>
          <w:sz w:val="22"/>
          <w:szCs w:val="22"/>
        </w:rPr>
        <w:t>odgovara</w:t>
      </w:r>
      <w:proofErr w:type="spellEnd"/>
      <w:r w:rsidRPr="00CC6368">
        <w:rPr>
          <w:bCs/>
          <w:sz w:val="22"/>
          <w:szCs w:val="22"/>
        </w:rPr>
        <w:t xml:space="preserve"> </w:t>
      </w:r>
      <w:proofErr w:type="spellStart"/>
      <w:r w:rsidRPr="00CC6368">
        <w:rPr>
          <w:bCs/>
          <w:sz w:val="22"/>
          <w:szCs w:val="22"/>
        </w:rPr>
        <w:t>ekstracelularnom</w:t>
      </w:r>
      <w:proofErr w:type="spellEnd"/>
      <w:r w:rsidRPr="00CC6368">
        <w:rPr>
          <w:bCs/>
          <w:sz w:val="22"/>
          <w:szCs w:val="22"/>
        </w:rPr>
        <w:t xml:space="preserve"> </w:t>
      </w:r>
      <w:proofErr w:type="spellStart"/>
      <w:r w:rsidRPr="00CC6368">
        <w:rPr>
          <w:bCs/>
          <w:sz w:val="22"/>
          <w:szCs w:val="22"/>
        </w:rPr>
        <w:t>volumenu</w:t>
      </w:r>
      <w:proofErr w:type="spellEnd"/>
      <w:r w:rsidRPr="00CC6368">
        <w:rPr>
          <w:bCs/>
          <w:sz w:val="22"/>
          <w:szCs w:val="22"/>
        </w:rPr>
        <w:t xml:space="preserve"> </w:t>
      </w:r>
      <w:proofErr w:type="spellStart"/>
      <w:r w:rsidRPr="00CC6368">
        <w:rPr>
          <w:bCs/>
          <w:sz w:val="22"/>
          <w:szCs w:val="22"/>
        </w:rPr>
        <w:t>tečnosti</w:t>
      </w:r>
      <w:proofErr w:type="spellEnd"/>
      <w:r w:rsidRPr="00CC6368">
        <w:rPr>
          <w:bCs/>
          <w:sz w:val="22"/>
          <w:szCs w:val="22"/>
        </w:rPr>
        <w:t xml:space="preserve"> u </w:t>
      </w:r>
      <w:proofErr w:type="spellStart"/>
      <w:r w:rsidRPr="00CC6368">
        <w:rPr>
          <w:bCs/>
          <w:sz w:val="22"/>
          <w:szCs w:val="22"/>
        </w:rPr>
        <w:t>organizmu</w:t>
      </w:r>
      <w:proofErr w:type="spellEnd"/>
      <w:r w:rsidRPr="00CC6368">
        <w:rPr>
          <w:bCs/>
          <w:sz w:val="22"/>
          <w:szCs w:val="22"/>
        </w:rPr>
        <w:t>.</w:t>
      </w:r>
    </w:p>
    <w:p w14:paraId="3F175142" w14:textId="77777777" w:rsidR="00CC6368" w:rsidRPr="00CC6368" w:rsidRDefault="00CC6368" w:rsidP="00CC6368">
      <w:pPr>
        <w:tabs>
          <w:tab w:val="left" w:pos="540"/>
          <w:tab w:val="left" w:pos="569"/>
        </w:tabs>
        <w:jc w:val="both"/>
        <w:rPr>
          <w:bCs/>
          <w:sz w:val="22"/>
          <w:szCs w:val="22"/>
        </w:rPr>
      </w:pPr>
    </w:p>
    <w:p w14:paraId="7C95251E" w14:textId="77777777" w:rsidR="00CC6368" w:rsidRPr="00CC6368" w:rsidRDefault="00CC6368" w:rsidP="00CC6368">
      <w:pPr>
        <w:tabs>
          <w:tab w:val="left" w:pos="540"/>
          <w:tab w:val="left" w:pos="569"/>
        </w:tabs>
        <w:jc w:val="both"/>
        <w:rPr>
          <w:bCs/>
          <w:sz w:val="22"/>
          <w:szCs w:val="22"/>
          <w:u w:val="single"/>
        </w:rPr>
      </w:pPr>
      <w:proofErr w:type="spellStart"/>
      <w:r w:rsidRPr="00CC6368">
        <w:rPr>
          <w:bCs/>
          <w:sz w:val="22"/>
          <w:szCs w:val="22"/>
          <w:u w:val="single"/>
        </w:rPr>
        <w:t>Biotransformacija</w:t>
      </w:r>
      <w:proofErr w:type="spellEnd"/>
    </w:p>
    <w:p w14:paraId="00BDEF6E" w14:textId="77777777" w:rsidR="00CC6368" w:rsidRPr="00CC6368" w:rsidRDefault="00CC6368" w:rsidP="00CC6368">
      <w:pPr>
        <w:tabs>
          <w:tab w:val="left" w:pos="540"/>
          <w:tab w:val="left" w:pos="569"/>
        </w:tabs>
        <w:jc w:val="both"/>
        <w:rPr>
          <w:bCs/>
          <w:sz w:val="22"/>
          <w:szCs w:val="22"/>
        </w:rPr>
      </w:pPr>
    </w:p>
    <w:p w14:paraId="1197086F" w14:textId="77777777" w:rsidR="00CC6368" w:rsidRPr="00CC6368" w:rsidRDefault="00CC6368" w:rsidP="00CC6368">
      <w:pPr>
        <w:tabs>
          <w:tab w:val="left" w:pos="540"/>
          <w:tab w:val="left" w:pos="569"/>
        </w:tabs>
        <w:jc w:val="both"/>
        <w:rPr>
          <w:bCs/>
          <w:sz w:val="22"/>
          <w:szCs w:val="22"/>
        </w:rPr>
      </w:pPr>
      <w:proofErr w:type="spellStart"/>
      <w:r w:rsidRPr="00CC6368">
        <w:rPr>
          <w:bCs/>
          <w:sz w:val="22"/>
          <w:szCs w:val="22"/>
        </w:rPr>
        <w:t>Razgradnja</w:t>
      </w:r>
      <w:proofErr w:type="spellEnd"/>
      <w:r w:rsidRPr="00CC6368">
        <w:rPr>
          <w:bCs/>
          <w:sz w:val="22"/>
          <w:szCs w:val="22"/>
        </w:rPr>
        <w:t xml:space="preserve"> insulin </w:t>
      </w:r>
      <w:proofErr w:type="spellStart"/>
      <w:r w:rsidRPr="00CC6368">
        <w:rPr>
          <w:bCs/>
          <w:sz w:val="22"/>
          <w:szCs w:val="22"/>
        </w:rPr>
        <w:t>asparta</w:t>
      </w:r>
      <w:proofErr w:type="spellEnd"/>
      <w:r w:rsidRPr="00CC6368">
        <w:rPr>
          <w:bCs/>
          <w:sz w:val="22"/>
          <w:szCs w:val="22"/>
        </w:rPr>
        <w:t xml:space="preserve"> </w:t>
      </w:r>
      <w:proofErr w:type="spellStart"/>
      <w:r w:rsidRPr="00CC6368">
        <w:rPr>
          <w:bCs/>
          <w:sz w:val="22"/>
          <w:szCs w:val="22"/>
        </w:rPr>
        <w:t>slična</w:t>
      </w:r>
      <w:proofErr w:type="spellEnd"/>
      <w:r w:rsidRPr="00CC6368">
        <w:rPr>
          <w:bCs/>
          <w:sz w:val="22"/>
          <w:szCs w:val="22"/>
        </w:rPr>
        <w:t xml:space="preserve"> je </w:t>
      </w:r>
      <w:proofErr w:type="spellStart"/>
      <w:r w:rsidRPr="00CC6368">
        <w:rPr>
          <w:bCs/>
          <w:sz w:val="22"/>
          <w:szCs w:val="22"/>
        </w:rPr>
        <w:t>razgradnji</w:t>
      </w:r>
      <w:proofErr w:type="spellEnd"/>
      <w:r w:rsidRPr="00CC6368">
        <w:rPr>
          <w:bCs/>
          <w:sz w:val="22"/>
          <w:szCs w:val="22"/>
        </w:rPr>
        <w:t xml:space="preserve"> </w:t>
      </w:r>
      <w:proofErr w:type="spellStart"/>
      <w:r w:rsidRPr="00CC6368">
        <w:rPr>
          <w:bCs/>
          <w:sz w:val="22"/>
          <w:szCs w:val="22"/>
        </w:rPr>
        <w:t>humanog</w:t>
      </w:r>
      <w:proofErr w:type="spellEnd"/>
      <w:r w:rsidRPr="00CC6368">
        <w:rPr>
          <w:bCs/>
          <w:sz w:val="22"/>
          <w:szCs w:val="22"/>
        </w:rPr>
        <w:t xml:space="preserve"> </w:t>
      </w:r>
      <w:proofErr w:type="spellStart"/>
      <w:r w:rsidRPr="00CC6368">
        <w:rPr>
          <w:bCs/>
          <w:sz w:val="22"/>
          <w:szCs w:val="22"/>
        </w:rPr>
        <w:t>insulina</w:t>
      </w:r>
      <w:proofErr w:type="spellEnd"/>
      <w:r w:rsidRPr="00CC6368">
        <w:rPr>
          <w:bCs/>
          <w:sz w:val="22"/>
          <w:szCs w:val="22"/>
        </w:rPr>
        <w:t xml:space="preserve">; </w:t>
      </w:r>
      <w:proofErr w:type="spellStart"/>
      <w:r w:rsidRPr="00CC6368">
        <w:rPr>
          <w:bCs/>
          <w:sz w:val="22"/>
          <w:szCs w:val="22"/>
        </w:rPr>
        <w:t>svi</w:t>
      </w:r>
      <w:proofErr w:type="spellEnd"/>
      <w:r w:rsidRPr="00CC6368">
        <w:rPr>
          <w:bCs/>
          <w:sz w:val="22"/>
          <w:szCs w:val="22"/>
        </w:rPr>
        <w:t xml:space="preserve"> </w:t>
      </w:r>
      <w:proofErr w:type="spellStart"/>
      <w:r w:rsidRPr="00CC6368">
        <w:rPr>
          <w:bCs/>
          <w:sz w:val="22"/>
          <w:szCs w:val="22"/>
        </w:rPr>
        <w:t>nastali</w:t>
      </w:r>
      <w:proofErr w:type="spellEnd"/>
      <w:r w:rsidRPr="00CC6368">
        <w:rPr>
          <w:bCs/>
          <w:sz w:val="22"/>
          <w:szCs w:val="22"/>
        </w:rPr>
        <w:t xml:space="preserve"> </w:t>
      </w:r>
      <w:proofErr w:type="spellStart"/>
      <w:r w:rsidRPr="00CC6368">
        <w:rPr>
          <w:bCs/>
          <w:sz w:val="22"/>
          <w:szCs w:val="22"/>
        </w:rPr>
        <w:t>metaboliti</w:t>
      </w:r>
      <w:proofErr w:type="spellEnd"/>
      <w:r w:rsidRPr="00CC6368">
        <w:rPr>
          <w:bCs/>
          <w:sz w:val="22"/>
          <w:szCs w:val="22"/>
        </w:rPr>
        <w:t xml:space="preserve"> </w:t>
      </w:r>
      <w:proofErr w:type="spellStart"/>
      <w:r w:rsidRPr="00CC6368">
        <w:rPr>
          <w:bCs/>
          <w:sz w:val="22"/>
          <w:szCs w:val="22"/>
        </w:rPr>
        <w:t>su</w:t>
      </w:r>
      <w:proofErr w:type="spellEnd"/>
      <w:r w:rsidRPr="00CC6368">
        <w:rPr>
          <w:bCs/>
          <w:sz w:val="22"/>
          <w:szCs w:val="22"/>
        </w:rPr>
        <w:t xml:space="preserve"> </w:t>
      </w:r>
      <w:proofErr w:type="spellStart"/>
      <w:r w:rsidRPr="00CC6368">
        <w:rPr>
          <w:bCs/>
          <w:sz w:val="22"/>
          <w:szCs w:val="22"/>
        </w:rPr>
        <w:t>neaktivni</w:t>
      </w:r>
      <w:proofErr w:type="spellEnd"/>
      <w:r w:rsidRPr="00CC6368">
        <w:rPr>
          <w:bCs/>
          <w:sz w:val="22"/>
          <w:szCs w:val="22"/>
        </w:rPr>
        <w:t>.</w:t>
      </w:r>
    </w:p>
    <w:p w14:paraId="6A2B4A03" w14:textId="77777777" w:rsidR="00CC6368" w:rsidRPr="00CC6368" w:rsidRDefault="00CC6368" w:rsidP="00CC6368">
      <w:pPr>
        <w:tabs>
          <w:tab w:val="left" w:pos="540"/>
          <w:tab w:val="left" w:pos="569"/>
        </w:tabs>
        <w:jc w:val="both"/>
        <w:rPr>
          <w:bCs/>
          <w:sz w:val="22"/>
          <w:szCs w:val="22"/>
        </w:rPr>
      </w:pPr>
    </w:p>
    <w:p w14:paraId="19C34992" w14:textId="77777777" w:rsidR="00CC6368" w:rsidRPr="00CC6368" w:rsidRDefault="00CC6368" w:rsidP="00CC6368">
      <w:pPr>
        <w:tabs>
          <w:tab w:val="left" w:pos="540"/>
          <w:tab w:val="left" w:pos="569"/>
        </w:tabs>
        <w:jc w:val="both"/>
        <w:rPr>
          <w:bCs/>
          <w:sz w:val="22"/>
          <w:szCs w:val="22"/>
          <w:u w:val="single"/>
        </w:rPr>
      </w:pPr>
      <w:proofErr w:type="spellStart"/>
      <w:r w:rsidRPr="00CC6368">
        <w:rPr>
          <w:bCs/>
          <w:sz w:val="22"/>
          <w:szCs w:val="22"/>
          <w:u w:val="single"/>
        </w:rPr>
        <w:t>Eliminacija</w:t>
      </w:r>
      <w:proofErr w:type="spellEnd"/>
    </w:p>
    <w:p w14:paraId="73EA1431" w14:textId="77777777" w:rsidR="00CC6368" w:rsidRPr="00CC6368" w:rsidRDefault="00CC6368" w:rsidP="00CC6368">
      <w:pPr>
        <w:tabs>
          <w:tab w:val="left" w:pos="540"/>
          <w:tab w:val="left" w:pos="569"/>
        </w:tabs>
        <w:jc w:val="both"/>
        <w:rPr>
          <w:bCs/>
          <w:sz w:val="22"/>
          <w:szCs w:val="22"/>
        </w:rPr>
      </w:pPr>
    </w:p>
    <w:p w14:paraId="761597CE" w14:textId="77777777" w:rsidR="00CC6368" w:rsidRPr="00CC6368" w:rsidRDefault="00CC6368" w:rsidP="00CC6368">
      <w:pPr>
        <w:tabs>
          <w:tab w:val="left" w:pos="540"/>
          <w:tab w:val="left" w:pos="569"/>
        </w:tabs>
        <w:jc w:val="both"/>
        <w:rPr>
          <w:bCs/>
          <w:sz w:val="22"/>
          <w:szCs w:val="22"/>
        </w:rPr>
      </w:pPr>
      <w:proofErr w:type="spellStart"/>
      <w:r w:rsidRPr="00CC6368">
        <w:rPr>
          <w:bCs/>
          <w:sz w:val="22"/>
          <w:szCs w:val="22"/>
        </w:rPr>
        <w:t>Poluvr</w:t>
      </w:r>
      <w:r w:rsidR="00C96006">
        <w:rPr>
          <w:bCs/>
          <w:sz w:val="22"/>
          <w:szCs w:val="22"/>
        </w:rPr>
        <w:t>ij</w:t>
      </w:r>
      <w:r w:rsidRPr="00CC6368">
        <w:rPr>
          <w:bCs/>
          <w:sz w:val="22"/>
          <w:szCs w:val="22"/>
        </w:rPr>
        <w:t>eme</w:t>
      </w:r>
      <w:proofErr w:type="spellEnd"/>
      <w:r w:rsidRPr="00CC6368">
        <w:rPr>
          <w:bCs/>
          <w:sz w:val="22"/>
          <w:szCs w:val="22"/>
        </w:rPr>
        <w:t xml:space="preserve"> </w:t>
      </w:r>
      <w:proofErr w:type="spellStart"/>
      <w:r w:rsidRPr="00CC6368">
        <w:rPr>
          <w:bCs/>
          <w:sz w:val="22"/>
          <w:szCs w:val="22"/>
        </w:rPr>
        <w:t>eliminacije</w:t>
      </w:r>
      <w:proofErr w:type="spellEnd"/>
      <w:r w:rsidRPr="00CC6368">
        <w:rPr>
          <w:bCs/>
          <w:sz w:val="22"/>
          <w:szCs w:val="22"/>
        </w:rPr>
        <w:t xml:space="preserve"> </w:t>
      </w:r>
      <w:proofErr w:type="spellStart"/>
      <w:r w:rsidRPr="00CC6368">
        <w:rPr>
          <w:bCs/>
          <w:sz w:val="22"/>
          <w:szCs w:val="22"/>
        </w:rPr>
        <w:t>nakon</w:t>
      </w:r>
      <w:proofErr w:type="spellEnd"/>
      <w:r w:rsidRPr="00CC6368">
        <w:rPr>
          <w:bCs/>
          <w:sz w:val="22"/>
          <w:szCs w:val="22"/>
        </w:rPr>
        <w:t xml:space="preserve"> </w:t>
      </w:r>
      <w:proofErr w:type="spellStart"/>
      <w:r w:rsidRPr="00CC6368">
        <w:rPr>
          <w:bCs/>
          <w:sz w:val="22"/>
          <w:szCs w:val="22"/>
        </w:rPr>
        <w:t>supkutane</w:t>
      </w:r>
      <w:proofErr w:type="spellEnd"/>
      <w:r w:rsidRPr="00CC6368">
        <w:rPr>
          <w:bCs/>
          <w:sz w:val="22"/>
          <w:szCs w:val="22"/>
        </w:rPr>
        <w:t xml:space="preserve"> </w:t>
      </w:r>
      <w:proofErr w:type="spellStart"/>
      <w:r w:rsidRPr="00CC6368">
        <w:rPr>
          <w:bCs/>
          <w:sz w:val="22"/>
          <w:szCs w:val="22"/>
        </w:rPr>
        <w:t>primjene</w:t>
      </w:r>
      <w:proofErr w:type="spellEnd"/>
      <w:r w:rsidRPr="00CC6368">
        <w:rPr>
          <w:bCs/>
          <w:sz w:val="22"/>
          <w:szCs w:val="22"/>
        </w:rPr>
        <w:t xml:space="preserve"> </w:t>
      </w:r>
      <w:proofErr w:type="spellStart"/>
      <w:r w:rsidRPr="00CC6368">
        <w:rPr>
          <w:bCs/>
          <w:sz w:val="22"/>
          <w:szCs w:val="22"/>
        </w:rPr>
        <w:t>lijeka</w:t>
      </w:r>
      <w:proofErr w:type="spellEnd"/>
      <w:r w:rsidRPr="00CC6368">
        <w:rPr>
          <w:bCs/>
          <w:sz w:val="22"/>
          <w:szCs w:val="22"/>
        </w:rPr>
        <w:t xml:space="preserve"> </w:t>
      </w:r>
      <w:proofErr w:type="spellStart"/>
      <w:r w:rsidRPr="00CC6368">
        <w:rPr>
          <w:bCs/>
          <w:sz w:val="22"/>
          <w:szCs w:val="22"/>
        </w:rPr>
        <w:t>Fiasp</w:t>
      </w:r>
      <w:proofErr w:type="spellEnd"/>
      <w:r w:rsidRPr="00CC6368">
        <w:rPr>
          <w:bCs/>
          <w:sz w:val="22"/>
          <w:szCs w:val="22"/>
        </w:rPr>
        <w:t xml:space="preserve"> </w:t>
      </w:r>
      <w:proofErr w:type="spellStart"/>
      <w:r w:rsidRPr="00CC6368">
        <w:rPr>
          <w:bCs/>
          <w:sz w:val="22"/>
          <w:szCs w:val="22"/>
        </w:rPr>
        <w:t>iznosi</w:t>
      </w:r>
      <w:proofErr w:type="spellEnd"/>
      <w:r w:rsidRPr="00CC6368">
        <w:rPr>
          <w:bCs/>
          <w:sz w:val="22"/>
          <w:szCs w:val="22"/>
        </w:rPr>
        <w:t xml:space="preserve"> 57 </w:t>
      </w:r>
      <w:proofErr w:type="spellStart"/>
      <w:r w:rsidRPr="00CC6368">
        <w:rPr>
          <w:bCs/>
          <w:sz w:val="22"/>
          <w:szCs w:val="22"/>
        </w:rPr>
        <w:t>minuta</w:t>
      </w:r>
      <w:proofErr w:type="spellEnd"/>
      <w:r w:rsidRPr="00CC6368">
        <w:rPr>
          <w:bCs/>
          <w:sz w:val="22"/>
          <w:szCs w:val="22"/>
        </w:rPr>
        <w:t xml:space="preserve"> i </w:t>
      </w:r>
      <w:proofErr w:type="spellStart"/>
      <w:r w:rsidRPr="00CC6368">
        <w:rPr>
          <w:bCs/>
          <w:sz w:val="22"/>
          <w:szCs w:val="22"/>
        </w:rPr>
        <w:t>uporedivo</w:t>
      </w:r>
      <w:proofErr w:type="spellEnd"/>
      <w:r w:rsidRPr="00CC6368">
        <w:rPr>
          <w:bCs/>
          <w:sz w:val="22"/>
          <w:szCs w:val="22"/>
        </w:rPr>
        <w:t xml:space="preserve"> je </w:t>
      </w:r>
      <w:proofErr w:type="spellStart"/>
      <w:r w:rsidRPr="00CC6368">
        <w:rPr>
          <w:bCs/>
          <w:sz w:val="22"/>
          <w:szCs w:val="22"/>
        </w:rPr>
        <w:t>sa</w:t>
      </w:r>
      <w:proofErr w:type="spellEnd"/>
      <w:r w:rsidRPr="00CC6368">
        <w:rPr>
          <w:bCs/>
          <w:sz w:val="22"/>
          <w:szCs w:val="22"/>
        </w:rPr>
        <w:t xml:space="preserve"> </w:t>
      </w:r>
      <w:proofErr w:type="spellStart"/>
      <w:r w:rsidRPr="00CC6368">
        <w:rPr>
          <w:bCs/>
          <w:sz w:val="22"/>
          <w:szCs w:val="22"/>
        </w:rPr>
        <w:t>lijekom</w:t>
      </w:r>
      <w:proofErr w:type="spellEnd"/>
      <w:r w:rsidRPr="00CC6368">
        <w:rPr>
          <w:bCs/>
          <w:sz w:val="22"/>
          <w:szCs w:val="22"/>
        </w:rPr>
        <w:t xml:space="preserve"> </w:t>
      </w:r>
      <w:proofErr w:type="spellStart"/>
      <w:r w:rsidRPr="00CC6368">
        <w:rPr>
          <w:bCs/>
          <w:sz w:val="22"/>
          <w:szCs w:val="22"/>
        </w:rPr>
        <w:t>NovoRapid</w:t>
      </w:r>
      <w:proofErr w:type="spellEnd"/>
      <w:r w:rsidRPr="00CC6368">
        <w:rPr>
          <w:bCs/>
          <w:sz w:val="22"/>
          <w:szCs w:val="22"/>
        </w:rPr>
        <w:t>.</w:t>
      </w:r>
    </w:p>
    <w:p w14:paraId="356DAB5A" w14:textId="77777777" w:rsidR="00CC6368" w:rsidRPr="00CC6368" w:rsidRDefault="00CC6368" w:rsidP="00CC6368">
      <w:pPr>
        <w:tabs>
          <w:tab w:val="left" w:pos="540"/>
          <w:tab w:val="left" w:pos="569"/>
        </w:tabs>
        <w:jc w:val="both"/>
        <w:rPr>
          <w:bCs/>
          <w:sz w:val="22"/>
          <w:szCs w:val="22"/>
        </w:rPr>
      </w:pPr>
    </w:p>
    <w:p w14:paraId="4B537CBA" w14:textId="25723001" w:rsidR="00CC6368" w:rsidRDefault="00CC6368" w:rsidP="00CC6368">
      <w:pPr>
        <w:tabs>
          <w:tab w:val="left" w:pos="540"/>
          <w:tab w:val="left" w:pos="569"/>
        </w:tabs>
        <w:jc w:val="both"/>
        <w:rPr>
          <w:bCs/>
          <w:sz w:val="22"/>
          <w:szCs w:val="22"/>
        </w:rPr>
      </w:pPr>
      <w:proofErr w:type="spellStart"/>
      <w:r w:rsidRPr="00CC6368">
        <w:rPr>
          <w:bCs/>
          <w:sz w:val="22"/>
          <w:szCs w:val="22"/>
        </w:rPr>
        <w:t>Nakon</w:t>
      </w:r>
      <w:proofErr w:type="spellEnd"/>
      <w:r w:rsidRPr="00CC6368">
        <w:rPr>
          <w:bCs/>
          <w:sz w:val="22"/>
          <w:szCs w:val="22"/>
        </w:rPr>
        <w:t xml:space="preserve"> </w:t>
      </w:r>
      <w:proofErr w:type="spellStart"/>
      <w:r w:rsidRPr="00CC6368">
        <w:rPr>
          <w:bCs/>
          <w:sz w:val="22"/>
          <w:szCs w:val="22"/>
        </w:rPr>
        <w:t>intravenske</w:t>
      </w:r>
      <w:proofErr w:type="spellEnd"/>
      <w:r w:rsidRPr="00CC6368">
        <w:rPr>
          <w:bCs/>
          <w:sz w:val="22"/>
          <w:szCs w:val="22"/>
        </w:rPr>
        <w:t xml:space="preserve"> </w:t>
      </w:r>
      <w:proofErr w:type="spellStart"/>
      <w:r w:rsidRPr="00CC6368">
        <w:rPr>
          <w:bCs/>
          <w:sz w:val="22"/>
          <w:szCs w:val="22"/>
        </w:rPr>
        <w:t>primjene</w:t>
      </w:r>
      <w:proofErr w:type="spellEnd"/>
      <w:r w:rsidRPr="00CC6368">
        <w:rPr>
          <w:bCs/>
          <w:sz w:val="22"/>
          <w:szCs w:val="22"/>
        </w:rPr>
        <w:t xml:space="preserve"> </w:t>
      </w:r>
      <w:proofErr w:type="spellStart"/>
      <w:r w:rsidRPr="00CC6368">
        <w:rPr>
          <w:bCs/>
          <w:sz w:val="22"/>
          <w:szCs w:val="22"/>
        </w:rPr>
        <w:t>lijeka</w:t>
      </w:r>
      <w:proofErr w:type="spellEnd"/>
      <w:r w:rsidRPr="00CC6368">
        <w:rPr>
          <w:bCs/>
          <w:sz w:val="22"/>
          <w:szCs w:val="22"/>
        </w:rPr>
        <w:t xml:space="preserve"> </w:t>
      </w:r>
      <w:proofErr w:type="spellStart"/>
      <w:r w:rsidRPr="00CC6368">
        <w:rPr>
          <w:bCs/>
          <w:sz w:val="22"/>
          <w:szCs w:val="22"/>
        </w:rPr>
        <w:t>Fiasp</w:t>
      </w:r>
      <w:proofErr w:type="spellEnd"/>
      <w:r w:rsidR="00C96006">
        <w:rPr>
          <w:bCs/>
          <w:sz w:val="22"/>
          <w:szCs w:val="22"/>
        </w:rPr>
        <w:t>,</w:t>
      </w:r>
      <w:r w:rsidRPr="00CC6368">
        <w:rPr>
          <w:bCs/>
          <w:sz w:val="22"/>
          <w:szCs w:val="22"/>
        </w:rPr>
        <w:t xml:space="preserve"> </w:t>
      </w:r>
      <w:proofErr w:type="spellStart"/>
      <w:r w:rsidRPr="00CC6368">
        <w:rPr>
          <w:bCs/>
          <w:sz w:val="22"/>
          <w:szCs w:val="22"/>
        </w:rPr>
        <w:t>klirens</w:t>
      </w:r>
      <w:proofErr w:type="spellEnd"/>
      <w:r w:rsidRPr="00CC6368">
        <w:rPr>
          <w:bCs/>
          <w:sz w:val="22"/>
          <w:szCs w:val="22"/>
        </w:rPr>
        <w:t xml:space="preserve"> je bio </w:t>
      </w:r>
      <w:proofErr w:type="spellStart"/>
      <w:r w:rsidRPr="00CC6368">
        <w:rPr>
          <w:bCs/>
          <w:sz w:val="22"/>
          <w:szCs w:val="22"/>
        </w:rPr>
        <w:t>brz</w:t>
      </w:r>
      <w:proofErr w:type="spellEnd"/>
      <w:r w:rsidRPr="00CC6368">
        <w:rPr>
          <w:bCs/>
          <w:sz w:val="22"/>
          <w:szCs w:val="22"/>
        </w:rPr>
        <w:t xml:space="preserve"> (1 </w:t>
      </w:r>
      <w:r w:rsidR="00152A60">
        <w:rPr>
          <w:bCs/>
          <w:sz w:val="22"/>
          <w:szCs w:val="22"/>
        </w:rPr>
        <w:t>l</w:t>
      </w:r>
      <w:r w:rsidRPr="00CC6368">
        <w:rPr>
          <w:bCs/>
          <w:sz w:val="22"/>
          <w:szCs w:val="22"/>
        </w:rPr>
        <w:t xml:space="preserve">/h/kg), a </w:t>
      </w:r>
      <w:proofErr w:type="spellStart"/>
      <w:r w:rsidRPr="00CC6368">
        <w:rPr>
          <w:bCs/>
          <w:sz w:val="22"/>
          <w:szCs w:val="22"/>
        </w:rPr>
        <w:t>poluvr</w:t>
      </w:r>
      <w:r w:rsidR="00C96006">
        <w:rPr>
          <w:bCs/>
          <w:sz w:val="22"/>
          <w:szCs w:val="22"/>
        </w:rPr>
        <w:t>ij</w:t>
      </w:r>
      <w:r w:rsidRPr="00CC6368">
        <w:rPr>
          <w:bCs/>
          <w:sz w:val="22"/>
          <w:szCs w:val="22"/>
        </w:rPr>
        <w:t>eme</w:t>
      </w:r>
      <w:proofErr w:type="spellEnd"/>
      <w:r w:rsidRPr="00CC6368">
        <w:rPr>
          <w:bCs/>
          <w:sz w:val="22"/>
          <w:szCs w:val="22"/>
        </w:rPr>
        <w:t xml:space="preserve"> </w:t>
      </w:r>
      <w:proofErr w:type="spellStart"/>
      <w:r w:rsidRPr="00CC6368">
        <w:rPr>
          <w:bCs/>
          <w:sz w:val="22"/>
          <w:szCs w:val="22"/>
        </w:rPr>
        <w:t>eliminacije</w:t>
      </w:r>
      <w:proofErr w:type="spellEnd"/>
      <w:r w:rsidRPr="00CC6368">
        <w:rPr>
          <w:bCs/>
          <w:sz w:val="22"/>
          <w:szCs w:val="22"/>
        </w:rPr>
        <w:t xml:space="preserve"> </w:t>
      </w:r>
      <w:proofErr w:type="spellStart"/>
      <w:r w:rsidRPr="00CC6368">
        <w:rPr>
          <w:bCs/>
          <w:sz w:val="22"/>
          <w:szCs w:val="22"/>
        </w:rPr>
        <w:t>iznosilo</w:t>
      </w:r>
      <w:proofErr w:type="spellEnd"/>
      <w:r w:rsidRPr="00CC6368">
        <w:rPr>
          <w:bCs/>
          <w:sz w:val="22"/>
          <w:szCs w:val="22"/>
        </w:rPr>
        <w:t xml:space="preserve"> je 10 </w:t>
      </w:r>
      <w:proofErr w:type="spellStart"/>
      <w:r w:rsidRPr="00CC6368">
        <w:rPr>
          <w:bCs/>
          <w:sz w:val="22"/>
          <w:szCs w:val="22"/>
        </w:rPr>
        <w:t>minuta</w:t>
      </w:r>
      <w:proofErr w:type="spellEnd"/>
      <w:r w:rsidRPr="00CC6368">
        <w:rPr>
          <w:bCs/>
          <w:sz w:val="22"/>
          <w:szCs w:val="22"/>
        </w:rPr>
        <w:t>.</w:t>
      </w:r>
    </w:p>
    <w:p w14:paraId="5CE4CE06" w14:textId="77777777" w:rsidR="00CC6368" w:rsidRDefault="00CC6368" w:rsidP="00CC6368">
      <w:pPr>
        <w:tabs>
          <w:tab w:val="left" w:pos="540"/>
          <w:tab w:val="left" w:pos="569"/>
        </w:tabs>
        <w:jc w:val="both"/>
        <w:rPr>
          <w:bCs/>
          <w:sz w:val="22"/>
          <w:szCs w:val="22"/>
        </w:rPr>
      </w:pPr>
    </w:p>
    <w:p w14:paraId="50C0AFF1" w14:textId="77777777" w:rsidR="00CC6368" w:rsidRPr="00422BC9" w:rsidRDefault="00CC6368" w:rsidP="00CC6368">
      <w:pPr>
        <w:tabs>
          <w:tab w:val="left" w:pos="284"/>
        </w:tabs>
        <w:jc w:val="both"/>
        <w:rPr>
          <w:sz w:val="22"/>
          <w:szCs w:val="22"/>
          <w:u w:val="single"/>
        </w:rPr>
      </w:pPr>
      <w:proofErr w:type="spellStart"/>
      <w:r w:rsidRPr="00422BC9">
        <w:rPr>
          <w:sz w:val="22"/>
          <w:szCs w:val="22"/>
          <w:u w:val="single"/>
        </w:rPr>
        <w:t>Posebne</w:t>
      </w:r>
      <w:proofErr w:type="spellEnd"/>
      <w:r w:rsidRPr="00422BC9">
        <w:rPr>
          <w:sz w:val="22"/>
          <w:szCs w:val="22"/>
          <w:u w:val="single"/>
        </w:rPr>
        <w:t xml:space="preserve"> </w:t>
      </w:r>
      <w:proofErr w:type="spellStart"/>
      <w:r w:rsidRPr="00422BC9">
        <w:rPr>
          <w:sz w:val="22"/>
          <w:szCs w:val="22"/>
          <w:u w:val="single"/>
        </w:rPr>
        <w:t>populacije</w:t>
      </w:r>
      <w:proofErr w:type="spellEnd"/>
    </w:p>
    <w:p w14:paraId="0B2AA2BF" w14:textId="77777777" w:rsidR="00CC6368" w:rsidRPr="00422BC9" w:rsidRDefault="00CC6368" w:rsidP="00CC6368">
      <w:pPr>
        <w:tabs>
          <w:tab w:val="left" w:pos="284"/>
        </w:tabs>
        <w:jc w:val="both"/>
        <w:rPr>
          <w:sz w:val="22"/>
          <w:szCs w:val="22"/>
          <w:u w:val="single"/>
        </w:rPr>
      </w:pPr>
    </w:p>
    <w:p w14:paraId="7DB225F7" w14:textId="77777777" w:rsidR="00CC6368" w:rsidRPr="00422BC9" w:rsidRDefault="00CC6368" w:rsidP="00CC6368">
      <w:pPr>
        <w:tabs>
          <w:tab w:val="left" w:pos="284"/>
        </w:tabs>
        <w:jc w:val="both"/>
        <w:rPr>
          <w:i/>
          <w:sz w:val="22"/>
          <w:szCs w:val="22"/>
        </w:rPr>
      </w:pPr>
      <w:proofErr w:type="spellStart"/>
      <w:r w:rsidRPr="00422BC9">
        <w:rPr>
          <w:i/>
          <w:sz w:val="22"/>
          <w:szCs w:val="22"/>
        </w:rPr>
        <w:lastRenderedPageBreak/>
        <w:t>Starije</w:t>
      </w:r>
      <w:proofErr w:type="spellEnd"/>
      <w:r w:rsidRPr="00422BC9">
        <w:rPr>
          <w:i/>
          <w:sz w:val="22"/>
          <w:szCs w:val="22"/>
        </w:rPr>
        <w:t xml:space="preserve"> </w:t>
      </w:r>
      <w:proofErr w:type="spellStart"/>
      <w:r w:rsidRPr="00422BC9">
        <w:rPr>
          <w:i/>
          <w:sz w:val="22"/>
          <w:szCs w:val="22"/>
        </w:rPr>
        <w:t>osobe</w:t>
      </w:r>
      <w:proofErr w:type="spellEnd"/>
    </w:p>
    <w:p w14:paraId="366777DB" w14:textId="77777777" w:rsidR="00CC6368" w:rsidRPr="00422BC9" w:rsidRDefault="00CC6368" w:rsidP="00CC6368">
      <w:pPr>
        <w:tabs>
          <w:tab w:val="left" w:pos="284"/>
        </w:tabs>
        <w:jc w:val="both"/>
        <w:rPr>
          <w:sz w:val="22"/>
          <w:szCs w:val="22"/>
        </w:rPr>
      </w:pPr>
      <w:proofErr w:type="spellStart"/>
      <w:r w:rsidRPr="00422BC9">
        <w:rPr>
          <w:sz w:val="22"/>
          <w:szCs w:val="22"/>
        </w:rPr>
        <w:t>Kod</w:t>
      </w:r>
      <w:proofErr w:type="spellEnd"/>
      <w:r w:rsidRPr="00422BC9">
        <w:rPr>
          <w:sz w:val="22"/>
          <w:szCs w:val="22"/>
        </w:rPr>
        <w:t xml:space="preserve"> </w:t>
      </w:r>
      <w:proofErr w:type="spellStart"/>
      <w:r w:rsidRPr="00422BC9">
        <w:rPr>
          <w:sz w:val="22"/>
          <w:szCs w:val="22"/>
        </w:rPr>
        <w:t>starijih</w:t>
      </w:r>
      <w:proofErr w:type="spellEnd"/>
      <w:r w:rsidRPr="00422BC9">
        <w:rPr>
          <w:sz w:val="22"/>
          <w:szCs w:val="22"/>
        </w:rPr>
        <w:t xml:space="preserve"> </w:t>
      </w:r>
      <w:proofErr w:type="spellStart"/>
      <w:r w:rsidRPr="00422BC9">
        <w:rPr>
          <w:sz w:val="22"/>
          <w:szCs w:val="22"/>
        </w:rPr>
        <w:t>pacijenata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dijabetesom</w:t>
      </w:r>
      <w:proofErr w:type="spellEnd"/>
      <w:r w:rsidRPr="00422BC9">
        <w:rPr>
          <w:sz w:val="22"/>
          <w:szCs w:val="22"/>
        </w:rPr>
        <w:t xml:space="preserve"> </w:t>
      </w:r>
      <w:proofErr w:type="spellStart"/>
      <w:r w:rsidRPr="00422BC9">
        <w:rPr>
          <w:sz w:val="22"/>
          <w:szCs w:val="22"/>
        </w:rPr>
        <w:t>tip</w:t>
      </w:r>
      <w:r w:rsidR="00C96006">
        <w:rPr>
          <w:sz w:val="22"/>
          <w:szCs w:val="22"/>
        </w:rPr>
        <w:t>a</w:t>
      </w:r>
      <w:proofErr w:type="spellEnd"/>
      <w:r w:rsidRPr="00422BC9">
        <w:rPr>
          <w:sz w:val="22"/>
          <w:szCs w:val="22"/>
        </w:rPr>
        <w:t xml:space="preserve"> 1</w:t>
      </w:r>
      <w:r w:rsidR="00C96006">
        <w:rPr>
          <w:sz w:val="22"/>
          <w:szCs w:val="22"/>
        </w:rPr>
        <w:t xml:space="preserve">, </w:t>
      </w:r>
      <w:proofErr w:type="spellStart"/>
      <w:r w:rsidR="00C96006">
        <w:rPr>
          <w:sz w:val="22"/>
          <w:szCs w:val="22"/>
        </w:rPr>
        <w:t>lijek</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je </w:t>
      </w:r>
      <w:proofErr w:type="spellStart"/>
      <w:r w:rsidRPr="00422BC9">
        <w:rPr>
          <w:sz w:val="22"/>
          <w:szCs w:val="22"/>
        </w:rPr>
        <w:t>pokazao</w:t>
      </w:r>
      <w:proofErr w:type="spellEnd"/>
      <w:r w:rsidRPr="00422BC9">
        <w:rPr>
          <w:sz w:val="22"/>
          <w:szCs w:val="22"/>
        </w:rPr>
        <w:t xml:space="preserve"> </w:t>
      </w:r>
      <w:proofErr w:type="spellStart"/>
      <w:r w:rsidRPr="00422BC9">
        <w:rPr>
          <w:sz w:val="22"/>
          <w:szCs w:val="22"/>
        </w:rPr>
        <w:t>raniji</w:t>
      </w:r>
      <w:proofErr w:type="spellEnd"/>
      <w:r w:rsidRPr="00422BC9">
        <w:rPr>
          <w:sz w:val="22"/>
          <w:szCs w:val="22"/>
        </w:rPr>
        <w:t xml:space="preserve"> </w:t>
      </w:r>
      <w:proofErr w:type="spellStart"/>
      <w:r w:rsidRPr="00422BC9">
        <w:rPr>
          <w:sz w:val="22"/>
          <w:szCs w:val="22"/>
        </w:rPr>
        <w:t>nastup</w:t>
      </w:r>
      <w:proofErr w:type="spellEnd"/>
      <w:r w:rsidRPr="00422BC9">
        <w:rPr>
          <w:sz w:val="22"/>
          <w:szCs w:val="22"/>
        </w:rPr>
        <w:t xml:space="preserve"> </w:t>
      </w:r>
      <w:proofErr w:type="spellStart"/>
      <w:r w:rsidRPr="00422BC9">
        <w:rPr>
          <w:sz w:val="22"/>
          <w:szCs w:val="22"/>
        </w:rPr>
        <w:t>izloženosti</w:t>
      </w:r>
      <w:proofErr w:type="spellEnd"/>
      <w:r w:rsidRPr="00422BC9">
        <w:rPr>
          <w:sz w:val="22"/>
          <w:szCs w:val="22"/>
        </w:rPr>
        <w:t xml:space="preserve"> i </w:t>
      </w:r>
      <w:proofErr w:type="spellStart"/>
      <w:r w:rsidRPr="00422BC9">
        <w:rPr>
          <w:sz w:val="22"/>
          <w:szCs w:val="22"/>
        </w:rPr>
        <w:t>veću</w:t>
      </w:r>
      <w:proofErr w:type="spellEnd"/>
      <w:r w:rsidRPr="00422BC9">
        <w:rPr>
          <w:sz w:val="22"/>
          <w:szCs w:val="22"/>
        </w:rPr>
        <w:t xml:space="preserve"> </w:t>
      </w:r>
      <w:proofErr w:type="spellStart"/>
      <w:r w:rsidRPr="00422BC9">
        <w:rPr>
          <w:sz w:val="22"/>
          <w:szCs w:val="22"/>
        </w:rPr>
        <w:t>ranu</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insulinu</w:t>
      </w:r>
      <w:proofErr w:type="spellEnd"/>
      <w:r w:rsidRPr="00422BC9">
        <w:rPr>
          <w:sz w:val="22"/>
          <w:szCs w:val="22"/>
        </w:rPr>
        <w:t xml:space="preserve">, </w:t>
      </w:r>
      <w:proofErr w:type="spellStart"/>
      <w:r w:rsidRPr="00422BC9">
        <w:rPr>
          <w:sz w:val="22"/>
          <w:szCs w:val="22"/>
        </w:rPr>
        <w:t>pri</w:t>
      </w:r>
      <w:proofErr w:type="spellEnd"/>
      <w:r w:rsidRPr="00422BC9">
        <w:rPr>
          <w:sz w:val="22"/>
          <w:szCs w:val="22"/>
        </w:rPr>
        <w:t xml:space="preserve"> </w:t>
      </w:r>
      <w:proofErr w:type="spellStart"/>
      <w:r w:rsidRPr="00422BC9">
        <w:rPr>
          <w:sz w:val="22"/>
          <w:szCs w:val="22"/>
        </w:rPr>
        <w:t>čemu</w:t>
      </w:r>
      <w:proofErr w:type="spellEnd"/>
      <w:r w:rsidRPr="00422BC9">
        <w:rPr>
          <w:sz w:val="22"/>
          <w:szCs w:val="22"/>
        </w:rPr>
        <w:t xml:space="preserve"> se </w:t>
      </w:r>
      <w:proofErr w:type="spellStart"/>
      <w:r w:rsidRPr="00422BC9">
        <w:rPr>
          <w:sz w:val="22"/>
          <w:szCs w:val="22"/>
        </w:rPr>
        <w:t>održala</w:t>
      </w:r>
      <w:proofErr w:type="spellEnd"/>
      <w:r w:rsidRPr="00422BC9">
        <w:rPr>
          <w:sz w:val="22"/>
          <w:szCs w:val="22"/>
        </w:rPr>
        <w:t xml:space="preserve"> </w:t>
      </w:r>
      <w:proofErr w:type="spellStart"/>
      <w:r w:rsidRPr="00422BC9">
        <w:rPr>
          <w:sz w:val="22"/>
          <w:szCs w:val="22"/>
        </w:rPr>
        <w:t>slična</w:t>
      </w:r>
      <w:proofErr w:type="spellEnd"/>
      <w:r w:rsidRPr="00422BC9">
        <w:rPr>
          <w:sz w:val="22"/>
          <w:szCs w:val="22"/>
        </w:rPr>
        <w:t xml:space="preserve"> </w:t>
      </w: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i </w:t>
      </w:r>
      <w:proofErr w:type="spellStart"/>
      <w:r w:rsidRPr="00422BC9">
        <w:rPr>
          <w:sz w:val="22"/>
          <w:szCs w:val="22"/>
        </w:rPr>
        <w:t>maksimalna</w:t>
      </w:r>
      <w:proofErr w:type="spellEnd"/>
      <w:r w:rsidRPr="00422BC9">
        <w:rPr>
          <w:sz w:val="22"/>
          <w:szCs w:val="22"/>
        </w:rPr>
        <w:t xml:space="preserve"> </w:t>
      </w:r>
      <w:proofErr w:type="spellStart"/>
      <w:r w:rsidRPr="00422BC9">
        <w:rPr>
          <w:sz w:val="22"/>
          <w:szCs w:val="22"/>
        </w:rPr>
        <w:t>koncentracija</w:t>
      </w:r>
      <w:proofErr w:type="spellEnd"/>
      <w:r w:rsidRPr="00422BC9">
        <w:rPr>
          <w:sz w:val="22"/>
          <w:szCs w:val="22"/>
        </w:rPr>
        <w:t xml:space="preserve"> u </w:t>
      </w:r>
      <w:proofErr w:type="spellStart"/>
      <w:r w:rsidRPr="00422BC9">
        <w:rPr>
          <w:sz w:val="22"/>
          <w:szCs w:val="22"/>
        </w:rPr>
        <w:t>poređenju</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ekom</w:t>
      </w:r>
      <w:proofErr w:type="spellEnd"/>
      <w:r w:rsidRPr="00422BC9">
        <w:rPr>
          <w:sz w:val="22"/>
          <w:szCs w:val="22"/>
        </w:rPr>
        <w:t xml:space="preserve"> </w:t>
      </w:r>
      <w:proofErr w:type="spellStart"/>
      <w:r w:rsidRPr="00422BC9">
        <w:rPr>
          <w:sz w:val="22"/>
          <w:szCs w:val="22"/>
        </w:rPr>
        <w:t>NovoRapid</w:t>
      </w:r>
      <w:proofErr w:type="spellEnd"/>
      <w:r w:rsidRPr="00422BC9">
        <w:rPr>
          <w:sz w:val="22"/>
          <w:szCs w:val="22"/>
        </w:rPr>
        <w:t>.</w:t>
      </w:r>
    </w:p>
    <w:p w14:paraId="3A6DE19A" w14:textId="77777777" w:rsidR="00CC6368" w:rsidRPr="00422BC9" w:rsidRDefault="00CC6368" w:rsidP="00CC6368">
      <w:pPr>
        <w:tabs>
          <w:tab w:val="left" w:pos="284"/>
        </w:tabs>
        <w:jc w:val="both"/>
        <w:rPr>
          <w:sz w:val="22"/>
          <w:szCs w:val="22"/>
        </w:rPr>
      </w:pPr>
    </w:p>
    <w:p w14:paraId="2474B101" w14:textId="77777777" w:rsidR="00CC6368" w:rsidRPr="00422BC9" w:rsidRDefault="00CC6368" w:rsidP="00CC6368">
      <w:pPr>
        <w:tabs>
          <w:tab w:val="left" w:pos="284"/>
        </w:tabs>
        <w:jc w:val="both"/>
        <w:rPr>
          <w:sz w:val="22"/>
          <w:szCs w:val="22"/>
        </w:rPr>
      </w:pP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insulin </w:t>
      </w:r>
      <w:proofErr w:type="spellStart"/>
      <w:r w:rsidR="00C96006" w:rsidRPr="00422BC9">
        <w:rPr>
          <w:sz w:val="22"/>
          <w:szCs w:val="22"/>
        </w:rPr>
        <w:t>aspart</w:t>
      </w:r>
      <w:r w:rsidR="00C96006">
        <w:rPr>
          <w:sz w:val="22"/>
          <w:szCs w:val="22"/>
        </w:rPr>
        <w:t>u</w:t>
      </w:r>
      <w:proofErr w:type="spellEnd"/>
      <w:r w:rsidR="00C96006" w:rsidRPr="00422BC9">
        <w:rPr>
          <w:sz w:val="22"/>
          <w:szCs w:val="22"/>
        </w:rPr>
        <w:t xml:space="preserve"> </w:t>
      </w:r>
      <w:r w:rsidRPr="00422BC9">
        <w:rPr>
          <w:sz w:val="22"/>
          <w:szCs w:val="22"/>
        </w:rPr>
        <w:t xml:space="preserve">i </w:t>
      </w:r>
      <w:proofErr w:type="spellStart"/>
      <w:r w:rsidRPr="00422BC9">
        <w:rPr>
          <w:sz w:val="22"/>
          <w:szCs w:val="22"/>
        </w:rPr>
        <w:t>maksimalna</w:t>
      </w:r>
      <w:proofErr w:type="spellEnd"/>
      <w:r w:rsidRPr="00422BC9">
        <w:rPr>
          <w:sz w:val="22"/>
          <w:szCs w:val="22"/>
        </w:rPr>
        <w:t xml:space="preserve"> </w:t>
      </w:r>
      <w:proofErr w:type="spellStart"/>
      <w:r w:rsidRPr="00422BC9">
        <w:rPr>
          <w:sz w:val="22"/>
          <w:szCs w:val="22"/>
        </w:rPr>
        <w:t>koncentracija</w:t>
      </w:r>
      <w:proofErr w:type="spellEnd"/>
      <w:r w:rsidRPr="00422BC9">
        <w:rPr>
          <w:sz w:val="22"/>
          <w:szCs w:val="22"/>
        </w:rPr>
        <w:t xml:space="preserve"> </w:t>
      </w:r>
      <w:proofErr w:type="spellStart"/>
      <w:r w:rsidRPr="00422BC9">
        <w:rPr>
          <w:sz w:val="22"/>
          <w:szCs w:val="22"/>
        </w:rPr>
        <w:t>nakon</w:t>
      </w:r>
      <w:proofErr w:type="spellEnd"/>
      <w:r w:rsidRPr="00422BC9">
        <w:rPr>
          <w:sz w:val="22"/>
          <w:szCs w:val="22"/>
        </w:rPr>
        <w:t xml:space="preserve"> </w:t>
      </w:r>
      <w:proofErr w:type="spellStart"/>
      <w:r w:rsidRPr="00422BC9">
        <w:rPr>
          <w:sz w:val="22"/>
          <w:szCs w:val="22"/>
        </w:rPr>
        <w:t>prim</w:t>
      </w:r>
      <w:r>
        <w:rPr>
          <w:sz w:val="22"/>
          <w:szCs w:val="22"/>
        </w:rPr>
        <w:t>j</w:t>
      </w:r>
      <w:r w:rsidRPr="00422BC9">
        <w:rPr>
          <w:sz w:val="22"/>
          <w:szCs w:val="22"/>
        </w:rPr>
        <w:t>ene</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eka</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w:t>
      </w:r>
      <w:proofErr w:type="spellStart"/>
      <w:r w:rsidRPr="00422BC9">
        <w:rPr>
          <w:sz w:val="22"/>
          <w:szCs w:val="22"/>
        </w:rPr>
        <w:t>bila</w:t>
      </w:r>
      <w:proofErr w:type="spellEnd"/>
      <w:r w:rsidRPr="00422BC9">
        <w:rPr>
          <w:sz w:val="22"/>
          <w:szCs w:val="22"/>
        </w:rPr>
        <w:t xml:space="preserve"> je 30% </w:t>
      </w:r>
      <w:proofErr w:type="spellStart"/>
      <w:r w:rsidRPr="00422BC9">
        <w:rPr>
          <w:sz w:val="22"/>
          <w:szCs w:val="22"/>
        </w:rPr>
        <w:t>veća</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w:t>
      </w:r>
      <w:proofErr w:type="spellStart"/>
      <w:r w:rsidRPr="00422BC9">
        <w:rPr>
          <w:sz w:val="22"/>
          <w:szCs w:val="22"/>
        </w:rPr>
        <w:t>starijih</w:t>
      </w:r>
      <w:proofErr w:type="spellEnd"/>
      <w:r w:rsidRPr="00422BC9">
        <w:rPr>
          <w:sz w:val="22"/>
          <w:szCs w:val="22"/>
        </w:rPr>
        <w:t xml:space="preserve"> </w:t>
      </w:r>
      <w:proofErr w:type="spellStart"/>
      <w:r w:rsidRPr="00422BC9">
        <w:rPr>
          <w:sz w:val="22"/>
          <w:szCs w:val="22"/>
        </w:rPr>
        <w:t>ispitanika</w:t>
      </w:r>
      <w:proofErr w:type="spellEnd"/>
      <w:r w:rsidR="00C96006">
        <w:rPr>
          <w:sz w:val="22"/>
          <w:szCs w:val="22"/>
        </w:rPr>
        <w:t>,</w:t>
      </w:r>
      <w:r w:rsidRPr="00422BC9">
        <w:rPr>
          <w:sz w:val="22"/>
          <w:szCs w:val="22"/>
        </w:rPr>
        <w:t xml:space="preserve"> u </w:t>
      </w:r>
      <w:proofErr w:type="spellStart"/>
      <w:r w:rsidRPr="00422BC9">
        <w:rPr>
          <w:sz w:val="22"/>
          <w:szCs w:val="22"/>
        </w:rPr>
        <w:t>poređenju</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mlađim</w:t>
      </w:r>
      <w:proofErr w:type="spellEnd"/>
      <w:r w:rsidRPr="00422BC9">
        <w:rPr>
          <w:sz w:val="22"/>
          <w:szCs w:val="22"/>
        </w:rPr>
        <w:t xml:space="preserve"> </w:t>
      </w:r>
      <w:proofErr w:type="spellStart"/>
      <w:r w:rsidRPr="00422BC9">
        <w:rPr>
          <w:sz w:val="22"/>
          <w:szCs w:val="22"/>
        </w:rPr>
        <w:t>odraslim</w:t>
      </w:r>
      <w:proofErr w:type="spellEnd"/>
      <w:r w:rsidRPr="00422BC9">
        <w:rPr>
          <w:sz w:val="22"/>
          <w:szCs w:val="22"/>
        </w:rPr>
        <w:t xml:space="preserve"> </w:t>
      </w:r>
      <w:proofErr w:type="spellStart"/>
      <w:r w:rsidRPr="00422BC9">
        <w:rPr>
          <w:sz w:val="22"/>
          <w:szCs w:val="22"/>
        </w:rPr>
        <w:t>ispitanicima</w:t>
      </w:r>
      <w:proofErr w:type="spellEnd"/>
      <w:r w:rsidRPr="00422BC9">
        <w:rPr>
          <w:sz w:val="22"/>
          <w:szCs w:val="22"/>
        </w:rPr>
        <w:t>.</w:t>
      </w:r>
    </w:p>
    <w:p w14:paraId="2BB747F5" w14:textId="77777777" w:rsidR="00CC6368" w:rsidRPr="00422BC9" w:rsidRDefault="00CC6368" w:rsidP="00CC6368">
      <w:pPr>
        <w:tabs>
          <w:tab w:val="left" w:pos="284"/>
        </w:tabs>
        <w:jc w:val="both"/>
        <w:rPr>
          <w:sz w:val="22"/>
          <w:szCs w:val="22"/>
        </w:rPr>
      </w:pPr>
    </w:p>
    <w:p w14:paraId="31505E9E" w14:textId="77777777" w:rsidR="00CC6368" w:rsidRPr="00422BC9" w:rsidRDefault="00CC6368" w:rsidP="00CC6368">
      <w:pPr>
        <w:tabs>
          <w:tab w:val="left" w:pos="284"/>
        </w:tabs>
        <w:jc w:val="both"/>
        <w:rPr>
          <w:i/>
          <w:sz w:val="22"/>
          <w:szCs w:val="22"/>
        </w:rPr>
      </w:pPr>
      <w:r w:rsidRPr="00422BC9">
        <w:rPr>
          <w:i/>
          <w:sz w:val="22"/>
          <w:szCs w:val="22"/>
        </w:rPr>
        <w:t>Pol</w:t>
      </w:r>
    </w:p>
    <w:p w14:paraId="734A9A5A" w14:textId="77777777" w:rsidR="00CC6368" w:rsidRPr="00422BC9" w:rsidRDefault="00CC6368" w:rsidP="00CC6368">
      <w:pPr>
        <w:tabs>
          <w:tab w:val="left" w:pos="284"/>
        </w:tabs>
        <w:jc w:val="both"/>
        <w:rPr>
          <w:sz w:val="22"/>
          <w:szCs w:val="22"/>
        </w:rPr>
      </w:pPr>
      <w:proofErr w:type="spellStart"/>
      <w:r w:rsidRPr="00422BC9">
        <w:rPr>
          <w:sz w:val="22"/>
          <w:szCs w:val="22"/>
        </w:rPr>
        <w:t>Efekat</w:t>
      </w:r>
      <w:proofErr w:type="spellEnd"/>
      <w:r w:rsidRPr="00422BC9">
        <w:rPr>
          <w:sz w:val="22"/>
          <w:szCs w:val="22"/>
        </w:rPr>
        <w:t xml:space="preserve"> </w:t>
      </w:r>
      <w:proofErr w:type="spellStart"/>
      <w:r w:rsidRPr="00422BC9">
        <w:rPr>
          <w:sz w:val="22"/>
          <w:szCs w:val="22"/>
        </w:rPr>
        <w:t>pola</w:t>
      </w:r>
      <w:proofErr w:type="spellEnd"/>
      <w:r w:rsidRPr="00422BC9">
        <w:rPr>
          <w:sz w:val="22"/>
          <w:szCs w:val="22"/>
        </w:rPr>
        <w:t xml:space="preserve"> </w:t>
      </w:r>
      <w:proofErr w:type="spellStart"/>
      <w:r w:rsidRPr="00422BC9">
        <w:rPr>
          <w:sz w:val="22"/>
          <w:szCs w:val="22"/>
        </w:rPr>
        <w:t>na</w:t>
      </w:r>
      <w:proofErr w:type="spellEnd"/>
      <w:r w:rsidRPr="00422BC9">
        <w:rPr>
          <w:sz w:val="22"/>
          <w:szCs w:val="22"/>
        </w:rPr>
        <w:t xml:space="preserve"> </w:t>
      </w:r>
      <w:proofErr w:type="spellStart"/>
      <w:r w:rsidRPr="00422BC9">
        <w:rPr>
          <w:sz w:val="22"/>
          <w:szCs w:val="22"/>
        </w:rPr>
        <w:t>farmakokinetiku</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eka</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w:t>
      </w:r>
      <w:proofErr w:type="spellStart"/>
      <w:r w:rsidRPr="00422BC9">
        <w:rPr>
          <w:sz w:val="22"/>
          <w:szCs w:val="22"/>
        </w:rPr>
        <w:t>ispitan</w:t>
      </w:r>
      <w:proofErr w:type="spellEnd"/>
      <w:r w:rsidRPr="00422BC9">
        <w:rPr>
          <w:sz w:val="22"/>
          <w:szCs w:val="22"/>
        </w:rPr>
        <w:t xml:space="preserve"> je </w:t>
      </w:r>
      <w:proofErr w:type="spellStart"/>
      <w:r w:rsidRPr="00422BC9">
        <w:rPr>
          <w:sz w:val="22"/>
          <w:szCs w:val="22"/>
        </w:rPr>
        <w:t>pomoću</w:t>
      </w:r>
      <w:proofErr w:type="spellEnd"/>
      <w:r w:rsidRPr="00422BC9">
        <w:rPr>
          <w:sz w:val="22"/>
          <w:szCs w:val="22"/>
        </w:rPr>
        <w:t xml:space="preserve"> </w:t>
      </w:r>
      <w:proofErr w:type="spellStart"/>
      <w:r w:rsidRPr="00422BC9">
        <w:rPr>
          <w:sz w:val="22"/>
          <w:szCs w:val="22"/>
        </w:rPr>
        <w:t>unakrsne</w:t>
      </w:r>
      <w:proofErr w:type="spellEnd"/>
      <w:r w:rsidRPr="00422BC9">
        <w:rPr>
          <w:sz w:val="22"/>
          <w:szCs w:val="22"/>
        </w:rPr>
        <w:t xml:space="preserve"> </w:t>
      </w:r>
      <w:proofErr w:type="spellStart"/>
      <w:r w:rsidRPr="00422BC9">
        <w:rPr>
          <w:sz w:val="22"/>
          <w:szCs w:val="22"/>
        </w:rPr>
        <w:t>analize</w:t>
      </w:r>
      <w:proofErr w:type="spellEnd"/>
      <w:r w:rsidRPr="00422BC9">
        <w:rPr>
          <w:sz w:val="22"/>
          <w:szCs w:val="22"/>
        </w:rPr>
        <w:t xml:space="preserve"> </w:t>
      </w:r>
      <w:proofErr w:type="spellStart"/>
      <w:r w:rsidRPr="00422BC9">
        <w:rPr>
          <w:sz w:val="22"/>
          <w:szCs w:val="22"/>
        </w:rPr>
        <w:t>farmakokinetičkih</w:t>
      </w:r>
      <w:proofErr w:type="spellEnd"/>
      <w:r w:rsidRPr="00422BC9">
        <w:rPr>
          <w:sz w:val="22"/>
          <w:szCs w:val="22"/>
        </w:rPr>
        <w:t xml:space="preserve"> </w:t>
      </w:r>
      <w:proofErr w:type="spellStart"/>
      <w:r w:rsidRPr="00422BC9">
        <w:rPr>
          <w:sz w:val="22"/>
          <w:szCs w:val="22"/>
        </w:rPr>
        <w:t>studija</w:t>
      </w:r>
      <w:proofErr w:type="spellEnd"/>
      <w:r w:rsidRPr="00422BC9">
        <w:rPr>
          <w:sz w:val="22"/>
          <w:szCs w:val="22"/>
        </w:rPr>
        <w:t>. L</w:t>
      </w:r>
      <w:r>
        <w:rPr>
          <w:sz w:val="22"/>
          <w:szCs w:val="22"/>
        </w:rPr>
        <w:t>ij</w:t>
      </w:r>
      <w:r w:rsidRPr="00422BC9">
        <w:rPr>
          <w:sz w:val="22"/>
          <w:szCs w:val="22"/>
        </w:rPr>
        <w:t xml:space="preserve">ek </w:t>
      </w:r>
      <w:proofErr w:type="spellStart"/>
      <w:r w:rsidRPr="00422BC9">
        <w:rPr>
          <w:sz w:val="22"/>
          <w:szCs w:val="22"/>
        </w:rPr>
        <w:t>Fiasp</w:t>
      </w:r>
      <w:proofErr w:type="spellEnd"/>
      <w:r w:rsidRPr="00422BC9">
        <w:rPr>
          <w:sz w:val="22"/>
          <w:szCs w:val="22"/>
        </w:rPr>
        <w:t xml:space="preserve"> je </w:t>
      </w:r>
      <w:proofErr w:type="spellStart"/>
      <w:r w:rsidRPr="00422BC9">
        <w:rPr>
          <w:sz w:val="22"/>
          <w:szCs w:val="22"/>
        </w:rPr>
        <w:t>pokazao</w:t>
      </w:r>
      <w:proofErr w:type="spellEnd"/>
      <w:r w:rsidRPr="00422BC9">
        <w:rPr>
          <w:sz w:val="22"/>
          <w:szCs w:val="22"/>
        </w:rPr>
        <w:t xml:space="preserve"> </w:t>
      </w:r>
      <w:proofErr w:type="spellStart"/>
      <w:r w:rsidRPr="00422BC9">
        <w:rPr>
          <w:sz w:val="22"/>
          <w:szCs w:val="22"/>
        </w:rPr>
        <w:t>uporediv</w:t>
      </w:r>
      <w:proofErr w:type="spellEnd"/>
      <w:r w:rsidRPr="00422BC9">
        <w:rPr>
          <w:sz w:val="22"/>
          <w:szCs w:val="22"/>
        </w:rPr>
        <w:t xml:space="preserve"> </w:t>
      </w:r>
      <w:proofErr w:type="spellStart"/>
      <w:r w:rsidRPr="00422BC9">
        <w:rPr>
          <w:sz w:val="22"/>
          <w:szCs w:val="22"/>
        </w:rPr>
        <w:t>raniji</w:t>
      </w:r>
      <w:proofErr w:type="spellEnd"/>
      <w:r w:rsidRPr="00422BC9">
        <w:rPr>
          <w:sz w:val="22"/>
          <w:szCs w:val="22"/>
        </w:rPr>
        <w:t xml:space="preserve"> </w:t>
      </w:r>
      <w:proofErr w:type="spellStart"/>
      <w:r w:rsidRPr="00422BC9">
        <w:rPr>
          <w:sz w:val="22"/>
          <w:szCs w:val="22"/>
        </w:rPr>
        <w:t>nastup</w:t>
      </w:r>
      <w:proofErr w:type="spellEnd"/>
      <w:r w:rsidRPr="00422BC9">
        <w:rPr>
          <w:sz w:val="22"/>
          <w:szCs w:val="22"/>
        </w:rPr>
        <w:t xml:space="preserve"> </w:t>
      </w:r>
      <w:proofErr w:type="spellStart"/>
      <w:r w:rsidRPr="00422BC9">
        <w:rPr>
          <w:sz w:val="22"/>
          <w:szCs w:val="22"/>
        </w:rPr>
        <w:t>izloženosti</w:t>
      </w:r>
      <w:proofErr w:type="spellEnd"/>
      <w:r w:rsidRPr="00422BC9">
        <w:rPr>
          <w:sz w:val="22"/>
          <w:szCs w:val="22"/>
        </w:rPr>
        <w:t xml:space="preserve"> i </w:t>
      </w:r>
      <w:proofErr w:type="spellStart"/>
      <w:r w:rsidRPr="00422BC9">
        <w:rPr>
          <w:sz w:val="22"/>
          <w:szCs w:val="22"/>
        </w:rPr>
        <w:t>veću</w:t>
      </w:r>
      <w:proofErr w:type="spellEnd"/>
      <w:r w:rsidRPr="00422BC9">
        <w:rPr>
          <w:sz w:val="22"/>
          <w:szCs w:val="22"/>
        </w:rPr>
        <w:t xml:space="preserve"> </w:t>
      </w:r>
      <w:proofErr w:type="spellStart"/>
      <w:r w:rsidRPr="00422BC9">
        <w:rPr>
          <w:sz w:val="22"/>
          <w:szCs w:val="22"/>
        </w:rPr>
        <w:t>ranu</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insulinu</w:t>
      </w:r>
      <w:proofErr w:type="spellEnd"/>
      <w:r w:rsidRPr="00422BC9">
        <w:rPr>
          <w:sz w:val="22"/>
          <w:szCs w:val="22"/>
        </w:rPr>
        <w:t xml:space="preserve">, </w:t>
      </w:r>
      <w:proofErr w:type="spellStart"/>
      <w:r w:rsidRPr="00422BC9">
        <w:rPr>
          <w:sz w:val="22"/>
          <w:szCs w:val="22"/>
        </w:rPr>
        <w:t>pri</w:t>
      </w:r>
      <w:proofErr w:type="spellEnd"/>
      <w:r w:rsidRPr="00422BC9">
        <w:rPr>
          <w:sz w:val="22"/>
          <w:szCs w:val="22"/>
        </w:rPr>
        <w:t xml:space="preserve"> </w:t>
      </w:r>
      <w:proofErr w:type="spellStart"/>
      <w:r w:rsidRPr="00422BC9">
        <w:rPr>
          <w:sz w:val="22"/>
          <w:szCs w:val="22"/>
        </w:rPr>
        <w:t>čemu</w:t>
      </w:r>
      <w:proofErr w:type="spellEnd"/>
      <w:r w:rsidRPr="00422BC9">
        <w:rPr>
          <w:sz w:val="22"/>
          <w:szCs w:val="22"/>
        </w:rPr>
        <w:t xml:space="preserve"> se </w:t>
      </w:r>
      <w:proofErr w:type="spellStart"/>
      <w:r w:rsidRPr="00422BC9">
        <w:rPr>
          <w:sz w:val="22"/>
          <w:szCs w:val="22"/>
        </w:rPr>
        <w:t>održala</w:t>
      </w:r>
      <w:proofErr w:type="spellEnd"/>
      <w:r w:rsidRPr="00422BC9">
        <w:rPr>
          <w:sz w:val="22"/>
          <w:szCs w:val="22"/>
        </w:rPr>
        <w:t xml:space="preserve"> </w:t>
      </w:r>
      <w:proofErr w:type="spellStart"/>
      <w:r w:rsidRPr="00422BC9">
        <w:rPr>
          <w:sz w:val="22"/>
          <w:szCs w:val="22"/>
        </w:rPr>
        <w:t>slična</w:t>
      </w:r>
      <w:proofErr w:type="spellEnd"/>
      <w:r w:rsidRPr="00422BC9">
        <w:rPr>
          <w:sz w:val="22"/>
          <w:szCs w:val="22"/>
        </w:rPr>
        <w:t xml:space="preserve"> </w:t>
      </w: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i </w:t>
      </w:r>
      <w:proofErr w:type="spellStart"/>
      <w:r w:rsidRPr="00422BC9">
        <w:rPr>
          <w:sz w:val="22"/>
          <w:szCs w:val="22"/>
        </w:rPr>
        <w:t>maksimalna</w:t>
      </w:r>
      <w:proofErr w:type="spellEnd"/>
      <w:r w:rsidRPr="00422BC9">
        <w:rPr>
          <w:sz w:val="22"/>
          <w:szCs w:val="22"/>
        </w:rPr>
        <w:t xml:space="preserve"> </w:t>
      </w:r>
      <w:proofErr w:type="spellStart"/>
      <w:r w:rsidRPr="00422BC9">
        <w:rPr>
          <w:sz w:val="22"/>
          <w:szCs w:val="22"/>
        </w:rPr>
        <w:t>koncentracija</w:t>
      </w:r>
      <w:proofErr w:type="spellEnd"/>
      <w:r w:rsidRPr="00422BC9">
        <w:rPr>
          <w:sz w:val="22"/>
          <w:szCs w:val="22"/>
        </w:rPr>
        <w:t xml:space="preserve"> u </w:t>
      </w:r>
      <w:proofErr w:type="spellStart"/>
      <w:r w:rsidRPr="00422BC9">
        <w:rPr>
          <w:sz w:val="22"/>
          <w:szCs w:val="22"/>
        </w:rPr>
        <w:t>poređenju</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ekom</w:t>
      </w:r>
      <w:proofErr w:type="spellEnd"/>
      <w:r w:rsidRPr="00422BC9">
        <w:rPr>
          <w:sz w:val="22"/>
          <w:szCs w:val="22"/>
        </w:rPr>
        <w:t xml:space="preserve"> </w:t>
      </w:r>
      <w:proofErr w:type="spellStart"/>
      <w:r w:rsidRPr="00422BC9">
        <w:rPr>
          <w:sz w:val="22"/>
          <w:szCs w:val="22"/>
        </w:rPr>
        <w:t>NovoRapid</w:t>
      </w:r>
      <w:proofErr w:type="spellEnd"/>
      <w:r w:rsidRPr="00422BC9">
        <w:rPr>
          <w:sz w:val="22"/>
          <w:szCs w:val="22"/>
        </w:rPr>
        <w:t xml:space="preserve"> za </w:t>
      </w:r>
      <w:proofErr w:type="spellStart"/>
      <w:r w:rsidRPr="00422BC9">
        <w:rPr>
          <w:sz w:val="22"/>
          <w:szCs w:val="22"/>
        </w:rPr>
        <w:t>pacijente</w:t>
      </w:r>
      <w:proofErr w:type="spellEnd"/>
      <w:r w:rsidRPr="00422BC9">
        <w:rPr>
          <w:sz w:val="22"/>
          <w:szCs w:val="22"/>
        </w:rPr>
        <w:t xml:space="preserve"> </w:t>
      </w:r>
      <w:proofErr w:type="spellStart"/>
      <w:r w:rsidRPr="00422BC9">
        <w:rPr>
          <w:sz w:val="22"/>
          <w:szCs w:val="22"/>
        </w:rPr>
        <w:t>ženskog</w:t>
      </w:r>
      <w:proofErr w:type="spellEnd"/>
      <w:r w:rsidRPr="00422BC9">
        <w:rPr>
          <w:sz w:val="22"/>
          <w:szCs w:val="22"/>
        </w:rPr>
        <w:t xml:space="preserve"> i </w:t>
      </w:r>
      <w:proofErr w:type="spellStart"/>
      <w:r w:rsidRPr="00422BC9">
        <w:rPr>
          <w:sz w:val="22"/>
          <w:szCs w:val="22"/>
        </w:rPr>
        <w:t>muškog</w:t>
      </w:r>
      <w:proofErr w:type="spellEnd"/>
      <w:r w:rsidRPr="00422BC9">
        <w:rPr>
          <w:sz w:val="22"/>
          <w:szCs w:val="22"/>
        </w:rPr>
        <w:t xml:space="preserve"> </w:t>
      </w:r>
      <w:proofErr w:type="spellStart"/>
      <w:r w:rsidRPr="00422BC9">
        <w:rPr>
          <w:sz w:val="22"/>
          <w:szCs w:val="22"/>
        </w:rPr>
        <w:t>pola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dijabetesom</w:t>
      </w:r>
      <w:proofErr w:type="spellEnd"/>
      <w:r w:rsidRPr="00422BC9">
        <w:rPr>
          <w:sz w:val="22"/>
          <w:szCs w:val="22"/>
        </w:rPr>
        <w:t xml:space="preserve"> </w:t>
      </w:r>
      <w:proofErr w:type="spellStart"/>
      <w:r w:rsidRPr="00422BC9">
        <w:rPr>
          <w:sz w:val="22"/>
          <w:szCs w:val="22"/>
        </w:rPr>
        <w:t>tip</w:t>
      </w:r>
      <w:r w:rsidR="00C96006">
        <w:rPr>
          <w:sz w:val="22"/>
          <w:szCs w:val="22"/>
        </w:rPr>
        <w:t>a</w:t>
      </w:r>
      <w:proofErr w:type="spellEnd"/>
      <w:r w:rsidRPr="00422BC9">
        <w:rPr>
          <w:sz w:val="22"/>
          <w:szCs w:val="22"/>
        </w:rPr>
        <w:t xml:space="preserve"> 1.</w:t>
      </w:r>
    </w:p>
    <w:p w14:paraId="10106F6D" w14:textId="77777777" w:rsidR="00CC6368" w:rsidRPr="00422BC9" w:rsidRDefault="00CC6368" w:rsidP="00CC6368">
      <w:pPr>
        <w:tabs>
          <w:tab w:val="left" w:pos="284"/>
        </w:tabs>
        <w:jc w:val="both"/>
        <w:rPr>
          <w:sz w:val="22"/>
          <w:szCs w:val="22"/>
        </w:rPr>
      </w:pPr>
    </w:p>
    <w:p w14:paraId="618F5E78" w14:textId="77777777" w:rsidR="00CC6368" w:rsidRPr="00422BC9" w:rsidRDefault="00CC6368" w:rsidP="00CC6368">
      <w:pPr>
        <w:tabs>
          <w:tab w:val="left" w:pos="284"/>
        </w:tabs>
        <w:jc w:val="both"/>
        <w:rPr>
          <w:sz w:val="22"/>
          <w:szCs w:val="22"/>
        </w:rPr>
      </w:pPr>
      <w:r w:rsidRPr="00422BC9">
        <w:rPr>
          <w:sz w:val="22"/>
          <w:szCs w:val="22"/>
        </w:rPr>
        <w:t xml:space="preserve">Rana i </w:t>
      </w:r>
      <w:proofErr w:type="spellStart"/>
      <w:r w:rsidRPr="00422BC9">
        <w:rPr>
          <w:sz w:val="22"/>
          <w:szCs w:val="22"/>
        </w:rPr>
        <w:t>maksimalna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insulinu</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eka</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w:t>
      </w:r>
      <w:proofErr w:type="spellStart"/>
      <w:r w:rsidRPr="00422BC9">
        <w:rPr>
          <w:sz w:val="22"/>
          <w:szCs w:val="22"/>
        </w:rPr>
        <w:t>bila</w:t>
      </w:r>
      <w:proofErr w:type="spellEnd"/>
      <w:r w:rsidRPr="00422BC9">
        <w:rPr>
          <w:sz w:val="22"/>
          <w:szCs w:val="22"/>
        </w:rPr>
        <w:t xml:space="preserve"> je </w:t>
      </w:r>
      <w:proofErr w:type="spellStart"/>
      <w:r w:rsidRPr="00422BC9">
        <w:rPr>
          <w:sz w:val="22"/>
          <w:szCs w:val="22"/>
        </w:rPr>
        <w:t>uporediva</w:t>
      </w:r>
      <w:proofErr w:type="spellEnd"/>
      <w:r w:rsidRPr="00422BC9">
        <w:rPr>
          <w:sz w:val="22"/>
          <w:szCs w:val="22"/>
        </w:rPr>
        <w:t xml:space="preserve"> za </w:t>
      </w:r>
      <w:proofErr w:type="spellStart"/>
      <w:r w:rsidRPr="00422BC9">
        <w:rPr>
          <w:sz w:val="22"/>
          <w:szCs w:val="22"/>
        </w:rPr>
        <w:t>pacijente</w:t>
      </w:r>
      <w:proofErr w:type="spellEnd"/>
      <w:r w:rsidRPr="00422BC9">
        <w:rPr>
          <w:sz w:val="22"/>
          <w:szCs w:val="22"/>
        </w:rPr>
        <w:t xml:space="preserve"> </w:t>
      </w:r>
      <w:proofErr w:type="spellStart"/>
      <w:r w:rsidRPr="00422BC9">
        <w:rPr>
          <w:sz w:val="22"/>
          <w:szCs w:val="22"/>
        </w:rPr>
        <w:t>ženskog</w:t>
      </w:r>
      <w:proofErr w:type="spellEnd"/>
      <w:r w:rsidRPr="00422BC9">
        <w:rPr>
          <w:sz w:val="22"/>
          <w:szCs w:val="22"/>
        </w:rPr>
        <w:t xml:space="preserve"> i </w:t>
      </w:r>
      <w:proofErr w:type="spellStart"/>
      <w:r w:rsidRPr="00422BC9">
        <w:rPr>
          <w:sz w:val="22"/>
          <w:szCs w:val="22"/>
        </w:rPr>
        <w:t>muškog</w:t>
      </w:r>
      <w:proofErr w:type="spellEnd"/>
      <w:r w:rsidRPr="00422BC9">
        <w:rPr>
          <w:sz w:val="22"/>
          <w:szCs w:val="22"/>
        </w:rPr>
        <w:t xml:space="preserve"> </w:t>
      </w:r>
      <w:proofErr w:type="spellStart"/>
      <w:r w:rsidRPr="00422BC9">
        <w:rPr>
          <w:sz w:val="22"/>
          <w:szCs w:val="22"/>
        </w:rPr>
        <w:t>pola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dijabetesom</w:t>
      </w:r>
      <w:proofErr w:type="spellEnd"/>
      <w:r w:rsidRPr="00422BC9">
        <w:rPr>
          <w:sz w:val="22"/>
          <w:szCs w:val="22"/>
        </w:rPr>
        <w:t xml:space="preserve"> </w:t>
      </w:r>
      <w:proofErr w:type="spellStart"/>
      <w:r w:rsidRPr="00422BC9">
        <w:rPr>
          <w:sz w:val="22"/>
          <w:szCs w:val="22"/>
        </w:rPr>
        <w:t>tip</w:t>
      </w:r>
      <w:r w:rsidR="00C96006">
        <w:rPr>
          <w:sz w:val="22"/>
          <w:szCs w:val="22"/>
        </w:rPr>
        <w:t>a</w:t>
      </w:r>
      <w:proofErr w:type="spellEnd"/>
      <w:r w:rsidRPr="00422BC9">
        <w:rPr>
          <w:sz w:val="22"/>
          <w:szCs w:val="22"/>
        </w:rPr>
        <w:t xml:space="preserve"> 1. </w:t>
      </w:r>
      <w:proofErr w:type="spellStart"/>
      <w:r w:rsidRPr="00422BC9">
        <w:rPr>
          <w:sz w:val="22"/>
          <w:szCs w:val="22"/>
        </w:rPr>
        <w:t>Međutim</w:t>
      </w:r>
      <w:proofErr w:type="spellEnd"/>
      <w:r w:rsidRPr="00422BC9">
        <w:rPr>
          <w:sz w:val="22"/>
          <w:szCs w:val="22"/>
        </w:rPr>
        <w:t xml:space="preserve">, </w:t>
      </w: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insulinu</w:t>
      </w:r>
      <w:proofErr w:type="spellEnd"/>
      <w:r w:rsidRPr="00422BC9">
        <w:rPr>
          <w:sz w:val="22"/>
          <w:szCs w:val="22"/>
        </w:rPr>
        <w:t xml:space="preserve"> </w:t>
      </w:r>
      <w:proofErr w:type="spellStart"/>
      <w:r w:rsidRPr="00422BC9">
        <w:rPr>
          <w:sz w:val="22"/>
          <w:szCs w:val="22"/>
        </w:rPr>
        <w:t>bila</w:t>
      </w:r>
      <w:proofErr w:type="spellEnd"/>
      <w:r w:rsidRPr="00422BC9">
        <w:rPr>
          <w:sz w:val="22"/>
          <w:szCs w:val="22"/>
        </w:rPr>
        <w:t xml:space="preserve"> je </w:t>
      </w:r>
      <w:proofErr w:type="spellStart"/>
      <w:r w:rsidRPr="00422BC9">
        <w:rPr>
          <w:sz w:val="22"/>
          <w:szCs w:val="22"/>
        </w:rPr>
        <w:t>veća</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w:t>
      </w:r>
      <w:proofErr w:type="spellStart"/>
      <w:r w:rsidRPr="00422BC9">
        <w:rPr>
          <w:sz w:val="22"/>
          <w:szCs w:val="22"/>
        </w:rPr>
        <w:t>pacijenata</w:t>
      </w:r>
      <w:proofErr w:type="spellEnd"/>
      <w:r w:rsidRPr="00422BC9">
        <w:rPr>
          <w:sz w:val="22"/>
          <w:szCs w:val="22"/>
        </w:rPr>
        <w:t xml:space="preserve"> </w:t>
      </w:r>
      <w:proofErr w:type="spellStart"/>
      <w:r w:rsidRPr="00422BC9">
        <w:rPr>
          <w:sz w:val="22"/>
          <w:szCs w:val="22"/>
        </w:rPr>
        <w:t>ženskog</w:t>
      </w:r>
      <w:proofErr w:type="spellEnd"/>
      <w:r w:rsidRPr="00422BC9">
        <w:rPr>
          <w:sz w:val="22"/>
          <w:szCs w:val="22"/>
        </w:rPr>
        <w:t xml:space="preserve"> </w:t>
      </w:r>
      <w:proofErr w:type="spellStart"/>
      <w:r w:rsidRPr="00422BC9">
        <w:rPr>
          <w:sz w:val="22"/>
          <w:szCs w:val="22"/>
        </w:rPr>
        <w:t>pola</w:t>
      </w:r>
      <w:proofErr w:type="spellEnd"/>
      <w:r w:rsidRPr="00422BC9">
        <w:rPr>
          <w:sz w:val="22"/>
          <w:szCs w:val="22"/>
        </w:rPr>
        <w:t xml:space="preserve"> </w:t>
      </w:r>
      <w:proofErr w:type="spellStart"/>
      <w:r w:rsidRPr="00422BC9">
        <w:rPr>
          <w:sz w:val="22"/>
          <w:szCs w:val="22"/>
        </w:rPr>
        <w:t>nego</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w:t>
      </w:r>
      <w:proofErr w:type="spellStart"/>
      <w:r w:rsidRPr="00422BC9">
        <w:rPr>
          <w:sz w:val="22"/>
          <w:szCs w:val="22"/>
        </w:rPr>
        <w:t>pacijenata</w:t>
      </w:r>
      <w:proofErr w:type="spellEnd"/>
      <w:r w:rsidRPr="00422BC9">
        <w:rPr>
          <w:sz w:val="22"/>
          <w:szCs w:val="22"/>
        </w:rPr>
        <w:t xml:space="preserve"> </w:t>
      </w:r>
      <w:proofErr w:type="spellStart"/>
      <w:r w:rsidRPr="00422BC9">
        <w:rPr>
          <w:sz w:val="22"/>
          <w:szCs w:val="22"/>
        </w:rPr>
        <w:t>muškog</w:t>
      </w:r>
      <w:proofErr w:type="spellEnd"/>
      <w:r w:rsidRPr="00422BC9">
        <w:rPr>
          <w:sz w:val="22"/>
          <w:szCs w:val="22"/>
        </w:rPr>
        <w:t xml:space="preserve"> </w:t>
      </w:r>
      <w:proofErr w:type="spellStart"/>
      <w:r w:rsidRPr="00422BC9">
        <w:rPr>
          <w:sz w:val="22"/>
          <w:szCs w:val="22"/>
        </w:rPr>
        <w:t>pola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dijabetesom</w:t>
      </w:r>
      <w:proofErr w:type="spellEnd"/>
      <w:r w:rsidRPr="00422BC9">
        <w:rPr>
          <w:sz w:val="22"/>
          <w:szCs w:val="22"/>
        </w:rPr>
        <w:t xml:space="preserve"> </w:t>
      </w:r>
      <w:proofErr w:type="spellStart"/>
      <w:r w:rsidRPr="00422BC9">
        <w:rPr>
          <w:sz w:val="22"/>
          <w:szCs w:val="22"/>
        </w:rPr>
        <w:t>tip</w:t>
      </w:r>
      <w:r w:rsidR="00C96006">
        <w:rPr>
          <w:sz w:val="22"/>
          <w:szCs w:val="22"/>
        </w:rPr>
        <w:t>a</w:t>
      </w:r>
      <w:proofErr w:type="spellEnd"/>
      <w:r w:rsidRPr="00422BC9">
        <w:rPr>
          <w:sz w:val="22"/>
          <w:szCs w:val="22"/>
        </w:rPr>
        <w:t xml:space="preserve"> 1.</w:t>
      </w:r>
    </w:p>
    <w:p w14:paraId="5428126F" w14:textId="77777777" w:rsidR="00CC6368" w:rsidRPr="00422BC9" w:rsidRDefault="00CC6368" w:rsidP="00CC6368">
      <w:pPr>
        <w:tabs>
          <w:tab w:val="left" w:pos="284"/>
        </w:tabs>
        <w:jc w:val="both"/>
        <w:rPr>
          <w:sz w:val="22"/>
          <w:szCs w:val="22"/>
        </w:rPr>
      </w:pPr>
    </w:p>
    <w:p w14:paraId="20581B4C" w14:textId="77777777" w:rsidR="00CC6368" w:rsidRPr="00422BC9" w:rsidRDefault="00CC6368" w:rsidP="00CC6368">
      <w:pPr>
        <w:tabs>
          <w:tab w:val="left" w:pos="284"/>
        </w:tabs>
        <w:jc w:val="both"/>
        <w:rPr>
          <w:i/>
          <w:sz w:val="22"/>
          <w:szCs w:val="22"/>
        </w:rPr>
      </w:pPr>
      <w:proofErr w:type="spellStart"/>
      <w:r w:rsidRPr="00422BC9">
        <w:rPr>
          <w:i/>
          <w:sz w:val="22"/>
          <w:szCs w:val="22"/>
        </w:rPr>
        <w:t>Gojaznost</w:t>
      </w:r>
      <w:proofErr w:type="spellEnd"/>
    </w:p>
    <w:p w14:paraId="6F1BE675" w14:textId="77777777" w:rsidR="00CC6368" w:rsidRPr="00422BC9" w:rsidRDefault="00CC6368" w:rsidP="00CC6368">
      <w:pPr>
        <w:tabs>
          <w:tab w:val="left" w:pos="284"/>
        </w:tabs>
        <w:jc w:val="both"/>
        <w:rPr>
          <w:sz w:val="22"/>
          <w:szCs w:val="22"/>
        </w:rPr>
      </w:pPr>
      <w:proofErr w:type="spellStart"/>
      <w:r w:rsidRPr="00422BC9">
        <w:rPr>
          <w:sz w:val="22"/>
          <w:szCs w:val="22"/>
        </w:rPr>
        <w:t>Početna</w:t>
      </w:r>
      <w:proofErr w:type="spellEnd"/>
      <w:r w:rsidRPr="00422BC9">
        <w:rPr>
          <w:sz w:val="22"/>
          <w:szCs w:val="22"/>
        </w:rPr>
        <w:t xml:space="preserve"> </w:t>
      </w:r>
      <w:proofErr w:type="spellStart"/>
      <w:r w:rsidRPr="00422BC9">
        <w:rPr>
          <w:sz w:val="22"/>
          <w:szCs w:val="22"/>
        </w:rPr>
        <w:t>brzina</w:t>
      </w:r>
      <w:proofErr w:type="spellEnd"/>
      <w:r w:rsidRPr="00422BC9">
        <w:rPr>
          <w:sz w:val="22"/>
          <w:szCs w:val="22"/>
        </w:rPr>
        <w:t xml:space="preserve"> </w:t>
      </w:r>
      <w:proofErr w:type="spellStart"/>
      <w:r w:rsidRPr="00422BC9">
        <w:rPr>
          <w:sz w:val="22"/>
          <w:szCs w:val="22"/>
        </w:rPr>
        <w:t>resorpcije</w:t>
      </w:r>
      <w:proofErr w:type="spellEnd"/>
      <w:r w:rsidRPr="00422BC9">
        <w:rPr>
          <w:sz w:val="22"/>
          <w:szCs w:val="22"/>
        </w:rPr>
        <w:t xml:space="preserve"> </w:t>
      </w:r>
      <w:proofErr w:type="spellStart"/>
      <w:r w:rsidRPr="00422BC9">
        <w:rPr>
          <w:sz w:val="22"/>
          <w:szCs w:val="22"/>
        </w:rPr>
        <w:t>bila</w:t>
      </w:r>
      <w:proofErr w:type="spellEnd"/>
      <w:r w:rsidRPr="00422BC9">
        <w:rPr>
          <w:sz w:val="22"/>
          <w:szCs w:val="22"/>
        </w:rPr>
        <w:t xml:space="preserve"> je </w:t>
      </w:r>
      <w:proofErr w:type="spellStart"/>
      <w:r w:rsidRPr="00422BC9">
        <w:rPr>
          <w:sz w:val="22"/>
          <w:szCs w:val="22"/>
        </w:rPr>
        <w:t>niža</w:t>
      </w:r>
      <w:proofErr w:type="spellEnd"/>
      <w:r w:rsidRPr="00422BC9">
        <w:rPr>
          <w:sz w:val="22"/>
          <w:szCs w:val="22"/>
        </w:rPr>
        <w:t xml:space="preserve"> </w:t>
      </w:r>
      <w:proofErr w:type="spellStart"/>
      <w:r w:rsidRPr="00422BC9">
        <w:rPr>
          <w:sz w:val="22"/>
          <w:szCs w:val="22"/>
        </w:rPr>
        <w:t>kako</w:t>
      </w:r>
      <w:proofErr w:type="spellEnd"/>
      <w:r w:rsidRPr="00422BC9">
        <w:rPr>
          <w:sz w:val="22"/>
          <w:szCs w:val="22"/>
        </w:rPr>
        <w:t xml:space="preserve"> je ITM bio </w:t>
      </w:r>
      <w:proofErr w:type="spellStart"/>
      <w:r w:rsidRPr="00422BC9">
        <w:rPr>
          <w:sz w:val="22"/>
          <w:szCs w:val="22"/>
        </w:rPr>
        <w:t>veći</w:t>
      </w:r>
      <w:proofErr w:type="spellEnd"/>
      <w:r w:rsidRPr="00422BC9">
        <w:rPr>
          <w:sz w:val="22"/>
          <w:szCs w:val="22"/>
        </w:rPr>
        <w:t xml:space="preserve">, a </w:t>
      </w: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bila</w:t>
      </w:r>
      <w:proofErr w:type="spellEnd"/>
      <w:r w:rsidRPr="00422BC9">
        <w:rPr>
          <w:sz w:val="22"/>
          <w:szCs w:val="22"/>
        </w:rPr>
        <w:t xml:space="preserve"> je </w:t>
      </w:r>
      <w:proofErr w:type="spellStart"/>
      <w:r w:rsidRPr="00422BC9">
        <w:rPr>
          <w:sz w:val="22"/>
          <w:szCs w:val="22"/>
        </w:rPr>
        <w:t>slična</w:t>
      </w:r>
      <w:proofErr w:type="spellEnd"/>
      <w:r w:rsidRPr="00422BC9">
        <w:rPr>
          <w:sz w:val="22"/>
          <w:szCs w:val="22"/>
        </w:rPr>
        <w:t xml:space="preserve"> za </w:t>
      </w:r>
      <w:proofErr w:type="spellStart"/>
      <w:r w:rsidRPr="00422BC9">
        <w:rPr>
          <w:sz w:val="22"/>
          <w:szCs w:val="22"/>
        </w:rPr>
        <w:t>različite</w:t>
      </w:r>
      <w:proofErr w:type="spellEnd"/>
      <w:r w:rsidRPr="00422BC9">
        <w:rPr>
          <w:sz w:val="22"/>
          <w:szCs w:val="22"/>
        </w:rPr>
        <w:t xml:space="preserve"> </w:t>
      </w:r>
      <w:proofErr w:type="spellStart"/>
      <w:r w:rsidRPr="00422BC9">
        <w:rPr>
          <w:sz w:val="22"/>
          <w:szCs w:val="22"/>
        </w:rPr>
        <w:t>nivoe</w:t>
      </w:r>
      <w:proofErr w:type="spellEnd"/>
      <w:r w:rsidRPr="00422BC9">
        <w:rPr>
          <w:sz w:val="22"/>
          <w:szCs w:val="22"/>
        </w:rPr>
        <w:t xml:space="preserve"> ITM-a. U </w:t>
      </w:r>
      <w:proofErr w:type="spellStart"/>
      <w:r w:rsidRPr="00422BC9">
        <w:rPr>
          <w:sz w:val="22"/>
          <w:szCs w:val="22"/>
        </w:rPr>
        <w:t>poređenju</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ekom</w:t>
      </w:r>
      <w:proofErr w:type="spellEnd"/>
      <w:r w:rsidRPr="00422BC9">
        <w:rPr>
          <w:sz w:val="22"/>
          <w:szCs w:val="22"/>
        </w:rPr>
        <w:t xml:space="preserve"> </w:t>
      </w:r>
      <w:proofErr w:type="spellStart"/>
      <w:r w:rsidRPr="00422BC9">
        <w:rPr>
          <w:sz w:val="22"/>
          <w:szCs w:val="22"/>
        </w:rPr>
        <w:t>NovoRapid</w:t>
      </w:r>
      <w:proofErr w:type="spellEnd"/>
      <w:r w:rsidRPr="00422BC9">
        <w:rPr>
          <w:sz w:val="22"/>
          <w:szCs w:val="22"/>
        </w:rPr>
        <w:t xml:space="preserve">, </w:t>
      </w:r>
      <w:proofErr w:type="spellStart"/>
      <w:r w:rsidRPr="00422BC9">
        <w:rPr>
          <w:sz w:val="22"/>
          <w:szCs w:val="22"/>
        </w:rPr>
        <w:t>uticaj</w:t>
      </w:r>
      <w:proofErr w:type="spellEnd"/>
      <w:r w:rsidRPr="00422BC9">
        <w:rPr>
          <w:sz w:val="22"/>
          <w:szCs w:val="22"/>
        </w:rPr>
        <w:t xml:space="preserve"> ITM-a </w:t>
      </w:r>
      <w:proofErr w:type="spellStart"/>
      <w:r w:rsidRPr="00422BC9">
        <w:rPr>
          <w:sz w:val="22"/>
          <w:szCs w:val="22"/>
        </w:rPr>
        <w:t>na</w:t>
      </w:r>
      <w:proofErr w:type="spellEnd"/>
      <w:r w:rsidRPr="00422BC9">
        <w:rPr>
          <w:sz w:val="22"/>
          <w:szCs w:val="22"/>
        </w:rPr>
        <w:t xml:space="preserve"> </w:t>
      </w:r>
      <w:proofErr w:type="spellStart"/>
      <w:r w:rsidRPr="00422BC9">
        <w:rPr>
          <w:sz w:val="22"/>
          <w:szCs w:val="22"/>
        </w:rPr>
        <w:t>repsorpciju</w:t>
      </w:r>
      <w:proofErr w:type="spellEnd"/>
      <w:r w:rsidRPr="00422BC9">
        <w:rPr>
          <w:sz w:val="22"/>
          <w:szCs w:val="22"/>
        </w:rPr>
        <w:t xml:space="preserve"> bio je </w:t>
      </w:r>
      <w:proofErr w:type="spellStart"/>
      <w:r w:rsidRPr="00422BC9">
        <w:rPr>
          <w:sz w:val="22"/>
          <w:szCs w:val="22"/>
        </w:rPr>
        <w:t>manje</w:t>
      </w:r>
      <w:proofErr w:type="spellEnd"/>
      <w:r w:rsidRPr="00422BC9">
        <w:rPr>
          <w:sz w:val="22"/>
          <w:szCs w:val="22"/>
        </w:rPr>
        <w:t xml:space="preserve"> </w:t>
      </w:r>
      <w:proofErr w:type="spellStart"/>
      <w:r w:rsidRPr="00422BC9">
        <w:rPr>
          <w:sz w:val="22"/>
          <w:szCs w:val="22"/>
        </w:rPr>
        <w:t>izražen</w:t>
      </w:r>
      <w:proofErr w:type="spellEnd"/>
      <w:r w:rsidRPr="00422BC9">
        <w:rPr>
          <w:sz w:val="22"/>
          <w:szCs w:val="22"/>
        </w:rPr>
        <w:t xml:space="preserve"> za </w:t>
      </w:r>
      <w:proofErr w:type="spellStart"/>
      <w:r w:rsidR="000845DE">
        <w:rPr>
          <w:sz w:val="22"/>
          <w:szCs w:val="22"/>
        </w:rPr>
        <w:t>lijek</w:t>
      </w:r>
      <w:proofErr w:type="spellEnd"/>
      <w:r w:rsidR="000845DE">
        <w:rPr>
          <w:sz w:val="22"/>
          <w:szCs w:val="22"/>
        </w:rPr>
        <w:t xml:space="preserve"> </w:t>
      </w:r>
      <w:proofErr w:type="spellStart"/>
      <w:r w:rsidRPr="00422BC9">
        <w:rPr>
          <w:sz w:val="22"/>
          <w:szCs w:val="22"/>
        </w:rPr>
        <w:t>Fiasp</w:t>
      </w:r>
      <w:proofErr w:type="spellEnd"/>
      <w:r w:rsidRPr="00422BC9">
        <w:rPr>
          <w:sz w:val="22"/>
          <w:szCs w:val="22"/>
        </w:rPr>
        <w:t xml:space="preserve">, </w:t>
      </w:r>
      <w:proofErr w:type="spellStart"/>
      <w:r w:rsidRPr="00422BC9">
        <w:rPr>
          <w:sz w:val="22"/>
          <w:szCs w:val="22"/>
        </w:rPr>
        <w:t>što</w:t>
      </w:r>
      <w:proofErr w:type="spellEnd"/>
      <w:r w:rsidRPr="00422BC9">
        <w:rPr>
          <w:sz w:val="22"/>
          <w:szCs w:val="22"/>
        </w:rPr>
        <w:t xml:space="preserve"> je </w:t>
      </w:r>
      <w:proofErr w:type="spellStart"/>
      <w:r w:rsidRPr="00422BC9">
        <w:rPr>
          <w:sz w:val="22"/>
          <w:szCs w:val="22"/>
        </w:rPr>
        <w:t>dovelo</w:t>
      </w:r>
      <w:proofErr w:type="spellEnd"/>
      <w:r w:rsidRPr="00422BC9">
        <w:rPr>
          <w:sz w:val="22"/>
          <w:szCs w:val="22"/>
        </w:rPr>
        <w:t xml:space="preserve"> do </w:t>
      </w:r>
      <w:proofErr w:type="spellStart"/>
      <w:r w:rsidRPr="00422BC9">
        <w:rPr>
          <w:sz w:val="22"/>
          <w:szCs w:val="22"/>
        </w:rPr>
        <w:t>relativno</w:t>
      </w:r>
      <w:proofErr w:type="spellEnd"/>
      <w:r w:rsidRPr="00422BC9">
        <w:rPr>
          <w:sz w:val="22"/>
          <w:szCs w:val="22"/>
        </w:rPr>
        <w:t xml:space="preserve"> </w:t>
      </w:r>
      <w:proofErr w:type="spellStart"/>
      <w:r w:rsidRPr="00422BC9">
        <w:rPr>
          <w:sz w:val="22"/>
          <w:szCs w:val="22"/>
        </w:rPr>
        <w:t>veće</w:t>
      </w:r>
      <w:proofErr w:type="spellEnd"/>
      <w:r w:rsidRPr="00422BC9">
        <w:rPr>
          <w:sz w:val="22"/>
          <w:szCs w:val="22"/>
        </w:rPr>
        <w:t xml:space="preserve"> </w:t>
      </w:r>
      <w:proofErr w:type="spellStart"/>
      <w:r w:rsidRPr="00422BC9">
        <w:rPr>
          <w:sz w:val="22"/>
          <w:szCs w:val="22"/>
        </w:rPr>
        <w:t>početne</w:t>
      </w:r>
      <w:proofErr w:type="spellEnd"/>
      <w:r w:rsidRPr="00422BC9">
        <w:rPr>
          <w:sz w:val="22"/>
          <w:szCs w:val="22"/>
        </w:rPr>
        <w:t xml:space="preserve"> </w:t>
      </w:r>
      <w:proofErr w:type="spellStart"/>
      <w:r w:rsidRPr="00422BC9">
        <w:rPr>
          <w:sz w:val="22"/>
          <w:szCs w:val="22"/>
        </w:rPr>
        <w:t>izloženosti</w:t>
      </w:r>
      <w:proofErr w:type="spellEnd"/>
      <w:r w:rsidRPr="00422BC9">
        <w:rPr>
          <w:sz w:val="22"/>
          <w:szCs w:val="22"/>
        </w:rPr>
        <w:t>.</w:t>
      </w:r>
    </w:p>
    <w:p w14:paraId="1C650B05" w14:textId="77777777" w:rsidR="00CC6368" w:rsidRPr="00422BC9" w:rsidRDefault="00CC6368" w:rsidP="00CC6368">
      <w:pPr>
        <w:tabs>
          <w:tab w:val="left" w:pos="284"/>
        </w:tabs>
        <w:jc w:val="both"/>
        <w:rPr>
          <w:sz w:val="22"/>
          <w:szCs w:val="22"/>
        </w:rPr>
      </w:pPr>
    </w:p>
    <w:p w14:paraId="6B6483AC" w14:textId="77777777" w:rsidR="00CC6368" w:rsidRPr="00422BC9" w:rsidRDefault="00CC6368" w:rsidP="00CC6368">
      <w:pPr>
        <w:tabs>
          <w:tab w:val="left" w:pos="284"/>
        </w:tabs>
        <w:jc w:val="both"/>
        <w:rPr>
          <w:i/>
          <w:sz w:val="22"/>
          <w:szCs w:val="22"/>
        </w:rPr>
      </w:pPr>
      <w:r w:rsidRPr="00422BC9">
        <w:rPr>
          <w:i/>
          <w:sz w:val="22"/>
          <w:szCs w:val="22"/>
        </w:rPr>
        <w:t xml:space="preserve">Rasa i </w:t>
      </w:r>
      <w:proofErr w:type="spellStart"/>
      <w:r w:rsidRPr="00422BC9">
        <w:rPr>
          <w:i/>
          <w:sz w:val="22"/>
          <w:szCs w:val="22"/>
        </w:rPr>
        <w:t>etnička</w:t>
      </w:r>
      <w:proofErr w:type="spellEnd"/>
      <w:r w:rsidRPr="00422BC9">
        <w:rPr>
          <w:i/>
          <w:sz w:val="22"/>
          <w:szCs w:val="22"/>
        </w:rPr>
        <w:t xml:space="preserve"> </w:t>
      </w:r>
      <w:proofErr w:type="spellStart"/>
      <w:r w:rsidRPr="00422BC9">
        <w:rPr>
          <w:i/>
          <w:sz w:val="22"/>
          <w:szCs w:val="22"/>
        </w:rPr>
        <w:t>pripadnost</w:t>
      </w:r>
      <w:proofErr w:type="spellEnd"/>
    </w:p>
    <w:p w14:paraId="0A1C5AEB" w14:textId="7D260119" w:rsidR="00CC6368" w:rsidRPr="00422BC9" w:rsidRDefault="00CC6368" w:rsidP="00CC6368">
      <w:pPr>
        <w:tabs>
          <w:tab w:val="left" w:pos="284"/>
        </w:tabs>
        <w:jc w:val="both"/>
        <w:rPr>
          <w:sz w:val="22"/>
          <w:szCs w:val="22"/>
        </w:rPr>
      </w:pPr>
      <w:proofErr w:type="spellStart"/>
      <w:r w:rsidRPr="00422BC9">
        <w:rPr>
          <w:sz w:val="22"/>
          <w:szCs w:val="22"/>
        </w:rPr>
        <w:t>Uticaj</w:t>
      </w:r>
      <w:proofErr w:type="spellEnd"/>
      <w:r w:rsidRPr="00422BC9">
        <w:rPr>
          <w:sz w:val="22"/>
          <w:szCs w:val="22"/>
        </w:rPr>
        <w:t xml:space="preserve"> rase i </w:t>
      </w:r>
      <w:proofErr w:type="spellStart"/>
      <w:r w:rsidRPr="00422BC9">
        <w:rPr>
          <w:sz w:val="22"/>
          <w:szCs w:val="22"/>
        </w:rPr>
        <w:t>etničke</w:t>
      </w:r>
      <w:proofErr w:type="spellEnd"/>
      <w:r w:rsidRPr="00422BC9">
        <w:rPr>
          <w:sz w:val="22"/>
          <w:szCs w:val="22"/>
        </w:rPr>
        <w:t xml:space="preserve"> </w:t>
      </w:r>
      <w:proofErr w:type="spellStart"/>
      <w:r w:rsidRPr="00422BC9">
        <w:rPr>
          <w:sz w:val="22"/>
          <w:szCs w:val="22"/>
        </w:rPr>
        <w:t>pripadnosti</w:t>
      </w:r>
      <w:proofErr w:type="spellEnd"/>
      <w:r w:rsidRPr="00422BC9">
        <w:rPr>
          <w:sz w:val="22"/>
          <w:szCs w:val="22"/>
        </w:rPr>
        <w:t xml:space="preserve"> (</w:t>
      </w:r>
      <w:proofErr w:type="spellStart"/>
      <w:r w:rsidRPr="00422BC9">
        <w:rPr>
          <w:sz w:val="22"/>
          <w:szCs w:val="22"/>
        </w:rPr>
        <w:t>pacijenti</w:t>
      </w:r>
      <w:proofErr w:type="spellEnd"/>
      <w:r w:rsidRPr="00422BC9">
        <w:rPr>
          <w:sz w:val="22"/>
          <w:szCs w:val="22"/>
        </w:rPr>
        <w:t xml:space="preserve"> </w:t>
      </w:r>
      <w:proofErr w:type="spellStart"/>
      <w:r w:rsidRPr="00422BC9">
        <w:rPr>
          <w:sz w:val="22"/>
          <w:szCs w:val="22"/>
        </w:rPr>
        <w:t>crne</w:t>
      </w:r>
      <w:proofErr w:type="spellEnd"/>
      <w:r w:rsidRPr="00422BC9">
        <w:rPr>
          <w:sz w:val="22"/>
          <w:szCs w:val="22"/>
        </w:rPr>
        <w:t xml:space="preserve"> rase u </w:t>
      </w:r>
      <w:proofErr w:type="spellStart"/>
      <w:r w:rsidRPr="00422BC9">
        <w:rPr>
          <w:sz w:val="22"/>
          <w:szCs w:val="22"/>
        </w:rPr>
        <w:t>poređenju</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0007586C">
        <w:rPr>
          <w:sz w:val="22"/>
          <w:szCs w:val="22"/>
        </w:rPr>
        <w:t>pacijentima</w:t>
      </w:r>
      <w:proofErr w:type="spellEnd"/>
      <w:r w:rsidR="0007586C">
        <w:rPr>
          <w:sz w:val="22"/>
          <w:szCs w:val="22"/>
        </w:rPr>
        <w:t xml:space="preserve"> </w:t>
      </w:r>
      <w:proofErr w:type="spellStart"/>
      <w:r w:rsidR="0007586C">
        <w:rPr>
          <w:sz w:val="22"/>
          <w:szCs w:val="22"/>
        </w:rPr>
        <w:t>bijele</w:t>
      </w:r>
      <w:proofErr w:type="spellEnd"/>
      <w:r w:rsidR="0007586C">
        <w:rPr>
          <w:sz w:val="22"/>
          <w:szCs w:val="22"/>
        </w:rPr>
        <w:t xml:space="preserve"> rase</w:t>
      </w:r>
      <w:r w:rsidRPr="00422BC9">
        <w:rPr>
          <w:sz w:val="22"/>
          <w:szCs w:val="22"/>
        </w:rPr>
        <w:t xml:space="preserve"> i </w:t>
      </w:r>
      <w:proofErr w:type="spellStart"/>
      <w:r w:rsidRPr="00422BC9">
        <w:rPr>
          <w:sz w:val="22"/>
          <w:szCs w:val="22"/>
        </w:rPr>
        <w:t>pacijenti</w:t>
      </w:r>
      <w:proofErr w:type="spellEnd"/>
      <w:r w:rsidRPr="00422BC9">
        <w:rPr>
          <w:sz w:val="22"/>
          <w:szCs w:val="22"/>
        </w:rPr>
        <w:t xml:space="preserve"> </w:t>
      </w:r>
      <w:proofErr w:type="spellStart"/>
      <w:r w:rsidR="000845DE" w:rsidRPr="00422BC9">
        <w:rPr>
          <w:sz w:val="22"/>
          <w:szCs w:val="22"/>
        </w:rPr>
        <w:t>hispan</w:t>
      </w:r>
      <w:r w:rsidR="0007586C">
        <w:rPr>
          <w:sz w:val="22"/>
          <w:szCs w:val="22"/>
        </w:rPr>
        <w:t>skog</w:t>
      </w:r>
      <w:proofErr w:type="spellEnd"/>
      <w:r w:rsidR="000845DE" w:rsidRPr="00422BC9">
        <w:rPr>
          <w:sz w:val="22"/>
          <w:szCs w:val="22"/>
        </w:rPr>
        <w:t xml:space="preserve"> </w:t>
      </w:r>
      <w:proofErr w:type="spellStart"/>
      <w:r w:rsidRPr="00422BC9">
        <w:rPr>
          <w:sz w:val="22"/>
          <w:szCs w:val="22"/>
        </w:rPr>
        <w:t>por</w:t>
      </w:r>
      <w:r>
        <w:rPr>
          <w:sz w:val="22"/>
          <w:szCs w:val="22"/>
        </w:rPr>
        <w:t>ij</w:t>
      </w:r>
      <w:r w:rsidRPr="00422BC9">
        <w:rPr>
          <w:sz w:val="22"/>
          <w:szCs w:val="22"/>
        </w:rPr>
        <w:t>ekla</w:t>
      </w:r>
      <w:proofErr w:type="spellEnd"/>
      <w:r w:rsidRPr="00422BC9">
        <w:rPr>
          <w:sz w:val="22"/>
          <w:szCs w:val="22"/>
        </w:rPr>
        <w:t xml:space="preserve"> u </w:t>
      </w:r>
      <w:proofErr w:type="spellStart"/>
      <w:r w:rsidRPr="00422BC9">
        <w:rPr>
          <w:sz w:val="22"/>
          <w:szCs w:val="22"/>
        </w:rPr>
        <w:t>poređenju</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pacijentima</w:t>
      </w:r>
      <w:proofErr w:type="spellEnd"/>
      <w:r w:rsidRPr="00422BC9">
        <w:rPr>
          <w:sz w:val="22"/>
          <w:szCs w:val="22"/>
        </w:rPr>
        <w:t xml:space="preserve"> koji </w:t>
      </w:r>
      <w:proofErr w:type="spellStart"/>
      <w:r w:rsidRPr="00422BC9">
        <w:rPr>
          <w:sz w:val="22"/>
          <w:szCs w:val="22"/>
        </w:rPr>
        <w:t>ni</w:t>
      </w:r>
      <w:r>
        <w:rPr>
          <w:sz w:val="22"/>
          <w:szCs w:val="22"/>
        </w:rPr>
        <w:t>je</w:t>
      </w:r>
      <w:r w:rsidRPr="00422BC9">
        <w:rPr>
          <w:sz w:val="22"/>
          <w:szCs w:val="22"/>
        </w:rPr>
        <w:t>su</w:t>
      </w:r>
      <w:proofErr w:type="spellEnd"/>
      <w:r w:rsidRPr="00422BC9">
        <w:rPr>
          <w:sz w:val="22"/>
          <w:szCs w:val="22"/>
        </w:rPr>
        <w:t xml:space="preserve"> </w:t>
      </w:r>
      <w:proofErr w:type="spellStart"/>
      <w:r w:rsidR="000845DE" w:rsidRPr="00422BC9">
        <w:rPr>
          <w:sz w:val="22"/>
          <w:szCs w:val="22"/>
        </w:rPr>
        <w:t>hispan</w:t>
      </w:r>
      <w:r w:rsidR="0007586C">
        <w:rPr>
          <w:sz w:val="22"/>
          <w:szCs w:val="22"/>
        </w:rPr>
        <w:t>skog</w:t>
      </w:r>
      <w:proofErr w:type="spellEnd"/>
      <w:r w:rsidR="000845DE" w:rsidRPr="00422BC9">
        <w:rPr>
          <w:sz w:val="22"/>
          <w:szCs w:val="22"/>
        </w:rPr>
        <w:t xml:space="preserve"> </w:t>
      </w:r>
      <w:proofErr w:type="spellStart"/>
      <w:r w:rsidRPr="00422BC9">
        <w:rPr>
          <w:sz w:val="22"/>
          <w:szCs w:val="22"/>
        </w:rPr>
        <w:t>por</w:t>
      </w:r>
      <w:r>
        <w:rPr>
          <w:sz w:val="22"/>
          <w:szCs w:val="22"/>
        </w:rPr>
        <w:t>ij</w:t>
      </w:r>
      <w:r w:rsidRPr="00422BC9">
        <w:rPr>
          <w:sz w:val="22"/>
          <w:szCs w:val="22"/>
        </w:rPr>
        <w:t>ekla</w:t>
      </w:r>
      <w:proofErr w:type="spellEnd"/>
      <w:r w:rsidRPr="00422BC9">
        <w:rPr>
          <w:sz w:val="22"/>
          <w:szCs w:val="22"/>
        </w:rPr>
        <w:t xml:space="preserve">) </w:t>
      </w:r>
      <w:proofErr w:type="spellStart"/>
      <w:r w:rsidRPr="00422BC9">
        <w:rPr>
          <w:sz w:val="22"/>
          <w:szCs w:val="22"/>
        </w:rPr>
        <w:t>na</w:t>
      </w:r>
      <w:proofErr w:type="spellEnd"/>
      <w:r w:rsidRPr="00422BC9">
        <w:rPr>
          <w:sz w:val="22"/>
          <w:szCs w:val="22"/>
        </w:rPr>
        <w:t xml:space="preserve"> </w:t>
      </w:r>
      <w:proofErr w:type="spellStart"/>
      <w:r w:rsidRPr="00422BC9">
        <w:rPr>
          <w:sz w:val="22"/>
          <w:szCs w:val="22"/>
        </w:rPr>
        <w:t>ukupnu</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insulinu</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eka</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w:t>
      </w:r>
      <w:proofErr w:type="spellStart"/>
      <w:r w:rsidRPr="00422BC9">
        <w:rPr>
          <w:sz w:val="22"/>
          <w:szCs w:val="22"/>
        </w:rPr>
        <w:t>zasniva</w:t>
      </w:r>
      <w:proofErr w:type="spellEnd"/>
      <w:r w:rsidRPr="00422BC9">
        <w:rPr>
          <w:sz w:val="22"/>
          <w:szCs w:val="22"/>
        </w:rPr>
        <w:t xml:space="preserve"> se </w:t>
      </w:r>
      <w:proofErr w:type="spellStart"/>
      <w:r w:rsidRPr="00422BC9">
        <w:rPr>
          <w:sz w:val="22"/>
          <w:szCs w:val="22"/>
        </w:rPr>
        <w:t>na</w:t>
      </w:r>
      <w:proofErr w:type="spellEnd"/>
      <w:r w:rsidRPr="00422BC9">
        <w:rPr>
          <w:sz w:val="22"/>
          <w:szCs w:val="22"/>
        </w:rPr>
        <w:t xml:space="preserve"> </w:t>
      </w:r>
      <w:proofErr w:type="spellStart"/>
      <w:r w:rsidRPr="00422BC9">
        <w:rPr>
          <w:sz w:val="22"/>
          <w:szCs w:val="22"/>
        </w:rPr>
        <w:t>rezultatima</w:t>
      </w:r>
      <w:proofErr w:type="spellEnd"/>
      <w:r w:rsidRPr="00422BC9">
        <w:rPr>
          <w:sz w:val="22"/>
          <w:szCs w:val="22"/>
        </w:rPr>
        <w:t xml:space="preserve"> </w:t>
      </w:r>
      <w:proofErr w:type="spellStart"/>
      <w:r w:rsidRPr="00422BC9">
        <w:rPr>
          <w:sz w:val="22"/>
          <w:szCs w:val="22"/>
        </w:rPr>
        <w:t>iz</w:t>
      </w:r>
      <w:proofErr w:type="spellEnd"/>
      <w:r w:rsidRPr="00422BC9">
        <w:rPr>
          <w:sz w:val="22"/>
          <w:szCs w:val="22"/>
        </w:rPr>
        <w:t xml:space="preserve"> </w:t>
      </w:r>
      <w:proofErr w:type="spellStart"/>
      <w:r w:rsidRPr="00422BC9">
        <w:rPr>
          <w:sz w:val="22"/>
          <w:szCs w:val="22"/>
        </w:rPr>
        <w:t>populacione</w:t>
      </w:r>
      <w:proofErr w:type="spellEnd"/>
      <w:r w:rsidRPr="00422BC9">
        <w:rPr>
          <w:sz w:val="22"/>
          <w:szCs w:val="22"/>
        </w:rPr>
        <w:t xml:space="preserve"> </w:t>
      </w:r>
      <w:proofErr w:type="spellStart"/>
      <w:r w:rsidRPr="00422BC9">
        <w:rPr>
          <w:sz w:val="22"/>
          <w:szCs w:val="22"/>
        </w:rPr>
        <w:t>farmakokinetičke</w:t>
      </w:r>
      <w:proofErr w:type="spellEnd"/>
      <w:r w:rsidRPr="00422BC9">
        <w:rPr>
          <w:sz w:val="22"/>
          <w:szCs w:val="22"/>
        </w:rPr>
        <w:t xml:space="preserve"> </w:t>
      </w:r>
      <w:proofErr w:type="spellStart"/>
      <w:r w:rsidRPr="00422BC9">
        <w:rPr>
          <w:sz w:val="22"/>
          <w:szCs w:val="22"/>
        </w:rPr>
        <w:t>analize</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w:t>
      </w:r>
      <w:proofErr w:type="spellStart"/>
      <w:r w:rsidRPr="00422BC9">
        <w:rPr>
          <w:sz w:val="22"/>
          <w:szCs w:val="22"/>
        </w:rPr>
        <w:t>pacijenata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dijabetes</w:t>
      </w:r>
      <w:proofErr w:type="spellEnd"/>
      <w:r w:rsidRPr="00422BC9">
        <w:rPr>
          <w:sz w:val="22"/>
          <w:szCs w:val="22"/>
        </w:rPr>
        <w:t xml:space="preserve"> </w:t>
      </w:r>
      <w:proofErr w:type="spellStart"/>
      <w:r w:rsidRPr="00422BC9">
        <w:rPr>
          <w:sz w:val="22"/>
          <w:szCs w:val="22"/>
        </w:rPr>
        <w:t>melitusom</w:t>
      </w:r>
      <w:proofErr w:type="spellEnd"/>
      <w:r w:rsidRPr="00422BC9">
        <w:rPr>
          <w:sz w:val="22"/>
          <w:szCs w:val="22"/>
        </w:rPr>
        <w:t xml:space="preserve"> </w:t>
      </w:r>
      <w:proofErr w:type="spellStart"/>
      <w:r w:rsidRPr="00422BC9">
        <w:rPr>
          <w:sz w:val="22"/>
          <w:szCs w:val="22"/>
        </w:rPr>
        <w:t>tip</w:t>
      </w:r>
      <w:r w:rsidR="000845DE">
        <w:rPr>
          <w:sz w:val="22"/>
          <w:szCs w:val="22"/>
        </w:rPr>
        <w:t>a</w:t>
      </w:r>
      <w:proofErr w:type="spellEnd"/>
      <w:r w:rsidRPr="00422BC9">
        <w:rPr>
          <w:sz w:val="22"/>
          <w:szCs w:val="22"/>
        </w:rPr>
        <w:t xml:space="preserve"> 1. </w:t>
      </w:r>
      <w:proofErr w:type="spellStart"/>
      <w:r w:rsidRPr="00422BC9">
        <w:rPr>
          <w:sz w:val="22"/>
          <w:szCs w:val="22"/>
        </w:rPr>
        <w:t>Nije</w:t>
      </w:r>
      <w:proofErr w:type="spellEnd"/>
      <w:r w:rsidRPr="00422BC9">
        <w:rPr>
          <w:sz w:val="22"/>
          <w:szCs w:val="22"/>
        </w:rPr>
        <w:t xml:space="preserve"> </w:t>
      </w:r>
      <w:proofErr w:type="spellStart"/>
      <w:r w:rsidRPr="00422BC9">
        <w:rPr>
          <w:sz w:val="22"/>
          <w:szCs w:val="22"/>
        </w:rPr>
        <w:t>utvrđena</w:t>
      </w:r>
      <w:proofErr w:type="spellEnd"/>
      <w:r w:rsidRPr="00422BC9">
        <w:rPr>
          <w:sz w:val="22"/>
          <w:szCs w:val="22"/>
        </w:rPr>
        <w:t xml:space="preserve"> </w:t>
      </w:r>
      <w:proofErr w:type="spellStart"/>
      <w:r w:rsidRPr="00422BC9">
        <w:rPr>
          <w:sz w:val="22"/>
          <w:szCs w:val="22"/>
        </w:rPr>
        <w:t>razlika</w:t>
      </w:r>
      <w:proofErr w:type="spellEnd"/>
      <w:r w:rsidRPr="00422BC9">
        <w:rPr>
          <w:sz w:val="22"/>
          <w:szCs w:val="22"/>
        </w:rPr>
        <w:t xml:space="preserve"> u </w:t>
      </w:r>
      <w:proofErr w:type="spellStart"/>
      <w:r w:rsidRPr="00422BC9">
        <w:rPr>
          <w:sz w:val="22"/>
          <w:szCs w:val="22"/>
        </w:rPr>
        <w:t>izloženosti</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eku</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w:t>
      </w:r>
      <w:proofErr w:type="spellStart"/>
      <w:r w:rsidRPr="00422BC9">
        <w:rPr>
          <w:sz w:val="22"/>
          <w:szCs w:val="22"/>
        </w:rPr>
        <w:t>među</w:t>
      </w:r>
      <w:proofErr w:type="spellEnd"/>
      <w:r w:rsidRPr="00422BC9">
        <w:rPr>
          <w:sz w:val="22"/>
          <w:szCs w:val="22"/>
        </w:rPr>
        <w:t xml:space="preserve"> </w:t>
      </w:r>
      <w:proofErr w:type="spellStart"/>
      <w:r w:rsidRPr="00422BC9">
        <w:rPr>
          <w:sz w:val="22"/>
          <w:szCs w:val="22"/>
        </w:rPr>
        <w:t>ispitivanim</w:t>
      </w:r>
      <w:proofErr w:type="spellEnd"/>
      <w:r w:rsidRPr="00422BC9">
        <w:rPr>
          <w:sz w:val="22"/>
          <w:szCs w:val="22"/>
        </w:rPr>
        <w:t xml:space="preserve"> </w:t>
      </w:r>
      <w:proofErr w:type="spellStart"/>
      <w:r w:rsidRPr="00422BC9">
        <w:rPr>
          <w:sz w:val="22"/>
          <w:szCs w:val="22"/>
        </w:rPr>
        <w:t>rasnim</w:t>
      </w:r>
      <w:proofErr w:type="spellEnd"/>
      <w:r w:rsidRPr="00422BC9">
        <w:rPr>
          <w:sz w:val="22"/>
          <w:szCs w:val="22"/>
        </w:rPr>
        <w:t xml:space="preserve"> i </w:t>
      </w:r>
      <w:proofErr w:type="spellStart"/>
      <w:r w:rsidRPr="00422BC9">
        <w:rPr>
          <w:sz w:val="22"/>
          <w:szCs w:val="22"/>
        </w:rPr>
        <w:t>etničkim</w:t>
      </w:r>
      <w:proofErr w:type="spellEnd"/>
      <w:r w:rsidRPr="00422BC9">
        <w:rPr>
          <w:sz w:val="22"/>
          <w:szCs w:val="22"/>
        </w:rPr>
        <w:t xml:space="preserve"> </w:t>
      </w:r>
      <w:proofErr w:type="spellStart"/>
      <w:r w:rsidRPr="00422BC9">
        <w:rPr>
          <w:sz w:val="22"/>
          <w:szCs w:val="22"/>
        </w:rPr>
        <w:t>grupama</w:t>
      </w:r>
      <w:proofErr w:type="spellEnd"/>
      <w:r w:rsidRPr="00422BC9">
        <w:rPr>
          <w:sz w:val="22"/>
          <w:szCs w:val="22"/>
        </w:rPr>
        <w:t>.</w:t>
      </w:r>
    </w:p>
    <w:p w14:paraId="7CD89F8A" w14:textId="77777777" w:rsidR="00CC6368" w:rsidRPr="00422BC9" w:rsidRDefault="00CC6368" w:rsidP="00CC6368">
      <w:pPr>
        <w:tabs>
          <w:tab w:val="left" w:pos="284"/>
        </w:tabs>
        <w:jc w:val="both"/>
        <w:rPr>
          <w:sz w:val="22"/>
          <w:szCs w:val="22"/>
        </w:rPr>
      </w:pPr>
    </w:p>
    <w:p w14:paraId="1D6D7DDA" w14:textId="77777777" w:rsidR="00701477" w:rsidRPr="00422BC9" w:rsidRDefault="00701477" w:rsidP="00701477">
      <w:pPr>
        <w:tabs>
          <w:tab w:val="left" w:pos="284"/>
        </w:tabs>
        <w:jc w:val="both"/>
        <w:rPr>
          <w:i/>
          <w:sz w:val="22"/>
          <w:szCs w:val="22"/>
        </w:rPr>
      </w:pPr>
      <w:proofErr w:type="spellStart"/>
      <w:r w:rsidRPr="00422BC9">
        <w:rPr>
          <w:i/>
          <w:sz w:val="22"/>
          <w:szCs w:val="22"/>
        </w:rPr>
        <w:t>Oštećenje</w:t>
      </w:r>
      <w:proofErr w:type="spellEnd"/>
      <w:r w:rsidRPr="00422BC9">
        <w:rPr>
          <w:i/>
          <w:sz w:val="22"/>
          <w:szCs w:val="22"/>
        </w:rPr>
        <w:t xml:space="preserve"> </w:t>
      </w:r>
      <w:proofErr w:type="spellStart"/>
      <w:r w:rsidRPr="00422BC9">
        <w:rPr>
          <w:i/>
          <w:sz w:val="22"/>
          <w:szCs w:val="22"/>
        </w:rPr>
        <w:t>funkcije</w:t>
      </w:r>
      <w:proofErr w:type="spellEnd"/>
      <w:r w:rsidRPr="00422BC9">
        <w:rPr>
          <w:i/>
          <w:sz w:val="22"/>
          <w:szCs w:val="22"/>
        </w:rPr>
        <w:t xml:space="preserve"> </w:t>
      </w:r>
      <w:proofErr w:type="spellStart"/>
      <w:r w:rsidRPr="00422BC9">
        <w:rPr>
          <w:i/>
          <w:sz w:val="22"/>
          <w:szCs w:val="22"/>
        </w:rPr>
        <w:t>jetre</w:t>
      </w:r>
      <w:proofErr w:type="spellEnd"/>
    </w:p>
    <w:p w14:paraId="0C81CC78" w14:textId="77777777" w:rsidR="00701477" w:rsidRPr="00422BC9" w:rsidRDefault="00701477" w:rsidP="00701477">
      <w:pPr>
        <w:tabs>
          <w:tab w:val="left" w:pos="284"/>
        </w:tabs>
        <w:jc w:val="both"/>
        <w:rPr>
          <w:sz w:val="22"/>
          <w:szCs w:val="22"/>
        </w:rPr>
      </w:pPr>
      <w:proofErr w:type="spellStart"/>
      <w:r w:rsidRPr="00422BC9">
        <w:rPr>
          <w:sz w:val="22"/>
          <w:szCs w:val="22"/>
        </w:rPr>
        <w:t>Ispitivanje</w:t>
      </w:r>
      <w:proofErr w:type="spellEnd"/>
      <w:r w:rsidRPr="00422BC9">
        <w:rPr>
          <w:sz w:val="22"/>
          <w:szCs w:val="22"/>
        </w:rPr>
        <w:t xml:space="preserve"> </w:t>
      </w:r>
      <w:proofErr w:type="spellStart"/>
      <w:r w:rsidRPr="00422BC9">
        <w:rPr>
          <w:sz w:val="22"/>
          <w:szCs w:val="22"/>
        </w:rPr>
        <w:t>farmakokinetike</w:t>
      </w:r>
      <w:proofErr w:type="spellEnd"/>
      <w:r w:rsidRPr="00422BC9">
        <w:rPr>
          <w:sz w:val="22"/>
          <w:szCs w:val="22"/>
        </w:rPr>
        <w:t xml:space="preserve"> </w:t>
      </w:r>
      <w:proofErr w:type="spellStart"/>
      <w:r w:rsidRPr="00422BC9">
        <w:rPr>
          <w:sz w:val="22"/>
          <w:szCs w:val="22"/>
        </w:rPr>
        <w:t>pojedinačne</w:t>
      </w:r>
      <w:proofErr w:type="spellEnd"/>
      <w:r w:rsidRPr="00422BC9">
        <w:rPr>
          <w:sz w:val="22"/>
          <w:szCs w:val="22"/>
        </w:rPr>
        <w:t xml:space="preserve"> doze insulin </w:t>
      </w:r>
      <w:proofErr w:type="spellStart"/>
      <w:r w:rsidRPr="00422BC9">
        <w:rPr>
          <w:sz w:val="22"/>
          <w:szCs w:val="22"/>
        </w:rPr>
        <w:t>asparta</w:t>
      </w:r>
      <w:proofErr w:type="spellEnd"/>
      <w:r w:rsidRPr="00422BC9">
        <w:rPr>
          <w:sz w:val="22"/>
          <w:szCs w:val="22"/>
        </w:rPr>
        <w:t xml:space="preserve"> </w:t>
      </w:r>
      <w:proofErr w:type="spellStart"/>
      <w:r w:rsidRPr="00422BC9">
        <w:rPr>
          <w:sz w:val="22"/>
          <w:szCs w:val="22"/>
        </w:rPr>
        <w:t>sprovedeno</w:t>
      </w:r>
      <w:proofErr w:type="spellEnd"/>
      <w:r w:rsidRPr="00422BC9">
        <w:rPr>
          <w:sz w:val="22"/>
          <w:szCs w:val="22"/>
        </w:rPr>
        <w:t xml:space="preserve"> je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ekom</w:t>
      </w:r>
      <w:proofErr w:type="spellEnd"/>
      <w:r w:rsidRPr="00422BC9">
        <w:rPr>
          <w:sz w:val="22"/>
          <w:szCs w:val="22"/>
        </w:rPr>
        <w:t xml:space="preserve"> </w:t>
      </w:r>
      <w:proofErr w:type="spellStart"/>
      <w:r w:rsidRPr="00422BC9">
        <w:rPr>
          <w:sz w:val="22"/>
          <w:szCs w:val="22"/>
        </w:rPr>
        <w:t>NovoRapid</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24 </w:t>
      </w:r>
      <w:proofErr w:type="spellStart"/>
      <w:r w:rsidRPr="00422BC9">
        <w:rPr>
          <w:sz w:val="22"/>
          <w:szCs w:val="22"/>
        </w:rPr>
        <w:t>ispitanika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normalnom</w:t>
      </w:r>
      <w:proofErr w:type="spellEnd"/>
      <w:r w:rsidRPr="00422BC9">
        <w:rPr>
          <w:sz w:val="22"/>
          <w:szCs w:val="22"/>
        </w:rPr>
        <w:t xml:space="preserve"> do </w:t>
      </w:r>
      <w:proofErr w:type="spellStart"/>
      <w:r w:rsidRPr="00422BC9">
        <w:rPr>
          <w:sz w:val="22"/>
          <w:szCs w:val="22"/>
        </w:rPr>
        <w:t>teško</w:t>
      </w:r>
      <w:proofErr w:type="spellEnd"/>
      <w:r w:rsidRPr="00422BC9">
        <w:rPr>
          <w:sz w:val="22"/>
          <w:szCs w:val="22"/>
        </w:rPr>
        <w:t xml:space="preserve"> </w:t>
      </w:r>
      <w:proofErr w:type="spellStart"/>
      <w:r w:rsidRPr="00422BC9">
        <w:rPr>
          <w:sz w:val="22"/>
          <w:szCs w:val="22"/>
        </w:rPr>
        <w:t>oštećenom</w:t>
      </w:r>
      <w:proofErr w:type="spellEnd"/>
      <w:r w:rsidRPr="00422BC9">
        <w:rPr>
          <w:sz w:val="22"/>
          <w:szCs w:val="22"/>
        </w:rPr>
        <w:t xml:space="preserve"> </w:t>
      </w:r>
      <w:proofErr w:type="spellStart"/>
      <w:r w:rsidRPr="00422BC9">
        <w:rPr>
          <w:sz w:val="22"/>
          <w:szCs w:val="22"/>
        </w:rPr>
        <w:t>funkcijom</w:t>
      </w:r>
      <w:proofErr w:type="spellEnd"/>
      <w:r w:rsidRPr="00422BC9">
        <w:rPr>
          <w:sz w:val="22"/>
          <w:szCs w:val="22"/>
        </w:rPr>
        <w:t xml:space="preserve"> </w:t>
      </w:r>
      <w:proofErr w:type="spellStart"/>
      <w:r w:rsidRPr="00422BC9">
        <w:rPr>
          <w:sz w:val="22"/>
          <w:szCs w:val="22"/>
        </w:rPr>
        <w:t>jetre</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w:t>
      </w:r>
      <w:proofErr w:type="spellStart"/>
      <w:r w:rsidRPr="00422BC9">
        <w:rPr>
          <w:sz w:val="22"/>
          <w:szCs w:val="22"/>
        </w:rPr>
        <w:t>ispitanika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oštećenjem</w:t>
      </w:r>
      <w:proofErr w:type="spellEnd"/>
      <w:r w:rsidRPr="00422BC9">
        <w:rPr>
          <w:sz w:val="22"/>
          <w:szCs w:val="22"/>
        </w:rPr>
        <w:t xml:space="preserve"> </w:t>
      </w:r>
      <w:proofErr w:type="spellStart"/>
      <w:r w:rsidRPr="00422BC9">
        <w:rPr>
          <w:sz w:val="22"/>
          <w:szCs w:val="22"/>
        </w:rPr>
        <w:t>jetre</w:t>
      </w:r>
      <w:proofErr w:type="spellEnd"/>
      <w:r w:rsidRPr="00422BC9">
        <w:rPr>
          <w:sz w:val="22"/>
          <w:szCs w:val="22"/>
        </w:rPr>
        <w:t xml:space="preserve">, </w:t>
      </w:r>
      <w:proofErr w:type="spellStart"/>
      <w:r w:rsidRPr="00422BC9">
        <w:rPr>
          <w:sz w:val="22"/>
          <w:szCs w:val="22"/>
        </w:rPr>
        <w:t>brzina</w:t>
      </w:r>
      <w:proofErr w:type="spellEnd"/>
      <w:r w:rsidRPr="00422BC9">
        <w:rPr>
          <w:sz w:val="22"/>
          <w:szCs w:val="22"/>
        </w:rPr>
        <w:t xml:space="preserve"> </w:t>
      </w:r>
      <w:proofErr w:type="spellStart"/>
      <w:r w:rsidRPr="00422BC9">
        <w:rPr>
          <w:sz w:val="22"/>
          <w:szCs w:val="22"/>
        </w:rPr>
        <w:t>resorpcije</w:t>
      </w:r>
      <w:proofErr w:type="spellEnd"/>
      <w:r w:rsidRPr="00422BC9">
        <w:rPr>
          <w:sz w:val="22"/>
          <w:szCs w:val="22"/>
        </w:rPr>
        <w:t xml:space="preserve"> </w:t>
      </w:r>
      <w:proofErr w:type="spellStart"/>
      <w:r w:rsidRPr="00422BC9">
        <w:rPr>
          <w:sz w:val="22"/>
          <w:szCs w:val="22"/>
        </w:rPr>
        <w:t>bila</w:t>
      </w:r>
      <w:proofErr w:type="spellEnd"/>
      <w:r w:rsidRPr="00422BC9">
        <w:rPr>
          <w:sz w:val="22"/>
          <w:szCs w:val="22"/>
        </w:rPr>
        <w:t xml:space="preserve"> je </w:t>
      </w:r>
      <w:proofErr w:type="spellStart"/>
      <w:r w:rsidRPr="00422BC9">
        <w:rPr>
          <w:sz w:val="22"/>
          <w:szCs w:val="22"/>
        </w:rPr>
        <w:t>smanjena</w:t>
      </w:r>
      <w:proofErr w:type="spellEnd"/>
      <w:r w:rsidRPr="00422BC9">
        <w:rPr>
          <w:sz w:val="22"/>
          <w:szCs w:val="22"/>
        </w:rPr>
        <w:t xml:space="preserve"> i </w:t>
      </w:r>
      <w:proofErr w:type="spellStart"/>
      <w:r w:rsidRPr="00422BC9">
        <w:rPr>
          <w:sz w:val="22"/>
          <w:szCs w:val="22"/>
        </w:rPr>
        <w:t>varijabilnija</w:t>
      </w:r>
      <w:proofErr w:type="spellEnd"/>
      <w:r w:rsidRPr="00422BC9">
        <w:rPr>
          <w:sz w:val="22"/>
          <w:szCs w:val="22"/>
        </w:rPr>
        <w:t>.</w:t>
      </w:r>
    </w:p>
    <w:p w14:paraId="6A8DDAE1" w14:textId="77777777" w:rsidR="00701477" w:rsidRPr="00422BC9" w:rsidRDefault="00701477" w:rsidP="00701477">
      <w:pPr>
        <w:tabs>
          <w:tab w:val="left" w:pos="284"/>
        </w:tabs>
        <w:jc w:val="both"/>
        <w:rPr>
          <w:sz w:val="22"/>
          <w:szCs w:val="22"/>
        </w:rPr>
      </w:pPr>
    </w:p>
    <w:p w14:paraId="5F12C7EC" w14:textId="77777777" w:rsidR="00701477" w:rsidRPr="00422BC9" w:rsidRDefault="00701477" w:rsidP="00701477">
      <w:pPr>
        <w:tabs>
          <w:tab w:val="left" w:pos="284"/>
        </w:tabs>
        <w:jc w:val="both"/>
        <w:rPr>
          <w:i/>
          <w:sz w:val="22"/>
          <w:szCs w:val="22"/>
        </w:rPr>
      </w:pPr>
      <w:proofErr w:type="spellStart"/>
      <w:r w:rsidRPr="00422BC9">
        <w:rPr>
          <w:i/>
          <w:sz w:val="22"/>
          <w:szCs w:val="22"/>
        </w:rPr>
        <w:t>Oštećenje</w:t>
      </w:r>
      <w:proofErr w:type="spellEnd"/>
      <w:r w:rsidRPr="00422BC9">
        <w:rPr>
          <w:i/>
          <w:sz w:val="22"/>
          <w:szCs w:val="22"/>
        </w:rPr>
        <w:t xml:space="preserve"> </w:t>
      </w:r>
      <w:proofErr w:type="spellStart"/>
      <w:r w:rsidRPr="00422BC9">
        <w:rPr>
          <w:i/>
          <w:sz w:val="22"/>
          <w:szCs w:val="22"/>
        </w:rPr>
        <w:t>funkcije</w:t>
      </w:r>
      <w:proofErr w:type="spellEnd"/>
      <w:r w:rsidRPr="00422BC9">
        <w:rPr>
          <w:i/>
          <w:sz w:val="22"/>
          <w:szCs w:val="22"/>
        </w:rPr>
        <w:t xml:space="preserve"> </w:t>
      </w:r>
      <w:proofErr w:type="spellStart"/>
      <w:r w:rsidRPr="00422BC9">
        <w:rPr>
          <w:i/>
          <w:sz w:val="22"/>
          <w:szCs w:val="22"/>
        </w:rPr>
        <w:t>bubrega</w:t>
      </w:r>
      <w:proofErr w:type="spellEnd"/>
    </w:p>
    <w:p w14:paraId="6E8C8EEF" w14:textId="360516D1" w:rsidR="00701477" w:rsidRPr="00422BC9" w:rsidRDefault="00701477" w:rsidP="00701477">
      <w:pPr>
        <w:tabs>
          <w:tab w:val="left" w:pos="284"/>
        </w:tabs>
        <w:jc w:val="both"/>
        <w:rPr>
          <w:sz w:val="22"/>
          <w:szCs w:val="22"/>
        </w:rPr>
      </w:pPr>
      <w:proofErr w:type="spellStart"/>
      <w:r w:rsidRPr="00422BC9">
        <w:rPr>
          <w:sz w:val="22"/>
          <w:szCs w:val="22"/>
        </w:rPr>
        <w:t>Ispitivanje</w:t>
      </w:r>
      <w:proofErr w:type="spellEnd"/>
      <w:r w:rsidRPr="00422BC9">
        <w:rPr>
          <w:sz w:val="22"/>
          <w:szCs w:val="22"/>
        </w:rPr>
        <w:t xml:space="preserve"> </w:t>
      </w:r>
      <w:proofErr w:type="spellStart"/>
      <w:r w:rsidRPr="00422BC9">
        <w:rPr>
          <w:sz w:val="22"/>
          <w:szCs w:val="22"/>
        </w:rPr>
        <w:t>farmakokinetike</w:t>
      </w:r>
      <w:proofErr w:type="spellEnd"/>
      <w:r w:rsidRPr="00422BC9">
        <w:rPr>
          <w:sz w:val="22"/>
          <w:szCs w:val="22"/>
        </w:rPr>
        <w:t xml:space="preserve"> </w:t>
      </w:r>
      <w:proofErr w:type="spellStart"/>
      <w:r w:rsidRPr="00422BC9">
        <w:rPr>
          <w:sz w:val="22"/>
          <w:szCs w:val="22"/>
        </w:rPr>
        <w:t>pojedinačne</w:t>
      </w:r>
      <w:proofErr w:type="spellEnd"/>
      <w:r w:rsidRPr="00422BC9">
        <w:rPr>
          <w:sz w:val="22"/>
          <w:szCs w:val="22"/>
        </w:rPr>
        <w:t xml:space="preserve"> doze insulin </w:t>
      </w:r>
      <w:proofErr w:type="spellStart"/>
      <w:r w:rsidRPr="00422BC9">
        <w:rPr>
          <w:sz w:val="22"/>
          <w:szCs w:val="22"/>
        </w:rPr>
        <w:t>asparta</w:t>
      </w:r>
      <w:proofErr w:type="spellEnd"/>
      <w:r w:rsidRPr="00422BC9">
        <w:rPr>
          <w:sz w:val="22"/>
          <w:szCs w:val="22"/>
        </w:rPr>
        <w:t xml:space="preserve"> </w:t>
      </w:r>
      <w:proofErr w:type="spellStart"/>
      <w:r w:rsidRPr="00422BC9">
        <w:rPr>
          <w:sz w:val="22"/>
          <w:szCs w:val="22"/>
        </w:rPr>
        <w:t>sprovedeno</w:t>
      </w:r>
      <w:proofErr w:type="spellEnd"/>
      <w:r w:rsidRPr="00422BC9">
        <w:rPr>
          <w:sz w:val="22"/>
          <w:szCs w:val="22"/>
        </w:rPr>
        <w:t xml:space="preserve"> je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ekom</w:t>
      </w:r>
      <w:proofErr w:type="spellEnd"/>
      <w:r w:rsidRPr="00422BC9">
        <w:rPr>
          <w:sz w:val="22"/>
          <w:szCs w:val="22"/>
        </w:rPr>
        <w:t xml:space="preserve"> </w:t>
      </w:r>
      <w:proofErr w:type="spellStart"/>
      <w:r w:rsidRPr="00422BC9">
        <w:rPr>
          <w:sz w:val="22"/>
          <w:szCs w:val="22"/>
        </w:rPr>
        <w:t>NovoRapid</w:t>
      </w:r>
      <w:proofErr w:type="spellEnd"/>
      <w:r w:rsidRPr="00422BC9">
        <w:rPr>
          <w:sz w:val="22"/>
          <w:szCs w:val="22"/>
        </w:rPr>
        <w:t xml:space="preserve"> </w:t>
      </w:r>
      <w:proofErr w:type="spellStart"/>
      <w:r w:rsidRPr="00422BC9">
        <w:rPr>
          <w:sz w:val="22"/>
          <w:szCs w:val="22"/>
        </w:rPr>
        <w:t>na</w:t>
      </w:r>
      <w:proofErr w:type="spellEnd"/>
      <w:r w:rsidRPr="00422BC9">
        <w:rPr>
          <w:sz w:val="22"/>
          <w:szCs w:val="22"/>
        </w:rPr>
        <w:t xml:space="preserve"> 18 </w:t>
      </w:r>
      <w:proofErr w:type="spellStart"/>
      <w:r w:rsidRPr="00422BC9">
        <w:rPr>
          <w:sz w:val="22"/>
          <w:szCs w:val="22"/>
        </w:rPr>
        <w:t>ispitanika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normalnom</w:t>
      </w:r>
      <w:proofErr w:type="spellEnd"/>
      <w:r w:rsidRPr="00422BC9">
        <w:rPr>
          <w:sz w:val="22"/>
          <w:szCs w:val="22"/>
        </w:rPr>
        <w:t xml:space="preserve"> do </w:t>
      </w:r>
      <w:proofErr w:type="spellStart"/>
      <w:r w:rsidRPr="00422BC9">
        <w:rPr>
          <w:sz w:val="22"/>
          <w:szCs w:val="22"/>
        </w:rPr>
        <w:t>teško</w:t>
      </w:r>
      <w:proofErr w:type="spellEnd"/>
      <w:r w:rsidRPr="00422BC9">
        <w:rPr>
          <w:sz w:val="22"/>
          <w:szCs w:val="22"/>
        </w:rPr>
        <w:t xml:space="preserve"> </w:t>
      </w:r>
      <w:proofErr w:type="spellStart"/>
      <w:r w:rsidRPr="00422BC9">
        <w:rPr>
          <w:sz w:val="22"/>
          <w:szCs w:val="22"/>
        </w:rPr>
        <w:t>oštećenom</w:t>
      </w:r>
      <w:proofErr w:type="spellEnd"/>
      <w:r w:rsidRPr="00422BC9">
        <w:rPr>
          <w:sz w:val="22"/>
          <w:szCs w:val="22"/>
        </w:rPr>
        <w:t xml:space="preserve"> </w:t>
      </w:r>
      <w:proofErr w:type="spellStart"/>
      <w:r w:rsidRPr="00422BC9">
        <w:rPr>
          <w:sz w:val="22"/>
          <w:szCs w:val="22"/>
        </w:rPr>
        <w:t>funkcijom</w:t>
      </w:r>
      <w:proofErr w:type="spellEnd"/>
      <w:r w:rsidRPr="00422BC9">
        <w:rPr>
          <w:sz w:val="22"/>
          <w:szCs w:val="22"/>
        </w:rPr>
        <w:t xml:space="preserve"> </w:t>
      </w:r>
      <w:proofErr w:type="spellStart"/>
      <w:r w:rsidRPr="00422BC9">
        <w:rPr>
          <w:sz w:val="22"/>
          <w:szCs w:val="22"/>
        </w:rPr>
        <w:t>bubrega</w:t>
      </w:r>
      <w:proofErr w:type="spellEnd"/>
      <w:r w:rsidRPr="00422BC9">
        <w:rPr>
          <w:sz w:val="22"/>
          <w:szCs w:val="22"/>
        </w:rPr>
        <w:t xml:space="preserve">. </w:t>
      </w:r>
      <w:proofErr w:type="spellStart"/>
      <w:r w:rsidRPr="00422BC9">
        <w:rPr>
          <w:sz w:val="22"/>
          <w:szCs w:val="22"/>
        </w:rPr>
        <w:t>Nije</w:t>
      </w:r>
      <w:proofErr w:type="spellEnd"/>
      <w:r w:rsidRPr="00422BC9">
        <w:rPr>
          <w:sz w:val="22"/>
          <w:szCs w:val="22"/>
        </w:rPr>
        <w:t xml:space="preserve"> </w:t>
      </w:r>
      <w:proofErr w:type="spellStart"/>
      <w:r w:rsidRPr="00422BC9">
        <w:rPr>
          <w:sz w:val="22"/>
          <w:szCs w:val="22"/>
        </w:rPr>
        <w:t>bilo</w:t>
      </w:r>
      <w:proofErr w:type="spellEnd"/>
      <w:r w:rsidRPr="00422BC9">
        <w:rPr>
          <w:sz w:val="22"/>
          <w:szCs w:val="22"/>
        </w:rPr>
        <w:t xml:space="preserve"> </w:t>
      </w:r>
      <w:proofErr w:type="spellStart"/>
      <w:r w:rsidRPr="00422BC9">
        <w:rPr>
          <w:sz w:val="22"/>
          <w:szCs w:val="22"/>
        </w:rPr>
        <w:t>vidljivog</w:t>
      </w:r>
      <w:proofErr w:type="spellEnd"/>
      <w:r w:rsidRPr="00422BC9">
        <w:rPr>
          <w:sz w:val="22"/>
          <w:szCs w:val="22"/>
        </w:rPr>
        <w:t xml:space="preserve"> </w:t>
      </w:r>
      <w:proofErr w:type="spellStart"/>
      <w:r w:rsidR="0007586C">
        <w:rPr>
          <w:sz w:val="22"/>
          <w:szCs w:val="22"/>
        </w:rPr>
        <w:t>efekta</w:t>
      </w:r>
      <w:proofErr w:type="spellEnd"/>
      <w:r w:rsidR="0007586C">
        <w:rPr>
          <w:sz w:val="22"/>
          <w:szCs w:val="22"/>
        </w:rPr>
        <w:t xml:space="preserve"> </w:t>
      </w:r>
      <w:proofErr w:type="spellStart"/>
      <w:r w:rsidRPr="00422BC9">
        <w:rPr>
          <w:sz w:val="22"/>
          <w:szCs w:val="22"/>
        </w:rPr>
        <w:t>vr</w:t>
      </w:r>
      <w:r>
        <w:rPr>
          <w:sz w:val="22"/>
          <w:szCs w:val="22"/>
        </w:rPr>
        <w:t>ij</w:t>
      </w:r>
      <w:r w:rsidRPr="00422BC9">
        <w:rPr>
          <w:sz w:val="22"/>
          <w:szCs w:val="22"/>
        </w:rPr>
        <w:t>ednosti</w:t>
      </w:r>
      <w:proofErr w:type="spellEnd"/>
      <w:r w:rsidRPr="00422BC9">
        <w:rPr>
          <w:sz w:val="22"/>
          <w:szCs w:val="22"/>
        </w:rPr>
        <w:t xml:space="preserve"> </w:t>
      </w:r>
      <w:proofErr w:type="spellStart"/>
      <w:r w:rsidRPr="00422BC9">
        <w:rPr>
          <w:sz w:val="22"/>
          <w:szCs w:val="22"/>
        </w:rPr>
        <w:t>klirensa</w:t>
      </w:r>
      <w:proofErr w:type="spellEnd"/>
      <w:r w:rsidRPr="00422BC9">
        <w:rPr>
          <w:sz w:val="22"/>
          <w:szCs w:val="22"/>
        </w:rPr>
        <w:t xml:space="preserve"> </w:t>
      </w:r>
      <w:proofErr w:type="spellStart"/>
      <w:r w:rsidRPr="00422BC9">
        <w:rPr>
          <w:sz w:val="22"/>
          <w:szCs w:val="22"/>
        </w:rPr>
        <w:t>kreatinina</w:t>
      </w:r>
      <w:proofErr w:type="spellEnd"/>
      <w:r w:rsidRPr="00422BC9">
        <w:rPr>
          <w:sz w:val="22"/>
          <w:szCs w:val="22"/>
        </w:rPr>
        <w:t xml:space="preserve"> </w:t>
      </w:r>
      <w:proofErr w:type="spellStart"/>
      <w:r w:rsidRPr="00422BC9">
        <w:rPr>
          <w:sz w:val="22"/>
          <w:szCs w:val="22"/>
        </w:rPr>
        <w:t>na</w:t>
      </w:r>
      <w:proofErr w:type="spellEnd"/>
      <w:r w:rsidRPr="00422BC9">
        <w:rPr>
          <w:sz w:val="22"/>
          <w:szCs w:val="22"/>
        </w:rPr>
        <w:t xml:space="preserve"> PIK, </w:t>
      </w:r>
      <w:proofErr w:type="spellStart"/>
      <w:r w:rsidRPr="00422BC9">
        <w:rPr>
          <w:sz w:val="22"/>
          <w:szCs w:val="22"/>
        </w:rPr>
        <w:t>C</w:t>
      </w:r>
      <w:r w:rsidRPr="00422BC9">
        <w:rPr>
          <w:sz w:val="22"/>
          <w:szCs w:val="22"/>
          <w:vertAlign w:val="subscript"/>
        </w:rPr>
        <w:t>max</w:t>
      </w:r>
      <w:proofErr w:type="spellEnd"/>
      <w:r w:rsidRPr="00422BC9">
        <w:rPr>
          <w:sz w:val="22"/>
          <w:szCs w:val="22"/>
        </w:rPr>
        <w:t xml:space="preserve">, CL/F i </w:t>
      </w:r>
      <w:proofErr w:type="spellStart"/>
      <w:r w:rsidRPr="00422BC9">
        <w:rPr>
          <w:sz w:val="22"/>
          <w:szCs w:val="22"/>
        </w:rPr>
        <w:t>T</w:t>
      </w:r>
      <w:r w:rsidRPr="00422BC9">
        <w:rPr>
          <w:sz w:val="22"/>
          <w:szCs w:val="22"/>
          <w:vertAlign w:val="subscript"/>
        </w:rPr>
        <w:t>max</w:t>
      </w:r>
      <w:proofErr w:type="spellEnd"/>
      <w:r w:rsidRPr="00422BC9">
        <w:rPr>
          <w:sz w:val="22"/>
          <w:szCs w:val="22"/>
        </w:rPr>
        <w:t xml:space="preserve"> insulin </w:t>
      </w:r>
      <w:proofErr w:type="spellStart"/>
      <w:r w:rsidRPr="00422BC9">
        <w:rPr>
          <w:sz w:val="22"/>
          <w:szCs w:val="22"/>
        </w:rPr>
        <w:t>asparta</w:t>
      </w:r>
      <w:proofErr w:type="spellEnd"/>
      <w:r w:rsidRPr="00422BC9">
        <w:rPr>
          <w:sz w:val="22"/>
          <w:szCs w:val="22"/>
        </w:rPr>
        <w:t xml:space="preserve">. </w:t>
      </w:r>
      <w:proofErr w:type="spellStart"/>
      <w:r w:rsidRPr="00422BC9">
        <w:rPr>
          <w:sz w:val="22"/>
          <w:szCs w:val="22"/>
        </w:rPr>
        <w:t>Podaci</w:t>
      </w:r>
      <w:proofErr w:type="spellEnd"/>
      <w:r w:rsidRPr="00422BC9">
        <w:rPr>
          <w:sz w:val="22"/>
          <w:szCs w:val="22"/>
        </w:rPr>
        <w:t xml:space="preserve"> o </w:t>
      </w:r>
      <w:proofErr w:type="spellStart"/>
      <w:r w:rsidRPr="00422BC9">
        <w:rPr>
          <w:sz w:val="22"/>
          <w:szCs w:val="22"/>
        </w:rPr>
        <w:t>pacijentima</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um</w:t>
      </w:r>
      <w:r w:rsidR="000845DE">
        <w:rPr>
          <w:sz w:val="22"/>
          <w:szCs w:val="22"/>
        </w:rPr>
        <w:t>j</w:t>
      </w:r>
      <w:r w:rsidRPr="00422BC9">
        <w:rPr>
          <w:sz w:val="22"/>
          <w:szCs w:val="22"/>
        </w:rPr>
        <w:t>erenim</w:t>
      </w:r>
      <w:proofErr w:type="spellEnd"/>
      <w:r w:rsidRPr="00422BC9">
        <w:rPr>
          <w:sz w:val="22"/>
          <w:szCs w:val="22"/>
        </w:rPr>
        <w:t xml:space="preserve"> i </w:t>
      </w:r>
      <w:proofErr w:type="spellStart"/>
      <w:r w:rsidRPr="00422BC9">
        <w:rPr>
          <w:sz w:val="22"/>
          <w:szCs w:val="22"/>
        </w:rPr>
        <w:t>teškim</w:t>
      </w:r>
      <w:proofErr w:type="spellEnd"/>
      <w:r w:rsidRPr="00422BC9">
        <w:rPr>
          <w:sz w:val="22"/>
          <w:szCs w:val="22"/>
        </w:rPr>
        <w:t xml:space="preserve"> </w:t>
      </w:r>
      <w:proofErr w:type="spellStart"/>
      <w:r w:rsidRPr="00422BC9">
        <w:rPr>
          <w:sz w:val="22"/>
          <w:szCs w:val="22"/>
        </w:rPr>
        <w:t>oštećenjem</w:t>
      </w:r>
      <w:proofErr w:type="spellEnd"/>
      <w:r w:rsidRPr="00422BC9">
        <w:rPr>
          <w:sz w:val="22"/>
          <w:szCs w:val="22"/>
        </w:rPr>
        <w:t xml:space="preserve"> </w:t>
      </w:r>
      <w:proofErr w:type="spellStart"/>
      <w:r w:rsidRPr="00422BC9">
        <w:rPr>
          <w:sz w:val="22"/>
          <w:szCs w:val="22"/>
        </w:rPr>
        <w:t>funkcije</w:t>
      </w:r>
      <w:proofErr w:type="spellEnd"/>
      <w:r w:rsidRPr="00422BC9">
        <w:rPr>
          <w:sz w:val="22"/>
          <w:szCs w:val="22"/>
        </w:rPr>
        <w:t xml:space="preserve"> </w:t>
      </w:r>
      <w:proofErr w:type="spellStart"/>
      <w:r w:rsidRPr="00422BC9">
        <w:rPr>
          <w:sz w:val="22"/>
          <w:szCs w:val="22"/>
        </w:rPr>
        <w:t>bubrega</w:t>
      </w:r>
      <w:proofErr w:type="spellEnd"/>
      <w:r w:rsidRPr="00422BC9">
        <w:rPr>
          <w:sz w:val="22"/>
          <w:szCs w:val="22"/>
        </w:rPr>
        <w:t xml:space="preserve"> </w:t>
      </w:r>
      <w:proofErr w:type="spellStart"/>
      <w:r w:rsidRPr="00422BC9">
        <w:rPr>
          <w:sz w:val="22"/>
          <w:szCs w:val="22"/>
        </w:rPr>
        <w:t>bili</w:t>
      </w:r>
      <w:proofErr w:type="spellEnd"/>
      <w:r w:rsidRPr="00422BC9">
        <w:rPr>
          <w:sz w:val="22"/>
          <w:szCs w:val="22"/>
        </w:rPr>
        <w:t xml:space="preserve"> </w:t>
      </w:r>
      <w:proofErr w:type="spellStart"/>
      <w:r w:rsidRPr="00422BC9">
        <w:rPr>
          <w:sz w:val="22"/>
          <w:szCs w:val="22"/>
        </w:rPr>
        <w:t>su</w:t>
      </w:r>
      <w:proofErr w:type="spellEnd"/>
      <w:r w:rsidRPr="00422BC9">
        <w:rPr>
          <w:sz w:val="22"/>
          <w:szCs w:val="22"/>
        </w:rPr>
        <w:t xml:space="preserve"> </w:t>
      </w:r>
      <w:proofErr w:type="spellStart"/>
      <w:r w:rsidRPr="00422BC9">
        <w:rPr>
          <w:sz w:val="22"/>
          <w:szCs w:val="22"/>
        </w:rPr>
        <w:t>ograničeni</w:t>
      </w:r>
      <w:proofErr w:type="spellEnd"/>
      <w:r w:rsidRPr="00422BC9">
        <w:rPr>
          <w:sz w:val="22"/>
          <w:szCs w:val="22"/>
        </w:rPr>
        <w:t xml:space="preserve">. </w:t>
      </w:r>
      <w:proofErr w:type="spellStart"/>
      <w:r w:rsidRPr="00422BC9">
        <w:rPr>
          <w:sz w:val="22"/>
          <w:szCs w:val="22"/>
        </w:rPr>
        <w:t>Ispitivanjem</w:t>
      </w:r>
      <w:proofErr w:type="spellEnd"/>
      <w:r w:rsidRPr="00422BC9">
        <w:rPr>
          <w:sz w:val="22"/>
          <w:szCs w:val="22"/>
        </w:rPr>
        <w:t xml:space="preserve"> </w:t>
      </w:r>
      <w:proofErr w:type="spellStart"/>
      <w:r w:rsidRPr="00422BC9">
        <w:rPr>
          <w:sz w:val="22"/>
          <w:szCs w:val="22"/>
        </w:rPr>
        <w:t>ni</w:t>
      </w:r>
      <w:r>
        <w:rPr>
          <w:sz w:val="22"/>
          <w:szCs w:val="22"/>
        </w:rPr>
        <w:t>je</w:t>
      </w:r>
      <w:r w:rsidRPr="00422BC9">
        <w:rPr>
          <w:sz w:val="22"/>
          <w:szCs w:val="22"/>
        </w:rPr>
        <w:t>su</w:t>
      </w:r>
      <w:proofErr w:type="spellEnd"/>
      <w:r w:rsidRPr="00422BC9">
        <w:rPr>
          <w:sz w:val="22"/>
          <w:szCs w:val="22"/>
        </w:rPr>
        <w:t xml:space="preserve"> </w:t>
      </w:r>
      <w:proofErr w:type="spellStart"/>
      <w:r w:rsidRPr="00422BC9">
        <w:rPr>
          <w:sz w:val="22"/>
          <w:szCs w:val="22"/>
        </w:rPr>
        <w:t>bili</w:t>
      </w:r>
      <w:proofErr w:type="spellEnd"/>
      <w:r w:rsidRPr="00422BC9">
        <w:rPr>
          <w:sz w:val="22"/>
          <w:szCs w:val="22"/>
        </w:rPr>
        <w:t xml:space="preserve"> </w:t>
      </w:r>
      <w:proofErr w:type="spellStart"/>
      <w:r w:rsidRPr="00422BC9">
        <w:rPr>
          <w:sz w:val="22"/>
          <w:szCs w:val="22"/>
        </w:rPr>
        <w:t>obuhvaćeni</w:t>
      </w:r>
      <w:proofErr w:type="spellEnd"/>
      <w:r w:rsidRPr="00422BC9">
        <w:rPr>
          <w:sz w:val="22"/>
          <w:szCs w:val="22"/>
        </w:rPr>
        <w:t xml:space="preserve"> </w:t>
      </w:r>
      <w:proofErr w:type="spellStart"/>
      <w:r w:rsidRPr="00422BC9">
        <w:rPr>
          <w:sz w:val="22"/>
          <w:szCs w:val="22"/>
        </w:rPr>
        <w:t>pacijenti</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insuficijencijom</w:t>
      </w:r>
      <w:proofErr w:type="spellEnd"/>
      <w:r w:rsidRPr="00422BC9">
        <w:rPr>
          <w:sz w:val="22"/>
          <w:szCs w:val="22"/>
        </w:rPr>
        <w:t xml:space="preserve"> </w:t>
      </w:r>
      <w:proofErr w:type="spellStart"/>
      <w:r w:rsidRPr="00422BC9">
        <w:rPr>
          <w:sz w:val="22"/>
          <w:szCs w:val="22"/>
        </w:rPr>
        <w:t>bubrega</w:t>
      </w:r>
      <w:proofErr w:type="spellEnd"/>
      <w:r w:rsidRPr="00422BC9">
        <w:rPr>
          <w:sz w:val="22"/>
          <w:szCs w:val="22"/>
        </w:rPr>
        <w:t xml:space="preserve"> </w:t>
      </w:r>
      <w:proofErr w:type="spellStart"/>
      <w:r w:rsidRPr="00422BC9">
        <w:rPr>
          <w:sz w:val="22"/>
          <w:szCs w:val="22"/>
        </w:rPr>
        <w:t>kojima</w:t>
      </w:r>
      <w:proofErr w:type="spellEnd"/>
      <w:r w:rsidRPr="00422BC9">
        <w:rPr>
          <w:sz w:val="22"/>
          <w:szCs w:val="22"/>
        </w:rPr>
        <w:t xml:space="preserve"> je </w:t>
      </w:r>
      <w:proofErr w:type="spellStart"/>
      <w:r w:rsidRPr="00422BC9">
        <w:rPr>
          <w:sz w:val="22"/>
          <w:szCs w:val="22"/>
        </w:rPr>
        <w:t>potrebna</w:t>
      </w:r>
      <w:proofErr w:type="spellEnd"/>
      <w:r w:rsidRPr="00422BC9">
        <w:rPr>
          <w:sz w:val="22"/>
          <w:szCs w:val="22"/>
        </w:rPr>
        <w:t xml:space="preserve"> </w:t>
      </w:r>
      <w:proofErr w:type="spellStart"/>
      <w:r w:rsidRPr="00422BC9">
        <w:rPr>
          <w:sz w:val="22"/>
          <w:szCs w:val="22"/>
        </w:rPr>
        <w:t>dijaliza</w:t>
      </w:r>
      <w:proofErr w:type="spellEnd"/>
      <w:r w:rsidRPr="00422BC9">
        <w:rPr>
          <w:sz w:val="22"/>
          <w:szCs w:val="22"/>
        </w:rPr>
        <w:t>.</w:t>
      </w:r>
    </w:p>
    <w:p w14:paraId="21545DBD" w14:textId="77777777" w:rsidR="00701477" w:rsidRPr="00422BC9" w:rsidRDefault="00701477" w:rsidP="00701477">
      <w:pPr>
        <w:tabs>
          <w:tab w:val="left" w:pos="284"/>
        </w:tabs>
        <w:jc w:val="both"/>
        <w:rPr>
          <w:sz w:val="22"/>
          <w:szCs w:val="22"/>
        </w:rPr>
      </w:pPr>
    </w:p>
    <w:p w14:paraId="3C9CD954" w14:textId="77777777" w:rsidR="00701477" w:rsidRPr="00422BC9" w:rsidRDefault="00701477" w:rsidP="00701477">
      <w:pPr>
        <w:tabs>
          <w:tab w:val="left" w:pos="284"/>
        </w:tabs>
        <w:jc w:val="both"/>
        <w:rPr>
          <w:i/>
          <w:sz w:val="22"/>
          <w:szCs w:val="22"/>
        </w:rPr>
      </w:pPr>
      <w:proofErr w:type="spellStart"/>
      <w:r w:rsidRPr="00422BC9">
        <w:rPr>
          <w:i/>
          <w:sz w:val="22"/>
          <w:szCs w:val="22"/>
        </w:rPr>
        <w:t>Pedijatrijska</w:t>
      </w:r>
      <w:proofErr w:type="spellEnd"/>
      <w:r w:rsidRPr="00422BC9">
        <w:rPr>
          <w:i/>
          <w:sz w:val="22"/>
          <w:szCs w:val="22"/>
        </w:rPr>
        <w:t xml:space="preserve"> </w:t>
      </w:r>
      <w:proofErr w:type="spellStart"/>
      <w:r w:rsidRPr="00422BC9">
        <w:rPr>
          <w:i/>
          <w:sz w:val="22"/>
          <w:szCs w:val="22"/>
        </w:rPr>
        <w:t>populacija</w:t>
      </w:r>
      <w:proofErr w:type="spellEnd"/>
    </w:p>
    <w:p w14:paraId="684A31CC" w14:textId="77777777" w:rsidR="00701477" w:rsidRPr="00422BC9" w:rsidRDefault="00701477" w:rsidP="00701477">
      <w:pPr>
        <w:tabs>
          <w:tab w:val="left" w:pos="284"/>
        </w:tabs>
        <w:jc w:val="both"/>
        <w:rPr>
          <w:sz w:val="22"/>
          <w:szCs w:val="22"/>
        </w:rPr>
      </w:pPr>
      <w:r w:rsidRPr="00422BC9">
        <w:rPr>
          <w:sz w:val="22"/>
          <w:szCs w:val="22"/>
        </w:rPr>
        <w:t xml:space="preserve">U </w:t>
      </w:r>
      <w:proofErr w:type="spellStart"/>
      <w:r w:rsidRPr="00422BC9">
        <w:rPr>
          <w:sz w:val="22"/>
          <w:szCs w:val="22"/>
        </w:rPr>
        <w:t>poređenju</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ekom</w:t>
      </w:r>
      <w:proofErr w:type="spellEnd"/>
      <w:r w:rsidRPr="00422BC9">
        <w:rPr>
          <w:sz w:val="22"/>
          <w:szCs w:val="22"/>
        </w:rPr>
        <w:t xml:space="preserve"> </w:t>
      </w:r>
      <w:proofErr w:type="spellStart"/>
      <w:r w:rsidRPr="00422BC9">
        <w:rPr>
          <w:sz w:val="22"/>
          <w:szCs w:val="22"/>
        </w:rPr>
        <w:t>NovoRapid</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w:t>
      </w:r>
      <w:proofErr w:type="spellStart"/>
      <w:r w:rsidRPr="00422BC9">
        <w:rPr>
          <w:sz w:val="22"/>
          <w:szCs w:val="22"/>
        </w:rPr>
        <w:t>d</w:t>
      </w:r>
      <w:r>
        <w:rPr>
          <w:sz w:val="22"/>
          <w:szCs w:val="22"/>
        </w:rPr>
        <w:t>j</w:t>
      </w:r>
      <w:r w:rsidRPr="00422BC9">
        <w:rPr>
          <w:sz w:val="22"/>
          <w:szCs w:val="22"/>
        </w:rPr>
        <w:t>ece</w:t>
      </w:r>
      <w:proofErr w:type="spellEnd"/>
      <w:r w:rsidRPr="00422BC9">
        <w:rPr>
          <w:sz w:val="22"/>
          <w:szCs w:val="22"/>
        </w:rPr>
        <w:t xml:space="preserve"> (</w:t>
      </w:r>
      <w:proofErr w:type="spellStart"/>
      <w:r w:rsidR="000845DE">
        <w:rPr>
          <w:sz w:val="22"/>
          <w:szCs w:val="22"/>
        </w:rPr>
        <w:t>uzrasta</w:t>
      </w:r>
      <w:proofErr w:type="spellEnd"/>
      <w:r w:rsidR="000845DE">
        <w:rPr>
          <w:sz w:val="22"/>
          <w:szCs w:val="22"/>
        </w:rPr>
        <w:t xml:space="preserve"> </w:t>
      </w:r>
      <w:r w:rsidRPr="00422BC9">
        <w:rPr>
          <w:sz w:val="22"/>
          <w:szCs w:val="22"/>
        </w:rPr>
        <w:t xml:space="preserve">6-11 </w:t>
      </w:r>
      <w:proofErr w:type="spellStart"/>
      <w:r w:rsidRPr="00422BC9">
        <w:rPr>
          <w:sz w:val="22"/>
          <w:szCs w:val="22"/>
        </w:rPr>
        <w:t>godina</w:t>
      </w:r>
      <w:proofErr w:type="spellEnd"/>
      <w:r w:rsidRPr="00422BC9">
        <w:rPr>
          <w:sz w:val="22"/>
          <w:szCs w:val="22"/>
        </w:rPr>
        <w:t xml:space="preserve">) i </w:t>
      </w:r>
      <w:proofErr w:type="spellStart"/>
      <w:r w:rsidRPr="00422BC9">
        <w:rPr>
          <w:sz w:val="22"/>
          <w:szCs w:val="22"/>
        </w:rPr>
        <w:t>adolescenata</w:t>
      </w:r>
      <w:proofErr w:type="spellEnd"/>
      <w:r w:rsidRPr="00422BC9">
        <w:rPr>
          <w:sz w:val="22"/>
          <w:szCs w:val="22"/>
        </w:rPr>
        <w:t xml:space="preserve"> (</w:t>
      </w:r>
      <w:proofErr w:type="spellStart"/>
      <w:r w:rsidR="000845DE">
        <w:rPr>
          <w:sz w:val="22"/>
          <w:szCs w:val="22"/>
        </w:rPr>
        <w:t>uzrasta</w:t>
      </w:r>
      <w:proofErr w:type="spellEnd"/>
      <w:r w:rsidR="000845DE">
        <w:rPr>
          <w:sz w:val="22"/>
          <w:szCs w:val="22"/>
        </w:rPr>
        <w:t xml:space="preserve"> </w:t>
      </w:r>
      <w:r w:rsidRPr="00422BC9">
        <w:rPr>
          <w:sz w:val="22"/>
          <w:szCs w:val="22"/>
        </w:rPr>
        <w:t xml:space="preserve">12-18 </w:t>
      </w:r>
      <w:proofErr w:type="spellStart"/>
      <w:r w:rsidRPr="00422BC9">
        <w:rPr>
          <w:sz w:val="22"/>
          <w:szCs w:val="22"/>
        </w:rPr>
        <w:t>godina</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je </w:t>
      </w:r>
      <w:proofErr w:type="spellStart"/>
      <w:r w:rsidRPr="00422BC9">
        <w:rPr>
          <w:sz w:val="22"/>
          <w:szCs w:val="22"/>
        </w:rPr>
        <w:t>pokazao</w:t>
      </w:r>
      <w:proofErr w:type="spellEnd"/>
      <w:r w:rsidRPr="00422BC9">
        <w:rPr>
          <w:sz w:val="22"/>
          <w:szCs w:val="22"/>
        </w:rPr>
        <w:t xml:space="preserve"> </w:t>
      </w:r>
      <w:proofErr w:type="spellStart"/>
      <w:r w:rsidRPr="00422BC9">
        <w:rPr>
          <w:sz w:val="22"/>
          <w:szCs w:val="22"/>
        </w:rPr>
        <w:t>raniji</w:t>
      </w:r>
      <w:proofErr w:type="spellEnd"/>
      <w:r w:rsidRPr="00422BC9">
        <w:rPr>
          <w:sz w:val="22"/>
          <w:szCs w:val="22"/>
        </w:rPr>
        <w:t xml:space="preserve"> </w:t>
      </w:r>
      <w:proofErr w:type="spellStart"/>
      <w:r w:rsidRPr="00422BC9">
        <w:rPr>
          <w:sz w:val="22"/>
          <w:szCs w:val="22"/>
        </w:rPr>
        <w:t>nastup</w:t>
      </w:r>
      <w:proofErr w:type="spellEnd"/>
      <w:r w:rsidRPr="00422BC9">
        <w:rPr>
          <w:sz w:val="22"/>
          <w:szCs w:val="22"/>
        </w:rPr>
        <w:t xml:space="preserve"> </w:t>
      </w:r>
      <w:proofErr w:type="spellStart"/>
      <w:r w:rsidRPr="00422BC9">
        <w:rPr>
          <w:sz w:val="22"/>
          <w:szCs w:val="22"/>
        </w:rPr>
        <w:t>izloženosti</w:t>
      </w:r>
      <w:proofErr w:type="spellEnd"/>
      <w:r w:rsidRPr="00422BC9">
        <w:rPr>
          <w:sz w:val="22"/>
          <w:szCs w:val="22"/>
        </w:rPr>
        <w:t xml:space="preserve"> i </w:t>
      </w:r>
      <w:proofErr w:type="spellStart"/>
      <w:r w:rsidRPr="00422BC9">
        <w:rPr>
          <w:sz w:val="22"/>
          <w:szCs w:val="22"/>
        </w:rPr>
        <w:t>veću</w:t>
      </w:r>
      <w:proofErr w:type="spellEnd"/>
      <w:r w:rsidRPr="00422BC9">
        <w:rPr>
          <w:sz w:val="22"/>
          <w:szCs w:val="22"/>
        </w:rPr>
        <w:t xml:space="preserve"> </w:t>
      </w:r>
      <w:proofErr w:type="spellStart"/>
      <w:r w:rsidRPr="00422BC9">
        <w:rPr>
          <w:sz w:val="22"/>
          <w:szCs w:val="22"/>
        </w:rPr>
        <w:t>ranu</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insulinu</w:t>
      </w:r>
      <w:proofErr w:type="spellEnd"/>
      <w:r w:rsidRPr="00422BC9">
        <w:rPr>
          <w:sz w:val="22"/>
          <w:szCs w:val="22"/>
        </w:rPr>
        <w:t xml:space="preserve">, </w:t>
      </w:r>
      <w:proofErr w:type="spellStart"/>
      <w:r w:rsidRPr="00422BC9">
        <w:rPr>
          <w:sz w:val="22"/>
          <w:szCs w:val="22"/>
        </w:rPr>
        <w:t>pri</w:t>
      </w:r>
      <w:proofErr w:type="spellEnd"/>
      <w:r w:rsidRPr="00422BC9">
        <w:rPr>
          <w:sz w:val="22"/>
          <w:szCs w:val="22"/>
        </w:rPr>
        <w:t xml:space="preserve"> </w:t>
      </w:r>
      <w:proofErr w:type="spellStart"/>
      <w:r w:rsidRPr="00422BC9">
        <w:rPr>
          <w:sz w:val="22"/>
          <w:szCs w:val="22"/>
        </w:rPr>
        <w:t>čemu</w:t>
      </w:r>
      <w:proofErr w:type="spellEnd"/>
      <w:r w:rsidRPr="00422BC9">
        <w:rPr>
          <w:sz w:val="22"/>
          <w:szCs w:val="22"/>
        </w:rPr>
        <w:t xml:space="preserve"> se </w:t>
      </w:r>
      <w:proofErr w:type="spellStart"/>
      <w:r w:rsidRPr="00422BC9">
        <w:rPr>
          <w:sz w:val="22"/>
          <w:szCs w:val="22"/>
        </w:rPr>
        <w:t>održala</w:t>
      </w:r>
      <w:proofErr w:type="spellEnd"/>
      <w:r w:rsidRPr="00422BC9">
        <w:rPr>
          <w:sz w:val="22"/>
          <w:szCs w:val="22"/>
        </w:rPr>
        <w:t xml:space="preserve"> </w:t>
      </w:r>
      <w:proofErr w:type="spellStart"/>
      <w:r w:rsidRPr="00422BC9">
        <w:rPr>
          <w:sz w:val="22"/>
          <w:szCs w:val="22"/>
        </w:rPr>
        <w:t>slična</w:t>
      </w:r>
      <w:proofErr w:type="spellEnd"/>
      <w:r w:rsidRPr="00422BC9">
        <w:rPr>
          <w:sz w:val="22"/>
          <w:szCs w:val="22"/>
        </w:rPr>
        <w:t xml:space="preserve"> </w:t>
      </w: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i </w:t>
      </w:r>
      <w:proofErr w:type="spellStart"/>
      <w:r w:rsidRPr="00422BC9">
        <w:rPr>
          <w:sz w:val="22"/>
          <w:szCs w:val="22"/>
        </w:rPr>
        <w:t>maksimalna</w:t>
      </w:r>
      <w:proofErr w:type="spellEnd"/>
      <w:r w:rsidRPr="00422BC9">
        <w:rPr>
          <w:sz w:val="22"/>
          <w:szCs w:val="22"/>
        </w:rPr>
        <w:t xml:space="preserve"> </w:t>
      </w:r>
      <w:proofErr w:type="spellStart"/>
      <w:r w:rsidRPr="00422BC9">
        <w:rPr>
          <w:sz w:val="22"/>
          <w:szCs w:val="22"/>
        </w:rPr>
        <w:t>koncentracija</w:t>
      </w:r>
      <w:proofErr w:type="spellEnd"/>
      <w:r w:rsidRPr="00422BC9">
        <w:rPr>
          <w:sz w:val="22"/>
          <w:szCs w:val="22"/>
        </w:rPr>
        <w:t>.</w:t>
      </w:r>
    </w:p>
    <w:p w14:paraId="0165477D" w14:textId="77777777" w:rsidR="00701477" w:rsidRPr="00422BC9" w:rsidRDefault="00701477" w:rsidP="00701477">
      <w:pPr>
        <w:tabs>
          <w:tab w:val="left" w:pos="284"/>
        </w:tabs>
        <w:jc w:val="both"/>
        <w:rPr>
          <w:sz w:val="22"/>
          <w:szCs w:val="22"/>
        </w:rPr>
      </w:pPr>
    </w:p>
    <w:p w14:paraId="25743ADD" w14:textId="77777777" w:rsidR="00701477" w:rsidRPr="00422BC9" w:rsidRDefault="00701477" w:rsidP="00701477">
      <w:pPr>
        <w:tabs>
          <w:tab w:val="left" w:pos="284"/>
        </w:tabs>
        <w:jc w:val="both"/>
        <w:rPr>
          <w:sz w:val="22"/>
          <w:szCs w:val="22"/>
        </w:rPr>
      </w:pPr>
      <w:proofErr w:type="spellStart"/>
      <w:r w:rsidRPr="00422BC9">
        <w:rPr>
          <w:sz w:val="22"/>
          <w:szCs w:val="22"/>
        </w:rPr>
        <w:t>Nastup</w:t>
      </w:r>
      <w:proofErr w:type="spellEnd"/>
      <w:r w:rsidRPr="00422BC9">
        <w:rPr>
          <w:sz w:val="22"/>
          <w:szCs w:val="22"/>
        </w:rPr>
        <w:t xml:space="preserve"> i rana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insulinu</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eka</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w:t>
      </w:r>
      <w:proofErr w:type="spellStart"/>
      <w:r w:rsidRPr="00422BC9">
        <w:rPr>
          <w:sz w:val="22"/>
          <w:szCs w:val="22"/>
        </w:rPr>
        <w:t>d</w:t>
      </w:r>
      <w:r>
        <w:rPr>
          <w:sz w:val="22"/>
          <w:szCs w:val="22"/>
        </w:rPr>
        <w:t>j</w:t>
      </w:r>
      <w:r w:rsidRPr="00422BC9">
        <w:rPr>
          <w:sz w:val="22"/>
          <w:szCs w:val="22"/>
        </w:rPr>
        <w:t>ece</w:t>
      </w:r>
      <w:proofErr w:type="spellEnd"/>
      <w:r w:rsidRPr="00422BC9">
        <w:rPr>
          <w:sz w:val="22"/>
          <w:szCs w:val="22"/>
        </w:rPr>
        <w:t xml:space="preserve"> i </w:t>
      </w:r>
      <w:proofErr w:type="spellStart"/>
      <w:r w:rsidRPr="00422BC9">
        <w:rPr>
          <w:sz w:val="22"/>
          <w:szCs w:val="22"/>
        </w:rPr>
        <w:t>adolescenata</w:t>
      </w:r>
      <w:proofErr w:type="spellEnd"/>
      <w:r w:rsidRPr="00422BC9">
        <w:rPr>
          <w:sz w:val="22"/>
          <w:szCs w:val="22"/>
        </w:rPr>
        <w:t xml:space="preserve"> </w:t>
      </w:r>
      <w:proofErr w:type="spellStart"/>
      <w:r w:rsidRPr="00422BC9">
        <w:rPr>
          <w:sz w:val="22"/>
          <w:szCs w:val="22"/>
        </w:rPr>
        <w:t>bili</w:t>
      </w:r>
      <w:proofErr w:type="spellEnd"/>
      <w:r w:rsidRPr="00422BC9">
        <w:rPr>
          <w:sz w:val="22"/>
          <w:szCs w:val="22"/>
        </w:rPr>
        <w:t xml:space="preserve"> </w:t>
      </w:r>
      <w:proofErr w:type="spellStart"/>
      <w:r w:rsidRPr="00422BC9">
        <w:rPr>
          <w:sz w:val="22"/>
          <w:szCs w:val="22"/>
        </w:rPr>
        <w:t>su</w:t>
      </w:r>
      <w:proofErr w:type="spellEnd"/>
      <w:r w:rsidRPr="00422BC9">
        <w:rPr>
          <w:sz w:val="22"/>
          <w:szCs w:val="22"/>
        </w:rPr>
        <w:t xml:space="preserve"> </w:t>
      </w:r>
      <w:proofErr w:type="spellStart"/>
      <w:r w:rsidRPr="00422BC9">
        <w:rPr>
          <w:sz w:val="22"/>
          <w:szCs w:val="22"/>
        </w:rPr>
        <w:t>slični</w:t>
      </w:r>
      <w:proofErr w:type="spellEnd"/>
      <w:r w:rsidRPr="00422BC9">
        <w:rPr>
          <w:sz w:val="22"/>
          <w:szCs w:val="22"/>
        </w:rPr>
        <w:t xml:space="preserve"> </w:t>
      </w:r>
      <w:proofErr w:type="spellStart"/>
      <w:r w:rsidRPr="00422BC9">
        <w:rPr>
          <w:sz w:val="22"/>
          <w:szCs w:val="22"/>
        </w:rPr>
        <w:t>onima</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w:t>
      </w:r>
      <w:proofErr w:type="spellStart"/>
      <w:r w:rsidRPr="00422BC9">
        <w:rPr>
          <w:sz w:val="22"/>
          <w:szCs w:val="22"/>
        </w:rPr>
        <w:t>odraslih</w:t>
      </w:r>
      <w:proofErr w:type="spellEnd"/>
      <w:r w:rsidRPr="00422BC9">
        <w:rPr>
          <w:sz w:val="22"/>
          <w:szCs w:val="22"/>
        </w:rPr>
        <w:t xml:space="preserve">. </w:t>
      </w:r>
      <w:proofErr w:type="spellStart"/>
      <w:r w:rsidRPr="00422BC9">
        <w:rPr>
          <w:sz w:val="22"/>
          <w:szCs w:val="22"/>
        </w:rPr>
        <w:t>Ukupna</w:t>
      </w:r>
      <w:proofErr w:type="spellEnd"/>
      <w:r w:rsidRPr="00422BC9">
        <w:rPr>
          <w:sz w:val="22"/>
          <w:szCs w:val="22"/>
        </w:rPr>
        <w:t xml:space="preserve"> </w:t>
      </w:r>
      <w:proofErr w:type="spellStart"/>
      <w:r w:rsidRPr="00422BC9">
        <w:rPr>
          <w:sz w:val="22"/>
          <w:szCs w:val="22"/>
        </w:rPr>
        <w:t>izloženost</w:t>
      </w:r>
      <w:proofErr w:type="spellEnd"/>
      <w:r w:rsidRPr="00422BC9">
        <w:rPr>
          <w:sz w:val="22"/>
          <w:szCs w:val="22"/>
        </w:rPr>
        <w:t xml:space="preserve"> </w:t>
      </w:r>
      <w:proofErr w:type="spellStart"/>
      <w:r w:rsidRPr="00422BC9">
        <w:rPr>
          <w:sz w:val="22"/>
          <w:szCs w:val="22"/>
        </w:rPr>
        <w:t>l</w:t>
      </w:r>
      <w:r>
        <w:rPr>
          <w:sz w:val="22"/>
          <w:szCs w:val="22"/>
        </w:rPr>
        <w:t>ij</w:t>
      </w:r>
      <w:r w:rsidRPr="00422BC9">
        <w:rPr>
          <w:sz w:val="22"/>
          <w:szCs w:val="22"/>
        </w:rPr>
        <w:t>eku</w:t>
      </w:r>
      <w:proofErr w:type="spellEnd"/>
      <w:r w:rsidRPr="00422BC9">
        <w:rPr>
          <w:sz w:val="22"/>
          <w:szCs w:val="22"/>
        </w:rPr>
        <w:t xml:space="preserve"> </w:t>
      </w:r>
      <w:proofErr w:type="spellStart"/>
      <w:r w:rsidRPr="00422BC9">
        <w:rPr>
          <w:sz w:val="22"/>
          <w:szCs w:val="22"/>
        </w:rPr>
        <w:t>Fiasp</w:t>
      </w:r>
      <w:proofErr w:type="spellEnd"/>
      <w:r w:rsidRPr="00422BC9">
        <w:rPr>
          <w:sz w:val="22"/>
          <w:szCs w:val="22"/>
        </w:rPr>
        <w:t xml:space="preserve"> </w:t>
      </w:r>
      <w:proofErr w:type="spellStart"/>
      <w:r w:rsidRPr="00422BC9">
        <w:rPr>
          <w:sz w:val="22"/>
          <w:szCs w:val="22"/>
        </w:rPr>
        <w:t>nakon</w:t>
      </w:r>
      <w:proofErr w:type="spellEnd"/>
      <w:r w:rsidRPr="00422BC9">
        <w:rPr>
          <w:sz w:val="22"/>
          <w:szCs w:val="22"/>
        </w:rPr>
        <w:t xml:space="preserve"> </w:t>
      </w:r>
      <w:proofErr w:type="spellStart"/>
      <w:r w:rsidRPr="00422BC9">
        <w:rPr>
          <w:sz w:val="22"/>
          <w:szCs w:val="22"/>
        </w:rPr>
        <w:t>prim</w:t>
      </w:r>
      <w:r>
        <w:rPr>
          <w:sz w:val="22"/>
          <w:szCs w:val="22"/>
        </w:rPr>
        <w:t>j</w:t>
      </w:r>
      <w:r w:rsidRPr="00422BC9">
        <w:rPr>
          <w:sz w:val="22"/>
          <w:szCs w:val="22"/>
        </w:rPr>
        <w:t>ene</w:t>
      </w:r>
      <w:proofErr w:type="spellEnd"/>
      <w:r w:rsidRPr="00422BC9">
        <w:rPr>
          <w:sz w:val="22"/>
          <w:szCs w:val="22"/>
        </w:rPr>
        <w:t xml:space="preserve"> doze od 0,2 </w:t>
      </w:r>
      <w:proofErr w:type="spellStart"/>
      <w:r w:rsidRPr="00422BC9">
        <w:rPr>
          <w:sz w:val="22"/>
          <w:szCs w:val="22"/>
        </w:rPr>
        <w:t>jedinice</w:t>
      </w:r>
      <w:proofErr w:type="spellEnd"/>
      <w:r w:rsidRPr="00422BC9">
        <w:rPr>
          <w:sz w:val="22"/>
          <w:szCs w:val="22"/>
        </w:rPr>
        <w:t xml:space="preserve">/kg </w:t>
      </w:r>
      <w:proofErr w:type="spellStart"/>
      <w:r w:rsidRPr="00422BC9">
        <w:rPr>
          <w:sz w:val="22"/>
          <w:szCs w:val="22"/>
        </w:rPr>
        <w:t>t</w:t>
      </w:r>
      <w:r>
        <w:rPr>
          <w:sz w:val="22"/>
          <w:szCs w:val="22"/>
        </w:rPr>
        <w:t>j</w:t>
      </w:r>
      <w:r w:rsidRPr="00422BC9">
        <w:rPr>
          <w:sz w:val="22"/>
          <w:szCs w:val="22"/>
        </w:rPr>
        <w:t>elesne</w:t>
      </w:r>
      <w:proofErr w:type="spellEnd"/>
      <w:r w:rsidRPr="00422BC9">
        <w:rPr>
          <w:sz w:val="22"/>
          <w:szCs w:val="22"/>
        </w:rPr>
        <w:t xml:space="preserve"> mase </w:t>
      </w:r>
      <w:proofErr w:type="spellStart"/>
      <w:r w:rsidRPr="00422BC9">
        <w:rPr>
          <w:sz w:val="22"/>
          <w:szCs w:val="22"/>
        </w:rPr>
        <w:t>bila</w:t>
      </w:r>
      <w:proofErr w:type="spellEnd"/>
      <w:r w:rsidRPr="00422BC9">
        <w:rPr>
          <w:sz w:val="22"/>
          <w:szCs w:val="22"/>
        </w:rPr>
        <w:t xml:space="preserve"> je </w:t>
      </w:r>
      <w:proofErr w:type="spellStart"/>
      <w:r w:rsidRPr="00422BC9">
        <w:rPr>
          <w:sz w:val="22"/>
          <w:szCs w:val="22"/>
        </w:rPr>
        <w:t>niža</w:t>
      </w:r>
      <w:proofErr w:type="spellEnd"/>
      <w:r w:rsidRPr="00422BC9">
        <w:rPr>
          <w:sz w:val="22"/>
          <w:szCs w:val="22"/>
        </w:rPr>
        <w:t xml:space="preserve"> </w:t>
      </w:r>
      <w:proofErr w:type="spellStart"/>
      <w:r w:rsidRPr="00422BC9">
        <w:rPr>
          <w:sz w:val="22"/>
          <w:szCs w:val="22"/>
        </w:rPr>
        <w:t>kod</w:t>
      </w:r>
      <w:proofErr w:type="spellEnd"/>
      <w:r w:rsidRPr="00422BC9">
        <w:rPr>
          <w:sz w:val="22"/>
          <w:szCs w:val="22"/>
        </w:rPr>
        <w:t xml:space="preserve"> </w:t>
      </w:r>
      <w:proofErr w:type="spellStart"/>
      <w:r w:rsidRPr="00422BC9">
        <w:rPr>
          <w:sz w:val="22"/>
          <w:szCs w:val="22"/>
        </w:rPr>
        <w:t>d</w:t>
      </w:r>
      <w:r>
        <w:rPr>
          <w:sz w:val="22"/>
          <w:szCs w:val="22"/>
        </w:rPr>
        <w:t>j</w:t>
      </w:r>
      <w:r w:rsidRPr="00422BC9">
        <w:rPr>
          <w:sz w:val="22"/>
          <w:szCs w:val="22"/>
        </w:rPr>
        <w:t>ece</w:t>
      </w:r>
      <w:proofErr w:type="spellEnd"/>
      <w:r w:rsidRPr="00422BC9">
        <w:rPr>
          <w:sz w:val="22"/>
          <w:szCs w:val="22"/>
        </w:rPr>
        <w:t xml:space="preserve"> i </w:t>
      </w:r>
      <w:proofErr w:type="spellStart"/>
      <w:r w:rsidRPr="00422BC9">
        <w:rPr>
          <w:sz w:val="22"/>
          <w:szCs w:val="22"/>
        </w:rPr>
        <w:t>adolescenata</w:t>
      </w:r>
      <w:proofErr w:type="spellEnd"/>
      <w:r w:rsidRPr="00422BC9">
        <w:rPr>
          <w:sz w:val="22"/>
          <w:szCs w:val="22"/>
        </w:rPr>
        <w:t xml:space="preserve"> u </w:t>
      </w:r>
      <w:proofErr w:type="spellStart"/>
      <w:r w:rsidRPr="00422BC9">
        <w:rPr>
          <w:sz w:val="22"/>
          <w:szCs w:val="22"/>
        </w:rPr>
        <w:t>poređenju</w:t>
      </w:r>
      <w:proofErr w:type="spellEnd"/>
      <w:r w:rsidRPr="00422BC9">
        <w:rPr>
          <w:sz w:val="22"/>
          <w:szCs w:val="22"/>
        </w:rPr>
        <w:t xml:space="preserve"> </w:t>
      </w:r>
      <w:proofErr w:type="spellStart"/>
      <w:r w:rsidRPr="00422BC9">
        <w:rPr>
          <w:sz w:val="22"/>
          <w:szCs w:val="22"/>
        </w:rPr>
        <w:t>sa</w:t>
      </w:r>
      <w:proofErr w:type="spellEnd"/>
      <w:r w:rsidRPr="00422BC9">
        <w:rPr>
          <w:sz w:val="22"/>
          <w:szCs w:val="22"/>
        </w:rPr>
        <w:t xml:space="preserve"> </w:t>
      </w:r>
      <w:proofErr w:type="spellStart"/>
      <w:r w:rsidRPr="00422BC9">
        <w:rPr>
          <w:sz w:val="22"/>
          <w:szCs w:val="22"/>
        </w:rPr>
        <w:t>odraslim</w:t>
      </w:r>
      <w:proofErr w:type="spellEnd"/>
      <w:r w:rsidRPr="00422BC9">
        <w:rPr>
          <w:sz w:val="22"/>
          <w:szCs w:val="22"/>
        </w:rPr>
        <w:t xml:space="preserve"> </w:t>
      </w:r>
      <w:proofErr w:type="spellStart"/>
      <w:r w:rsidRPr="00422BC9">
        <w:rPr>
          <w:sz w:val="22"/>
          <w:szCs w:val="22"/>
        </w:rPr>
        <w:t>osobama</w:t>
      </w:r>
      <w:proofErr w:type="spellEnd"/>
      <w:r w:rsidRPr="00422BC9">
        <w:rPr>
          <w:sz w:val="22"/>
          <w:szCs w:val="22"/>
        </w:rPr>
        <w:t xml:space="preserve">, </w:t>
      </w:r>
      <w:proofErr w:type="spellStart"/>
      <w:r w:rsidRPr="00422BC9">
        <w:rPr>
          <w:sz w:val="22"/>
          <w:szCs w:val="22"/>
        </w:rPr>
        <w:t>dok</w:t>
      </w:r>
      <w:proofErr w:type="spellEnd"/>
      <w:r w:rsidRPr="00422BC9">
        <w:rPr>
          <w:sz w:val="22"/>
          <w:szCs w:val="22"/>
        </w:rPr>
        <w:t xml:space="preserve"> je </w:t>
      </w:r>
      <w:proofErr w:type="spellStart"/>
      <w:r w:rsidRPr="00422BC9">
        <w:rPr>
          <w:sz w:val="22"/>
          <w:szCs w:val="22"/>
        </w:rPr>
        <w:t>maksimalna</w:t>
      </w:r>
      <w:proofErr w:type="spellEnd"/>
      <w:r w:rsidRPr="00422BC9">
        <w:rPr>
          <w:sz w:val="22"/>
          <w:szCs w:val="22"/>
        </w:rPr>
        <w:t xml:space="preserve"> </w:t>
      </w:r>
      <w:proofErr w:type="spellStart"/>
      <w:r w:rsidRPr="00422BC9">
        <w:rPr>
          <w:sz w:val="22"/>
          <w:szCs w:val="22"/>
        </w:rPr>
        <w:t>koncentracija</w:t>
      </w:r>
      <w:proofErr w:type="spellEnd"/>
      <w:r w:rsidRPr="00422BC9">
        <w:rPr>
          <w:sz w:val="22"/>
          <w:szCs w:val="22"/>
        </w:rPr>
        <w:t xml:space="preserve"> insulin </w:t>
      </w:r>
      <w:proofErr w:type="spellStart"/>
      <w:r w:rsidRPr="00422BC9">
        <w:rPr>
          <w:sz w:val="22"/>
          <w:szCs w:val="22"/>
        </w:rPr>
        <w:t>asparta</w:t>
      </w:r>
      <w:proofErr w:type="spellEnd"/>
      <w:r w:rsidRPr="00422BC9">
        <w:rPr>
          <w:sz w:val="22"/>
          <w:szCs w:val="22"/>
        </w:rPr>
        <w:t xml:space="preserve"> u </w:t>
      </w:r>
      <w:proofErr w:type="spellStart"/>
      <w:r w:rsidRPr="00422BC9">
        <w:rPr>
          <w:sz w:val="22"/>
          <w:szCs w:val="22"/>
        </w:rPr>
        <w:t>serumu</w:t>
      </w:r>
      <w:proofErr w:type="spellEnd"/>
      <w:r w:rsidRPr="00422BC9">
        <w:rPr>
          <w:sz w:val="22"/>
          <w:szCs w:val="22"/>
        </w:rPr>
        <w:t xml:space="preserve"> </w:t>
      </w:r>
      <w:proofErr w:type="spellStart"/>
      <w:r w:rsidRPr="00422BC9">
        <w:rPr>
          <w:sz w:val="22"/>
          <w:szCs w:val="22"/>
        </w:rPr>
        <w:t>bila</w:t>
      </w:r>
      <w:proofErr w:type="spellEnd"/>
      <w:r w:rsidRPr="00422BC9">
        <w:rPr>
          <w:sz w:val="22"/>
          <w:szCs w:val="22"/>
        </w:rPr>
        <w:t xml:space="preserve"> </w:t>
      </w:r>
      <w:proofErr w:type="spellStart"/>
      <w:r w:rsidRPr="00422BC9">
        <w:rPr>
          <w:sz w:val="22"/>
          <w:szCs w:val="22"/>
        </w:rPr>
        <w:t>slična</w:t>
      </w:r>
      <w:proofErr w:type="spellEnd"/>
      <w:r w:rsidRPr="00422BC9">
        <w:rPr>
          <w:sz w:val="22"/>
          <w:szCs w:val="22"/>
        </w:rPr>
        <w:t xml:space="preserve"> u </w:t>
      </w:r>
      <w:proofErr w:type="spellStart"/>
      <w:r w:rsidRPr="00422BC9">
        <w:rPr>
          <w:sz w:val="22"/>
          <w:szCs w:val="22"/>
        </w:rPr>
        <w:t>okviru</w:t>
      </w:r>
      <w:proofErr w:type="spellEnd"/>
      <w:r w:rsidRPr="00422BC9">
        <w:rPr>
          <w:sz w:val="22"/>
          <w:szCs w:val="22"/>
        </w:rPr>
        <w:t xml:space="preserve"> </w:t>
      </w:r>
      <w:proofErr w:type="spellStart"/>
      <w:r w:rsidRPr="00422BC9">
        <w:rPr>
          <w:sz w:val="22"/>
          <w:szCs w:val="22"/>
        </w:rPr>
        <w:t>starosnih</w:t>
      </w:r>
      <w:proofErr w:type="spellEnd"/>
      <w:r w:rsidRPr="00422BC9">
        <w:rPr>
          <w:sz w:val="22"/>
          <w:szCs w:val="22"/>
        </w:rPr>
        <w:t xml:space="preserve"> </w:t>
      </w:r>
      <w:proofErr w:type="spellStart"/>
      <w:r w:rsidRPr="00422BC9">
        <w:rPr>
          <w:sz w:val="22"/>
          <w:szCs w:val="22"/>
        </w:rPr>
        <w:t>grupa</w:t>
      </w:r>
      <w:proofErr w:type="spellEnd"/>
      <w:r w:rsidRPr="00422BC9">
        <w:rPr>
          <w:sz w:val="22"/>
          <w:szCs w:val="22"/>
        </w:rPr>
        <w:t>.</w:t>
      </w:r>
    </w:p>
    <w:p w14:paraId="298C361A" w14:textId="77777777" w:rsidR="0007586C" w:rsidRDefault="0007586C" w:rsidP="000F6B37">
      <w:pPr>
        <w:tabs>
          <w:tab w:val="left" w:pos="540"/>
          <w:tab w:val="left" w:pos="569"/>
        </w:tabs>
        <w:jc w:val="both"/>
        <w:rPr>
          <w:b/>
          <w:bCs/>
          <w:sz w:val="22"/>
          <w:szCs w:val="22"/>
        </w:rPr>
      </w:pPr>
    </w:p>
    <w:p w14:paraId="45C3032F" w14:textId="3905AB5F" w:rsidR="0072020E" w:rsidRPr="00786071" w:rsidRDefault="0072020E" w:rsidP="000F6B37">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proofErr w:type="spellStart"/>
      <w:r w:rsidRPr="00786071">
        <w:rPr>
          <w:b/>
          <w:bCs/>
          <w:sz w:val="22"/>
          <w:szCs w:val="22"/>
        </w:rPr>
        <w:t>Pretklinički</w:t>
      </w:r>
      <w:proofErr w:type="spellEnd"/>
      <w:r w:rsidRPr="00786071">
        <w:rPr>
          <w:b/>
          <w:bCs/>
          <w:sz w:val="22"/>
          <w:szCs w:val="22"/>
        </w:rPr>
        <w:t xml:space="preserve"> </w:t>
      </w:r>
      <w:proofErr w:type="spellStart"/>
      <w:r w:rsidRPr="00786071">
        <w:rPr>
          <w:b/>
          <w:bCs/>
          <w:sz w:val="22"/>
          <w:szCs w:val="22"/>
        </w:rPr>
        <w:t>podaci</w:t>
      </w:r>
      <w:proofErr w:type="spellEnd"/>
      <w:r w:rsidRPr="00786071">
        <w:rPr>
          <w:b/>
          <w:bCs/>
          <w:sz w:val="22"/>
          <w:szCs w:val="22"/>
        </w:rPr>
        <w:t xml:space="preserve"> o </w:t>
      </w:r>
      <w:proofErr w:type="spellStart"/>
      <w:r w:rsidRPr="00786071">
        <w:rPr>
          <w:b/>
          <w:bCs/>
          <w:sz w:val="22"/>
          <w:szCs w:val="22"/>
        </w:rPr>
        <w:t>bezbjednosti</w:t>
      </w:r>
      <w:proofErr w:type="spellEnd"/>
      <w:r w:rsidRPr="00786071">
        <w:rPr>
          <w:b/>
          <w:bCs/>
          <w:sz w:val="22"/>
          <w:szCs w:val="22"/>
        </w:rPr>
        <w:t xml:space="preserve"> </w:t>
      </w:r>
    </w:p>
    <w:p w14:paraId="655E03DB" w14:textId="77777777" w:rsidR="00836B35" w:rsidRDefault="00836B35" w:rsidP="000F6B37">
      <w:pPr>
        <w:tabs>
          <w:tab w:val="left" w:pos="540"/>
          <w:tab w:val="left" w:pos="569"/>
        </w:tabs>
        <w:jc w:val="both"/>
        <w:rPr>
          <w:bCs/>
          <w:sz w:val="22"/>
          <w:szCs w:val="22"/>
        </w:rPr>
      </w:pPr>
    </w:p>
    <w:p w14:paraId="62C6C3F8" w14:textId="77777777" w:rsidR="00701477" w:rsidRDefault="00701477" w:rsidP="000F6B37">
      <w:pPr>
        <w:tabs>
          <w:tab w:val="left" w:pos="540"/>
          <w:tab w:val="left" w:pos="569"/>
        </w:tabs>
        <w:jc w:val="both"/>
        <w:rPr>
          <w:bCs/>
          <w:sz w:val="22"/>
          <w:szCs w:val="22"/>
        </w:rPr>
      </w:pPr>
      <w:proofErr w:type="spellStart"/>
      <w:r w:rsidRPr="008A00FB">
        <w:rPr>
          <w:bCs/>
          <w:sz w:val="22"/>
          <w:szCs w:val="22"/>
        </w:rPr>
        <w:t>Pretklinički</w:t>
      </w:r>
      <w:proofErr w:type="spellEnd"/>
      <w:r w:rsidRPr="008A00FB">
        <w:rPr>
          <w:bCs/>
          <w:sz w:val="22"/>
          <w:szCs w:val="22"/>
        </w:rPr>
        <w:t xml:space="preserve"> </w:t>
      </w:r>
      <w:proofErr w:type="spellStart"/>
      <w:r w:rsidRPr="008A00FB">
        <w:rPr>
          <w:bCs/>
          <w:sz w:val="22"/>
          <w:szCs w:val="22"/>
        </w:rPr>
        <w:t>podaci</w:t>
      </w:r>
      <w:proofErr w:type="spellEnd"/>
      <w:r w:rsidRPr="008A00FB">
        <w:rPr>
          <w:bCs/>
          <w:sz w:val="22"/>
          <w:szCs w:val="22"/>
        </w:rPr>
        <w:t xml:space="preserve"> ne </w:t>
      </w:r>
      <w:proofErr w:type="spellStart"/>
      <w:r w:rsidRPr="008A00FB">
        <w:rPr>
          <w:bCs/>
          <w:sz w:val="22"/>
          <w:szCs w:val="22"/>
        </w:rPr>
        <w:t>ukazuju</w:t>
      </w:r>
      <w:proofErr w:type="spellEnd"/>
      <w:r w:rsidRPr="008A00FB">
        <w:rPr>
          <w:bCs/>
          <w:sz w:val="22"/>
          <w:szCs w:val="22"/>
        </w:rPr>
        <w:t xml:space="preserve"> </w:t>
      </w:r>
      <w:proofErr w:type="spellStart"/>
      <w:r w:rsidRPr="008A00FB">
        <w:rPr>
          <w:bCs/>
          <w:sz w:val="22"/>
          <w:szCs w:val="22"/>
        </w:rPr>
        <w:t>na</w:t>
      </w:r>
      <w:proofErr w:type="spellEnd"/>
      <w:r w:rsidRPr="008A00FB">
        <w:rPr>
          <w:bCs/>
          <w:sz w:val="22"/>
          <w:szCs w:val="22"/>
        </w:rPr>
        <w:t xml:space="preserve"> </w:t>
      </w:r>
      <w:proofErr w:type="spellStart"/>
      <w:r w:rsidRPr="008A00FB">
        <w:rPr>
          <w:bCs/>
          <w:sz w:val="22"/>
          <w:szCs w:val="22"/>
        </w:rPr>
        <w:t>poseban</w:t>
      </w:r>
      <w:proofErr w:type="spellEnd"/>
      <w:r w:rsidRPr="008A00FB">
        <w:rPr>
          <w:bCs/>
          <w:sz w:val="22"/>
          <w:szCs w:val="22"/>
        </w:rPr>
        <w:t xml:space="preserve"> </w:t>
      </w:r>
      <w:proofErr w:type="spellStart"/>
      <w:r w:rsidRPr="008A00FB">
        <w:rPr>
          <w:bCs/>
          <w:sz w:val="22"/>
          <w:szCs w:val="22"/>
        </w:rPr>
        <w:t>rizik</w:t>
      </w:r>
      <w:proofErr w:type="spellEnd"/>
      <w:r w:rsidRPr="008A00FB">
        <w:rPr>
          <w:bCs/>
          <w:sz w:val="22"/>
          <w:szCs w:val="22"/>
        </w:rPr>
        <w:t xml:space="preserve"> za </w:t>
      </w:r>
      <w:proofErr w:type="spellStart"/>
      <w:r w:rsidRPr="008A00FB">
        <w:rPr>
          <w:bCs/>
          <w:sz w:val="22"/>
          <w:szCs w:val="22"/>
        </w:rPr>
        <w:t>ljude</w:t>
      </w:r>
      <w:proofErr w:type="spellEnd"/>
      <w:r w:rsidRPr="008A00FB">
        <w:rPr>
          <w:bCs/>
          <w:sz w:val="22"/>
          <w:szCs w:val="22"/>
        </w:rPr>
        <w:t xml:space="preserve"> </w:t>
      </w:r>
      <w:proofErr w:type="spellStart"/>
      <w:r w:rsidRPr="008A00FB">
        <w:rPr>
          <w:bCs/>
          <w:sz w:val="22"/>
          <w:szCs w:val="22"/>
        </w:rPr>
        <w:t>na</w:t>
      </w:r>
      <w:proofErr w:type="spellEnd"/>
      <w:r w:rsidRPr="008A00FB">
        <w:rPr>
          <w:bCs/>
          <w:sz w:val="22"/>
          <w:szCs w:val="22"/>
        </w:rPr>
        <w:t xml:space="preserve"> </w:t>
      </w:r>
      <w:proofErr w:type="spellStart"/>
      <w:r w:rsidRPr="008A00FB">
        <w:rPr>
          <w:bCs/>
          <w:sz w:val="22"/>
          <w:szCs w:val="22"/>
        </w:rPr>
        <w:t>osnovu</w:t>
      </w:r>
      <w:proofErr w:type="spellEnd"/>
      <w:r w:rsidRPr="008A00FB">
        <w:rPr>
          <w:bCs/>
          <w:sz w:val="22"/>
          <w:szCs w:val="22"/>
        </w:rPr>
        <w:t xml:space="preserve"> </w:t>
      </w:r>
      <w:proofErr w:type="spellStart"/>
      <w:r w:rsidRPr="008A00FB">
        <w:rPr>
          <w:bCs/>
          <w:sz w:val="22"/>
          <w:szCs w:val="22"/>
        </w:rPr>
        <w:t>konvencionalnih</w:t>
      </w:r>
      <w:proofErr w:type="spellEnd"/>
      <w:r w:rsidRPr="008A00FB">
        <w:rPr>
          <w:bCs/>
          <w:sz w:val="22"/>
          <w:szCs w:val="22"/>
        </w:rPr>
        <w:t xml:space="preserve"> </w:t>
      </w:r>
      <w:proofErr w:type="spellStart"/>
      <w:r w:rsidRPr="008A00FB">
        <w:rPr>
          <w:bCs/>
          <w:sz w:val="22"/>
          <w:szCs w:val="22"/>
        </w:rPr>
        <w:t>ispitivanja</w:t>
      </w:r>
      <w:proofErr w:type="spellEnd"/>
      <w:r w:rsidRPr="008A00FB">
        <w:rPr>
          <w:bCs/>
          <w:sz w:val="22"/>
          <w:szCs w:val="22"/>
        </w:rPr>
        <w:t xml:space="preserve"> </w:t>
      </w:r>
      <w:proofErr w:type="spellStart"/>
      <w:r w:rsidRPr="008A00FB">
        <w:rPr>
          <w:bCs/>
          <w:sz w:val="22"/>
          <w:szCs w:val="22"/>
        </w:rPr>
        <w:t>bezb</w:t>
      </w:r>
      <w:r>
        <w:rPr>
          <w:bCs/>
          <w:sz w:val="22"/>
          <w:szCs w:val="22"/>
        </w:rPr>
        <w:t>j</w:t>
      </w:r>
      <w:r w:rsidRPr="008A00FB">
        <w:rPr>
          <w:bCs/>
          <w:sz w:val="22"/>
          <w:szCs w:val="22"/>
        </w:rPr>
        <w:t>ednosne</w:t>
      </w:r>
      <w:proofErr w:type="spellEnd"/>
      <w:r w:rsidRPr="008A00FB">
        <w:rPr>
          <w:bCs/>
          <w:sz w:val="22"/>
          <w:szCs w:val="22"/>
        </w:rPr>
        <w:t xml:space="preserve"> </w:t>
      </w:r>
      <w:proofErr w:type="spellStart"/>
      <w:r w:rsidRPr="008A00FB">
        <w:rPr>
          <w:bCs/>
          <w:sz w:val="22"/>
          <w:szCs w:val="22"/>
        </w:rPr>
        <w:t>farmakologije</w:t>
      </w:r>
      <w:proofErr w:type="spellEnd"/>
      <w:r w:rsidRPr="008A00FB">
        <w:rPr>
          <w:bCs/>
          <w:sz w:val="22"/>
          <w:szCs w:val="22"/>
        </w:rPr>
        <w:t xml:space="preserve">, </w:t>
      </w:r>
      <w:proofErr w:type="spellStart"/>
      <w:r w:rsidRPr="008A00FB">
        <w:rPr>
          <w:bCs/>
          <w:sz w:val="22"/>
          <w:szCs w:val="22"/>
        </w:rPr>
        <w:t>toksičnosti</w:t>
      </w:r>
      <w:proofErr w:type="spellEnd"/>
      <w:r w:rsidRPr="008A00FB">
        <w:rPr>
          <w:bCs/>
          <w:sz w:val="22"/>
          <w:szCs w:val="22"/>
        </w:rPr>
        <w:t xml:space="preserve"> </w:t>
      </w:r>
      <w:proofErr w:type="spellStart"/>
      <w:r w:rsidRPr="008A00FB">
        <w:rPr>
          <w:bCs/>
          <w:sz w:val="22"/>
          <w:szCs w:val="22"/>
        </w:rPr>
        <w:t>ponovljenih</w:t>
      </w:r>
      <w:proofErr w:type="spellEnd"/>
      <w:r w:rsidRPr="008A00FB">
        <w:rPr>
          <w:bCs/>
          <w:sz w:val="22"/>
          <w:szCs w:val="22"/>
        </w:rPr>
        <w:t xml:space="preserve"> </w:t>
      </w:r>
      <w:proofErr w:type="spellStart"/>
      <w:r w:rsidRPr="008A00FB">
        <w:rPr>
          <w:bCs/>
          <w:sz w:val="22"/>
          <w:szCs w:val="22"/>
        </w:rPr>
        <w:t>doza</w:t>
      </w:r>
      <w:proofErr w:type="spellEnd"/>
      <w:r w:rsidRPr="008A00FB">
        <w:rPr>
          <w:bCs/>
          <w:sz w:val="22"/>
          <w:szCs w:val="22"/>
        </w:rPr>
        <w:t xml:space="preserve">, </w:t>
      </w:r>
      <w:proofErr w:type="spellStart"/>
      <w:r w:rsidRPr="008A00FB">
        <w:rPr>
          <w:bCs/>
          <w:sz w:val="22"/>
          <w:szCs w:val="22"/>
        </w:rPr>
        <w:t>genotoksičnosti</w:t>
      </w:r>
      <w:proofErr w:type="spellEnd"/>
      <w:r w:rsidRPr="008A00FB">
        <w:rPr>
          <w:bCs/>
          <w:sz w:val="22"/>
          <w:szCs w:val="22"/>
        </w:rPr>
        <w:t xml:space="preserve"> i </w:t>
      </w:r>
      <w:proofErr w:type="spellStart"/>
      <w:r w:rsidRPr="008A00FB">
        <w:rPr>
          <w:bCs/>
          <w:sz w:val="22"/>
          <w:szCs w:val="22"/>
        </w:rPr>
        <w:t>reproduktivne</w:t>
      </w:r>
      <w:proofErr w:type="spellEnd"/>
      <w:r w:rsidRPr="008A00FB">
        <w:rPr>
          <w:bCs/>
          <w:sz w:val="22"/>
          <w:szCs w:val="22"/>
        </w:rPr>
        <w:t xml:space="preserve"> </w:t>
      </w:r>
      <w:proofErr w:type="spellStart"/>
      <w:r w:rsidRPr="008A00FB">
        <w:rPr>
          <w:bCs/>
          <w:sz w:val="22"/>
          <w:szCs w:val="22"/>
        </w:rPr>
        <w:t>toksičnosti</w:t>
      </w:r>
      <w:proofErr w:type="spellEnd"/>
      <w:r w:rsidRPr="008A00FB">
        <w:rPr>
          <w:bCs/>
          <w:sz w:val="22"/>
          <w:szCs w:val="22"/>
        </w:rPr>
        <w:t xml:space="preserve"> </w:t>
      </w:r>
      <w:proofErr w:type="spellStart"/>
      <w:r w:rsidRPr="008A00FB">
        <w:rPr>
          <w:bCs/>
          <w:sz w:val="22"/>
          <w:szCs w:val="22"/>
        </w:rPr>
        <w:t>nakon</w:t>
      </w:r>
      <w:proofErr w:type="spellEnd"/>
      <w:r w:rsidRPr="008A00FB">
        <w:rPr>
          <w:bCs/>
          <w:sz w:val="22"/>
          <w:szCs w:val="22"/>
        </w:rPr>
        <w:t xml:space="preserve"> </w:t>
      </w:r>
      <w:proofErr w:type="spellStart"/>
      <w:r w:rsidRPr="008A00FB">
        <w:rPr>
          <w:bCs/>
          <w:sz w:val="22"/>
          <w:szCs w:val="22"/>
        </w:rPr>
        <w:t>izloženosti</w:t>
      </w:r>
      <w:proofErr w:type="spellEnd"/>
      <w:r w:rsidRPr="008A00FB">
        <w:rPr>
          <w:bCs/>
          <w:sz w:val="22"/>
          <w:szCs w:val="22"/>
        </w:rPr>
        <w:t xml:space="preserve"> insulin </w:t>
      </w:r>
      <w:proofErr w:type="spellStart"/>
      <w:r w:rsidRPr="008A00FB">
        <w:rPr>
          <w:bCs/>
          <w:sz w:val="22"/>
          <w:szCs w:val="22"/>
        </w:rPr>
        <w:t>aspartu</w:t>
      </w:r>
      <w:proofErr w:type="spellEnd"/>
      <w:r w:rsidRPr="008A00FB">
        <w:rPr>
          <w:bCs/>
          <w:sz w:val="22"/>
          <w:szCs w:val="22"/>
        </w:rPr>
        <w:t xml:space="preserve">. U </w:t>
      </w:r>
      <w:r w:rsidRPr="000F6B37">
        <w:rPr>
          <w:bCs/>
          <w:i/>
          <w:sz w:val="22"/>
          <w:szCs w:val="22"/>
        </w:rPr>
        <w:t>in vitro</w:t>
      </w:r>
      <w:r w:rsidRPr="008A00FB">
        <w:rPr>
          <w:bCs/>
          <w:sz w:val="22"/>
          <w:szCs w:val="22"/>
        </w:rPr>
        <w:t xml:space="preserve"> </w:t>
      </w:r>
      <w:proofErr w:type="spellStart"/>
      <w:r w:rsidRPr="008A00FB">
        <w:rPr>
          <w:bCs/>
          <w:sz w:val="22"/>
          <w:szCs w:val="22"/>
        </w:rPr>
        <w:t>testovima</w:t>
      </w:r>
      <w:proofErr w:type="spellEnd"/>
      <w:r w:rsidRPr="008A00FB">
        <w:rPr>
          <w:bCs/>
          <w:sz w:val="22"/>
          <w:szCs w:val="22"/>
        </w:rPr>
        <w:t xml:space="preserve">, </w:t>
      </w:r>
      <w:proofErr w:type="spellStart"/>
      <w:r w:rsidRPr="008A00FB">
        <w:rPr>
          <w:bCs/>
          <w:sz w:val="22"/>
          <w:szCs w:val="22"/>
        </w:rPr>
        <w:t>uključujući</w:t>
      </w:r>
      <w:proofErr w:type="spellEnd"/>
      <w:r w:rsidRPr="008A00FB">
        <w:rPr>
          <w:bCs/>
          <w:sz w:val="22"/>
          <w:szCs w:val="22"/>
        </w:rPr>
        <w:t xml:space="preserve"> </w:t>
      </w:r>
      <w:proofErr w:type="spellStart"/>
      <w:r w:rsidRPr="008A00FB">
        <w:rPr>
          <w:bCs/>
          <w:sz w:val="22"/>
          <w:szCs w:val="22"/>
        </w:rPr>
        <w:t>vezivanje</w:t>
      </w:r>
      <w:proofErr w:type="spellEnd"/>
      <w:r w:rsidRPr="008A00FB">
        <w:rPr>
          <w:bCs/>
          <w:sz w:val="22"/>
          <w:szCs w:val="22"/>
        </w:rPr>
        <w:t xml:space="preserve"> </w:t>
      </w:r>
      <w:proofErr w:type="spellStart"/>
      <w:r w:rsidRPr="008A00FB">
        <w:rPr>
          <w:bCs/>
          <w:sz w:val="22"/>
          <w:szCs w:val="22"/>
        </w:rPr>
        <w:t>na</w:t>
      </w:r>
      <w:proofErr w:type="spellEnd"/>
      <w:r w:rsidRPr="008A00FB">
        <w:rPr>
          <w:bCs/>
          <w:sz w:val="22"/>
          <w:szCs w:val="22"/>
        </w:rPr>
        <w:t xml:space="preserve"> </w:t>
      </w:r>
      <w:proofErr w:type="spellStart"/>
      <w:r w:rsidRPr="008A00FB">
        <w:rPr>
          <w:bCs/>
          <w:sz w:val="22"/>
          <w:szCs w:val="22"/>
        </w:rPr>
        <w:t>insulinska</w:t>
      </w:r>
      <w:proofErr w:type="spellEnd"/>
      <w:r w:rsidRPr="008A00FB">
        <w:rPr>
          <w:bCs/>
          <w:sz w:val="22"/>
          <w:szCs w:val="22"/>
        </w:rPr>
        <w:t xml:space="preserve"> i IGF-1 </w:t>
      </w:r>
      <w:proofErr w:type="spellStart"/>
      <w:r w:rsidRPr="008A00FB">
        <w:rPr>
          <w:bCs/>
          <w:sz w:val="22"/>
          <w:szCs w:val="22"/>
        </w:rPr>
        <w:lastRenderedPageBreak/>
        <w:t>receptorska</w:t>
      </w:r>
      <w:proofErr w:type="spellEnd"/>
      <w:r w:rsidRPr="008A00FB">
        <w:rPr>
          <w:bCs/>
          <w:sz w:val="22"/>
          <w:szCs w:val="22"/>
        </w:rPr>
        <w:t xml:space="preserve"> </w:t>
      </w:r>
      <w:proofErr w:type="spellStart"/>
      <w:r w:rsidRPr="008A00FB">
        <w:rPr>
          <w:bCs/>
          <w:sz w:val="22"/>
          <w:szCs w:val="22"/>
        </w:rPr>
        <w:t>m</w:t>
      </w:r>
      <w:r>
        <w:rPr>
          <w:bCs/>
          <w:sz w:val="22"/>
          <w:szCs w:val="22"/>
        </w:rPr>
        <w:t>j</w:t>
      </w:r>
      <w:r w:rsidRPr="008A00FB">
        <w:rPr>
          <w:bCs/>
          <w:sz w:val="22"/>
          <w:szCs w:val="22"/>
        </w:rPr>
        <w:t>esta</w:t>
      </w:r>
      <w:proofErr w:type="spellEnd"/>
      <w:r w:rsidRPr="008A00FB">
        <w:rPr>
          <w:bCs/>
          <w:sz w:val="22"/>
          <w:szCs w:val="22"/>
        </w:rPr>
        <w:t xml:space="preserve"> i </w:t>
      </w:r>
      <w:proofErr w:type="spellStart"/>
      <w:r w:rsidR="0068797B" w:rsidRPr="008A00FB">
        <w:rPr>
          <w:bCs/>
          <w:sz w:val="22"/>
          <w:szCs w:val="22"/>
        </w:rPr>
        <w:t>efek</w:t>
      </w:r>
      <w:r w:rsidR="0068797B">
        <w:rPr>
          <w:bCs/>
          <w:sz w:val="22"/>
          <w:szCs w:val="22"/>
        </w:rPr>
        <w:t>te</w:t>
      </w:r>
      <w:proofErr w:type="spellEnd"/>
      <w:r w:rsidR="0068797B" w:rsidRPr="008A00FB">
        <w:rPr>
          <w:bCs/>
          <w:sz w:val="22"/>
          <w:szCs w:val="22"/>
        </w:rPr>
        <w:t xml:space="preserve"> </w:t>
      </w:r>
      <w:proofErr w:type="spellStart"/>
      <w:r w:rsidRPr="008A00FB">
        <w:rPr>
          <w:bCs/>
          <w:sz w:val="22"/>
          <w:szCs w:val="22"/>
        </w:rPr>
        <w:t>na</w:t>
      </w:r>
      <w:proofErr w:type="spellEnd"/>
      <w:r w:rsidRPr="008A00FB">
        <w:rPr>
          <w:bCs/>
          <w:sz w:val="22"/>
          <w:szCs w:val="22"/>
        </w:rPr>
        <w:t xml:space="preserve"> </w:t>
      </w:r>
      <w:proofErr w:type="spellStart"/>
      <w:r w:rsidRPr="008A00FB">
        <w:rPr>
          <w:bCs/>
          <w:sz w:val="22"/>
          <w:szCs w:val="22"/>
        </w:rPr>
        <w:t>ćelijski</w:t>
      </w:r>
      <w:proofErr w:type="spellEnd"/>
      <w:r w:rsidRPr="008A00FB">
        <w:rPr>
          <w:bCs/>
          <w:sz w:val="22"/>
          <w:szCs w:val="22"/>
        </w:rPr>
        <w:t xml:space="preserve"> </w:t>
      </w:r>
      <w:proofErr w:type="spellStart"/>
      <w:r w:rsidRPr="008A00FB">
        <w:rPr>
          <w:bCs/>
          <w:sz w:val="22"/>
          <w:szCs w:val="22"/>
        </w:rPr>
        <w:t>rast</w:t>
      </w:r>
      <w:proofErr w:type="spellEnd"/>
      <w:r w:rsidRPr="008A00FB">
        <w:rPr>
          <w:bCs/>
          <w:sz w:val="22"/>
          <w:szCs w:val="22"/>
        </w:rPr>
        <w:t xml:space="preserve">, insulin </w:t>
      </w:r>
      <w:proofErr w:type="spellStart"/>
      <w:r w:rsidRPr="008A00FB">
        <w:rPr>
          <w:bCs/>
          <w:sz w:val="22"/>
          <w:szCs w:val="22"/>
        </w:rPr>
        <w:t>aspart</w:t>
      </w:r>
      <w:proofErr w:type="spellEnd"/>
      <w:r w:rsidRPr="008A00FB">
        <w:rPr>
          <w:bCs/>
          <w:sz w:val="22"/>
          <w:szCs w:val="22"/>
        </w:rPr>
        <w:t xml:space="preserve"> se </w:t>
      </w:r>
      <w:proofErr w:type="spellStart"/>
      <w:r w:rsidRPr="008A00FB">
        <w:rPr>
          <w:bCs/>
          <w:sz w:val="22"/>
          <w:szCs w:val="22"/>
        </w:rPr>
        <w:t>ponašao</w:t>
      </w:r>
      <w:proofErr w:type="spellEnd"/>
      <w:r w:rsidRPr="008A00FB">
        <w:rPr>
          <w:bCs/>
          <w:sz w:val="22"/>
          <w:szCs w:val="22"/>
        </w:rPr>
        <w:t xml:space="preserve"> </w:t>
      </w:r>
      <w:proofErr w:type="spellStart"/>
      <w:r w:rsidRPr="008A00FB">
        <w:rPr>
          <w:bCs/>
          <w:sz w:val="22"/>
          <w:szCs w:val="22"/>
        </w:rPr>
        <w:t>vrlo</w:t>
      </w:r>
      <w:proofErr w:type="spellEnd"/>
      <w:r w:rsidRPr="008A00FB">
        <w:rPr>
          <w:bCs/>
          <w:sz w:val="22"/>
          <w:szCs w:val="22"/>
        </w:rPr>
        <w:t xml:space="preserve"> </w:t>
      </w:r>
      <w:proofErr w:type="spellStart"/>
      <w:r w:rsidRPr="008A00FB">
        <w:rPr>
          <w:bCs/>
          <w:sz w:val="22"/>
          <w:szCs w:val="22"/>
        </w:rPr>
        <w:t>slično</w:t>
      </w:r>
      <w:proofErr w:type="spellEnd"/>
      <w:r w:rsidRPr="008A00FB">
        <w:rPr>
          <w:bCs/>
          <w:sz w:val="22"/>
          <w:szCs w:val="22"/>
        </w:rPr>
        <w:t xml:space="preserve"> </w:t>
      </w:r>
      <w:proofErr w:type="spellStart"/>
      <w:r w:rsidRPr="008A00FB">
        <w:rPr>
          <w:bCs/>
          <w:sz w:val="22"/>
          <w:szCs w:val="22"/>
        </w:rPr>
        <w:t>humanom</w:t>
      </w:r>
      <w:proofErr w:type="spellEnd"/>
      <w:r w:rsidRPr="008A00FB">
        <w:rPr>
          <w:bCs/>
          <w:sz w:val="22"/>
          <w:szCs w:val="22"/>
        </w:rPr>
        <w:t xml:space="preserve"> </w:t>
      </w:r>
      <w:proofErr w:type="spellStart"/>
      <w:r w:rsidRPr="008A00FB">
        <w:rPr>
          <w:bCs/>
          <w:sz w:val="22"/>
          <w:szCs w:val="22"/>
        </w:rPr>
        <w:t>insulinu</w:t>
      </w:r>
      <w:proofErr w:type="spellEnd"/>
      <w:r w:rsidRPr="008A00FB">
        <w:rPr>
          <w:bCs/>
          <w:sz w:val="22"/>
          <w:szCs w:val="22"/>
        </w:rPr>
        <w:t xml:space="preserve">. </w:t>
      </w:r>
      <w:proofErr w:type="spellStart"/>
      <w:r w:rsidRPr="008A00FB">
        <w:rPr>
          <w:bCs/>
          <w:sz w:val="22"/>
          <w:szCs w:val="22"/>
        </w:rPr>
        <w:t>Ispitivanja</w:t>
      </w:r>
      <w:proofErr w:type="spellEnd"/>
      <w:r w:rsidRPr="008A00FB">
        <w:rPr>
          <w:bCs/>
          <w:sz w:val="22"/>
          <w:szCs w:val="22"/>
        </w:rPr>
        <w:t xml:space="preserve"> </w:t>
      </w:r>
      <w:proofErr w:type="spellStart"/>
      <w:r w:rsidRPr="008A00FB">
        <w:rPr>
          <w:bCs/>
          <w:sz w:val="22"/>
          <w:szCs w:val="22"/>
        </w:rPr>
        <w:t>su</w:t>
      </w:r>
      <w:proofErr w:type="spellEnd"/>
      <w:r w:rsidRPr="008A00FB">
        <w:rPr>
          <w:bCs/>
          <w:sz w:val="22"/>
          <w:szCs w:val="22"/>
        </w:rPr>
        <w:t xml:space="preserve"> </w:t>
      </w:r>
      <w:proofErr w:type="spellStart"/>
      <w:r w:rsidRPr="008A00FB">
        <w:rPr>
          <w:bCs/>
          <w:sz w:val="22"/>
          <w:szCs w:val="22"/>
        </w:rPr>
        <w:t>takođe</w:t>
      </w:r>
      <w:proofErr w:type="spellEnd"/>
      <w:r w:rsidRPr="008A00FB">
        <w:rPr>
          <w:bCs/>
          <w:sz w:val="22"/>
          <w:szCs w:val="22"/>
        </w:rPr>
        <w:t xml:space="preserve"> </w:t>
      </w:r>
      <w:proofErr w:type="spellStart"/>
      <w:r w:rsidRPr="008A00FB">
        <w:rPr>
          <w:bCs/>
          <w:sz w:val="22"/>
          <w:szCs w:val="22"/>
        </w:rPr>
        <w:t>pokazala</w:t>
      </w:r>
      <w:proofErr w:type="spellEnd"/>
      <w:r w:rsidRPr="008A00FB">
        <w:rPr>
          <w:bCs/>
          <w:sz w:val="22"/>
          <w:szCs w:val="22"/>
        </w:rPr>
        <w:t xml:space="preserve"> da je </w:t>
      </w:r>
      <w:proofErr w:type="spellStart"/>
      <w:r w:rsidRPr="008A00FB">
        <w:rPr>
          <w:bCs/>
          <w:sz w:val="22"/>
          <w:szCs w:val="22"/>
        </w:rPr>
        <w:t>disocijacija</w:t>
      </w:r>
      <w:proofErr w:type="spellEnd"/>
      <w:r w:rsidRPr="008A00FB">
        <w:rPr>
          <w:bCs/>
          <w:sz w:val="22"/>
          <w:szCs w:val="22"/>
        </w:rPr>
        <w:t xml:space="preserve"> </w:t>
      </w:r>
      <w:proofErr w:type="spellStart"/>
      <w:r w:rsidRPr="008A00FB">
        <w:rPr>
          <w:bCs/>
          <w:sz w:val="22"/>
          <w:szCs w:val="22"/>
        </w:rPr>
        <w:t>vezivanja</w:t>
      </w:r>
      <w:proofErr w:type="spellEnd"/>
      <w:r w:rsidRPr="008A00FB">
        <w:rPr>
          <w:bCs/>
          <w:sz w:val="22"/>
          <w:szCs w:val="22"/>
        </w:rPr>
        <w:t xml:space="preserve"> </w:t>
      </w:r>
      <w:proofErr w:type="spellStart"/>
      <w:r w:rsidRPr="008A00FB">
        <w:rPr>
          <w:bCs/>
          <w:sz w:val="22"/>
          <w:szCs w:val="22"/>
        </w:rPr>
        <w:t>na</w:t>
      </w:r>
      <w:proofErr w:type="spellEnd"/>
      <w:r w:rsidRPr="008A00FB">
        <w:rPr>
          <w:bCs/>
          <w:sz w:val="22"/>
          <w:szCs w:val="22"/>
        </w:rPr>
        <w:t xml:space="preserve"> </w:t>
      </w:r>
      <w:proofErr w:type="spellStart"/>
      <w:r w:rsidRPr="008A00FB">
        <w:rPr>
          <w:bCs/>
          <w:sz w:val="22"/>
          <w:szCs w:val="22"/>
        </w:rPr>
        <w:t>insulinske</w:t>
      </w:r>
      <w:proofErr w:type="spellEnd"/>
      <w:r w:rsidRPr="008A00FB">
        <w:rPr>
          <w:bCs/>
          <w:sz w:val="22"/>
          <w:szCs w:val="22"/>
        </w:rPr>
        <w:t xml:space="preserve"> </w:t>
      </w:r>
      <w:proofErr w:type="spellStart"/>
      <w:r w:rsidRPr="008A00FB">
        <w:rPr>
          <w:bCs/>
          <w:sz w:val="22"/>
          <w:szCs w:val="22"/>
        </w:rPr>
        <w:t>receptore</w:t>
      </w:r>
      <w:proofErr w:type="spellEnd"/>
      <w:r w:rsidRPr="008A00FB">
        <w:rPr>
          <w:bCs/>
          <w:sz w:val="22"/>
          <w:szCs w:val="22"/>
        </w:rPr>
        <w:t xml:space="preserve"> insulin </w:t>
      </w:r>
      <w:proofErr w:type="spellStart"/>
      <w:r w:rsidRPr="008A00FB">
        <w:rPr>
          <w:bCs/>
          <w:sz w:val="22"/>
          <w:szCs w:val="22"/>
        </w:rPr>
        <w:t>asparta</w:t>
      </w:r>
      <w:proofErr w:type="spellEnd"/>
      <w:r w:rsidRPr="008A00FB">
        <w:rPr>
          <w:bCs/>
          <w:sz w:val="22"/>
          <w:szCs w:val="22"/>
        </w:rPr>
        <w:t xml:space="preserve"> </w:t>
      </w:r>
      <w:proofErr w:type="spellStart"/>
      <w:r w:rsidRPr="008A00FB">
        <w:rPr>
          <w:bCs/>
          <w:sz w:val="22"/>
          <w:szCs w:val="22"/>
        </w:rPr>
        <w:t>jednaka</w:t>
      </w:r>
      <w:proofErr w:type="spellEnd"/>
      <w:r w:rsidRPr="008A00FB">
        <w:rPr>
          <w:bCs/>
          <w:sz w:val="22"/>
          <w:szCs w:val="22"/>
        </w:rPr>
        <w:t xml:space="preserve"> </w:t>
      </w:r>
      <w:proofErr w:type="spellStart"/>
      <w:r w:rsidRPr="008A00FB">
        <w:rPr>
          <w:bCs/>
          <w:sz w:val="22"/>
          <w:szCs w:val="22"/>
        </w:rPr>
        <w:t>kao</w:t>
      </w:r>
      <w:proofErr w:type="spellEnd"/>
      <w:r w:rsidRPr="008A00FB">
        <w:rPr>
          <w:bCs/>
          <w:sz w:val="22"/>
          <w:szCs w:val="22"/>
        </w:rPr>
        <w:t xml:space="preserve"> i </w:t>
      </w:r>
      <w:proofErr w:type="spellStart"/>
      <w:r w:rsidRPr="008A00FB">
        <w:rPr>
          <w:bCs/>
          <w:sz w:val="22"/>
          <w:szCs w:val="22"/>
        </w:rPr>
        <w:t>kod</w:t>
      </w:r>
      <w:proofErr w:type="spellEnd"/>
      <w:r w:rsidRPr="008A00FB">
        <w:rPr>
          <w:bCs/>
          <w:sz w:val="22"/>
          <w:szCs w:val="22"/>
        </w:rPr>
        <w:t xml:space="preserve"> </w:t>
      </w:r>
      <w:proofErr w:type="spellStart"/>
      <w:r w:rsidRPr="008A00FB">
        <w:rPr>
          <w:bCs/>
          <w:sz w:val="22"/>
          <w:szCs w:val="22"/>
        </w:rPr>
        <w:t>humanog</w:t>
      </w:r>
      <w:proofErr w:type="spellEnd"/>
      <w:r w:rsidRPr="008A00FB">
        <w:rPr>
          <w:bCs/>
          <w:sz w:val="22"/>
          <w:szCs w:val="22"/>
        </w:rPr>
        <w:t xml:space="preserve"> </w:t>
      </w:r>
      <w:proofErr w:type="spellStart"/>
      <w:r w:rsidRPr="008A00FB">
        <w:rPr>
          <w:bCs/>
          <w:sz w:val="22"/>
          <w:szCs w:val="22"/>
        </w:rPr>
        <w:t>insulina</w:t>
      </w:r>
      <w:proofErr w:type="spellEnd"/>
      <w:r w:rsidRPr="008A00FB">
        <w:rPr>
          <w:bCs/>
          <w:sz w:val="22"/>
          <w:szCs w:val="22"/>
        </w:rPr>
        <w:t>.</w:t>
      </w:r>
    </w:p>
    <w:p w14:paraId="7E58F202" w14:textId="77777777" w:rsidR="00701477" w:rsidRDefault="00701477" w:rsidP="000F6B37">
      <w:pPr>
        <w:tabs>
          <w:tab w:val="left" w:pos="540"/>
          <w:tab w:val="left" w:pos="569"/>
        </w:tabs>
        <w:jc w:val="both"/>
        <w:rPr>
          <w:bCs/>
          <w:sz w:val="22"/>
          <w:szCs w:val="22"/>
        </w:rPr>
      </w:pPr>
    </w:p>
    <w:p w14:paraId="35492CAA" w14:textId="77777777" w:rsidR="006513A1" w:rsidRPr="00786071" w:rsidRDefault="006513A1" w:rsidP="000F6B37">
      <w:pPr>
        <w:tabs>
          <w:tab w:val="left" w:pos="540"/>
          <w:tab w:val="left" w:pos="569"/>
        </w:tabs>
        <w:jc w:val="both"/>
        <w:rPr>
          <w:bCs/>
          <w:sz w:val="22"/>
          <w:szCs w:val="22"/>
        </w:rPr>
      </w:pPr>
    </w:p>
    <w:p w14:paraId="53434C00" w14:textId="77777777" w:rsidR="0072020E" w:rsidRPr="00786071" w:rsidRDefault="0072020E" w:rsidP="001D23DB">
      <w:pPr>
        <w:tabs>
          <w:tab w:val="left" w:pos="540"/>
          <w:tab w:val="left" w:pos="569"/>
        </w:tabs>
        <w:jc w:val="both"/>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57C77876" w14:textId="77777777" w:rsidR="00836B35" w:rsidRPr="00786071" w:rsidRDefault="00836B35" w:rsidP="001D23DB">
      <w:pPr>
        <w:tabs>
          <w:tab w:val="left" w:pos="540"/>
          <w:tab w:val="left" w:pos="569"/>
        </w:tabs>
        <w:jc w:val="both"/>
        <w:rPr>
          <w:bCs/>
          <w:sz w:val="22"/>
          <w:szCs w:val="22"/>
        </w:rPr>
      </w:pPr>
    </w:p>
    <w:p w14:paraId="1A652641" w14:textId="77777777" w:rsidR="0072020E" w:rsidRPr="00786071" w:rsidRDefault="0072020E" w:rsidP="001D23DB">
      <w:pPr>
        <w:tabs>
          <w:tab w:val="left" w:pos="540"/>
          <w:tab w:val="left" w:pos="569"/>
        </w:tabs>
        <w:jc w:val="both"/>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 xml:space="preserve">Lista </w:t>
      </w:r>
      <w:proofErr w:type="spellStart"/>
      <w:r w:rsidRPr="00786071">
        <w:rPr>
          <w:b/>
          <w:bCs/>
          <w:sz w:val="22"/>
          <w:szCs w:val="22"/>
        </w:rPr>
        <w:t>pomoćnih</w:t>
      </w:r>
      <w:proofErr w:type="spellEnd"/>
      <w:r w:rsidRPr="00786071">
        <w:rPr>
          <w:b/>
          <w:bCs/>
          <w:sz w:val="22"/>
          <w:szCs w:val="22"/>
        </w:rPr>
        <w:t xml:space="preserve"> </w:t>
      </w:r>
      <w:proofErr w:type="spellStart"/>
      <w:r w:rsidRPr="00786071">
        <w:rPr>
          <w:b/>
          <w:bCs/>
          <w:sz w:val="22"/>
          <w:szCs w:val="22"/>
        </w:rPr>
        <w:t>supstanci</w:t>
      </w:r>
      <w:proofErr w:type="spellEnd"/>
      <w:r w:rsidR="002E0135" w:rsidRPr="00786071">
        <w:rPr>
          <w:b/>
          <w:bCs/>
          <w:sz w:val="22"/>
          <w:szCs w:val="22"/>
        </w:rPr>
        <w:t xml:space="preserve"> (</w:t>
      </w:r>
      <w:proofErr w:type="spellStart"/>
      <w:r w:rsidR="002E0135" w:rsidRPr="00786071">
        <w:rPr>
          <w:b/>
          <w:bCs/>
          <w:sz w:val="22"/>
          <w:szCs w:val="22"/>
        </w:rPr>
        <w:t>ekscipijenasa</w:t>
      </w:r>
      <w:proofErr w:type="spellEnd"/>
      <w:r w:rsidR="002E0135" w:rsidRPr="00786071">
        <w:rPr>
          <w:b/>
          <w:bCs/>
          <w:sz w:val="22"/>
          <w:szCs w:val="22"/>
        </w:rPr>
        <w:t>)</w:t>
      </w:r>
    </w:p>
    <w:p w14:paraId="357947DB" w14:textId="77777777" w:rsidR="0072020E" w:rsidRDefault="0072020E" w:rsidP="001D23DB">
      <w:pPr>
        <w:tabs>
          <w:tab w:val="left" w:pos="540"/>
          <w:tab w:val="left" w:pos="569"/>
        </w:tabs>
        <w:jc w:val="both"/>
        <w:rPr>
          <w:bCs/>
          <w:sz w:val="22"/>
          <w:szCs w:val="22"/>
        </w:rPr>
      </w:pPr>
    </w:p>
    <w:p w14:paraId="08C677E6" w14:textId="77777777" w:rsidR="00701477" w:rsidRPr="00701477" w:rsidRDefault="00701477" w:rsidP="001D23DB">
      <w:pPr>
        <w:tabs>
          <w:tab w:val="left" w:pos="540"/>
          <w:tab w:val="left" w:pos="569"/>
        </w:tabs>
        <w:jc w:val="both"/>
        <w:rPr>
          <w:bCs/>
          <w:sz w:val="22"/>
          <w:szCs w:val="22"/>
        </w:rPr>
      </w:pPr>
      <w:proofErr w:type="spellStart"/>
      <w:r w:rsidRPr="00701477">
        <w:rPr>
          <w:bCs/>
          <w:sz w:val="22"/>
          <w:szCs w:val="22"/>
        </w:rPr>
        <w:t>Fenol</w:t>
      </w:r>
      <w:proofErr w:type="spellEnd"/>
    </w:p>
    <w:p w14:paraId="40F27624" w14:textId="77777777" w:rsidR="00701477" w:rsidRPr="00701477" w:rsidRDefault="00701477" w:rsidP="001D23DB">
      <w:pPr>
        <w:tabs>
          <w:tab w:val="left" w:pos="540"/>
          <w:tab w:val="left" w:pos="569"/>
        </w:tabs>
        <w:jc w:val="both"/>
        <w:rPr>
          <w:bCs/>
          <w:sz w:val="22"/>
          <w:szCs w:val="22"/>
        </w:rPr>
      </w:pPr>
      <w:proofErr w:type="spellStart"/>
      <w:r w:rsidRPr="00701477">
        <w:rPr>
          <w:bCs/>
          <w:sz w:val="22"/>
          <w:szCs w:val="22"/>
        </w:rPr>
        <w:t>Metakrezol</w:t>
      </w:r>
      <w:proofErr w:type="spellEnd"/>
    </w:p>
    <w:p w14:paraId="30AB16C6" w14:textId="77777777" w:rsidR="00701477" w:rsidRPr="00701477" w:rsidRDefault="00701477" w:rsidP="001D23DB">
      <w:pPr>
        <w:tabs>
          <w:tab w:val="left" w:pos="540"/>
          <w:tab w:val="left" w:pos="569"/>
        </w:tabs>
        <w:jc w:val="both"/>
        <w:rPr>
          <w:bCs/>
          <w:sz w:val="22"/>
          <w:szCs w:val="22"/>
        </w:rPr>
      </w:pPr>
      <w:proofErr w:type="spellStart"/>
      <w:r w:rsidRPr="00701477">
        <w:rPr>
          <w:bCs/>
          <w:sz w:val="22"/>
          <w:szCs w:val="22"/>
        </w:rPr>
        <w:t>Glicerol</w:t>
      </w:r>
      <w:proofErr w:type="spellEnd"/>
    </w:p>
    <w:p w14:paraId="2E957FA6" w14:textId="77777777" w:rsidR="00701477" w:rsidRPr="00701477" w:rsidRDefault="00701477" w:rsidP="001D23DB">
      <w:pPr>
        <w:tabs>
          <w:tab w:val="left" w:pos="540"/>
          <w:tab w:val="left" w:pos="569"/>
        </w:tabs>
        <w:jc w:val="both"/>
        <w:rPr>
          <w:bCs/>
          <w:sz w:val="22"/>
          <w:szCs w:val="22"/>
        </w:rPr>
      </w:pPr>
      <w:r w:rsidRPr="00701477">
        <w:rPr>
          <w:bCs/>
          <w:sz w:val="22"/>
          <w:szCs w:val="22"/>
        </w:rPr>
        <w:t>Cink</w:t>
      </w:r>
      <w:r w:rsidR="00D01D64">
        <w:rPr>
          <w:bCs/>
          <w:sz w:val="22"/>
          <w:szCs w:val="22"/>
        </w:rPr>
        <w:t xml:space="preserve"> </w:t>
      </w:r>
      <w:proofErr w:type="spellStart"/>
      <w:r w:rsidRPr="00701477">
        <w:rPr>
          <w:bCs/>
          <w:sz w:val="22"/>
          <w:szCs w:val="22"/>
        </w:rPr>
        <w:t>acetat</w:t>
      </w:r>
      <w:proofErr w:type="spellEnd"/>
    </w:p>
    <w:p w14:paraId="384ED55A" w14:textId="77777777" w:rsidR="00701477" w:rsidRPr="00701477" w:rsidRDefault="0059368E" w:rsidP="001D23DB">
      <w:pPr>
        <w:tabs>
          <w:tab w:val="left" w:pos="540"/>
          <w:tab w:val="left" w:pos="569"/>
        </w:tabs>
        <w:jc w:val="both"/>
        <w:rPr>
          <w:bCs/>
          <w:sz w:val="22"/>
          <w:szCs w:val="22"/>
        </w:rPr>
      </w:pPr>
      <w:proofErr w:type="spellStart"/>
      <w:r>
        <w:rPr>
          <w:bCs/>
          <w:sz w:val="22"/>
          <w:szCs w:val="22"/>
        </w:rPr>
        <w:t>Din</w:t>
      </w:r>
      <w:r w:rsidR="00701477" w:rsidRPr="00701477">
        <w:rPr>
          <w:bCs/>
          <w:sz w:val="22"/>
          <w:szCs w:val="22"/>
        </w:rPr>
        <w:t>atrijum</w:t>
      </w:r>
      <w:proofErr w:type="spellEnd"/>
      <w:r w:rsidR="00D01D64">
        <w:rPr>
          <w:bCs/>
          <w:sz w:val="22"/>
          <w:szCs w:val="22"/>
        </w:rPr>
        <w:t xml:space="preserve"> </w:t>
      </w:r>
      <w:proofErr w:type="spellStart"/>
      <w:r w:rsidR="00701477" w:rsidRPr="00701477">
        <w:rPr>
          <w:bCs/>
          <w:sz w:val="22"/>
          <w:szCs w:val="22"/>
        </w:rPr>
        <w:t>fosfat</w:t>
      </w:r>
      <w:proofErr w:type="spellEnd"/>
      <w:r w:rsidR="00701477" w:rsidRPr="00701477">
        <w:rPr>
          <w:bCs/>
          <w:sz w:val="22"/>
          <w:szCs w:val="22"/>
        </w:rPr>
        <w:t xml:space="preserve"> </w:t>
      </w:r>
      <w:proofErr w:type="spellStart"/>
      <w:r w:rsidR="00701477" w:rsidRPr="00701477">
        <w:rPr>
          <w:bCs/>
          <w:sz w:val="22"/>
          <w:szCs w:val="22"/>
        </w:rPr>
        <w:t>dihidrat</w:t>
      </w:r>
      <w:proofErr w:type="spellEnd"/>
    </w:p>
    <w:p w14:paraId="435BB390" w14:textId="77777777" w:rsidR="00701477" w:rsidRPr="000F6B37" w:rsidRDefault="00701477" w:rsidP="001D23DB">
      <w:pPr>
        <w:tabs>
          <w:tab w:val="left" w:pos="540"/>
          <w:tab w:val="left" w:pos="569"/>
        </w:tabs>
        <w:jc w:val="both"/>
        <w:rPr>
          <w:bCs/>
          <w:sz w:val="22"/>
          <w:szCs w:val="22"/>
        </w:rPr>
      </w:pPr>
      <w:proofErr w:type="spellStart"/>
      <w:r w:rsidRPr="000F6B37">
        <w:rPr>
          <w:bCs/>
          <w:sz w:val="22"/>
          <w:szCs w:val="22"/>
        </w:rPr>
        <w:t>Arginin</w:t>
      </w:r>
      <w:proofErr w:type="spellEnd"/>
      <w:r w:rsidRPr="000F6B37">
        <w:rPr>
          <w:bCs/>
          <w:sz w:val="22"/>
          <w:szCs w:val="22"/>
        </w:rPr>
        <w:t xml:space="preserve"> </w:t>
      </w:r>
      <w:proofErr w:type="spellStart"/>
      <w:r w:rsidRPr="000F6B37">
        <w:rPr>
          <w:bCs/>
          <w:sz w:val="22"/>
          <w:szCs w:val="22"/>
        </w:rPr>
        <w:t>hidrohlorid</w:t>
      </w:r>
      <w:proofErr w:type="spellEnd"/>
    </w:p>
    <w:p w14:paraId="30047B4C" w14:textId="77777777" w:rsidR="00701477" w:rsidRPr="000F6B37" w:rsidRDefault="00701477" w:rsidP="001D23DB">
      <w:pPr>
        <w:tabs>
          <w:tab w:val="left" w:pos="540"/>
          <w:tab w:val="left" w:pos="569"/>
        </w:tabs>
        <w:jc w:val="both"/>
        <w:rPr>
          <w:bCs/>
          <w:sz w:val="22"/>
          <w:szCs w:val="22"/>
        </w:rPr>
      </w:pPr>
      <w:proofErr w:type="spellStart"/>
      <w:r w:rsidRPr="000F6B37">
        <w:rPr>
          <w:bCs/>
          <w:sz w:val="22"/>
          <w:szCs w:val="22"/>
        </w:rPr>
        <w:t>Nikotinamid</w:t>
      </w:r>
      <w:proofErr w:type="spellEnd"/>
      <w:r w:rsidRPr="000F6B37">
        <w:rPr>
          <w:bCs/>
          <w:sz w:val="22"/>
          <w:szCs w:val="22"/>
        </w:rPr>
        <w:t xml:space="preserve"> (vitamin B</w:t>
      </w:r>
      <w:r w:rsidRPr="000F6B37">
        <w:rPr>
          <w:bCs/>
          <w:sz w:val="22"/>
          <w:szCs w:val="22"/>
          <w:vertAlign w:val="subscript"/>
        </w:rPr>
        <w:t>3</w:t>
      </w:r>
      <w:r w:rsidRPr="000F6B37">
        <w:rPr>
          <w:bCs/>
          <w:sz w:val="22"/>
          <w:szCs w:val="22"/>
        </w:rPr>
        <w:t>)</w:t>
      </w:r>
    </w:p>
    <w:p w14:paraId="36FAE03C" w14:textId="77777777" w:rsidR="00701477" w:rsidRPr="000F6B37" w:rsidRDefault="00701477" w:rsidP="001D23DB">
      <w:pPr>
        <w:tabs>
          <w:tab w:val="left" w:pos="540"/>
          <w:tab w:val="left" w:pos="569"/>
        </w:tabs>
        <w:jc w:val="both"/>
        <w:rPr>
          <w:bCs/>
          <w:sz w:val="22"/>
          <w:szCs w:val="22"/>
        </w:rPr>
      </w:pPr>
      <w:proofErr w:type="spellStart"/>
      <w:r w:rsidRPr="000F6B37">
        <w:rPr>
          <w:bCs/>
          <w:sz w:val="22"/>
          <w:szCs w:val="22"/>
        </w:rPr>
        <w:t>Hlorovodonična</w:t>
      </w:r>
      <w:proofErr w:type="spellEnd"/>
      <w:r w:rsidRPr="000F6B37">
        <w:rPr>
          <w:bCs/>
          <w:sz w:val="22"/>
          <w:szCs w:val="22"/>
        </w:rPr>
        <w:t xml:space="preserve"> </w:t>
      </w:r>
      <w:proofErr w:type="spellStart"/>
      <w:r w:rsidRPr="000F6B37">
        <w:rPr>
          <w:bCs/>
          <w:sz w:val="22"/>
          <w:szCs w:val="22"/>
        </w:rPr>
        <w:t>kiselina</w:t>
      </w:r>
      <w:proofErr w:type="spellEnd"/>
      <w:r w:rsidRPr="000F6B37">
        <w:rPr>
          <w:bCs/>
          <w:sz w:val="22"/>
          <w:szCs w:val="22"/>
        </w:rPr>
        <w:t xml:space="preserve"> (za </w:t>
      </w:r>
      <w:proofErr w:type="spellStart"/>
      <w:r w:rsidRPr="000F6B37">
        <w:rPr>
          <w:bCs/>
          <w:sz w:val="22"/>
          <w:szCs w:val="22"/>
        </w:rPr>
        <w:t>podešavanje</w:t>
      </w:r>
      <w:proofErr w:type="spellEnd"/>
      <w:r w:rsidRPr="000F6B37">
        <w:rPr>
          <w:bCs/>
          <w:sz w:val="22"/>
          <w:szCs w:val="22"/>
        </w:rPr>
        <w:t xml:space="preserve"> pH)</w:t>
      </w:r>
    </w:p>
    <w:p w14:paraId="51793E87" w14:textId="77777777" w:rsidR="00701477" w:rsidRPr="000F6B37" w:rsidRDefault="00701477" w:rsidP="001D23DB">
      <w:pPr>
        <w:tabs>
          <w:tab w:val="left" w:pos="540"/>
          <w:tab w:val="left" w:pos="569"/>
        </w:tabs>
        <w:jc w:val="both"/>
        <w:rPr>
          <w:bCs/>
          <w:sz w:val="22"/>
          <w:szCs w:val="22"/>
        </w:rPr>
      </w:pPr>
      <w:proofErr w:type="spellStart"/>
      <w:r w:rsidRPr="000F6B37">
        <w:rPr>
          <w:bCs/>
          <w:sz w:val="22"/>
          <w:szCs w:val="22"/>
        </w:rPr>
        <w:t>Natrijum</w:t>
      </w:r>
      <w:proofErr w:type="spellEnd"/>
      <w:r w:rsidR="00D01D64" w:rsidRPr="000F6B37">
        <w:rPr>
          <w:bCs/>
          <w:sz w:val="22"/>
          <w:szCs w:val="22"/>
        </w:rPr>
        <w:t xml:space="preserve"> </w:t>
      </w:r>
      <w:proofErr w:type="spellStart"/>
      <w:r w:rsidRPr="000F6B37">
        <w:rPr>
          <w:bCs/>
          <w:sz w:val="22"/>
          <w:szCs w:val="22"/>
        </w:rPr>
        <w:t>hidroksid</w:t>
      </w:r>
      <w:proofErr w:type="spellEnd"/>
      <w:r w:rsidRPr="000F6B37">
        <w:rPr>
          <w:bCs/>
          <w:sz w:val="22"/>
          <w:szCs w:val="22"/>
        </w:rPr>
        <w:t xml:space="preserve"> (za </w:t>
      </w:r>
      <w:proofErr w:type="spellStart"/>
      <w:r w:rsidRPr="000F6B37">
        <w:rPr>
          <w:bCs/>
          <w:sz w:val="22"/>
          <w:szCs w:val="22"/>
        </w:rPr>
        <w:t>podešavanje</w:t>
      </w:r>
      <w:proofErr w:type="spellEnd"/>
      <w:r w:rsidRPr="000F6B37">
        <w:rPr>
          <w:bCs/>
          <w:sz w:val="22"/>
          <w:szCs w:val="22"/>
        </w:rPr>
        <w:t xml:space="preserve"> pH)</w:t>
      </w:r>
    </w:p>
    <w:p w14:paraId="3360ADFD" w14:textId="77777777" w:rsidR="00701477" w:rsidRPr="000F6B37" w:rsidRDefault="00701477" w:rsidP="001D23DB">
      <w:pPr>
        <w:tabs>
          <w:tab w:val="left" w:pos="540"/>
          <w:tab w:val="left" w:pos="569"/>
        </w:tabs>
        <w:jc w:val="both"/>
        <w:rPr>
          <w:bCs/>
          <w:sz w:val="22"/>
          <w:szCs w:val="22"/>
        </w:rPr>
      </w:pPr>
      <w:r w:rsidRPr="000F6B37">
        <w:rPr>
          <w:bCs/>
          <w:sz w:val="22"/>
          <w:szCs w:val="22"/>
        </w:rPr>
        <w:t xml:space="preserve">Voda za </w:t>
      </w:r>
      <w:proofErr w:type="spellStart"/>
      <w:r w:rsidRPr="000F6B37">
        <w:rPr>
          <w:bCs/>
          <w:sz w:val="22"/>
          <w:szCs w:val="22"/>
        </w:rPr>
        <w:t>injekcije</w:t>
      </w:r>
      <w:proofErr w:type="spellEnd"/>
    </w:p>
    <w:p w14:paraId="1EFFA0CC" w14:textId="77777777" w:rsidR="00701477" w:rsidRPr="00786071" w:rsidRDefault="00701477" w:rsidP="001D23DB">
      <w:pPr>
        <w:tabs>
          <w:tab w:val="left" w:pos="540"/>
          <w:tab w:val="left" w:pos="569"/>
        </w:tabs>
        <w:jc w:val="both"/>
        <w:rPr>
          <w:bCs/>
          <w:sz w:val="22"/>
          <w:szCs w:val="22"/>
        </w:rPr>
      </w:pPr>
    </w:p>
    <w:p w14:paraId="4FC87C70" w14:textId="77777777" w:rsidR="0072020E" w:rsidRPr="00786071" w:rsidRDefault="0072020E" w:rsidP="001D23DB">
      <w:pPr>
        <w:tabs>
          <w:tab w:val="left" w:pos="540"/>
          <w:tab w:val="left" w:pos="569"/>
        </w:tabs>
        <w:jc w:val="both"/>
        <w:rPr>
          <w:b/>
          <w:bCs/>
          <w:sz w:val="22"/>
          <w:szCs w:val="22"/>
        </w:rPr>
      </w:pPr>
      <w:r w:rsidRPr="00786071">
        <w:rPr>
          <w:b/>
          <w:bCs/>
          <w:sz w:val="22"/>
          <w:szCs w:val="22"/>
        </w:rPr>
        <w:t xml:space="preserve">6.2. </w:t>
      </w:r>
      <w:r w:rsidR="00480FB1" w:rsidRPr="00786071">
        <w:rPr>
          <w:b/>
          <w:bCs/>
          <w:sz w:val="22"/>
          <w:szCs w:val="22"/>
        </w:rPr>
        <w:tab/>
      </w:r>
      <w:proofErr w:type="spellStart"/>
      <w:r w:rsidRPr="00786071">
        <w:rPr>
          <w:b/>
          <w:bCs/>
          <w:sz w:val="22"/>
          <w:szCs w:val="22"/>
        </w:rPr>
        <w:t>Inkompatibilnost</w:t>
      </w:r>
      <w:r w:rsidR="002846DB" w:rsidRPr="00786071">
        <w:rPr>
          <w:b/>
          <w:bCs/>
          <w:sz w:val="22"/>
          <w:szCs w:val="22"/>
        </w:rPr>
        <w:t>i</w:t>
      </w:r>
      <w:proofErr w:type="spellEnd"/>
    </w:p>
    <w:p w14:paraId="595AB5B8" w14:textId="77777777" w:rsidR="0072020E" w:rsidRDefault="0072020E" w:rsidP="001D23DB">
      <w:pPr>
        <w:tabs>
          <w:tab w:val="left" w:pos="540"/>
          <w:tab w:val="left" w:pos="569"/>
        </w:tabs>
        <w:jc w:val="both"/>
        <w:rPr>
          <w:bCs/>
          <w:sz w:val="22"/>
          <w:szCs w:val="22"/>
        </w:rPr>
      </w:pPr>
    </w:p>
    <w:p w14:paraId="07FA364E" w14:textId="11D61424" w:rsidR="00701477" w:rsidRDefault="00701477" w:rsidP="001D23DB">
      <w:pPr>
        <w:tabs>
          <w:tab w:val="left" w:pos="540"/>
          <w:tab w:val="left" w:pos="569"/>
        </w:tabs>
        <w:jc w:val="both"/>
        <w:rPr>
          <w:bCs/>
          <w:sz w:val="22"/>
          <w:szCs w:val="22"/>
        </w:rPr>
      </w:pPr>
      <w:r w:rsidRPr="00701477">
        <w:rPr>
          <w:bCs/>
          <w:sz w:val="22"/>
          <w:szCs w:val="22"/>
        </w:rPr>
        <w:t xml:space="preserve">Lijek se ne </w:t>
      </w:r>
      <w:proofErr w:type="spellStart"/>
      <w:r w:rsidRPr="00701477">
        <w:rPr>
          <w:bCs/>
          <w:sz w:val="22"/>
          <w:szCs w:val="22"/>
        </w:rPr>
        <w:t>smije</w:t>
      </w:r>
      <w:proofErr w:type="spellEnd"/>
      <w:r w:rsidRPr="00701477">
        <w:rPr>
          <w:bCs/>
          <w:sz w:val="22"/>
          <w:szCs w:val="22"/>
        </w:rPr>
        <w:t xml:space="preserve"> </w:t>
      </w:r>
      <w:proofErr w:type="spellStart"/>
      <w:r w:rsidRPr="00701477">
        <w:rPr>
          <w:bCs/>
          <w:sz w:val="22"/>
          <w:szCs w:val="22"/>
        </w:rPr>
        <w:t>razblaživati</w:t>
      </w:r>
      <w:proofErr w:type="spellEnd"/>
      <w:r w:rsidRPr="00701477">
        <w:rPr>
          <w:bCs/>
          <w:sz w:val="22"/>
          <w:szCs w:val="22"/>
        </w:rPr>
        <w:t xml:space="preserve">, </w:t>
      </w:r>
      <w:proofErr w:type="spellStart"/>
      <w:r w:rsidRPr="00701477">
        <w:rPr>
          <w:bCs/>
          <w:sz w:val="22"/>
          <w:szCs w:val="22"/>
        </w:rPr>
        <w:t>niti</w:t>
      </w:r>
      <w:proofErr w:type="spellEnd"/>
      <w:r w:rsidRPr="00701477">
        <w:rPr>
          <w:bCs/>
          <w:sz w:val="22"/>
          <w:szCs w:val="22"/>
        </w:rPr>
        <w:t xml:space="preserve"> </w:t>
      </w:r>
      <w:proofErr w:type="spellStart"/>
      <w:r w:rsidRPr="00701477">
        <w:rPr>
          <w:bCs/>
          <w:sz w:val="22"/>
          <w:szCs w:val="22"/>
        </w:rPr>
        <w:t>miješati</w:t>
      </w:r>
      <w:proofErr w:type="spellEnd"/>
      <w:r w:rsidRPr="00701477">
        <w:rPr>
          <w:bCs/>
          <w:sz w:val="22"/>
          <w:szCs w:val="22"/>
        </w:rPr>
        <w:t xml:space="preserve"> </w:t>
      </w:r>
      <w:proofErr w:type="spellStart"/>
      <w:r w:rsidRPr="00701477">
        <w:rPr>
          <w:bCs/>
          <w:sz w:val="22"/>
          <w:szCs w:val="22"/>
        </w:rPr>
        <w:t>sa</w:t>
      </w:r>
      <w:proofErr w:type="spellEnd"/>
      <w:r w:rsidRPr="00701477">
        <w:rPr>
          <w:bCs/>
          <w:sz w:val="22"/>
          <w:szCs w:val="22"/>
        </w:rPr>
        <w:t xml:space="preserve"> </w:t>
      </w:r>
      <w:proofErr w:type="spellStart"/>
      <w:r w:rsidRPr="00701477">
        <w:rPr>
          <w:bCs/>
          <w:sz w:val="22"/>
          <w:szCs w:val="22"/>
        </w:rPr>
        <w:t>drugim</w:t>
      </w:r>
      <w:proofErr w:type="spellEnd"/>
      <w:r w:rsidRPr="00701477">
        <w:rPr>
          <w:bCs/>
          <w:sz w:val="22"/>
          <w:szCs w:val="22"/>
        </w:rPr>
        <w:t xml:space="preserve"> </w:t>
      </w:r>
      <w:proofErr w:type="spellStart"/>
      <w:r w:rsidRPr="00701477">
        <w:rPr>
          <w:bCs/>
          <w:sz w:val="22"/>
          <w:szCs w:val="22"/>
        </w:rPr>
        <w:t>ljekovima</w:t>
      </w:r>
      <w:proofErr w:type="spellEnd"/>
      <w:r w:rsidRPr="00701477">
        <w:rPr>
          <w:bCs/>
          <w:sz w:val="22"/>
          <w:szCs w:val="22"/>
        </w:rPr>
        <w:t xml:space="preserve">, </w:t>
      </w:r>
      <w:proofErr w:type="spellStart"/>
      <w:r w:rsidRPr="00701477">
        <w:rPr>
          <w:bCs/>
          <w:sz w:val="22"/>
          <w:szCs w:val="22"/>
        </w:rPr>
        <w:t>izuzev</w:t>
      </w:r>
      <w:proofErr w:type="spellEnd"/>
      <w:r w:rsidRPr="00701477">
        <w:rPr>
          <w:bCs/>
          <w:sz w:val="22"/>
          <w:szCs w:val="22"/>
        </w:rPr>
        <w:t xml:space="preserve"> </w:t>
      </w:r>
      <w:proofErr w:type="spellStart"/>
      <w:r w:rsidRPr="00701477">
        <w:rPr>
          <w:bCs/>
          <w:sz w:val="22"/>
          <w:szCs w:val="22"/>
        </w:rPr>
        <w:t>sa</w:t>
      </w:r>
      <w:proofErr w:type="spellEnd"/>
      <w:r w:rsidRPr="00701477">
        <w:rPr>
          <w:bCs/>
          <w:sz w:val="22"/>
          <w:szCs w:val="22"/>
        </w:rPr>
        <w:t xml:space="preserve"> </w:t>
      </w:r>
      <w:proofErr w:type="spellStart"/>
      <w:r w:rsidRPr="00701477">
        <w:rPr>
          <w:bCs/>
          <w:sz w:val="22"/>
          <w:szCs w:val="22"/>
        </w:rPr>
        <w:t>rastvorima</w:t>
      </w:r>
      <w:proofErr w:type="spellEnd"/>
      <w:r w:rsidRPr="00701477">
        <w:rPr>
          <w:bCs/>
          <w:sz w:val="22"/>
          <w:szCs w:val="22"/>
        </w:rPr>
        <w:t xml:space="preserve"> za </w:t>
      </w:r>
      <w:proofErr w:type="spellStart"/>
      <w:r w:rsidRPr="00701477">
        <w:rPr>
          <w:bCs/>
          <w:sz w:val="22"/>
          <w:szCs w:val="22"/>
        </w:rPr>
        <w:t>infuziju</w:t>
      </w:r>
      <w:proofErr w:type="spellEnd"/>
      <w:r w:rsidRPr="00701477">
        <w:rPr>
          <w:bCs/>
          <w:sz w:val="22"/>
          <w:szCs w:val="22"/>
        </w:rPr>
        <w:t xml:space="preserve">, </w:t>
      </w:r>
      <w:proofErr w:type="spellStart"/>
      <w:r w:rsidRPr="00701477">
        <w:rPr>
          <w:bCs/>
          <w:sz w:val="22"/>
          <w:szCs w:val="22"/>
        </w:rPr>
        <w:t>kao</w:t>
      </w:r>
      <w:proofErr w:type="spellEnd"/>
      <w:r w:rsidRPr="00701477">
        <w:rPr>
          <w:bCs/>
          <w:sz w:val="22"/>
          <w:szCs w:val="22"/>
        </w:rPr>
        <w:t xml:space="preserve"> </w:t>
      </w:r>
      <w:proofErr w:type="spellStart"/>
      <w:r w:rsidRPr="00701477">
        <w:rPr>
          <w:bCs/>
          <w:sz w:val="22"/>
          <w:szCs w:val="22"/>
        </w:rPr>
        <w:t>što</w:t>
      </w:r>
      <w:proofErr w:type="spellEnd"/>
      <w:r w:rsidRPr="00701477">
        <w:rPr>
          <w:bCs/>
          <w:sz w:val="22"/>
          <w:szCs w:val="22"/>
        </w:rPr>
        <w:t xml:space="preserve"> je </w:t>
      </w:r>
      <w:proofErr w:type="spellStart"/>
      <w:r w:rsidRPr="00701477">
        <w:rPr>
          <w:bCs/>
          <w:sz w:val="22"/>
          <w:szCs w:val="22"/>
        </w:rPr>
        <w:t>opisano</w:t>
      </w:r>
      <w:proofErr w:type="spellEnd"/>
      <w:r w:rsidRPr="00701477">
        <w:rPr>
          <w:bCs/>
          <w:sz w:val="22"/>
          <w:szCs w:val="22"/>
        </w:rPr>
        <w:t xml:space="preserve"> u </w:t>
      </w:r>
      <w:proofErr w:type="spellStart"/>
      <w:r w:rsidR="0077787F">
        <w:rPr>
          <w:bCs/>
          <w:sz w:val="22"/>
          <w:szCs w:val="22"/>
        </w:rPr>
        <w:t>dijelu</w:t>
      </w:r>
      <w:proofErr w:type="spellEnd"/>
      <w:r w:rsidR="0077787F" w:rsidRPr="00701477">
        <w:rPr>
          <w:bCs/>
          <w:sz w:val="22"/>
          <w:szCs w:val="22"/>
        </w:rPr>
        <w:t xml:space="preserve"> </w:t>
      </w:r>
      <w:r w:rsidR="00752E1B">
        <w:rPr>
          <w:bCs/>
          <w:sz w:val="22"/>
          <w:szCs w:val="22"/>
        </w:rPr>
        <w:t>6.6</w:t>
      </w:r>
      <w:r w:rsidRPr="00701477">
        <w:rPr>
          <w:bCs/>
          <w:sz w:val="22"/>
          <w:szCs w:val="22"/>
        </w:rPr>
        <w:t>.</w:t>
      </w:r>
    </w:p>
    <w:p w14:paraId="2501F560" w14:textId="77777777" w:rsidR="00701477" w:rsidRPr="00786071" w:rsidRDefault="00701477" w:rsidP="001D23DB">
      <w:pPr>
        <w:tabs>
          <w:tab w:val="left" w:pos="540"/>
          <w:tab w:val="left" w:pos="569"/>
        </w:tabs>
        <w:jc w:val="both"/>
        <w:rPr>
          <w:bCs/>
          <w:sz w:val="22"/>
          <w:szCs w:val="22"/>
        </w:rPr>
      </w:pPr>
    </w:p>
    <w:p w14:paraId="572F2FB4" w14:textId="77777777" w:rsidR="0072020E" w:rsidRPr="00786071" w:rsidRDefault="0072020E" w:rsidP="001D23DB">
      <w:pPr>
        <w:tabs>
          <w:tab w:val="left" w:pos="540"/>
          <w:tab w:val="left" w:pos="569"/>
        </w:tabs>
        <w:jc w:val="both"/>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proofErr w:type="spellStart"/>
      <w:r w:rsidRPr="00786071">
        <w:rPr>
          <w:b/>
          <w:bCs/>
          <w:sz w:val="22"/>
          <w:szCs w:val="22"/>
        </w:rPr>
        <w:t>Rok</w:t>
      </w:r>
      <w:proofErr w:type="spellEnd"/>
      <w:r w:rsidRPr="00786071">
        <w:rPr>
          <w:b/>
          <w:bCs/>
          <w:sz w:val="22"/>
          <w:szCs w:val="22"/>
        </w:rPr>
        <w:t xml:space="preserve"> </w:t>
      </w:r>
      <w:proofErr w:type="spellStart"/>
      <w:r w:rsidRPr="00786071">
        <w:rPr>
          <w:b/>
          <w:bCs/>
          <w:sz w:val="22"/>
          <w:szCs w:val="22"/>
        </w:rPr>
        <w:t>upotrebe</w:t>
      </w:r>
      <w:proofErr w:type="spellEnd"/>
    </w:p>
    <w:p w14:paraId="4845DF56" w14:textId="77777777" w:rsidR="0072020E" w:rsidRDefault="0072020E" w:rsidP="001D23DB">
      <w:pPr>
        <w:tabs>
          <w:tab w:val="left" w:pos="540"/>
          <w:tab w:val="left" w:pos="569"/>
        </w:tabs>
        <w:jc w:val="both"/>
        <w:rPr>
          <w:bCs/>
          <w:sz w:val="22"/>
          <w:szCs w:val="22"/>
        </w:rPr>
      </w:pPr>
    </w:p>
    <w:p w14:paraId="3B95C301" w14:textId="77777777" w:rsidR="00701477" w:rsidRPr="00701477" w:rsidRDefault="00701477" w:rsidP="001D23DB">
      <w:pPr>
        <w:tabs>
          <w:tab w:val="left" w:pos="540"/>
          <w:tab w:val="left" w:pos="569"/>
        </w:tabs>
        <w:jc w:val="both"/>
        <w:rPr>
          <w:bCs/>
          <w:sz w:val="22"/>
          <w:szCs w:val="22"/>
        </w:rPr>
      </w:pPr>
      <w:r w:rsidRPr="00701477">
        <w:rPr>
          <w:bCs/>
          <w:sz w:val="22"/>
          <w:szCs w:val="22"/>
        </w:rPr>
        <w:t xml:space="preserve">30 </w:t>
      </w:r>
      <w:proofErr w:type="spellStart"/>
      <w:r w:rsidRPr="00701477">
        <w:rPr>
          <w:bCs/>
          <w:sz w:val="22"/>
          <w:szCs w:val="22"/>
        </w:rPr>
        <w:t>mjeseci</w:t>
      </w:r>
      <w:proofErr w:type="spellEnd"/>
      <w:r w:rsidRPr="00701477">
        <w:rPr>
          <w:bCs/>
          <w:sz w:val="22"/>
          <w:szCs w:val="22"/>
        </w:rPr>
        <w:t>.</w:t>
      </w:r>
    </w:p>
    <w:p w14:paraId="7B66D241" w14:textId="77777777" w:rsidR="00701477" w:rsidRPr="00701477" w:rsidRDefault="00701477" w:rsidP="001D23DB">
      <w:pPr>
        <w:tabs>
          <w:tab w:val="left" w:pos="540"/>
          <w:tab w:val="left" w:pos="569"/>
        </w:tabs>
        <w:jc w:val="both"/>
        <w:rPr>
          <w:bCs/>
          <w:sz w:val="22"/>
          <w:szCs w:val="22"/>
        </w:rPr>
      </w:pPr>
    </w:p>
    <w:p w14:paraId="329D0019" w14:textId="274A62D2" w:rsidR="00701477" w:rsidRPr="00701477" w:rsidRDefault="00701477" w:rsidP="001D23DB">
      <w:pPr>
        <w:tabs>
          <w:tab w:val="left" w:pos="540"/>
          <w:tab w:val="left" w:pos="569"/>
        </w:tabs>
        <w:jc w:val="both"/>
        <w:rPr>
          <w:bCs/>
          <w:sz w:val="22"/>
          <w:szCs w:val="22"/>
          <w:u w:val="single"/>
        </w:rPr>
      </w:pPr>
      <w:r w:rsidRPr="003F4415">
        <w:rPr>
          <w:sz w:val="22"/>
          <w:szCs w:val="22"/>
          <w:u w:val="single"/>
          <w:lang w:val="pl-PL"/>
        </w:rPr>
        <w:t>Fiasp FlexTouch, 100 jedinica/m</w:t>
      </w:r>
      <w:r w:rsidR="00F74A6F">
        <w:rPr>
          <w:sz w:val="22"/>
          <w:szCs w:val="22"/>
          <w:u w:val="single"/>
          <w:lang w:val="pl-PL"/>
        </w:rPr>
        <w:t>l</w:t>
      </w:r>
      <w:r w:rsidRPr="003F4415">
        <w:rPr>
          <w:sz w:val="22"/>
          <w:szCs w:val="22"/>
          <w:u w:val="single"/>
          <w:lang w:val="pl-PL"/>
        </w:rPr>
        <w:t>, rastvor za injekciju u napunjenom injekcionom penu</w:t>
      </w:r>
    </w:p>
    <w:p w14:paraId="4C199BEB" w14:textId="1005C2F1" w:rsidR="00701477" w:rsidRPr="007B05AF" w:rsidRDefault="00701477" w:rsidP="001D23DB">
      <w:pPr>
        <w:tabs>
          <w:tab w:val="left" w:pos="540"/>
          <w:tab w:val="left" w:pos="569"/>
        </w:tabs>
        <w:jc w:val="both"/>
        <w:rPr>
          <w:bCs/>
          <w:sz w:val="22"/>
          <w:szCs w:val="22"/>
          <w:lang w:val="it-IT"/>
        </w:rPr>
      </w:pPr>
      <w:proofErr w:type="spellStart"/>
      <w:r w:rsidRPr="00701477">
        <w:rPr>
          <w:bCs/>
          <w:sz w:val="22"/>
          <w:szCs w:val="22"/>
        </w:rPr>
        <w:t>Nakon</w:t>
      </w:r>
      <w:proofErr w:type="spellEnd"/>
      <w:r w:rsidRPr="00701477">
        <w:rPr>
          <w:bCs/>
          <w:sz w:val="22"/>
          <w:szCs w:val="22"/>
        </w:rPr>
        <w:t xml:space="preserve"> </w:t>
      </w:r>
      <w:proofErr w:type="spellStart"/>
      <w:r w:rsidRPr="00701477">
        <w:rPr>
          <w:bCs/>
          <w:sz w:val="22"/>
          <w:szCs w:val="22"/>
        </w:rPr>
        <w:t>prvog</w:t>
      </w:r>
      <w:proofErr w:type="spellEnd"/>
      <w:r w:rsidRPr="00701477">
        <w:rPr>
          <w:bCs/>
          <w:sz w:val="22"/>
          <w:szCs w:val="22"/>
        </w:rPr>
        <w:t xml:space="preserve"> </w:t>
      </w:r>
      <w:proofErr w:type="spellStart"/>
      <w:r w:rsidRPr="00701477">
        <w:rPr>
          <w:bCs/>
          <w:sz w:val="22"/>
          <w:szCs w:val="22"/>
        </w:rPr>
        <w:t>otvaranja</w:t>
      </w:r>
      <w:proofErr w:type="spellEnd"/>
      <w:r w:rsidRPr="00701477">
        <w:rPr>
          <w:bCs/>
          <w:sz w:val="22"/>
          <w:szCs w:val="22"/>
        </w:rPr>
        <w:t xml:space="preserve"> </w:t>
      </w:r>
      <w:proofErr w:type="spellStart"/>
      <w:r w:rsidRPr="00701477">
        <w:rPr>
          <w:bCs/>
          <w:sz w:val="22"/>
          <w:szCs w:val="22"/>
        </w:rPr>
        <w:t>ili</w:t>
      </w:r>
      <w:proofErr w:type="spellEnd"/>
      <w:r w:rsidRPr="00701477">
        <w:rPr>
          <w:bCs/>
          <w:sz w:val="22"/>
          <w:szCs w:val="22"/>
        </w:rPr>
        <w:t xml:space="preserve"> </w:t>
      </w:r>
      <w:proofErr w:type="spellStart"/>
      <w:r w:rsidRPr="00701477">
        <w:rPr>
          <w:bCs/>
          <w:sz w:val="22"/>
          <w:szCs w:val="22"/>
        </w:rPr>
        <w:t>kad</w:t>
      </w:r>
      <w:proofErr w:type="spellEnd"/>
      <w:r w:rsidRPr="00701477">
        <w:rPr>
          <w:bCs/>
          <w:sz w:val="22"/>
          <w:szCs w:val="22"/>
        </w:rPr>
        <w:t xml:space="preserve"> se </w:t>
      </w:r>
      <w:proofErr w:type="spellStart"/>
      <w:r w:rsidRPr="00701477">
        <w:rPr>
          <w:bCs/>
          <w:sz w:val="22"/>
          <w:szCs w:val="22"/>
        </w:rPr>
        <w:t>nosi</w:t>
      </w:r>
      <w:proofErr w:type="spellEnd"/>
      <w:r w:rsidRPr="00701477">
        <w:rPr>
          <w:bCs/>
          <w:sz w:val="22"/>
          <w:szCs w:val="22"/>
        </w:rPr>
        <w:t xml:space="preserve"> </w:t>
      </w:r>
      <w:proofErr w:type="spellStart"/>
      <w:r w:rsidRPr="00701477">
        <w:rPr>
          <w:bCs/>
          <w:sz w:val="22"/>
          <w:szCs w:val="22"/>
        </w:rPr>
        <w:t>kao</w:t>
      </w:r>
      <w:proofErr w:type="spellEnd"/>
      <w:r w:rsidRPr="00701477">
        <w:rPr>
          <w:bCs/>
          <w:sz w:val="22"/>
          <w:szCs w:val="22"/>
        </w:rPr>
        <w:t xml:space="preserve"> </w:t>
      </w:r>
      <w:proofErr w:type="spellStart"/>
      <w:r w:rsidRPr="00701477">
        <w:rPr>
          <w:bCs/>
          <w:sz w:val="22"/>
          <w:szCs w:val="22"/>
        </w:rPr>
        <w:t>rezervni</w:t>
      </w:r>
      <w:proofErr w:type="spellEnd"/>
      <w:r w:rsidRPr="00701477">
        <w:rPr>
          <w:bCs/>
          <w:sz w:val="22"/>
          <w:szCs w:val="22"/>
        </w:rPr>
        <w:t xml:space="preserve">, </w:t>
      </w:r>
      <w:proofErr w:type="spellStart"/>
      <w:r w:rsidRPr="00701477">
        <w:rPr>
          <w:bCs/>
          <w:sz w:val="22"/>
          <w:szCs w:val="22"/>
        </w:rPr>
        <w:t>lijek</w:t>
      </w:r>
      <w:proofErr w:type="spellEnd"/>
      <w:r w:rsidRPr="00701477">
        <w:rPr>
          <w:bCs/>
          <w:sz w:val="22"/>
          <w:szCs w:val="22"/>
        </w:rPr>
        <w:t xml:space="preserve"> se </w:t>
      </w:r>
      <w:proofErr w:type="spellStart"/>
      <w:r w:rsidRPr="00701477">
        <w:rPr>
          <w:bCs/>
          <w:sz w:val="22"/>
          <w:szCs w:val="22"/>
        </w:rPr>
        <w:t>može</w:t>
      </w:r>
      <w:proofErr w:type="spellEnd"/>
      <w:r w:rsidRPr="00701477">
        <w:rPr>
          <w:bCs/>
          <w:sz w:val="22"/>
          <w:szCs w:val="22"/>
        </w:rPr>
        <w:t xml:space="preserve"> </w:t>
      </w:r>
      <w:proofErr w:type="spellStart"/>
      <w:r w:rsidRPr="00701477">
        <w:rPr>
          <w:bCs/>
          <w:sz w:val="22"/>
          <w:szCs w:val="22"/>
        </w:rPr>
        <w:t>čuvati</w:t>
      </w:r>
      <w:proofErr w:type="spellEnd"/>
      <w:r w:rsidRPr="00701477">
        <w:rPr>
          <w:bCs/>
          <w:sz w:val="22"/>
          <w:szCs w:val="22"/>
        </w:rPr>
        <w:t xml:space="preserve"> </w:t>
      </w:r>
      <w:proofErr w:type="spellStart"/>
      <w:r w:rsidRPr="00701477">
        <w:rPr>
          <w:bCs/>
          <w:sz w:val="22"/>
          <w:szCs w:val="22"/>
        </w:rPr>
        <w:t>najviše</w:t>
      </w:r>
      <w:proofErr w:type="spellEnd"/>
      <w:r w:rsidRPr="00701477">
        <w:rPr>
          <w:bCs/>
          <w:sz w:val="22"/>
          <w:szCs w:val="22"/>
        </w:rPr>
        <w:t xml:space="preserve"> 4 </w:t>
      </w:r>
      <w:proofErr w:type="spellStart"/>
      <w:r w:rsidRPr="00701477">
        <w:rPr>
          <w:bCs/>
          <w:sz w:val="22"/>
          <w:szCs w:val="22"/>
        </w:rPr>
        <w:t>nedjelje</w:t>
      </w:r>
      <w:proofErr w:type="spellEnd"/>
      <w:r w:rsidRPr="00701477">
        <w:rPr>
          <w:bCs/>
          <w:sz w:val="22"/>
          <w:szCs w:val="22"/>
        </w:rPr>
        <w:t xml:space="preserve">. </w:t>
      </w:r>
      <w:r w:rsidRPr="00883438">
        <w:rPr>
          <w:bCs/>
          <w:sz w:val="22"/>
          <w:szCs w:val="22"/>
          <w:lang w:val="it-IT"/>
        </w:rPr>
        <w:t xml:space="preserve">Ne </w:t>
      </w:r>
      <w:proofErr w:type="spellStart"/>
      <w:r w:rsidRPr="00883438">
        <w:rPr>
          <w:bCs/>
          <w:sz w:val="22"/>
          <w:szCs w:val="22"/>
          <w:lang w:val="it-IT"/>
        </w:rPr>
        <w:t>čuvati</w:t>
      </w:r>
      <w:proofErr w:type="spellEnd"/>
      <w:r w:rsidRPr="00883438">
        <w:rPr>
          <w:bCs/>
          <w:sz w:val="22"/>
          <w:szCs w:val="22"/>
          <w:lang w:val="it-IT"/>
        </w:rPr>
        <w:t xml:space="preserve"> </w:t>
      </w:r>
      <w:proofErr w:type="spellStart"/>
      <w:r w:rsidRPr="00883438">
        <w:rPr>
          <w:bCs/>
          <w:sz w:val="22"/>
          <w:szCs w:val="22"/>
          <w:lang w:val="it-IT"/>
        </w:rPr>
        <w:t>na</w:t>
      </w:r>
      <w:proofErr w:type="spellEnd"/>
      <w:r w:rsidRPr="00883438">
        <w:rPr>
          <w:bCs/>
          <w:sz w:val="22"/>
          <w:szCs w:val="22"/>
          <w:lang w:val="it-IT"/>
        </w:rPr>
        <w:t xml:space="preserve"> </w:t>
      </w:r>
      <w:proofErr w:type="spellStart"/>
      <w:r w:rsidRPr="00883438">
        <w:rPr>
          <w:bCs/>
          <w:sz w:val="22"/>
          <w:szCs w:val="22"/>
          <w:lang w:val="it-IT"/>
        </w:rPr>
        <w:t>temperaturi</w:t>
      </w:r>
      <w:proofErr w:type="spellEnd"/>
      <w:r w:rsidRPr="00883438">
        <w:rPr>
          <w:bCs/>
          <w:sz w:val="22"/>
          <w:szCs w:val="22"/>
          <w:lang w:val="it-IT"/>
        </w:rPr>
        <w:t xml:space="preserve"> </w:t>
      </w:r>
      <w:proofErr w:type="spellStart"/>
      <w:r w:rsidRPr="00883438">
        <w:rPr>
          <w:bCs/>
          <w:sz w:val="22"/>
          <w:szCs w:val="22"/>
          <w:lang w:val="it-IT"/>
        </w:rPr>
        <w:t>iznad</w:t>
      </w:r>
      <w:proofErr w:type="spellEnd"/>
      <w:r w:rsidRPr="00883438">
        <w:rPr>
          <w:bCs/>
          <w:sz w:val="22"/>
          <w:szCs w:val="22"/>
          <w:lang w:val="it-IT"/>
        </w:rPr>
        <w:t xml:space="preserve"> 30°C. </w:t>
      </w:r>
      <w:proofErr w:type="spellStart"/>
      <w:r w:rsidRPr="00883438">
        <w:rPr>
          <w:bCs/>
          <w:sz w:val="22"/>
          <w:szCs w:val="22"/>
          <w:lang w:val="it-IT"/>
        </w:rPr>
        <w:t>Može</w:t>
      </w:r>
      <w:proofErr w:type="spellEnd"/>
      <w:r w:rsidRPr="00883438">
        <w:rPr>
          <w:bCs/>
          <w:sz w:val="22"/>
          <w:szCs w:val="22"/>
          <w:lang w:val="it-IT"/>
        </w:rPr>
        <w:t xml:space="preserve"> se </w:t>
      </w:r>
      <w:proofErr w:type="spellStart"/>
      <w:r w:rsidRPr="00883438">
        <w:rPr>
          <w:bCs/>
          <w:sz w:val="22"/>
          <w:szCs w:val="22"/>
          <w:lang w:val="it-IT"/>
        </w:rPr>
        <w:t>čuvati</w:t>
      </w:r>
      <w:proofErr w:type="spellEnd"/>
      <w:r w:rsidRPr="00883438">
        <w:rPr>
          <w:bCs/>
          <w:sz w:val="22"/>
          <w:szCs w:val="22"/>
          <w:lang w:val="it-IT"/>
        </w:rPr>
        <w:t xml:space="preserve"> u </w:t>
      </w:r>
      <w:proofErr w:type="spellStart"/>
      <w:r w:rsidRPr="00883438">
        <w:rPr>
          <w:bCs/>
          <w:sz w:val="22"/>
          <w:szCs w:val="22"/>
          <w:lang w:val="it-IT"/>
        </w:rPr>
        <w:t>frižideru</w:t>
      </w:r>
      <w:proofErr w:type="spellEnd"/>
      <w:r w:rsidRPr="00883438">
        <w:rPr>
          <w:bCs/>
          <w:sz w:val="22"/>
          <w:szCs w:val="22"/>
          <w:lang w:val="it-IT"/>
        </w:rPr>
        <w:t xml:space="preserve"> (2°C–8°C). </w:t>
      </w:r>
      <w:r w:rsidRPr="007B05AF">
        <w:rPr>
          <w:bCs/>
          <w:sz w:val="22"/>
          <w:szCs w:val="22"/>
          <w:lang w:val="it-IT"/>
        </w:rPr>
        <w:t xml:space="preserve">Ne </w:t>
      </w:r>
      <w:proofErr w:type="spellStart"/>
      <w:r w:rsidRPr="007B05AF">
        <w:rPr>
          <w:bCs/>
          <w:sz w:val="22"/>
          <w:szCs w:val="22"/>
          <w:lang w:val="it-IT"/>
        </w:rPr>
        <w:t>zamrzavati</w:t>
      </w:r>
      <w:proofErr w:type="spellEnd"/>
      <w:r w:rsidRPr="007B05AF">
        <w:rPr>
          <w:bCs/>
          <w:sz w:val="22"/>
          <w:szCs w:val="22"/>
          <w:lang w:val="it-IT"/>
        </w:rPr>
        <w:t xml:space="preserve">. Pen </w:t>
      </w:r>
      <w:proofErr w:type="spellStart"/>
      <w:r w:rsidRPr="007B05AF">
        <w:rPr>
          <w:bCs/>
          <w:sz w:val="22"/>
          <w:szCs w:val="22"/>
          <w:lang w:val="it-IT"/>
        </w:rPr>
        <w:t>čuvati</w:t>
      </w:r>
      <w:proofErr w:type="spellEnd"/>
      <w:r w:rsidRPr="007B05AF">
        <w:rPr>
          <w:bCs/>
          <w:sz w:val="22"/>
          <w:szCs w:val="22"/>
          <w:lang w:val="it-IT"/>
        </w:rPr>
        <w:t xml:space="preserve"> sa </w:t>
      </w:r>
      <w:proofErr w:type="spellStart"/>
      <w:r w:rsidRPr="007B05AF">
        <w:rPr>
          <w:bCs/>
          <w:sz w:val="22"/>
          <w:szCs w:val="22"/>
          <w:lang w:val="it-IT"/>
        </w:rPr>
        <w:t>postavljenim</w:t>
      </w:r>
      <w:proofErr w:type="spellEnd"/>
      <w:r w:rsidRPr="007B05AF">
        <w:rPr>
          <w:bCs/>
          <w:sz w:val="22"/>
          <w:szCs w:val="22"/>
          <w:lang w:val="it-IT"/>
        </w:rPr>
        <w:t xml:space="preserve"> </w:t>
      </w:r>
      <w:proofErr w:type="spellStart"/>
      <w:r w:rsidR="00C44F28" w:rsidRPr="007B05AF">
        <w:rPr>
          <w:bCs/>
          <w:sz w:val="22"/>
          <w:szCs w:val="22"/>
          <w:lang w:val="it-IT"/>
        </w:rPr>
        <w:t>zatvaračem</w:t>
      </w:r>
      <w:proofErr w:type="spellEnd"/>
      <w:r w:rsidRPr="007B05AF">
        <w:rPr>
          <w:bCs/>
          <w:sz w:val="22"/>
          <w:szCs w:val="22"/>
          <w:lang w:val="it-IT"/>
        </w:rPr>
        <w:t xml:space="preserve"> u </w:t>
      </w:r>
      <w:proofErr w:type="spellStart"/>
      <w:r w:rsidRPr="007B05AF">
        <w:rPr>
          <w:bCs/>
          <w:sz w:val="22"/>
          <w:szCs w:val="22"/>
          <w:lang w:val="it-IT"/>
        </w:rPr>
        <w:t>cilju</w:t>
      </w:r>
      <w:proofErr w:type="spellEnd"/>
      <w:r w:rsidRPr="007B05AF">
        <w:rPr>
          <w:bCs/>
          <w:sz w:val="22"/>
          <w:szCs w:val="22"/>
          <w:lang w:val="it-IT"/>
        </w:rPr>
        <w:t xml:space="preserve"> </w:t>
      </w:r>
      <w:proofErr w:type="spellStart"/>
      <w:r w:rsidRPr="007B05AF">
        <w:rPr>
          <w:bCs/>
          <w:sz w:val="22"/>
          <w:szCs w:val="22"/>
          <w:lang w:val="it-IT"/>
        </w:rPr>
        <w:t>zaštite</w:t>
      </w:r>
      <w:proofErr w:type="spellEnd"/>
      <w:r w:rsidRPr="007B05AF">
        <w:rPr>
          <w:bCs/>
          <w:sz w:val="22"/>
          <w:szCs w:val="22"/>
          <w:lang w:val="it-IT"/>
        </w:rPr>
        <w:t xml:space="preserve"> od </w:t>
      </w:r>
      <w:proofErr w:type="spellStart"/>
      <w:r w:rsidRPr="007B05AF">
        <w:rPr>
          <w:bCs/>
          <w:sz w:val="22"/>
          <w:szCs w:val="22"/>
          <w:lang w:val="it-IT"/>
        </w:rPr>
        <w:t>svjetlosti</w:t>
      </w:r>
      <w:proofErr w:type="spellEnd"/>
      <w:r w:rsidRPr="007B05AF">
        <w:rPr>
          <w:bCs/>
          <w:sz w:val="22"/>
          <w:szCs w:val="22"/>
          <w:lang w:val="it-IT"/>
        </w:rPr>
        <w:t>.</w:t>
      </w:r>
    </w:p>
    <w:p w14:paraId="0D7F623D" w14:textId="77777777" w:rsidR="00701477" w:rsidRPr="007E1D36" w:rsidRDefault="00701477" w:rsidP="001D23DB">
      <w:pPr>
        <w:jc w:val="both"/>
        <w:rPr>
          <w:sz w:val="22"/>
          <w:szCs w:val="22"/>
          <w:lang w:val="pl-PL"/>
        </w:rPr>
      </w:pPr>
    </w:p>
    <w:p w14:paraId="6AE865CC" w14:textId="59FCC6FC" w:rsidR="00701477" w:rsidRPr="003F4415" w:rsidRDefault="00701477" w:rsidP="001D23DB">
      <w:pPr>
        <w:jc w:val="both"/>
        <w:rPr>
          <w:bCs/>
          <w:iCs/>
          <w:sz w:val="22"/>
          <w:szCs w:val="22"/>
          <w:u w:val="single"/>
          <w:lang w:val="sr-Latn-CS"/>
        </w:rPr>
      </w:pPr>
      <w:r w:rsidRPr="003F4415">
        <w:rPr>
          <w:bCs/>
          <w:iCs/>
          <w:sz w:val="22"/>
          <w:szCs w:val="22"/>
          <w:u w:val="single"/>
          <w:lang w:val="sr-Latn-CS"/>
        </w:rPr>
        <w:t xml:space="preserve">Fiasp Penfill, 100 </w:t>
      </w:r>
      <w:r w:rsidRPr="003F4415">
        <w:rPr>
          <w:sz w:val="22"/>
          <w:szCs w:val="22"/>
          <w:u w:val="single"/>
          <w:lang w:val="pl-PL"/>
        </w:rPr>
        <w:t>jedinica</w:t>
      </w:r>
      <w:r w:rsidRPr="003F4415">
        <w:rPr>
          <w:bCs/>
          <w:iCs/>
          <w:sz w:val="22"/>
          <w:szCs w:val="22"/>
          <w:u w:val="single"/>
          <w:lang w:val="sr-Latn-CS"/>
        </w:rPr>
        <w:t>/m</w:t>
      </w:r>
      <w:r w:rsidR="00F74A6F">
        <w:rPr>
          <w:bCs/>
          <w:iCs/>
          <w:sz w:val="22"/>
          <w:szCs w:val="22"/>
          <w:u w:val="single"/>
          <w:lang w:val="sr-Latn-CS"/>
        </w:rPr>
        <w:t>l</w:t>
      </w:r>
      <w:r w:rsidRPr="003F4415">
        <w:rPr>
          <w:bCs/>
          <w:iCs/>
          <w:sz w:val="22"/>
          <w:szCs w:val="22"/>
          <w:u w:val="single"/>
          <w:lang w:val="sr-Latn-CS"/>
        </w:rPr>
        <w:t>, rastvor za injekciju u ulošku</w:t>
      </w:r>
    </w:p>
    <w:p w14:paraId="70962051" w14:textId="591E118B" w:rsidR="00701477" w:rsidRDefault="00701477" w:rsidP="001D23DB">
      <w:pPr>
        <w:jc w:val="both"/>
        <w:rPr>
          <w:sz w:val="22"/>
          <w:szCs w:val="22"/>
          <w:lang w:val="pl-PL"/>
        </w:rPr>
      </w:pPr>
      <w:r w:rsidRPr="00C46C9C">
        <w:rPr>
          <w:sz w:val="22"/>
          <w:szCs w:val="22"/>
          <w:lang w:val="pl-PL"/>
        </w:rPr>
        <w:t>Nakon</w:t>
      </w:r>
      <w:r w:rsidRPr="00732ABF">
        <w:rPr>
          <w:sz w:val="22"/>
          <w:szCs w:val="22"/>
          <w:lang w:val="sr-Latn-CS"/>
        </w:rPr>
        <w:t xml:space="preserve"> </w:t>
      </w:r>
      <w:r w:rsidRPr="00C46C9C">
        <w:rPr>
          <w:sz w:val="22"/>
          <w:szCs w:val="22"/>
          <w:lang w:val="pl-PL"/>
        </w:rPr>
        <w:t>prvog</w:t>
      </w:r>
      <w:r w:rsidRPr="00732ABF">
        <w:rPr>
          <w:sz w:val="22"/>
          <w:szCs w:val="22"/>
          <w:lang w:val="sr-Latn-CS"/>
        </w:rPr>
        <w:t xml:space="preserve"> </w:t>
      </w:r>
      <w:r w:rsidRPr="00C46C9C">
        <w:rPr>
          <w:sz w:val="22"/>
          <w:szCs w:val="22"/>
          <w:lang w:val="pl-PL"/>
        </w:rPr>
        <w:t>otvaranja</w:t>
      </w:r>
      <w:r w:rsidRPr="00732ABF">
        <w:rPr>
          <w:sz w:val="22"/>
          <w:szCs w:val="22"/>
          <w:lang w:val="sr-Latn-CS"/>
        </w:rPr>
        <w:t xml:space="preserve"> </w:t>
      </w:r>
      <w:r w:rsidRPr="00C46C9C">
        <w:rPr>
          <w:sz w:val="22"/>
          <w:szCs w:val="22"/>
          <w:lang w:val="pl-PL"/>
        </w:rPr>
        <w:t>ili</w:t>
      </w:r>
      <w:r w:rsidRPr="00732ABF">
        <w:rPr>
          <w:sz w:val="22"/>
          <w:szCs w:val="22"/>
          <w:lang w:val="sr-Latn-CS"/>
        </w:rPr>
        <w:t xml:space="preserve"> </w:t>
      </w:r>
      <w:r w:rsidRPr="00C46C9C">
        <w:rPr>
          <w:sz w:val="22"/>
          <w:szCs w:val="22"/>
          <w:lang w:val="pl-PL"/>
        </w:rPr>
        <w:t>kad</w:t>
      </w:r>
      <w:r w:rsidRPr="00732ABF">
        <w:rPr>
          <w:sz w:val="22"/>
          <w:szCs w:val="22"/>
          <w:lang w:val="sr-Latn-CS"/>
        </w:rPr>
        <w:t xml:space="preserve"> </w:t>
      </w:r>
      <w:r w:rsidRPr="00C46C9C">
        <w:rPr>
          <w:sz w:val="22"/>
          <w:szCs w:val="22"/>
          <w:lang w:val="pl-PL"/>
        </w:rPr>
        <w:t>se</w:t>
      </w:r>
      <w:r w:rsidRPr="00732ABF">
        <w:rPr>
          <w:sz w:val="22"/>
          <w:szCs w:val="22"/>
          <w:lang w:val="sr-Latn-CS"/>
        </w:rPr>
        <w:t xml:space="preserve"> </w:t>
      </w:r>
      <w:r w:rsidRPr="00C46C9C">
        <w:rPr>
          <w:sz w:val="22"/>
          <w:szCs w:val="22"/>
          <w:lang w:val="pl-PL"/>
        </w:rPr>
        <w:t>nosi</w:t>
      </w:r>
      <w:r w:rsidRPr="00732ABF">
        <w:rPr>
          <w:sz w:val="22"/>
          <w:szCs w:val="22"/>
          <w:lang w:val="sr-Latn-CS"/>
        </w:rPr>
        <w:t xml:space="preserve"> </w:t>
      </w:r>
      <w:r w:rsidRPr="00C46C9C">
        <w:rPr>
          <w:sz w:val="22"/>
          <w:szCs w:val="22"/>
          <w:lang w:val="pl-PL"/>
        </w:rPr>
        <w:t>kao</w:t>
      </w:r>
      <w:r w:rsidRPr="00732ABF">
        <w:rPr>
          <w:sz w:val="22"/>
          <w:szCs w:val="22"/>
          <w:lang w:val="sr-Latn-CS"/>
        </w:rPr>
        <w:t xml:space="preserve"> </w:t>
      </w:r>
      <w:r w:rsidRPr="00C46C9C">
        <w:rPr>
          <w:sz w:val="22"/>
          <w:szCs w:val="22"/>
          <w:lang w:val="pl-PL"/>
        </w:rPr>
        <w:t>rezervni</w:t>
      </w:r>
      <w:r w:rsidRPr="00732ABF">
        <w:rPr>
          <w:sz w:val="22"/>
          <w:szCs w:val="22"/>
          <w:lang w:val="sr-Latn-CS"/>
        </w:rPr>
        <w:t xml:space="preserve">, </w:t>
      </w:r>
      <w:r w:rsidRPr="00C46C9C">
        <w:rPr>
          <w:sz w:val="22"/>
          <w:szCs w:val="22"/>
          <w:lang w:val="pl-PL"/>
        </w:rPr>
        <w:t>lijek</w:t>
      </w:r>
      <w:r w:rsidRPr="00732ABF">
        <w:rPr>
          <w:sz w:val="22"/>
          <w:szCs w:val="22"/>
          <w:lang w:val="sr-Latn-CS"/>
        </w:rPr>
        <w:t xml:space="preserve"> </w:t>
      </w:r>
      <w:r w:rsidRPr="00C46C9C">
        <w:rPr>
          <w:sz w:val="22"/>
          <w:szCs w:val="22"/>
          <w:lang w:val="pl-PL"/>
        </w:rPr>
        <w:t>se</w:t>
      </w:r>
      <w:r w:rsidRPr="00732ABF">
        <w:rPr>
          <w:sz w:val="22"/>
          <w:szCs w:val="22"/>
          <w:lang w:val="sr-Latn-CS"/>
        </w:rPr>
        <w:t xml:space="preserve"> </w:t>
      </w:r>
      <w:r w:rsidRPr="00C46C9C">
        <w:rPr>
          <w:sz w:val="22"/>
          <w:szCs w:val="22"/>
          <w:lang w:val="pl-PL"/>
        </w:rPr>
        <w:t>mo</w:t>
      </w:r>
      <w:r w:rsidRPr="00732ABF">
        <w:rPr>
          <w:sz w:val="22"/>
          <w:szCs w:val="22"/>
          <w:lang w:val="sr-Latn-CS"/>
        </w:rPr>
        <w:t>ž</w:t>
      </w:r>
      <w:r w:rsidRPr="00C46C9C">
        <w:rPr>
          <w:sz w:val="22"/>
          <w:szCs w:val="22"/>
          <w:lang w:val="pl-PL"/>
        </w:rPr>
        <w:t>e</w:t>
      </w:r>
      <w:r w:rsidRPr="00732ABF">
        <w:rPr>
          <w:sz w:val="22"/>
          <w:szCs w:val="22"/>
          <w:lang w:val="sr-Latn-CS"/>
        </w:rPr>
        <w:t xml:space="preserve"> č</w:t>
      </w:r>
      <w:r w:rsidRPr="00C46C9C">
        <w:rPr>
          <w:sz w:val="22"/>
          <w:szCs w:val="22"/>
          <w:lang w:val="pl-PL"/>
        </w:rPr>
        <w:t>uvati</w:t>
      </w:r>
      <w:r w:rsidRPr="00732ABF">
        <w:rPr>
          <w:sz w:val="22"/>
          <w:szCs w:val="22"/>
          <w:lang w:val="sr-Latn-CS"/>
        </w:rPr>
        <w:t xml:space="preserve"> </w:t>
      </w:r>
      <w:r w:rsidRPr="00C46C9C">
        <w:rPr>
          <w:sz w:val="22"/>
          <w:szCs w:val="22"/>
          <w:lang w:val="pl-PL"/>
        </w:rPr>
        <w:t>najvi</w:t>
      </w:r>
      <w:r w:rsidRPr="00732ABF">
        <w:rPr>
          <w:sz w:val="22"/>
          <w:szCs w:val="22"/>
          <w:lang w:val="sr-Latn-CS"/>
        </w:rPr>
        <w:t>š</w:t>
      </w:r>
      <w:r w:rsidRPr="00C46C9C">
        <w:rPr>
          <w:sz w:val="22"/>
          <w:szCs w:val="22"/>
          <w:lang w:val="pl-PL"/>
        </w:rPr>
        <w:t>e</w:t>
      </w:r>
      <w:r w:rsidRPr="00732ABF">
        <w:rPr>
          <w:sz w:val="22"/>
          <w:szCs w:val="22"/>
          <w:lang w:val="sr-Latn-CS"/>
        </w:rPr>
        <w:t xml:space="preserve"> 4 </w:t>
      </w:r>
      <w:r w:rsidRPr="00C46C9C">
        <w:rPr>
          <w:sz w:val="22"/>
          <w:szCs w:val="22"/>
          <w:lang w:val="pl-PL"/>
        </w:rPr>
        <w:t>nedjelje</w:t>
      </w:r>
      <w:r w:rsidRPr="00732ABF">
        <w:rPr>
          <w:sz w:val="22"/>
          <w:szCs w:val="22"/>
          <w:lang w:val="sr-Latn-CS"/>
        </w:rPr>
        <w:t>.</w:t>
      </w:r>
      <w:r w:rsidRPr="00883438">
        <w:rPr>
          <w:sz w:val="22"/>
          <w:szCs w:val="22"/>
          <w:lang w:val="sr-Latn-CS"/>
        </w:rPr>
        <w:t xml:space="preserve"> </w:t>
      </w:r>
      <w:r w:rsidRPr="00732ABF">
        <w:rPr>
          <w:sz w:val="22"/>
          <w:szCs w:val="22"/>
          <w:lang w:val="it-IT"/>
        </w:rPr>
        <w:t xml:space="preserve">Ne </w:t>
      </w:r>
      <w:proofErr w:type="spellStart"/>
      <w:r w:rsidRPr="00732ABF">
        <w:rPr>
          <w:sz w:val="22"/>
          <w:szCs w:val="22"/>
          <w:lang w:val="it-IT"/>
        </w:rPr>
        <w:t>čuvati</w:t>
      </w:r>
      <w:proofErr w:type="spellEnd"/>
      <w:r w:rsidRPr="00732ABF">
        <w:rPr>
          <w:sz w:val="22"/>
          <w:szCs w:val="22"/>
          <w:lang w:val="it-IT"/>
        </w:rPr>
        <w:t xml:space="preserve"> </w:t>
      </w:r>
      <w:proofErr w:type="spellStart"/>
      <w:r w:rsidRPr="00732ABF">
        <w:rPr>
          <w:sz w:val="22"/>
          <w:szCs w:val="22"/>
          <w:lang w:val="it-IT"/>
        </w:rPr>
        <w:t>na</w:t>
      </w:r>
      <w:proofErr w:type="spellEnd"/>
      <w:r w:rsidRPr="00732ABF">
        <w:rPr>
          <w:sz w:val="22"/>
          <w:szCs w:val="22"/>
          <w:lang w:val="it-IT"/>
        </w:rPr>
        <w:t xml:space="preserve"> </w:t>
      </w:r>
      <w:proofErr w:type="spellStart"/>
      <w:r w:rsidRPr="00732ABF">
        <w:rPr>
          <w:sz w:val="22"/>
          <w:szCs w:val="22"/>
          <w:lang w:val="it-IT"/>
        </w:rPr>
        <w:t>temperaturi</w:t>
      </w:r>
      <w:proofErr w:type="spellEnd"/>
      <w:r w:rsidRPr="00732ABF">
        <w:rPr>
          <w:sz w:val="22"/>
          <w:szCs w:val="22"/>
          <w:lang w:val="it-IT"/>
        </w:rPr>
        <w:t xml:space="preserve"> </w:t>
      </w:r>
      <w:proofErr w:type="spellStart"/>
      <w:r w:rsidRPr="00732ABF">
        <w:rPr>
          <w:sz w:val="22"/>
          <w:szCs w:val="22"/>
          <w:lang w:val="it-IT"/>
        </w:rPr>
        <w:t>iznad</w:t>
      </w:r>
      <w:proofErr w:type="spellEnd"/>
      <w:r w:rsidRPr="00732ABF">
        <w:rPr>
          <w:sz w:val="22"/>
          <w:szCs w:val="22"/>
          <w:lang w:val="it-IT"/>
        </w:rPr>
        <w:t xml:space="preserve"> 30°C. Ne </w:t>
      </w:r>
      <w:proofErr w:type="spellStart"/>
      <w:r w:rsidRPr="00732ABF">
        <w:rPr>
          <w:sz w:val="22"/>
          <w:szCs w:val="22"/>
          <w:lang w:val="it-IT"/>
        </w:rPr>
        <w:t>odlagati</w:t>
      </w:r>
      <w:proofErr w:type="spellEnd"/>
      <w:r w:rsidRPr="00732ABF">
        <w:rPr>
          <w:sz w:val="22"/>
          <w:szCs w:val="22"/>
          <w:lang w:val="it-IT"/>
        </w:rPr>
        <w:t xml:space="preserve"> u </w:t>
      </w:r>
      <w:proofErr w:type="spellStart"/>
      <w:r w:rsidRPr="00732ABF">
        <w:rPr>
          <w:sz w:val="22"/>
          <w:szCs w:val="22"/>
          <w:lang w:val="it-IT"/>
        </w:rPr>
        <w:t>frižider</w:t>
      </w:r>
      <w:proofErr w:type="spellEnd"/>
      <w:r w:rsidRPr="00732ABF">
        <w:rPr>
          <w:sz w:val="22"/>
          <w:szCs w:val="22"/>
          <w:lang w:val="it-IT"/>
        </w:rPr>
        <w:t xml:space="preserve">. Ne </w:t>
      </w:r>
      <w:proofErr w:type="spellStart"/>
      <w:r w:rsidRPr="00732ABF">
        <w:rPr>
          <w:sz w:val="22"/>
          <w:szCs w:val="22"/>
          <w:lang w:val="it-IT"/>
        </w:rPr>
        <w:t>zamrzavati</w:t>
      </w:r>
      <w:proofErr w:type="spellEnd"/>
      <w:r w:rsidRPr="00732ABF">
        <w:rPr>
          <w:sz w:val="22"/>
          <w:szCs w:val="22"/>
          <w:lang w:val="it-IT"/>
        </w:rPr>
        <w:t xml:space="preserve">. </w:t>
      </w:r>
      <w:proofErr w:type="spellStart"/>
      <w:r w:rsidRPr="00732ABF">
        <w:rPr>
          <w:sz w:val="22"/>
          <w:szCs w:val="22"/>
          <w:lang w:val="it-IT"/>
        </w:rPr>
        <w:t>Ako</w:t>
      </w:r>
      <w:proofErr w:type="spellEnd"/>
      <w:r w:rsidRPr="00732ABF">
        <w:rPr>
          <w:sz w:val="22"/>
          <w:szCs w:val="22"/>
          <w:lang w:val="it-IT"/>
        </w:rPr>
        <w:t xml:space="preserve"> se </w:t>
      </w:r>
      <w:proofErr w:type="spellStart"/>
      <w:r w:rsidRPr="00732ABF">
        <w:rPr>
          <w:sz w:val="22"/>
          <w:szCs w:val="22"/>
          <w:lang w:val="it-IT"/>
        </w:rPr>
        <w:t>uložak</w:t>
      </w:r>
      <w:proofErr w:type="spellEnd"/>
      <w:r w:rsidRPr="00732ABF">
        <w:rPr>
          <w:sz w:val="22"/>
          <w:szCs w:val="22"/>
          <w:lang w:val="it-IT"/>
        </w:rPr>
        <w:t xml:space="preserve"> </w:t>
      </w:r>
      <w:proofErr w:type="spellStart"/>
      <w:r w:rsidRPr="00732ABF">
        <w:rPr>
          <w:sz w:val="22"/>
          <w:szCs w:val="22"/>
          <w:lang w:val="it-IT"/>
        </w:rPr>
        <w:t>nosi</w:t>
      </w:r>
      <w:proofErr w:type="spellEnd"/>
      <w:r w:rsidRPr="00732ABF">
        <w:rPr>
          <w:sz w:val="22"/>
          <w:szCs w:val="22"/>
          <w:lang w:val="it-IT"/>
        </w:rPr>
        <w:t xml:space="preserve"> </w:t>
      </w:r>
      <w:proofErr w:type="spellStart"/>
      <w:r w:rsidRPr="00732ABF">
        <w:rPr>
          <w:sz w:val="22"/>
          <w:szCs w:val="22"/>
          <w:lang w:val="it-IT"/>
        </w:rPr>
        <w:t>kao</w:t>
      </w:r>
      <w:proofErr w:type="spellEnd"/>
      <w:r w:rsidRPr="00732ABF">
        <w:rPr>
          <w:sz w:val="22"/>
          <w:szCs w:val="22"/>
          <w:lang w:val="it-IT"/>
        </w:rPr>
        <w:t xml:space="preserve"> </w:t>
      </w:r>
      <w:proofErr w:type="spellStart"/>
      <w:r w:rsidRPr="00732ABF">
        <w:rPr>
          <w:sz w:val="22"/>
          <w:szCs w:val="22"/>
          <w:lang w:val="it-IT"/>
        </w:rPr>
        <w:t>rezervni</w:t>
      </w:r>
      <w:proofErr w:type="spellEnd"/>
      <w:r w:rsidRPr="00732ABF">
        <w:rPr>
          <w:sz w:val="22"/>
          <w:szCs w:val="22"/>
          <w:lang w:val="it-IT"/>
        </w:rPr>
        <w:t xml:space="preserve"> i </w:t>
      </w:r>
      <w:proofErr w:type="spellStart"/>
      <w:r w:rsidRPr="00732ABF">
        <w:rPr>
          <w:sz w:val="22"/>
          <w:szCs w:val="22"/>
          <w:lang w:val="it-IT"/>
        </w:rPr>
        <w:t>nije</w:t>
      </w:r>
      <w:proofErr w:type="spellEnd"/>
      <w:r w:rsidRPr="00732ABF">
        <w:rPr>
          <w:sz w:val="22"/>
          <w:szCs w:val="22"/>
          <w:lang w:val="it-IT"/>
        </w:rPr>
        <w:t xml:space="preserve"> </w:t>
      </w:r>
      <w:proofErr w:type="spellStart"/>
      <w:r w:rsidRPr="00732ABF">
        <w:rPr>
          <w:sz w:val="22"/>
          <w:szCs w:val="22"/>
          <w:lang w:val="it-IT"/>
        </w:rPr>
        <w:t>iskorišćen</w:t>
      </w:r>
      <w:proofErr w:type="spellEnd"/>
      <w:r w:rsidRPr="00732ABF">
        <w:rPr>
          <w:sz w:val="22"/>
          <w:szCs w:val="22"/>
          <w:lang w:val="it-IT"/>
        </w:rPr>
        <w:t xml:space="preserve">, </w:t>
      </w:r>
      <w:proofErr w:type="spellStart"/>
      <w:r w:rsidRPr="00732ABF">
        <w:rPr>
          <w:sz w:val="22"/>
          <w:szCs w:val="22"/>
          <w:lang w:val="it-IT"/>
        </w:rPr>
        <w:t>uložak</w:t>
      </w:r>
      <w:proofErr w:type="spellEnd"/>
      <w:r w:rsidRPr="00732ABF">
        <w:rPr>
          <w:sz w:val="22"/>
          <w:szCs w:val="22"/>
          <w:lang w:val="it-IT"/>
        </w:rPr>
        <w:t xml:space="preserve"> </w:t>
      </w:r>
      <w:proofErr w:type="spellStart"/>
      <w:r w:rsidRPr="00732ABF">
        <w:rPr>
          <w:sz w:val="22"/>
          <w:szCs w:val="22"/>
          <w:lang w:val="it-IT"/>
        </w:rPr>
        <w:t>treba</w:t>
      </w:r>
      <w:proofErr w:type="spellEnd"/>
      <w:r w:rsidRPr="00732ABF">
        <w:rPr>
          <w:sz w:val="22"/>
          <w:szCs w:val="22"/>
          <w:lang w:val="it-IT"/>
        </w:rPr>
        <w:t xml:space="preserve"> </w:t>
      </w:r>
      <w:proofErr w:type="spellStart"/>
      <w:r w:rsidRPr="00732ABF">
        <w:rPr>
          <w:sz w:val="22"/>
          <w:szCs w:val="22"/>
          <w:lang w:val="it-IT"/>
        </w:rPr>
        <w:t>čuvati</w:t>
      </w:r>
      <w:proofErr w:type="spellEnd"/>
      <w:r w:rsidRPr="00732ABF">
        <w:rPr>
          <w:sz w:val="22"/>
          <w:szCs w:val="22"/>
          <w:lang w:val="it-IT"/>
        </w:rPr>
        <w:t xml:space="preserve"> u </w:t>
      </w:r>
      <w:r w:rsidRPr="003F4415">
        <w:rPr>
          <w:sz w:val="22"/>
          <w:szCs w:val="22"/>
          <w:lang w:val="pl-PL"/>
        </w:rPr>
        <w:t xml:space="preserve">spoljašnjem pakovanju (kartonskoj kutiji) </w:t>
      </w:r>
      <w:r w:rsidRPr="00732ABF">
        <w:rPr>
          <w:sz w:val="22"/>
          <w:szCs w:val="22"/>
          <w:lang w:val="it-IT"/>
        </w:rPr>
        <w:t xml:space="preserve">radi </w:t>
      </w:r>
      <w:proofErr w:type="spellStart"/>
      <w:r w:rsidRPr="00732ABF">
        <w:rPr>
          <w:sz w:val="22"/>
          <w:szCs w:val="22"/>
          <w:lang w:val="it-IT"/>
        </w:rPr>
        <w:t>zaštite</w:t>
      </w:r>
      <w:proofErr w:type="spellEnd"/>
      <w:r w:rsidRPr="00732ABF">
        <w:rPr>
          <w:sz w:val="22"/>
          <w:szCs w:val="22"/>
          <w:lang w:val="it-IT"/>
        </w:rPr>
        <w:t xml:space="preserve"> od </w:t>
      </w:r>
      <w:proofErr w:type="spellStart"/>
      <w:r w:rsidRPr="00732ABF">
        <w:rPr>
          <w:sz w:val="22"/>
          <w:szCs w:val="22"/>
          <w:lang w:val="it-IT"/>
        </w:rPr>
        <w:t>svjetlosti</w:t>
      </w:r>
      <w:proofErr w:type="spellEnd"/>
      <w:r w:rsidRPr="00732ABF">
        <w:rPr>
          <w:sz w:val="22"/>
          <w:szCs w:val="22"/>
          <w:lang w:val="it-IT"/>
        </w:rPr>
        <w:t>.</w:t>
      </w:r>
    </w:p>
    <w:p w14:paraId="4A62C221" w14:textId="77777777" w:rsidR="00701477" w:rsidRDefault="00701477" w:rsidP="001D23DB">
      <w:pPr>
        <w:jc w:val="both"/>
        <w:rPr>
          <w:sz w:val="22"/>
          <w:szCs w:val="22"/>
          <w:lang w:val="pl-PL"/>
        </w:rPr>
      </w:pPr>
    </w:p>
    <w:p w14:paraId="49BE4BD2" w14:textId="50C634EC" w:rsidR="00701477" w:rsidRPr="003F4415" w:rsidRDefault="00701477" w:rsidP="001D23DB">
      <w:pPr>
        <w:tabs>
          <w:tab w:val="left" w:pos="540"/>
          <w:tab w:val="left" w:pos="569"/>
        </w:tabs>
        <w:jc w:val="both"/>
        <w:rPr>
          <w:bCs/>
          <w:iCs/>
          <w:sz w:val="22"/>
          <w:szCs w:val="22"/>
          <w:u w:val="single"/>
          <w:lang w:val="sr-Latn-CS"/>
        </w:rPr>
      </w:pPr>
      <w:r w:rsidRPr="003F4415">
        <w:rPr>
          <w:bCs/>
          <w:iCs/>
          <w:sz w:val="22"/>
          <w:szCs w:val="22"/>
          <w:u w:val="single"/>
          <w:lang w:val="sr-Latn-CS"/>
        </w:rPr>
        <w:t xml:space="preserve">Fiasp, 100 </w:t>
      </w:r>
      <w:r w:rsidRPr="003F4415">
        <w:rPr>
          <w:sz w:val="22"/>
          <w:szCs w:val="22"/>
          <w:u w:val="single"/>
          <w:lang w:val="pl-PL"/>
        </w:rPr>
        <w:t>jedinica</w:t>
      </w:r>
      <w:r w:rsidRPr="003F4415">
        <w:rPr>
          <w:bCs/>
          <w:iCs/>
          <w:sz w:val="22"/>
          <w:szCs w:val="22"/>
          <w:u w:val="single"/>
          <w:lang w:val="sr-Latn-CS"/>
        </w:rPr>
        <w:t>/m</w:t>
      </w:r>
      <w:r w:rsidR="00F74A6F">
        <w:rPr>
          <w:bCs/>
          <w:iCs/>
          <w:sz w:val="22"/>
          <w:szCs w:val="22"/>
          <w:u w:val="single"/>
          <w:lang w:val="sr-Latn-CS"/>
        </w:rPr>
        <w:t>l</w:t>
      </w:r>
      <w:r w:rsidRPr="003F4415">
        <w:rPr>
          <w:bCs/>
          <w:iCs/>
          <w:sz w:val="22"/>
          <w:szCs w:val="22"/>
          <w:u w:val="single"/>
          <w:lang w:val="sr-Latn-CS"/>
        </w:rPr>
        <w:t>, rastvor za injekciju</w:t>
      </w:r>
      <w:r>
        <w:rPr>
          <w:bCs/>
          <w:iCs/>
          <w:sz w:val="22"/>
          <w:szCs w:val="22"/>
          <w:u w:val="single"/>
          <w:lang w:val="sr-Latn-CS"/>
        </w:rPr>
        <w:t xml:space="preserve"> u bočici</w:t>
      </w:r>
    </w:p>
    <w:p w14:paraId="246F9D58" w14:textId="1ABF3A8A" w:rsidR="00701477" w:rsidRPr="00701477" w:rsidRDefault="00701477" w:rsidP="001D23DB">
      <w:pPr>
        <w:tabs>
          <w:tab w:val="left" w:pos="540"/>
          <w:tab w:val="left" w:pos="569"/>
        </w:tabs>
        <w:jc w:val="both"/>
        <w:rPr>
          <w:bCs/>
          <w:sz w:val="22"/>
          <w:szCs w:val="22"/>
          <w:lang w:val="it-IT"/>
        </w:rPr>
      </w:pPr>
      <w:r w:rsidRPr="00732ABF">
        <w:rPr>
          <w:bCs/>
          <w:sz w:val="22"/>
          <w:szCs w:val="22"/>
          <w:lang w:val="pl-PL"/>
        </w:rPr>
        <w:t>Nakon prvog otvaranja lijek se može čuvati najviše 4 nedjelje</w:t>
      </w:r>
      <w:r w:rsidR="00657781">
        <w:rPr>
          <w:bCs/>
          <w:sz w:val="22"/>
          <w:szCs w:val="22"/>
          <w:lang w:val="pl-PL"/>
        </w:rPr>
        <w:t xml:space="preserve"> </w:t>
      </w:r>
      <w:r w:rsidR="00657781" w:rsidRPr="00657781">
        <w:rPr>
          <w:bCs/>
          <w:sz w:val="22"/>
          <w:szCs w:val="22"/>
          <w:lang w:val="pl-PL"/>
        </w:rPr>
        <w:t>(uključujući vr</w:t>
      </w:r>
      <w:r w:rsidR="00657781">
        <w:rPr>
          <w:bCs/>
          <w:sz w:val="22"/>
          <w:szCs w:val="22"/>
          <w:lang w:val="pl-PL"/>
        </w:rPr>
        <w:t>ij</w:t>
      </w:r>
      <w:r w:rsidR="00657781" w:rsidRPr="00657781">
        <w:rPr>
          <w:bCs/>
          <w:sz w:val="22"/>
          <w:szCs w:val="22"/>
          <w:lang w:val="pl-PL"/>
        </w:rPr>
        <w:t xml:space="preserve">eme čuvanja u </w:t>
      </w:r>
      <w:r w:rsidR="00657781">
        <w:rPr>
          <w:bCs/>
          <w:sz w:val="22"/>
          <w:szCs w:val="22"/>
          <w:lang w:val="pl-PL"/>
        </w:rPr>
        <w:t>rezervoaru</w:t>
      </w:r>
      <w:r w:rsidR="00657781" w:rsidRPr="00657781">
        <w:rPr>
          <w:bCs/>
          <w:sz w:val="22"/>
          <w:szCs w:val="22"/>
          <w:lang w:val="pl-PL"/>
        </w:rPr>
        <w:t xml:space="preserve"> pumpe, vidjeti </w:t>
      </w:r>
      <w:r w:rsidR="0077787F">
        <w:rPr>
          <w:bCs/>
          <w:sz w:val="22"/>
          <w:szCs w:val="22"/>
          <w:lang w:val="pl-PL"/>
        </w:rPr>
        <w:t>dio</w:t>
      </w:r>
      <w:r w:rsidR="0077787F" w:rsidRPr="00657781">
        <w:rPr>
          <w:bCs/>
          <w:sz w:val="22"/>
          <w:szCs w:val="22"/>
          <w:lang w:val="pl-PL"/>
        </w:rPr>
        <w:t xml:space="preserve"> </w:t>
      </w:r>
      <w:r w:rsidR="00657781" w:rsidRPr="00657781">
        <w:rPr>
          <w:bCs/>
          <w:sz w:val="22"/>
          <w:szCs w:val="22"/>
          <w:lang w:val="pl-PL"/>
        </w:rPr>
        <w:t>6.6)</w:t>
      </w:r>
      <w:r w:rsidRPr="00732ABF">
        <w:rPr>
          <w:bCs/>
          <w:sz w:val="22"/>
          <w:szCs w:val="22"/>
          <w:lang w:val="pl-PL"/>
        </w:rPr>
        <w:t>.</w:t>
      </w:r>
      <w:r w:rsidRPr="00657781">
        <w:rPr>
          <w:bCs/>
          <w:sz w:val="22"/>
          <w:szCs w:val="22"/>
          <w:lang w:val="sr-Latn-CS"/>
        </w:rPr>
        <w:t xml:space="preserve"> </w:t>
      </w:r>
      <w:r w:rsidRPr="00732ABF">
        <w:rPr>
          <w:bCs/>
          <w:sz w:val="22"/>
          <w:szCs w:val="22"/>
          <w:lang w:val="it-IT"/>
        </w:rPr>
        <w:t xml:space="preserve">Ne </w:t>
      </w:r>
      <w:proofErr w:type="spellStart"/>
      <w:r w:rsidRPr="00732ABF">
        <w:rPr>
          <w:bCs/>
          <w:sz w:val="22"/>
          <w:szCs w:val="22"/>
          <w:lang w:val="it-IT"/>
        </w:rPr>
        <w:t>čuvati</w:t>
      </w:r>
      <w:proofErr w:type="spellEnd"/>
      <w:r w:rsidRPr="00732ABF">
        <w:rPr>
          <w:bCs/>
          <w:sz w:val="22"/>
          <w:szCs w:val="22"/>
          <w:lang w:val="it-IT"/>
        </w:rPr>
        <w:t xml:space="preserve"> </w:t>
      </w:r>
      <w:proofErr w:type="spellStart"/>
      <w:r w:rsidRPr="00732ABF">
        <w:rPr>
          <w:bCs/>
          <w:sz w:val="22"/>
          <w:szCs w:val="22"/>
          <w:lang w:val="it-IT"/>
        </w:rPr>
        <w:t>na</w:t>
      </w:r>
      <w:proofErr w:type="spellEnd"/>
      <w:r w:rsidRPr="00732ABF">
        <w:rPr>
          <w:bCs/>
          <w:sz w:val="22"/>
          <w:szCs w:val="22"/>
          <w:lang w:val="it-IT"/>
        </w:rPr>
        <w:t xml:space="preserve"> </w:t>
      </w:r>
      <w:proofErr w:type="spellStart"/>
      <w:r w:rsidRPr="00732ABF">
        <w:rPr>
          <w:bCs/>
          <w:sz w:val="22"/>
          <w:szCs w:val="22"/>
          <w:lang w:val="it-IT"/>
        </w:rPr>
        <w:t>temperaturi</w:t>
      </w:r>
      <w:proofErr w:type="spellEnd"/>
      <w:r w:rsidRPr="00732ABF">
        <w:rPr>
          <w:bCs/>
          <w:sz w:val="22"/>
          <w:szCs w:val="22"/>
          <w:lang w:val="it-IT"/>
        </w:rPr>
        <w:t xml:space="preserve"> </w:t>
      </w:r>
      <w:proofErr w:type="spellStart"/>
      <w:r w:rsidRPr="00732ABF">
        <w:rPr>
          <w:bCs/>
          <w:sz w:val="22"/>
          <w:szCs w:val="22"/>
          <w:lang w:val="it-IT"/>
        </w:rPr>
        <w:t>iznad</w:t>
      </w:r>
      <w:proofErr w:type="spellEnd"/>
      <w:r w:rsidRPr="00732ABF">
        <w:rPr>
          <w:bCs/>
          <w:sz w:val="22"/>
          <w:szCs w:val="22"/>
          <w:lang w:val="it-IT"/>
        </w:rPr>
        <w:t xml:space="preserve"> 30°C. </w:t>
      </w:r>
      <w:proofErr w:type="spellStart"/>
      <w:r w:rsidRPr="00732ABF">
        <w:rPr>
          <w:bCs/>
          <w:sz w:val="22"/>
          <w:szCs w:val="22"/>
          <w:lang w:val="it-IT"/>
        </w:rPr>
        <w:t>Može</w:t>
      </w:r>
      <w:proofErr w:type="spellEnd"/>
      <w:r w:rsidRPr="00732ABF">
        <w:rPr>
          <w:bCs/>
          <w:sz w:val="22"/>
          <w:szCs w:val="22"/>
          <w:lang w:val="it-IT"/>
        </w:rPr>
        <w:t xml:space="preserve"> se </w:t>
      </w:r>
      <w:proofErr w:type="spellStart"/>
      <w:r w:rsidRPr="00732ABF">
        <w:rPr>
          <w:bCs/>
          <w:sz w:val="22"/>
          <w:szCs w:val="22"/>
          <w:lang w:val="it-IT"/>
        </w:rPr>
        <w:t>čuvati</w:t>
      </w:r>
      <w:proofErr w:type="spellEnd"/>
      <w:r w:rsidRPr="00732ABF">
        <w:rPr>
          <w:bCs/>
          <w:sz w:val="22"/>
          <w:szCs w:val="22"/>
          <w:lang w:val="it-IT"/>
        </w:rPr>
        <w:t xml:space="preserve"> u </w:t>
      </w:r>
      <w:proofErr w:type="spellStart"/>
      <w:r w:rsidRPr="00732ABF">
        <w:rPr>
          <w:bCs/>
          <w:sz w:val="22"/>
          <w:szCs w:val="22"/>
          <w:lang w:val="it-IT"/>
        </w:rPr>
        <w:t>frižideru</w:t>
      </w:r>
      <w:proofErr w:type="spellEnd"/>
      <w:r w:rsidRPr="00732ABF">
        <w:rPr>
          <w:bCs/>
          <w:sz w:val="22"/>
          <w:szCs w:val="22"/>
          <w:lang w:val="it-IT"/>
        </w:rPr>
        <w:t xml:space="preserve"> (2°C–8°C). Ne </w:t>
      </w:r>
      <w:proofErr w:type="spellStart"/>
      <w:r w:rsidRPr="00732ABF">
        <w:rPr>
          <w:bCs/>
          <w:sz w:val="22"/>
          <w:szCs w:val="22"/>
          <w:lang w:val="it-IT"/>
        </w:rPr>
        <w:t>zamrzavati</w:t>
      </w:r>
      <w:proofErr w:type="spellEnd"/>
      <w:r w:rsidRPr="00732ABF">
        <w:rPr>
          <w:bCs/>
          <w:sz w:val="22"/>
          <w:szCs w:val="22"/>
          <w:lang w:val="it-IT"/>
        </w:rPr>
        <w:t xml:space="preserve">. </w:t>
      </w:r>
      <w:proofErr w:type="spellStart"/>
      <w:r w:rsidRPr="00732ABF">
        <w:rPr>
          <w:bCs/>
          <w:sz w:val="22"/>
          <w:szCs w:val="22"/>
          <w:lang w:val="it-IT"/>
        </w:rPr>
        <w:t>Bočicu</w:t>
      </w:r>
      <w:proofErr w:type="spellEnd"/>
      <w:r w:rsidRPr="00732ABF">
        <w:rPr>
          <w:bCs/>
          <w:sz w:val="22"/>
          <w:szCs w:val="22"/>
          <w:lang w:val="it-IT"/>
        </w:rPr>
        <w:t xml:space="preserve"> </w:t>
      </w:r>
      <w:proofErr w:type="spellStart"/>
      <w:r w:rsidRPr="00732ABF">
        <w:rPr>
          <w:bCs/>
          <w:sz w:val="22"/>
          <w:szCs w:val="22"/>
          <w:lang w:val="it-IT"/>
        </w:rPr>
        <w:t>čuvati</w:t>
      </w:r>
      <w:proofErr w:type="spellEnd"/>
      <w:r w:rsidRPr="00732ABF">
        <w:rPr>
          <w:bCs/>
          <w:sz w:val="22"/>
          <w:szCs w:val="22"/>
          <w:lang w:val="it-IT"/>
        </w:rPr>
        <w:t xml:space="preserve"> u </w:t>
      </w:r>
      <w:r w:rsidRPr="003F4415">
        <w:rPr>
          <w:bCs/>
          <w:sz w:val="22"/>
          <w:szCs w:val="22"/>
          <w:lang w:val="pl-PL"/>
        </w:rPr>
        <w:t xml:space="preserve">spoljašnjem pakovanju (kartonskoj kutiji) </w:t>
      </w:r>
      <w:r w:rsidRPr="00732ABF">
        <w:rPr>
          <w:bCs/>
          <w:sz w:val="22"/>
          <w:szCs w:val="22"/>
          <w:lang w:val="it-IT"/>
        </w:rPr>
        <w:t xml:space="preserve">radi </w:t>
      </w:r>
      <w:proofErr w:type="spellStart"/>
      <w:r w:rsidRPr="00732ABF">
        <w:rPr>
          <w:bCs/>
          <w:sz w:val="22"/>
          <w:szCs w:val="22"/>
          <w:lang w:val="it-IT"/>
        </w:rPr>
        <w:t>zaštite</w:t>
      </w:r>
      <w:proofErr w:type="spellEnd"/>
      <w:r w:rsidRPr="00732ABF">
        <w:rPr>
          <w:bCs/>
          <w:sz w:val="22"/>
          <w:szCs w:val="22"/>
          <w:lang w:val="it-IT"/>
        </w:rPr>
        <w:t xml:space="preserve"> od </w:t>
      </w:r>
      <w:proofErr w:type="spellStart"/>
      <w:r w:rsidRPr="00732ABF">
        <w:rPr>
          <w:bCs/>
          <w:sz w:val="22"/>
          <w:szCs w:val="22"/>
          <w:lang w:val="it-IT"/>
        </w:rPr>
        <w:t>svjetlosti</w:t>
      </w:r>
      <w:proofErr w:type="spellEnd"/>
      <w:r w:rsidRPr="00732ABF">
        <w:rPr>
          <w:bCs/>
          <w:sz w:val="22"/>
          <w:szCs w:val="22"/>
          <w:lang w:val="it-IT"/>
        </w:rPr>
        <w:t>.</w:t>
      </w:r>
    </w:p>
    <w:p w14:paraId="68F3FB94" w14:textId="77777777" w:rsidR="00701477" w:rsidRPr="00701477" w:rsidRDefault="00701477" w:rsidP="001D23DB">
      <w:pPr>
        <w:tabs>
          <w:tab w:val="left" w:pos="540"/>
          <w:tab w:val="left" w:pos="569"/>
        </w:tabs>
        <w:jc w:val="both"/>
        <w:rPr>
          <w:bCs/>
          <w:sz w:val="22"/>
          <w:szCs w:val="22"/>
          <w:lang w:val="it-IT"/>
        </w:rPr>
      </w:pPr>
    </w:p>
    <w:p w14:paraId="730748F6" w14:textId="77777777" w:rsidR="0072020E" w:rsidRPr="000F6B37" w:rsidRDefault="0072020E" w:rsidP="001D23DB">
      <w:pPr>
        <w:tabs>
          <w:tab w:val="left" w:pos="540"/>
          <w:tab w:val="left" w:pos="569"/>
        </w:tabs>
        <w:jc w:val="both"/>
        <w:rPr>
          <w:b/>
          <w:bCs/>
          <w:sz w:val="22"/>
          <w:szCs w:val="22"/>
          <w:lang w:val="it-IT"/>
        </w:rPr>
      </w:pPr>
      <w:r w:rsidRPr="000F6B37">
        <w:rPr>
          <w:b/>
          <w:bCs/>
          <w:sz w:val="22"/>
          <w:szCs w:val="22"/>
          <w:lang w:val="it-IT"/>
        </w:rPr>
        <w:t xml:space="preserve">6.4. </w:t>
      </w:r>
      <w:r w:rsidR="00480FB1" w:rsidRPr="000F6B37">
        <w:rPr>
          <w:b/>
          <w:bCs/>
          <w:sz w:val="22"/>
          <w:szCs w:val="22"/>
          <w:lang w:val="it-IT"/>
        </w:rPr>
        <w:tab/>
      </w:r>
      <w:proofErr w:type="spellStart"/>
      <w:r w:rsidRPr="000F6B37">
        <w:rPr>
          <w:b/>
          <w:bCs/>
          <w:sz w:val="22"/>
          <w:szCs w:val="22"/>
          <w:lang w:val="it-IT"/>
        </w:rPr>
        <w:t>Posebne</w:t>
      </w:r>
      <w:proofErr w:type="spellEnd"/>
      <w:r w:rsidRPr="000F6B37">
        <w:rPr>
          <w:b/>
          <w:bCs/>
          <w:sz w:val="22"/>
          <w:szCs w:val="22"/>
          <w:lang w:val="it-IT"/>
        </w:rPr>
        <w:t xml:space="preserve"> </w:t>
      </w:r>
      <w:proofErr w:type="spellStart"/>
      <w:r w:rsidRPr="000F6B37">
        <w:rPr>
          <w:b/>
          <w:bCs/>
          <w:sz w:val="22"/>
          <w:szCs w:val="22"/>
          <w:lang w:val="it-IT"/>
        </w:rPr>
        <w:t>mjere</w:t>
      </w:r>
      <w:proofErr w:type="spellEnd"/>
      <w:r w:rsidRPr="000F6B37">
        <w:rPr>
          <w:b/>
          <w:bCs/>
          <w:sz w:val="22"/>
          <w:szCs w:val="22"/>
          <w:lang w:val="it-IT"/>
        </w:rPr>
        <w:t xml:space="preserve"> </w:t>
      </w:r>
      <w:proofErr w:type="spellStart"/>
      <w:r w:rsidRPr="000F6B37">
        <w:rPr>
          <w:b/>
          <w:bCs/>
          <w:sz w:val="22"/>
          <w:szCs w:val="22"/>
          <w:lang w:val="it-IT"/>
        </w:rPr>
        <w:t>upozorenja</w:t>
      </w:r>
      <w:proofErr w:type="spellEnd"/>
      <w:r w:rsidRPr="000F6B37">
        <w:rPr>
          <w:b/>
          <w:bCs/>
          <w:sz w:val="22"/>
          <w:szCs w:val="22"/>
          <w:lang w:val="it-IT"/>
        </w:rPr>
        <w:t xml:space="preserve"> </w:t>
      </w:r>
      <w:proofErr w:type="spellStart"/>
      <w:r w:rsidRPr="000F6B37">
        <w:rPr>
          <w:b/>
          <w:bCs/>
          <w:sz w:val="22"/>
          <w:szCs w:val="22"/>
          <w:lang w:val="it-IT"/>
        </w:rPr>
        <w:t>pri</w:t>
      </w:r>
      <w:proofErr w:type="spellEnd"/>
      <w:r w:rsidRPr="000F6B37">
        <w:rPr>
          <w:b/>
          <w:bCs/>
          <w:sz w:val="22"/>
          <w:szCs w:val="22"/>
          <w:lang w:val="it-IT"/>
        </w:rPr>
        <w:t xml:space="preserve"> </w:t>
      </w:r>
      <w:proofErr w:type="spellStart"/>
      <w:r w:rsidRPr="000F6B37">
        <w:rPr>
          <w:b/>
          <w:bCs/>
          <w:sz w:val="22"/>
          <w:szCs w:val="22"/>
          <w:lang w:val="it-IT"/>
        </w:rPr>
        <w:t>čuvanju</w:t>
      </w:r>
      <w:proofErr w:type="spellEnd"/>
      <w:r w:rsidR="00F8570A" w:rsidRPr="000F6B37">
        <w:rPr>
          <w:b/>
          <w:bCs/>
          <w:sz w:val="22"/>
          <w:szCs w:val="22"/>
          <w:lang w:val="it-IT"/>
        </w:rPr>
        <w:t xml:space="preserve"> </w:t>
      </w:r>
      <w:proofErr w:type="spellStart"/>
      <w:r w:rsidR="00F8570A" w:rsidRPr="000F6B37">
        <w:rPr>
          <w:b/>
          <w:bCs/>
          <w:sz w:val="22"/>
          <w:szCs w:val="22"/>
          <w:lang w:val="it-IT"/>
        </w:rPr>
        <w:t>lijeka</w:t>
      </w:r>
      <w:proofErr w:type="spellEnd"/>
    </w:p>
    <w:p w14:paraId="7986EA4B" w14:textId="77777777" w:rsidR="00EC2532" w:rsidRPr="000F6B37" w:rsidRDefault="00EC2532" w:rsidP="001D23DB">
      <w:pPr>
        <w:tabs>
          <w:tab w:val="left" w:pos="540"/>
          <w:tab w:val="left" w:pos="569"/>
        </w:tabs>
        <w:jc w:val="both"/>
        <w:rPr>
          <w:bCs/>
          <w:sz w:val="22"/>
          <w:szCs w:val="22"/>
          <w:lang w:val="it-IT"/>
        </w:rPr>
      </w:pPr>
    </w:p>
    <w:p w14:paraId="47D732DC" w14:textId="54299A8A" w:rsidR="00701477" w:rsidRPr="000F6B37" w:rsidRDefault="00701477" w:rsidP="001D23DB">
      <w:pPr>
        <w:tabs>
          <w:tab w:val="left" w:pos="540"/>
          <w:tab w:val="left" w:pos="569"/>
        </w:tabs>
        <w:jc w:val="both"/>
        <w:rPr>
          <w:bCs/>
          <w:sz w:val="22"/>
          <w:szCs w:val="22"/>
          <w:lang w:val="it-IT"/>
        </w:rPr>
      </w:pPr>
      <w:r w:rsidRPr="003F4415">
        <w:rPr>
          <w:sz w:val="22"/>
          <w:szCs w:val="22"/>
          <w:u w:val="single"/>
          <w:lang w:val="pl-PL"/>
        </w:rPr>
        <w:t>Fiasp FlexTouch, 100 jedinica/m</w:t>
      </w:r>
      <w:r w:rsidR="00F74A6F">
        <w:rPr>
          <w:sz w:val="22"/>
          <w:szCs w:val="22"/>
          <w:u w:val="single"/>
          <w:lang w:val="pl-PL"/>
        </w:rPr>
        <w:t>l</w:t>
      </w:r>
      <w:r w:rsidRPr="003F4415">
        <w:rPr>
          <w:sz w:val="22"/>
          <w:szCs w:val="22"/>
          <w:u w:val="single"/>
          <w:lang w:val="pl-PL"/>
        </w:rPr>
        <w:t>, rastvor za injekciju u napunjenom injekcionom penu</w:t>
      </w:r>
    </w:p>
    <w:p w14:paraId="25C70641" w14:textId="602F7673" w:rsidR="00701477" w:rsidRPr="00732ABF" w:rsidRDefault="00701477" w:rsidP="001D23DB">
      <w:pPr>
        <w:tabs>
          <w:tab w:val="left" w:pos="540"/>
          <w:tab w:val="left" w:pos="569"/>
        </w:tabs>
        <w:jc w:val="both"/>
        <w:rPr>
          <w:bCs/>
          <w:sz w:val="22"/>
          <w:szCs w:val="22"/>
          <w:lang w:val="it-IT"/>
        </w:rPr>
      </w:pPr>
      <w:proofErr w:type="spellStart"/>
      <w:r w:rsidRPr="00732ABF">
        <w:rPr>
          <w:bCs/>
          <w:sz w:val="22"/>
          <w:szCs w:val="22"/>
          <w:lang w:val="it-IT"/>
        </w:rPr>
        <w:t>Čuvati</w:t>
      </w:r>
      <w:proofErr w:type="spellEnd"/>
      <w:r w:rsidRPr="00732ABF">
        <w:rPr>
          <w:bCs/>
          <w:sz w:val="22"/>
          <w:szCs w:val="22"/>
          <w:lang w:val="it-IT"/>
        </w:rPr>
        <w:t xml:space="preserve"> u </w:t>
      </w:r>
      <w:proofErr w:type="spellStart"/>
      <w:r w:rsidRPr="00732ABF">
        <w:rPr>
          <w:bCs/>
          <w:sz w:val="22"/>
          <w:szCs w:val="22"/>
          <w:lang w:val="it-IT"/>
        </w:rPr>
        <w:t>frižideru</w:t>
      </w:r>
      <w:proofErr w:type="spellEnd"/>
      <w:r w:rsidRPr="00732ABF">
        <w:rPr>
          <w:bCs/>
          <w:sz w:val="22"/>
          <w:szCs w:val="22"/>
          <w:lang w:val="it-IT"/>
        </w:rPr>
        <w:t xml:space="preserve"> (2°C–8°C). Ne </w:t>
      </w:r>
      <w:proofErr w:type="spellStart"/>
      <w:r w:rsidRPr="00732ABF">
        <w:rPr>
          <w:bCs/>
          <w:sz w:val="22"/>
          <w:szCs w:val="22"/>
          <w:lang w:val="it-IT"/>
        </w:rPr>
        <w:t>zamrzavati</w:t>
      </w:r>
      <w:proofErr w:type="spellEnd"/>
      <w:r w:rsidRPr="00732ABF">
        <w:rPr>
          <w:bCs/>
          <w:sz w:val="22"/>
          <w:szCs w:val="22"/>
          <w:lang w:val="it-IT"/>
        </w:rPr>
        <w:t xml:space="preserve">. </w:t>
      </w:r>
      <w:proofErr w:type="spellStart"/>
      <w:r w:rsidRPr="00732ABF">
        <w:rPr>
          <w:bCs/>
          <w:sz w:val="22"/>
          <w:szCs w:val="22"/>
          <w:lang w:val="it-IT"/>
        </w:rPr>
        <w:t>Držati</w:t>
      </w:r>
      <w:proofErr w:type="spellEnd"/>
      <w:r w:rsidRPr="00732ABF">
        <w:rPr>
          <w:bCs/>
          <w:sz w:val="22"/>
          <w:szCs w:val="22"/>
          <w:lang w:val="it-IT"/>
        </w:rPr>
        <w:t xml:space="preserve"> </w:t>
      </w:r>
      <w:proofErr w:type="spellStart"/>
      <w:r w:rsidRPr="00732ABF">
        <w:rPr>
          <w:bCs/>
          <w:sz w:val="22"/>
          <w:szCs w:val="22"/>
          <w:lang w:val="it-IT"/>
        </w:rPr>
        <w:t>dalje</w:t>
      </w:r>
      <w:proofErr w:type="spellEnd"/>
      <w:r w:rsidRPr="00732ABF">
        <w:rPr>
          <w:bCs/>
          <w:sz w:val="22"/>
          <w:szCs w:val="22"/>
          <w:lang w:val="it-IT"/>
        </w:rPr>
        <w:t xml:space="preserve"> od </w:t>
      </w:r>
      <w:proofErr w:type="spellStart"/>
      <w:r w:rsidRPr="00732ABF">
        <w:rPr>
          <w:bCs/>
          <w:sz w:val="22"/>
          <w:szCs w:val="22"/>
          <w:lang w:val="it-IT"/>
        </w:rPr>
        <w:t>elementa</w:t>
      </w:r>
      <w:proofErr w:type="spellEnd"/>
      <w:r w:rsidRPr="00732ABF">
        <w:rPr>
          <w:bCs/>
          <w:sz w:val="22"/>
          <w:szCs w:val="22"/>
          <w:lang w:val="it-IT"/>
        </w:rPr>
        <w:t xml:space="preserve"> za </w:t>
      </w:r>
      <w:proofErr w:type="spellStart"/>
      <w:r w:rsidRPr="00732ABF">
        <w:rPr>
          <w:bCs/>
          <w:sz w:val="22"/>
          <w:szCs w:val="22"/>
          <w:lang w:val="it-IT"/>
        </w:rPr>
        <w:t>zamrzavanje</w:t>
      </w:r>
      <w:proofErr w:type="spellEnd"/>
      <w:r w:rsidRPr="00732ABF">
        <w:rPr>
          <w:bCs/>
          <w:sz w:val="22"/>
          <w:szCs w:val="22"/>
          <w:lang w:val="it-IT"/>
        </w:rPr>
        <w:t xml:space="preserve">. Pen </w:t>
      </w:r>
      <w:proofErr w:type="spellStart"/>
      <w:r w:rsidRPr="00732ABF">
        <w:rPr>
          <w:bCs/>
          <w:sz w:val="22"/>
          <w:szCs w:val="22"/>
          <w:lang w:val="it-IT"/>
        </w:rPr>
        <w:t>čuvati</w:t>
      </w:r>
      <w:proofErr w:type="spellEnd"/>
      <w:r w:rsidRPr="00732ABF">
        <w:rPr>
          <w:bCs/>
          <w:sz w:val="22"/>
          <w:szCs w:val="22"/>
          <w:lang w:val="it-IT"/>
        </w:rPr>
        <w:t xml:space="preserve"> sa </w:t>
      </w:r>
      <w:proofErr w:type="spellStart"/>
      <w:r w:rsidRPr="00732ABF">
        <w:rPr>
          <w:bCs/>
          <w:sz w:val="22"/>
          <w:szCs w:val="22"/>
          <w:lang w:val="it-IT"/>
        </w:rPr>
        <w:t>postavljenim</w:t>
      </w:r>
      <w:proofErr w:type="spellEnd"/>
      <w:r w:rsidRPr="00732ABF">
        <w:rPr>
          <w:bCs/>
          <w:sz w:val="22"/>
          <w:szCs w:val="22"/>
          <w:lang w:val="it-IT"/>
        </w:rPr>
        <w:t xml:space="preserve"> </w:t>
      </w:r>
      <w:proofErr w:type="spellStart"/>
      <w:r w:rsidR="00C44F28">
        <w:rPr>
          <w:bCs/>
          <w:sz w:val="22"/>
          <w:szCs w:val="22"/>
          <w:lang w:val="it-IT"/>
        </w:rPr>
        <w:t>zatvaračem</w:t>
      </w:r>
      <w:proofErr w:type="spellEnd"/>
      <w:r w:rsidRPr="00732ABF">
        <w:rPr>
          <w:bCs/>
          <w:sz w:val="22"/>
          <w:szCs w:val="22"/>
          <w:lang w:val="it-IT"/>
        </w:rPr>
        <w:t xml:space="preserve"> radi </w:t>
      </w:r>
      <w:proofErr w:type="spellStart"/>
      <w:r w:rsidRPr="00732ABF">
        <w:rPr>
          <w:bCs/>
          <w:sz w:val="22"/>
          <w:szCs w:val="22"/>
          <w:lang w:val="it-IT"/>
        </w:rPr>
        <w:t>zaštite</w:t>
      </w:r>
      <w:proofErr w:type="spellEnd"/>
      <w:r w:rsidRPr="00732ABF">
        <w:rPr>
          <w:bCs/>
          <w:sz w:val="22"/>
          <w:szCs w:val="22"/>
          <w:lang w:val="it-IT"/>
        </w:rPr>
        <w:t xml:space="preserve"> od </w:t>
      </w:r>
      <w:proofErr w:type="spellStart"/>
      <w:r w:rsidRPr="00732ABF">
        <w:rPr>
          <w:bCs/>
          <w:sz w:val="22"/>
          <w:szCs w:val="22"/>
          <w:lang w:val="it-IT"/>
        </w:rPr>
        <w:t>svjetlosti</w:t>
      </w:r>
      <w:proofErr w:type="spellEnd"/>
      <w:r w:rsidRPr="00732ABF">
        <w:rPr>
          <w:bCs/>
          <w:sz w:val="22"/>
          <w:szCs w:val="22"/>
          <w:lang w:val="it-IT"/>
        </w:rPr>
        <w:t>.</w:t>
      </w:r>
    </w:p>
    <w:p w14:paraId="5F47A768" w14:textId="77777777" w:rsidR="00701477" w:rsidRPr="00732ABF" w:rsidRDefault="00701477" w:rsidP="001D23DB">
      <w:pPr>
        <w:tabs>
          <w:tab w:val="left" w:pos="540"/>
          <w:tab w:val="left" w:pos="569"/>
        </w:tabs>
        <w:jc w:val="both"/>
        <w:rPr>
          <w:bCs/>
          <w:sz w:val="22"/>
          <w:szCs w:val="22"/>
          <w:lang w:val="it-IT"/>
        </w:rPr>
      </w:pPr>
    </w:p>
    <w:p w14:paraId="5AEE18AC" w14:textId="3F261233" w:rsidR="00701477" w:rsidRPr="00732ABF" w:rsidRDefault="00701477" w:rsidP="001D23DB">
      <w:pPr>
        <w:tabs>
          <w:tab w:val="left" w:pos="540"/>
          <w:tab w:val="left" w:pos="569"/>
        </w:tabs>
        <w:jc w:val="both"/>
        <w:rPr>
          <w:bCs/>
          <w:sz w:val="22"/>
          <w:szCs w:val="22"/>
          <w:lang w:val="it-IT"/>
        </w:rPr>
      </w:pPr>
      <w:r w:rsidRPr="003F4415">
        <w:rPr>
          <w:bCs/>
          <w:iCs/>
          <w:sz w:val="22"/>
          <w:szCs w:val="22"/>
          <w:u w:val="single"/>
          <w:lang w:val="sr-Latn-CS"/>
        </w:rPr>
        <w:t xml:space="preserve">Fiasp Penfill, 100 </w:t>
      </w:r>
      <w:r w:rsidRPr="003F4415">
        <w:rPr>
          <w:sz w:val="22"/>
          <w:szCs w:val="22"/>
          <w:u w:val="single"/>
          <w:lang w:val="pl-PL"/>
        </w:rPr>
        <w:t>jedinica</w:t>
      </w:r>
      <w:r w:rsidRPr="003F4415">
        <w:rPr>
          <w:bCs/>
          <w:iCs/>
          <w:sz w:val="22"/>
          <w:szCs w:val="22"/>
          <w:u w:val="single"/>
          <w:lang w:val="sr-Latn-CS"/>
        </w:rPr>
        <w:t>/m</w:t>
      </w:r>
      <w:r w:rsidR="00F74A6F">
        <w:rPr>
          <w:bCs/>
          <w:iCs/>
          <w:sz w:val="22"/>
          <w:szCs w:val="22"/>
          <w:u w:val="single"/>
          <w:lang w:val="sr-Latn-CS"/>
        </w:rPr>
        <w:t>l</w:t>
      </w:r>
      <w:r w:rsidRPr="003F4415">
        <w:rPr>
          <w:bCs/>
          <w:iCs/>
          <w:sz w:val="22"/>
          <w:szCs w:val="22"/>
          <w:u w:val="single"/>
          <w:lang w:val="sr-Latn-CS"/>
        </w:rPr>
        <w:t>, rastvor za injekciju u ulošku</w:t>
      </w:r>
    </w:p>
    <w:p w14:paraId="7B355ACB" w14:textId="1FAB00F1" w:rsidR="00701477" w:rsidRPr="00732ABF" w:rsidRDefault="00701477" w:rsidP="001D23DB">
      <w:pPr>
        <w:tabs>
          <w:tab w:val="left" w:pos="540"/>
          <w:tab w:val="left" w:pos="569"/>
        </w:tabs>
        <w:jc w:val="both"/>
        <w:rPr>
          <w:bCs/>
          <w:sz w:val="22"/>
          <w:szCs w:val="22"/>
          <w:lang w:val="it-IT"/>
        </w:rPr>
      </w:pPr>
      <w:proofErr w:type="spellStart"/>
      <w:r w:rsidRPr="00732ABF">
        <w:rPr>
          <w:bCs/>
          <w:sz w:val="22"/>
          <w:szCs w:val="22"/>
          <w:lang w:val="it-IT"/>
        </w:rPr>
        <w:t>Čuvati</w:t>
      </w:r>
      <w:proofErr w:type="spellEnd"/>
      <w:r w:rsidRPr="00732ABF">
        <w:rPr>
          <w:bCs/>
          <w:sz w:val="22"/>
          <w:szCs w:val="22"/>
          <w:lang w:val="it-IT"/>
        </w:rPr>
        <w:t xml:space="preserve"> u </w:t>
      </w:r>
      <w:proofErr w:type="spellStart"/>
      <w:r w:rsidRPr="00732ABF">
        <w:rPr>
          <w:bCs/>
          <w:sz w:val="22"/>
          <w:szCs w:val="22"/>
          <w:lang w:val="it-IT"/>
        </w:rPr>
        <w:t>frižideru</w:t>
      </w:r>
      <w:proofErr w:type="spellEnd"/>
      <w:r w:rsidRPr="00732ABF">
        <w:rPr>
          <w:bCs/>
          <w:sz w:val="22"/>
          <w:szCs w:val="22"/>
          <w:lang w:val="it-IT"/>
        </w:rPr>
        <w:t xml:space="preserve"> (2°C–8°C). Ne </w:t>
      </w:r>
      <w:proofErr w:type="spellStart"/>
      <w:r w:rsidRPr="00732ABF">
        <w:rPr>
          <w:bCs/>
          <w:sz w:val="22"/>
          <w:szCs w:val="22"/>
          <w:lang w:val="it-IT"/>
        </w:rPr>
        <w:t>zamrzavati</w:t>
      </w:r>
      <w:proofErr w:type="spellEnd"/>
      <w:r w:rsidRPr="00732ABF">
        <w:rPr>
          <w:bCs/>
          <w:sz w:val="22"/>
          <w:szCs w:val="22"/>
          <w:lang w:val="it-IT"/>
        </w:rPr>
        <w:t xml:space="preserve">. </w:t>
      </w:r>
      <w:proofErr w:type="spellStart"/>
      <w:r w:rsidRPr="00732ABF">
        <w:rPr>
          <w:bCs/>
          <w:sz w:val="22"/>
          <w:szCs w:val="22"/>
          <w:lang w:val="it-IT"/>
        </w:rPr>
        <w:t>Držati</w:t>
      </w:r>
      <w:proofErr w:type="spellEnd"/>
      <w:r w:rsidRPr="00732ABF">
        <w:rPr>
          <w:bCs/>
          <w:sz w:val="22"/>
          <w:szCs w:val="22"/>
          <w:lang w:val="it-IT"/>
        </w:rPr>
        <w:t xml:space="preserve"> </w:t>
      </w:r>
      <w:proofErr w:type="spellStart"/>
      <w:r w:rsidRPr="00732ABF">
        <w:rPr>
          <w:bCs/>
          <w:sz w:val="22"/>
          <w:szCs w:val="22"/>
          <w:lang w:val="it-IT"/>
        </w:rPr>
        <w:t>dalje</w:t>
      </w:r>
      <w:proofErr w:type="spellEnd"/>
      <w:r w:rsidRPr="00732ABF">
        <w:rPr>
          <w:bCs/>
          <w:sz w:val="22"/>
          <w:szCs w:val="22"/>
          <w:lang w:val="it-IT"/>
        </w:rPr>
        <w:t xml:space="preserve"> od </w:t>
      </w:r>
      <w:proofErr w:type="spellStart"/>
      <w:r w:rsidRPr="00732ABF">
        <w:rPr>
          <w:bCs/>
          <w:sz w:val="22"/>
          <w:szCs w:val="22"/>
          <w:lang w:val="it-IT"/>
        </w:rPr>
        <w:t>elementa</w:t>
      </w:r>
      <w:proofErr w:type="spellEnd"/>
      <w:r w:rsidRPr="00732ABF">
        <w:rPr>
          <w:bCs/>
          <w:sz w:val="22"/>
          <w:szCs w:val="22"/>
          <w:lang w:val="it-IT"/>
        </w:rPr>
        <w:t xml:space="preserve"> za </w:t>
      </w:r>
      <w:proofErr w:type="spellStart"/>
      <w:r w:rsidRPr="00732ABF">
        <w:rPr>
          <w:bCs/>
          <w:sz w:val="22"/>
          <w:szCs w:val="22"/>
          <w:lang w:val="it-IT"/>
        </w:rPr>
        <w:t>zamrzavanje</w:t>
      </w:r>
      <w:proofErr w:type="spellEnd"/>
      <w:r w:rsidRPr="00732ABF">
        <w:rPr>
          <w:bCs/>
          <w:sz w:val="22"/>
          <w:szCs w:val="22"/>
          <w:lang w:val="it-IT"/>
        </w:rPr>
        <w:t xml:space="preserve">. </w:t>
      </w:r>
      <w:proofErr w:type="spellStart"/>
      <w:r w:rsidRPr="00732ABF">
        <w:rPr>
          <w:bCs/>
          <w:sz w:val="22"/>
          <w:szCs w:val="22"/>
          <w:lang w:val="it-IT"/>
        </w:rPr>
        <w:t>Uložak</w:t>
      </w:r>
      <w:proofErr w:type="spellEnd"/>
      <w:r w:rsidRPr="00732ABF">
        <w:rPr>
          <w:bCs/>
          <w:sz w:val="22"/>
          <w:szCs w:val="22"/>
          <w:lang w:val="it-IT"/>
        </w:rPr>
        <w:t xml:space="preserve"> </w:t>
      </w:r>
      <w:proofErr w:type="spellStart"/>
      <w:r w:rsidRPr="00732ABF">
        <w:rPr>
          <w:bCs/>
          <w:sz w:val="22"/>
          <w:szCs w:val="22"/>
          <w:lang w:val="it-IT"/>
        </w:rPr>
        <w:t>čuvati</w:t>
      </w:r>
      <w:proofErr w:type="spellEnd"/>
      <w:r w:rsidRPr="00732ABF">
        <w:rPr>
          <w:bCs/>
          <w:sz w:val="22"/>
          <w:szCs w:val="22"/>
          <w:lang w:val="it-IT"/>
        </w:rPr>
        <w:t xml:space="preserve"> u </w:t>
      </w:r>
      <w:r w:rsidRPr="003F4415">
        <w:rPr>
          <w:bCs/>
          <w:sz w:val="22"/>
          <w:szCs w:val="22"/>
          <w:lang w:val="pl-PL"/>
        </w:rPr>
        <w:t xml:space="preserve">spoljašnjem pakovanju (kartonskoj kutiji) </w:t>
      </w:r>
      <w:r w:rsidRPr="00732ABF">
        <w:rPr>
          <w:bCs/>
          <w:sz w:val="22"/>
          <w:szCs w:val="22"/>
          <w:lang w:val="it-IT"/>
        </w:rPr>
        <w:t xml:space="preserve">radi </w:t>
      </w:r>
      <w:proofErr w:type="spellStart"/>
      <w:r w:rsidRPr="00732ABF">
        <w:rPr>
          <w:bCs/>
          <w:sz w:val="22"/>
          <w:szCs w:val="22"/>
          <w:lang w:val="it-IT"/>
        </w:rPr>
        <w:t>zaštite</w:t>
      </w:r>
      <w:proofErr w:type="spellEnd"/>
      <w:r w:rsidRPr="00732ABF">
        <w:rPr>
          <w:bCs/>
          <w:sz w:val="22"/>
          <w:szCs w:val="22"/>
          <w:lang w:val="it-IT"/>
        </w:rPr>
        <w:t xml:space="preserve"> od </w:t>
      </w:r>
      <w:proofErr w:type="spellStart"/>
      <w:r w:rsidRPr="00732ABF">
        <w:rPr>
          <w:bCs/>
          <w:sz w:val="22"/>
          <w:szCs w:val="22"/>
          <w:lang w:val="it-IT"/>
        </w:rPr>
        <w:t>svjetlosti</w:t>
      </w:r>
      <w:proofErr w:type="spellEnd"/>
      <w:r w:rsidRPr="00732ABF">
        <w:rPr>
          <w:bCs/>
          <w:sz w:val="22"/>
          <w:szCs w:val="22"/>
          <w:lang w:val="it-IT"/>
        </w:rPr>
        <w:t>.</w:t>
      </w:r>
    </w:p>
    <w:p w14:paraId="48E9158E" w14:textId="77777777" w:rsidR="00701477" w:rsidRPr="00732ABF" w:rsidRDefault="00701477" w:rsidP="001D23DB">
      <w:pPr>
        <w:tabs>
          <w:tab w:val="left" w:pos="540"/>
          <w:tab w:val="left" w:pos="569"/>
        </w:tabs>
        <w:jc w:val="both"/>
        <w:rPr>
          <w:bCs/>
          <w:sz w:val="22"/>
          <w:szCs w:val="22"/>
          <w:lang w:val="it-IT"/>
        </w:rPr>
      </w:pPr>
    </w:p>
    <w:p w14:paraId="30ECD383" w14:textId="12B49BE5" w:rsidR="00701477" w:rsidRPr="00732ABF" w:rsidRDefault="00701477" w:rsidP="001D23DB">
      <w:pPr>
        <w:tabs>
          <w:tab w:val="left" w:pos="540"/>
          <w:tab w:val="left" w:pos="569"/>
        </w:tabs>
        <w:jc w:val="both"/>
        <w:rPr>
          <w:bCs/>
          <w:sz w:val="22"/>
          <w:szCs w:val="22"/>
          <w:lang w:val="it-IT"/>
        </w:rPr>
      </w:pPr>
      <w:r w:rsidRPr="003F4415">
        <w:rPr>
          <w:bCs/>
          <w:iCs/>
          <w:sz w:val="22"/>
          <w:szCs w:val="22"/>
          <w:u w:val="single"/>
          <w:lang w:val="sr-Latn-CS"/>
        </w:rPr>
        <w:t xml:space="preserve">Fiasp, 100 </w:t>
      </w:r>
      <w:r w:rsidRPr="003F4415">
        <w:rPr>
          <w:sz w:val="22"/>
          <w:szCs w:val="22"/>
          <w:u w:val="single"/>
          <w:lang w:val="pl-PL"/>
        </w:rPr>
        <w:t>jedinica</w:t>
      </w:r>
      <w:r w:rsidRPr="003F4415">
        <w:rPr>
          <w:bCs/>
          <w:iCs/>
          <w:sz w:val="22"/>
          <w:szCs w:val="22"/>
          <w:u w:val="single"/>
          <w:lang w:val="sr-Latn-CS"/>
        </w:rPr>
        <w:t>/m</w:t>
      </w:r>
      <w:r w:rsidR="00F74A6F">
        <w:rPr>
          <w:bCs/>
          <w:iCs/>
          <w:sz w:val="22"/>
          <w:szCs w:val="22"/>
          <w:u w:val="single"/>
          <w:lang w:val="sr-Latn-CS"/>
        </w:rPr>
        <w:t>l</w:t>
      </w:r>
      <w:r w:rsidRPr="003F4415">
        <w:rPr>
          <w:bCs/>
          <w:iCs/>
          <w:sz w:val="22"/>
          <w:szCs w:val="22"/>
          <w:u w:val="single"/>
          <w:lang w:val="sr-Latn-CS"/>
        </w:rPr>
        <w:t>, rastvor za injekciju</w:t>
      </w:r>
      <w:r>
        <w:rPr>
          <w:bCs/>
          <w:iCs/>
          <w:sz w:val="22"/>
          <w:szCs w:val="22"/>
          <w:u w:val="single"/>
          <w:lang w:val="sr-Latn-CS"/>
        </w:rPr>
        <w:t xml:space="preserve"> u bočici</w:t>
      </w:r>
    </w:p>
    <w:p w14:paraId="087B03C9" w14:textId="42255FCE" w:rsidR="00701477" w:rsidRPr="00732ABF" w:rsidRDefault="00701477" w:rsidP="001D23DB">
      <w:pPr>
        <w:tabs>
          <w:tab w:val="left" w:pos="540"/>
          <w:tab w:val="left" w:pos="569"/>
        </w:tabs>
        <w:jc w:val="both"/>
        <w:rPr>
          <w:bCs/>
          <w:sz w:val="22"/>
          <w:szCs w:val="22"/>
          <w:lang w:val="it-IT"/>
        </w:rPr>
      </w:pPr>
      <w:proofErr w:type="spellStart"/>
      <w:r w:rsidRPr="00732ABF">
        <w:rPr>
          <w:bCs/>
          <w:sz w:val="22"/>
          <w:szCs w:val="22"/>
          <w:lang w:val="it-IT"/>
        </w:rPr>
        <w:t>Čuvati</w:t>
      </w:r>
      <w:proofErr w:type="spellEnd"/>
      <w:r w:rsidRPr="00732ABF">
        <w:rPr>
          <w:bCs/>
          <w:sz w:val="22"/>
          <w:szCs w:val="22"/>
          <w:lang w:val="it-IT"/>
        </w:rPr>
        <w:t xml:space="preserve"> u </w:t>
      </w:r>
      <w:proofErr w:type="spellStart"/>
      <w:r w:rsidRPr="00732ABF">
        <w:rPr>
          <w:bCs/>
          <w:sz w:val="22"/>
          <w:szCs w:val="22"/>
          <w:lang w:val="it-IT"/>
        </w:rPr>
        <w:t>frižideru</w:t>
      </w:r>
      <w:proofErr w:type="spellEnd"/>
      <w:r w:rsidRPr="00732ABF">
        <w:rPr>
          <w:bCs/>
          <w:sz w:val="22"/>
          <w:szCs w:val="22"/>
          <w:lang w:val="it-IT"/>
        </w:rPr>
        <w:t xml:space="preserve"> (2°C–8°C). Ne </w:t>
      </w:r>
      <w:proofErr w:type="spellStart"/>
      <w:r w:rsidRPr="00732ABF">
        <w:rPr>
          <w:bCs/>
          <w:sz w:val="22"/>
          <w:szCs w:val="22"/>
          <w:lang w:val="it-IT"/>
        </w:rPr>
        <w:t>zamrzavati</w:t>
      </w:r>
      <w:proofErr w:type="spellEnd"/>
      <w:r w:rsidRPr="00732ABF">
        <w:rPr>
          <w:bCs/>
          <w:sz w:val="22"/>
          <w:szCs w:val="22"/>
          <w:lang w:val="it-IT"/>
        </w:rPr>
        <w:t xml:space="preserve">. </w:t>
      </w:r>
      <w:proofErr w:type="spellStart"/>
      <w:r w:rsidRPr="00732ABF">
        <w:rPr>
          <w:bCs/>
          <w:sz w:val="22"/>
          <w:szCs w:val="22"/>
          <w:lang w:val="it-IT"/>
        </w:rPr>
        <w:t>Držati</w:t>
      </w:r>
      <w:proofErr w:type="spellEnd"/>
      <w:r w:rsidRPr="00732ABF">
        <w:rPr>
          <w:bCs/>
          <w:sz w:val="22"/>
          <w:szCs w:val="22"/>
          <w:lang w:val="it-IT"/>
        </w:rPr>
        <w:t xml:space="preserve"> </w:t>
      </w:r>
      <w:proofErr w:type="spellStart"/>
      <w:r w:rsidRPr="00732ABF">
        <w:rPr>
          <w:bCs/>
          <w:sz w:val="22"/>
          <w:szCs w:val="22"/>
          <w:lang w:val="it-IT"/>
        </w:rPr>
        <w:t>dalje</w:t>
      </w:r>
      <w:proofErr w:type="spellEnd"/>
      <w:r w:rsidRPr="00732ABF">
        <w:rPr>
          <w:bCs/>
          <w:sz w:val="22"/>
          <w:szCs w:val="22"/>
          <w:lang w:val="it-IT"/>
        </w:rPr>
        <w:t xml:space="preserve"> od </w:t>
      </w:r>
      <w:proofErr w:type="spellStart"/>
      <w:r w:rsidRPr="00732ABF">
        <w:rPr>
          <w:bCs/>
          <w:sz w:val="22"/>
          <w:szCs w:val="22"/>
          <w:lang w:val="it-IT"/>
        </w:rPr>
        <w:t>elementa</w:t>
      </w:r>
      <w:proofErr w:type="spellEnd"/>
      <w:r w:rsidRPr="00732ABF">
        <w:rPr>
          <w:bCs/>
          <w:sz w:val="22"/>
          <w:szCs w:val="22"/>
          <w:lang w:val="it-IT"/>
        </w:rPr>
        <w:t xml:space="preserve"> za </w:t>
      </w:r>
      <w:proofErr w:type="spellStart"/>
      <w:r w:rsidRPr="00732ABF">
        <w:rPr>
          <w:bCs/>
          <w:sz w:val="22"/>
          <w:szCs w:val="22"/>
          <w:lang w:val="it-IT"/>
        </w:rPr>
        <w:t>zamrzavanje</w:t>
      </w:r>
      <w:proofErr w:type="spellEnd"/>
      <w:r w:rsidRPr="00732ABF">
        <w:rPr>
          <w:bCs/>
          <w:sz w:val="22"/>
          <w:szCs w:val="22"/>
          <w:lang w:val="it-IT"/>
        </w:rPr>
        <w:t xml:space="preserve">. </w:t>
      </w:r>
      <w:proofErr w:type="spellStart"/>
      <w:r w:rsidRPr="00732ABF">
        <w:rPr>
          <w:bCs/>
          <w:sz w:val="22"/>
          <w:szCs w:val="22"/>
          <w:lang w:val="it-IT"/>
        </w:rPr>
        <w:t>Bočicu</w:t>
      </w:r>
      <w:proofErr w:type="spellEnd"/>
      <w:r w:rsidRPr="00732ABF">
        <w:rPr>
          <w:bCs/>
          <w:sz w:val="22"/>
          <w:szCs w:val="22"/>
          <w:lang w:val="it-IT"/>
        </w:rPr>
        <w:t xml:space="preserve"> </w:t>
      </w:r>
      <w:proofErr w:type="spellStart"/>
      <w:r w:rsidRPr="00732ABF">
        <w:rPr>
          <w:bCs/>
          <w:sz w:val="22"/>
          <w:szCs w:val="22"/>
          <w:lang w:val="it-IT"/>
        </w:rPr>
        <w:t>čuvati</w:t>
      </w:r>
      <w:proofErr w:type="spellEnd"/>
      <w:r w:rsidRPr="00732ABF">
        <w:rPr>
          <w:bCs/>
          <w:sz w:val="22"/>
          <w:szCs w:val="22"/>
          <w:lang w:val="it-IT"/>
        </w:rPr>
        <w:t xml:space="preserve"> u </w:t>
      </w:r>
      <w:r w:rsidRPr="00792A21">
        <w:rPr>
          <w:bCs/>
          <w:sz w:val="22"/>
          <w:szCs w:val="22"/>
          <w:lang w:val="pl-PL"/>
        </w:rPr>
        <w:t xml:space="preserve">spoljašnjem pakovanju (kartonskoj kutiji) </w:t>
      </w:r>
      <w:r w:rsidRPr="00732ABF">
        <w:rPr>
          <w:bCs/>
          <w:sz w:val="22"/>
          <w:szCs w:val="22"/>
          <w:lang w:val="it-IT"/>
        </w:rPr>
        <w:t xml:space="preserve">radi </w:t>
      </w:r>
      <w:proofErr w:type="spellStart"/>
      <w:r w:rsidRPr="00732ABF">
        <w:rPr>
          <w:bCs/>
          <w:sz w:val="22"/>
          <w:szCs w:val="22"/>
          <w:lang w:val="it-IT"/>
        </w:rPr>
        <w:t>zaštite</w:t>
      </w:r>
      <w:proofErr w:type="spellEnd"/>
      <w:r w:rsidRPr="00732ABF">
        <w:rPr>
          <w:bCs/>
          <w:sz w:val="22"/>
          <w:szCs w:val="22"/>
          <w:lang w:val="it-IT"/>
        </w:rPr>
        <w:t xml:space="preserve"> od </w:t>
      </w:r>
      <w:proofErr w:type="spellStart"/>
      <w:r w:rsidRPr="00732ABF">
        <w:rPr>
          <w:bCs/>
          <w:sz w:val="22"/>
          <w:szCs w:val="22"/>
          <w:lang w:val="it-IT"/>
        </w:rPr>
        <w:t>svjetlosti</w:t>
      </w:r>
      <w:proofErr w:type="spellEnd"/>
      <w:r w:rsidRPr="00732ABF">
        <w:rPr>
          <w:bCs/>
          <w:sz w:val="22"/>
          <w:szCs w:val="22"/>
          <w:lang w:val="it-IT"/>
        </w:rPr>
        <w:t>.</w:t>
      </w:r>
    </w:p>
    <w:p w14:paraId="724CFC86" w14:textId="77777777" w:rsidR="00701477" w:rsidRPr="00732ABF" w:rsidRDefault="00701477" w:rsidP="001D23DB">
      <w:pPr>
        <w:tabs>
          <w:tab w:val="left" w:pos="540"/>
          <w:tab w:val="left" w:pos="569"/>
        </w:tabs>
        <w:jc w:val="both"/>
        <w:rPr>
          <w:bCs/>
          <w:sz w:val="22"/>
          <w:szCs w:val="22"/>
          <w:lang w:val="it-IT"/>
        </w:rPr>
      </w:pPr>
    </w:p>
    <w:p w14:paraId="0E809DF7" w14:textId="583B7D56" w:rsidR="00701477" w:rsidRPr="00701477" w:rsidRDefault="00701477" w:rsidP="001D23DB">
      <w:pPr>
        <w:tabs>
          <w:tab w:val="left" w:pos="540"/>
          <w:tab w:val="left" w:pos="569"/>
        </w:tabs>
        <w:jc w:val="both"/>
        <w:rPr>
          <w:bCs/>
          <w:sz w:val="22"/>
          <w:szCs w:val="22"/>
          <w:lang w:val="it-IT"/>
        </w:rPr>
      </w:pPr>
      <w:r w:rsidRPr="00732ABF">
        <w:rPr>
          <w:bCs/>
          <w:sz w:val="22"/>
          <w:szCs w:val="22"/>
          <w:lang w:val="it-IT"/>
        </w:rPr>
        <w:t xml:space="preserve">Za </w:t>
      </w:r>
      <w:proofErr w:type="spellStart"/>
      <w:r w:rsidRPr="00732ABF">
        <w:rPr>
          <w:bCs/>
          <w:sz w:val="22"/>
          <w:szCs w:val="22"/>
          <w:lang w:val="it-IT"/>
        </w:rPr>
        <w:t>uslove</w:t>
      </w:r>
      <w:proofErr w:type="spellEnd"/>
      <w:r w:rsidRPr="00732ABF">
        <w:rPr>
          <w:bCs/>
          <w:sz w:val="22"/>
          <w:szCs w:val="22"/>
          <w:lang w:val="it-IT"/>
        </w:rPr>
        <w:t xml:space="preserve"> </w:t>
      </w:r>
      <w:proofErr w:type="spellStart"/>
      <w:r w:rsidRPr="00732ABF">
        <w:rPr>
          <w:bCs/>
          <w:sz w:val="22"/>
          <w:szCs w:val="22"/>
          <w:lang w:val="it-IT"/>
        </w:rPr>
        <w:t>čuvanja</w:t>
      </w:r>
      <w:proofErr w:type="spellEnd"/>
      <w:r w:rsidRPr="00732ABF">
        <w:rPr>
          <w:bCs/>
          <w:sz w:val="22"/>
          <w:szCs w:val="22"/>
          <w:lang w:val="it-IT"/>
        </w:rPr>
        <w:t xml:space="preserve"> </w:t>
      </w:r>
      <w:proofErr w:type="spellStart"/>
      <w:r w:rsidRPr="00732ABF">
        <w:rPr>
          <w:bCs/>
          <w:sz w:val="22"/>
          <w:szCs w:val="22"/>
          <w:lang w:val="it-IT"/>
        </w:rPr>
        <w:t>nakon</w:t>
      </w:r>
      <w:proofErr w:type="spellEnd"/>
      <w:r w:rsidRPr="00732ABF">
        <w:rPr>
          <w:bCs/>
          <w:sz w:val="22"/>
          <w:szCs w:val="22"/>
          <w:lang w:val="it-IT"/>
        </w:rPr>
        <w:t xml:space="preserve"> </w:t>
      </w:r>
      <w:proofErr w:type="spellStart"/>
      <w:r w:rsidRPr="00732ABF">
        <w:rPr>
          <w:bCs/>
          <w:sz w:val="22"/>
          <w:szCs w:val="22"/>
          <w:lang w:val="it-IT"/>
        </w:rPr>
        <w:t>prvog</w:t>
      </w:r>
      <w:proofErr w:type="spellEnd"/>
      <w:r w:rsidRPr="00732ABF">
        <w:rPr>
          <w:bCs/>
          <w:sz w:val="22"/>
          <w:szCs w:val="22"/>
          <w:lang w:val="it-IT"/>
        </w:rPr>
        <w:t xml:space="preserve"> </w:t>
      </w:r>
      <w:proofErr w:type="spellStart"/>
      <w:r w:rsidRPr="00732ABF">
        <w:rPr>
          <w:bCs/>
          <w:sz w:val="22"/>
          <w:szCs w:val="22"/>
          <w:lang w:val="it-IT"/>
        </w:rPr>
        <w:t>otvaranja</w:t>
      </w:r>
      <w:proofErr w:type="spellEnd"/>
      <w:r w:rsidRPr="00732ABF">
        <w:rPr>
          <w:bCs/>
          <w:sz w:val="22"/>
          <w:szCs w:val="22"/>
          <w:lang w:val="it-IT"/>
        </w:rPr>
        <w:t xml:space="preserve"> ili </w:t>
      </w:r>
      <w:proofErr w:type="spellStart"/>
      <w:r w:rsidRPr="00732ABF">
        <w:rPr>
          <w:bCs/>
          <w:sz w:val="22"/>
          <w:szCs w:val="22"/>
          <w:lang w:val="it-IT"/>
        </w:rPr>
        <w:t>ako</w:t>
      </w:r>
      <w:proofErr w:type="spellEnd"/>
      <w:r w:rsidRPr="00732ABF">
        <w:rPr>
          <w:bCs/>
          <w:sz w:val="22"/>
          <w:szCs w:val="22"/>
          <w:lang w:val="it-IT"/>
        </w:rPr>
        <w:t xml:space="preserve"> se </w:t>
      </w:r>
      <w:proofErr w:type="spellStart"/>
      <w:r w:rsidRPr="00732ABF">
        <w:rPr>
          <w:bCs/>
          <w:sz w:val="22"/>
          <w:szCs w:val="22"/>
          <w:lang w:val="it-IT"/>
        </w:rPr>
        <w:t>nosi</w:t>
      </w:r>
      <w:proofErr w:type="spellEnd"/>
      <w:r w:rsidRPr="00732ABF">
        <w:rPr>
          <w:bCs/>
          <w:sz w:val="22"/>
          <w:szCs w:val="22"/>
          <w:lang w:val="it-IT"/>
        </w:rPr>
        <w:t xml:space="preserve"> </w:t>
      </w:r>
      <w:proofErr w:type="spellStart"/>
      <w:r w:rsidRPr="00732ABF">
        <w:rPr>
          <w:bCs/>
          <w:sz w:val="22"/>
          <w:szCs w:val="22"/>
          <w:lang w:val="it-IT"/>
        </w:rPr>
        <w:t>kao</w:t>
      </w:r>
      <w:proofErr w:type="spellEnd"/>
      <w:r w:rsidRPr="00732ABF">
        <w:rPr>
          <w:bCs/>
          <w:sz w:val="22"/>
          <w:szCs w:val="22"/>
          <w:lang w:val="it-IT"/>
        </w:rPr>
        <w:t xml:space="preserve"> </w:t>
      </w:r>
      <w:proofErr w:type="spellStart"/>
      <w:r w:rsidRPr="00732ABF">
        <w:rPr>
          <w:bCs/>
          <w:sz w:val="22"/>
          <w:szCs w:val="22"/>
          <w:lang w:val="it-IT"/>
        </w:rPr>
        <w:t>rezervni</w:t>
      </w:r>
      <w:proofErr w:type="spellEnd"/>
      <w:r w:rsidRPr="00732ABF">
        <w:rPr>
          <w:bCs/>
          <w:sz w:val="22"/>
          <w:szCs w:val="22"/>
          <w:lang w:val="it-IT"/>
        </w:rPr>
        <w:t xml:space="preserve">, </w:t>
      </w:r>
      <w:proofErr w:type="spellStart"/>
      <w:r w:rsidRPr="00732ABF">
        <w:rPr>
          <w:bCs/>
          <w:sz w:val="22"/>
          <w:szCs w:val="22"/>
          <w:lang w:val="it-IT"/>
        </w:rPr>
        <w:t>vidjeti</w:t>
      </w:r>
      <w:proofErr w:type="spellEnd"/>
      <w:r w:rsidRPr="00732ABF">
        <w:rPr>
          <w:bCs/>
          <w:sz w:val="22"/>
          <w:szCs w:val="22"/>
          <w:lang w:val="it-IT"/>
        </w:rPr>
        <w:t xml:space="preserve"> </w:t>
      </w:r>
      <w:r w:rsidR="0077787F">
        <w:rPr>
          <w:bCs/>
          <w:sz w:val="22"/>
          <w:szCs w:val="22"/>
          <w:lang w:val="it-IT"/>
        </w:rPr>
        <w:t>dio</w:t>
      </w:r>
      <w:r w:rsidR="0077787F" w:rsidRPr="00732ABF">
        <w:rPr>
          <w:bCs/>
          <w:sz w:val="22"/>
          <w:szCs w:val="22"/>
          <w:lang w:val="it-IT"/>
        </w:rPr>
        <w:t xml:space="preserve"> </w:t>
      </w:r>
      <w:r w:rsidRPr="00732ABF">
        <w:rPr>
          <w:bCs/>
          <w:sz w:val="22"/>
          <w:szCs w:val="22"/>
          <w:lang w:val="it-IT"/>
        </w:rPr>
        <w:t>6.3.</w:t>
      </w:r>
    </w:p>
    <w:p w14:paraId="7738B4D0" w14:textId="77777777" w:rsidR="00701477" w:rsidRPr="00701477" w:rsidRDefault="00701477" w:rsidP="001D23DB">
      <w:pPr>
        <w:tabs>
          <w:tab w:val="left" w:pos="540"/>
          <w:tab w:val="left" w:pos="569"/>
        </w:tabs>
        <w:jc w:val="both"/>
        <w:rPr>
          <w:bCs/>
          <w:sz w:val="22"/>
          <w:szCs w:val="22"/>
          <w:lang w:val="it-IT"/>
        </w:rPr>
      </w:pPr>
    </w:p>
    <w:p w14:paraId="557D9695" w14:textId="77777777" w:rsidR="0072020E" w:rsidRPr="000F6B37" w:rsidRDefault="0072020E" w:rsidP="001D23DB">
      <w:pPr>
        <w:tabs>
          <w:tab w:val="left" w:pos="540"/>
          <w:tab w:val="left" w:pos="569"/>
        </w:tabs>
        <w:jc w:val="both"/>
        <w:rPr>
          <w:b/>
          <w:bCs/>
          <w:sz w:val="22"/>
          <w:szCs w:val="22"/>
          <w:lang w:val="it-IT"/>
        </w:rPr>
      </w:pPr>
      <w:r w:rsidRPr="000F6B37">
        <w:rPr>
          <w:b/>
          <w:bCs/>
          <w:sz w:val="22"/>
          <w:szCs w:val="22"/>
          <w:lang w:val="it-IT"/>
        </w:rPr>
        <w:t xml:space="preserve">6.5. </w:t>
      </w:r>
      <w:r w:rsidR="00480FB1" w:rsidRPr="000F6B37">
        <w:rPr>
          <w:b/>
          <w:bCs/>
          <w:sz w:val="22"/>
          <w:szCs w:val="22"/>
          <w:lang w:val="it-IT"/>
        </w:rPr>
        <w:tab/>
      </w:r>
      <w:proofErr w:type="spellStart"/>
      <w:r w:rsidR="002846DB" w:rsidRPr="000F6B37">
        <w:rPr>
          <w:b/>
          <w:bCs/>
          <w:sz w:val="22"/>
          <w:szCs w:val="22"/>
          <w:lang w:val="it-IT"/>
        </w:rPr>
        <w:t>Vrsta</w:t>
      </w:r>
      <w:proofErr w:type="spellEnd"/>
      <w:r w:rsidR="002846DB" w:rsidRPr="000F6B37">
        <w:rPr>
          <w:b/>
          <w:bCs/>
          <w:sz w:val="22"/>
          <w:szCs w:val="22"/>
          <w:lang w:val="it-IT"/>
        </w:rPr>
        <w:t xml:space="preserve"> i </w:t>
      </w:r>
      <w:proofErr w:type="spellStart"/>
      <w:r w:rsidR="002846DB" w:rsidRPr="000F6B37">
        <w:rPr>
          <w:b/>
          <w:bCs/>
          <w:sz w:val="22"/>
          <w:szCs w:val="22"/>
          <w:lang w:val="it-IT"/>
        </w:rPr>
        <w:t>sadržaj</w:t>
      </w:r>
      <w:proofErr w:type="spellEnd"/>
      <w:r w:rsidR="002846DB" w:rsidRPr="000F6B37">
        <w:rPr>
          <w:b/>
          <w:bCs/>
          <w:sz w:val="22"/>
          <w:szCs w:val="22"/>
          <w:lang w:val="it-IT"/>
        </w:rPr>
        <w:t xml:space="preserve"> </w:t>
      </w:r>
      <w:proofErr w:type="spellStart"/>
      <w:r w:rsidR="00F8570A" w:rsidRPr="000F6B37">
        <w:rPr>
          <w:b/>
          <w:bCs/>
          <w:sz w:val="22"/>
          <w:szCs w:val="22"/>
          <w:lang w:val="it-IT"/>
        </w:rPr>
        <w:t>pakovanja</w:t>
      </w:r>
      <w:proofErr w:type="spellEnd"/>
      <w:r w:rsidR="00C06864" w:rsidRPr="000F6B37">
        <w:rPr>
          <w:b/>
          <w:bCs/>
          <w:sz w:val="22"/>
          <w:szCs w:val="22"/>
          <w:lang w:val="it-IT"/>
        </w:rPr>
        <w:t xml:space="preserve"> </w:t>
      </w:r>
    </w:p>
    <w:p w14:paraId="4E06B841" w14:textId="77777777" w:rsidR="0072020E" w:rsidRPr="000F6B37" w:rsidRDefault="0072020E" w:rsidP="001D23DB">
      <w:pPr>
        <w:tabs>
          <w:tab w:val="left" w:pos="540"/>
          <w:tab w:val="left" w:pos="569"/>
        </w:tabs>
        <w:jc w:val="both"/>
        <w:rPr>
          <w:bCs/>
          <w:sz w:val="22"/>
          <w:szCs w:val="22"/>
          <w:lang w:val="it-IT"/>
        </w:rPr>
      </w:pPr>
    </w:p>
    <w:p w14:paraId="72D7858E" w14:textId="2298B3E0" w:rsidR="00701477" w:rsidRPr="000F6B37" w:rsidRDefault="00701477" w:rsidP="001D23DB">
      <w:pPr>
        <w:tabs>
          <w:tab w:val="left" w:pos="540"/>
          <w:tab w:val="left" w:pos="569"/>
        </w:tabs>
        <w:jc w:val="both"/>
        <w:rPr>
          <w:bCs/>
          <w:sz w:val="22"/>
          <w:szCs w:val="22"/>
          <w:lang w:val="it-IT"/>
        </w:rPr>
      </w:pPr>
      <w:r w:rsidRPr="003F4415">
        <w:rPr>
          <w:sz w:val="22"/>
          <w:szCs w:val="22"/>
          <w:u w:val="single"/>
          <w:lang w:val="pl-PL"/>
        </w:rPr>
        <w:t>Fiasp FlexTouch, 100 jedinica/m</w:t>
      </w:r>
      <w:r w:rsidR="00F74A6F">
        <w:rPr>
          <w:sz w:val="22"/>
          <w:szCs w:val="22"/>
          <w:u w:val="single"/>
          <w:lang w:val="pl-PL"/>
        </w:rPr>
        <w:t>l</w:t>
      </w:r>
      <w:r w:rsidRPr="003F4415">
        <w:rPr>
          <w:sz w:val="22"/>
          <w:szCs w:val="22"/>
          <w:u w:val="single"/>
          <w:lang w:val="pl-PL"/>
        </w:rPr>
        <w:t>, rastvor za injekciju u napunjenom injekcionom penu</w:t>
      </w:r>
    </w:p>
    <w:p w14:paraId="512B80A9" w14:textId="77777777" w:rsidR="00701477" w:rsidRPr="000F6B37" w:rsidRDefault="00701477" w:rsidP="001D23DB">
      <w:pPr>
        <w:tabs>
          <w:tab w:val="left" w:pos="540"/>
          <w:tab w:val="left" w:pos="569"/>
        </w:tabs>
        <w:jc w:val="both"/>
        <w:rPr>
          <w:bCs/>
          <w:sz w:val="22"/>
          <w:szCs w:val="22"/>
          <w:lang w:val="it-IT"/>
        </w:rPr>
      </w:pPr>
      <w:proofErr w:type="spellStart"/>
      <w:r w:rsidRPr="000F6B37">
        <w:rPr>
          <w:bCs/>
          <w:sz w:val="22"/>
          <w:szCs w:val="22"/>
          <w:lang w:val="it-IT"/>
        </w:rPr>
        <w:t>Uložak</w:t>
      </w:r>
      <w:proofErr w:type="spellEnd"/>
      <w:r w:rsidRPr="000F6B37">
        <w:rPr>
          <w:bCs/>
          <w:sz w:val="22"/>
          <w:szCs w:val="22"/>
          <w:lang w:val="it-IT"/>
        </w:rPr>
        <w:t xml:space="preserve"> (</w:t>
      </w:r>
      <w:proofErr w:type="spellStart"/>
      <w:r w:rsidRPr="000F6B37">
        <w:rPr>
          <w:bCs/>
          <w:sz w:val="22"/>
          <w:szCs w:val="22"/>
          <w:lang w:val="it-IT"/>
        </w:rPr>
        <w:t>staklo</w:t>
      </w:r>
      <w:proofErr w:type="spellEnd"/>
      <w:r w:rsidRPr="000F6B37">
        <w:rPr>
          <w:bCs/>
          <w:sz w:val="22"/>
          <w:szCs w:val="22"/>
          <w:lang w:val="it-IT"/>
        </w:rPr>
        <w:t xml:space="preserve"> </w:t>
      </w:r>
      <w:proofErr w:type="spellStart"/>
      <w:r w:rsidRPr="000F6B37">
        <w:rPr>
          <w:bCs/>
          <w:sz w:val="22"/>
          <w:szCs w:val="22"/>
          <w:lang w:val="it-IT"/>
        </w:rPr>
        <w:t>tip</w:t>
      </w:r>
      <w:proofErr w:type="spellEnd"/>
      <w:r w:rsidRPr="000F6B37">
        <w:rPr>
          <w:bCs/>
          <w:sz w:val="22"/>
          <w:szCs w:val="22"/>
          <w:lang w:val="it-IT"/>
        </w:rPr>
        <w:t xml:space="preserve"> I) sa </w:t>
      </w:r>
      <w:proofErr w:type="spellStart"/>
      <w:r w:rsidRPr="000F6B37">
        <w:rPr>
          <w:bCs/>
          <w:sz w:val="22"/>
          <w:szCs w:val="22"/>
          <w:lang w:val="it-IT"/>
        </w:rPr>
        <w:t>klipom</w:t>
      </w:r>
      <w:proofErr w:type="spellEnd"/>
      <w:r w:rsidRPr="000F6B37">
        <w:rPr>
          <w:bCs/>
          <w:sz w:val="22"/>
          <w:szCs w:val="22"/>
          <w:lang w:val="it-IT"/>
        </w:rPr>
        <w:t xml:space="preserve"> (</w:t>
      </w:r>
      <w:proofErr w:type="spellStart"/>
      <w:r w:rsidRPr="000F6B37">
        <w:rPr>
          <w:bCs/>
          <w:sz w:val="22"/>
          <w:szCs w:val="22"/>
          <w:lang w:val="it-IT"/>
        </w:rPr>
        <w:t>halobutil</w:t>
      </w:r>
      <w:proofErr w:type="spellEnd"/>
      <w:r w:rsidRPr="000F6B37">
        <w:rPr>
          <w:bCs/>
          <w:sz w:val="22"/>
          <w:szCs w:val="22"/>
          <w:lang w:val="it-IT"/>
        </w:rPr>
        <w:t xml:space="preserve">) i </w:t>
      </w:r>
      <w:proofErr w:type="spellStart"/>
      <w:r w:rsidRPr="000F6B37">
        <w:rPr>
          <w:bCs/>
          <w:sz w:val="22"/>
          <w:szCs w:val="22"/>
          <w:lang w:val="it-IT"/>
        </w:rPr>
        <w:t>zatvaračem</w:t>
      </w:r>
      <w:proofErr w:type="spellEnd"/>
      <w:r w:rsidRPr="000F6B37">
        <w:rPr>
          <w:bCs/>
          <w:sz w:val="22"/>
          <w:szCs w:val="22"/>
          <w:lang w:val="it-IT"/>
        </w:rPr>
        <w:t xml:space="preserve"> (</w:t>
      </w:r>
      <w:proofErr w:type="spellStart"/>
      <w:r w:rsidRPr="000F6B37">
        <w:rPr>
          <w:bCs/>
          <w:sz w:val="22"/>
          <w:szCs w:val="22"/>
          <w:lang w:val="it-IT"/>
        </w:rPr>
        <w:t>halobutil</w:t>
      </w:r>
      <w:proofErr w:type="spellEnd"/>
      <w:r w:rsidRPr="000F6B37">
        <w:rPr>
          <w:bCs/>
          <w:sz w:val="22"/>
          <w:szCs w:val="22"/>
          <w:lang w:val="it-IT"/>
        </w:rPr>
        <w:t>/</w:t>
      </w:r>
      <w:proofErr w:type="spellStart"/>
      <w:r w:rsidRPr="000F6B37">
        <w:rPr>
          <w:bCs/>
          <w:sz w:val="22"/>
          <w:szCs w:val="22"/>
          <w:lang w:val="it-IT"/>
        </w:rPr>
        <w:t>poliizopren</w:t>
      </w:r>
      <w:proofErr w:type="spellEnd"/>
      <w:r w:rsidRPr="000F6B37">
        <w:rPr>
          <w:bCs/>
          <w:sz w:val="22"/>
          <w:szCs w:val="22"/>
          <w:lang w:val="it-IT"/>
        </w:rPr>
        <w:t xml:space="preserve">) </w:t>
      </w:r>
      <w:proofErr w:type="spellStart"/>
      <w:r w:rsidRPr="000F6B37">
        <w:rPr>
          <w:bCs/>
          <w:sz w:val="22"/>
          <w:szCs w:val="22"/>
          <w:lang w:val="it-IT"/>
        </w:rPr>
        <w:t>nalazi</w:t>
      </w:r>
      <w:proofErr w:type="spellEnd"/>
      <w:r w:rsidRPr="000F6B37">
        <w:rPr>
          <w:bCs/>
          <w:sz w:val="22"/>
          <w:szCs w:val="22"/>
          <w:lang w:val="it-IT"/>
        </w:rPr>
        <w:t xml:space="preserve"> se u </w:t>
      </w:r>
      <w:proofErr w:type="spellStart"/>
      <w:r w:rsidRPr="000F6B37">
        <w:rPr>
          <w:bCs/>
          <w:sz w:val="22"/>
          <w:szCs w:val="22"/>
          <w:lang w:val="it-IT"/>
        </w:rPr>
        <w:t>napunjenom</w:t>
      </w:r>
      <w:proofErr w:type="spellEnd"/>
      <w:r w:rsidRPr="000F6B37">
        <w:rPr>
          <w:bCs/>
          <w:sz w:val="22"/>
          <w:szCs w:val="22"/>
          <w:lang w:val="it-IT"/>
        </w:rPr>
        <w:t xml:space="preserve"> </w:t>
      </w:r>
      <w:proofErr w:type="spellStart"/>
      <w:r w:rsidRPr="000F6B37">
        <w:rPr>
          <w:bCs/>
          <w:sz w:val="22"/>
          <w:szCs w:val="22"/>
          <w:lang w:val="it-IT"/>
        </w:rPr>
        <w:t>višedoznom</w:t>
      </w:r>
      <w:proofErr w:type="spellEnd"/>
      <w:r w:rsidRPr="000F6B37">
        <w:rPr>
          <w:bCs/>
          <w:sz w:val="22"/>
          <w:szCs w:val="22"/>
          <w:lang w:val="it-IT"/>
        </w:rPr>
        <w:t xml:space="preserve"> </w:t>
      </w:r>
      <w:proofErr w:type="spellStart"/>
      <w:r w:rsidRPr="000F6B37">
        <w:rPr>
          <w:bCs/>
          <w:sz w:val="22"/>
          <w:szCs w:val="22"/>
          <w:lang w:val="it-IT"/>
        </w:rPr>
        <w:t>injekcionom</w:t>
      </w:r>
      <w:proofErr w:type="spellEnd"/>
      <w:r w:rsidRPr="000F6B37">
        <w:rPr>
          <w:bCs/>
          <w:sz w:val="22"/>
          <w:szCs w:val="22"/>
          <w:lang w:val="it-IT"/>
        </w:rPr>
        <w:t xml:space="preserve"> </w:t>
      </w:r>
      <w:proofErr w:type="spellStart"/>
      <w:r w:rsidRPr="000F6B37">
        <w:rPr>
          <w:bCs/>
          <w:sz w:val="22"/>
          <w:szCs w:val="22"/>
          <w:lang w:val="it-IT"/>
        </w:rPr>
        <w:t>penu</w:t>
      </w:r>
      <w:proofErr w:type="spellEnd"/>
      <w:r w:rsidRPr="000F6B37">
        <w:rPr>
          <w:bCs/>
          <w:sz w:val="22"/>
          <w:szCs w:val="22"/>
          <w:lang w:val="it-IT"/>
        </w:rPr>
        <w:t xml:space="preserve"> od </w:t>
      </w:r>
      <w:proofErr w:type="spellStart"/>
      <w:r w:rsidRPr="000F6B37">
        <w:rPr>
          <w:bCs/>
          <w:sz w:val="22"/>
          <w:szCs w:val="22"/>
          <w:lang w:val="it-IT"/>
        </w:rPr>
        <w:t>polipropilena</w:t>
      </w:r>
      <w:proofErr w:type="spellEnd"/>
      <w:r w:rsidRPr="000F6B37">
        <w:rPr>
          <w:bCs/>
          <w:sz w:val="22"/>
          <w:szCs w:val="22"/>
          <w:lang w:val="it-IT"/>
        </w:rPr>
        <w:t xml:space="preserve">, </w:t>
      </w:r>
      <w:proofErr w:type="spellStart"/>
      <w:r w:rsidRPr="000F6B37">
        <w:rPr>
          <w:bCs/>
          <w:sz w:val="22"/>
          <w:szCs w:val="22"/>
          <w:lang w:val="it-IT"/>
        </w:rPr>
        <w:t>polioksimetilena</w:t>
      </w:r>
      <w:proofErr w:type="spellEnd"/>
      <w:r w:rsidRPr="000F6B37">
        <w:rPr>
          <w:bCs/>
          <w:sz w:val="22"/>
          <w:szCs w:val="22"/>
          <w:lang w:val="it-IT"/>
        </w:rPr>
        <w:t xml:space="preserve">, </w:t>
      </w:r>
      <w:proofErr w:type="spellStart"/>
      <w:r w:rsidRPr="000F6B37">
        <w:rPr>
          <w:bCs/>
          <w:sz w:val="22"/>
          <w:szCs w:val="22"/>
          <w:lang w:val="it-IT"/>
        </w:rPr>
        <w:t>polikarbonata</w:t>
      </w:r>
      <w:proofErr w:type="spellEnd"/>
      <w:r w:rsidRPr="000F6B37">
        <w:rPr>
          <w:bCs/>
          <w:sz w:val="22"/>
          <w:szCs w:val="22"/>
          <w:lang w:val="it-IT"/>
        </w:rPr>
        <w:t xml:space="preserve"> i </w:t>
      </w:r>
      <w:proofErr w:type="spellStart"/>
      <w:r w:rsidRPr="000F6B37">
        <w:rPr>
          <w:bCs/>
          <w:sz w:val="22"/>
          <w:szCs w:val="22"/>
          <w:lang w:val="it-IT"/>
        </w:rPr>
        <w:t>akrilonitril</w:t>
      </w:r>
      <w:proofErr w:type="spellEnd"/>
      <w:r w:rsidRPr="000F6B37">
        <w:rPr>
          <w:bCs/>
          <w:sz w:val="22"/>
          <w:szCs w:val="22"/>
          <w:lang w:val="it-IT"/>
        </w:rPr>
        <w:t xml:space="preserve"> </w:t>
      </w:r>
      <w:proofErr w:type="spellStart"/>
      <w:r w:rsidRPr="000F6B37">
        <w:rPr>
          <w:bCs/>
          <w:sz w:val="22"/>
          <w:szCs w:val="22"/>
          <w:lang w:val="it-IT"/>
        </w:rPr>
        <w:t>butadien</w:t>
      </w:r>
      <w:proofErr w:type="spellEnd"/>
      <w:r w:rsidRPr="000F6B37">
        <w:rPr>
          <w:bCs/>
          <w:sz w:val="22"/>
          <w:szCs w:val="22"/>
          <w:lang w:val="it-IT"/>
        </w:rPr>
        <w:t xml:space="preserve"> </w:t>
      </w:r>
      <w:proofErr w:type="spellStart"/>
      <w:r w:rsidRPr="000F6B37">
        <w:rPr>
          <w:bCs/>
          <w:sz w:val="22"/>
          <w:szCs w:val="22"/>
          <w:lang w:val="it-IT"/>
        </w:rPr>
        <w:t>stirena</w:t>
      </w:r>
      <w:proofErr w:type="spellEnd"/>
      <w:r w:rsidRPr="000F6B37">
        <w:rPr>
          <w:bCs/>
          <w:sz w:val="22"/>
          <w:szCs w:val="22"/>
          <w:lang w:val="it-IT"/>
        </w:rPr>
        <w:t xml:space="preserve">, </w:t>
      </w:r>
      <w:proofErr w:type="spellStart"/>
      <w:r w:rsidRPr="000F6B37">
        <w:rPr>
          <w:bCs/>
          <w:sz w:val="22"/>
          <w:szCs w:val="22"/>
          <w:lang w:val="it-IT"/>
        </w:rPr>
        <w:t>koji</w:t>
      </w:r>
      <w:proofErr w:type="spellEnd"/>
      <w:r w:rsidRPr="000F6B37">
        <w:rPr>
          <w:bCs/>
          <w:sz w:val="22"/>
          <w:szCs w:val="22"/>
          <w:lang w:val="it-IT"/>
        </w:rPr>
        <w:t xml:space="preserve"> se </w:t>
      </w:r>
      <w:proofErr w:type="spellStart"/>
      <w:r w:rsidRPr="000F6B37">
        <w:rPr>
          <w:bCs/>
          <w:sz w:val="22"/>
          <w:szCs w:val="22"/>
          <w:lang w:val="it-IT"/>
        </w:rPr>
        <w:t>nakon</w:t>
      </w:r>
      <w:proofErr w:type="spellEnd"/>
      <w:r w:rsidRPr="000F6B37">
        <w:rPr>
          <w:bCs/>
          <w:sz w:val="22"/>
          <w:szCs w:val="22"/>
          <w:lang w:val="it-IT"/>
        </w:rPr>
        <w:t xml:space="preserve"> </w:t>
      </w:r>
      <w:proofErr w:type="spellStart"/>
      <w:r w:rsidRPr="000F6B37">
        <w:rPr>
          <w:bCs/>
          <w:sz w:val="22"/>
          <w:szCs w:val="22"/>
          <w:lang w:val="it-IT"/>
        </w:rPr>
        <w:t>što</w:t>
      </w:r>
      <w:proofErr w:type="spellEnd"/>
      <w:r w:rsidRPr="000F6B37">
        <w:rPr>
          <w:bCs/>
          <w:sz w:val="22"/>
          <w:szCs w:val="22"/>
          <w:lang w:val="it-IT"/>
        </w:rPr>
        <w:t xml:space="preserve"> se </w:t>
      </w:r>
      <w:proofErr w:type="spellStart"/>
      <w:r w:rsidRPr="000F6B37">
        <w:rPr>
          <w:bCs/>
          <w:sz w:val="22"/>
          <w:szCs w:val="22"/>
          <w:lang w:val="it-IT"/>
        </w:rPr>
        <w:t>potroši</w:t>
      </w:r>
      <w:proofErr w:type="spellEnd"/>
      <w:r w:rsidRPr="000F6B37">
        <w:rPr>
          <w:bCs/>
          <w:sz w:val="22"/>
          <w:szCs w:val="22"/>
          <w:lang w:val="it-IT"/>
        </w:rPr>
        <w:t xml:space="preserve"> baca.</w:t>
      </w:r>
    </w:p>
    <w:p w14:paraId="0CF3B8C7" w14:textId="77777777" w:rsidR="00701477" w:rsidRPr="000F6B37" w:rsidRDefault="00701477" w:rsidP="001D23DB">
      <w:pPr>
        <w:tabs>
          <w:tab w:val="left" w:pos="540"/>
          <w:tab w:val="left" w:pos="569"/>
        </w:tabs>
        <w:jc w:val="both"/>
        <w:rPr>
          <w:bCs/>
          <w:sz w:val="22"/>
          <w:szCs w:val="22"/>
          <w:lang w:val="it-IT"/>
        </w:rPr>
      </w:pPr>
      <w:proofErr w:type="spellStart"/>
      <w:r w:rsidRPr="000F6B37">
        <w:rPr>
          <w:bCs/>
          <w:sz w:val="22"/>
          <w:szCs w:val="22"/>
          <w:lang w:val="it-IT"/>
        </w:rPr>
        <w:t>Svaki</w:t>
      </w:r>
      <w:proofErr w:type="spellEnd"/>
      <w:r w:rsidRPr="000F6B37">
        <w:rPr>
          <w:bCs/>
          <w:sz w:val="22"/>
          <w:szCs w:val="22"/>
          <w:lang w:val="it-IT"/>
        </w:rPr>
        <w:t xml:space="preserve"> </w:t>
      </w:r>
      <w:proofErr w:type="spellStart"/>
      <w:r w:rsidRPr="000F6B37">
        <w:rPr>
          <w:bCs/>
          <w:sz w:val="22"/>
          <w:szCs w:val="22"/>
          <w:lang w:val="it-IT"/>
        </w:rPr>
        <w:t>napunjeni</w:t>
      </w:r>
      <w:proofErr w:type="spellEnd"/>
      <w:r w:rsidRPr="000F6B37">
        <w:rPr>
          <w:bCs/>
          <w:sz w:val="22"/>
          <w:szCs w:val="22"/>
          <w:lang w:val="it-IT"/>
        </w:rPr>
        <w:t xml:space="preserve"> </w:t>
      </w:r>
      <w:proofErr w:type="spellStart"/>
      <w:r w:rsidRPr="000F6B37">
        <w:rPr>
          <w:bCs/>
          <w:sz w:val="22"/>
          <w:szCs w:val="22"/>
          <w:lang w:val="it-IT"/>
        </w:rPr>
        <w:t>injekcioni</w:t>
      </w:r>
      <w:proofErr w:type="spellEnd"/>
      <w:r w:rsidRPr="000F6B37">
        <w:rPr>
          <w:bCs/>
          <w:sz w:val="22"/>
          <w:szCs w:val="22"/>
          <w:lang w:val="it-IT"/>
        </w:rPr>
        <w:t xml:space="preserve"> </w:t>
      </w:r>
      <w:proofErr w:type="spellStart"/>
      <w:r w:rsidRPr="000F6B37">
        <w:rPr>
          <w:bCs/>
          <w:sz w:val="22"/>
          <w:szCs w:val="22"/>
          <w:lang w:val="it-IT"/>
        </w:rPr>
        <w:t>pen</w:t>
      </w:r>
      <w:proofErr w:type="spellEnd"/>
      <w:r w:rsidRPr="000F6B37">
        <w:rPr>
          <w:bCs/>
          <w:sz w:val="22"/>
          <w:szCs w:val="22"/>
          <w:lang w:val="it-IT"/>
        </w:rPr>
        <w:t xml:space="preserve"> </w:t>
      </w:r>
      <w:proofErr w:type="spellStart"/>
      <w:r w:rsidRPr="000F6B37">
        <w:rPr>
          <w:bCs/>
          <w:sz w:val="22"/>
          <w:szCs w:val="22"/>
          <w:lang w:val="it-IT"/>
        </w:rPr>
        <w:t>sadrži</w:t>
      </w:r>
      <w:proofErr w:type="spellEnd"/>
      <w:r w:rsidRPr="000F6B37">
        <w:rPr>
          <w:bCs/>
          <w:sz w:val="22"/>
          <w:szCs w:val="22"/>
          <w:lang w:val="it-IT"/>
        </w:rPr>
        <w:t xml:space="preserve"> 3 m</w:t>
      </w:r>
      <w:r w:rsidR="00F74A6F" w:rsidRPr="000F6B37">
        <w:rPr>
          <w:bCs/>
          <w:sz w:val="22"/>
          <w:szCs w:val="22"/>
          <w:lang w:val="it-IT"/>
        </w:rPr>
        <w:t>l</w:t>
      </w:r>
      <w:r w:rsidRPr="000F6B37">
        <w:rPr>
          <w:bCs/>
          <w:sz w:val="22"/>
          <w:szCs w:val="22"/>
          <w:lang w:val="it-IT"/>
        </w:rPr>
        <w:t xml:space="preserve"> </w:t>
      </w:r>
      <w:proofErr w:type="spellStart"/>
      <w:r w:rsidRPr="000F6B37">
        <w:rPr>
          <w:bCs/>
          <w:sz w:val="22"/>
          <w:szCs w:val="22"/>
          <w:lang w:val="it-IT"/>
        </w:rPr>
        <w:t>rastvora</w:t>
      </w:r>
      <w:proofErr w:type="spellEnd"/>
      <w:r w:rsidRPr="000F6B37">
        <w:rPr>
          <w:bCs/>
          <w:sz w:val="22"/>
          <w:szCs w:val="22"/>
          <w:lang w:val="it-IT"/>
        </w:rPr>
        <w:t>.</w:t>
      </w:r>
    </w:p>
    <w:p w14:paraId="7D04548D" w14:textId="77777777" w:rsidR="00701477" w:rsidRPr="000F6B37" w:rsidRDefault="00701477" w:rsidP="001D23DB">
      <w:pPr>
        <w:tabs>
          <w:tab w:val="left" w:pos="540"/>
          <w:tab w:val="left" w:pos="569"/>
        </w:tabs>
        <w:jc w:val="both"/>
        <w:rPr>
          <w:bCs/>
          <w:sz w:val="22"/>
          <w:szCs w:val="22"/>
          <w:lang w:val="it-IT"/>
        </w:rPr>
      </w:pPr>
      <w:proofErr w:type="spellStart"/>
      <w:r w:rsidRPr="000F6B37">
        <w:rPr>
          <w:bCs/>
          <w:sz w:val="22"/>
          <w:szCs w:val="22"/>
          <w:lang w:val="it-IT"/>
        </w:rPr>
        <w:t>Spoljašnje</w:t>
      </w:r>
      <w:proofErr w:type="spellEnd"/>
      <w:r w:rsidRPr="000F6B37">
        <w:rPr>
          <w:bCs/>
          <w:sz w:val="22"/>
          <w:szCs w:val="22"/>
          <w:lang w:val="it-IT"/>
        </w:rPr>
        <w:t xml:space="preserve"> </w:t>
      </w:r>
      <w:proofErr w:type="spellStart"/>
      <w:r w:rsidRPr="000F6B37">
        <w:rPr>
          <w:bCs/>
          <w:sz w:val="22"/>
          <w:szCs w:val="22"/>
          <w:lang w:val="it-IT"/>
        </w:rPr>
        <w:t>pakovanje</w:t>
      </w:r>
      <w:proofErr w:type="spellEnd"/>
      <w:r w:rsidRPr="000F6B37">
        <w:rPr>
          <w:bCs/>
          <w:sz w:val="22"/>
          <w:szCs w:val="22"/>
          <w:lang w:val="it-IT"/>
        </w:rPr>
        <w:t xml:space="preserve"> je </w:t>
      </w:r>
      <w:proofErr w:type="spellStart"/>
      <w:r w:rsidRPr="000F6B37">
        <w:rPr>
          <w:bCs/>
          <w:sz w:val="22"/>
          <w:szCs w:val="22"/>
          <w:lang w:val="it-IT"/>
        </w:rPr>
        <w:t>složiva</w:t>
      </w:r>
      <w:proofErr w:type="spellEnd"/>
      <w:r w:rsidRPr="000F6B37">
        <w:rPr>
          <w:bCs/>
          <w:sz w:val="22"/>
          <w:szCs w:val="22"/>
          <w:lang w:val="it-IT"/>
        </w:rPr>
        <w:t xml:space="preserve"> </w:t>
      </w:r>
      <w:proofErr w:type="spellStart"/>
      <w:r w:rsidRPr="000F6B37">
        <w:rPr>
          <w:bCs/>
          <w:sz w:val="22"/>
          <w:szCs w:val="22"/>
          <w:lang w:val="it-IT"/>
        </w:rPr>
        <w:t>kartonska</w:t>
      </w:r>
      <w:proofErr w:type="spellEnd"/>
      <w:r w:rsidRPr="000F6B37">
        <w:rPr>
          <w:bCs/>
          <w:sz w:val="22"/>
          <w:szCs w:val="22"/>
          <w:lang w:val="it-IT"/>
        </w:rPr>
        <w:t xml:space="preserve"> </w:t>
      </w:r>
      <w:proofErr w:type="spellStart"/>
      <w:r w:rsidRPr="000F6B37">
        <w:rPr>
          <w:bCs/>
          <w:sz w:val="22"/>
          <w:szCs w:val="22"/>
          <w:lang w:val="it-IT"/>
        </w:rPr>
        <w:t>kutija</w:t>
      </w:r>
      <w:proofErr w:type="spellEnd"/>
      <w:r w:rsidRPr="000F6B37">
        <w:rPr>
          <w:bCs/>
          <w:sz w:val="22"/>
          <w:szCs w:val="22"/>
          <w:lang w:val="it-IT"/>
        </w:rPr>
        <w:t xml:space="preserve"> </w:t>
      </w:r>
      <w:proofErr w:type="spellStart"/>
      <w:r w:rsidRPr="000F6B37">
        <w:rPr>
          <w:bCs/>
          <w:sz w:val="22"/>
          <w:szCs w:val="22"/>
          <w:lang w:val="it-IT"/>
        </w:rPr>
        <w:t>koja</w:t>
      </w:r>
      <w:proofErr w:type="spellEnd"/>
      <w:r w:rsidRPr="000F6B37">
        <w:rPr>
          <w:bCs/>
          <w:sz w:val="22"/>
          <w:szCs w:val="22"/>
          <w:lang w:val="it-IT"/>
        </w:rPr>
        <w:t xml:space="preserve"> </w:t>
      </w:r>
      <w:proofErr w:type="spellStart"/>
      <w:r w:rsidRPr="000F6B37">
        <w:rPr>
          <w:bCs/>
          <w:sz w:val="22"/>
          <w:szCs w:val="22"/>
          <w:lang w:val="it-IT"/>
        </w:rPr>
        <w:t>sadrži</w:t>
      </w:r>
      <w:proofErr w:type="spellEnd"/>
      <w:r w:rsidRPr="000F6B37">
        <w:rPr>
          <w:bCs/>
          <w:sz w:val="22"/>
          <w:szCs w:val="22"/>
          <w:lang w:val="it-IT"/>
        </w:rPr>
        <w:t xml:space="preserve"> 5 </w:t>
      </w:r>
      <w:proofErr w:type="spellStart"/>
      <w:r w:rsidRPr="000F6B37">
        <w:rPr>
          <w:bCs/>
          <w:sz w:val="22"/>
          <w:szCs w:val="22"/>
          <w:lang w:val="it-IT"/>
        </w:rPr>
        <w:t>napunjenih</w:t>
      </w:r>
      <w:proofErr w:type="spellEnd"/>
      <w:r w:rsidRPr="000F6B37">
        <w:rPr>
          <w:bCs/>
          <w:sz w:val="22"/>
          <w:szCs w:val="22"/>
          <w:lang w:val="it-IT"/>
        </w:rPr>
        <w:t xml:space="preserve"> </w:t>
      </w:r>
      <w:proofErr w:type="spellStart"/>
      <w:r w:rsidRPr="000F6B37">
        <w:rPr>
          <w:bCs/>
          <w:sz w:val="22"/>
          <w:szCs w:val="22"/>
          <w:lang w:val="it-IT"/>
        </w:rPr>
        <w:t>injekcionih</w:t>
      </w:r>
      <w:proofErr w:type="spellEnd"/>
      <w:r w:rsidRPr="000F6B37">
        <w:rPr>
          <w:bCs/>
          <w:sz w:val="22"/>
          <w:szCs w:val="22"/>
          <w:lang w:val="it-IT"/>
        </w:rPr>
        <w:t xml:space="preserve"> </w:t>
      </w:r>
      <w:proofErr w:type="spellStart"/>
      <w:r w:rsidRPr="000F6B37">
        <w:rPr>
          <w:bCs/>
          <w:sz w:val="22"/>
          <w:szCs w:val="22"/>
          <w:lang w:val="it-IT"/>
        </w:rPr>
        <w:t>penova</w:t>
      </w:r>
      <w:proofErr w:type="spellEnd"/>
      <w:r w:rsidRPr="000F6B37">
        <w:rPr>
          <w:bCs/>
          <w:sz w:val="22"/>
          <w:szCs w:val="22"/>
          <w:lang w:val="it-IT"/>
        </w:rPr>
        <w:t xml:space="preserve"> (</w:t>
      </w:r>
      <w:proofErr w:type="spellStart"/>
      <w:r w:rsidRPr="000F6B37">
        <w:rPr>
          <w:bCs/>
          <w:sz w:val="22"/>
          <w:szCs w:val="22"/>
          <w:lang w:val="it-IT"/>
        </w:rPr>
        <w:t>bez</w:t>
      </w:r>
      <w:proofErr w:type="spellEnd"/>
      <w:r w:rsidRPr="000F6B37">
        <w:rPr>
          <w:bCs/>
          <w:sz w:val="22"/>
          <w:szCs w:val="22"/>
          <w:lang w:val="it-IT"/>
        </w:rPr>
        <w:t xml:space="preserve"> </w:t>
      </w:r>
      <w:proofErr w:type="spellStart"/>
      <w:r w:rsidRPr="000F6B37">
        <w:rPr>
          <w:bCs/>
          <w:sz w:val="22"/>
          <w:szCs w:val="22"/>
          <w:lang w:val="it-IT"/>
        </w:rPr>
        <w:t>igala</w:t>
      </w:r>
      <w:proofErr w:type="spellEnd"/>
      <w:r w:rsidRPr="000F6B37">
        <w:rPr>
          <w:bCs/>
          <w:sz w:val="22"/>
          <w:szCs w:val="22"/>
          <w:lang w:val="it-IT"/>
        </w:rPr>
        <w:t xml:space="preserve">) i </w:t>
      </w:r>
      <w:proofErr w:type="spellStart"/>
      <w:r w:rsidRPr="000F6B37">
        <w:rPr>
          <w:bCs/>
          <w:sz w:val="22"/>
          <w:szCs w:val="22"/>
          <w:lang w:val="it-IT"/>
        </w:rPr>
        <w:t>Uputstvo</w:t>
      </w:r>
      <w:proofErr w:type="spellEnd"/>
      <w:r w:rsidRPr="000F6B37">
        <w:rPr>
          <w:bCs/>
          <w:sz w:val="22"/>
          <w:szCs w:val="22"/>
          <w:lang w:val="it-IT"/>
        </w:rPr>
        <w:t xml:space="preserve"> za </w:t>
      </w:r>
      <w:proofErr w:type="spellStart"/>
      <w:r w:rsidRPr="000F6B37">
        <w:rPr>
          <w:bCs/>
          <w:sz w:val="22"/>
          <w:szCs w:val="22"/>
          <w:lang w:val="it-IT"/>
        </w:rPr>
        <w:t>lijek</w:t>
      </w:r>
      <w:proofErr w:type="spellEnd"/>
      <w:r w:rsidRPr="000F6B37">
        <w:rPr>
          <w:bCs/>
          <w:sz w:val="22"/>
          <w:szCs w:val="22"/>
          <w:lang w:val="it-IT"/>
        </w:rPr>
        <w:t>.</w:t>
      </w:r>
    </w:p>
    <w:p w14:paraId="2A2C9026" w14:textId="77777777" w:rsidR="00701477" w:rsidRPr="000F6B37" w:rsidRDefault="00701477" w:rsidP="001D23DB">
      <w:pPr>
        <w:tabs>
          <w:tab w:val="left" w:pos="540"/>
          <w:tab w:val="left" w:pos="569"/>
        </w:tabs>
        <w:jc w:val="both"/>
        <w:rPr>
          <w:bCs/>
          <w:sz w:val="22"/>
          <w:szCs w:val="22"/>
          <w:lang w:val="it-IT"/>
        </w:rPr>
      </w:pPr>
    </w:p>
    <w:p w14:paraId="0AA2BD14" w14:textId="09736DC7" w:rsidR="00701477" w:rsidRPr="000F6B37" w:rsidRDefault="00701477" w:rsidP="001D23DB">
      <w:pPr>
        <w:tabs>
          <w:tab w:val="left" w:pos="540"/>
          <w:tab w:val="left" w:pos="569"/>
        </w:tabs>
        <w:jc w:val="both"/>
        <w:rPr>
          <w:bCs/>
          <w:sz w:val="22"/>
          <w:szCs w:val="22"/>
          <w:lang w:val="it-IT"/>
        </w:rPr>
      </w:pPr>
      <w:r w:rsidRPr="003F4415">
        <w:rPr>
          <w:bCs/>
          <w:iCs/>
          <w:sz w:val="22"/>
          <w:szCs w:val="22"/>
          <w:u w:val="single"/>
          <w:lang w:val="sr-Latn-CS"/>
        </w:rPr>
        <w:t xml:space="preserve">Fiasp Penfill, 100 </w:t>
      </w:r>
      <w:r w:rsidRPr="003F4415">
        <w:rPr>
          <w:sz w:val="22"/>
          <w:szCs w:val="22"/>
          <w:u w:val="single"/>
          <w:lang w:val="pl-PL"/>
        </w:rPr>
        <w:t>jedinica</w:t>
      </w:r>
      <w:r w:rsidRPr="003F4415">
        <w:rPr>
          <w:bCs/>
          <w:iCs/>
          <w:sz w:val="22"/>
          <w:szCs w:val="22"/>
          <w:u w:val="single"/>
          <w:lang w:val="sr-Latn-CS"/>
        </w:rPr>
        <w:t>/m</w:t>
      </w:r>
      <w:r w:rsidR="00F74A6F">
        <w:rPr>
          <w:bCs/>
          <w:iCs/>
          <w:sz w:val="22"/>
          <w:szCs w:val="22"/>
          <w:u w:val="single"/>
          <w:lang w:val="sr-Latn-CS"/>
        </w:rPr>
        <w:t>l</w:t>
      </w:r>
      <w:r w:rsidRPr="003F4415">
        <w:rPr>
          <w:bCs/>
          <w:iCs/>
          <w:sz w:val="22"/>
          <w:szCs w:val="22"/>
          <w:u w:val="single"/>
          <w:lang w:val="sr-Latn-CS"/>
        </w:rPr>
        <w:t>, rastvor za injekciju u ulošku</w:t>
      </w:r>
    </w:p>
    <w:p w14:paraId="203C4F61" w14:textId="77777777" w:rsidR="00701477" w:rsidRPr="000F6B37" w:rsidRDefault="00701477" w:rsidP="001D23DB">
      <w:pPr>
        <w:tabs>
          <w:tab w:val="left" w:pos="540"/>
          <w:tab w:val="left" w:pos="569"/>
        </w:tabs>
        <w:jc w:val="both"/>
        <w:rPr>
          <w:bCs/>
          <w:sz w:val="22"/>
          <w:szCs w:val="22"/>
          <w:lang w:val="it-IT"/>
        </w:rPr>
      </w:pPr>
      <w:proofErr w:type="spellStart"/>
      <w:r w:rsidRPr="000F6B37">
        <w:rPr>
          <w:bCs/>
          <w:sz w:val="22"/>
          <w:szCs w:val="22"/>
          <w:lang w:val="it-IT"/>
        </w:rPr>
        <w:t>Uložak</w:t>
      </w:r>
      <w:proofErr w:type="spellEnd"/>
      <w:r w:rsidRPr="000F6B37">
        <w:rPr>
          <w:bCs/>
          <w:sz w:val="22"/>
          <w:szCs w:val="22"/>
          <w:lang w:val="it-IT"/>
        </w:rPr>
        <w:t xml:space="preserve"> (</w:t>
      </w:r>
      <w:proofErr w:type="spellStart"/>
      <w:r w:rsidRPr="000F6B37">
        <w:rPr>
          <w:bCs/>
          <w:sz w:val="22"/>
          <w:szCs w:val="22"/>
          <w:lang w:val="it-IT"/>
        </w:rPr>
        <w:t>staklo</w:t>
      </w:r>
      <w:proofErr w:type="spellEnd"/>
      <w:r w:rsidRPr="000F6B37">
        <w:rPr>
          <w:bCs/>
          <w:sz w:val="22"/>
          <w:szCs w:val="22"/>
          <w:lang w:val="it-IT"/>
        </w:rPr>
        <w:t xml:space="preserve"> </w:t>
      </w:r>
      <w:proofErr w:type="spellStart"/>
      <w:r w:rsidRPr="000F6B37">
        <w:rPr>
          <w:bCs/>
          <w:sz w:val="22"/>
          <w:szCs w:val="22"/>
          <w:lang w:val="it-IT"/>
        </w:rPr>
        <w:t>tip</w:t>
      </w:r>
      <w:proofErr w:type="spellEnd"/>
      <w:r w:rsidRPr="000F6B37">
        <w:rPr>
          <w:bCs/>
          <w:sz w:val="22"/>
          <w:szCs w:val="22"/>
          <w:lang w:val="it-IT"/>
        </w:rPr>
        <w:t xml:space="preserve"> I) sa </w:t>
      </w:r>
      <w:proofErr w:type="spellStart"/>
      <w:r w:rsidRPr="000F6B37">
        <w:rPr>
          <w:bCs/>
          <w:sz w:val="22"/>
          <w:szCs w:val="22"/>
          <w:lang w:val="it-IT"/>
        </w:rPr>
        <w:t>klipom</w:t>
      </w:r>
      <w:proofErr w:type="spellEnd"/>
      <w:r w:rsidRPr="000F6B37">
        <w:rPr>
          <w:bCs/>
          <w:sz w:val="22"/>
          <w:szCs w:val="22"/>
          <w:lang w:val="it-IT"/>
        </w:rPr>
        <w:t xml:space="preserve"> (</w:t>
      </w:r>
      <w:proofErr w:type="spellStart"/>
      <w:r w:rsidRPr="000F6B37">
        <w:rPr>
          <w:bCs/>
          <w:sz w:val="22"/>
          <w:szCs w:val="22"/>
          <w:lang w:val="it-IT"/>
        </w:rPr>
        <w:t>halobutil</w:t>
      </w:r>
      <w:proofErr w:type="spellEnd"/>
      <w:r w:rsidRPr="000F6B37">
        <w:rPr>
          <w:bCs/>
          <w:sz w:val="22"/>
          <w:szCs w:val="22"/>
          <w:lang w:val="it-IT"/>
        </w:rPr>
        <w:t xml:space="preserve">) i </w:t>
      </w:r>
      <w:proofErr w:type="spellStart"/>
      <w:r w:rsidRPr="000F6B37">
        <w:rPr>
          <w:bCs/>
          <w:sz w:val="22"/>
          <w:szCs w:val="22"/>
          <w:lang w:val="it-IT"/>
        </w:rPr>
        <w:t>zatvaračem</w:t>
      </w:r>
      <w:proofErr w:type="spellEnd"/>
      <w:r w:rsidRPr="000F6B37">
        <w:rPr>
          <w:bCs/>
          <w:sz w:val="22"/>
          <w:szCs w:val="22"/>
          <w:lang w:val="it-IT"/>
        </w:rPr>
        <w:t xml:space="preserve"> (</w:t>
      </w:r>
      <w:proofErr w:type="spellStart"/>
      <w:r w:rsidRPr="000F6B37">
        <w:rPr>
          <w:bCs/>
          <w:sz w:val="22"/>
          <w:szCs w:val="22"/>
          <w:lang w:val="it-IT"/>
        </w:rPr>
        <w:t>halobutil</w:t>
      </w:r>
      <w:proofErr w:type="spellEnd"/>
      <w:r w:rsidRPr="000F6B37">
        <w:rPr>
          <w:bCs/>
          <w:sz w:val="22"/>
          <w:szCs w:val="22"/>
          <w:lang w:val="it-IT"/>
        </w:rPr>
        <w:t>/</w:t>
      </w:r>
      <w:proofErr w:type="spellStart"/>
      <w:r w:rsidRPr="000F6B37">
        <w:rPr>
          <w:bCs/>
          <w:sz w:val="22"/>
          <w:szCs w:val="22"/>
          <w:lang w:val="it-IT"/>
        </w:rPr>
        <w:t>poliizopren</w:t>
      </w:r>
      <w:proofErr w:type="spellEnd"/>
      <w:r w:rsidRPr="000F6B37">
        <w:rPr>
          <w:bCs/>
          <w:sz w:val="22"/>
          <w:szCs w:val="22"/>
          <w:lang w:val="it-IT"/>
        </w:rPr>
        <w:t xml:space="preserve">) u </w:t>
      </w:r>
      <w:proofErr w:type="spellStart"/>
      <w:r w:rsidRPr="000F6B37">
        <w:rPr>
          <w:bCs/>
          <w:sz w:val="22"/>
          <w:szCs w:val="22"/>
          <w:lang w:val="it-IT"/>
        </w:rPr>
        <w:t>kutiji</w:t>
      </w:r>
      <w:proofErr w:type="spellEnd"/>
      <w:r w:rsidRPr="000F6B37">
        <w:rPr>
          <w:bCs/>
          <w:sz w:val="22"/>
          <w:szCs w:val="22"/>
          <w:lang w:val="it-IT"/>
        </w:rPr>
        <w:t xml:space="preserve">. </w:t>
      </w:r>
    </w:p>
    <w:p w14:paraId="44BE0F09" w14:textId="77777777" w:rsidR="00701477" w:rsidRPr="000F6B37" w:rsidRDefault="00701477" w:rsidP="001D23DB">
      <w:pPr>
        <w:tabs>
          <w:tab w:val="left" w:pos="540"/>
          <w:tab w:val="left" w:pos="569"/>
        </w:tabs>
        <w:jc w:val="both"/>
        <w:rPr>
          <w:bCs/>
          <w:sz w:val="22"/>
          <w:szCs w:val="22"/>
          <w:lang w:val="it-IT"/>
        </w:rPr>
      </w:pPr>
      <w:proofErr w:type="spellStart"/>
      <w:r w:rsidRPr="000F6B37">
        <w:rPr>
          <w:bCs/>
          <w:sz w:val="22"/>
          <w:szCs w:val="22"/>
          <w:lang w:val="it-IT"/>
        </w:rPr>
        <w:t>Svaki</w:t>
      </w:r>
      <w:proofErr w:type="spellEnd"/>
      <w:r w:rsidRPr="000F6B37">
        <w:rPr>
          <w:bCs/>
          <w:sz w:val="22"/>
          <w:szCs w:val="22"/>
          <w:lang w:val="it-IT"/>
        </w:rPr>
        <w:t xml:space="preserve"> </w:t>
      </w:r>
      <w:proofErr w:type="spellStart"/>
      <w:r w:rsidRPr="000F6B37">
        <w:rPr>
          <w:bCs/>
          <w:sz w:val="22"/>
          <w:szCs w:val="22"/>
          <w:lang w:val="it-IT"/>
        </w:rPr>
        <w:t>uložak</w:t>
      </w:r>
      <w:proofErr w:type="spellEnd"/>
      <w:r w:rsidRPr="000F6B37">
        <w:rPr>
          <w:bCs/>
          <w:sz w:val="22"/>
          <w:szCs w:val="22"/>
          <w:lang w:val="it-IT"/>
        </w:rPr>
        <w:t xml:space="preserve"> </w:t>
      </w:r>
      <w:proofErr w:type="spellStart"/>
      <w:r w:rsidRPr="000F6B37">
        <w:rPr>
          <w:bCs/>
          <w:sz w:val="22"/>
          <w:szCs w:val="22"/>
          <w:lang w:val="it-IT"/>
        </w:rPr>
        <w:t>sadrži</w:t>
      </w:r>
      <w:proofErr w:type="spellEnd"/>
      <w:r w:rsidRPr="000F6B37">
        <w:rPr>
          <w:bCs/>
          <w:sz w:val="22"/>
          <w:szCs w:val="22"/>
          <w:lang w:val="it-IT"/>
        </w:rPr>
        <w:t xml:space="preserve"> 3 m</w:t>
      </w:r>
      <w:r w:rsidR="00F74A6F" w:rsidRPr="000F6B37">
        <w:rPr>
          <w:bCs/>
          <w:sz w:val="22"/>
          <w:szCs w:val="22"/>
          <w:lang w:val="it-IT"/>
        </w:rPr>
        <w:t>l</w:t>
      </w:r>
      <w:r w:rsidRPr="000F6B37">
        <w:rPr>
          <w:bCs/>
          <w:sz w:val="22"/>
          <w:szCs w:val="22"/>
          <w:lang w:val="it-IT"/>
        </w:rPr>
        <w:t xml:space="preserve"> </w:t>
      </w:r>
      <w:proofErr w:type="spellStart"/>
      <w:r w:rsidRPr="000F6B37">
        <w:rPr>
          <w:bCs/>
          <w:sz w:val="22"/>
          <w:szCs w:val="22"/>
          <w:lang w:val="it-IT"/>
        </w:rPr>
        <w:t>rastvora</w:t>
      </w:r>
      <w:proofErr w:type="spellEnd"/>
      <w:r w:rsidRPr="000F6B37">
        <w:rPr>
          <w:bCs/>
          <w:sz w:val="22"/>
          <w:szCs w:val="22"/>
          <w:lang w:val="it-IT"/>
        </w:rPr>
        <w:t>.</w:t>
      </w:r>
    </w:p>
    <w:p w14:paraId="4A539B18" w14:textId="77777777" w:rsidR="00701477" w:rsidRPr="000F6B37" w:rsidRDefault="00701477" w:rsidP="001D23DB">
      <w:pPr>
        <w:tabs>
          <w:tab w:val="left" w:pos="540"/>
          <w:tab w:val="left" w:pos="569"/>
        </w:tabs>
        <w:jc w:val="both"/>
        <w:rPr>
          <w:bCs/>
          <w:sz w:val="22"/>
          <w:szCs w:val="22"/>
          <w:lang w:val="it-IT"/>
        </w:rPr>
      </w:pPr>
      <w:proofErr w:type="spellStart"/>
      <w:r w:rsidRPr="000F6B37">
        <w:rPr>
          <w:bCs/>
          <w:sz w:val="22"/>
          <w:szCs w:val="22"/>
          <w:lang w:val="it-IT"/>
        </w:rPr>
        <w:t>Spoljašnje</w:t>
      </w:r>
      <w:proofErr w:type="spellEnd"/>
      <w:r w:rsidRPr="000F6B37">
        <w:rPr>
          <w:bCs/>
          <w:sz w:val="22"/>
          <w:szCs w:val="22"/>
          <w:lang w:val="it-IT"/>
        </w:rPr>
        <w:t xml:space="preserve"> </w:t>
      </w:r>
      <w:proofErr w:type="spellStart"/>
      <w:r w:rsidRPr="000F6B37">
        <w:rPr>
          <w:bCs/>
          <w:sz w:val="22"/>
          <w:szCs w:val="22"/>
          <w:lang w:val="it-IT"/>
        </w:rPr>
        <w:t>pakovanje</w:t>
      </w:r>
      <w:proofErr w:type="spellEnd"/>
      <w:r w:rsidRPr="000F6B37">
        <w:rPr>
          <w:bCs/>
          <w:sz w:val="22"/>
          <w:szCs w:val="22"/>
          <w:lang w:val="it-IT"/>
        </w:rPr>
        <w:t xml:space="preserve"> je </w:t>
      </w:r>
      <w:proofErr w:type="spellStart"/>
      <w:r w:rsidRPr="000F6B37">
        <w:rPr>
          <w:bCs/>
          <w:sz w:val="22"/>
          <w:szCs w:val="22"/>
          <w:lang w:val="it-IT"/>
        </w:rPr>
        <w:t>složiva</w:t>
      </w:r>
      <w:proofErr w:type="spellEnd"/>
      <w:r w:rsidRPr="000F6B37">
        <w:rPr>
          <w:bCs/>
          <w:sz w:val="22"/>
          <w:szCs w:val="22"/>
          <w:lang w:val="it-IT"/>
        </w:rPr>
        <w:t xml:space="preserve"> </w:t>
      </w:r>
      <w:proofErr w:type="spellStart"/>
      <w:r w:rsidRPr="000F6B37">
        <w:rPr>
          <w:bCs/>
          <w:sz w:val="22"/>
          <w:szCs w:val="22"/>
          <w:lang w:val="it-IT"/>
        </w:rPr>
        <w:t>kartonska</w:t>
      </w:r>
      <w:proofErr w:type="spellEnd"/>
      <w:r w:rsidRPr="000F6B37">
        <w:rPr>
          <w:bCs/>
          <w:sz w:val="22"/>
          <w:szCs w:val="22"/>
          <w:lang w:val="it-IT"/>
        </w:rPr>
        <w:t xml:space="preserve"> </w:t>
      </w:r>
      <w:proofErr w:type="spellStart"/>
      <w:r w:rsidRPr="000F6B37">
        <w:rPr>
          <w:bCs/>
          <w:sz w:val="22"/>
          <w:szCs w:val="22"/>
          <w:lang w:val="it-IT"/>
        </w:rPr>
        <w:t>kutija</w:t>
      </w:r>
      <w:proofErr w:type="spellEnd"/>
      <w:r w:rsidRPr="000F6B37">
        <w:rPr>
          <w:bCs/>
          <w:sz w:val="22"/>
          <w:szCs w:val="22"/>
          <w:lang w:val="it-IT"/>
        </w:rPr>
        <w:t xml:space="preserve"> </w:t>
      </w:r>
      <w:proofErr w:type="spellStart"/>
      <w:r w:rsidRPr="000F6B37">
        <w:rPr>
          <w:bCs/>
          <w:sz w:val="22"/>
          <w:szCs w:val="22"/>
          <w:lang w:val="it-IT"/>
        </w:rPr>
        <w:t>koja</w:t>
      </w:r>
      <w:proofErr w:type="spellEnd"/>
      <w:r w:rsidRPr="000F6B37">
        <w:rPr>
          <w:bCs/>
          <w:sz w:val="22"/>
          <w:szCs w:val="22"/>
          <w:lang w:val="it-IT"/>
        </w:rPr>
        <w:t xml:space="preserve"> </w:t>
      </w:r>
      <w:proofErr w:type="spellStart"/>
      <w:r w:rsidRPr="000F6B37">
        <w:rPr>
          <w:bCs/>
          <w:sz w:val="22"/>
          <w:szCs w:val="22"/>
          <w:lang w:val="it-IT"/>
        </w:rPr>
        <w:t>sadrži</w:t>
      </w:r>
      <w:proofErr w:type="spellEnd"/>
      <w:r w:rsidRPr="000F6B37">
        <w:rPr>
          <w:bCs/>
          <w:sz w:val="22"/>
          <w:szCs w:val="22"/>
          <w:lang w:val="it-IT"/>
        </w:rPr>
        <w:t xml:space="preserve"> 5 </w:t>
      </w:r>
      <w:proofErr w:type="spellStart"/>
      <w:r w:rsidRPr="000F6B37">
        <w:rPr>
          <w:bCs/>
          <w:sz w:val="22"/>
          <w:szCs w:val="22"/>
          <w:lang w:val="it-IT"/>
        </w:rPr>
        <w:t>uložaka</w:t>
      </w:r>
      <w:proofErr w:type="spellEnd"/>
      <w:r w:rsidRPr="000F6B37">
        <w:rPr>
          <w:bCs/>
          <w:sz w:val="22"/>
          <w:szCs w:val="22"/>
          <w:lang w:val="it-IT"/>
        </w:rPr>
        <w:t xml:space="preserve"> i </w:t>
      </w:r>
      <w:proofErr w:type="spellStart"/>
      <w:r w:rsidRPr="000F6B37">
        <w:rPr>
          <w:bCs/>
          <w:sz w:val="22"/>
          <w:szCs w:val="22"/>
          <w:lang w:val="it-IT"/>
        </w:rPr>
        <w:t>Uputstvo</w:t>
      </w:r>
      <w:proofErr w:type="spellEnd"/>
      <w:r w:rsidRPr="000F6B37">
        <w:rPr>
          <w:bCs/>
          <w:sz w:val="22"/>
          <w:szCs w:val="22"/>
          <w:lang w:val="it-IT"/>
        </w:rPr>
        <w:t xml:space="preserve"> za </w:t>
      </w:r>
      <w:proofErr w:type="spellStart"/>
      <w:r w:rsidRPr="000F6B37">
        <w:rPr>
          <w:bCs/>
          <w:sz w:val="22"/>
          <w:szCs w:val="22"/>
          <w:lang w:val="it-IT"/>
        </w:rPr>
        <w:t>lijek</w:t>
      </w:r>
      <w:proofErr w:type="spellEnd"/>
      <w:r w:rsidRPr="000F6B37">
        <w:rPr>
          <w:bCs/>
          <w:sz w:val="22"/>
          <w:szCs w:val="22"/>
          <w:lang w:val="it-IT"/>
        </w:rPr>
        <w:t>.</w:t>
      </w:r>
    </w:p>
    <w:p w14:paraId="0471C4DC" w14:textId="77777777" w:rsidR="00701477" w:rsidRPr="000F6B37" w:rsidRDefault="00701477" w:rsidP="001D23DB">
      <w:pPr>
        <w:tabs>
          <w:tab w:val="left" w:pos="540"/>
          <w:tab w:val="left" w:pos="569"/>
        </w:tabs>
        <w:jc w:val="both"/>
        <w:rPr>
          <w:bCs/>
          <w:sz w:val="22"/>
          <w:szCs w:val="22"/>
          <w:lang w:val="it-IT"/>
        </w:rPr>
      </w:pPr>
    </w:p>
    <w:p w14:paraId="1B99D6EF" w14:textId="055570C7" w:rsidR="00701477" w:rsidRPr="000F6B37" w:rsidRDefault="00701477" w:rsidP="001D23DB">
      <w:pPr>
        <w:tabs>
          <w:tab w:val="left" w:pos="540"/>
          <w:tab w:val="left" w:pos="569"/>
        </w:tabs>
        <w:jc w:val="both"/>
        <w:rPr>
          <w:bCs/>
          <w:sz w:val="22"/>
          <w:szCs w:val="22"/>
          <w:lang w:val="it-IT"/>
        </w:rPr>
      </w:pPr>
      <w:r w:rsidRPr="003F4415">
        <w:rPr>
          <w:bCs/>
          <w:iCs/>
          <w:sz w:val="22"/>
          <w:szCs w:val="22"/>
          <w:u w:val="single"/>
          <w:lang w:val="sr-Latn-CS"/>
        </w:rPr>
        <w:t xml:space="preserve">Fiasp, 100 </w:t>
      </w:r>
      <w:r w:rsidRPr="003F4415">
        <w:rPr>
          <w:sz w:val="22"/>
          <w:szCs w:val="22"/>
          <w:u w:val="single"/>
          <w:lang w:val="pl-PL"/>
        </w:rPr>
        <w:t>jedinica</w:t>
      </w:r>
      <w:r w:rsidRPr="003F4415">
        <w:rPr>
          <w:bCs/>
          <w:iCs/>
          <w:sz w:val="22"/>
          <w:szCs w:val="22"/>
          <w:u w:val="single"/>
          <w:lang w:val="sr-Latn-CS"/>
        </w:rPr>
        <w:t>/m</w:t>
      </w:r>
      <w:r w:rsidR="00F74A6F">
        <w:rPr>
          <w:bCs/>
          <w:iCs/>
          <w:sz w:val="22"/>
          <w:szCs w:val="22"/>
          <w:u w:val="single"/>
          <w:lang w:val="sr-Latn-CS"/>
        </w:rPr>
        <w:t>l</w:t>
      </w:r>
      <w:r w:rsidRPr="003F4415">
        <w:rPr>
          <w:bCs/>
          <w:iCs/>
          <w:sz w:val="22"/>
          <w:szCs w:val="22"/>
          <w:u w:val="single"/>
          <w:lang w:val="sr-Latn-CS"/>
        </w:rPr>
        <w:t>, rastvor za injekciju</w:t>
      </w:r>
      <w:r>
        <w:rPr>
          <w:bCs/>
          <w:iCs/>
          <w:sz w:val="22"/>
          <w:szCs w:val="22"/>
          <w:u w:val="single"/>
          <w:lang w:val="sr-Latn-CS"/>
        </w:rPr>
        <w:t xml:space="preserve"> u bočici</w:t>
      </w:r>
    </w:p>
    <w:p w14:paraId="77D74C56" w14:textId="77777777" w:rsidR="00701477" w:rsidRPr="000F6B37" w:rsidRDefault="00701477" w:rsidP="001D23DB">
      <w:pPr>
        <w:tabs>
          <w:tab w:val="left" w:pos="540"/>
          <w:tab w:val="left" w:pos="569"/>
        </w:tabs>
        <w:jc w:val="both"/>
        <w:rPr>
          <w:bCs/>
          <w:sz w:val="22"/>
          <w:szCs w:val="22"/>
          <w:lang w:val="it-IT"/>
        </w:rPr>
      </w:pPr>
      <w:proofErr w:type="spellStart"/>
      <w:r w:rsidRPr="000F6B37">
        <w:rPr>
          <w:bCs/>
          <w:sz w:val="22"/>
          <w:szCs w:val="22"/>
          <w:lang w:val="it-IT"/>
        </w:rPr>
        <w:t>Bočica</w:t>
      </w:r>
      <w:proofErr w:type="spellEnd"/>
      <w:r w:rsidRPr="000F6B37">
        <w:rPr>
          <w:bCs/>
          <w:sz w:val="22"/>
          <w:szCs w:val="22"/>
          <w:lang w:val="it-IT"/>
        </w:rPr>
        <w:t xml:space="preserve"> (</w:t>
      </w:r>
      <w:proofErr w:type="spellStart"/>
      <w:r w:rsidRPr="000F6B37">
        <w:rPr>
          <w:bCs/>
          <w:sz w:val="22"/>
          <w:szCs w:val="22"/>
          <w:lang w:val="it-IT"/>
        </w:rPr>
        <w:t>staklo</w:t>
      </w:r>
      <w:proofErr w:type="spellEnd"/>
      <w:r w:rsidRPr="000F6B37">
        <w:rPr>
          <w:bCs/>
          <w:sz w:val="22"/>
          <w:szCs w:val="22"/>
          <w:lang w:val="it-IT"/>
        </w:rPr>
        <w:t xml:space="preserve"> </w:t>
      </w:r>
      <w:proofErr w:type="spellStart"/>
      <w:r w:rsidRPr="000F6B37">
        <w:rPr>
          <w:bCs/>
          <w:sz w:val="22"/>
          <w:szCs w:val="22"/>
          <w:lang w:val="it-IT"/>
        </w:rPr>
        <w:t>tip</w:t>
      </w:r>
      <w:proofErr w:type="spellEnd"/>
      <w:r w:rsidRPr="000F6B37">
        <w:rPr>
          <w:bCs/>
          <w:sz w:val="22"/>
          <w:szCs w:val="22"/>
          <w:lang w:val="it-IT"/>
        </w:rPr>
        <w:t xml:space="preserve"> I) </w:t>
      </w:r>
      <w:proofErr w:type="spellStart"/>
      <w:r w:rsidRPr="000F6B37">
        <w:rPr>
          <w:bCs/>
          <w:sz w:val="22"/>
          <w:szCs w:val="22"/>
          <w:lang w:val="it-IT"/>
        </w:rPr>
        <w:t>zatvorena</w:t>
      </w:r>
      <w:proofErr w:type="spellEnd"/>
      <w:r w:rsidRPr="000F6B37">
        <w:rPr>
          <w:bCs/>
          <w:sz w:val="22"/>
          <w:szCs w:val="22"/>
          <w:lang w:val="it-IT"/>
        </w:rPr>
        <w:t xml:space="preserve"> </w:t>
      </w:r>
      <w:proofErr w:type="spellStart"/>
      <w:r w:rsidRPr="000F6B37">
        <w:rPr>
          <w:bCs/>
          <w:sz w:val="22"/>
          <w:szCs w:val="22"/>
          <w:lang w:val="it-IT"/>
        </w:rPr>
        <w:t>gumenim</w:t>
      </w:r>
      <w:proofErr w:type="spellEnd"/>
      <w:r w:rsidRPr="000F6B37">
        <w:rPr>
          <w:bCs/>
          <w:sz w:val="22"/>
          <w:szCs w:val="22"/>
          <w:lang w:val="it-IT"/>
        </w:rPr>
        <w:t xml:space="preserve"> </w:t>
      </w:r>
      <w:proofErr w:type="spellStart"/>
      <w:r w:rsidRPr="000F6B37">
        <w:rPr>
          <w:bCs/>
          <w:sz w:val="22"/>
          <w:szCs w:val="22"/>
          <w:lang w:val="it-IT"/>
        </w:rPr>
        <w:t>zatvaračem</w:t>
      </w:r>
      <w:proofErr w:type="spellEnd"/>
      <w:r w:rsidRPr="000F6B37">
        <w:rPr>
          <w:bCs/>
          <w:sz w:val="22"/>
          <w:szCs w:val="22"/>
          <w:lang w:val="it-IT"/>
        </w:rPr>
        <w:t xml:space="preserve"> u </w:t>
      </w:r>
      <w:proofErr w:type="spellStart"/>
      <w:r w:rsidRPr="000F6B37">
        <w:rPr>
          <w:bCs/>
          <w:sz w:val="22"/>
          <w:szCs w:val="22"/>
          <w:lang w:val="it-IT"/>
        </w:rPr>
        <w:t>obliku</w:t>
      </w:r>
      <w:proofErr w:type="spellEnd"/>
      <w:r w:rsidRPr="000F6B37">
        <w:rPr>
          <w:bCs/>
          <w:sz w:val="22"/>
          <w:szCs w:val="22"/>
          <w:lang w:val="it-IT"/>
        </w:rPr>
        <w:t xml:space="preserve"> </w:t>
      </w:r>
      <w:proofErr w:type="spellStart"/>
      <w:r w:rsidRPr="000F6B37">
        <w:rPr>
          <w:bCs/>
          <w:sz w:val="22"/>
          <w:szCs w:val="22"/>
          <w:lang w:val="it-IT"/>
        </w:rPr>
        <w:t>diska</w:t>
      </w:r>
      <w:proofErr w:type="spellEnd"/>
      <w:r w:rsidRPr="000F6B37">
        <w:rPr>
          <w:bCs/>
          <w:sz w:val="22"/>
          <w:szCs w:val="22"/>
          <w:lang w:val="it-IT"/>
        </w:rPr>
        <w:t xml:space="preserve"> od </w:t>
      </w:r>
      <w:proofErr w:type="spellStart"/>
      <w:r w:rsidRPr="000F6B37">
        <w:rPr>
          <w:bCs/>
          <w:sz w:val="22"/>
          <w:szCs w:val="22"/>
          <w:lang w:val="it-IT"/>
        </w:rPr>
        <w:t>halobutila</w:t>
      </w:r>
      <w:proofErr w:type="spellEnd"/>
      <w:r w:rsidRPr="000F6B37">
        <w:rPr>
          <w:bCs/>
          <w:sz w:val="22"/>
          <w:szCs w:val="22"/>
          <w:lang w:val="it-IT"/>
        </w:rPr>
        <w:t>/</w:t>
      </w:r>
      <w:proofErr w:type="spellStart"/>
      <w:r w:rsidRPr="000F6B37">
        <w:rPr>
          <w:bCs/>
          <w:sz w:val="22"/>
          <w:szCs w:val="22"/>
          <w:lang w:val="it-IT"/>
        </w:rPr>
        <w:t>poliizoprena</w:t>
      </w:r>
      <w:proofErr w:type="spellEnd"/>
      <w:r w:rsidRPr="000F6B37">
        <w:rPr>
          <w:bCs/>
          <w:sz w:val="22"/>
          <w:szCs w:val="22"/>
          <w:lang w:val="it-IT"/>
        </w:rPr>
        <w:t xml:space="preserve"> i </w:t>
      </w:r>
      <w:proofErr w:type="spellStart"/>
      <w:r w:rsidRPr="000F6B37">
        <w:rPr>
          <w:bCs/>
          <w:sz w:val="22"/>
          <w:szCs w:val="22"/>
          <w:lang w:val="it-IT"/>
        </w:rPr>
        <w:t>zaštitnom</w:t>
      </w:r>
      <w:proofErr w:type="spellEnd"/>
      <w:r w:rsidRPr="000F6B37">
        <w:rPr>
          <w:bCs/>
          <w:sz w:val="22"/>
          <w:szCs w:val="22"/>
          <w:lang w:val="it-IT"/>
        </w:rPr>
        <w:t xml:space="preserve"> </w:t>
      </w:r>
      <w:proofErr w:type="spellStart"/>
      <w:r w:rsidRPr="000F6B37">
        <w:rPr>
          <w:bCs/>
          <w:sz w:val="22"/>
          <w:szCs w:val="22"/>
          <w:lang w:val="it-IT"/>
        </w:rPr>
        <w:t>plastičnom</w:t>
      </w:r>
      <w:proofErr w:type="spellEnd"/>
      <w:r w:rsidRPr="000F6B37">
        <w:rPr>
          <w:bCs/>
          <w:sz w:val="22"/>
          <w:szCs w:val="22"/>
          <w:lang w:val="it-IT"/>
        </w:rPr>
        <w:t xml:space="preserve"> </w:t>
      </w:r>
      <w:proofErr w:type="spellStart"/>
      <w:r w:rsidRPr="000F6B37">
        <w:rPr>
          <w:bCs/>
          <w:sz w:val="22"/>
          <w:szCs w:val="22"/>
          <w:lang w:val="it-IT"/>
        </w:rPr>
        <w:t>kapicom</w:t>
      </w:r>
      <w:proofErr w:type="spellEnd"/>
      <w:r w:rsidRPr="000F6B37">
        <w:rPr>
          <w:bCs/>
          <w:sz w:val="22"/>
          <w:szCs w:val="22"/>
          <w:lang w:val="it-IT"/>
        </w:rPr>
        <w:t xml:space="preserve"> </w:t>
      </w:r>
      <w:r w:rsidR="00817967" w:rsidRPr="000F6B37">
        <w:rPr>
          <w:bCs/>
          <w:sz w:val="22"/>
          <w:szCs w:val="22"/>
          <w:lang w:val="it-IT"/>
        </w:rPr>
        <w:t xml:space="preserve">u </w:t>
      </w:r>
      <w:proofErr w:type="spellStart"/>
      <w:r w:rsidR="00817967" w:rsidRPr="000F6B37">
        <w:rPr>
          <w:bCs/>
          <w:sz w:val="22"/>
          <w:szCs w:val="22"/>
          <w:lang w:val="it-IT"/>
        </w:rPr>
        <w:t>cilju</w:t>
      </w:r>
      <w:proofErr w:type="spellEnd"/>
      <w:r w:rsidR="00817967" w:rsidRPr="000F6B37">
        <w:rPr>
          <w:bCs/>
          <w:sz w:val="22"/>
          <w:szCs w:val="22"/>
          <w:lang w:val="it-IT"/>
        </w:rPr>
        <w:t xml:space="preserve"> </w:t>
      </w:r>
      <w:proofErr w:type="spellStart"/>
      <w:r w:rsidR="00817967" w:rsidRPr="000F6B37">
        <w:rPr>
          <w:bCs/>
          <w:sz w:val="22"/>
          <w:szCs w:val="22"/>
          <w:lang w:val="it-IT"/>
        </w:rPr>
        <w:t>zaštite</w:t>
      </w:r>
      <w:proofErr w:type="spellEnd"/>
      <w:r w:rsidR="00817967" w:rsidRPr="000F6B37">
        <w:rPr>
          <w:bCs/>
          <w:sz w:val="22"/>
          <w:szCs w:val="22"/>
          <w:lang w:val="it-IT"/>
        </w:rPr>
        <w:t xml:space="preserve"> od </w:t>
      </w:r>
      <w:proofErr w:type="spellStart"/>
      <w:r w:rsidR="00817967" w:rsidRPr="000F6B37">
        <w:rPr>
          <w:bCs/>
          <w:sz w:val="22"/>
          <w:szCs w:val="22"/>
          <w:lang w:val="it-IT"/>
        </w:rPr>
        <w:t>otvaranja</w:t>
      </w:r>
      <w:proofErr w:type="spellEnd"/>
      <w:r w:rsidR="00817967" w:rsidRPr="000F6B37">
        <w:rPr>
          <w:bCs/>
          <w:sz w:val="22"/>
          <w:szCs w:val="22"/>
          <w:lang w:val="it-IT"/>
        </w:rPr>
        <w:t xml:space="preserve"> u </w:t>
      </w:r>
      <w:proofErr w:type="spellStart"/>
      <w:r w:rsidR="00817967" w:rsidRPr="000F6B37">
        <w:rPr>
          <w:bCs/>
          <w:sz w:val="22"/>
          <w:szCs w:val="22"/>
          <w:lang w:val="it-IT"/>
        </w:rPr>
        <w:t>kutiji</w:t>
      </w:r>
      <w:proofErr w:type="spellEnd"/>
      <w:r w:rsidR="00817967" w:rsidRPr="000F6B37">
        <w:rPr>
          <w:bCs/>
          <w:sz w:val="22"/>
          <w:szCs w:val="22"/>
          <w:lang w:val="it-IT"/>
        </w:rPr>
        <w:t>.</w:t>
      </w:r>
    </w:p>
    <w:p w14:paraId="19988451" w14:textId="77777777" w:rsidR="00701477" w:rsidRPr="00792A21" w:rsidRDefault="00701477" w:rsidP="001D23DB">
      <w:pPr>
        <w:tabs>
          <w:tab w:val="left" w:pos="540"/>
          <w:tab w:val="left" w:pos="569"/>
        </w:tabs>
        <w:jc w:val="both"/>
        <w:rPr>
          <w:bCs/>
          <w:sz w:val="22"/>
          <w:szCs w:val="22"/>
          <w:lang w:val="pl-PL"/>
        </w:rPr>
      </w:pPr>
      <w:r w:rsidRPr="00792A21">
        <w:rPr>
          <w:bCs/>
          <w:sz w:val="22"/>
          <w:szCs w:val="22"/>
          <w:lang w:val="pl-PL"/>
        </w:rPr>
        <w:t>Svaka bočica sadrži 10 m</w:t>
      </w:r>
      <w:r w:rsidR="00F74A6F">
        <w:rPr>
          <w:bCs/>
          <w:sz w:val="22"/>
          <w:szCs w:val="22"/>
          <w:lang w:val="pl-PL"/>
        </w:rPr>
        <w:t>l</w:t>
      </w:r>
      <w:r w:rsidRPr="00792A21">
        <w:rPr>
          <w:bCs/>
          <w:sz w:val="22"/>
          <w:szCs w:val="22"/>
          <w:lang w:val="pl-PL"/>
        </w:rPr>
        <w:t xml:space="preserve"> rastvora.</w:t>
      </w:r>
    </w:p>
    <w:p w14:paraId="0B18E1AF" w14:textId="77777777" w:rsidR="00701477" w:rsidRPr="00701477" w:rsidRDefault="00701477" w:rsidP="001D23DB">
      <w:pPr>
        <w:tabs>
          <w:tab w:val="left" w:pos="540"/>
          <w:tab w:val="left" w:pos="569"/>
        </w:tabs>
        <w:jc w:val="both"/>
        <w:rPr>
          <w:bCs/>
          <w:sz w:val="22"/>
          <w:szCs w:val="22"/>
          <w:lang w:val="pl-PL"/>
        </w:rPr>
      </w:pPr>
      <w:r w:rsidRPr="00792A21">
        <w:rPr>
          <w:bCs/>
          <w:sz w:val="22"/>
          <w:szCs w:val="22"/>
          <w:lang w:val="pl-PL"/>
        </w:rPr>
        <w:t>Spoljašnje pakovanje l</w:t>
      </w:r>
      <w:r>
        <w:rPr>
          <w:bCs/>
          <w:sz w:val="22"/>
          <w:szCs w:val="22"/>
          <w:lang w:val="pl-PL"/>
        </w:rPr>
        <w:t>ij</w:t>
      </w:r>
      <w:r w:rsidRPr="00792A21">
        <w:rPr>
          <w:bCs/>
          <w:sz w:val="22"/>
          <w:szCs w:val="22"/>
          <w:lang w:val="pl-PL"/>
        </w:rPr>
        <w:t>eka je složiva kartonska kutija sa 1 bočicom i Uputstvom za l</w:t>
      </w:r>
      <w:r>
        <w:rPr>
          <w:bCs/>
          <w:sz w:val="22"/>
          <w:szCs w:val="22"/>
          <w:lang w:val="pl-PL"/>
        </w:rPr>
        <w:t>ij</w:t>
      </w:r>
      <w:r w:rsidRPr="00792A21">
        <w:rPr>
          <w:bCs/>
          <w:sz w:val="22"/>
          <w:szCs w:val="22"/>
          <w:lang w:val="pl-PL"/>
        </w:rPr>
        <w:t>ek.</w:t>
      </w:r>
    </w:p>
    <w:p w14:paraId="5496AA46" w14:textId="77777777" w:rsidR="00701477" w:rsidRPr="00701477" w:rsidRDefault="00701477" w:rsidP="001D23DB">
      <w:pPr>
        <w:tabs>
          <w:tab w:val="left" w:pos="540"/>
          <w:tab w:val="left" w:pos="569"/>
        </w:tabs>
        <w:jc w:val="both"/>
        <w:rPr>
          <w:bCs/>
          <w:sz w:val="22"/>
          <w:szCs w:val="22"/>
          <w:lang w:val="pl-PL"/>
        </w:rPr>
      </w:pPr>
    </w:p>
    <w:p w14:paraId="330F2602" w14:textId="77777777" w:rsidR="002846DB" w:rsidRPr="00701477" w:rsidRDefault="0072020E" w:rsidP="001D23DB">
      <w:pPr>
        <w:tabs>
          <w:tab w:val="left" w:pos="540"/>
          <w:tab w:val="left" w:pos="569"/>
        </w:tabs>
        <w:jc w:val="both"/>
        <w:rPr>
          <w:b/>
          <w:bCs/>
          <w:sz w:val="22"/>
          <w:szCs w:val="22"/>
          <w:lang w:val="pl-PL"/>
        </w:rPr>
      </w:pPr>
      <w:r w:rsidRPr="00701477">
        <w:rPr>
          <w:b/>
          <w:bCs/>
          <w:sz w:val="22"/>
          <w:szCs w:val="22"/>
          <w:lang w:val="pl-PL"/>
        </w:rPr>
        <w:t xml:space="preserve">6.6. </w:t>
      </w:r>
      <w:r w:rsidR="00480FB1" w:rsidRPr="00701477">
        <w:rPr>
          <w:b/>
          <w:bCs/>
          <w:sz w:val="22"/>
          <w:szCs w:val="22"/>
          <w:lang w:val="pl-PL"/>
        </w:rPr>
        <w:tab/>
      </w:r>
      <w:r w:rsidRPr="00701477">
        <w:rPr>
          <w:b/>
          <w:bCs/>
          <w:color w:val="000000"/>
          <w:sz w:val="22"/>
          <w:szCs w:val="22"/>
          <w:lang w:val="pl-PL"/>
        </w:rPr>
        <w:t>Posebne mjere opreza pri odlaganju materijala koji treba odbaciti nakon primjene lijeka</w:t>
      </w:r>
      <w:r w:rsidR="00310F03" w:rsidRPr="00701477">
        <w:rPr>
          <w:b/>
          <w:bCs/>
          <w:sz w:val="22"/>
          <w:szCs w:val="22"/>
          <w:lang w:val="pl-PL"/>
        </w:rPr>
        <w:t xml:space="preserve"> </w:t>
      </w:r>
      <w:r w:rsidR="00F74A6F" w:rsidRPr="00D37F8D">
        <w:rPr>
          <w:b/>
          <w:bCs/>
          <w:sz w:val="22"/>
          <w:szCs w:val="22"/>
          <w:lang w:val="pl-PL"/>
        </w:rPr>
        <w:t>(i druga uputsva za rukovanje lijekom)</w:t>
      </w:r>
    </w:p>
    <w:p w14:paraId="6731E7C0" w14:textId="77777777" w:rsidR="00B66A70" w:rsidRPr="00701477" w:rsidRDefault="00B66A70" w:rsidP="001D23DB">
      <w:pPr>
        <w:tabs>
          <w:tab w:val="left" w:pos="540"/>
          <w:tab w:val="left" w:pos="569"/>
        </w:tabs>
        <w:jc w:val="both"/>
        <w:rPr>
          <w:sz w:val="22"/>
          <w:szCs w:val="22"/>
          <w:lang w:val="pl-PL"/>
        </w:rPr>
      </w:pPr>
    </w:p>
    <w:p w14:paraId="0094A677" w14:textId="77777777" w:rsidR="00701477" w:rsidRPr="00732ABF" w:rsidRDefault="00701477">
      <w:pPr>
        <w:tabs>
          <w:tab w:val="left" w:pos="284"/>
        </w:tabs>
        <w:jc w:val="both"/>
        <w:rPr>
          <w:sz w:val="22"/>
          <w:szCs w:val="22"/>
          <w:lang w:val="pl-PL"/>
        </w:rPr>
      </w:pPr>
      <w:r w:rsidRPr="00732ABF">
        <w:rPr>
          <w:sz w:val="22"/>
          <w:szCs w:val="22"/>
          <w:lang w:val="pl-PL"/>
        </w:rPr>
        <w:t>Fiasp se ne smije primjeniti ako rastvor nije bistar i bezbojan.</w:t>
      </w:r>
    </w:p>
    <w:p w14:paraId="61C2E46B" w14:textId="77777777" w:rsidR="00701477" w:rsidRPr="00732ABF" w:rsidRDefault="00701477">
      <w:pPr>
        <w:tabs>
          <w:tab w:val="left" w:pos="284"/>
        </w:tabs>
        <w:jc w:val="both"/>
        <w:rPr>
          <w:sz w:val="22"/>
          <w:szCs w:val="22"/>
          <w:lang w:val="pl-PL"/>
        </w:rPr>
      </w:pPr>
    </w:p>
    <w:p w14:paraId="0CC1B7C4" w14:textId="77777777" w:rsidR="00701477" w:rsidRPr="00732ABF" w:rsidRDefault="00701477">
      <w:pPr>
        <w:tabs>
          <w:tab w:val="left" w:pos="284"/>
        </w:tabs>
        <w:jc w:val="both"/>
        <w:rPr>
          <w:sz w:val="22"/>
          <w:szCs w:val="22"/>
          <w:lang w:val="pl-PL"/>
        </w:rPr>
      </w:pPr>
      <w:r w:rsidRPr="00732ABF">
        <w:rPr>
          <w:sz w:val="22"/>
          <w:szCs w:val="22"/>
          <w:lang w:val="pl-PL"/>
        </w:rPr>
        <w:t>Fiasp koji je bio zamrznut se ne smije primjeniti.</w:t>
      </w:r>
    </w:p>
    <w:p w14:paraId="472CF674" w14:textId="53F5C8F7" w:rsidR="00701477" w:rsidRPr="00732ABF" w:rsidRDefault="00701477">
      <w:pPr>
        <w:tabs>
          <w:tab w:val="left" w:pos="284"/>
        </w:tabs>
        <w:jc w:val="both"/>
        <w:rPr>
          <w:sz w:val="22"/>
          <w:szCs w:val="22"/>
          <w:lang w:val="pl-PL"/>
        </w:rPr>
      </w:pPr>
    </w:p>
    <w:p w14:paraId="22F7A944" w14:textId="77777777" w:rsidR="00701477" w:rsidRPr="00732ABF" w:rsidRDefault="00701477">
      <w:pPr>
        <w:tabs>
          <w:tab w:val="left" w:pos="284"/>
        </w:tabs>
        <w:jc w:val="both"/>
        <w:rPr>
          <w:sz w:val="22"/>
          <w:szCs w:val="22"/>
          <w:u w:val="single"/>
          <w:lang w:val="pl-PL"/>
        </w:rPr>
      </w:pPr>
    </w:p>
    <w:p w14:paraId="1225697A" w14:textId="5B5B6AC3" w:rsidR="00701477" w:rsidRDefault="00701477">
      <w:pPr>
        <w:tabs>
          <w:tab w:val="left" w:pos="284"/>
        </w:tabs>
        <w:jc w:val="both"/>
        <w:rPr>
          <w:sz w:val="22"/>
          <w:szCs w:val="22"/>
          <w:u w:val="single"/>
          <w:lang w:val="pl-PL"/>
        </w:rPr>
      </w:pPr>
      <w:r w:rsidRPr="003F4415">
        <w:rPr>
          <w:sz w:val="22"/>
          <w:szCs w:val="22"/>
          <w:u w:val="single"/>
          <w:lang w:val="pl-PL"/>
        </w:rPr>
        <w:t>Fiasp FlexTouch, 100 jedinica/m</w:t>
      </w:r>
      <w:r w:rsidR="00F74A6F">
        <w:rPr>
          <w:sz w:val="22"/>
          <w:szCs w:val="22"/>
          <w:u w:val="single"/>
          <w:lang w:val="pl-PL"/>
        </w:rPr>
        <w:t>l</w:t>
      </w:r>
      <w:r w:rsidRPr="003F4415">
        <w:rPr>
          <w:sz w:val="22"/>
          <w:szCs w:val="22"/>
          <w:u w:val="single"/>
          <w:lang w:val="pl-PL"/>
        </w:rPr>
        <w:t>, rastvor za injekciju u napunjenom injekcionom penu</w:t>
      </w:r>
    </w:p>
    <w:p w14:paraId="7C662CB3" w14:textId="77777777" w:rsidR="007F109C" w:rsidRPr="006F07D6" w:rsidRDefault="007F109C">
      <w:pPr>
        <w:tabs>
          <w:tab w:val="left" w:pos="284"/>
        </w:tabs>
        <w:jc w:val="both"/>
        <w:rPr>
          <w:sz w:val="22"/>
          <w:szCs w:val="22"/>
          <w:lang w:val="pl-PL"/>
        </w:rPr>
      </w:pPr>
      <w:r w:rsidRPr="006F07D6">
        <w:rPr>
          <w:sz w:val="22"/>
          <w:szCs w:val="22"/>
          <w:lang w:val="pl-PL"/>
        </w:rPr>
        <w:t>Uložak (Penfill) je namjenjen za upotrebu sa penovima za primjenu insulina za višekratnu upotrebu kompanije Novo Nordisk i iglama za injekciju koje su u skladu sa ISO standardima za igle dužine od 4 mm do 8 mm i promjera između 30G i 32G, a koje su namjenjene samo za primjenu supkutane injekcije.</w:t>
      </w:r>
    </w:p>
    <w:p w14:paraId="76CDCF4D" w14:textId="77777777" w:rsidR="007F109C" w:rsidRPr="006F07D6" w:rsidRDefault="007F109C">
      <w:pPr>
        <w:tabs>
          <w:tab w:val="left" w:pos="284"/>
        </w:tabs>
        <w:jc w:val="both"/>
        <w:rPr>
          <w:sz w:val="22"/>
          <w:szCs w:val="22"/>
          <w:lang w:val="it-IT"/>
        </w:rPr>
      </w:pPr>
      <w:proofErr w:type="spellStart"/>
      <w:r w:rsidRPr="006F07D6">
        <w:rPr>
          <w:sz w:val="22"/>
          <w:szCs w:val="22"/>
          <w:lang w:val="it-IT"/>
        </w:rPr>
        <w:t>Igle</w:t>
      </w:r>
      <w:proofErr w:type="spellEnd"/>
      <w:r w:rsidRPr="006F07D6">
        <w:rPr>
          <w:sz w:val="22"/>
          <w:szCs w:val="22"/>
          <w:lang w:val="it-IT"/>
        </w:rPr>
        <w:t xml:space="preserve"> i </w:t>
      </w:r>
      <w:proofErr w:type="spellStart"/>
      <w:r w:rsidRPr="006F07D6">
        <w:rPr>
          <w:sz w:val="22"/>
          <w:szCs w:val="22"/>
          <w:lang w:val="it-IT"/>
        </w:rPr>
        <w:t>ulošci</w:t>
      </w:r>
      <w:proofErr w:type="spellEnd"/>
      <w:r w:rsidRPr="006F07D6">
        <w:rPr>
          <w:sz w:val="22"/>
          <w:szCs w:val="22"/>
          <w:lang w:val="it-IT"/>
        </w:rPr>
        <w:t xml:space="preserve"> se ne </w:t>
      </w:r>
      <w:proofErr w:type="spellStart"/>
      <w:r w:rsidRPr="006F07D6">
        <w:rPr>
          <w:sz w:val="22"/>
          <w:szCs w:val="22"/>
          <w:lang w:val="it-IT"/>
        </w:rPr>
        <w:t>smeju</w:t>
      </w:r>
      <w:proofErr w:type="spellEnd"/>
      <w:r w:rsidRPr="006F07D6">
        <w:rPr>
          <w:sz w:val="22"/>
          <w:szCs w:val="22"/>
          <w:lang w:val="it-IT"/>
        </w:rPr>
        <w:t xml:space="preserve"> </w:t>
      </w:r>
      <w:proofErr w:type="spellStart"/>
      <w:r w:rsidRPr="006F07D6">
        <w:rPr>
          <w:sz w:val="22"/>
          <w:szCs w:val="22"/>
          <w:lang w:val="it-IT"/>
        </w:rPr>
        <w:t>dijeliti</w:t>
      </w:r>
      <w:proofErr w:type="spellEnd"/>
      <w:r w:rsidRPr="006F07D6">
        <w:rPr>
          <w:sz w:val="22"/>
          <w:szCs w:val="22"/>
          <w:lang w:val="it-IT"/>
        </w:rPr>
        <w:t xml:space="preserve">. </w:t>
      </w:r>
      <w:proofErr w:type="spellStart"/>
      <w:r w:rsidRPr="006F07D6">
        <w:rPr>
          <w:sz w:val="22"/>
          <w:szCs w:val="22"/>
          <w:lang w:val="it-IT"/>
        </w:rPr>
        <w:t>Uložak</w:t>
      </w:r>
      <w:proofErr w:type="spellEnd"/>
      <w:r w:rsidRPr="006F07D6">
        <w:rPr>
          <w:sz w:val="22"/>
          <w:szCs w:val="22"/>
          <w:lang w:val="it-IT"/>
        </w:rPr>
        <w:t xml:space="preserve"> se ne </w:t>
      </w:r>
      <w:proofErr w:type="spellStart"/>
      <w:r w:rsidRPr="006F07D6">
        <w:rPr>
          <w:sz w:val="22"/>
          <w:szCs w:val="22"/>
          <w:lang w:val="it-IT"/>
        </w:rPr>
        <w:t>smije</w:t>
      </w:r>
      <w:proofErr w:type="spellEnd"/>
      <w:r w:rsidRPr="006F07D6">
        <w:rPr>
          <w:sz w:val="22"/>
          <w:szCs w:val="22"/>
          <w:lang w:val="it-IT"/>
        </w:rPr>
        <w:t xml:space="preserve"> </w:t>
      </w:r>
      <w:proofErr w:type="spellStart"/>
      <w:r w:rsidRPr="006F07D6">
        <w:rPr>
          <w:sz w:val="22"/>
          <w:szCs w:val="22"/>
          <w:lang w:val="it-IT"/>
        </w:rPr>
        <w:t>ponovo</w:t>
      </w:r>
      <w:proofErr w:type="spellEnd"/>
      <w:r w:rsidRPr="006F07D6">
        <w:rPr>
          <w:sz w:val="22"/>
          <w:szCs w:val="22"/>
          <w:lang w:val="it-IT"/>
        </w:rPr>
        <w:t xml:space="preserve"> puniti.</w:t>
      </w:r>
    </w:p>
    <w:p w14:paraId="404C23A5" w14:textId="3505BA4B" w:rsidR="00701477" w:rsidRPr="00732ABF" w:rsidRDefault="007F109C">
      <w:pPr>
        <w:tabs>
          <w:tab w:val="left" w:pos="284"/>
        </w:tabs>
        <w:jc w:val="both"/>
        <w:rPr>
          <w:sz w:val="22"/>
          <w:szCs w:val="22"/>
          <w:lang w:val="it-IT"/>
        </w:rPr>
      </w:pPr>
      <w:proofErr w:type="spellStart"/>
      <w:r w:rsidRPr="006F07D6">
        <w:rPr>
          <w:sz w:val="22"/>
          <w:szCs w:val="22"/>
          <w:lang w:val="it-IT"/>
        </w:rPr>
        <w:t>Nakon</w:t>
      </w:r>
      <w:proofErr w:type="spellEnd"/>
      <w:r w:rsidRPr="006F07D6">
        <w:rPr>
          <w:sz w:val="22"/>
          <w:szCs w:val="22"/>
          <w:lang w:val="it-IT"/>
        </w:rPr>
        <w:t xml:space="preserve"> </w:t>
      </w:r>
      <w:proofErr w:type="spellStart"/>
      <w:r w:rsidRPr="006F07D6">
        <w:rPr>
          <w:sz w:val="22"/>
          <w:szCs w:val="22"/>
          <w:lang w:val="it-IT"/>
        </w:rPr>
        <w:t>svakog</w:t>
      </w:r>
      <w:proofErr w:type="spellEnd"/>
      <w:r w:rsidRPr="006F07D6">
        <w:rPr>
          <w:sz w:val="22"/>
          <w:szCs w:val="22"/>
          <w:lang w:val="it-IT"/>
        </w:rPr>
        <w:t xml:space="preserve"> </w:t>
      </w:r>
      <w:proofErr w:type="spellStart"/>
      <w:r w:rsidRPr="006F07D6">
        <w:rPr>
          <w:sz w:val="22"/>
          <w:szCs w:val="22"/>
          <w:lang w:val="it-IT"/>
        </w:rPr>
        <w:t>ubrizgavanja</w:t>
      </w:r>
      <w:proofErr w:type="spellEnd"/>
      <w:r w:rsidRPr="006F07D6">
        <w:rPr>
          <w:sz w:val="22"/>
          <w:szCs w:val="22"/>
          <w:lang w:val="it-IT"/>
        </w:rPr>
        <w:t xml:space="preserve">, </w:t>
      </w:r>
      <w:proofErr w:type="spellStart"/>
      <w:r w:rsidRPr="006F07D6">
        <w:rPr>
          <w:sz w:val="22"/>
          <w:szCs w:val="22"/>
          <w:lang w:val="it-IT"/>
        </w:rPr>
        <w:t>pacijent</w:t>
      </w:r>
      <w:proofErr w:type="spellEnd"/>
      <w:r w:rsidRPr="006F07D6">
        <w:rPr>
          <w:sz w:val="22"/>
          <w:szCs w:val="22"/>
          <w:lang w:val="it-IT"/>
        </w:rPr>
        <w:t xml:space="preserve"> </w:t>
      </w:r>
      <w:proofErr w:type="spellStart"/>
      <w:r w:rsidRPr="006F07D6">
        <w:rPr>
          <w:sz w:val="22"/>
          <w:szCs w:val="22"/>
          <w:lang w:val="it-IT"/>
        </w:rPr>
        <w:t>treba</w:t>
      </w:r>
      <w:proofErr w:type="spellEnd"/>
      <w:r w:rsidRPr="006F07D6">
        <w:rPr>
          <w:sz w:val="22"/>
          <w:szCs w:val="22"/>
          <w:lang w:val="it-IT"/>
        </w:rPr>
        <w:t xml:space="preserve"> da baci </w:t>
      </w:r>
      <w:proofErr w:type="spellStart"/>
      <w:r w:rsidRPr="006F07D6">
        <w:rPr>
          <w:sz w:val="22"/>
          <w:szCs w:val="22"/>
          <w:lang w:val="it-IT"/>
        </w:rPr>
        <w:t>iglu</w:t>
      </w:r>
      <w:proofErr w:type="spellEnd"/>
      <w:r w:rsidRPr="006F07D6">
        <w:rPr>
          <w:sz w:val="22"/>
          <w:szCs w:val="22"/>
          <w:lang w:val="it-IT"/>
        </w:rPr>
        <w:t xml:space="preserve"> u </w:t>
      </w:r>
      <w:proofErr w:type="spellStart"/>
      <w:r w:rsidRPr="006F07D6">
        <w:rPr>
          <w:sz w:val="22"/>
          <w:szCs w:val="22"/>
          <w:lang w:val="it-IT"/>
        </w:rPr>
        <w:t>otpad</w:t>
      </w:r>
      <w:proofErr w:type="spellEnd"/>
      <w:r w:rsidRPr="006F07D6">
        <w:rPr>
          <w:sz w:val="22"/>
          <w:szCs w:val="22"/>
          <w:lang w:val="it-IT"/>
        </w:rPr>
        <w:t>.</w:t>
      </w:r>
    </w:p>
    <w:p w14:paraId="44003EDE" w14:textId="77777777" w:rsidR="00701477" w:rsidRPr="00732ABF" w:rsidRDefault="00701477">
      <w:pPr>
        <w:tabs>
          <w:tab w:val="left" w:pos="284"/>
        </w:tabs>
        <w:jc w:val="both"/>
        <w:rPr>
          <w:sz w:val="22"/>
          <w:szCs w:val="22"/>
          <w:lang w:val="it-IT"/>
        </w:rPr>
      </w:pPr>
    </w:p>
    <w:p w14:paraId="5878A0E4" w14:textId="6CCA0BDC" w:rsidR="00701477" w:rsidRDefault="00701477" w:rsidP="006F07D6">
      <w:pPr>
        <w:tabs>
          <w:tab w:val="left" w:pos="540"/>
          <w:tab w:val="left" w:pos="569"/>
        </w:tabs>
        <w:jc w:val="both"/>
        <w:rPr>
          <w:bCs/>
          <w:iCs/>
          <w:sz w:val="22"/>
          <w:szCs w:val="22"/>
          <w:u w:val="single"/>
          <w:lang w:val="sr-Latn-CS"/>
        </w:rPr>
      </w:pPr>
      <w:r w:rsidRPr="003F4415">
        <w:rPr>
          <w:bCs/>
          <w:iCs/>
          <w:sz w:val="22"/>
          <w:szCs w:val="22"/>
          <w:u w:val="single"/>
          <w:lang w:val="sr-Latn-CS"/>
        </w:rPr>
        <w:t xml:space="preserve">Fiasp Penfill, 100 </w:t>
      </w:r>
      <w:r w:rsidRPr="003F4415">
        <w:rPr>
          <w:sz w:val="22"/>
          <w:szCs w:val="22"/>
          <w:u w:val="single"/>
          <w:lang w:val="pl-PL"/>
        </w:rPr>
        <w:t>jedinica</w:t>
      </w:r>
      <w:r w:rsidRPr="003F4415">
        <w:rPr>
          <w:bCs/>
          <w:iCs/>
          <w:sz w:val="22"/>
          <w:szCs w:val="22"/>
          <w:u w:val="single"/>
          <w:lang w:val="sr-Latn-CS"/>
        </w:rPr>
        <w:t>/m</w:t>
      </w:r>
      <w:r w:rsidR="00F74A6F">
        <w:rPr>
          <w:bCs/>
          <w:iCs/>
          <w:sz w:val="22"/>
          <w:szCs w:val="22"/>
          <w:u w:val="single"/>
          <w:lang w:val="sr-Latn-CS"/>
        </w:rPr>
        <w:t>l</w:t>
      </w:r>
      <w:r w:rsidRPr="003F4415">
        <w:rPr>
          <w:bCs/>
          <w:iCs/>
          <w:sz w:val="22"/>
          <w:szCs w:val="22"/>
          <w:u w:val="single"/>
          <w:lang w:val="sr-Latn-CS"/>
        </w:rPr>
        <w:t>, rastvor za injekciju u ulošku</w:t>
      </w:r>
    </w:p>
    <w:p w14:paraId="53A9C403" w14:textId="77777777" w:rsidR="007F109C" w:rsidRPr="007F109C" w:rsidRDefault="007F109C">
      <w:pPr>
        <w:tabs>
          <w:tab w:val="left" w:pos="540"/>
          <w:tab w:val="left" w:pos="569"/>
        </w:tabs>
        <w:jc w:val="both"/>
        <w:rPr>
          <w:bCs/>
          <w:sz w:val="22"/>
          <w:szCs w:val="22"/>
          <w:lang w:val="pl-PL"/>
        </w:rPr>
      </w:pPr>
      <w:r w:rsidRPr="007F109C">
        <w:rPr>
          <w:bCs/>
          <w:sz w:val="22"/>
          <w:szCs w:val="22"/>
          <w:lang w:val="pl-PL"/>
        </w:rPr>
        <w:t>Uložak (Penfill) je namjenjen za upotrebu sa penovima za primjenu insulina za višekratnu upotrebu kompanije Novo Nordisk i iglama za injekciju koje su u skladu sa ISO standardima za igle dužine od 4 mm do 8 mm i promjera između 30G i 32G, a koje su namjenjene samo za primjenu supkutane injekcije.</w:t>
      </w:r>
    </w:p>
    <w:p w14:paraId="32D18700" w14:textId="77777777" w:rsidR="007F109C" w:rsidRPr="007F109C" w:rsidRDefault="007F109C">
      <w:pPr>
        <w:tabs>
          <w:tab w:val="left" w:pos="540"/>
          <w:tab w:val="left" w:pos="569"/>
        </w:tabs>
        <w:jc w:val="both"/>
        <w:rPr>
          <w:bCs/>
          <w:sz w:val="22"/>
          <w:szCs w:val="22"/>
          <w:lang w:val="it-IT"/>
        </w:rPr>
      </w:pPr>
      <w:proofErr w:type="spellStart"/>
      <w:r w:rsidRPr="007F109C">
        <w:rPr>
          <w:bCs/>
          <w:sz w:val="22"/>
          <w:szCs w:val="22"/>
          <w:lang w:val="it-IT"/>
        </w:rPr>
        <w:t>Igle</w:t>
      </w:r>
      <w:proofErr w:type="spellEnd"/>
      <w:r w:rsidRPr="007F109C">
        <w:rPr>
          <w:bCs/>
          <w:sz w:val="22"/>
          <w:szCs w:val="22"/>
          <w:lang w:val="it-IT"/>
        </w:rPr>
        <w:t xml:space="preserve"> i </w:t>
      </w:r>
      <w:proofErr w:type="spellStart"/>
      <w:r w:rsidRPr="007F109C">
        <w:rPr>
          <w:bCs/>
          <w:sz w:val="22"/>
          <w:szCs w:val="22"/>
          <w:lang w:val="it-IT"/>
        </w:rPr>
        <w:t>ulošci</w:t>
      </w:r>
      <w:proofErr w:type="spellEnd"/>
      <w:r w:rsidRPr="007F109C">
        <w:rPr>
          <w:bCs/>
          <w:sz w:val="22"/>
          <w:szCs w:val="22"/>
          <w:lang w:val="it-IT"/>
        </w:rPr>
        <w:t xml:space="preserve"> se ne </w:t>
      </w:r>
      <w:proofErr w:type="spellStart"/>
      <w:r w:rsidRPr="007F109C">
        <w:rPr>
          <w:bCs/>
          <w:sz w:val="22"/>
          <w:szCs w:val="22"/>
          <w:lang w:val="it-IT"/>
        </w:rPr>
        <w:t>smeju</w:t>
      </w:r>
      <w:proofErr w:type="spellEnd"/>
      <w:r w:rsidRPr="007F109C">
        <w:rPr>
          <w:bCs/>
          <w:sz w:val="22"/>
          <w:szCs w:val="22"/>
          <w:lang w:val="it-IT"/>
        </w:rPr>
        <w:t xml:space="preserve"> </w:t>
      </w:r>
      <w:proofErr w:type="spellStart"/>
      <w:r w:rsidRPr="007F109C">
        <w:rPr>
          <w:bCs/>
          <w:sz w:val="22"/>
          <w:szCs w:val="22"/>
          <w:lang w:val="it-IT"/>
        </w:rPr>
        <w:t>dijeliti</w:t>
      </w:r>
      <w:proofErr w:type="spellEnd"/>
      <w:r w:rsidRPr="007F109C">
        <w:rPr>
          <w:bCs/>
          <w:sz w:val="22"/>
          <w:szCs w:val="22"/>
          <w:lang w:val="it-IT"/>
        </w:rPr>
        <w:t xml:space="preserve">. </w:t>
      </w:r>
      <w:proofErr w:type="spellStart"/>
      <w:r w:rsidRPr="007F109C">
        <w:rPr>
          <w:bCs/>
          <w:sz w:val="22"/>
          <w:szCs w:val="22"/>
          <w:lang w:val="it-IT"/>
        </w:rPr>
        <w:t>Uložak</w:t>
      </w:r>
      <w:proofErr w:type="spellEnd"/>
      <w:r w:rsidRPr="007F109C">
        <w:rPr>
          <w:bCs/>
          <w:sz w:val="22"/>
          <w:szCs w:val="22"/>
          <w:lang w:val="it-IT"/>
        </w:rPr>
        <w:t xml:space="preserve"> se ne </w:t>
      </w:r>
      <w:proofErr w:type="spellStart"/>
      <w:r w:rsidRPr="007F109C">
        <w:rPr>
          <w:bCs/>
          <w:sz w:val="22"/>
          <w:szCs w:val="22"/>
          <w:lang w:val="it-IT"/>
        </w:rPr>
        <w:t>smije</w:t>
      </w:r>
      <w:proofErr w:type="spellEnd"/>
      <w:r w:rsidRPr="007F109C">
        <w:rPr>
          <w:bCs/>
          <w:sz w:val="22"/>
          <w:szCs w:val="22"/>
          <w:lang w:val="it-IT"/>
        </w:rPr>
        <w:t xml:space="preserve"> </w:t>
      </w:r>
      <w:proofErr w:type="spellStart"/>
      <w:r w:rsidRPr="007F109C">
        <w:rPr>
          <w:bCs/>
          <w:sz w:val="22"/>
          <w:szCs w:val="22"/>
          <w:lang w:val="it-IT"/>
        </w:rPr>
        <w:t>ponovo</w:t>
      </w:r>
      <w:proofErr w:type="spellEnd"/>
      <w:r w:rsidRPr="007F109C">
        <w:rPr>
          <w:bCs/>
          <w:sz w:val="22"/>
          <w:szCs w:val="22"/>
          <w:lang w:val="it-IT"/>
        </w:rPr>
        <w:t xml:space="preserve"> puniti.</w:t>
      </w:r>
    </w:p>
    <w:p w14:paraId="26C1274B" w14:textId="6F5A51FA" w:rsidR="00701477" w:rsidRPr="00732ABF" w:rsidRDefault="007F109C">
      <w:pPr>
        <w:tabs>
          <w:tab w:val="left" w:pos="540"/>
          <w:tab w:val="left" w:pos="569"/>
        </w:tabs>
        <w:jc w:val="both"/>
        <w:rPr>
          <w:bCs/>
          <w:sz w:val="22"/>
          <w:szCs w:val="22"/>
          <w:lang w:val="it-IT"/>
        </w:rPr>
      </w:pPr>
      <w:proofErr w:type="spellStart"/>
      <w:r w:rsidRPr="007F109C">
        <w:rPr>
          <w:bCs/>
          <w:sz w:val="22"/>
          <w:szCs w:val="22"/>
          <w:lang w:val="it-IT"/>
        </w:rPr>
        <w:t>Nakon</w:t>
      </w:r>
      <w:proofErr w:type="spellEnd"/>
      <w:r w:rsidRPr="007F109C">
        <w:rPr>
          <w:bCs/>
          <w:sz w:val="22"/>
          <w:szCs w:val="22"/>
          <w:lang w:val="it-IT"/>
        </w:rPr>
        <w:t xml:space="preserve"> </w:t>
      </w:r>
      <w:proofErr w:type="spellStart"/>
      <w:r w:rsidRPr="007F109C">
        <w:rPr>
          <w:bCs/>
          <w:sz w:val="22"/>
          <w:szCs w:val="22"/>
          <w:lang w:val="it-IT"/>
        </w:rPr>
        <w:t>svakog</w:t>
      </w:r>
      <w:proofErr w:type="spellEnd"/>
      <w:r w:rsidRPr="007F109C">
        <w:rPr>
          <w:bCs/>
          <w:sz w:val="22"/>
          <w:szCs w:val="22"/>
          <w:lang w:val="it-IT"/>
        </w:rPr>
        <w:t xml:space="preserve"> </w:t>
      </w:r>
      <w:proofErr w:type="spellStart"/>
      <w:r w:rsidRPr="007F109C">
        <w:rPr>
          <w:bCs/>
          <w:sz w:val="22"/>
          <w:szCs w:val="22"/>
          <w:lang w:val="it-IT"/>
        </w:rPr>
        <w:t>ubrizgavanja</w:t>
      </w:r>
      <w:proofErr w:type="spellEnd"/>
      <w:r w:rsidRPr="007F109C">
        <w:rPr>
          <w:bCs/>
          <w:sz w:val="22"/>
          <w:szCs w:val="22"/>
          <w:lang w:val="it-IT"/>
        </w:rPr>
        <w:t xml:space="preserve">, </w:t>
      </w:r>
      <w:proofErr w:type="spellStart"/>
      <w:r w:rsidRPr="007F109C">
        <w:rPr>
          <w:bCs/>
          <w:sz w:val="22"/>
          <w:szCs w:val="22"/>
          <w:lang w:val="it-IT"/>
        </w:rPr>
        <w:t>pacijent</w:t>
      </w:r>
      <w:proofErr w:type="spellEnd"/>
      <w:r w:rsidRPr="007F109C">
        <w:rPr>
          <w:bCs/>
          <w:sz w:val="22"/>
          <w:szCs w:val="22"/>
          <w:lang w:val="it-IT"/>
        </w:rPr>
        <w:t xml:space="preserve"> </w:t>
      </w:r>
      <w:proofErr w:type="spellStart"/>
      <w:r w:rsidRPr="007F109C">
        <w:rPr>
          <w:bCs/>
          <w:sz w:val="22"/>
          <w:szCs w:val="22"/>
          <w:lang w:val="it-IT"/>
        </w:rPr>
        <w:t>treba</w:t>
      </w:r>
      <w:proofErr w:type="spellEnd"/>
      <w:r w:rsidRPr="007F109C">
        <w:rPr>
          <w:bCs/>
          <w:sz w:val="22"/>
          <w:szCs w:val="22"/>
          <w:lang w:val="it-IT"/>
        </w:rPr>
        <w:t xml:space="preserve"> da baci </w:t>
      </w:r>
      <w:proofErr w:type="spellStart"/>
      <w:r w:rsidRPr="007F109C">
        <w:rPr>
          <w:bCs/>
          <w:sz w:val="22"/>
          <w:szCs w:val="22"/>
          <w:lang w:val="it-IT"/>
        </w:rPr>
        <w:t>iglu</w:t>
      </w:r>
      <w:proofErr w:type="spellEnd"/>
      <w:r w:rsidRPr="007F109C">
        <w:rPr>
          <w:bCs/>
          <w:sz w:val="22"/>
          <w:szCs w:val="22"/>
          <w:lang w:val="it-IT"/>
        </w:rPr>
        <w:t xml:space="preserve"> u </w:t>
      </w:r>
      <w:proofErr w:type="spellStart"/>
      <w:r w:rsidRPr="007F109C">
        <w:rPr>
          <w:bCs/>
          <w:sz w:val="22"/>
          <w:szCs w:val="22"/>
          <w:lang w:val="it-IT"/>
        </w:rPr>
        <w:t>otpad</w:t>
      </w:r>
      <w:proofErr w:type="spellEnd"/>
      <w:r w:rsidR="00701477" w:rsidRPr="00732ABF">
        <w:rPr>
          <w:bCs/>
          <w:sz w:val="22"/>
          <w:szCs w:val="22"/>
          <w:lang w:val="it-IT"/>
        </w:rPr>
        <w:t>.</w:t>
      </w:r>
    </w:p>
    <w:p w14:paraId="5B0D2144" w14:textId="77777777" w:rsidR="00701477" w:rsidRPr="00732ABF" w:rsidRDefault="00701477" w:rsidP="006F07D6">
      <w:pPr>
        <w:tabs>
          <w:tab w:val="left" w:pos="540"/>
          <w:tab w:val="left" w:pos="569"/>
        </w:tabs>
        <w:jc w:val="both"/>
        <w:rPr>
          <w:bCs/>
          <w:sz w:val="22"/>
          <w:szCs w:val="22"/>
          <w:lang w:val="it-IT"/>
        </w:rPr>
      </w:pPr>
    </w:p>
    <w:p w14:paraId="21C21050" w14:textId="0B9F2AB8" w:rsidR="00701477" w:rsidRPr="00732ABF" w:rsidRDefault="00701477">
      <w:pPr>
        <w:tabs>
          <w:tab w:val="left" w:pos="284"/>
        </w:tabs>
        <w:jc w:val="both"/>
        <w:rPr>
          <w:sz w:val="22"/>
          <w:szCs w:val="22"/>
          <w:lang w:val="it-IT"/>
        </w:rPr>
      </w:pPr>
      <w:r w:rsidRPr="003F4415">
        <w:rPr>
          <w:bCs/>
          <w:iCs/>
          <w:sz w:val="22"/>
          <w:szCs w:val="22"/>
          <w:u w:val="single"/>
          <w:lang w:val="sr-Latn-CS"/>
        </w:rPr>
        <w:t xml:space="preserve">Fiasp, 100 </w:t>
      </w:r>
      <w:r w:rsidRPr="003F4415">
        <w:rPr>
          <w:sz w:val="22"/>
          <w:szCs w:val="22"/>
          <w:u w:val="single"/>
          <w:lang w:val="pl-PL"/>
        </w:rPr>
        <w:t>jedinica</w:t>
      </w:r>
      <w:r w:rsidRPr="003F4415">
        <w:rPr>
          <w:bCs/>
          <w:iCs/>
          <w:sz w:val="22"/>
          <w:szCs w:val="22"/>
          <w:u w:val="single"/>
          <w:lang w:val="sr-Latn-CS"/>
        </w:rPr>
        <w:t>/m</w:t>
      </w:r>
      <w:r w:rsidR="00F74A6F">
        <w:rPr>
          <w:bCs/>
          <w:iCs/>
          <w:sz w:val="22"/>
          <w:szCs w:val="22"/>
          <w:u w:val="single"/>
          <w:lang w:val="sr-Latn-CS"/>
        </w:rPr>
        <w:t>l</w:t>
      </w:r>
      <w:r w:rsidRPr="003F4415">
        <w:rPr>
          <w:bCs/>
          <w:iCs/>
          <w:sz w:val="22"/>
          <w:szCs w:val="22"/>
          <w:u w:val="single"/>
          <w:lang w:val="sr-Latn-CS"/>
        </w:rPr>
        <w:t>, rastvor za injekciju</w:t>
      </w:r>
      <w:r>
        <w:rPr>
          <w:bCs/>
          <w:iCs/>
          <w:sz w:val="22"/>
          <w:szCs w:val="22"/>
          <w:u w:val="single"/>
          <w:lang w:val="sr-Latn-CS"/>
        </w:rPr>
        <w:t xml:space="preserve"> u bočici</w:t>
      </w:r>
    </w:p>
    <w:p w14:paraId="2CF8820A" w14:textId="77777777" w:rsidR="00701477" w:rsidRPr="00732ABF" w:rsidRDefault="00701477">
      <w:pPr>
        <w:tabs>
          <w:tab w:val="left" w:pos="284"/>
        </w:tabs>
        <w:jc w:val="both"/>
        <w:rPr>
          <w:sz w:val="22"/>
          <w:szCs w:val="22"/>
          <w:lang w:val="it-IT"/>
        </w:rPr>
      </w:pPr>
      <w:proofErr w:type="spellStart"/>
      <w:r w:rsidRPr="00732ABF">
        <w:rPr>
          <w:sz w:val="22"/>
          <w:szCs w:val="22"/>
          <w:lang w:val="it-IT"/>
        </w:rPr>
        <w:t>Igle</w:t>
      </w:r>
      <w:proofErr w:type="spellEnd"/>
      <w:r w:rsidRPr="00732ABF">
        <w:rPr>
          <w:sz w:val="22"/>
          <w:szCs w:val="22"/>
          <w:lang w:val="it-IT"/>
        </w:rPr>
        <w:t xml:space="preserve"> i </w:t>
      </w:r>
      <w:proofErr w:type="spellStart"/>
      <w:r w:rsidRPr="00732ABF">
        <w:rPr>
          <w:sz w:val="22"/>
          <w:szCs w:val="22"/>
          <w:lang w:val="it-IT"/>
        </w:rPr>
        <w:t>špricevi</w:t>
      </w:r>
      <w:proofErr w:type="spellEnd"/>
      <w:r w:rsidRPr="00732ABF">
        <w:rPr>
          <w:sz w:val="22"/>
          <w:szCs w:val="22"/>
          <w:lang w:val="it-IT"/>
        </w:rPr>
        <w:t xml:space="preserve"> se ne </w:t>
      </w:r>
      <w:proofErr w:type="spellStart"/>
      <w:r w:rsidRPr="00732ABF">
        <w:rPr>
          <w:sz w:val="22"/>
          <w:szCs w:val="22"/>
          <w:lang w:val="it-IT"/>
        </w:rPr>
        <w:t>smiju</w:t>
      </w:r>
      <w:proofErr w:type="spellEnd"/>
      <w:r w:rsidRPr="00732ABF">
        <w:rPr>
          <w:sz w:val="22"/>
          <w:szCs w:val="22"/>
          <w:lang w:val="it-IT"/>
        </w:rPr>
        <w:t xml:space="preserve"> </w:t>
      </w:r>
      <w:proofErr w:type="spellStart"/>
      <w:r w:rsidRPr="00732ABF">
        <w:rPr>
          <w:sz w:val="22"/>
          <w:szCs w:val="22"/>
          <w:lang w:val="it-IT"/>
        </w:rPr>
        <w:t>dijeliti</w:t>
      </w:r>
      <w:proofErr w:type="spellEnd"/>
      <w:r w:rsidRPr="00732ABF">
        <w:rPr>
          <w:sz w:val="22"/>
          <w:szCs w:val="22"/>
          <w:lang w:val="it-IT"/>
        </w:rPr>
        <w:t>.</w:t>
      </w:r>
    </w:p>
    <w:p w14:paraId="54A17D38" w14:textId="77777777" w:rsidR="00701477" w:rsidRPr="00732ABF" w:rsidRDefault="00701477">
      <w:pPr>
        <w:tabs>
          <w:tab w:val="left" w:pos="284"/>
        </w:tabs>
        <w:jc w:val="both"/>
        <w:rPr>
          <w:sz w:val="22"/>
          <w:szCs w:val="22"/>
          <w:lang w:val="it-IT"/>
        </w:rPr>
      </w:pPr>
    </w:p>
    <w:p w14:paraId="770C1710" w14:textId="77777777" w:rsidR="007F109C" w:rsidRPr="007F109C" w:rsidRDefault="007F109C">
      <w:pPr>
        <w:tabs>
          <w:tab w:val="left" w:pos="284"/>
        </w:tabs>
        <w:jc w:val="both"/>
        <w:rPr>
          <w:i/>
          <w:iCs/>
          <w:sz w:val="22"/>
          <w:szCs w:val="22"/>
          <w:lang w:val="it-IT"/>
        </w:rPr>
      </w:pPr>
      <w:proofErr w:type="spellStart"/>
      <w:r w:rsidRPr="007F109C">
        <w:rPr>
          <w:i/>
          <w:iCs/>
          <w:sz w:val="22"/>
          <w:szCs w:val="22"/>
          <w:lang w:val="it-IT"/>
        </w:rPr>
        <w:t>Primjena</w:t>
      </w:r>
      <w:proofErr w:type="spellEnd"/>
      <w:r w:rsidRPr="007F109C">
        <w:rPr>
          <w:i/>
          <w:iCs/>
          <w:sz w:val="22"/>
          <w:szCs w:val="22"/>
          <w:lang w:val="it-IT"/>
        </w:rPr>
        <w:t xml:space="preserve"> </w:t>
      </w:r>
      <w:proofErr w:type="spellStart"/>
      <w:r w:rsidRPr="007F109C">
        <w:rPr>
          <w:i/>
          <w:iCs/>
          <w:sz w:val="22"/>
          <w:szCs w:val="22"/>
          <w:lang w:val="it-IT"/>
        </w:rPr>
        <w:t>pomoću</w:t>
      </w:r>
      <w:proofErr w:type="spellEnd"/>
      <w:r w:rsidRPr="007F109C">
        <w:rPr>
          <w:i/>
          <w:iCs/>
          <w:sz w:val="22"/>
          <w:szCs w:val="22"/>
          <w:lang w:val="it-IT"/>
        </w:rPr>
        <w:t xml:space="preserve"> KSII</w:t>
      </w:r>
    </w:p>
    <w:p w14:paraId="524DA10A" w14:textId="1423C274" w:rsidR="00701477" w:rsidRDefault="007F109C">
      <w:pPr>
        <w:tabs>
          <w:tab w:val="left" w:pos="284"/>
        </w:tabs>
        <w:jc w:val="both"/>
        <w:rPr>
          <w:sz w:val="22"/>
          <w:szCs w:val="22"/>
          <w:lang w:val="it-IT"/>
        </w:rPr>
      </w:pPr>
      <w:proofErr w:type="spellStart"/>
      <w:r w:rsidRPr="007F109C">
        <w:rPr>
          <w:sz w:val="22"/>
          <w:szCs w:val="22"/>
          <w:lang w:val="it-IT"/>
        </w:rPr>
        <w:t>Kada</w:t>
      </w:r>
      <w:proofErr w:type="spellEnd"/>
      <w:r w:rsidRPr="007F109C">
        <w:rPr>
          <w:sz w:val="22"/>
          <w:szCs w:val="22"/>
          <w:lang w:val="it-IT"/>
        </w:rPr>
        <w:t xml:space="preserve"> se </w:t>
      </w:r>
      <w:proofErr w:type="spellStart"/>
      <w:r w:rsidRPr="007F109C">
        <w:rPr>
          <w:sz w:val="22"/>
          <w:szCs w:val="22"/>
          <w:lang w:val="it-IT"/>
        </w:rPr>
        <w:t>lijek</w:t>
      </w:r>
      <w:proofErr w:type="spellEnd"/>
      <w:r w:rsidRPr="007F109C">
        <w:rPr>
          <w:sz w:val="22"/>
          <w:szCs w:val="22"/>
          <w:lang w:val="it-IT"/>
        </w:rPr>
        <w:t xml:space="preserve"> </w:t>
      </w:r>
      <w:proofErr w:type="spellStart"/>
      <w:r w:rsidR="00701477" w:rsidRPr="00732ABF">
        <w:rPr>
          <w:sz w:val="22"/>
          <w:szCs w:val="22"/>
          <w:lang w:val="it-IT"/>
        </w:rPr>
        <w:t>Fiasp</w:t>
      </w:r>
      <w:proofErr w:type="spellEnd"/>
      <w:r>
        <w:rPr>
          <w:sz w:val="22"/>
          <w:szCs w:val="22"/>
          <w:lang w:val="it-IT"/>
        </w:rPr>
        <w:t xml:space="preserve"> </w:t>
      </w:r>
      <w:proofErr w:type="spellStart"/>
      <w:r w:rsidRPr="007F109C">
        <w:rPr>
          <w:sz w:val="22"/>
          <w:szCs w:val="22"/>
          <w:lang w:val="it-IT"/>
        </w:rPr>
        <w:t>izv</w:t>
      </w:r>
      <w:r>
        <w:rPr>
          <w:sz w:val="22"/>
          <w:szCs w:val="22"/>
          <w:lang w:val="it-IT"/>
        </w:rPr>
        <w:t>l</w:t>
      </w:r>
      <w:r w:rsidRPr="007F109C">
        <w:rPr>
          <w:sz w:val="22"/>
          <w:szCs w:val="22"/>
          <w:lang w:val="it-IT"/>
        </w:rPr>
        <w:t>ači</w:t>
      </w:r>
      <w:proofErr w:type="spellEnd"/>
      <w:r w:rsidRPr="007F109C">
        <w:rPr>
          <w:sz w:val="22"/>
          <w:szCs w:val="22"/>
          <w:lang w:val="it-IT"/>
        </w:rPr>
        <w:t xml:space="preserve"> </w:t>
      </w:r>
      <w:proofErr w:type="spellStart"/>
      <w:r w:rsidRPr="007F109C">
        <w:rPr>
          <w:sz w:val="22"/>
          <w:szCs w:val="22"/>
          <w:lang w:val="it-IT"/>
        </w:rPr>
        <w:t>iz</w:t>
      </w:r>
      <w:proofErr w:type="spellEnd"/>
      <w:r w:rsidRPr="007F109C">
        <w:rPr>
          <w:sz w:val="22"/>
          <w:szCs w:val="22"/>
          <w:lang w:val="it-IT"/>
        </w:rPr>
        <w:t xml:space="preserve"> </w:t>
      </w:r>
      <w:proofErr w:type="spellStart"/>
      <w:proofErr w:type="gramStart"/>
      <w:r w:rsidRPr="007F109C">
        <w:rPr>
          <w:sz w:val="22"/>
          <w:szCs w:val="22"/>
          <w:lang w:val="it-IT"/>
        </w:rPr>
        <w:t>bočice</w:t>
      </w:r>
      <w:proofErr w:type="spellEnd"/>
      <w:r w:rsidRPr="007F109C">
        <w:rPr>
          <w:sz w:val="22"/>
          <w:szCs w:val="22"/>
          <w:lang w:val="it-IT"/>
        </w:rPr>
        <w:t xml:space="preserve"> </w:t>
      </w:r>
      <w:r w:rsidR="00701477" w:rsidRPr="00732ABF">
        <w:rPr>
          <w:sz w:val="22"/>
          <w:szCs w:val="22"/>
          <w:lang w:val="it-IT"/>
        </w:rPr>
        <w:t xml:space="preserve"> </w:t>
      </w:r>
      <w:proofErr w:type="spellStart"/>
      <w:r w:rsidR="00701477" w:rsidRPr="00732ABF">
        <w:rPr>
          <w:sz w:val="22"/>
          <w:szCs w:val="22"/>
          <w:lang w:val="it-IT"/>
        </w:rPr>
        <w:t>može</w:t>
      </w:r>
      <w:proofErr w:type="spellEnd"/>
      <w:proofErr w:type="gramEnd"/>
      <w:r w:rsidR="00701477" w:rsidRPr="00732ABF">
        <w:rPr>
          <w:sz w:val="22"/>
          <w:szCs w:val="22"/>
          <w:lang w:val="it-IT"/>
        </w:rPr>
        <w:t xml:space="preserve"> </w:t>
      </w:r>
      <w:r>
        <w:rPr>
          <w:sz w:val="22"/>
          <w:szCs w:val="22"/>
          <w:lang w:val="it-IT"/>
        </w:rPr>
        <w:t xml:space="preserve">se </w:t>
      </w:r>
      <w:proofErr w:type="spellStart"/>
      <w:r w:rsidR="00701477" w:rsidRPr="00732ABF">
        <w:rPr>
          <w:sz w:val="22"/>
          <w:szCs w:val="22"/>
          <w:lang w:val="it-IT"/>
        </w:rPr>
        <w:t>primjen</w:t>
      </w:r>
      <w:r>
        <w:rPr>
          <w:sz w:val="22"/>
          <w:szCs w:val="22"/>
          <w:lang w:val="it-IT"/>
        </w:rPr>
        <w:t>j</w:t>
      </w:r>
      <w:r w:rsidR="00701477" w:rsidRPr="00732ABF">
        <w:rPr>
          <w:sz w:val="22"/>
          <w:szCs w:val="22"/>
          <w:lang w:val="it-IT"/>
        </w:rPr>
        <w:t>i</w:t>
      </w:r>
      <w:r>
        <w:rPr>
          <w:sz w:val="22"/>
          <w:szCs w:val="22"/>
          <w:lang w:val="it-IT"/>
        </w:rPr>
        <w:t>va</w:t>
      </w:r>
      <w:r w:rsidR="00701477" w:rsidRPr="00732ABF">
        <w:rPr>
          <w:sz w:val="22"/>
          <w:szCs w:val="22"/>
          <w:lang w:val="it-IT"/>
        </w:rPr>
        <w:t>ti</w:t>
      </w:r>
      <w:proofErr w:type="spellEnd"/>
      <w:r w:rsidR="00701477" w:rsidRPr="00732ABF">
        <w:rPr>
          <w:sz w:val="22"/>
          <w:szCs w:val="22"/>
          <w:lang w:val="it-IT"/>
        </w:rPr>
        <w:t xml:space="preserve"> </w:t>
      </w:r>
      <w:proofErr w:type="spellStart"/>
      <w:r w:rsidR="00701477" w:rsidRPr="00732ABF">
        <w:rPr>
          <w:sz w:val="22"/>
          <w:szCs w:val="22"/>
          <w:lang w:val="it-IT"/>
        </w:rPr>
        <w:t>uz</w:t>
      </w:r>
      <w:proofErr w:type="spellEnd"/>
      <w:r w:rsidR="00701477" w:rsidRPr="00732ABF">
        <w:rPr>
          <w:sz w:val="22"/>
          <w:szCs w:val="22"/>
          <w:lang w:val="it-IT"/>
        </w:rPr>
        <w:t xml:space="preserve"> </w:t>
      </w:r>
      <w:proofErr w:type="spellStart"/>
      <w:r w:rsidR="00701477" w:rsidRPr="00732ABF">
        <w:rPr>
          <w:sz w:val="22"/>
          <w:szCs w:val="22"/>
          <w:lang w:val="it-IT"/>
        </w:rPr>
        <w:t>pomoć</w:t>
      </w:r>
      <w:proofErr w:type="spellEnd"/>
      <w:r w:rsidR="00701477" w:rsidRPr="00732ABF">
        <w:rPr>
          <w:sz w:val="22"/>
          <w:szCs w:val="22"/>
          <w:lang w:val="it-IT"/>
        </w:rPr>
        <w:t xml:space="preserve"> </w:t>
      </w:r>
      <w:proofErr w:type="spellStart"/>
      <w:r w:rsidR="00701477" w:rsidRPr="00732ABF">
        <w:rPr>
          <w:sz w:val="22"/>
          <w:szCs w:val="22"/>
          <w:lang w:val="it-IT"/>
        </w:rPr>
        <w:t>infuzione</w:t>
      </w:r>
      <w:proofErr w:type="spellEnd"/>
      <w:r w:rsidR="00701477" w:rsidRPr="00732ABF">
        <w:rPr>
          <w:sz w:val="22"/>
          <w:szCs w:val="22"/>
          <w:lang w:val="it-IT"/>
        </w:rPr>
        <w:t xml:space="preserve"> </w:t>
      </w:r>
      <w:proofErr w:type="spellStart"/>
      <w:r w:rsidR="00701477" w:rsidRPr="00732ABF">
        <w:rPr>
          <w:sz w:val="22"/>
          <w:szCs w:val="22"/>
          <w:lang w:val="it-IT"/>
        </w:rPr>
        <w:t>pumpe</w:t>
      </w:r>
      <w:proofErr w:type="spellEnd"/>
      <w:r w:rsidR="00701477" w:rsidRPr="00732ABF">
        <w:rPr>
          <w:sz w:val="22"/>
          <w:szCs w:val="22"/>
          <w:lang w:val="it-IT"/>
        </w:rPr>
        <w:t xml:space="preserve"> (KSII) </w:t>
      </w:r>
      <w:proofErr w:type="spellStart"/>
      <w:r w:rsidR="00701477" w:rsidRPr="00732ABF">
        <w:rPr>
          <w:sz w:val="22"/>
          <w:szCs w:val="22"/>
          <w:lang w:val="it-IT"/>
        </w:rPr>
        <w:t>tokom</w:t>
      </w:r>
      <w:proofErr w:type="spellEnd"/>
      <w:r w:rsidR="00701477" w:rsidRPr="00732ABF">
        <w:rPr>
          <w:sz w:val="22"/>
          <w:szCs w:val="22"/>
          <w:lang w:val="it-IT"/>
        </w:rPr>
        <w:t xml:space="preserve"> </w:t>
      </w:r>
      <w:proofErr w:type="spellStart"/>
      <w:r w:rsidR="00701477" w:rsidRPr="00732ABF">
        <w:rPr>
          <w:sz w:val="22"/>
          <w:szCs w:val="22"/>
          <w:lang w:val="it-IT"/>
        </w:rPr>
        <w:t>najviše</w:t>
      </w:r>
      <w:proofErr w:type="spellEnd"/>
      <w:r w:rsidR="00701477" w:rsidRPr="00732ABF">
        <w:rPr>
          <w:sz w:val="22"/>
          <w:szCs w:val="22"/>
          <w:lang w:val="it-IT"/>
        </w:rPr>
        <w:t xml:space="preserve"> </w:t>
      </w:r>
      <w:r w:rsidR="00657781">
        <w:rPr>
          <w:sz w:val="22"/>
          <w:szCs w:val="22"/>
          <w:lang w:val="it-IT"/>
        </w:rPr>
        <w:t>6</w:t>
      </w:r>
      <w:r w:rsidR="00701477" w:rsidRPr="00732ABF">
        <w:rPr>
          <w:sz w:val="22"/>
          <w:szCs w:val="22"/>
          <w:lang w:val="it-IT"/>
        </w:rPr>
        <w:t xml:space="preserve"> </w:t>
      </w:r>
      <w:proofErr w:type="spellStart"/>
      <w:r w:rsidR="00701477" w:rsidRPr="00732ABF">
        <w:rPr>
          <w:sz w:val="22"/>
          <w:szCs w:val="22"/>
          <w:lang w:val="it-IT"/>
        </w:rPr>
        <w:t>dana</w:t>
      </w:r>
      <w:proofErr w:type="spellEnd"/>
      <w:r w:rsidR="00701477" w:rsidRPr="00732ABF">
        <w:rPr>
          <w:sz w:val="22"/>
          <w:szCs w:val="22"/>
          <w:lang w:val="it-IT"/>
        </w:rPr>
        <w:t xml:space="preserve">, </w:t>
      </w:r>
      <w:proofErr w:type="spellStart"/>
      <w:r w:rsidR="00701477" w:rsidRPr="00732ABF">
        <w:rPr>
          <w:sz w:val="22"/>
          <w:szCs w:val="22"/>
          <w:lang w:val="it-IT"/>
        </w:rPr>
        <w:t>kako</w:t>
      </w:r>
      <w:proofErr w:type="spellEnd"/>
      <w:r w:rsidR="00701477" w:rsidRPr="00732ABF">
        <w:rPr>
          <w:sz w:val="22"/>
          <w:szCs w:val="22"/>
          <w:lang w:val="it-IT"/>
        </w:rPr>
        <w:t xml:space="preserve"> je </w:t>
      </w:r>
      <w:proofErr w:type="spellStart"/>
      <w:r w:rsidR="00701477" w:rsidRPr="00732ABF">
        <w:rPr>
          <w:sz w:val="22"/>
          <w:szCs w:val="22"/>
          <w:lang w:val="it-IT"/>
        </w:rPr>
        <w:t>opisano</w:t>
      </w:r>
      <w:proofErr w:type="spellEnd"/>
      <w:r w:rsidR="00701477" w:rsidRPr="00732ABF">
        <w:rPr>
          <w:sz w:val="22"/>
          <w:szCs w:val="22"/>
          <w:lang w:val="it-IT"/>
        </w:rPr>
        <w:t xml:space="preserve"> u </w:t>
      </w:r>
      <w:proofErr w:type="spellStart"/>
      <w:r w:rsidR="0077787F">
        <w:rPr>
          <w:sz w:val="22"/>
          <w:szCs w:val="22"/>
          <w:lang w:val="it-IT"/>
        </w:rPr>
        <w:t>dijelu</w:t>
      </w:r>
      <w:proofErr w:type="spellEnd"/>
      <w:r w:rsidR="0077787F" w:rsidRPr="00732ABF">
        <w:rPr>
          <w:sz w:val="22"/>
          <w:szCs w:val="22"/>
          <w:lang w:val="it-IT"/>
        </w:rPr>
        <w:t xml:space="preserve"> </w:t>
      </w:r>
      <w:r w:rsidR="00701477" w:rsidRPr="00732ABF">
        <w:rPr>
          <w:sz w:val="22"/>
          <w:szCs w:val="22"/>
          <w:lang w:val="it-IT"/>
        </w:rPr>
        <w:t xml:space="preserve">4.2 i </w:t>
      </w:r>
      <w:proofErr w:type="spellStart"/>
      <w:r w:rsidR="00701477" w:rsidRPr="00732ABF">
        <w:rPr>
          <w:sz w:val="22"/>
          <w:szCs w:val="22"/>
          <w:lang w:val="it-IT"/>
        </w:rPr>
        <w:t>Uputstvu</w:t>
      </w:r>
      <w:proofErr w:type="spellEnd"/>
      <w:r w:rsidR="00701477" w:rsidRPr="00732ABF">
        <w:rPr>
          <w:sz w:val="22"/>
          <w:szCs w:val="22"/>
          <w:lang w:val="it-IT"/>
        </w:rPr>
        <w:t xml:space="preserve"> za </w:t>
      </w:r>
      <w:proofErr w:type="spellStart"/>
      <w:r w:rsidR="00701477" w:rsidRPr="00732ABF">
        <w:rPr>
          <w:sz w:val="22"/>
          <w:szCs w:val="22"/>
          <w:lang w:val="it-IT"/>
        </w:rPr>
        <w:t>lijek</w:t>
      </w:r>
      <w:proofErr w:type="spellEnd"/>
      <w:r w:rsidR="00701477" w:rsidRPr="00732ABF">
        <w:rPr>
          <w:sz w:val="22"/>
          <w:szCs w:val="22"/>
          <w:lang w:val="it-IT"/>
        </w:rPr>
        <w:t xml:space="preserve">. </w:t>
      </w:r>
      <w:proofErr w:type="spellStart"/>
      <w:r w:rsidR="00701477" w:rsidRPr="00732ABF">
        <w:rPr>
          <w:sz w:val="22"/>
          <w:szCs w:val="22"/>
          <w:lang w:val="it-IT"/>
        </w:rPr>
        <w:t>Ispitane</w:t>
      </w:r>
      <w:proofErr w:type="spellEnd"/>
      <w:r w:rsidR="00701477" w:rsidRPr="00732ABF">
        <w:rPr>
          <w:sz w:val="22"/>
          <w:szCs w:val="22"/>
          <w:lang w:val="it-IT"/>
        </w:rPr>
        <w:t xml:space="preserve"> su </w:t>
      </w:r>
      <w:proofErr w:type="spellStart"/>
      <w:r w:rsidR="00701477" w:rsidRPr="00732ABF">
        <w:rPr>
          <w:sz w:val="22"/>
          <w:szCs w:val="22"/>
          <w:lang w:val="it-IT"/>
        </w:rPr>
        <w:t>c</w:t>
      </w:r>
      <w:r w:rsidR="00817967">
        <w:rPr>
          <w:sz w:val="22"/>
          <w:szCs w:val="22"/>
          <w:lang w:val="it-IT"/>
        </w:rPr>
        <w:t>j</w:t>
      </w:r>
      <w:r w:rsidR="00701477" w:rsidRPr="00732ABF">
        <w:rPr>
          <w:sz w:val="22"/>
          <w:szCs w:val="22"/>
          <w:lang w:val="it-IT"/>
        </w:rPr>
        <w:t>evčice</w:t>
      </w:r>
      <w:proofErr w:type="spellEnd"/>
      <w:r w:rsidR="00701477" w:rsidRPr="00732ABF">
        <w:rPr>
          <w:sz w:val="22"/>
          <w:szCs w:val="22"/>
          <w:lang w:val="it-IT"/>
        </w:rPr>
        <w:t xml:space="preserve"> </w:t>
      </w:r>
      <w:proofErr w:type="spellStart"/>
      <w:r w:rsidR="00701477" w:rsidRPr="00732ABF">
        <w:rPr>
          <w:sz w:val="22"/>
          <w:szCs w:val="22"/>
          <w:lang w:val="it-IT"/>
        </w:rPr>
        <w:t>čij</w:t>
      </w:r>
      <w:r w:rsidR="00817967">
        <w:rPr>
          <w:sz w:val="22"/>
          <w:szCs w:val="22"/>
          <w:lang w:val="it-IT"/>
        </w:rPr>
        <w:t>i</w:t>
      </w:r>
      <w:proofErr w:type="spellEnd"/>
      <w:r w:rsidR="00701477" w:rsidRPr="00732ABF">
        <w:rPr>
          <w:sz w:val="22"/>
          <w:szCs w:val="22"/>
          <w:lang w:val="it-IT"/>
        </w:rPr>
        <w:t xml:space="preserve"> je </w:t>
      </w:r>
      <w:proofErr w:type="spellStart"/>
      <w:r w:rsidR="00701477" w:rsidRPr="00732ABF">
        <w:rPr>
          <w:sz w:val="22"/>
          <w:szCs w:val="22"/>
          <w:lang w:val="it-IT"/>
        </w:rPr>
        <w:t>unutrašnji</w:t>
      </w:r>
      <w:proofErr w:type="spellEnd"/>
      <w:r w:rsidR="00701477" w:rsidRPr="00732ABF">
        <w:rPr>
          <w:sz w:val="22"/>
          <w:szCs w:val="22"/>
          <w:lang w:val="it-IT"/>
        </w:rPr>
        <w:t xml:space="preserve"> </w:t>
      </w:r>
      <w:proofErr w:type="spellStart"/>
      <w:r w:rsidR="00701477" w:rsidRPr="00732ABF">
        <w:rPr>
          <w:sz w:val="22"/>
          <w:szCs w:val="22"/>
          <w:lang w:val="it-IT"/>
        </w:rPr>
        <w:t>zid</w:t>
      </w:r>
      <w:proofErr w:type="spellEnd"/>
      <w:r w:rsidR="00701477" w:rsidRPr="00732ABF">
        <w:rPr>
          <w:sz w:val="22"/>
          <w:szCs w:val="22"/>
          <w:lang w:val="it-IT"/>
        </w:rPr>
        <w:t xml:space="preserve"> </w:t>
      </w:r>
      <w:proofErr w:type="spellStart"/>
      <w:r w:rsidR="00701477" w:rsidRPr="00732ABF">
        <w:rPr>
          <w:sz w:val="22"/>
          <w:szCs w:val="22"/>
          <w:lang w:val="it-IT"/>
        </w:rPr>
        <w:t>na</w:t>
      </w:r>
      <w:r w:rsidR="00817967">
        <w:rPr>
          <w:sz w:val="22"/>
          <w:szCs w:val="22"/>
          <w:lang w:val="it-IT"/>
        </w:rPr>
        <w:t>pravljen</w:t>
      </w:r>
      <w:proofErr w:type="spellEnd"/>
      <w:r w:rsidR="00701477" w:rsidRPr="00732ABF">
        <w:rPr>
          <w:sz w:val="22"/>
          <w:szCs w:val="22"/>
          <w:lang w:val="it-IT"/>
        </w:rPr>
        <w:t xml:space="preserve"> od </w:t>
      </w:r>
      <w:proofErr w:type="spellStart"/>
      <w:r w:rsidR="00701477" w:rsidRPr="00732ABF">
        <w:rPr>
          <w:sz w:val="22"/>
          <w:szCs w:val="22"/>
          <w:lang w:val="it-IT"/>
        </w:rPr>
        <w:t>polietilena</w:t>
      </w:r>
      <w:proofErr w:type="spellEnd"/>
      <w:r w:rsidR="00701477" w:rsidRPr="00732ABF">
        <w:rPr>
          <w:sz w:val="22"/>
          <w:szCs w:val="22"/>
          <w:lang w:val="it-IT"/>
        </w:rPr>
        <w:t xml:space="preserve"> ili poliolefina</w:t>
      </w:r>
      <w:r w:rsidR="00817967">
        <w:rPr>
          <w:sz w:val="22"/>
          <w:szCs w:val="22"/>
          <w:lang w:val="it-IT"/>
        </w:rPr>
        <w:t xml:space="preserve"> i</w:t>
      </w:r>
      <w:r w:rsidR="00701477" w:rsidRPr="00732ABF">
        <w:rPr>
          <w:sz w:val="22"/>
          <w:szCs w:val="22"/>
          <w:lang w:val="it-IT"/>
        </w:rPr>
        <w:t xml:space="preserve"> </w:t>
      </w:r>
      <w:proofErr w:type="spellStart"/>
      <w:r w:rsidR="00701477" w:rsidRPr="00732ABF">
        <w:rPr>
          <w:sz w:val="22"/>
          <w:szCs w:val="22"/>
          <w:lang w:val="it-IT"/>
        </w:rPr>
        <w:t>utvrđeno</w:t>
      </w:r>
      <w:proofErr w:type="spellEnd"/>
      <w:r w:rsidR="00817967">
        <w:rPr>
          <w:sz w:val="22"/>
          <w:szCs w:val="22"/>
          <w:lang w:val="it-IT"/>
        </w:rPr>
        <w:t xml:space="preserve"> je</w:t>
      </w:r>
      <w:r w:rsidR="00701477" w:rsidRPr="00732ABF">
        <w:rPr>
          <w:sz w:val="22"/>
          <w:szCs w:val="22"/>
          <w:lang w:val="it-IT"/>
        </w:rPr>
        <w:t xml:space="preserve"> da su </w:t>
      </w:r>
      <w:proofErr w:type="spellStart"/>
      <w:r w:rsidR="00701477" w:rsidRPr="00732ABF">
        <w:rPr>
          <w:sz w:val="22"/>
          <w:szCs w:val="22"/>
          <w:lang w:val="it-IT"/>
        </w:rPr>
        <w:t>kompatibiln</w:t>
      </w:r>
      <w:r w:rsidR="00817967">
        <w:rPr>
          <w:sz w:val="22"/>
          <w:szCs w:val="22"/>
          <w:lang w:val="it-IT"/>
        </w:rPr>
        <w:t>e</w:t>
      </w:r>
      <w:proofErr w:type="spellEnd"/>
      <w:r w:rsidR="00701477" w:rsidRPr="00732ABF">
        <w:rPr>
          <w:sz w:val="22"/>
          <w:szCs w:val="22"/>
          <w:lang w:val="it-IT"/>
        </w:rPr>
        <w:t xml:space="preserve"> za </w:t>
      </w:r>
      <w:proofErr w:type="spellStart"/>
      <w:r w:rsidR="00701477" w:rsidRPr="00732ABF">
        <w:rPr>
          <w:sz w:val="22"/>
          <w:szCs w:val="22"/>
          <w:lang w:val="it-IT"/>
        </w:rPr>
        <w:t>primjenu</w:t>
      </w:r>
      <w:proofErr w:type="spellEnd"/>
      <w:r w:rsidR="00701477" w:rsidRPr="00732ABF">
        <w:rPr>
          <w:sz w:val="22"/>
          <w:szCs w:val="22"/>
          <w:lang w:val="it-IT"/>
        </w:rPr>
        <w:t xml:space="preserve"> sa </w:t>
      </w:r>
      <w:proofErr w:type="spellStart"/>
      <w:r w:rsidR="00701477" w:rsidRPr="00732ABF">
        <w:rPr>
          <w:sz w:val="22"/>
          <w:szCs w:val="22"/>
          <w:lang w:val="it-IT"/>
        </w:rPr>
        <w:t>pumpama</w:t>
      </w:r>
      <w:proofErr w:type="spellEnd"/>
      <w:r w:rsidR="00701477" w:rsidRPr="00732ABF">
        <w:rPr>
          <w:sz w:val="22"/>
          <w:szCs w:val="22"/>
          <w:lang w:val="it-IT"/>
        </w:rPr>
        <w:t>.</w:t>
      </w:r>
    </w:p>
    <w:p w14:paraId="3751F65A" w14:textId="36E85E1A" w:rsidR="00EF062B" w:rsidRDefault="00EF062B">
      <w:pPr>
        <w:tabs>
          <w:tab w:val="left" w:pos="284"/>
        </w:tabs>
        <w:jc w:val="both"/>
        <w:rPr>
          <w:sz w:val="22"/>
          <w:szCs w:val="22"/>
          <w:lang w:val="it-IT"/>
        </w:rPr>
      </w:pPr>
    </w:p>
    <w:p w14:paraId="4C1DFA3D" w14:textId="77777777" w:rsidR="007F109C" w:rsidRPr="007F109C" w:rsidRDefault="007F109C">
      <w:pPr>
        <w:tabs>
          <w:tab w:val="left" w:pos="284"/>
        </w:tabs>
        <w:jc w:val="both"/>
        <w:rPr>
          <w:i/>
          <w:iCs/>
          <w:sz w:val="22"/>
          <w:szCs w:val="22"/>
          <w:lang w:val="it-IT"/>
        </w:rPr>
      </w:pPr>
      <w:proofErr w:type="spellStart"/>
      <w:r w:rsidRPr="007F109C">
        <w:rPr>
          <w:i/>
          <w:iCs/>
          <w:sz w:val="22"/>
          <w:szCs w:val="22"/>
          <w:lang w:val="it-IT"/>
        </w:rPr>
        <w:t>Intravenska</w:t>
      </w:r>
      <w:proofErr w:type="spellEnd"/>
      <w:r w:rsidRPr="007F109C">
        <w:rPr>
          <w:i/>
          <w:iCs/>
          <w:sz w:val="22"/>
          <w:szCs w:val="22"/>
          <w:lang w:val="it-IT"/>
        </w:rPr>
        <w:t xml:space="preserve"> </w:t>
      </w:r>
      <w:proofErr w:type="spellStart"/>
      <w:r w:rsidRPr="007F109C">
        <w:rPr>
          <w:i/>
          <w:iCs/>
          <w:sz w:val="22"/>
          <w:szCs w:val="22"/>
          <w:lang w:val="it-IT"/>
        </w:rPr>
        <w:t>upotreba</w:t>
      </w:r>
      <w:proofErr w:type="spellEnd"/>
      <w:r w:rsidRPr="007F109C">
        <w:rPr>
          <w:i/>
          <w:iCs/>
          <w:sz w:val="22"/>
          <w:szCs w:val="22"/>
          <w:lang w:val="it-IT"/>
        </w:rPr>
        <w:t xml:space="preserve"> </w:t>
      </w:r>
    </w:p>
    <w:p w14:paraId="3515CECD" w14:textId="53A17BE6" w:rsidR="007F109C" w:rsidRPr="007F109C" w:rsidRDefault="007F109C">
      <w:pPr>
        <w:tabs>
          <w:tab w:val="left" w:pos="284"/>
        </w:tabs>
        <w:jc w:val="both"/>
        <w:rPr>
          <w:sz w:val="22"/>
          <w:szCs w:val="22"/>
          <w:lang w:val="it-IT"/>
        </w:rPr>
      </w:pPr>
      <w:proofErr w:type="spellStart"/>
      <w:r w:rsidRPr="007F109C">
        <w:rPr>
          <w:sz w:val="22"/>
          <w:szCs w:val="22"/>
          <w:lang w:val="it-IT"/>
        </w:rPr>
        <w:t>Lijek</w:t>
      </w:r>
      <w:proofErr w:type="spellEnd"/>
      <w:r w:rsidRPr="007F109C">
        <w:rPr>
          <w:sz w:val="22"/>
          <w:szCs w:val="22"/>
          <w:lang w:val="it-IT"/>
        </w:rPr>
        <w:t xml:space="preserve"> </w:t>
      </w:r>
      <w:proofErr w:type="spellStart"/>
      <w:r w:rsidRPr="007F109C">
        <w:rPr>
          <w:sz w:val="22"/>
          <w:szCs w:val="22"/>
          <w:lang w:val="it-IT"/>
        </w:rPr>
        <w:t>Fiasp</w:t>
      </w:r>
      <w:proofErr w:type="spellEnd"/>
      <w:r w:rsidRPr="007F109C">
        <w:rPr>
          <w:sz w:val="22"/>
          <w:szCs w:val="22"/>
          <w:lang w:val="it-IT"/>
        </w:rPr>
        <w:t xml:space="preserve"> je </w:t>
      </w:r>
      <w:proofErr w:type="spellStart"/>
      <w:r w:rsidRPr="007F109C">
        <w:rPr>
          <w:sz w:val="22"/>
          <w:szCs w:val="22"/>
          <w:lang w:val="it-IT"/>
        </w:rPr>
        <w:t>pokazao</w:t>
      </w:r>
      <w:proofErr w:type="spellEnd"/>
      <w:r w:rsidRPr="007F109C">
        <w:rPr>
          <w:sz w:val="22"/>
          <w:szCs w:val="22"/>
          <w:lang w:val="it-IT"/>
        </w:rPr>
        <w:t xml:space="preserve"> </w:t>
      </w:r>
      <w:proofErr w:type="spellStart"/>
      <w:r w:rsidRPr="007F109C">
        <w:rPr>
          <w:sz w:val="22"/>
          <w:szCs w:val="22"/>
          <w:lang w:val="it-IT"/>
        </w:rPr>
        <w:t>stabilnost</w:t>
      </w:r>
      <w:proofErr w:type="spellEnd"/>
      <w:r w:rsidRPr="007F109C">
        <w:rPr>
          <w:sz w:val="22"/>
          <w:szCs w:val="22"/>
          <w:lang w:val="it-IT"/>
        </w:rPr>
        <w:t xml:space="preserve"> </w:t>
      </w:r>
      <w:proofErr w:type="spellStart"/>
      <w:r w:rsidRPr="007F109C">
        <w:rPr>
          <w:sz w:val="22"/>
          <w:szCs w:val="22"/>
          <w:lang w:val="it-IT"/>
        </w:rPr>
        <w:t>na</w:t>
      </w:r>
      <w:proofErr w:type="spellEnd"/>
      <w:r w:rsidRPr="007F109C">
        <w:rPr>
          <w:sz w:val="22"/>
          <w:szCs w:val="22"/>
          <w:lang w:val="it-IT"/>
        </w:rPr>
        <w:t xml:space="preserve"> </w:t>
      </w:r>
      <w:proofErr w:type="spellStart"/>
      <w:r w:rsidRPr="007F109C">
        <w:rPr>
          <w:sz w:val="22"/>
          <w:szCs w:val="22"/>
          <w:lang w:val="it-IT"/>
        </w:rPr>
        <w:t>sobnoj</w:t>
      </w:r>
      <w:proofErr w:type="spellEnd"/>
      <w:r w:rsidRPr="007F109C">
        <w:rPr>
          <w:sz w:val="22"/>
          <w:szCs w:val="22"/>
          <w:lang w:val="it-IT"/>
        </w:rPr>
        <w:t xml:space="preserve"> </w:t>
      </w:r>
      <w:proofErr w:type="spellStart"/>
      <w:r w:rsidRPr="007F109C">
        <w:rPr>
          <w:sz w:val="22"/>
          <w:szCs w:val="22"/>
          <w:lang w:val="it-IT"/>
        </w:rPr>
        <w:t>temperaturi</w:t>
      </w:r>
      <w:proofErr w:type="spellEnd"/>
      <w:r w:rsidRPr="007F109C">
        <w:rPr>
          <w:sz w:val="22"/>
          <w:szCs w:val="22"/>
          <w:lang w:val="it-IT"/>
        </w:rPr>
        <w:t xml:space="preserve"> </w:t>
      </w:r>
      <w:proofErr w:type="spellStart"/>
      <w:r w:rsidRPr="007F109C">
        <w:rPr>
          <w:sz w:val="22"/>
          <w:szCs w:val="22"/>
          <w:lang w:val="it-IT"/>
        </w:rPr>
        <w:t>tokom</w:t>
      </w:r>
      <w:proofErr w:type="spellEnd"/>
      <w:r w:rsidRPr="007F109C">
        <w:rPr>
          <w:sz w:val="22"/>
          <w:szCs w:val="22"/>
          <w:lang w:val="it-IT"/>
        </w:rPr>
        <w:t xml:space="preserve"> 24 </w:t>
      </w:r>
      <w:proofErr w:type="spellStart"/>
      <w:r w:rsidRPr="007F109C">
        <w:rPr>
          <w:sz w:val="22"/>
          <w:szCs w:val="22"/>
          <w:lang w:val="it-IT"/>
        </w:rPr>
        <w:t>sata</w:t>
      </w:r>
      <w:proofErr w:type="spellEnd"/>
      <w:r w:rsidRPr="007F109C">
        <w:rPr>
          <w:sz w:val="22"/>
          <w:szCs w:val="22"/>
          <w:lang w:val="it-IT"/>
        </w:rPr>
        <w:t xml:space="preserve"> u </w:t>
      </w:r>
      <w:proofErr w:type="spellStart"/>
      <w:r w:rsidRPr="007F109C">
        <w:rPr>
          <w:sz w:val="22"/>
          <w:szCs w:val="22"/>
          <w:lang w:val="it-IT"/>
        </w:rPr>
        <w:t>tečnostima</w:t>
      </w:r>
      <w:proofErr w:type="spellEnd"/>
      <w:r w:rsidRPr="007F109C">
        <w:rPr>
          <w:sz w:val="22"/>
          <w:szCs w:val="22"/>
          <w:lang w:val="it-IT"/>
        </w:rPr>
        <w:t xml:space="preserve"> za </w:t>
      </w:r>
      <w:proofErr w:type="spellStart"/>
      <w:r w:rsidRPr="007F109C">
        <w:rPr>
          <w:sz w:val="22"/>
          <w:szCs w:val="22"/>
          <w:lang w:val="it-IT"/>
        </w:rPr>
        <w:t>infuziju</w:t>
      </w:r>
      <w:proofErr w:type="spellEnd"/>
      <w:r w:rsidRPr="007F109C">
        <w:rPr>
          <w:sz w:val="22"/>
          <w:szCs w:val="22"/>
          <w:lang w:val="it-IT"/>
        </w:rPr>
        <w:t xml:space="preserve">, </w:t>
      </w:r>
      <w:proofErr w:type="spellStart"/>
      <w:r w:rsidRPr="007F109C">
        <w:rPr>
          <w:sz w:val="22"/>
          <w:szCs w:val="22"/>
          <w:lang w:val="it-IT"/>
        </w:rPr>
        <w:t>kao</w:t>
      </w:r>
      <w:proofErr w:type="spellEnd"/>
      <w:r w:rsidRPr="007F109C">
        <w:rPr>
          <w:sz w:val="22"/>
          <w:szCs w:val="22"/>
          <w:lang w:val="it-IT"/>
        </w:rPr>
        <w:t xml:space="preserve"> </w:t>
      </w:r>
      <w:proofErr w:type="spellStart"/>
      <w:r w:rsidRPr="007F109C">
        <w:rPr>
          <w:sz w:val="22"/>
          <w:szCs w:val="22"/>
          <w:lang w:val="it-IT"/>
        </w:rPr>
        <w:t>što</w:t>
      </w:r>
      <w:proofErr w:type="spellEnd"/>
      <w:r w:rsidRPr="007F109C">
        <w:rPr>
          <w:sz w:val="22"/>
          <w:szCs w:val="22"/>
          <w:lang w:val="it-IT"/>
        </w:rPr>
        <w:t xml:space="preserve"> je </w:t>
      </w:r>
      <w:proofErr w:type="spellStart"/>
      <w:r w:rsidRPr="007F109C">
        <w:rPr>
          <w:sz w:val="22"/>
          <w:szCs w:val="22"/>
          <w:lang w:val="it-IT"/>
        </w:rPr>
        <w:t>rastvor</w:t>
      </w:r>
      <w:proofErr w:type="spellEnd"/>
      <w:r w:rsidRPr="007F109C">
        <w:rPr>
          <w:sz w:val="22"/>
          <w:szCs w:val="22"/>
          <w:lang w:val="it-IT"/>
        </w:rPr>
        <w:t xml:space="preserve"> za </w:t>
      </w:r>
      <w:proofErr w:type="spellStart"/>
      <w:r w:rsidRPr="007F109C">
        <w:rPr>
          <w:sz w:val="22"/>
          <w:szCs w:val="22"/>
          <w:lang w:val="it-IT"/>
        </w:rPr>
        <w:t>injekciju</w:t>
      </w:r>
      <w:proofErr w:type="spellEnd"/>
      <w:r w:rsidRPr="007F109C">
        <w:rPr>
          <w:sz w:val="22"/>
          <w:szCs w:val="22"/>
          <w:lang w:val="it-IT"/>
        </w:rPr>
        <w:t xml:space="preserve"> </w:t>
      </w:r>
      <w:proofErr w:type="spellStart"/>
      <w:r w:rsidRPr="007F109C">
        <w:rPr>
          <w:sz w:val="22"/>
          <w:szCs w:val="22"/>
          <w:lang w:val="it-IT"/>
        </w:rPr>
        <w:t>natrijum-hlorida</w:t>
      </w:r>
      <w:proofErr w:type="spellEnd"/>
      <w:r w:rsidRPr="007F109C">
        <w:rPr>
          <w:sz w:val="22"/>
          <w:szCs w:val="22"/>
          <w:lang w:val="it-IT"/>
        </w:rPr>
        <w:t xml:space="preserve"> 9 mg/m</w:t>
      </w:r>
      <w:r w:rsidR="00752E1B">
        <w:rPr>
          <w:sz w:val="22"/>
          <w:szCs w:val="22"/>
          <w:lang w:val="it-IT"/>
        </w:rPr>
        <w:t>l</w:t>
      </w:r>
      <w:r w:rsidRPr="007F109C">
        <w:rPr>
          <w:sz w:val="22"/>
          <w:szCs w:val="22"/>
          <w:lang w:val="it-IT"/>
        </w:rPr>
        <w:t xml:space="preserve"> (0,9%) ili 5% </w:t>
      </w:r>
      <w:proofErr w:type="spellStart"/>
      <w:r w:rsidRPr="007F109C">
        <w:rPr>
          <w:sz w:val="22"/>
          <w:szCs w:val="22"/>
          <w:lang w:val="it-IT"/>
        </w:rPr>
        <w:t>rastvor</w:t>
      </w:r>
      <w:proofErr w:type="spellEnd"/>
      <w:r w:rsidRPr="007F109C">
        <w:rPr>
          <w:sz w:val="22"/>
          <w:szCs w:val="22"/>
          <w:lang w:val="it-IT"/>
        </w:rPr>
        <w:t xml:space="preserve"> </w:t>
      </w:r>
      <w:proofErr w:type="spellStart"/>
      <w:r w:rsidRPr="007F109C">
        <w:rPr>
          <w:sz w:val="22"/>
          <w:szCs w:val="22"/>
          <w:lang w:val="it-IT"/>
        </w:rPr>
        <w:t>glukoze</w:t>
      </w:r>
      <w:proofErr w:type="spellEnd"/>
      <w:r w:rsidRPr="007F109C">
        <w:rPr>
          <w:sz w:val="22"/>
          <w:szCs w:val="22"/>
          <w:lang w:val="it-IT"/>
        </w:rPr>
        <w:t xml:space="preserve"> za </w:t>
      </w:r>
      <w:proofErr w:type="spellStart"/>
      <w:r w:rsidRPr="007F109C">
        <w:rPr>
          <w:sz w:val="22"/>
          <w:szCs w:val="22"/>
          <w:lang w:val="it-IT"/>
        </w:rPr>
        <w:t>injekciju</w:t>
      </w:r>
      <w:proofErr w:type="spellEnd"/>
      <w:r w:rsidRPr="007F109C">
        <w:rPr>
          <w:sz w:val="22"/>
          <w:szCs w:val="22"/>
          <w:lang w:val="it-IT"/>
        </w:rPr>
        <w:t>.</w:t>
      </w:r>
    </w:p>
    <w:p w14:paraId="0B6ED866" w14:textId="77E0FE6A" w:rsidR="00EF062B" w:rsidRPr="006F07D6" w:rsidRDefault="007F109C">
      <w:pPr>
        <w:tabs>
          <w:tab w:val="left" w:pos="284"/>
        </w:tabs>
        <w:jc w:val="both"/>
        <w:rPr>
          <w:sz w:val="22"/>
          <w:szCs w:val="22"/>
          <w:lang w:val="it-IT"/>
        </w:rPr>
      </w:pPr>
      <w:r w:rsidRPr="007F109C">
        <w:rPr>
          <w:sz w:val="22"/>
          <w:szCs w:val="22"/>
          <w:lang w:val="it-IT"/>
        </w:rPr>
        <w:lastRenderedPageBreak/>
        <w:t xml:space="preserve">Za </w:t>
      </w:r>
      <w:proofErr w:type="spellStart"/>
      <w:r w:rsidRPr="007F109C">
        <w:rPr>
          <w:sz w:val="22"/>
          <w:szCs w:val="22"/>
          <w:lang w:val="it-IT"/>
        </w:rPr>
        <w:t>intravensku</w:t>
      </w:r>
      <w:proofErr w:type="spellEnd"/>
      <w:r w:rsidRPr="007F109C">
        <w:rPr>
          <w:sz w:val="22"/>
          <w:szCs w:val="22"/>
          <w:lang w:val="it-IT"/>
        </w:rPr>
        <w:t xml:space="preserve"> </w:t>
      </w:r>
      <w:proofErr w:type="spellStart"/>
      <w:r w:rsidRPr="007F109C">
        <w:rPr>
          <w:sz w:val="22"/>
          <w:szCs w:val="22"/>
          <w:lang w:val="it-IT"/>
        </w:rPr>
        <w:t>upotrebu</w:t>
      </w:r>
      <w:proofErr w:type="spellEnd"/>
      <w:r w:rsidRPr="007F109C">
        <w:rPr>
          <w:sz w:val="22"/>
          <w:szCs w:val="22"/>
          <w:lang w:val="it-IT"/>
        </w:rPr>
        <w:t xml:space="preserve">, </w:t>
      </w:r>
      <w:proofErr w:type="spellStart"/>
      <w:r w:rsidRPr="007F109C">
        <w:rPr>
          <w:sz w:val="22"/>
          <w:szCs w:val="22"/>
          <w:lang w:val="it-IT"/>
        </w:rPr>
        <w:t>treba</w:t>
      </w:r>
      <w:proofErr w:type="spellEnd"/>
      <w:r w:rsidRPr="007F109C">
        <w:rPr>
          <w:sz w:val="22"/>
          <w:szCs w:val="22"/>
          <w:lang w:val="it-IT"/>
        </w:rPr>
        <w:t xml:space="preserve"> </w:t>
      </w:r>
      <w:proofErr w:type="spellStart"/>
      <w:r w:rsidRPr="007F109C">
        <w:rPr>
          <w:sz w:val="22"/>
          <w:szCs w:val="22"/>
          <w:lang w:val="it-IT"/>
        </w:rPr>
        <w:t>ga</w:t>
      </w:r>
      <w:proofErr w:type="spellEnd"/>
      <w:r w:rsidRPr="007F109C">
        <w:rPr>
          <w:sz w:val="22"/>
          <w:szCs w:val="22"/>
          <w:lang w:val="it-IT"/>
        </w:rPr>
        <w:t xml:space="preserve"> </w:t>
      </w:r>
      <w:proofErr w:type="spellStart"/>
      <w:r w:rsidRPr="007F109C">
        <w:rPr>
          <w:sz w:val="22"/>
          <w:szCs w:val="22"/>
          <w:lang w:val="it-IT"/>
        </w:rPr>
        <w:t>koristiti</w:t>
      </w:r>
      <w:proofErr w:type="spellEnd"/>
      <w:r w:rsidRPr="007F109C">
        <w:rPr>
          <w:sz w:val="22"/>
          <w:szCs w:val="22"/>
          <w:lang w:val="it-IT"/>
        </w:rPr>
        <w:t xml:space="preserve"> u </w:t>
      </w:r>
      <w:proofErr w:type="spellStart"/>
      <w:r w:rsidRPr="007F109C">
        <w:rPr>
          <w:sz w:val="22"/>
          <w:szCs w:val="22"/>
          <w:lang w:val="it-IT"/>
        </w:rPr>
        <w:t>koncentracijama</w:t>
      </w:r>
      <w:proofErr w:type="spellEnd"/>
      <w:r w:rsidRPr="007F109C">
        <w:rPr>
          <w:sz w:val="22"/>
          <w:szCs w:val="22"/>
          <w:lang w:val="it-IT"/>
        </w:rPr>
        <w:t xml:space="preserve"> </w:t>
      </w:r>
      <w:proofErr w:type="gramStart"/>
      <w:r w:rsidRPr="007F109C">
        <w:rPr>
          <w:sz w:val="22"/>
          <w:szCs w:val="22"/>
          <w:lang w:val="it-IT"/>
        </w:rPr>
        <w:t>od</w:t>
      </w:r>
      <w:proofErr w:type="gramEnd"/>
      <w:r w:rsidRPr="007F109C">
        <w:rPr>
          <w:sz w:val="22"/>
          <w:szCs w:val="22"/>
          <w:lang w:val="it-IT"/>
        </w:rPr>
        <w:t xml:space="preserve"> 0,5 </w:t>
      </w:r>
      <w:proofErr w:type="spellStart"/>
      <w:r w:rsidRPr="007F109C">
        <w:rPr>
          <w:sz w:val="22"/>
          <w:szCs w:val="22"/>
          <w:lang w:val="it-IT"/>
        </w:rPr>
        <w:t>jedinica</w:t>
      </w:r>
      <w:proofErr w:type="spellEnd"/>
      <w:r w:rsidRPr="007F109C">
        <w:rPr>
          <w:sz w:val="22"/>
          <w:szCs w:val="22"/>
          <w:lang w:val="it-IT"/>
        </w:rPr>
        <w:t xml:space="preserve">/ml do 1 </w:t>
      </w:r>
      <w:proofErr w:type="spellStart"/>
      <w:r w:rsidRPr="007F109C">
        <w:rPr>
          <w:sz w:val="22"/>
          <w:szCs w:val="22"/>
          <w:lang w:val="it-IT"/>
        </w:rPr>
        <w:t>jedinice</w:t>
      </w:r>
      <w:proofErr w:type="spellEnd"/>
      <w:r w:rsidRPr="007F109C">
        <w:rPr>
          <w:sz w:val="22"/>
          <w:szCs w:val="22"/>
          <w:lang w:val="it-IT"/>
        </w:rPr>
        <w:t xml:space="preserve">/ml insulina </w:t>
      </w:r>
      <w:proofErr w:type="spellStart"/>
      <w:r w:rsidRPr="007F109C">
        <w:rPr>
          <w:sz w:val="22"/>
          <w:szCs w:val="22"/>
          <w:lang w:val="it-IT"/>
        </w:rPr>
        <w:t>aspart</w:t>
      </w:r>
      <w:proofErr w:type="spellEnd"/>
      <w:r w:rsidRPr="007F109C">
        <w:rPr>
          <w:sz w:val="22"/>
          <w:szCs w:val="22"/>
          <w:lang w:val="it-IT"/>
        </w:rPr>
        <w:t xml:space="preserve"> u </w:t>
      </w:r>
      <w:proofErr w:type="spellStart"/>
      <w:r w:rsidRPr="007F109C">
        <w:rPr>
          <w:sz w:val="22"/>
          <w:szCs w:val="22"/>
          <w:lang w:val="it-IT"/>
        </w:rPr>
        <w:t>infuzionim</w:t>
      </w:r>
      <w:proofErr w:type="spellEnd"/>
      <w:r w:rsidRPr="007F109C">
        <w:rPr>
          <w:sz w:val="22"/>
          <w:szCs w:val="22"/>
          <w:lang w:val="it-IT"/>
        </w:rPr>
        <w:t xml:space="preserve"> </w:t>
      </w:r>
      <w:proofErr w:type="spellStart"/>
      <w:r w:rsidRPr="007F109C">
        <w:rPr>
          <w:sz w:val="22"/>
          <w:szCs w:val="22"/>
          <w:lang w:val="it-IT"/>
        </w:rPr>
        <w:t>sistemima</w:t>
      </w:r>
      <w:proofErr w:type="spellEnd"/>
      <w:r w:rsidRPr="007F109C">
        <w:rPr>
          <w:sz w:val="22"/>
          <w:szCs w:val="22"/>
          <w:lang w:val="it-IT"/>
        </w:rPr>
        <w:t xml:space="preserve"> – </w:t>
      </w:r>
      <w:proofErr w:type="spellStart"/>
      <w:r w:rsidRPr="007F109C">
        <w:rPr>
          <w:sz w:val="22"/>
          <w:szCs w:val="22"/>
          <w:lang w:val="it-IT"/>
        </w:rPr>
        <w:t>korišćenjem</w:t>
      </w:r>
      <w:proofErr w:type="spellEnd"/>
      <w:r w:rsidRPr="007F109C">
        <w:rPr>
          <w:sz w:val="22"/>
          <w:szCs w:val="22"/>
          <w:lang w:val="it-IT"/>
        </w:rPr>
        <w:t xml:space="preserve"> </w:t>
      </w:r>
      <w:proofErr w:type="spellStart"/>
      <w:r w:rsidRPr="007F109C">
        <w:rPr>
          <w:sz w:val="22"/>
          <w:szCs w:val="22"/>
          <w:lang w:val="it-IT"/>
        </w:rPr>
        <w:t>polipropilenskih</w:t>
      </w:r>
      <w:proofErr w:type="spellEnd"/>
      <w:r w:rsidRPr="007F109C">
        <w:rPr>
          <w:sz w:val="22"/>
          <w:szCs w:val="22"/>
          <w:lang w:val="it-IT"/>
        </w:rPr>
        <w:t xml:space="preserve"> </w:t>
      </w:r>
      <w:proofErr w:type="spellStart"/>
      <w:r w:rsidRPr="007F109C">
        <w:rPr>
          <w:sz w:val="22"/>
          <w:szCs w:val="22"/>
          <w:lang w:val="it-IT"/>
        </w:rPr>
        <w:t>infuzionih</w:t>
      </w:r>
      <w:proofErr w:type="spellEnd"/>
      <w:r w:rsidRPr="007F109C">
        <w:rPr>
          <w:sz w:val="22"/>
          <w:szCs w:val="22"/>
          <w:lang w:val="it-IT"/>
        </w:rPr>
        <w:t xml:space="preserve"> </w:t>
      </w:r>
      <w:proofErr w:type="spellStart"/>
      <w:r w:rsidRPr="007F109C">
        <w:rPr>
          <w:sz w:val="22"/>
          <w:szCs w:val="22"/>
          <w:lang w:val="it-IT"/>
        </w:rPr>
        <w:t>kesa</w:t>
      </w:r>
      <w:proofErr w:type="spellEnd"/>
      <w:r w:rsidRPr="007F109C">
        <w:rPr>
          <w:sz w:val="22"/>
          <w:szCs w:val="22"/>
          <w:lang w:val="it-IT"/>
        </w:rPr>
        <w:t>.</w:t>
      </w:r>
    </w:p>
    <w:p w14:paraId="0727D25B" w14:textId="77777777" w:rsidR="00701477" w:rsidRPr="006F07D6" w:rsidRDefault="00701477">
      <w:pPr>
        <w:tabs>
          <w:tab w:val="left" w:pos="284"/>
        </w:tabs>
        <w:jc w:val="both"/>
        <w:rPr>
          <w:sz w:val="22"/>
          <w:szCs w:val="22"/>
          <w:lang w:val="it-IT"/>
        </w:rPr>
      </w:pPr>
    </w:p>
    <w:p w14:paraId="1DBD98BF" w14:textId="77777777" w:rsidR="00701477" w:rsidRPr="006F07D6" w:rsidRDefault="00701477">
      <w:pPr>
        <w:tabs>
          <w:tab w:val="left" w:pos="284"/>
        </w:tabs>
        <w:jc w:val="both"/>
        <w:rPr>
          <w:sz w:val="22"/>
          <w:szCs w:val="22"/>
          <w:u w:val="single"/>
          <w:lang w:val="it-IT"/>
        </w:rPr>
      </w:pPr>
      <w:proofErr w:type="spellStart"/>
      <w:r w:rsidRPr="006F07D6">
        <w:rPr>
          <w:sz w:val="22"/>
          <w:szCs w:val="22"/>
          <w:u w:val="single"/>
          <w:lang w:val="it-IT"/>
        </w:rPr>
        <w:t>Uklanjanje</w:t>
      </w:r>
      <w:proofErr w:type="spellEnd"/>
    </w:p>
    <w:p w14:paraId="0D9986E5" w14:textId="77777777" w:rsidR="00701477" w:rsidRPr="006F07D6" w:rsidRDefault="00701477">
      <w:pPr>
        <w:tabs>
          <w:tab w:val="left" w:pos="284"/>
        </w:tabs>
        <w:jc w:val="both"/>
        <w:rPr>
          <w:sz w:val="22"/>
          <w:szCs w:val="22"/>
          <w:lang w:val="it-IT"/>
        </w:rPr>
      </w:pPr>
      <w:proofErr w:type="spellStart"/>
      <w:r w:rsidRPr="006F07D6">
        <w:rPr>
          <w:sz w:val="22"/>
          <w:szCs w:val="22"/>
          <w:lang w:val="it-IT"/>
        </w:rPr>
        <w:t>Svu</w:t>
      </w:r>
      <w:proofErr w:type="spellEnd"/>
      <w:r w:rsidRPr="006F07D6">
        <w:rPr>
          <w:sz w:val="22"/>
          <w:szCs w:val="22"/>
          <w:lang w:val="it-IT"/>
        </w:rPr>
        <w:t xml:space="preserve"> </w:t>
      </w:r>
      <w:proofErr w:type="spellStart"/>
      <w:r w:rsidRPr="006F07D6">
        <w:rPr>
          <w:sz w:val="22"/>
          <w:szCs w:val="22"/>
          <w:lang w:val="it-IT"/>
        </w:rPr>
        <w:t>neiskorišćenu</w:t>
      </w:r>
      <w:proofErr w:type="spellEnd"/>
      <w:r w:rsidRPr="006F07D6">
        <w:rPr>
          <w:sz w:val="22"/>
          <w:szCs w:val="22"/>
          <w:lang w:val="it-IT"/>
        </w:rPr>
        <w:t xml:space="preserve"> </w:t>
      </w:r>
      <w:proofErr w:type="spellStart"/>
      <w:r w:rsidRPr="006F07D6">
        <w:rPr>
          <w:sz w:val="22"/>
          <w:szCs w:val="22"/>
          <w:lang w:val="it-IT"/>
        </w:rPr>
        <w:t>količinu</w:t>
      </w:r>
      <w:proofErr w:type="spellEnd"/>
      <w:r w:rsidRPr="006F07D6">
        <w:rPr>
          <w:sz w:val="22"/>
          <w:szCs w:val="22"/>
          <w:lang w:val="it-IT"/>
        </w:rPr>
        <w:t xml:space="preserve"> </w:t>
      </w:r>
      <w:proofErr w:type="spellStart"/>
      <w:r w:rsidRPr="006F07D6">
        <w:rPr>
          <w:sz w:val="22"/>
          <w:szCs w:val="22"/>
          <w:lang w:val="it-IT"/>
        </w:rPr>
        <w:t>lijeka</w:t>
      </w:r>
      <w:proofErr w:type="spellEnd"/>
      <w:r w:rsidRPr="006F07D6">
        <w:rPr>
          <w:sz w:val="22"/>
          <w:szCs w:val="22"/>
          <w:lang w:val="it-IT"/>
        </w:rPr>
        <w:t xml:space="preserve"> ili </w:t>
      </w:r>
      <w:proofErr w:type="spellStart"/>
      <w:r w:rsidRPr="006F07D6">
        <w:rPr>
          <w:sz w:val="22"/>
          <w:szCs w:val="22"/>
          <w:lang w:val="it-IT"/>
        </w:rPr>
        <w:t>otpadnog</w:t>
      </w:r>
      <w:proofErr w:type="spellEnd"/>
      <w:r w:rsidRPr="006F07D6">
        <w:rPr>
          <w:sz w:val="22"/>
          <w:szCs w:val="22"/>
          <w:lang w:val="it-IT"/>
        </w:rPr>
        <w:t xml:space="preserve"> </w:t>
      </w:r>
      <w:proofErr w:type="spellStart"/>
      <w:r w:rsidRPr="006F07D6">
        <w:rPr>
          <w:sz w:val="22"/>
          <w:szCs w:val="22"/>
          <w:lang w:val="it-IT"/>
        </w:rPr>
        <w:t>materijala</w:t>
      </w:r>
      <w:proofErr w:type="spellEnd"/>
      <w:r w:rsidRPr="006F07D6">
        <w:rPr>
          <w:sz w:val="22"/>
          <w:szCs w:val="22"/>
          <w:lang w:val="it-IT"/>
        </w:rPr>
        <w:t xml:space="preserve"> </w:t>
      </w:r>
      <w:proofErr w:type="spellStart"/>
      <w:r w:rsidRPr="006F07D6">
        <w:rPr>
          <w:sz w:val="22"/>
          <w:szCs w:val="22"/>
          <w:lang w:val="it-IT"/>
        </w:rPr>
        <w:t>nakon</w:t>
      </w:r>
      <w:proofErr w:type="spellEnd"/>
      <w:r w:rsidRPr="006F07D6">
        <w:rPr>
          <w:sz w:val="22"/>
          <w:szCs w:val="22"/>
          <w:lang w:val="it-IT"/>
        </w:rPr>
        <w:t xml:space="preserve"> </w:t>
      </w:r>
      <w:proofErr w:type="spellStart"/>
      <w:r w:rsidRPr="006F07D6">
        <w:rPr>
          <w:sz w:val="22"/>
          <w:szCs w:val="22"/>
          <w:lang w:val="it-IT"/>
        </w:rPr>
        <w:t>njegove</w:t>
      </w:r>
      <w:proofErr w:type="spellEnd"/>
      <w:r w:rsidRPr="006F07D6">
        <w:rPr>
          <w:sz w:val="22"/>
          <w:szCs w:val="22"/>
          <w:lang w:val="it-IT"/>
        </w:rPr>
        <w:t xml:space="preserve"> </w:t>
      </w:r>
      <w:proofErr w:type="spellStart"/>
      <w:r w:rsidRPr="006F07D6">
        <w:rPr>
          <w:sz w:val="22"/>
          <w:szCs w:val="22"/>
          <w:lang w:val="it-IT"/>
        </w:rPr>
        <w:t>upotrebe</w:t>
      </w:r>
      <w:proofErr w:type="spellEnd"/>
      <w:r w:rsidRPr="006F07D6">
        <w:rPr>
          <w:sz w:val="22"/>
          <w:szCs w:val="22"/>
          <w:lang w:val="it-IT"/>
        </w:rPr>
        <w:t xml:space="preserve"> </w:t>
      </w:r>
      <w:proofErr w:type="spellStart"/>
      <w:r w:rsidRPr="006F07D6">
        <w:rPr>
          <w:sz w:val="22"/>
          <w:szCs w:val="22"/>
          <w:lang w:val="it-IT"/>
        </w:rPr>
        <w:t>treba</w:t>
      </w:r>
      <w:proofErr w:type="spellEnd"/>
      <w:r w:rsidRPr="006F07D6">
        <w:rPr>
          <w:sz w:val="22"/>
          <w:szCs w:val="22"/>
          <w:lang w:val="it-IT"/>
        </w:rPr>
        <w:t xml:space="preserve"> </w:t>
      </w:r>
      <w:proofErr w:type="spellStart"/>
      <w:r w:rsidRPr="006F07D6">
        <w:rPr>
          <w:sz w:val="22"/>
          <w:szCs w:val="22"/>
          <w:lang w:val="it-IT"/>
        </w:rPr>
        <w:t>ukloniti</w:t>
      </w:r>
      <w:proofErr w:type="spellEnd"/>
      <w:r w:rsidRPr="006F07D6">
        <w:rPr>
          <w:sz w:val="22"/>
          <w:szCs w:val="22"/>
          <w:lang w:val="it-IT"/>
        </w:rPr>
        <w:t xml:space="preserve">, u </w:t>
      </w:r>
      <w:proofErr w:type="spellStart"/>
      <w:r w:rsidRPr="006F07D6">
        <w:rPr>
          <w:sz w:val="22"/>
          <w:szCs w:val="22"/>
          <w:lang w:val="it-IT"/>
        </w:rPr>
        <w:t>skladu</w:t>
      </w:r>
      <w:proofErr w:type="spellEnd"/>
      <w:r w:rsidRPr="006F07D6">
        <w:rPr>
          <w:sz w:val="22"/>
          <w:szCs w:val="22"/>
          <w:lang w:val="it-IT"/>
        </w:rPr>
        <w:t xml:space="preserve"> sa </w:t>
      </w:r>
      <w:proofErr w:type="spellStart"/>
      <w:r w:rsidRPr="006F07D6">
        <w:rPr>
          <w:sz w:val="22"/>
          <w:szCs w:val="22"/>
          <w:lang w:val="it-IT"/>
        </w:rPr>
        <w:t>važećim</w:t>
      </w:r>
      <w:proofErr w:type="spellEnd"/>
      <w:r w:rsidRPr="006F07D6">
        <w:rPr>
          <w:sz w:val="22"/>
          <w:szCs w:val="22"/>
          <w:lang w:val="it-IT"/>
        </w:rPr>
        <w:t xml:space="preserve"> </w:t>
      </w:r>
      <w:proofErr w:type="spellStart"/>
      <w:r w:rsidRPr="006F07D6">
        <w:rPr>
          <w:sz w:val="22"/>
          <w:szCs w:val="22"/>
          <w:lang w:val="it-IT"/>
        </w:rPr>
        <w:t>propisima</w:t>
      </w:r>
      <w:proofErr w:type="spellEnd"/>
      <w:r w:rsidRPr="006F07D6">
        <w:rPr>
          <w:sz w:val="22"/>
          <w:szCs w:val="22"/>
          <w:lang w:val="it-IT"/>
        </w:rPr>
        <w:t>.</w:t>
      </w:r>
    </w:p>
    <w:p w14:paraId="55D8B8CF" w14:textId="77777777" w:rsidR="00701477" w:rsidRDefault="00701477" w:rsidP="006F07D6">
      <w:pPr>
        <w:tabs>
          <w:tab w:val="left" w:pos="540"/>
          <w:tab w:val="left" w:pos="569"/>
        </w:tabs>
        <w:jc w:val="both"/>
        <w:rPr>
          <w:sz w:val="22"/>
          <w:szCs w:val="22"/>
          <w:lang w:val="pl-PL"/>
        </w:rPr>
      </w:pPr>
    </w:p>
    <w:p w14:paraId="7636D12F" w14:textId="77777777" w:rsidR="00F74A6F" w:rsidRPr="00701477" w:rsidRDefault="00F74A6F" w:rsidP="006F07D6">
      <w:pPr>
        <w:tabs>
          <w:tab w:val="left" w:pos="540"/>
          <w:tab w:val="left" w:pos="569"/>
        </w:tabs>
        <w:jc w:val="both"/>
        <w:rPr>
          <w:sz w:val="22"/>
          <w:szCs w:val="22"/>
          <w:lang w:val="pl-PL"/>
        </w:rPr>
      </w:pPr>
    </w:p>
    <w:p w14:paraId="3003FF2C" w14:textId="77777777" w:rsidR="00F8570A" w:rsidRPr="00D37F8D" w:rsidRDefault="0072020E" w:rsidP="006F07D6">
      <w:pPr>
        <w:tabs>
          <w:tab w:val="left" w:pos="540"/>
          <w:tab w:val="left" w:pos="569"/>
        </w:tabs>
        <w:jc w:val="both"/>
        <w:rPr>
          <w:b/>
          <w:bCs/>
          <w:sz w:val="22"/>
          <w:szCs w:val="22"/>
          <w:lang w:val="pt-BR"/>
        </w:rPr>
      </w:pPr>
      <w:r w:rsidRPr="00D37F8D">
        <w:rPr>
          <w:b/>
          <w:bCs/>
          <w:sz w:val="22"/>
          <w:szCs w:val="22"/>
          <w:lang w:val="pt-BR"/>
        </w:rPr>
        <w:t xml:space="preserve">7. </w:t>
      </w:r>
      <w:r w:rsidR="00480FB1" w:rsidRPr="00D37F8D">
        <w:rPr>
          <w:b/>
          <w:bCs/>
          <w:sz w:val="22"/>
          <w:szCs w:val="22"/>
          <w:lang w:val="pt-BR"/>
        </w:rPr>
        <w:tab/>
      </w:r>
      <w:r w:rsidRPr="00D37F8D">
        <w:rPr>
          <w:b/>
          <w:bCs/>
          <w:sz w:val="22"/>
          <w:szCs w:val="22"/>
          <w:lang w:val="pt-BR"/>
        </w:rPr>
        <w:t>NOSILAC DOZVOLE</w:t>
      </w:r>
      <w:r w:rsidR="00483928" w:rsidRPr="00D37F8D">
        <w:rPr>
          <w:b/>
          <w:bCs/>
          <w:sz w:val="22"/>
          <w:szCs w:val="22"/>
          <w:lang w:val="pt-BR"/>
        </w:rPr>
        <w:t xml:space="preserve"> </w:t>
      </w:r>
    </w:p>
    <w:p w14:paraId="246101A5" w14:textId="77777777" w:rsidR="00C61BE0" w:rsidRPr="00D37F8D" w:rsidRDefault="00C61BE0" w:rsidP="006F07D6">
      <w:pPr>
        <w:tabs>
          <w:tab w:val="left" w:pos="540"/>
          <w:tab w:val="left" w:pos="569"/>
        </w:tabs>
        <w:jc w:val="both"/>
        <w:rPr>
          <w:bCs/>
          <w:sz w:val="22"/>
          <w:szCs w:val="22"/>
          <w:lang w:val="pt-BR"/>
        </w:rPr>
      </w:pPr>
    </w:p>
    <w:p w14:paraId="3888D56F" w14:textId="77777777" w:rsidR="00701477" w:rsidRPr="00E7641D" w:rsidRDefault="00701477" w:rsidP="006F07D6">
      <w:pPr>
        <w:tabs>
          <w:tab w:val="left" w:pos="540"/>
          <w:tab w:val="left" w:pos="569"/>
        </w:tabs>
        <w:jc w:val="both"/>
        <w:rPr>
          <w:bCs/>
          <w:sz w:val="22"/>
          <w:szCs w:val="22"/>
          <w:lang w:val="sr-Latn-ME"/>
        </w:rPr>
      </w:pPr>
      <w:r w:rsidRPr="00E7641D">
        <w:rPr>
          <w:bCs/>
          <w:sz w:val="22"/>
          <w:szCs w:val="22"/>
          <w:lang w:val="sr-Latn-ME"/>
        </w:rPr>
        <w:t>Novo Nordisk Pharma Operations A/S, Danska – Predstavništvo Crna Gora, Podgorica</w:t>
      </w:r>
    </w:p>
    <w:p w14:paraId="7470C987" w14:textId="77777777" w:rsidR="00C37FD7" w:rsidRPr="00D37F8D" w:rsidRDefault="00701477" w:rsidP="006F07D6">
      <w:pPr>
        <w:tabs>
          <w:tab w:val="left" w:pos="540"/>
          <w:tab w:val="left" w:pos="569"/>
        </w:tabs>
        <w:jc w:val="both"/>
        <w:rPr>
          <w:bCs/>
          <w:sz w:val="22"/>
          <w:szCs w:val="22"/>
          <w:lang w:val="sr-Latn-ME"/>
        </w:rPr>
      </w:pPr>
      <w:r w:rsidRPr="00E7641D">
        <w:rPr>
          <w:bCs/>
          <w:sz w:val="22"/>
          <w:szCs w:val="22"/>
          <w:lang w:val="sr-Latn-ME"/>
        </w:rPr>
        <w:t>Kritskog odreda 4/1</w:t>
      </w:r>
      <w:r w:rsidR="00FE68F5">
        <w:rPr>
          <w:bCs/>
          <w:sz w:val="22"/>
          <w:szCs w:val="22"/>
          <w:lang w:val="sr-Latn-ME"/>
        </w:rPr>
        <w:t xml:space="preserve">, </w:t>
      </w:r>
      <w:r w:rsidRPr="00E7641D">
        <w:rPr>
          <w:bCs/>
          <w:sz w:val="22"/>
          <w:szCs w:val="22"/>
          <w:lang w:val="sr-Latn-ME"/>
        </w:rPr>
        <w:t>81000 Podgorica, Crna Gora</w:t>
      </w:r>
    </w:p>
    <w:p w14:paraId="25F047D1" w14:textId="388F7E46" w:rsidR="00F74A6F" w:rsidRDefault="00F74A6F" w:rsidP="006F07D6">
      <w:pPr>
        <w:tabs>
          <w:tab w:val="left" w:pos="540"/>
          <w:tab w:val="left" w:pos="569"/>
        </w:tabs>
        <w:jc w:val="both"/>
        <w:rPr>
          <w:bCs/>
          <w:sz w:val="22"/>
          <w:szCs w:val="22"/>
          <w:lang w:val="sr-Latn-ME"/>
        </w:rPr>
      </w:pPr>
    </w:p>
    <w:p w14:paraId="73EC1AA5" w14:textId="77777777" w:rsidR="0079798C" w:rsidRPr="00D37F8D" w:rsidRDefault="0079798C" w:rsidP="006F07D6">
      <w:pPr>
        <w:tabs>
          <w:tab w:val="left" w:pos="540"/>
          <w:tab w:val="left" w:pos="569"/>
        </w:tabs>
        <w:jc w:val="both"/>
        <w:rPr>
          <w:bCs/>
          <w:sz w:val="22"/>
          <w:szCs w:val="22"/>
          <w:lang w:val="sr-Latn-ME"/>
        </w:rPr>
      </w:pPr>
    </w:p>
    <w:p w14:paraId="0DFFD580" w14:textId="77777777" w:rsidR="0072020E" w:rsidRPr="00D37F8D" w:rsidRDefault="0072020E" w:rsidP="006F07D6">
      <w:pPr>
        <w:tabs>
          <w:tab w:val="left" w:pos="540"/>
          <w:tab w:val="left" w:pos="569"/>
        </w:tabs>
        <w:jc w:val="both"/>
        <w:rPr>
          <w:b/>
          <w:bCs/>
          <w:sz w:val="22"/>
          <w:szCs w:val="22"/>
          <w:lang w:val="sr-Latn-ME"/>
        </w:rPr>
      </w:pPr>
      <w:r w:rsidRPr="00D37F8D">
        <w:rPr>
          <w:b/>
          <w:bCs/>
          <w:sz w:val="22"/>
          <w:szCs w:val="22"/>
          <w:lang w:val="sr-Latn-ME"/>
        </w:rPr>
        <w:t xml:space="preserve">8. </w:t>
      </w:r>
      <w:r w:rsidR="00480FB1" w:rsidRPr="00D37F8D">
        <w:rPr>
          <w:b/>
          <w:bCs/>
          <w:sz w:val="22"/>
          <w:szCs w:val="22"/>
          <w:lang w:val="sr-Latn-ME"/>
        </w:rPr>
        <w:tab/>
      </w:r>
      <w:r w:rsidRPr="00786071">
        <w:rPr>
          <w:b/>
          <w:bCs/>
          <w:sz w:val="22"/>
          <w:szCs w:val="22"/>
        </w:rPr>
        <w:t>BROJ</w:t>
      </w:r>
      <w:r w:rsidRPr="00D37F8D">
        <w:rPr>
          <w:b/>
          <w:bCs/>
          <w:sz w:val="22"/>
          <w:szCs w:val="22"/>
          <w:lang w:val="sr-Latn-ME"/>
        </w:rPr>
        <w:t xml:space="preserve"> </w:t>
      </w:r>
      <w:r w:rsidRPr="00786071">
        <w:rPr>
          <w:b/>
          <w:bCs/>
          <w:sz w:val="22"/>
          <w:szCs w:val="22"/>
        </w:rPr>
        <w:t>DOZVOLE</w:t>
      </w:r>
      <w:r w:rsidR="008A6D43" w:rsidRPr="00D37F8D">
        <w:rPr>
          <w:b/>
          <w:bCs/>
          <w:sz w:val="22"/>
          <w:szCs w:val="22"/>
          <w:lang w:val="sr-Latn-ME"/>
        </w:rPr>
        <w:t xml:space="preserve"> </w:t>
      </w:r>
      <w:r w:rsidR="008A6D43">
        <w:rPr>
          <w:b/>
          <w:bCs/>
          <w:sz w:val="22"/>
          <w:szCs w:val="22"/>
        </w:rPr>
        <w:t>ZA</w:t>
      </w:r>
      <w:r w:rsidR="008A6D43" w:rsidRPr="00D37F8D">
        <w:rPr>
          <w:b/>
          <w:bCs/>
          <w:sz w:val="22"/>
          <w:szCs w:val="22"/>
          <w:lang w:val="sr-Latn-ME"/>
        </w:rPr>
        <w:t xml:space="preserve"> </w:t>
      </w:r>
      <w:r w:rsidR="008A6D43">
        <w:rPr>
          <w:b/>
          <w:bCs/>
          <w:sz w:val="22"/>
          <w:szCs w:val="22"/>
        </w:rPr>
        <w:t>STAVLJANJE</w:t>
      </w:r>
      <w:r w:rsidR="008A6D43" w:rsidRPr="00D37F8D">
        <w:rPr>
          <w:b/>
          <w:bCs/>
          <w:sz w:val="22"/>
          <w:szCs w:val="22"/>
          <w:lang w:val="sr-Latn-ME"/>
        </w:rPr>
        <w:t xml:space="preserve"> </w:t>
      </w:r>
      <w:r w:rsidR="008A6D43">
        <w:rPr>
          <w:b/>
          <w:bCs/>
          <w:sz w:val="22"/>
          <w:szCs w:val="22"/>
        </w:rPr>
        <w:t>LIJEKA</w:t>
      </w:r>
      <w:r w:rsidR="008A6D43" w:rsidRPr="00D37F8D">
        <w:rPr>
          <w:b/>
          <w:bCs/>
          <w:sz w:val="22"/>
          <w:szCs w:val="22"/>
          <w:lang w:val="sr-Latn-ME"/>
        </w:rPr>
        <w:t xml:space="preserve"> </w:t>
      </w:r>
      <w:r w:rsidR="008A6D43">
        <w:rPr>
          <w:b/>
          <w:bCs/>
          <w:sz w:val="22"/>
          <w:szCs w:val="22"/>
        </w:rPr>
        <w:t>U</w:t>
      </w:r>
      <w:r w:rsidR="008A6D43" w:rsidRPr="00D37F8D">
        <w:rPr>
          <w:b/>
          <w:bCs/>
          <w:sz w:val="22"/>
          <w:szCs w:val="22"/>
          <w:lang w:val="sr-Latn-ME"/>
        </w:rPr>
        <w:t xml:space="preserve"> </w:t>
      </w:r>
      <w:r w:rsidR="008A6D43">
        <w:rPr>
          <w:b/>
          <w:bCs/>
          <w:sz w:val="22"/>
          <w:szCs w:val="22"/>
        </w:rPr>
        <w:t>PROMET</w:t>
      </w:r>
    </w:p>
    <w:p w14:paraId="2AAE484C" w14:textId="77777777" w:rsidR="0072020E" w:rsidRPr="00D37F8D" w:rsidRDefault="0072020E" w:rsidP="006F07D6">
      <w:pPr>
        <w:tabs>
          <w:tab w:val="left" w:pos="540"/>
          <w:tab w:val="left" w:pos="569"/>
        </w:tabs>
        <w:jc w:val="both"/>
        <w:rPr>
          <w:bCs/>
          <w:sz w:val="22"/>
          <w:szCs w:val="22"/>
          <w:lang w:val="sr-Latn-ME"/>
        </w:rPr>
      </w:pPr>
    </w:p>
    <w:p w14:paraId="7B18594F" w14:textId="7EBD5E18" w:rsidR="00701477" w:rsidRDefault="00701477" w:rsidP="006F07D6">
      <w:pPr>
        <w:jc w:val="both"/>
        <w:rPr>
          <w:bCs/>
          <w:sz w:val="22"/>
          <w:szCs w:val="22"/>
          <w:lang w:val="pl-PL"/>
        </w:rPr>
      </w:pPr>
      <w:r w:rsidRPr="00FE68F5">
        <w:rPr>
          <w:sz w:val="22"/>
          <w:szCs w:val="22"/>
          <w:lang w:val="pl-PL"/>
        </w:rPr>
        <w:t>Fiasp FlexTouch, rastvor za injekciju u napunjenom injekcionom penu</w:t>
      </w:r>
      <w:r w:rsidR="00817967" w:rsidRPr="00FE68F5">
        <w:rPr>
          <w:sz w:val="22"/>
          <w:szCs w:val="22"/>
          <w:lang w:val="pl-PL"/>
        </w:rPr>
        <w:t>, 100 jedinica/ml, napunjeni injekcioni pen, 5x3ml:</w:t>
      </w:r>
      <w:r w:rsidR="00FE68F5">
        <w:rPr>
          <w:sz w:val="22"/>
          <w:szCs w:val="22"/>
          <w:lang w:val="pl-PL"/>
        </w:rPr>
        <w:t xml:space="preserve"> </w:t>
      </w:r>
      <w:r w:rsidR="00FE68F5">
        <w:rPr>
          <w:bCs/>
          <w:sz w:val="22"/>
          <w:szCs w:val="22"/>
          <w:lang w:val="pl-PL"/>
        </w:rPr>
        <w:t>2030</w:t>
      </w:r>
      <w:r w:rsidRPr="00732ABF">
        <w:rPr>
          <w:bCs/>
          <w:sz w:val="22"/>
          <w:szCs w:val="22"/>
          <w:lang w:val="pl-PL"/>
        </w:rPr>
        <w:t>/</w:t>
      </w:r>
      <w:r w:rsidR="00FE68F5">
        <w:rPr>
          <w:bCs/>
          <w:sz w:val="22"/>
          <w:szCs w:val="22"/>
          <w:lang w:val="pl-PL"/>
        </w:rPr>
        <w:t>19</w:t>
      </w:r>
      <w:r w:rsidRPr="00732ABF">
        <w:rPr>
          <w:bCs/>
          <w:sz w:val="22"/>
          <w:szCs w:val="22"/>
          <w:lang w:val="pl-PL"/>
        </w:rPr>
        <w:t>/</w:t>
      </w:r>
      <w:r w:rsidR="00FE68F5">
        <w:rPr>
          <w:bCs/>
          <w:sz w:val="22"/>
          <w:szCs w:val="22"/>
          <w:lang w:val="pl-PL"/>
        </w:rPr>
        <w:t>152</w:t>
      </w:r>
      <w:r w:rsidRPr="00732ABF">
        <w:rPr>
          <w:bCs/>
          <w:sz w:val="22"/>
          <w:szCs w:val="22"/>
          <w:lang w:val="pl-PL"/>
        </w:rPr>
        <w:t>-</w:t>
      </w:r>
      <w:r w:rsidR="00FE68F5">
        <w:rPr>
          <w:bCs/>
          <w:sz w:val="22"/>
          <w:szCs w:val="22"/>
          <w:lang w:val="pl-PL"/>
        </w:rPr>
        <w:t>5088</w:t>
      </w:r>
    </w:p>
    <w:p w14:paraId="70271366" w14:textId="77777777" w:rsidR="00FE68F5" w:rsidRPr="007E1D36" w:rsidRDefault="00FE68F5" w:rsidP="006F07D6">
      <w:pPr>
        <w:jc w:val="both"/>
        <w:rPr>
          <w:sz w:val="22"/>
          <w:szCs w:val="22"/>
          <w:lang w:val="pl-PL"/>
        </w:rPr>
      </w:pPr>
    </w:p>
    <w:p w14:paraId="262018E2" w14:textId="40E0A52C" w:rsidR="00701477" w:rsidRPr="00732ABF" w:rsidRDefault="00701477" w:rsidP="006F07D6">
      <w:pPr>
        <w:jc w:val="both"/>
        <w:rPr>
          <w:bCs/>
          <w:sz w:val="22"/>
          <w:szCs w:val="22"/>
          <w:lang w:val="sr-Latn-CS"/>
        </w:rPr>
      </w:pPr>
      <w:r w:rsidRPr="00FE68F5">
        <w:rPr>
          <w:bCs/>
          <w:iCs/>
          <w:sz w:val="22"/>
          <w:szCs w:val="22"/>
          <w:lang w:val="sr-Latn-CS"/>
        </w:rPr>
        <w:t>Fiasp Penfill, rastvor za injekciju u ulošku</w:t>
      </w:r>
      <w:r w:rsidR="00817967" w:rsidRPr="00FE68F5">
        <w:rPr>
          <w:bCs/>
          <w:iCs/>
          <w:sz w:val="22"/>
          <w:szCs w:val="22"/>
          <w:lang w:val="sr-Latn-CS"/>
        </w:rPr>
        <w:t xml:space="preserve">, 100 </w:t>
      </w:r>
      <w:r w:rsidR="00817967" w:rsidRPr="00FE68F5">
        <w:rPr>
          <w:sz w:val="22"/>
          <w:szCs w:val="22"/>
          <w:lang w:val="pl-PL"/>
        </w:rPr>
        <w:t>jedinica</w:t>
      </w:r>
      <w:r w:rsidR="00817967" w:rsidRPr="00FE68F5">
        <w:rPr>
          <w:bCs/>
          <w:iCs/>
          <w:sz w:val="22"/>
          <w:szCs w:val="22"/>
          <w:lang w:val="sr-Latn-CS"/>
        </w:rPr>
        <w:t>/ml, uložak, 5x3ml:</w:t>
      </w:r>
      <w:r w:rsidR="00FE68F5">
        <w:rPr>
          <w:bCs/>
          <w:iCs/>
          <w:sz w:val="22"/>
          <w:szCs w:val="22"/>
          <w:lang w:val="sr-Latn-CS"/>
        </w:rPr>
        <w:t xml:space="preserve"> </w:t>
      </w:r>
      <w:r w:rsidR="00FE68F5">
        <w:rPr>
          <w:bCs/>
          <w:sz w:val="22"/>
          <w:szCs w:val="22"/>
          <w:lang w:val="pl-PL"/>
        </w:rPr>
        <w:t>2030</w:t>
      </w:r>
      <w:r w:rsidR="00FE68F5" w:rsidRPr="00732ABF">
        <w:rPr>
          <w:bCs/>
          <w:sz w:val="22"/>
          <w:szCs w:val="22"/>
          <w:lang w:val="pl-PL"/>
        </w:rPr>
        <w:t>/</w:t>
      </w:r>
      <w:r w:rsidR="00FE68F5">
        <w:rPr>
          <w:bCs/>
          <w:sz w:val="22"/>
          <w:szCs w:val="22"/>
          <w:lang w:val="pl-PL"/>
        </w:rPr>
        <w:t>19</w:t>
      </w:r>
      <w:r w:rsidR="00FE68F5" w:rsidRPr="00732ABF">
        <w:rPr>
          <w:bCs/>
          <w:sz w:val="22"/>
          <w:szCs w:val="22"/>
          <w:lang w:val="pl-PL"/>
        </w:rPr>
        <w:t>/</w:t>
      </w:r>
      <w:r w:rsidR="00FE68F5">
        <w:rPr>
          <w:bCs/>
          <w:sz w:val="22"/>
          <w:szCs w:val="22"/>
          <w:lang w:val="pl-PL"/>
        </w:rPr>
        <w:t>151</w:t>
      </w:r>
      <w:r w:rsidR="00FE68F5" w:rsidRPr="00732ABF">
        <w:rPr>
          <w:bCs/>
          <w:sz w:val="22"/>
          <w:szCs w:val="22"/>
          <w:lang w:val="pl-PL"/>
        </w:rPr>
        <w:t>-</w:t>
      </w:r>
      <w:r w:rsidR="00FE68F5">
        <w:rPr>
          <w:bCs/>
          <w:sz w:val="22"/>
          <w:szCs w:val="22"/>
          <w:lang w:val="pl-PL"/>
        </w:rPr>
        <w:t>5087</w:t>
      </w:r>
    </w:p>
    <w:p w14:paraId="38674E13" w14:textId="77777777" w:rsidR="00701477" w:rsidRDefault="00701477" w:rsidP="006F07D6">
      <w:pPr>
        <w:jc w:val="both"/>
        <w:rPr>
          <w:sz w:val="22"/>
          <w:szCs w:val="22"/>
          <w:lang w:val="pl-PL"/>
        </w:rPr>
      </w:pPr>
    </w:p>
    <w:p w14:paraId="6E2AFCAD" w14:textId="44D83518" w:rsidR="00701477" w:rsidRPr="00D37F8D" w:rsidRDefault="00701477" w:rsidP="006F07D6">
      <w:pPr>
        <w:tabs>
          <w:tab w:val="left" w:pos="540"/>
          <w:tab w:val="left" w:pos="569"/>
        </w:tabs>
        <w:jc w:val="both"/>
        <w:rPr>
          <w:bCs/>
          <w:sz w:val="22"/>
          <w:szCs w:val="22"/>
          <w:lang w:val="sr-Latn-CS"/>
        </w:rPr>
      </w:pPr>
      <w:r w:rsidRPr="00FE68F5">
        <w:rPr>
          <w:bCs/>
          <w:iCs/>
          <w:sz w:val="22"/>
          <w:szCs w:val="22"/>
          <w:lang w:val="sr-Latn-CS"/>
        </w:rPr>
        <w:t>Fiasp, rastvor za injekciju</w:t>
      </w:r>
      <w:r w:rsidR="00817967" w:rsidRPr="00FE68F5">
        <w:rPr>
          <w:bCs/>
          <w:iCs/>
          <w:sz w:val="22"/>
          <w:szCs w:val="22"/>
          <w:lang w:val="sr-Latn-CS"/>
        </w:rPr>
        <w:t xml:space="preserve">, 100 </w:t>
      </w:r>
      <w:r w:rsidR="00817967" w:rsidRPr="00FE68F5">
        <w:rPr>
          <w:sz w:val="22"/>
          <w:szCs w:val="22"/>
          <w:lang w:val="pl-PL"/>
        </w:rPr>
        <w:t>jedinica</w:t>
      </w:r>
      <w:r w:rsidR="00817967" w:rsidRPr="00FE68F5">
        <w:rPr>
          <w:bCs/>
          <w:iCs/>
          <w:sz w:val="22"/>
          <w:szCs w:val="22"/>
          <w:lang w:val="sr-Latn-CS"/>
        </w:rPr>
        <w:t>/ml, bočica, 1x10ml</w:t>
      </w:r>
      <w:r w:rsidR="00243DFF" w:rsidRPr="00FE68F5">
        <w:rPr>
          <w:bCs/>
          <w:iCs/>
          <w:sz w:val="22"/>
          <w:szCs w:val="22"/>
          <w:lang w:val="sr-Latn-CS"/>
        </w:rPr>
        <w:t>:</w:t>
      </w:r>
      <w:r w:rsidR="00FE68F5">
        <w:rPr>
          <w:bCs/>
          <w:iCs/>
          <w:sz w:val="22"/>
          <w:szCs w:val="22"/>
          <w:lang w:val="sr-Latn-CS"/>
        </w:rPr>
        <w:t xml:space="preserve"> </w:t>
      </w:r>
      <w:r w:rsidR="00FE68F5">
        <w:rPr>
          <w:bCs/>
          <w:sz w:val="22"/>
          <w:szCs w:val="22"/>
          <w:lang w:val="pl-PL"/>
        </w:rPr>
        <w:t>2030</w:t>
      </w:r>
      <w:r w:rsidR="00FE68F5" w:rsidRPr="00732ABF">
        <w:rPr>
          <w:bCs/>
          <w:sz w:val="22"/>
          <w:szCs w:val="22"/>
          <w:lang w:val="pl-PL"/>
        </w:rPr>
        <w:t>/</w:t>
      </w:r>
      <w:r w:rsidR="00FE68F5">
        <w:rPr>
          <w:bCs/>
          <w:sz w:val="22"/>
          <w:szCs w:val="22"/>
          <w:lang w:val="pl-PL"/>
        </w:rPr>
        <w:t>19</w:t>
      </w:r>
      <w:r w:rsidR="00FE68F5" w:rsidRPr="00732ABF">
        <w:rPr>
          <w:bCs/>
          <w:sz w:val="22"/>
          <w:szCs w:val="22"/>
          <w:lang w:val="pl-PL"/>
        </w:rPr>
        <w:t>/</w:t>
      </w:r>
      <w:r w:rsidR="00FE68F5">
        <w:rPr>
          <w:bCs/>
          <w:sz w:val="22"/>
          <w:szCs w:val="22"/>
          <w:lang w:val="pl-PL"/>
        </w:rPr>
        <w:t>150</w:t>
      </w:r>
      <w:r w:rsidR="00FE68F5" w:rsidRPr="00732ABF">
        <w:rPr>
          <w:bCs/>
          <w:sz w:val="22"/>
          <w:szCs w:val="22"/>
          <w:lang w:val="pl-PL"/>
        </w:rPr>
        <w:t>-</w:t>
      </w:r>
      <w:r w:rsidR="00FE68F5">
        <w:rPr>
          <w:bCs/>
          <w:sz w:val="22"/>
          <w:szCs w:val="22"/>
          <w:lang w:val="pl-PL"/>
        </w:rPr>
        <w:t>5089</w:t>
      </w:r>
    </w:p>
    <w:p w14:paraId="022C6785" w14:textId="77777777" w:rsidR="00F45F77" w:rsidRPr="00D37F8D" w:rsidRDefault="00F45F77" w:rsidP="006F07D6">
      <w:pPr>
        <w:tabs>
          <w:tab w:val="left" w:pos="540"/>
          <w:tab w:val="left" w:pos="569"/>
        </w:tabs>
        <w:jc w:val="both"/>
        <w:rPr>
          <w:bCs/>
          <w:sz w:val="22"/>
          <w:szCs w:val="22"/>
          <w:lang w:val="sr-Latn-CS"/>
        </w:rPr>
      </w:pPr>
    </w:p>
    <w:p w14:paraId="7C8C17BA" w14:textId="77777777" w:rsidR="00F74A6F" w:rsidRPr="00D37F8D" w:rsidRDefault="00F74A6F" w:rsidP="006F07D6">
      <w:pPr>
        <w:tabs>
          <w:tab w:val="left" w:pos="540"/>
          <w:tab w:val="left" w:pos="569"/>
        </w:tabs>
        <w:jc w:val="both"/>
        <w:rPr>
          <w:bCs/>
          <w:sz w:val="22"/>
          <w:szCs w:val="22"/>
          <w:lang w:val="sr-Latn-CS"/>
        </w:rPr>
      </w:pPr>
    </w:p>
    <w:p w14:paraId="2577468A" w14:textId="77777777" w:rsidR="0072020E" w:rsidRPr="00D37F8D" w:rsidRDefault="0072020E" w:rsidP="006F07D6">
      <w:pPr>
        <w:tabs>
          <w:tab w:val="left" w:pos="540"/>
          <w:tab w:val="left" w:pos="569"/>
        </w:tabs>
        <w:jc w:val="both"/>
        <w:rPr>
          <w:b/>
          <w:bCs/>
          <w:sz w:val="22"/>
          <w:szCs w:val="22"/>
          <w:lang w:val="sr-Latn-CS"/>
        </w:rPr>
      </w:pPr>
      <w:r w:rsidRPr="00D37F8D">
        <w:rPr>
          <w:b/>
          <w:bCs/>
          <w:sz w:val="22"/>
          <w:szCs w:val="22"/>
          <w:lang w:val="sr-Latn-CS"/>
        </w:rPr>
        <w:t xml:space="preserve">9. </w:t>
      </w:r>
      <w:r w:rsidR="00480FB1" w:rsidRPr="00D37F8D">
        <w:rPr>
          <w:b/>
          <w:bCs/>
          <w:sz w:val="22"/>
          <w:szCs w:val="22"/>
          <w:lang w:val="sr-Latn-CS"/>
        </w:rPr>
        <w:tab/>
      </w:r>
      <w:r w:rsidRPr="00786071">
        <w:rPr>
          <w:b/>
          <w:bCs/>
          <w:sz w:val="22"/>
          <w:szCs w:val="22"/>
        </w:rPr>
        <w:t>DATUM</w:t>
      </w:r>
      <w:r w:rsidRPr="00D37F8D">
        <w:rPr>
          <w:b/>
          <w:bCs/>
          <w:sz w:val="22"/>
          <w:szCs w:val="22"/>
          <w:lang w:val="sr-Latn-CS"/>
        </w:rPr>
        <w:t xml:space="preserve"> </w:t>
      </w:r>
      <w:r w:rsidR="00C05DF8">
        <w:rPr>
          <w:b/>
          <w:bCs/>
          <w:sz w:val="22"/>
          <w:szCs w:val="22"/>
        </w:rPr>
        <w:t>PRVE</w:t>
      </w:r>
      <w:r w:rsidR="00C05DF8" w:rsidRPr="00D37F8D">
        <w:rPr>
          <w:b/>
          <w:bCs/>
          <w:sz w:val="22"/>
          <w:szCs w:val="22"/>
          <w:lang w:val="sr-Latn-CS"/>
        </w:rPr>
        <w:t xml:space="preserve"> </w:t>
      </w:r>
      <w:r w:rsidR="008A6D43" w:rsidRPr="00786071">
        <w:rPr>
          <w:b/>
          <w:bCs/>
          <w:sz w:val="22"/>
          <w:szCs w:val="22"/>
        </w:rPr>
        <w:t>DOZVOLE</w:t>
      </w:r>
      <w:r w:rsidR="00C05DF8" w:rsidRPr="00D37F8D">
        <w:rPr>
          <w:b/>
          <w:bCs/>
          <w:sz w:val="22"/>
          <w:szCs w:val="22"/>
          <w:lang w:val="sr-Latn-CS"/>
        </w:rPr>
        <w:t>/</w:t>
      </w:r>
      <w:r w:rsidR="00C05DF8">
        <w:rPr>
          <w:b/>
          <w:bCs/>
          <w:sz w:val="22"/>
          <w:szCs w:val="22"/>
        </w:rPr>
        <w:t>OBNOVE</w:t>
      </w:r>
      <w:r w:rsidR="00C05DF8" w:rsidRPr="00D37F8D">
        <w:rPr>
          <w:b/>
          <w:bCs/>
          <w:sz w:val="22"/>
          <w:szCs w:val="22"/>
          <w:lang w:val="sr-Latn-CS"/>
        </w:rPr>
        <w:t xml:space="preserve"> </w:t>
      </w:r>
      <w:r w:rsidR="00C05DF8">
        <w:rPr>
          <w:b/>
          <w:bCs/>
          <w:sz w:val="22"/>
          <w:szCs w:val="22"/>
        </w:rPr>
        <w:t>DOZVOLE</w:t>
      </w:r>
      <w:r w:rsidR="008A6D43" w:rsidRPr="00D37F8D">
        <w:rPr>
          <w:b/>
          <w:bCs/>
          <w:sz w:val="22"/>
          <w:szCs w:val="22"/>
          <w:lang w:val="sr-Latn-CS"/>
        </w:rPr>
        <w:t xml:space="preserve"> </w:t>
      </w:r>
      <w:r w:rsidR="008A6D43">
        <w:rPr>
          <w:b/>
          <w:bCs/>
          <w:sz w:val="22"/>
          <w:szCs w:val="22"/>
        </w:rPr>
        <w:t>ZA</w:t>
      </w:r>
      <w:r w:rsidR="008A6D43" w:rsidRPr="00D37F8D">
        <w:rPr>
          <w:b/>
          <w:bCs/>
          <w:sz w:val="22"/>
          <w:szCs w:val="22"/>
          <w:lang w:val="sr-Latn-CS"/>
        </w:rPr>
        <w:t xml:space="preserve"> </w:t>
      </w:r>
      <w:r w:rsidR="008A6D43">
        <w:rPr>
          <w:b/>
          <w:bCs/>
          <w:sz w:val="22"/>
          <w:szCs w:val="22"/>
        </w:rPr>
        <w:t>STAVLJANJE</w:t>
      </w:r>
      <w:r w:rsidR="008A6D43" w:rsidRPr="00D37F8D">
        <w:rPr>
          <w:b/>
          <w:bCs/>
          <w:sz w:val="22"/>
          <w:szCs w:val="22"/>
          <w:lang w:val="sr-Latn-CS"/>
        </w:rPr>
        <w:t xml:space="preserve"> </w:t>
      </w:r>
      <w:r w:rsidR="008A6D43">
        <w:rPr>
          <w:b/>
          <w:bCs/>
          <w:sz w:val="22"/>
          <w:szCs w:val="22"/>
        </w:rPr>
        <w:t>LIJEKA</w:t>
      </w:r>
      <w:r w:rsidR="008A6D43" w:rsidRPr="00D37F8D">
        <w:rPr>
          <w:b/>
          <w:bCs/>
          <w:sz w:val="22"/>
          <w:szCs w:val="22"/>
          <w:lang w:val="sr-Latn-CS"/>
        </w:rPr>
        <w:t xml:space="preserve"> </w:t>
      </w:r>
      <w:r w:rsidR="008A6D43">
        <w:rPr>
          <w:b/>
          <w:bCs/>
          <w:sz w:val="22"/>
          <w:szCs w:val="22"/>
        </w:rPr>
        <w:t>U</w:t>
      </w:r>
      <w:r w:rsidR="008A6D43" w:rsidRPr="00D37F8D">
        <w:rPr>
          <w:b/>
          <w:bCs/>
          <w:sz w:val="22"/>
          <w:szCs w:val="22"/>
          <w:lang w:val="sr-Latn-CS"/>
        </w:rPr>
        <w:t xml:space="preserve"> </w:t>
      </w:r>
      <w:r w:rsidR="008A6D43">
        <w:rPr>
          <w:b/>
          <w:bCs/>
          <w:sz w:val="22"/>
          <w:szCs w:val="22"/>
        </w:rPr>
        <w:t>PROMET</w:t>
      </w:r>
    </w:p>
    <w:p w14:paraId="6BD9F25F" w14:textId="77777777" w:rsidR="0072020E" w:rsidRPr="00D37F8D" w:rsidRDefault="0072020E" w:rsidP="006F07D6">
      <w:pPr>
        <w:tabs>
          <w:tab w:val="left" w:pos="540"/>
          <w:tab w:val="left" w:pos="569"/>
        </w:tabs>
        <w:jc w:val="both"/>
        <w:rPr>
          <w:bCs/>
          <w:sz w:val="22"/>
          <w:szCs w:val="22"/>
          <w:lang w:val="sr-Latn-CS"/>
        </w:rPr>
      </w:pPr>
    </w:p>
    <w:p w14:paraId="23342957" w14:textId="4F11DE9D" w:rsidR="00FE68F5" w:rsidRDefault="00FE68F5" w:rsidP="006F07D6">
      <w:pPr>
        <w:jc w:val="both"/>
        <w:rPr>
          <w:bCs/>
          <w:sz w:val="22"/>
          <w:szCs w:val="22"/>
          <w:lang w:val="pl-PL"/>
        </w:rPr>
      </w:pPr>
      <w:r w:rsidRPr="00FE68F5">
        <w:rPr>
          <w:sz w:val="22"/>
          <w:szCs w:val="22"/>
          <w:lang w:val="pl-PL"/>
        </w:rPr>
        <w:t>Fiasp FlexTouch, rastvor za injekciju u napunjenom injekcionom penu, 100 jedinica/ml, napunjeni injekcioni pen, 5x3ml:</w:t>
      </w:r>
      <w:r>
        <w:rPr>
          <w:sz w:val="22"/>
          <w:szCs w:val="22"/>
          <w:lang w:val="pl-PL"/>
        </w:rPr>
        <w:t xml:space="preserve"> </w:t>
      </w:r>
      <w:r>
        <w:rPr>
          <w:bCs/>
          <w:sz w:val="22"/>
          <w:szCs w:val="22"/>
          <w:lang w:val="pl-PL"/>
        </w:rPr>
        <w:t>21.02.2019. godine</w:t>
      </w:r>
    </w:p>
    <w:p w14:paraId="2322A7C7" w14:textId="77777777" w:rsidR="00FE68F5" w:rsidRPr="007E1D36" w:rsidRDefault="00FE68F5" w:rsidP="006F07D6">
      <w:pPr>
        <w:jc w:val="both"/>
        <w:rPr>
          <w:sz w:val="22"/>
          <w:szCs w:val="22"/>
          <w:lang w:val="pl-PL"/>
        </w:rPr>
      </w:pPr>
    </w:p>
    <w:p w14:paraId="038B477A" w14:textId="3E9A8F01" w:rsidR="00FE68F5" w:rsidRPr="00732ABF" w:rsidRDefault="00FE68F5" w:rsidP="006F07D6">
      <w:pPr>
        <w:jc w:val="both"/>
        <w:rPr>
          <w:bCs/>
          <w:sz w:val="22"/>
          <w:szCs w:val="22"/>
          <w:lang w:val="sr-Latn-CS"/>
        </w:rPr>
      </w:pPr>
      <w:r w:rsidRPr="00FE68F5">
        <w:rPr>
          <w:bCs/>
          <w:iCs/>
          <w:sz w:val="22"/>
          <w:szCs w:val="22"/>
          <w:lang w:val="sr-Latn-CS"/>
        </w:rPr>
        <w:t xml:space="preserve">Fiasp Penfill, rastvor za injekciju u ulošku, 100 </w:t>
      </w:r>
      <w:r w:rsidRPr="00FE68F5">
        <w:rPr>
          <w:sz w:val="22"/>
          <w:szCs w:val="22"/>
          <w:lang w:val="pl-PL"/>
        </w:rPr>
        <w:t>jedinica</w:t>
      </w:r>
      <w:r w:rsidRPr="00FE68F5">
        <w:rPr>
          <w:bCs/>
          <w:iCs/>
          <w:sz w:val="22"/>
          <w:szCs w:val="22"/>
          <w:lang w:val="sr-Latn-CS"/>
        </w:rPr>
        <w:t>/ml, uložak, 5x3ml:</w:t>
      </w:r>
      <w:r>
        <w:rPr>
          <w:bCs/>
          <w:iCs/>
          <w:sz w:val="22"/>
          <w:szCs w:val="22"/>
          <w:lang w:val="sr-Latn-CS"/>
        </w:rPr>
        <w:t xml:space="preserve"> </w:t>
      </w:r>
      <w:r>
        <w:rPr>
          <w:bCs/>
          <w:sz w:val="22"/>
          <w:szCs w:val="22"/>
          <w:lang w:val="pl-PL"/>
        </w:rPr>
        <w:t>21.02.2019. godine</w:t>
      </w:r>
    </w:p>
    <w:p w14:paraId="1141C00E" w14:textId="77777777" w:rsidR="00FE68F5" w:rsidRDefault="00FE68F5" w:rsidP="006F07D6">
      <w:pPr>
        <w:jc w:val="both"/>
        <w:rPr>
          <w:sz w:val="22"/>
          <w:szCs w:val="22"/>
          <w:lang w:val="pl-PL"/>
        </w:rPr>
      </w:pPr>
    </w:p>
    <w:p w14:paraId="22719D6C" w14:textId="40831863" w:rsidR="00701477" w:rsidRPr="00D37F8D" w:rsidRDefault="00FE68F5" w:rsidP="006F07D6">
      <w:pPr>
        <w:tabs>
          <w:tab w:val="left" w:pos="540"/>
          <w:tab w:val="left" w:pos="569"/>
        </w:tabs>
        <w:jc w:val="both"/>
        <w:rPr>
          <w:bCs/>
          <w:sz w:val="22"/>
          <w:szCs w:val="22"/>
          <w:lang w:val="sr-Latn-CS"/>
        </w:rPr>
      </w:pPr>
      <w:r w:rsidRPr="00FE68F5">
        <w:rPr>
          <w:bCs/>
          <w:iCs/>
          <w:sz w:val="22"/>
          <w:szCs w:val="22"/>
          <w:lang w:val="sr-Latn-CS"/>
        </w:rPr>
        <w:t xml:space="preserve">Fiasp, rastvor za injekciju, 100 </w:t>
      </w:r>
      <w:r w:rsidRPr="00FE68F5">
        <w:rPr>
          <w:sz w:val="22"/>
          <w:szCs w:val="22"/>
          <w:lang w:val="pl-PL"/>
        </w:rPr>
        <w:t>jedinica</w:t>
      </w:r>
      <w:r w:rsidRPr="00FE68F5">
        <w:rPr>
          <w:bCs/>
          <w:iCs/>
          <w:sz w:val="22"/>
          <w:szCs w:val="22"/>
          <w:lang w:val="sr-Latn-CS"/>
        </w:rPr>
        <w:t>/ml, bočica, 1x10ml:</w:t>
      </w:r>
      <w:r>
        <w:rPr>
          <w:bCs/>
          <w:iCs/>
          <w:sz w:val="22"/>
          <w:szCs w:val="22"/>
          <w:lang w:val="sr-Latn-CS"/>
        </w:rPr>
        <w:t xml:space="preserve"> </w:t>
      </w:r>
      <w:r>
        <w:rPr>
          <w:bCs/>
          <w:sz w:val="22"/>
          <w:szCs w:val="22"/>
          <w:lang w:val="pl-PL"/>
        </w:rPr>
        <w:t>21.02.2019. godine</w:t>
      </w:r>
    </w:p>
    <w:p w14:paraId="7BB104E2" w14:textId="77777777" w:rsidR="00836B35" w:rsidRPr="00D37F8D" w:rsidRDefault="00836B35" w:rsidP="006F07D6">
      <w:pPr>
        <w:tabs>
          <w:tab w:val="left" w:pos="540"/>
          <w:tab w:val="left" w:pos="569"/>
        </w:tabs>
        <w:jc w:val="both"/>
        <w:rPr>
          <w:bCs/>
          <w:sz w:val="22"/>
          <w:szCs w:val="22"/>
          <w:lang w:val="sr-Latn-CS"/>
        </w:rPr>
      </w:pPr>
    </w:p>
    <w:p w14:paraId="51154B56" w14:textId="77777777" w:rsidR="00F74A6F" w:rsidRPr="00D37F8D" w:rsidRDefault="00F74A6F" w:rsidP="006F07D6">
      <w:pPr>
        <w:tabs>
          <w:tab w:val="left" w:pos="540"/>
          <w:tab w:val="left" w:pos="569"/>
        </w:tabs>
        <w:jc w:val="both"/>
        <w:rPr>
          <w:bCs/>
          <w:sz w:val="22"/>
          <w:szCs w:val="22"/>
          <w:lang w:val="sr-Latn-CS"/>
        </w:rPr>
      </w:pPr>
    </w:p>
    <w:p w14:paraId="38F7F830" w14:textId="77777777" w:rsidR="003F6A59" w:rsidRPr="00D37F8D" w:rsidRDefault="0072020E" w:rsidP="006F07D6">
      <w:pPr>
        <w:tabs>
          <w:tab w:val="left" w:pos="540"/>
          <w:tab w:val="left" w:pos="569"/>
        </w:tabs>
        <w:ind w:left="540" w:hanging="540"/>
        <w:jc w:val="both"/>
        <w:rPr>
          <w:bCs/>
          <w:sz w:val="22"/>
          <w:szCs w:val="22"/>
          <w:lang w:val="sr-Latn-CS"/>
        </w:rPr>
      </w:pPr>
      <w:r w:rsidRPr="00D37F8D">
        <w:rPr>
          <w:b/>
          <w:bCs/>
          <w:sz w:val="22"/>
          <w:szCs w:val="22"/>
          <w:lang w:val="sr-Latn-CS"/>
        </w:rPr>
        <w:t xml:space="preserve">10. </w:t>
      </w:r>
      <w:r w:rsidR="00480FB1" w:rsidRPr="00D37F8D">
        <w:rPr>
          <w:b/>
          <w:bCs/>
          <w:sz w:val="22"/>
          <w:szCs w:val="22"/>
          <w:lang w:val="sr-Latn-CS"/>
        </w:rPr>
        <w:tab/>
      </w:r>
      <w:r w:rsidR="002846DB" w:rsidRPr="00786071">
        <w:rPr>
          <w:b/>
          <w:bCs/>
          <w:sz w:val="22"/>
          <w:szCs w:val="22"/>
        </w:rPr>
        <w:t>D</w:t>
      </w:r>
      <w:r w:rsidR="00EC2532" w:rsidRPr="00786071">
        <w:rPr>
          <w:b/>
          <w:bCs/>
          <w:sz w:val="22"/>
          <w:szCs w:val="22"/>
        </w:rPr>
        <w:t>ATUM</w:t>
      </w:r>
      <w:r w:rsidR="00EC2532" w:rsidRPr="00D37F8D">
        <w:rPr>
          <w:b/>
          <w:bCs/>
          <w:sz w:val="22"/>
          <w:szCs w:val="22"/>
          <w:lang w:val="sr-Latn-CS"/>
        </w:rPr>
        <w:t xml:space="preserve"> </w:t>
      </w:r>
      <w:r w:rsidR="00EC2532" w:rsidRPr="00786071">
        <w:rPr>
          <w:b/>
          <w:bCs/>
          <w:sz w:val="22"/>
          <w:szCs w:val="22"/>
        </w:rPr>
        <w:t>REVIZIJE</w:t>
      </w:r>
      <w:r w:rsidR="00EC2532" w:rsidRPr="00D37F8D">
        <w:rPr>
          <w:b/>
          <w:bCs/>
          <w:sz w:val="22"/>
          <w:szCs w:val="22"/>
          <w:lang w:val="sr-Latn-CS"/>
        </w:rPr>
        <w:t xml:space="preserve"> </w:t>
      </w:r>
      <w:r w:rsidR="00EC2532" w:rsidRPr="00786071">
        <w:rPr>
          <w:b/>
          <w:bCs/>
          <w:sz w:val="22"/>
          <w:szCs w:val="22"/>
        </w:rPr>
        <w:t>TEKSTA</w:t>
      </w:r>
      <w:r w:rsidR="00EC2532" w:rsidRPr="00D37F8D">
        <w:rPr>
          <w:b/>
          <w:bCs/>
          <w:sz w:val="22"/>
          <w:szCs w:val="22"/>
          <w:lang w:val="sr-Latn-CS"/>
        </w:rPr>
        <w:t xml:space="preserve"> </w:t>
      </w:r>
    </w:p>
    <w:p w14:paraId="1BF90A07" w14:textId="77777777" w:rsidR="003F6A59" w:rsidRPr="00D37F8D" w:rsidRDefault="003F6A59" w:rsidP="006F07D6">
      <w:pPr>
        <w:tabs>
          <w:tab w:val="left" w:pos="540"/>
          <w:tab w:val="left" w:pos="569"/>
        </w:tabs>
        <w:jc w:val="both"/>
        <w:rPr>
          <w:bCs/>
          <w:sz w:val="21"/>
          <w:szCs w:val="21"/>
          <w:lang w:val="sr-Latn-CS"/>
        </w:rPr>
      </w:pPr>
    </w:p>
    <w:p w14:paraId="3C02780C" w14:textId="5C0C15E3" w:rsidR="00701477" w:rsidRPr="00701477" w:rsidRDefault="00EF062B" w:rsidP="006F07D6">
      <w:pPr>
        <w:jc w:val="both"/>
        <w:rPr>
          <w:sz w:val="22"/>
          <w:szCs w:val="22"/>
          <w:lang w:val="pl-PL"/>
        </w:rPr>
      </w:pPr>
      <w:r>
        <w:rPr>
          <w:sz w:val="22"/>
          <w:szCs w:val="22"/>
          <w:lang w:val="pl-PL"/>
        </w:rPr>
        <w:t>Jun</w:t>
      </w:r>
      <w:r w:rsidR="00701477" w:rsidRPr="00701477">
        <w:rPr>
          <w:sz w:val="22"/>
          <w:szCs w:val="22"/>
          <w:lang w:val="pl-PL"/>
        </w:rPr>
        <w:t xml:space="preserve">, </w:t>
      </w:r>
      <w:r w:rsidR="007B05AF">
        <w:rPr>
          <w:sz w:val="22"/>
          <w:szCs w:val="22"/>
          <w:lang w:val="pl-PL"/>
        </w:rPr>
        <w:t>202</w:t>
      </w:r>
      <w:r w:rsidR="0079798C">
        <w:rPr>
          <w:sz w:val="22"/>
          <w:szCs w:val="22"/>
          <w:lang w:val="pl-PL"/>
        </w:rPr>
        <w:t>4</w:t>
      </w:r>
      <w:r w:rsidR="00701477" w:rsidRPr="00701477">
        <w:rPr>
          <w:sz w:val="22"/>
          <w:szCs w:val="22"/>
          <w:lang w:val="pl-PL"/>
        </w:rPr>
        <w:t>.</w:t>
      </w:r>
      <w:r w:rsidR="00A840B5">
        <w:rPr>
          <w:sz w:val="22"/>
          <w:szCs w:val="22"/>
          <w:lang w:val="pl-PL"/>
        </w:rPr>
        <w:t xml:space="preserve"> godine</w:t>
      </w:r>
    </w:p>
    <w:sectPr w:rsidR="00701477" w:rsidRPr="00701477" w:rsidSect="00EF3B86">
      <w:footerReference w:type="default" r:id="rId16"/>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0085" w14:textId="77777777" w:rsidR="00F25892" w:rsidRDefault="00F25892">
      <w:r>
        <w:separator/>
      </w:r>
    </w:p>
  </w:endnote>
  <w:endnote w:type="continuationSeparator" w:id="0">
    <w:p w14:paraId="77EFEA11" w14:textId="77777777" w:rsidR="00F25892" w:rsidRDefault="00F2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0A2F" w14:textId="1154B74B" w:rsidR="0026366B" w:rsidRPr="00B23F69" w:rsidRDefault="0026366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16D77">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16D77">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7345" w14:textId="77777777" w:rsidR="00F25892" w:rsidRDefault="00F25892">
      <w:r>
        <w:separator/>
      </w:r>
    </w:p>
  </w:footnote>
  <w:footnote w:type="continuationSeparator" w:id="0">
    <w:p w14:paraId="7F3BB148" w14:textId="77777777" w:rsidR="00F25892" w:rsidRDefault="00F25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5pt;height:1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F35536D"/>
    <w:multiLevelType w:val="hybridMultilevel"/>
    <w:tmpl w:val="98A447B0"/>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1B27AA"/>
    <w:multiLevelType w:val="hybridMultilevel"/>
    <w:tmpl w:val="B268C854"/>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867911">
    <w:abstractNumId w:val="2"/>
  </w:num>
  <w:num w:numId="2" w16cid:durableId="2010324091">
    <w:abstractNumId w:val="10"/>
  </w:num>
  <w:num w:numId="3" w16cid:durableId="1375154978">
    <w:abstractNumId w:val="0"/>
  </w:num>
  <w:num w:numId="4" w16cid:durableId="2069377135">
    <w:abstractNumId w:val="9"/>
  </w:num>
  <w:num w:numId="5" w16cid:durableId="2145391669">
    <w:abstractNumId w:val="4"/>
  </w:num>
  <w:num w:numId="6" w16cid:durableId="1975019006">
    <w:abstractNumId w:val="1"/>
  </w:num>
  <w:num w:numId="7" w16cid:durableId="347827809">
    <w:abstractNumId w:val="8"/>
  </w:num>
  <w:num w:numId="8" w16cid:durableId="1147209216">
    <w:abstractNumId w:val="3"/>
  </w:num>
  <w:num w:numId="9" w16cid:durableId="1134061902">
    <w:abstractNumId w:val="6"/>
  </w:num>
  <w:num w:numId="10" w16cid:durableId="1703170602">
    <w:abstractNumId w:val="12"/>
  </w:num>
  <w:num w:numId="11" w16cid:durableId="924656296">
    <w:abstractNumId w:val="5"/>
  </w:num>
  <w:num w:numId="12" w16cid:durableId="875506860">
    <w:abstractNumId w:val="7"/>
  </w:num>
  <w:num w:numId="13" w16cid:durableId="2099783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D6"/>
    <w:rsid w:val="00000528"/>
    <w:rsid w:val="0000148E"/>
    <w:rsid w:val="00016D77"/>
    <w:rsid w:val="000176CA"/>
    <w:rsid w:val="00023A44"/>
    <w:rsid w:val="00036FA0"/>
    <w:rsid w:val="0003793F"/>
    <w:rsid w:val="0005193E"/>
    <w:rsid w:val="00057E35"/>
    <w:rsid w:val="00064926"/>
    <w:rsid w:val="0007586C"/>
    <w:rsid w:val="00076726"/>
    <w:rsid w:val="00080303"/>
    <w:rsid w:val="000845DE"/>
    <w:rsid w:val="000A3F58"/>
    <w:rsid w:val="000D2343"/>
    <w:rsid w:val="000D3449"/>
    <w:rsid w:val="000D425A"/>
    <w:rsid w:val="000D60CC"/>
    <w:rsid w:val="000E2084"/>
    <w:rsid w:val="000E6F55"/>
    <w:rsid w:val="000F6B37"/>
    <w:rsid w:val="000F77FA"/>
    <w:rsid w:val="00107BF7"/>
    <w:rsid w:val="00120F25"/>
    <w:rsid w:val="00126F53"/>
    <w:rsid w:val="001423A3"/>
    <w:rsid w:val="0014766D"/>
    <w:rsid w:val="00152247"/>
    <w:rsid w:val="00152A60"/>
    <w:rsid w:val="001536CC"/>
    <w:rsid w:val="00163CD0"/>
    <w:rsid w:val="00164FF5"/>
    <w:rsid w:val="0017550F"/>
    <w:rsid w:val="001766B9"/>
    <w:rsid w:val="001779E8"/>
    <w:rsid w:val="00197248"/>
    <w:rsid w:val="001A2CE0"/>
    <w:rsid w:val="001A3FBA"/>
    <w:rsid w:val="001A5518"/>
    <w:rsid w:val="001B165C"/>
    <w:rsid w:val="001B1C6A"/>
    <w:rsid w:val="001C1263"/>
    <w:rsid w:val="001C1417"/>
    <w:rsid w:val="001C7311"/>
    <w:rsid w:val="001D23DB"/>
    <w:rsid w:val="001E390B"/>
    <w:rsid w:val="001F42FB"/>
    <w:rsid w:val="001F719A"/>
    <w:rsid w:val="001F71DC"/>
    <w:rsid w:val="002031AE"/>
    <w:rsid w:val="002031B3"/>
    <w:rsid w:val="002061E0"/>
    <w:rsid w:val="00213E55"/>
    <w:rsid w:val="00215931"/>
    <w:rsid w:val="00220AD6"/>
    <w:rsid w:val="00220BEA"/>
    <w:rsid w:val="00227BDB"/>
    <w:rsid w:val="00234CB1"/>
    <w:rsid w:val="002352F8"/>
    <w:rsid w:val="00235D3B"/>
    <w:rsid w:val="00243DFF"/>
    <w:rsid w:val="00243EDC"/>
    <w:rsid w:val="002510A5"/>
    <w:rsid w:val="00254A0A"/>
    <w:rsid w:val="0026366B"/>
    <w:rsid w:val="00266046"/>
    <w:rsid w:val="002846DB"/>
    <w:rsid w:val="00284CCD"/>
    <w:rsid w:val="002A22F5"/>
    <w:rsid w:val="002A790D"/>
    <w:rsid w:val="002C249D"/>
    <w:rsid w:val="002C6637"/>
    <w:rsid w:val="002E0135"/>
    <w:rsid w:val="002E37A5"/>
    <w:rsid w:val="002E6586"/>
    <w:rsid w:val="00310F03"/>
    <w:rsid w:val="00312E0D"/>
    <w:rsid w:val="00316D44"/>
    <w:rsid w:val="003247D2"/>
    <w:rsid w:val="003445C1"/>
    <w:rsid w:val="00355B61"/>
    <w:rsid w:val="00362686"/>
    <w:rsid w:val="00362A04"/>
    <w:rsid w:val="00371510"/>
    <w:rsid w:val="00373D2B"/>
    <w:rsid w:val="003958C9"/>
    <w:rsid w:val="00396DFD"/>
    <w:rsid w:val="003A619F"/>
    <w:rsid w:val="003A7059"/>
    <w:rsid w:val="003B7A36"/>
    <w:rsid w:val="003C17AB"/>
    <w:rsid w:val="003C2D8C"/>
    <w:rsid w:val="003C7823"/>
    <w:rsid w:val="003C7F98"/>
    <w:rsid w:val="003D7EE9"/>
    <w:rsid w:val="003E1DCC"/>
    <w:rsid w:val="003F6A59"/>
    <w:rsid w:val="004039B4"/>
    <w:rsid w:val="00405C92"/>
    <w:rsid w:val="004065C8"/>
    <w:rsid w:val="00411B4B"/>
    <w:rsid w:val="00415BEE"/>
    <w:rsid w:val="00427F85"/>
    <w:rsid w:val="00433157"/>
    <w:rsid w:val="004338CD"/>
    <w:rsid w:val="00436F42"/>
    <w:rsid w:val="004378B4"/>
    <w:rsid w:val="0044076F"/>
    <w:rsid w:val="00442BD2"/>
    <w:rsid w:val="00443F81"/>
    <w:rsid w:val="004458EA"/>
    <w:rsid w:val="00451314"/>
    <w:rsid w:val="00452E9D"/>
    <w:rsid w:val="004534C7"/>
    <w:rsid w:val="00455FBB"/>
    <w:rsid w:val="004671AA"/>
    <w:rsid w:val="00471977"/>
    <w:rsid w:val="00472D1C"/>
    <w:rsid w:val="00480FB1"/>
    <w:rsid w:val="00483928"/>
    <w:rsid w:val="0048425F"/>
    <w:rsid w:val="0048763C"/>
    <w:rsid w:val="004A1559"/>
    <w:rsid w:val="004A7559"/>
    <w:rsid w:val="004B59CB"/>
    <w:rsid w:val="004D43F3"/>
    <w:rsid w:val="004D6103"/>
    <w:rsid w:val="004E3BCE"/>
    <w:rsid w:val="004E53BD"/>
    <w:rsid w:val="004F0035"/>
    <w:rsid w:val="004F0D94"/>
    <w:rsid w:val="004F0E97"/>
    <w:rsid w:val="00506843"/>
    <w:rsid w:val="00506F81"/>
    <w:rsid w:val="00515C21"/>
    <w:rsid w:val="005165C4"/>
    <w:rsid w:val="00520AE3"/>
    <w:rsid w:val="005265AE"/>
    <w:rsid w:val="00530BD7"/>
    <w:rsid w:val="00545CD2"/>
    <w:rsid w:val="005473EA"/>
    <w:rsid w:val="005476F3"/>
    <w:rsid w:val="00572527"/>
    <w:rsid w:val="00573E40"/>
    <w:rsid w:val="00576348"/>
    <w:rsid w:val="00581C24"/>
    <w:rsid w:val="005826C0"/>
    <w:rsid w:val="0059368E"/>
    <w:rsid w:val="00596CDD"/>
    <w:rsid w:val="005A0B2E"/>
    <w:rsid w:val="005A1210"/>
    <w:rsid w:val="005A154F"/>
    <w:rsid w:val="005A23D2"/>
    <w:rsid w:val="005A36CB"/>
    <w:rsid w:val="005B32C3"/>
    <w:rsid w:val="005B49B8"/>
    <w:rsid w:val="005C0741"/>
    <w:rsid w:val="005C07BD"/>
    <w:rsid w:val="005C3685"/>
    <w:rsid w:val="005C5EF4"/>
    <w:rsid w:val="005E2E0B"/>
    <w:rsid w:val="005E7A7D"/>
    <w:rsid w:val="005F7C00"/>
    <w:rsid w:val="00604114"/>
    <w:rsid w:val="00624548"/>
    <w:rsid w:val="006276E8"/>
    <w:rsid w:val="006313C5"/>
    <w:rsid w:val="0064138C"/>
    <w:rsid w:val="00646BD1"/>
    <w:rsid w:val="006513A1"/>
    <w:rsid w:val="006561C2"/>
    <w:rsid w:val="00657781"/>
    <w:rsid w:val="006579F8"/>
    <w:rsid w:val="0066588D"/>
    <w:rsid w:val="00671CB3"/>
    <w:rsid w:val="00674BAF"/>
    <w:rsid w:val="00682200"/>
    <w:rsid w:val="0068797B"/>
    <w:rsid w:val="006A1497"/>
    <w:rsid w:val="006B0BD1"/>
    <w:rsid w:val="006B6C75"/>
    <w:rsid w:val="006C7F82"/>
    <w:rsid w:val="006D20A5"/>
    <w:rsid w:val="006D37BF"/>
    <w:rsid w:val="006E6ACA"/>
    <w:rsid w:val="006E7407"/>
    <w:rsid w:val="006F07D6"/>
    <w:rsid w:val="00701477"/>
    <w:rsid w:val="00702E22"/>
    <w:rsid w:val="0070774E"/>
    <w:rsid w:val="007121D0"/>
    <w:rsid w:val="007140B9"/>
    <w:rsid w:val="00716185"/>
    <w:rsid w:val="00717C85"/>
    <w:rsid w:val="0072020E"/>
    <w:rsid w:val="007232C0"/>
    <w:rsid w:val="00734F45"/>
    <w:rsid w:val="00744386"/>
    <w:rsid w:val="007476A2"/>
    <w:rsid w:val="00752E1B"/>
    <w:rsid w:val="0075503A"/>
    <w:rsid w:val="00776DB1"/>
    <w:rsid w:val="0077787F"/>
    <w:rsid w:val="007859DF"/>
    <w:rsid w:val="00786071"/>
    <w:rsid w:val="00794510"/>
    <w:rsid w:val="0079798C"/>
    <w:rsid w:val="00797A21"/>
    <w:rsid w:val="007A1806"/>
    <w:rsid w:val="007A3ECB"/>
    <w:rsid w:val="007A52C0"/>
    <w:rsid w:val="007A7B6A"/>
    <w:rsid w:val="007B05AF"/>
    <w:rsid w:val="007B2FED"/>
    <w:rsid w:val="007E0EE6"/>
    <w:rsid w:val="007F00CE"/>
    <w:rsid w:val="007F109C"/>
    <w:rsid w:val="00804757"/>
    <w:rsid w:val="00817967"/>
    <w:rsid w:val="0082252C"/>
    <w:rsid w:val="0082335D"/>
    <w:rsid w:val="00824AB9"/>
    <w:rsid w:val="00831E07"/>
    <w:rsid w:val="00836B35"/>
    <w:rsid w:val="00843BDE"/>
    <w:rsid w:val="00844108"/>
    <w:rsid w:val="00844366"/>
    <w:rsid w:val="00855EEA"/>
    <w:rsid w:val="008701AF"/>
    <w:rsid w:val="00883438"/>
    <w:rsid w:val="00885D1E"/>
    <w:rsid w:val="0089705C"/>
    <w:rsid w:val="008A6D43"/>
    <w:rsid w:val="008B10D5"/>
    <w:rsid w:val="008B32B3"/>
    <w:rsid w:val="008B4255"/>
    <w:rsid w:val="008B491E"/>
    <w:rsid w:val="008C1A28"/>
    <w:rsid w:val="008C21B6"/>
    <w:rsid w:val="008C2E98"/>
    <w:rsid w:val="008D0BC2"/>
    <w:rsid w:val="008E469E"/>
    <w:rsid w:val="008E49BD"/>
    <w:rsid w:val="008E53E9"/>
    <w:rsid w:val="008E5771"/>
    <w:rsid w:val="00906510"/>
    <w:rsid w:val="00940B9B"/>
    <w:rsid w:val="0095676E"/>
    <w:rsid w:val="00956983"/>
    <w:rsid w:val="00963CF0"/>
    <w:rsid w:val="00964BB1"/>
    <w:rsid w:val="00973FAC"/>
    <w:rsid w:val="009744CA"/>
    <w:rsid w:val="009775D9"/>
    <w:rsid w:val="00981470"/>
    <w:rsid w:val="009906C1"/>
    <w:rsid w:val="00997175"/>
    <w:rsid w:val="009A1847"/>
    <w:rsid w:val="009A3003"/>
    <w:rsid w:val="009B062A"/>
    <w:rsid w:val="009B3867"/>
    <w:rsid w:val="009C11DC"/>
    <w:rsid w:val="009C46C8"/>
    <w:rsid w:val="009E4B69"/>
    <w:rsid w:val="009E689F"/>
    <w:rsid w:val="009E7C6F"/>
    <w:rsid w:val="009F16F2"/>
    <w:rsid w:val="009F1793"/>
    <w:rsid w:val="009F2D23"/>
    <w:rsid w:val="009F4A89"/>
    <w:rsid w:val="009F6CA2"/>
    <w:rsid w:val="00A01D69"/>
    <w:rsid w:val="00A02335"/>
    <w:rsid w:val="00A0323D"/>
    <w:rsid w:val="00A16516"/>
    <w:rsid w:val="00A21F83"/>
    <w:rsid w:val="00A235ED"/>
    <w:rsid w:val="00A25B99"/>
    <w:rsid w:val="00A32063"/>
    <w:rsid w:val="00A452D0"/>
    <w:rsid w:val="00A46C9A"/>
    <w:rsid w:val="00A619F3"/>
    <w:rsid w:val="00A62A73"/>
    <w:rsid w:val="00A652D7"/>
    <w:rsid w:val="00A73EB6"/>
    <w:rsid w:val="00A75F8A"/>
    <w:rsid w:val="00A82C3F"/>
    <w:rsid w:val="00A83325"/>
    <w:rsid w:val="00A83F36"/>
    <w:rsid w:val="00A840B5"/>
    <w:rsid w:val="00A87FF6"/>
    <w:rsid w:val="00AA0A3B"/>
    <w:rsid w:val="00AA7637"/>
    <w:rsid w:val="00AB50CA"/>
    <w:rsid w:val="00AC53CE"/>
    <w:rsid w:val="00AD2193"/>
    <w:rsid w:val="00AD3C88"/>
    <w:rsid w:val="00AF1220"/>
    <w:rsid w:val="00AF2AC7"/>
    <w:rsid w:val="00AF74CE"/>
    <w:rsid w:val="00B208DB"/>
    <w:rsid w:val="00B23F69"/>
    <w:rsid w:val="00B26148"/>
    <w:rsid w:val="00B4469D"/>
    <w:rsid w:val="00B60619"/>
    <w:rsid w:val="00B66A70"/>
    <w:rsid w:val="00B67366"/>
    <w:rsid w:val="00B766B0"/>
    <w:rsid w:val="00B80EE1"/>
    <w:rsid w:val="00B84135"/>
    <w:rsid w:val="00B85C5C"/>
    <w:rsid w:val="00BA3AA4"/>
    <w:rsid w:val="00BA71F1"/>
    <w:rsid w:val="00BE4196"/>
    <w:rsid w:val="00BE7172"/>
    <w:rsid w:val="00C04D34"/>
    <w:rsid w:val="00C05DF8"/>
    <w:rsid w:val="00C06864"/>
    <w:rsid w:val="00C10F54"/>
    <w:rsid w:val="00C23D8D"/>
    <w:rsid w:val="00C37AA3"/>
    <w:rsid w:val="00C37FD7"/>
    <w:rsid w:val="00C43419"/>
    <w:rsid w:val="00C44CF3"/>
    <w:rsid w:val="00C44F28"/>
    <w:rsid w:val="00C46C9C"/>
    <w:rsid w:val="00C61BE0"/>
    <w:rsid w:val="00C67CA7"/>
    <w:rsid w:val="00C70B0E"/>
    <w:rsid w:val="00C773CA"/>
    <w:rsid w:val="00C83785"/>
    <w:rsid w:val="00C85B1D"/>
    <w:rsid w:val="00C94C0D"/>
    <w:rsid w:val="00C96006"/>
    <w:rsid w:val="00CA1FEB"/>
    <w:rsid w:val="00CB37B9"/>
    <w:rsid w:val="00CC6368"/>
    <w:rsid w:val="00CD427F"/>
    <w:rsid w:val="00CD4F85"/>
    <w:rsid w:val="00CD6F02"/>
    <w:rsid w:val="00CE246D"/>
    <w:rsid w:val="00CF07A0"/>
    <w:rsid w:val="00CF3E03"/>
    <w:rsid w:val="00D0082A"/>
    <w:rsid w:val="00D01D64"/>
    <w:rsid w:val="00D041DA"/>
    <w:rsid w:val="00D0443A"/>
    <w:rsid w:val="00D0533D"/>
    <w:rsid w:val="00D2025A"/>
    <w:rsid w:val="00D21455"/>
    <w:rsid w:val="00D364FC"/>
    <w:rsid w:val="00D37F8D"/>
    <w:rsid w:val="00D41BF7"/>
    <w:rsid w:val="00D47634"/>
    <w:rsid w:val="00D506A2"/>
    <w:rsid w:val="00D70465"/>
    <w:rsid w:val="00D709B3"/>
    <w:rsid w:val="00DA03DF"/>
    <w:rsid w:val="00DA1340"/>
    <w:rsid w:val="00DA2B65"/>
    <w:rsid w:val="00DA2ED6"/>
    <w:rsid w:val="00DB0503"/>
    <w:rsid w:val="00DB2698"/>
    <w:rsid w:val="00DB76B8"/>
    <w:rsid w:val="00DC2EA1"/>
    <w:rsid w:val="00DD6AAF"/>
    <w:rsid w:val="00DE3F5C"/>
    <w:rsid w:val="00DF1D20"/>
    <w:rsid w:val="00E0514D"/>
    <w:rsid w:val="00E061A3"/>
    <w:rsid w:val="00E17F72"/>
    <w:rsid w:val="00E21324"/>
    <w:rsid w:val="00E246B9"/>
    <w:rsid w:val="00E31FEA"/>
    <w:rsid w:val="00E45169"/>
    <w:rsid w:val="00E45F7E"/>
    <w:rsid w:val="00E47787"/>
    <w:rsid w:val="00E51C30"/>
    <w:rsid w:val="00E5507C"/>
    <w:rsid w:val="00E64180"/>
    <w:rsid w:val="00E70588"/>
    <w:rsid w:val="00E74AEE"/>
    <w:rsid w:val="00E868E5"/>
    <w:rsid w:val="00E9237A"/>
    <w:rsid w:val="00E939FA"/>
    <w:rsid w:val="00E95E43"/>
    <w:rsid w:val="00EA5765"/>
    <w:rsid w:val="00EB20F5"/>
    <w:rsid w:val="00EC2532"/>
    <w:rsid w:val="00ED7812"/>
    <w:rsid w:val="00EE2CF5"/>
    <w:rsid w:val="00EE2F19"/>
    <w:rsid w:val="00EF062B"/>
    <w:rsid w:val="00EF3B86"/>
    <w:rsid w:val="00F11B77"/>
    <w:rsid w:val="00F15B18"/>
    <w:rsid w:val="00F25892"/>
    <w:rsid w:val="00F317E9"/>
    <w:rsid w:val="00F34554"/>
    <w:rsid w:val="00F453CB"/>
    <w:rsid w:val="00F45F77"/>
    <w:rsid w:val="00F46169"/>
    <w:rsid w:val="00F5167F"/>
    <w:rsid w:val="00F52258"/>
    <w:rsid w:val="00F653C0"/>
    <w:rsid w:val="00F74A6F"/>
    <w:rsid w:val="00F758BA"/>
    <w:rsid w:val="00F8570A"/>
    <w:rsid w:val="00F85F91"/>
    <w:rsid w:val="00F91C7B"/>
    <w:rsid w:val="00F930F0"/>
    <w:rsid w:val="00FD45F5"/>
    <w:rsid w:val="00FE68F5"/>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6687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A0323D"/>
    <w:pPr>
      <w:ind w:left="720"/>
      <w:contextualSpacing/>
    </w:pPr>
  </w:style>
  <w:style w:type="character" w:customStyle="1" w:styleId="markedcontent">
    <w:name w:val="markedcontent"/>
    <w:basedOn w:val="DefaultParagraphFont"/>
    <w:rsid w:val="001779E8"/>
  </w:style>
  <w:style w:type="character" w:styleId="Hyperlink">
    <w:name w:val="Hyperlink"/>
    <w:basedOn w:val="DefaultParagraphFont"/>
    <w:rsid w:val="003958C9"/>
    <w:rPr>
      <w:color w:val="0563C1" w:themeColor="hyperlink"/>
      <w:u w:val="single"/>
    </w:rPr>
  </w:style>
  <w:style w:type="paragraph" w:styleId="Revision">
    <w:name w:val="Revision"/>
    <w:hidden/>
    <w:uiPriority w:val="99"/>
    <w:semiHidden/>
    <w:rsid w:val="005826C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20088-7E70-413E-99A5-39BEFA4E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7147</Words>
  <Characters>44553</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51597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NKTK (Katarina Kalaba)</cp:lastModifiedBy>
  <cp:revision>3</cp:revision>
  <cp:lastPrinted>2019-12-16T18:09:00Z</cp:lastPrinted>
  <dcterms:created xsi:type="dcterms:W3CDTF">2024-06-21T08:57:00Z</dcterms:created>
  <dcterms:modified xsi:type="dcterms:W3CDTF">2024-06-21T08:57:00Z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