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16394" w14:textId="77777777" w:rsidR="00032C33" w:rsidRDefault="00032C33" w:rsidP="00923865"/>
    <w:p w14:paraId="7C416395" w14:textId="38E66B7C" w:rsidR="00032C33" w:rsidRPr="00F44973" w:rsidRDefault="00032C33" w:rsidP="00923865">
      <w:pPr>
        <w:jc w:val="center"/>
        <w:rPr>
          <w:b/>
          <w:bCs/>
          <w:iCs/>
          <w:szCs w:val="22"/>
          <w:u w:val="single"/>
          <w:lang w:val="nl-NL"/>
        </w:rPr>
      </w:pPr>
      <w:r w:rsidRPr="00F44973">
        <w:rPr>
          <w:b/>
          <w:bCs/>
          <w:iCs/>
          <w:szCs w:val="22"/>
          <w:u w:val="single"/>
          <w:lang w:val="nl-NL"/>
        </w:rPr>
        <w:t>SAŽETAK KARAKTERISTIKA L</w:t>
      </w:r>
      <w:r w:rsidR="00F43D27">
        <w:rPr>
          <w:b/>
          <w:bCs/>
          <w:iCs/>
          <w:szCs w:val="22"/>
          <w:u w:val="single"/>
          <w:lang w:val="nl-NL"/>
        </w:rPr>
        <w:t>IJ</w:t>
      </w:r>
      <w:r w:rsidRPr="00F44973">
        <w:rPr>
          <w:b/>
          <w:bCs/>
          <w:iCs/>
          <w:szCs w:val="22"/>
          <w:u w:val="single"/>
          <w:lang w:val="nl-NL"/>
        </w:rPr>
        <w:t>EKA</w:t>
      </w:r>
    </w:p>
    <w:p w14:paraId="7C416396" w14:textId="77777777" w:rsidR="00032C33" w:rsidRPr="00F44973" w:rsidRDefault="00032C33" w:rsidP="00923865">
      <w:pPr>
        <w:rPr>
          <w:szCs w:val="22"/>
          <w:lang w:val="nl-NL"/>
        </w:rPr>
      </w:pPr>
    </w:p>
    <w:p w14:paraId="7C416397" w14:textId="77777777" w:rsidR="00032C33" w:rsidRPr="00F44973" w:rsidRDefault="00032C33" w:rsidP="00923865">
      <w:pPr>
        <w:rPr>
          <w:szCs w:val="22"/>
          <w:lang w:val="nl-NL"/>
        </w:rPr>
      </w:pPr>
    </w:p>
    <w:p w14:paraId="7C416398" w14:textId="6548A35A" w:rsidR="00032C33" w:rsidRPr="00383195" w:rsidRDefault="00032C33" w:rsidP="009A522B">
      <w:pPr>
        <w:pStyle w:val="NASLOV123"/>
        <w:jc w:val="both"/>
        <w:rPr>
          <w:lang w:val="sr-Latn-CS"/>
        </w:rPr>
      </w:pPr>
      <w:r w:rsidRPr="00F44973">
        <w:rPr>
          <w:lang w:val="nl-NL"/>
        </w:rPr>
        <w:t xml:space="preserve">1. </w:t>
      </w:r>
      <w:r w:rsidR="00F43D27">
        <w:rPr>
          <w:lang w:val="nl-NL"/>
        </w:rPr>
        <w:t>NAZIV</w:t>
      </w:r>
      <w:r w:rsidRPr="00F44973">
        <w:rPr>
          <w:lang w:val="nl-NL"/>
        </w:rPr>
        <w:t xml:space="preserve"> L</w:t>
      </w:r>
      <w:r w:rsidR="00F43D27">
        <w:rPr>
          <w:lang w:val="nl-NL"/>
        </w:rPr>
        <w:t>IJ</w:t>
      </w:r>
      <w:r w:rsidRPr="00F44973">
        <w:rPr>
          <w:lang w:val="nl-NL"/>
        </w:rPr>
        <w:t>EKA</w:t>
      </w:r>
    </w:p>
    <w:p w14:paraId="7C416399" w14:textId="24A6BAF6" w:rsidR="00032C33" w:rsidRPr="00797656" w:rsidRDefault="00032C33">
      <w:pPr>
        <w:rPr>
          <w:bCs/>
          <w:szCs w:val="22"/>
          <w:lang w:val="pl-PL"/>
        </w:rPr>
      </w:pPr>
      <w:r w:rsidRPr="00797656">
        <w:rPr>
          <w:bCs/>
          <w:szCs w:val="22"/>
          <w:lang w:val="pl-PL"/>
        </w:rPr>
        <w:t>Testosteron Depo</w:t>
      </w:r>
      <w:r>
        <w:rPr>
          <w:bCs/>
          <w:szCs w:val="22"/>
          <w:lang w:val="pl-PL"/>
        </w:rPr>
        <w:t>;</w:t>
      </w:r>
      <w:r w:rsidRPr="00797656">
        <w:rPr>
          <w:bCs/>
          <w:szCs w:val="22"/>
          <w:lang w:val="pl-PL"/>
        </w:rPr>
        <w:t xml:space="preserve"> 250 mg/m</w:t>
      </w:r>
      <w:r w:rsidR="00F43D27">
        <w:rPr>
          <w:bCs/>
          <w:szCs w:val="22"/>
          <w:lang w:val="pl-PL"/>
        </w:rPr>
        <w:t>l</w:t>
      </w:r>
      <w:r>
        <w:rPr>
          <w:bCs/>
          <w:szCs w:val="22"/>
          <w:lang w:val="pl-PL"/>
        </w:rPr>
        <w:t>;</w:t>
      </w:r>
      <w:r w:rsidRPr="00797656">
        <w:rPr>
          <w:bCs/>
          <w:szCs w:val="22"/>
          <w:lang w:val="pl-PL"/>
        </w:rPr>
        <w:t xml:space="preserve"> rastvor za injekciju</w:t>
      </w:r>
    </w:p>
    <w:p w14:paraId="7CD94FA3" w14:textId="77777777" w:rsidR="00783FD7" w:rsidRDefault="00783FD7">
      <w:pPr>
        <w:rPr>
          <w:szCs w:val="22"/>
          <w:lang w:val="sr-Latn-CS"/>
        </w:rPr>
      </w:pPr>
    </w:p>
    <w:p w14:paraId="7C41639A" w14:textId="62694DC4" w:rsidR="00032C33" w:rsidRDefault="00032C33">
      <w:pPr>
        <w:rPr>
          <w:szCs w:val="22"/>
          <w:lang w:val="sv-SE"/>
        </w:rPr>
      </w:pPr>
      <w:r w:rsidRPr="00F53674">
        <w:rPr>
          <w:szCs w:val="22"/>
          <w:lang w:val="sr-Latn-CS"/>
        </w:rPr>
        <w:t>INN:</w:t>
      </w:r>
      <w:r w:rsidRPr="00E676EE">
        <w:rPr>
          <w:szCs w:val="22"/>
          <w:lang w:val="sv-SE"/>
        </w:rPr>
        <w:t xml:space="preserve"> testosteron</w:t>
      </w:r>
    </w:p>
    <w:p w14:paraId="1863C96A" w14:textId="09224986" w:rsidR="00783FD7" w:rsidRDefault="00783FD7">
      <w:pPr>
        <w:rPr>
          <w:szCs w:val="22"/>
          <w:lang w:val="sr-Latn-CS"/>
        </w:rPr>
      </w:pPr>
    </w:p>
    <w:p w14:paraId="036B5BC5" w14:textId="77777777" w:rsidR="00783FD7" w:rsidRPr="00F53674" w:rsidRDefault="00783FD7">
      <w:pPr>
        <w:rPr>
          <w:szCs w:val="22"/>
          <w:lang w:val="sr-Latn-CS"/>
        </w:rPr>
      </w:pPr>
    </w:p>
    <w:p w14:paraId="7C41639B" w14:textId="5193BD45" w:rsidR="00032C33" w:rsidRDefault="00032C33" w:rsidP="009A522B">
      <w:pPr>
        <w:pStyle w:val="NASLOV123"/>
        <w:spacing w:before="0"/>
        <w:jc w:val="both"/>
        <w:rPr>
          <w:lang w:val="sv-SE"/>
        </w:rPr>
      </w:pPr>
      <w:r w:rsidRPr="00E676EE">
        <w:rPr>
          <w:lang w:val="sv-SE"/>
        </w:rPr>
        <w:t>2. KVALITATIVNI I KVANTITATIVNI SASTAV</w:t>
      </w:r>
    </w:p>
    <w:p w14:paraId="7C41639C" w14:textId="0193D7D0" w:rsidR="00032C33" w:rsidRPr="00C31248" w:rsidRDefault="00032C33">
      <w:pPr>
        <w:rPr>
          <w:szCs w:val="22"/>
          <w:lang w:val="sl-SI"/>
        </w:rPr>
      </w:pPr>
      <w:r w:rsidRPr="00C31248">
        <w:rPr>
          <w:szCs w:val="22"/>
          <w:lang w:val="sl-SI"/>
        </w:rPr>
        <w:t>1 m</w:t>
      </w:r>
      <w:r w:rsidR="00F43D27">
        <w:rPr>
          <w:szCs w:val="22"/>
          <w:lang w:val="sl-SI"/>
        </w:rPr>
        <w:t>l</w:t>
      </w:r>
      <w:r w:rsidRPr="00C31248">
        <w:rPr>
          <w:szCs w:val="22"/>
          <w:lang w:val="sl-SI"/>
        </w:rPr>
        <w:t xml:space="preserve"> rastvora za </w:t>
      </w:r>
      <w:r w:rsidRPr="00C31248">
        <w:rPr>
          <w:szCs w:val="22"/>
          <w:lang w:val="sv-SE"/>
        </w:rPr>
        <w:t>injekciju</w:t>
      </w:r>
      <w:r w:rsidRPr="00C31248">
        <w:rPr>
          <w:szCs w:val="22"/>
          <w:lang w:val="sl-SI"/>
        </w:rPr>
        <w:t xml:space="preserve"> sadrži 250 mg testosteron</w:t>
      </w:r>
      <w:r w:rsidR="00783FD7">
        <w:rPr>
          <w:szCs w:val="22"/>
          <w:lang w:val="sl-SI"/>
        </w:rPr>
        <w:t xml:space="preserve"> </w:t>
      </w:r>
      <w:r w:rsidRPr="00C31248">
        <w:rPr>
          <w:szCs w:val="22"/>
          <w:lang w:val="sl-SI"/>
        </w:rPr>
        <w:t>enantata</w:t>
      </w:r>
      <w:r w:rsidR="00783FD7">
        <w:rPr>
          <w:szCs w:val="22"/>
          <w:lang w:val="sl-SI"/>
        </w:rPr>
        <w:t>.</w:t>
      </w:r>
    </w:p>
    <w:p w14:paraId="4A06DC0B" w14:textId="1D67371A" w:rsidR="00A52C53" w:rsidRDefault="00A52C53" w:rsidP="009A522B">
      <w:pPr>
        <w:tabs>
          <w:tab w:val="clear" w:pos="284"/>
        </w:tabs>
        <w:rPr>
          <w:szCs w:val="22"/>
          <w:lang w:val="sr-Latn-CS"/>
        </w:rPr>
      </w:pPr>
      <w:r w:rsidRPr="00A52C53">
        <w:rPr>
          <w:szCs w:val="22"/>
          <w:lang w:val="sr-Latn-CS"/>
        </w:rPr>
        <w:t>Za spisak svih ekscipijenasa, pogledati dio 6.1.</w:t>
      </w:r>
    </w:p>
    <w:p w14:paraId="1BB9B03F" w14:textId="114D0E12" w:rsidR="00783FD7" w:rsidRDefault="00783FD7" w:rsidP="009A522B">
      <w:pPr>
        <w:tabs>
          <w:tab w:val="clear" w:pos="284"/>
        </w:tabs>
        <w:rPr>
          <w:szCs w:val="22"/>
          <w:lang w:val="sr-Latn-CS"/>
        </w:rPr>
      </w:pPr>
    </w:p>
    <w:p w14:paraId="54217F3C" w14:textId="77777777" w:rsidR="00783FD7" w:rsidRPr="00A52C53" w:rsidRDefault="00783FD7" w:rsidP="009A522B">
      <w:pPr>
        <w:tabs>
          <w:tab w:val="clear" w:pos="284"/>
        </w:tabs>
        <w:rPr>
          <w:szCs w:val="22"/>
          <w:lang w:val="sr-Latn-CS"/>
        </w:rPr>
      </w:pPr>
    </w:p>
    <w:p w14:paraId="5E779171" w14:textId="6A759DF2" w:rsidR="00783FD7" w:rsidRPr="00E676EE" w:rsidRDefault="00032C33" w:rsidP="009A522B">
      <w:pPr>
        <w:pStyle w:val="NASLOV123"/>
        <w:spacing w:before="0"/>
        <w:jc w:val="both"/>
        <w:rPr>
          <w:lang w:val="pl-PL"/>
        </w:rPr>
      </w:pPr>
      <w:r w:rsidRPr="00E676EE">
        <w:rPr>
          <w:lang w:val="pl-PL"/>
        </w:rPr>
        <w:t>3. FARMACEUTSKI OBLIK</w:t>
      </w:r>
    </w:p>
    <w:p w14:paraId="7C41639F" w14:textId="77777777" w:rsidR="00032C33" w:rsidRPr="00C31248" w:rsidRDefault="00032C33" w:rsidP="009A522B">
      <w:pPr>
        <w:pStyle w:val="Header"/>
        <w:tabs>
          <w:tab w:val="clear" w:pos="4536"/>
          <w:tab w:val="clear" w:pos="9072"/>
          <w:tab w:val="left" w:pos="284"/>
        </w:tabs>
        <w:rPr>
          <w:bCs/>
          <w:lang w:val="pl-PL"/>
        </w:rPr>
      </w:pPr>
      <w:r w:rsidRPr="00C31248">
        <w:rPr>
          <w:lang w:val="sl-SI"/>
        </w:rPr>
        <w:t>Rastvor</w:t>
      </w:r>
      <w:r w:rsidRPr="00C31248">
        <w:rPr>
          <w:bCs/>
          <w:lang w:val="pl-PL"/>
        </w:rPr>
        <w:t xml:space="preserve"> za injekciju.</w:t>
      </w:r>
    </w:p>
    <w:p w14:paraId="7C4163A0" w14:textId="12F4771F" w:rsidR="00032C33" w:rsidRDefault="00032C33">
      <w:pPr>
        <w:rPr>
          <w:bCs/>
          <w:lang w:val="pl-PL"/>
        </w:rPr>
      </w:pPr>
      <w:r w:rsidRPr="00C31248">
        <w:rPr>
          <w:bCs/>
          <w:lang w:val="pl-PL"/>
        </w:rPr>
        <w:t>Bistar, bezbojan do žut ili zelenkasto</w:t>
      </w:r>
      <w:r w:rsidRPr="00C31248">
        <w:rPr>
          <w:bCs/>
          <w:lang w:val="sr-Latn-CS"/>
        </w:rPr>
        <w:t>žut uljani rastvor</w:t>
      </w:r>
      <w:r w:rsidRPr="00C31248">
        <w:rPr>
          <w:bCs/>
          <w:lang w:val="pl-PL"/>
        </w:rPr>
        <w:t>.</w:t>
      </w:r>
    </w:p>
    <w:p w14:paraId="478AAB91" w14:textId="1CB7CF1C" w:rsidR="00783FD7" w:rsidRDefault="00783FD7">
      <w:pPr>
        <w:rPr>
          <w:bCs/>
          <w:lang w:val="pl-PL"/>
        </w:rPr>
      </w:pPr>
    </w:p>
    <w:p w14:paraId="52912C94" w14:textId="77777777" w:rsidR="00783FD7" w:rsidRPr="00C31248" w:rsidRDefault="00783FD7">
      <w:pPr>
        <w:rPr>
          <w:szCs w:val="22"/>
          <w:lang w:val="pl-PL"/>
        </w:rPr>
      </w:pPr>
    </w:p>
    <w:p w14:paraId="7C4163A1" w14:textId="77777777" w:rsidR="00032C33" w:rsidRPr="00175472" w:rsidRDefault="00032C33" w:rsidP="009A522B">
      <w:pPr>
        <w:pStyle w:val="NASLOV123"/>
        <w:spacing w:before="0"/>
        <w:jc w:val="both"/>
        <w:rPr>
          <w:lang w:val="pl-PL"/>
        </w:rPr>
      </w:pPr>
      <w:r w:rsidRPr="00175472">
        <w:rPr>
          <w:lang w:val="pl-PL"/>
        </w:rPr>
        <w:t>4. KLINIČKI PODACI</w:t>
      </w:r>
    </w:p>
    <w:p w14:paraId="7C4163A2" w14:textId="77777777" w:rsidR="00032C33" w:rsidRPr="00175472" w:rsidRDefault="00032C33">
      <w:pPr>
        <w:rPr>
          <w:szCs w:val="22"/>
          <w:lang w:val="pl-PL"/>
        </w:rPr>
      </w:pPr>
      <w:r w:rsidRPr="00175472">
        <w:rPr>
          <w:b/>
          <w:bCs/>
          <w:szCs w:val="22"/>
          <w:lang w:val="pl-PL"/>
        </w:rPr>
        <w:t>4.1. Terapijske indikacije</w:t>
      </w:r>
    </w:p>
    <w:p w14:paraId="7C4163A3" w14:textId="77777777" w:rsidR="00032C33" w:rsidRPr="00175472" w:rsidRDefault="00032C33">
      <w:pPr>
        <w:spacing w:before="240" w:after="240"/>
        <w:rPr>
          <w:szCs w:val="22"/>
          <w:lang w:val="pl-PL"/>
        </w:rPr>
      </w:pPr>
      <w:r w:rsidRPr="009A522B">
        <w:rPr>
          <w:color w:val="000000"/>
          <w:szCs w:val="22"/>
          <w:lang w:val="pl-PL"/>
        </w:rPr>
        <w:t>Supstituciona terapija testosteronom kod hipogonadizma mu</w:t>
      </w:r>
      <w:r w:rsidRPr="009A522B">
        <w:rPr>
          <w:color w:val="000000"/>
          <w:szCs w:val="22"/>
          <w:lang w:val="sr-Latn-CS"/>
        </w:rPr>
        <w:t>škaraca, nakon prethodno ustanovljene deficijencije na osnovu biohemijskih i kliničkih parametara.</w:t>
      </w:r>
    </w:p>
    <w:p w14:paraId="7C4163A4" w14:textId="48C1E3D8" w:rsidR="00032C33" w:rsidRPr="00175472" w:rsidRDefault="00032C33">
      <w:pPr>
        <w:rPr>
          <w:b/>
          <w:bCs/>
          <w:szCs w:val="22"/>
          <w:lang w:val="de-DE"/>
        </w:rPr>
      </w:pPr>
      <w:r w:rsidRPr="00175472">
        <w:rPr>
          <w:b/>
          <w:bCs/>
          <w:szCs w:val="22"/>
          <w:lang w:val="de-DE"/>
        </w:rPr>
        <w:t>4.2. Doziranje i način prim</w:t>
      </w:r>
      <w:r w:rsidR="00F43D27" w:rsidRPr="00175472">
        <w:rPr>
          <w:b/>
          <w:bCs/>
          <w:szCs w:val="22"/>
          <w:lang w:val="de-DE"/>
        </w:rPr>
        <w:t>j</w:t>
      </w:r>
      <w:r w:rsidRPr="00175472">
        <w:rPr>
          <w:b/>
          <w:bCs/>
          <w:szCs w:val="22"/>
          <w:lang w:val="de-DE"/>
        </w:rPr>
        <w:t>ene</w:t>
      </w:r>
    </w:p>
    <w:p w14:paraId="3EED0521" w14:textId="7F378E9E" w:rsidR="00175472" w:rsidRPr="00175472" w:rsidRDefault="00032C33">
      <w:pPr>
        <w:pStyle w:val="NormalWeb"/>
        <w:spacing w:before="120" w:beforeAutospacing="0" w:after="0"/>
        <w:jc w:val="both"/>
        <w:rPr>
          <w:b/>
          <w:sz w:val="22"/>
          <w:szCs w:val="22"/>
          <w:lang w:val="sr-Latn-CS"/>
        </w:rPr>
      </w:pPr>
      <w:r w:rsidRPr="00175472">
        <w:rPr>
          <w:b/>
          <w:sz w:val="22"/>
          <w:szCs w:val="22"/>
          <w:lang w:val="sr-Latn-CS"/>
        </w:rPr>
        <w:t>Doziranje</w:t>
      </w:r>
    </w:p>
    <w:p w14:paraId="7C4163A9" w14:textId="082ABA2E" w:rsidR="00032C33" w:rsidRPr="00175472" w:rsidRDefault="00032C33">
      <w:pPr>
        <w:pStyle w:val="NormalWeb"/>
        <w:spacing w:before="0" w:beforeAutospacing="0" w:after="0"/>
        <w:jc w:val="both"/>
        <w:rPr>
          <w:sz w:val="22"/>
          <w:szCs w:val="22"/>
          <w:lang w:val="sr-Latn-CS"/>
        </w:rPr>
      </w:pPr>
      <w:r w:rsidRPr="00175472">
        <w:rPr>
          <w:sz w:val="22"/>
          <w:szCs w:val="22"/>
          <w:lang w:val="sr-Latn-CS"/>
        </w:rPr>
        <w:t>L</w:t>
      </w:r>
      <w:r w:rsidR="00F43D27" w:rsidRPr="00175472">
        <w:rPr>
          <w:sz w:val="22"/>
          <w:szCs w:val="22"/>
          <w:lang w:val="sr-Latn-CS"/>
        </w:rPr>
        <w:t>ij</w:t>
      </w:r>
      <w:r w:rsidRPr="00175472">
        <w:rPr>
          <w:sz w:val="22"/>
          <w:szCs w:val="22"/>
          <w:lang w:val="sr-Latn-CS"/>
        </w:rPr>
        <w:t>ek Testosteron Depo 250 mg/m</w:t>
      </w:r>
      <w:r w:rsidR="00F43D27" w:rsidRPr="00175472">
        <w:rPr>
          <w:sz w:val="22"/>
          <w:szCs w:val="22"/>
          <w:lang w:val="sr-Latn-CS"/>
        </w:rPr>
        <w:t>l</w:t>
      </w:r>
      <w:r w:rsidRPr="00175472">
        <w:rPr>
          <w:sz w:val="22"/>
          <w:szCs w:val="22"/>
          <w:lang w:val="sr-Latn-CS"/>
        </w:rPr>
        <w:t>, rastvor za injekciju, prim</w:t>
      </w:r>
      <w:r w:rsidR="00F43D27" w:rsidRPr="00175472">
        <w:rPr>
          <w:sz w:val="22"/>
          <w:szCs w:val="22"/>
          <w:lang w:val="sr-Latn-CS"/>
        </w:rPr>
        <w:t>j</w:t>
      </w:r>
      <w:r w:rsidRPr="00175472">
        <w:rPr>
          <w:sz w:val="22"/>
          <w:szCs w:val="22"/>
          <w:lang w:val="sr-Latn-CS"/>
        </w:rPr>
        <w:t>enjuje se intramuskularno, svake dv</w:t>
      </w:r>
      <w:r w:rsidR="00F43D27" w:rsidRPr="00175472">
        <w:rPr>
          <w:sz w:val="22"/>
          <w:szCs w:val="22"/>
          <w:lang w:val="sr-Latn-CS"/>
        </w:rPr>
        <w:t>ij</w:t>
      </w:r>
      <w:r w:rsidRPr="00175472">
        <w:rPr>
          <w:sz w:val="22"/>
          <w:szCs w:val="22"/>
          <w:lang w:val="sr-Latn-CS"/>
        </w:rPr>
        <w:t>e do tri ned</w:t>
      </w:r>
      <w:r w:rsidR="00F43D27" w:rsidRPr="00175472">
        <w:rPr>
          <w:sz w:val="22"/>
          <w:szCs w:val="22"/>
          <w:lang w:val="sr-Latn-CS"/>
        </w:rPr>
        <w:t>j</w:t>
      </w:r>
      <w:r w:rsidRPr="00175472">
        <w:rPr>
          <w:sz w:val="22"/>
          <w:szCs w:val="22"/>
          <w:lang w:val="sr-Latn-CS"/>
        </w:rPr>
        <w:t>elje, radi stimulacije razvoja nedovoljno razvijenih androgen-zavisnih organa ili za inicijalno l</w:t>
      </w:r>
      <w:r w:rsidR="00F43D27" w:rsidRPr="00175472">
        <w:rPr>
          <w:sz w:val="22"/>
          <w:szCs w:val="22"/>
          <w:lang w:val="sr-Latn-CS"/>
        </w:rPr>
        <w:t>ij</w:t>
      </w:r>
      <w:r w:rsidRPr="00175472">
        <w:rPr>
          <w:sz w:val="22"/>
          <w:szCs w:val="22"/>
          <w:lang w:val="sr-Latn-CS"/>
        </w:rPr>
        <w:t>ečenje simptoma deficijencije.</w:t>
      </w:r>
    </w:p>
    <w:p w14:paraId="7C4163AA" w14:textId="71B224C1" w:rsidR="00032C33" w:rsidRPr="00175472" w:rsidRDefault="00032C33">
      <w:pPr>
        <w:pStyle w:val="NormalWeb"/>
        <w:spacing w:before="120" w:beforeAutospacing="0" w:after="0"/>
        <w:jc w:val="both"/>
        <w:rPr>
          <w:sz w:val="22"/>
          <w:szCs w:val="22"/>
          <w:lang w:val="sr-Latn-CS"/>
        </w:rPr>
      </w:pPr>
      <w:r w:rsidRPr="00175472">
        <w:rPr>
          <w:sz w:val="22"/>
          <w:szCs w:val="22"/>
          <w:lang w:val="sr-Latn-CS"/>
        </w:rPr>
        <w:t>U terapiji održavanja: 250 mg l</w:t>
      </w:r>
      <w:r w:rsidR="00F43D27" w:rsidRPr="00175472">
        <w:rPr>
          <w:sz w:val="22"/>
          <w:szCs w:val="22"/>
          <w:lang w:val="sr-Latn-CS"/>
        </w:rPr>
        <w:t>ij</w:t>
      </w:r>
      <w:r w:rsidRPr="00175472">
        <w:rPr>
          <w:sz w:val="22"/>
          <w:szCs w:val="22"/>
          <w:lang w:val="sr-Latn-CS"/>
        </w:rPr>
        <w:t>eka Testosteron Depo intramuskularno svakih tri do šest ned</w:t>
      </w:r>
      <w:r w:rsidR="00F43D27" w:rsidRPr="00175472">
        <w:rPr>
          <w:sz w:val="22"/>
          <w:szCs w:val="22"/>
          <w:lang w:val="sr-Latn-CS"/>
        </w:rPr>
        <w:t>j</w:t>
      </w:r>
      <w:r w:rsidRPr="00175472">
        <w:rPr>
          <w:sz w:val="22"/>
          <w:szCs w:val="22"/>
          <w:lang w:val="sr-Latn-CS"/>
        </w:rPr>
        <w:t>elja, u zavisnosti od individualnih potreba.</w:t>
      </w:r>
    </w:p>
    <w:p w14:paraId="7C4163AB" w14:textId="58FC58A3" w:rsidR="00032C33" w:rsidRPr="00175472" w:rsidRDefault="00032C33">
      <w:pPr>
        <w:pStyle w:val="NormalWeb"/>
        <w:spacing w:before="120" w:beforeAutospacing="0" w:after="240"/>
        <w:jc w:val="both"/>
        <w:rPr>
          <w:b/>
          <w:sz w:val="22"/>
          <w:szCs w:val="22"/>
          <w:lang w:val="pt-BR"/>
        </w:rPr>
      </w:pPr>
      <w:r w:rsidRPr="00175472">
        <w:rPr>
          <w:sz w:val="22"/>
          <w:szCs w:val="22"/>
          <w:lang w:val="sr-Latn-CS"/>
        </w:rPr>
        <w:t>Potrebno je m</w:t>
      </w:r>
      <w:r w:rsidR="00F43D27" w:rsidRPr="00175472">
        <w:rPr>
          <w:sz w:val="22"/>
          <w:szCs w:val="22"/>
          <w:lang w:val="sr-Latn-CS"/>
        </w:rPr>
        <w:t>j</w:t>
      </w:r>
      <w:r w:rsidRPr="00175472">
        <w:rPr>
          <w:sz w:val="22"/>
          <w:szCs w:val="22"/>
          <w:lang w:val="sr-Latn-CS"/>
        </w:rPr>
        <w:t>eriti nivo testosterona u serumu pr</w:t>
      </w:r>
      <w:r w:rsidR="00F43D27" w:rsidRPr="00175472">
        <w:rPr>
          <w:sz w:val="22"/>
          <w:szCs w:val="22"/>
          <w:lang w:val="sr-Latn-CS"/>
        </w:rPr>
        <w:t>ij</w:t>
      </w:r>
      <w:r w:rsidRPr="00175472">
        <w:rPr>
          <w:sz w:val="22"/>
          <w:szCs w:val="22"/>
          <w:lang w:val="sr-Latn-CS"/>
        </w:rPr>
        <w:t>e započinjanja l</w:t>
      </w:r>
      <w:r w:rsidR="00F43D27" w:rsidRPr="00175472">
        <w:rPr>
          <w:sz w:val="22"/>
          <w:szCs w:val="22"/>
          <w:lang w:val="sr-Latn-CS"/>
        </w:rPr>
        <w:t>ij</w:t>
      </w:r>
      <w:r w:rsidRPr="00175472">
        <w:rPr>
          <w:sz w:val="22"/>
          <w:szCs w:val="22"/>
          <w:lang w:val="sr-Latn-CS"/>
        </w:rPr>
        <w:t>ečenja i povremeno u toku l</w:t>
      </w:r>
      <w:r w:rsidR="00F43D27" w:rsidRPr="00175472">
        <w:rPr>
          <w:sz w:val="22"/>
          <w:szCs w:val="22"/>
          <w:lang w:val="sr-Latn-CS"/>
        </w:rPr>
        <w:t>ij</w:t>
      </w:r>
      <w:r w:rsidRPr="00175472">
        <w:rPr>
          <w:sz w:val="22"/>
          <w:szCs w:val="22"/>
          <w:lang w:val="sr-Latn-CS"/>
        </w:rPr>
        <w:t xml:space="preserve">ečenja na kraju injekcionih intervala. </w:t>
      </w:r>
      <w:r w:rsidRPr="00175472">
        <w:rPr>
          <w:sz w:val="22"/>
          <w:szCs w:val="22"/>
          <w:lang w:val="pl-PL"/>
        </w:rPr>
        <w:t xml:space="preserve">Nivo testosterona u serumu koji je niži od normalnog bi ukazao na potrebu za kraćim injekcionim intervalima. </w:t>
      </w:r>
      <w:r w:rsidRPr="00175472">
        <w:rPr>
          <w:sz w:val="22"/>
          <w:szCs w:val="22"/>
          <w:lang w:val="pt-BR"/>
        </w:rPr>
        <w:t>U slučaju da je nivo testosterona u serumu visok, može se razmotriti produženje injekcionog intervala.</w:t>
      </w:r>
    </w:p>
    <w:p w14:paraId="7C4163AC" w14:textId="77777777" w:rsidR="00032C33" w:rsidRPr="00175472" w:rsidRDefault="00032C33">
      <w:pPr>
        <w:pStyle w:val="NormalWeb"/>
        <w:spacing w:before="0" w:beforeAutospacing="0" w:after="0"/>
        <w:jc w:val="both"/>
        <w:rPr>
          <w:b/>
          <w:sz w:val="22"/>
          <w:szCs w:val="22"/>
          <w:lang w:val="pt-BR"/>
        </w:rPr>
      </w:pPr>
      <w:r w:rsidRPr="00175472">
        <w:rPr>
          <w:b/>
          <w:sz w:val="22"/>
          <w:szCs w:val="22"/>
          <w:lang w:val="pt-BR"/>
        </w:rPr>
        <w:t>Posebne grupe pacijenata</w:t>
      </w:r>
    </w:p>
    <w:p w14:paraId="7C4163AD" w14:textId="63E14ABE" w:rsidR="00032C33" w:rsidRPr="00175472" w:rsidRDefault="00032C33">
      <w:pPr>
        <w:pStyle w:val="NormalWeb"/>
        <w:spacing w:before="240" w:beforeAutospacing="0" w:after="0"/>
        <w:jc w:val="both"/>
        <w:rPr>
          <w:i/>
          <w:sz w:val="22"/>
          <w:szCs w:val="22"/>
          <w:lang w:val="pt-BR"/>
        </w:rPr>
      </w:pPr>
      <w:r w:rsidRPr="00175472">
        <w:rPr>
          <w:i/>
          <w:sz w:val="22"/>
          <w:szCs w:val="22"/>
          <w:lang w:val="pt-BR"/>
        </w:rPr>
        <w:t>D</w:t>
      </w:r>
      <w:r w:rsidR="00F43D27" w:rsidRPr="00175472">
        <w:rPr>
          <w:i/>
          <w:sz w:val="22"/>
          <w:szCs w:val="22"/>
          <w:lang w:val="pt-BR"/>
        </w:rPr>
        <w:t>j</w:t>
      </w:r>
      <w:r w:rsidRPr="00175472">
        <w:rPr>
          <w:i/>
          <w:sz w:val="22"/>
          <w:szCs w:val="22"/>
          <w:lang w:val="pt-BR"/>
        </w:rPr>
        <w:t>eca i adolescenti</w:t>
      </w:r>
    </w:p>
    <w:p w14:paraId="7C4163AE" w14:textId="668AB625" w:rsidR="00032C33" w:rsidRPr="00175472" w:rsidRDefault="00032C33">
      <w:pPr>
        <w:pStyle w:val="NormalWeb"/>
        <w:spacing w:before="0" w:beforeAutospacing="0" w:after="0"/>
        <w:jc w:val="both"/>
        <w:rPr>
          <w:bCs/>
          <w:sz w:val="22"/>
          <w:szCs w:val="22"/>
          <w:lang w:val="pt-BR"/>
        </w:rPr>
      </w:pPr>
      <w:r w:rsidRPr="00175472">
        <w:rPr>
          <w:sz w:val="22"/>
          <w:szCs w:val="22"/>
          <w:lang w:val="pt-BR"/>
        </w:rPr>
        <w:t>L</w:t>
      </w:r>
      <w:r w:rsidR="00F43D27" w:rsidRPr="00175472">
        <w:rPr>
          <w:sz w:val="22"/>
          <w:szCs w:val="22"/>
          <w:lang w:val="pt-BR"/>
        </w:rPr>
        <w:t>ij</w:t>
      </w:r>
      <w:r w:rsidRPr="00175472">
        <w:rPr>
          <w:sz w:val="22"/>
          <w:szCs w:val="22"/>
          <w:lang w:val="pt-BR"/>
        </w:rPr>
        <w:t>ek Testosteron Depo nije indikovan za prim</w:t>
      </w:r>
      <w:r w:rsidR="00F43D27" w:rsidRPr="00175472">
        <w:rPr>
          <w:sz w:val="22"/>
          <w:szCs w:val="22"/>
          <w:lang w:val="pt-BR"/>
        </w:rPr>
        <w:t>j</w:t>
      </w:r>
      <w:r w:rsidRPr="00175472">
        <w:rPr>
          <w:sz w:val="22"/>
          <w:szCs w:val="22"/>
          <w:lang w:val="pt-BR"/>
        </w:rPr>
        <w:t>enu kod d</w:t>
      </w:r>
      <w:r w:rsidR="00F43D27" w:rsidRPr="00175472">
        <w:rPr>
          <w:sz w:val="22"/>
          <w:szCs w:val="22"/>
          <w:lang w:val="pt-BR"/>
        </w:rPr>
        <w:t>j</w:t>
      </w:r>
      <w:r w:rsidRPr="00175472">
        <w:rPr>
          <w:sz w:val="22"/>
          <w:szCs w:val="22"/>
          <w:lang w:val="pt-BR"/>
        </w:rPr>
        <w:t>ece i adolescenata (vid</w:t>
      </w:r>
      <w:r w:rsidR="00F43D27" w:rsidRPr="00175472">
        <w:rPr>
          <w:sz w:val="22"/>
          <w:szCs w:val="22"/>
          <w:lang w:val="pt-BR"/>
        </w:rPr>
        <w:t>j</w:t>
      </w:r>
      <w:r w:rsidRPr="00175472">
        <w:rPr>
          <w:sz w:val="22"/>
          <w:szCs w:val="22"/>
          <w:lang w:val="pt-BR"/>
        </w:rPr>
        <w:t xml:space="preserve">eti </w:t>
      </w:r>
      <w:r w:rsidR="00F43D27" w:rsidRPr="00175472">
        <w:rPr>
          <w:sz w:val="22"/>
          <w:szCs w:val="22"/>
          <w:lang w:val="pt-BR"/>
        </w:rPr>
        <w:t>dio</w:t>
      </w:r>
      <w:r w:rsidRPr="00175472">
        <w:rPr>
          <w:sz w:val="22"/>
          <w:szCs w:val="22"/>
          <w:lang w:val="pt-BR"/>
        </w:rPr>
        <w:t xml:space="preserve"> 4.4</w:t>
      </w:r>
      <w:r w:rsidRPr="00175472">
        <w:rPr>
          <w:bCs/>
          <w:sz w:val="22"/>
          <w:szCs w:val="22"/>
          <w:lang w:val="pt-BR"/>
        </w:rPr>
        <w:t>).</w:t>
      </w:r>
    </w:p>
    <w:p w14:paraId="7C4163AF" w14:textId="6E48DBD0" w:rsidR="00032C33" w:rsidRPr="009A522B" w:rsidRDefault="00032C33">
      <w:pPr>
        <w:pStyle w:val="NormalWeb"/>
        <w:spacing w:before="0" w:beforeAutospacing="0" w:after="0"/>
        <w:jc w:val="both"/>
        <w:rPr>
          <w:b/>
          <w:sz w:val="22"/>
          <w:szCs w:val="22"/>
          <w:lang w:val="pt-BR"/>
        </w:rPr>
      </w:pPr>
      <w:r w:rsidRPr="009A522B">
        <w:rPr>
          <w:sz w:val="22"/>
          <w:szCs w:val="22"/>
          <w:lang w:val="pt-BR"/>
        </w:rPr>
        <w:t>Bezb</w:t>
      </w:r>
      <w:r w:rsidR="00F43D27" w:rsidRPr="009A522B">
        <w:rPr>
          <w:sz w:val="22"/>
          <w:szCs w:val="22"/>
          <w:lang w:val="pt-BR"/>
        </w:rPr>
        <w:t>j</w:t>
      </w:r>
      <w:r w:rsidRPr="009A522B">
        <w:rPr>
          <w:sz w:val="22"/>
          <w:szCs w:val="22"/>
          <w:lang w:val="pt-BR"/>
        </w:rPr>
        <w:t>edna i efikasna prim</w:t>
      </w:r>
      <w:r w:rsidR="00F43D27" w:rsidRPr="009A522B">
        <w:rPr>
          <w:sz w:val="22"/>
          <w:szCs w:val="22"/>
          <w:lang w:val="pt-BR"/>
        </w:rPr>
        <w:t>j</w:t>
      </w:r>
      <w:r w:rsidRPr="009A522B">
        <w:rPr>
          <w:sz w:val="22"/>
          <w:szCs w:val="22"/>
          <w:lang w:val="pt-BR"/>
        </w:rPr>
        <w:t>ena l</w:t>
      </w:r>
      <w:r w:rsidR="00F43D27" w:rsidRPr="009A522B">
        <w:rPr>
          <w:sz w:val="22"/>
          <w:szCs w:val="22"/>
          <w:lang w:val="pt-BR"/>
        </w:rPr>
        <w:t>ij</w:t>
      </w:r>
      <w:r w:rsidRPr="009A522B">
        <w:rPr>
          <w:sz w:val="22"/>
          <w:szCs w:val="22"/>
          <w:lang w:val="pt-BR"/>
        </w:rPr>
        <w:t>eka nije adekvatno utvrđena kod d</w:t>
      </w:r>
      <w:r w:rsidR="00F43D27" w:rsidRPr="009A522B">
        <w:rPr>
          <w:sz w:val="22"/>
          <w:szCs w:val="22"/>
          <w:lang w:val="pt-BR"/>
        </w:rPr>
        <w:t>j</w:t>
      </w:r>
      <w:r w:rsidRPr="009A522B">
        <w:rPr>
          <w:sz w:val="22"/>
          <w:szCs w:val="22"/>
          <w:lang w:val="pt-BR"/>
        </w:rPr>
        <w:t>ece i adolescenata.</w:t>
      </w:r>
    </w:p>
    <w:p w14:paraId="7C4163B0" w14:textId="77777777" w:rsidR="00032C33" w:rsidRPr="00175472" w:rsidRDefault="00032C33">
      <w:pPr>
        <w:spacing w:before="120"/>
        <w:rPr>
          <w:i/>
          <w:szCs w:val="22"/>
          <w:lang w:val="pl-PL"/>
        </w:rPr>
      </w:pPr>
      <w:r w:rsidRPr="00175472">
        <w:rPr>
          <w:i/>
          <w:szCs w:val="22"/>
          <w:lang w:val="pl-PL"/>
        </w:rPr>
        <w:t>Starije osobe</w:t>
      </w:r>
    </w:p>
    <w:p w14:paraId="7C4163B1" w14:textId="570615C8" w:rsidR="00032C33" w:rsidRPr="009A522B" w:rsidRDefault="00032C33">
      <w:pPr>
        <w:pStyle w:val="NormalWeb"/>
        <w:spacing w:before="0" w:beforeAutospacing="0" w:after="0"/>
        <w:jc w:val="both"/>
        <w:rPr>
          <w:b/>
          <w:sz w:val="22"/>
          <w:szCs w:val="22"/>
          <w:lang w:val="pl-PL"/>
        </w:rPr>
      </w:pPr>
      <w:r w:rsidRPr="009A522B">
        <w:rPr>
          <w:sz w:val="22"/>
          <w:szCs w:val="22"/>
          <w:lang w:val="pl-PL"/>
        </w:rPr>
        <w:t>Ograničeni podaci ne ukazuju na potrebu za prilagođavanjem doze kod starijih pacijenata (vid</w:t>
      </w:r>
      <w:r w:rsidR="00F43D27" w:rsidRPr="009A522B">
        <w:rPr>
          <w:sz w:val="22"/>
          <w:szCs w:val="22"/>
          <w:lang w:val="pl-PL"/>
        </w:rPr>
        <w:t>j</w:t>
      </w:r>
      <w:r w:rsidRPr="009A522B">
        <w:rPr>
          <w:sz w:val="22"/>
          <w:szCs w:val="22"/>
          <w:lang w:val="pl-PL"/>
        </w:rPr>
        <w:t xml:space="preserve">eti </w:t>
      </w:r>
      <w:r w:rsidR="00F43D27" w:rsidRPr="009A522B">
        <w:rPr>
          <w:sz w:val="22"/>
          <w:szCs w:val="22"/>
          <w:lang w:val="pl-PL"/>
        </w:rPr>
        <w:t>dio</w:t>
      </w:r>
      <w:r w:rsidRPr="009A522B">
        <w:rPr>
          <w:sz w:val="22"/>
          <w:szCs w:val="22"/>
          <w:lang w:val="pl-PL"/>
        </w:rPr>
        <w:t xml:space="preserve"> 4.4</w:t>
      </w:r>
      <w:r w:rsidRPr="009A522B">
        <w:rPr>
          <w:bCs/>
          <w:sz w:val="22"/>
          <w:szCs w:val="22"/>
          <w:lang w:val="pl-PL"/>
        </w:rPr>
        <w:t>).</w:t>
      </w:r>
    </w:p>
    <w:p w14:paraId="7C4163B2" w14:textId="77777777" w:rsidR="00032C33" w:rsidRPr="00175472" w:rsidRDefault="00032C33">
      <w:pPr>
        <w:spacing w:before="120"/>
        <w:rPr>
          <w:i/>
          <w:szCs w:val="22"/>
          <w:lang w:val="pl-PL"/>
        </w:rPr>
      </w:pPr>
      <w:r w:rsidRPr="00175472">
        <w:rPr>
          <w:i/>
          <w:szCs w:val="22"/>
          <w:lang w:val="pl-PL"/>
        </w:rPr>
        <w:t>Pacijenti sa oštećenjem funkcije jetre</w:t>
      </w:r>
    </w:p>
    <w:p w14:paraId="7C4163B3" w14:textId="0DF505B4" w:rsidR="00032C33" w:rsidRPr="00175472" w:rsidRDefault="00032C33">
      <w:pPr>
        <w:rPr>
          <w:b/>
          <w:szCs w:val="22"/>
          <w:lang w:val="pl-PL"/>
        </w:rPr>
      </w:pPr>
      <w:r w:rsidRPr="00175472">
        <w:rPr>
          <w:szCs w:val="22"/>
          <w:lang w:val="pl-PL"/>
        </w:rPr>
        <w:t>Ni</w:t>
      </w:r>
      <w:r w:rsidR="00175472">
        <w:rPr>
          <w:szCs w:val="22"/>
          <w:lang w:val="pl-PL"/>
        </w:rPr>
        <w:t>je</w:t>
      </w:r>
      <w:r w:rsidRPr="00175472">
        <w:rPr>
          <w:szCs w:val="22"/>
          <w:lang w:val="pl-PL"/>
        </w:rPr>
        <w:t>su sprovedene zvanične studije kod pacijenata sa oštećenjem funkcije jetre. Prim</w:t>
      </w:r>
      <w:r w:rsidR="00F43D27" w:rsidRPr="00175472">
        <w:rPr>
          <w:szCs w:val="22"/>
          <w:lang w:val="pl-PL"/>
        </w:rPr>
        <w:t>j</w:t>
      </w:r>
      <w:r w:rsidRPr="00175472">
        <w:rPr>
          <w:szCs w:val="22"/>
          <w:lang w:val="pl-PL"/>
        </w:rPr>
        <w:t>ena l</w:t>
      </w:r>
      <w:r w:rsidR="00F43D27" w:rsidRPr="00175472">
        <w:rPr>
          <w:szCs w:val="22"/>
          <w:lang w:val="pl-PL"/>
        </w:rPr>
        <w:t>ij</w:t>
      </w:r>
      <w:r w:rsidRPr="00175472">
        <w:rPr>
          <w:szCs w:val="22"/>
          <w:lang w:val="pl-PL"/>
        </w:rPr>
        <w:t>eka Testosteron Depo je kontraindikovana kod muškaraca koji su imali ili imaju tumor jetre (vid</w:t>
      </w:r>
      <w:r w:rsidR="00F43D27" w:rsidRPr="00175472">
        <w:rPr>
          <w:szCs w:val="22"/>
          <w:lang w:val="pl-PL"/>
        </w:rPr>
        <w:t>j</w:t>
      </w:r>
      <w:r w:rsidRPr="00175472">
        <w:rPr>
          <w:szCs w:val="22"/>
          <w:lang w:val="pl-PL"/>
        </w:rPr>
        <w:t xml:space="preserve">eti </w:t>
      </w:r>
      <w:r w:rsidR="00F43D27" w:rsidRPr="00175472">
        <w:rPr>
          <w:szCs w:val="22"/>
          <w:lang w:val="pl-PL"/>
        </w:rPr>
        <w:t>dio</w:t>
      </w:r>
      <w:r w:rsidRPr="00175472">
        <w:rPr>
          <w:szCs w:val="22"/>
          <w:lang w:val="pl-PL"/>
        </w:rPr>
        <w:t xml:space="preserve"> 4.3).</w:t>
      </w:r>
    </w:p>
    <w:p w14:paraId="7C4163B4" w14:textId="77777777" w:rsidR="00032C33" w:rsidRPr="00175472" w:rsidRDefault="00032C33">
      <w:pPr>
        <w:spacing w:before="120"/>
        <w:rPr>
          <w:i/>
          <w:szCs w:val="22"/>
          <w:lang w:val="pl-PL"/>
        </w:rPr>
      </w:pPr>
      <w:r w:rsidRPr="00175472">
        <w:rPr>
          <w:i/>
          <w:szCs w:val="22"/>
          <w:lang w:val="pl-PL"/>
        </w:rPr>
        <w:lastRenderedPageBreak/>
        <w:t>Pacijenti sa oštećenjem funkcije bubrega</w:t>
      </w:r>
    </w:p>
    <w:p w14:paraId="2ED93FF5" w14:textId="1654C6B2" w:rsidR="00175472" w:rsidRDefault="00032C33">
      <w:pPr>
        <w:rPr>
          <w:szCs w:val="22"/>
          <w:lang w:val="pl-PL"/>
        </w:rPr>
      </w:pPr>
      <w:r w:rsidRPr="00175472">
        <w:rPr>
          <w:szCs w:val="22"/>
          <w:lang w:val="pl-PL"/>
        </w:rPr>
        <w:t>Ni</w:t>
      </w:r>
      <w:r w:rsidR="00175472">
        <w:rPr>
          <w:szCs w:val="22"/>
          <w:lang w:val="pl-PL"/>
        </w:rPr>
        <w:t>je</w:t>
      </w:r>
      <w:r w:rsidRPr="00175472">
        <w:rPr>
          <w:szCs w:val="22"/>
          <w:lang w:val="pl-PL"/>
        </w:rPr>
        <w:t>su sprovedene zvanične studije kod pacijenata sa oštećenjem funkcije bubrega.</w:t>
      </w:r>
    </w:p>
    <w:p w14:paraId="09644FA9" w14:textId="77777777" w:rsidR="00175472" w:rsidRPr="003467CF" w:rsidRDefault="00175472" w:rsidP="00175472">
      <w:pPr>
        <w:pStyle w:val="NormalWeb"/>
        <w:spacing w:before="240" w:beforeAutospacing="0" w:after="0"/>
        <w:jc w:val="both"/>
        <w:rPr>
          <w:b/>
          <w:sz w:val="22"/>
          <w:szCs w:val="22"/>
          <w:lang w:val="sr-Latn-CS"/>
        </w:rPr>
      </w:pPr>
      <w:r w:rsidRPr="00175472">
        <w:rPr>
          <w:b/>
          <w:sz w:val="22"/>
          <w:szCs w:val="22"/>
          <w:lang w:val="sr-Latn-CS"/>
        </w:rPr>
        <w:t>Način prim</w:t>
      </w:r>
      <w:r w:rsidRPr="003467CF">
        <w:rPr>
          <w:b/>
          <w:sz w:val="22"/>
          <w:szCs w:val="22"/>
          <w:lang w:val="sr-Latn-CS"/>
        </w:rPr>
        <w:t>jene</w:t>
      </w:r>
    </w:p>
    <w:p w14:paraId="6850B2E6" w14:textId="77777777" w:rsidR="00175472" w:rsidRPr="003467CF" w:rsidRDefault="00175472" w:rsidP="00175472">
      <w:pPr>
        <w:pStyle w:val="NormalWeb"/>
        <w:spacing w:before="0" w:beforeAutospacing="0" w:after="0"/>
        <w:jc w:val="both"/>
        <w:rPr>
          <w:sz w:val="22"/>
          <w:szCs w:val="22"/>
          <w:lang w:val="sr-Latn-CS"/>
        </w:rPr>
      </w:pPr>
      <w:r w:rsidRPr="003467CF">
        <w:rPr>
          <w:sz w:val="22"/>
          <w:szCs w:val="22"/>
          <w:lang w:val="sr-Latn-CS"/>
        </w:rPr>
        <w:t>Rastvor za intramuskularnu injekciju.</w:t>
      </w:r>
    </w:p>
    <w:p w14:paraId="3E6E1019" w14:textId="30D3EE20" w:rsidR="00175472" w:rsidRPr="009A522B" w:rsidRDefault="00175472" w:rsidP="009A522B">
      <w:pPr>
        <w:pStyle w:val="NormalWeb"/>
        <w:spacing w:before="0" w:beforeAutospacing="0" w:after="0"/>
        <w:jc w:val="both"/>
        <w:rPr>
          <w:lang w:val="pl-PL"/>
        </w:rPr>
      </w:pPr>
      <w:r w:rsidRPr="003467CF">
        <w:rPr>
          <w:sz w:val="22"/>
          <w:szCs w:val="22"/>
          <w:lang w:val="sr-Latn-CS"/>
        </w:rPr>
        <w:t>Injekciju dati veoma polako (vidjeti djelove 4.4. i 4.8). Sadržaj ampule (uljani rastvor) se ubrizgava odmah nakon što se ampula otvori i rastvor uvuče u špric za injekcije.</w:t>
      </w:r>
    </w:p>
    <w:p w14:paraId="7C4163B6" w14:textId="77777777" w:rsidR="00032C33" w:rsidRPr="00175472" w:rsidRDefault="00032C33">
      <w:pPr>
        <w:spacing w:before="240"/>
        <w:rPr>
          <w:b/>
          <w:bCs/>
          <w:szCs w:val="22"/>
          <w:lang w:val="nl-NL"/>
        </w:rPr>
      </w:pPr>
      <w:r w:rsidRPr="00175472">
        <w:rPr>
          <w:b/>
          <w:bCs/>
          <w:szCs w:val="22"/>
          <w:lang w:val="nl-NL"/>
        </w:rPr>
        <w:t>4.3. Kontraindikacije</w:t>
      </w:r>
    </w:p>
    <w:p w14:paraId="7C4163B7" w14:textId="5842EA04" w:rsidR="00032C33" w:rsidRPr="00175472" w:rsidRDefault="00032C33" w:rsidP="009A522B">
      <w:pPr>
        <w:numPr>
          <w:ilvl w:val="0"/>
          <w:numId w:val="4"/>
        </w:numPr>
        <w:tabs>
          <w:tab w:val="clear" w:pos="720"/>
          <w:tab w:val="num" w:pos="540"/>
        </w:tabs>
        <w:spacing w:before="240"/>
        <w:ind w:left="538" w:hanging="181"/>
        <w:rPr>
          <w:szCs w:val="22"/>
          <w:lang w:val="sr-Latn-CS"/>
        </w:rPr>
      </w:pPr>
      <w:r w:rsidRPr="00175472">
        <w:rPr>
          <w:szCs w:val="22"/>
          <w:lang w:val="sr-Latn-CS"/>
        </w:rPr>
        <w:t>Preos</w:t>
      </w:r>
      <w:r w:rsidR="00F43D27" w:rsidRPr="00175472">
        <w:rPr>
          <w:szCs w:val="22"/>
          <w:lang w:val="sr-Latn-CS"/>
        </w:rPr>
        <w:t>j</w:t>
      </w:r>
      <w:r w:rsidRPr="00175472">
        <w:rPr>
          <w:szCs w:val="22"/>
          <w:lang w:val="sr-Latn-CS"/>
        </w:rPr>
        <w:t>etljivost na aktivnu supstancu ili</w:t>
      </w:r>
      <w:r w:rsidR="00175472">
        <w:rPr>
          <w:szCs w:val="22"/>
          <w:lang w:val="sr-Latn-CS"/>
        </w:rPr>
        <w:t xml:space="preserve"> na</w:t>
      </w:r>
      <w:r w:rsidRPr="00175472">
        <w:rPr>
          <w:szCs w:val="22"/>
          <w:lang w:val="sr-Latn-CS"/>
        </w:rPr>
        <w:t xml:space="preserve"> bilo koju od pomoćnih supstanci koje ulaze u sastav l</w:t>
      </w:r>
      <w:r w:rsidR="00F43D27" w:rsidRPr="00175472">
        <w:rPr>
          <w:szCs w:val="22"/>
          <w:lang w:val="sr-Latn-CS"/>
        </w:rPr>
        <w:t>ij</w:t>
      </w:r>
      <w:r w:rsidRPr="00175472">
        <w:rPr>
          <w:szCs w:val="22"/>
          <w:lang w:val="sr-Latn-CS"/>
        </w:rPr>
        <w:t>eka (vid</w:t>
      </w:r>
      <w:r w:rsidR="00F43D27" w:rsidRPr="00175472">
        <w:rPr>
          <w:szCs w:val="22"/>
          <w:lang w:val="sr-Latn-CS"/>
        </w:rPr>
        <w:t>j</w:t>
      </w:r>
      <w:r w:rsidRPr="00175472">
        <w:rPr>
          <w:szCs w:val="22"/>
          <w:lang w:val="sr-Latn-CS"/>
        </w:rPr>
        <w:t xml:space="preserve">eti </w:t>
      </w:r>
      <w:r w:rsidR="00F43D27" w:rsidRPr="00175472">
        <w:rPr>
          <w:szCs w:val="22"/>
          <w:lang w:val="sr-Latn-CS"/>
        </w:rPr>
        <w:t>dio</w:t>
      </w:r>
      <w:r w:rsidRPr="00175472">
        <w:rPr>
          <w:szCs w:val="22"/>
          <w:lang w:val="sr-Latn-CS"/>
        </w:rPr>
        <w:t xml:space="preserve"> 6.1).</w:t>
      </w:r>
    </w:p>
    <w:p w14:paraId="7C4163B8" w14:textId="76A0A6E1" w:rsidR="00032C33" w:rsidRPr="00175472" w:rsidRDefault="00032C33" w:rsidP="009A522B">
      <w:pPr>
        <w:pStyle w:val="paragraph1"/>
        <w:numPr>
          <w:ilvl w:val="0"/>
          <w:numId w:val="4"/>
        </w:numPr>
        <w:shd w:val="clear" w:color="auto" w:fill="FFFFFF"/>
        <w:tabs>
          <w:tab w:val="clear" w:pos="720"/>
          <w:tab w:val="num" w:pos="540"/>
        </w:tabs>
        <w:ind w:left="540" w:hanging="180"/>
        <w:jc w:val="both"/>
        <w:rPr>
          <w:sz w:val="22"/>
          <w:szCs w:val="22"/>
          <w:lang w:val="sr-Latn-CS"/>
        </w:rPr>
      </w:pPr>
      <w:r w:rsidRPr="00175472">
        <w:rPr>
          <w:sz w:val="22"/>
          <w:szCs w:val="22"/>
          <w:lang w:val="sr-Latn-CS"/>
        </w:rPr>
        <w:t>Androgen-zavisni karcinom prostate ili karcinom ml</w:t>
      </w:r>
      <w:r w:rsidR="00F43D27" w:rsidRPr="00175472">
        <w:rPr>
          <w:sz w:val="22"/>
          <w:szCs w:val="22"/>
          <w:lang w:val="sr-Latn-CS"/>
        </w:rPr>
        <w:t>ij</w:t>
      </w:r>
      <w:r w:rsidRPr="00175472">
        <w:rPr>
          <w:sz w:val="22"/>
          <w:szCs w:val="22"/>
          <w:lang w:val="sr-Latn-CS"/>
        </w:rPr>
        <w:t>ečne žl</w:t>
      </w:r>
      <w:r w:rsidR="00F43D27" w:rsidRPr="00175472">
        <w:rPr>
          <w:sz w:val="22"/>
          <w:szCs w:val="22"/>
          <w:lang w:val="sr-Latn-CS"/>
        </w:rPr>
        <w:t>ij</w:t>
      </w:r>
      <w:r w:rsidRPr="00175472">
        <w:rPr>
          <w:sz w:val="22"/>
          <w:szCs w:val="22"/>
          <w:lang w:val="sr-Latn-CS"/>
        </w:rPr>
        <w:t>ezde kod muškaraca</w:t>
      </w:r>
    </w:p>
    <w:p w14:paraId="7C4163B9" w14:textId="77777777" w:rsidR="00032C33" w:rsidRPr="00175472" w:rsidRDefault="00032C33" w:rsidP="009A522B">
      <w:pPr>
        <w:pStyle w:val="paragraph1"/>
        <w:numPr>
          <w:ilvl w:val="0"/>
          <w:numId w:val="4"/>
        </w:numPr>
        <w:shd w:val="clear" w:color="auto" w:fill="FFFFFF"/>
        <w:tabs>
          <w:tab w:val="clear" w:pos="720"/>
          <w:tab w:val="num" w:pos="540"/>
        </w:tabs>
        <w:ind w:left="540" w:hanging="180"/>
        <w:jc w:val="both"/>
        <w:rPr>
          <w:sz w:val="22"/>
          <w:szCs w:val="22"/>
          <w:lang w:val="sr-Latn-CS"/>
        </w:rPr>
      </w:pPr>
      <w:r w:rsidRPr="00175472">
        <w:rPr>
          <w:sz w:val="22"/>
          <w:szCs w:val="22"/>
          <w:lang w:val="sr-Latn-CS"/>
        </w:rPr>
        <w:t>Hiperkalcemija</w:t>
      </w:r>
    </w:p>
    <w:p w14:paraId="7C4163BA" w14:textId="77777777" w:rsidR="00032C33" w:rsidRPr="00175472" w:rsidRDefault="00032C33" w:rsidP="009A522B">
      <w:pPr>
        <w:pStyle w:val="paragraph1"/>
        <w:numPr>
          <w:ilvl w:val="0"/>
          <w:numId w:val="4"/>
        </w:numPr>
        <w:shd w:val="clear" w:color="auto" w:fill="FFFFFF"/>
        <w:tabs>
          <w:tab w:val="clear" w:pos="720"/>
          <w:tab w:val="num" w:pos="540"/>
        </w:tabs>
        <w:ind w:left="540" w:hanging="180"/>
        <w:jc w:val="both"/>
        <w:rPr>
          <w:sz w:val="22"/>
          <w:szCs w:val="22"/>
          <w:lang w:val="sr-Latn-CS"/>
        </w:rPr>
      </w:pPr>
      <w:r w:rsidRPr="00175472">
        <w:rPr>
          <w:sz w:val="22"/>
          <w:szCs w:val="22"/>
          <w:lang w:val="sr-Latn-CS"/>
        </w:rPr>
        <w:t xml:space="preserve">Postojeći ili u prošlosti dijagnostikovani tumori jetre </w:t>
      </w:r>
    </w:p>
    <w:p w14:paraId="7C4163BB" w14:textId="77777777" w:rsidR="00032C33" w:rsidRPr="00175472" w:rsidRDefault="00032C33" w:rsidP="009A522B">
      <w:pPr>
        <w:pStyle w:val="paragraph1"/>
        <w:numPr>
          <w:ilvl w:val="0"/>
          <w:numId w:val="4"/>
        </w:numPr>
        <w:shd w:val="clear" w:color="auto" w:fill="FFFFFF"/>
        <w:tabs>
          <w:tab w:val="clear" w:pos="720"/>
          <w:tab w:val="num" w:pos="540"/>
        </w:tabs>
        <w:spacing w:after="240"/>
        <w:ind w:left="538" w:hanging="181"/>
        <w:jc w:val="both"/>
        <w:rPr>
          <w:sz w:val="22"/>
          <w:szCs w:val="22"/>
          <w:lang w:val="sr-Latn-CS"/>
        </w:rPr>
      </w:pPr>
      <w:r w:rsidRPr="00175472">
        <w:rPr>
          <w:sz w:val="22"/>
          <w:szCs w:val="22"/>
          <w:lang w:val="sr-Latn-CS"/>
        </w:rPr>
        <w:t>Nefroza</w:t>
      </w:r>
    </w:p>
    <w:p w14:paraId="7C4163BC" w14:textId="350207DD" w:rsidR="00032C33" w:rsidRPr="00175472" w:rsidRDefault="00032C33">
      <w:pPr>
        <w:spacing w:before="240" w:after="240"/>
        <w:rPr>
          <w:b/>
          <w:bCs/>
          <w:szCs w:val="22"/>
          <w:lang w:val="pl-PL"/>
        </w:rPr>
      </w:pPr>
      <w:r w:rsidRPr="00175472">
        <w:rPr>
          <w:b/>
          <w:bCs/>
          <w:szCs w:val="22"/>
          <w:lang w:val="pl-PL"/>
        </w:rPr>
        <w:t>4.4. Posebna upozorenja i m</w:t>
      </w:r>
      <w:r w:rsidR="00F43D27" w:rsidRPr="00175472">
        <w:rPr>
          <w:b/>
          <w:bCs/>
          <w:szCs w:val="22"/>
          <w:lang w:val="pl-PL"/>
        </w:rPr>
        <w:t>j</w:t>
      </w:r>
      <w:r w:rsidRPr="00175472">
        <w:rPr>
          <w:b/>
          <w:bCs/>
          <w:szCs w:val="22"/>
          <w:lang w:val="pl-PL"/>
        </w:rPr>
        <w:t>ere opreza pri upotrebi l</w:t>
      </w:r>
      <w:r w:rsidR="00F43D27" w:rsidRPr="00175472">
        <w:rPr>
          <w:b/>
          <w:bCs/>
          <w:szCs w:val="22"/>
          <w:lang w:val="pl-PL"/>
        </w:rPr>
        <w:t>ij</w:t>
      </w:r>
      <w:r w:rsidRPr="00175472">
        <w:rPr>
          <w:b/>
          <w:bCs/>
          <w:szCs w:val="22"/>
          <w:lang w:val="pl-PL"/>
        </w:rPr>
        <w:t>eka</w:t>
      </w:r>
    </w:p>
    <w:p w14:paraId="7C4163BD" w14:textId="3D13B4FA" w:rsidR="00032C33" w:rsidRPr="009A522B" w:rsidRDefault="00032C33">
      <w:pPr>
        <w:tabs>
          <w:tab w:val="clear" w:pos="284"/>
        </w:tabs>
        <w:rPr>
          <w:szCs w:val="22"/>
          <w:lang w:val="it-IT"/>
        </w:rPr>
      </w:pPr>
      <w:r w:rsidRPr="009A522B">
        <w:rPr>
          <w:szCs w:val="22"/>
          <w:lang w:val="it-IT"/>
        </w:rPr>
        <w:t>Starije osobe l</w:t>
      </w:r>
      <w:r w:rsidR="00F43D27" w:rsidRPr="009A522B">
        <w:rPr>
          <w:szCs w:val="22"/>
          <w:lang w:val="it-IT"/>
        </w:rPr>
        <w:t>ij</w:t>
      </w:r>
      <w:r w:rsidRPr="009A522B">
        <w:rPr>
          <w:szCs w:val="22"/>
          <w:lang w:val="it-IT"/>
        </w:rPr>
        <w:t>ečene androgenima mogu biti pod povećanim rizikom od razvoja hiperplazije prostate. Iako ne postoje jasni pokazatelji da androgeni zaista dovode do karcinoma prostate, oni mogu da intenziviraju rast već postojećeg karcinoma prostate. Stoga je, pr</w:t>
      </w:r>
      <w:r w:rsidR="00F43D27" w:rsidRPr="009A522B">
        <w:rPr>
          <w:szCs w:val="22"/>
          <w:lang w:val="it-IT"/>
        </w:rPr>
        <w:t>ij</w:t>
      </w:r>
      <w:r w:rsidRPr="009A522B">
        <w:rPr>
          <w:szCs w:val="22"/>
          <w:lang w:val="it-IT"/>
        </w:rPr>
        <w:t>e započinjanja prim</w:t>
      </w:r>
      <w:r w:rsidR="00F43D27" w:rsidRPr="009A522B">
        <w:rPr>
          <w:szCs w:val="22"/>
          <w:lang w:val="it-IT"/>
        </w:rPr>
        <w:t>j</w:t>
      </w:r>
      <w:r w:rsidRPr="009A522B">
        <w:rPr>
          <w:szCs w:val="22"/>
          <w:lang w:val="it-IT"/>
        </w:rPr>
        <w:t>ene preparata sa testosteronom potrebno isključiti postojanje karcinoma prostate.</w:t>
      </w:r>
    </w:p>
    <w:p w14:paraId="7C4163BE" w14:textId="4FE7E25E" w:rsidR="00032C33" w:rsidRPr="00175472" w:rsidRDefault="00032C33">
      <w:pPr>
        <w:pStyle w:val="NormalWeb"/>
        <w:spacing w:before="120" w:beforeAutospacing="0" w:after="0"/>
        <w:jc w:val="both"/>
        <w:rPr>
          <w:sz w:val="22"/>
          <w:szCs w:val="22"/>
          <w:lang w:val="it-IT"/>
        </w:rPr>
      </w:pPr>
      <w:r w:rsidRPr="00175472">
        <w:rPr>
          <w:sz w:val="22"/>
          <w:szCs w:val="22"/>
          <w:lang w:val="it-IT"/>
        </w:rPr>
        <w:t>Postoje ograničena iskustva o bezb</w:t>
      </w:r>
      <w:r w:rsidR="00F43D27" w:rsidRPr="00175472">
        <w:rPr>
          <w:sz w:val="22"/>
          <w:szCs w:val="22"/>
          <w:lang w:val="it-IT"/>
        </w:rPr>
        <w:t>j</w:t>
      </w:r>
      <w:r w:rsidRPr="00175472">
        <w:rPr>
          <w:sz w:val="22"/>
          <w:szCs w:val="22"/>
          <w:lang w:val="it-IT"/>
        </w:rPr>
        <w:t>ednosti i efikasnosti prim</w:t>
      </w:r>
      <w:r w:rsidR="00F43D27" w:rsidRPr="00175472">
        <w:rPr>
          <w:sz w:val="22"/>
          <w:szCs w:val="22"/>
          <w:lang w:val="it-IT"/>
        </w:rPr>
        <w:t>j</w:t>
      </w:r>
      <w:r w:rsidRPr="00175472">
        <w:rPr>
          <w:sz w:val="22"/>
          <w:szCs w:val="22"/>
          <w:lang w:val="it-IT"/>
        </w:rPr>
        <w:t>ene testosterona kod pacijenata starijih od 65 godina. Trenutno ne postoji opšta saglasnost u vezi sa referentnim vr</w:t>
      </w:r>
      <w:r w:rsidR="00F43D27" w:rsidRPr="00175472">
        <w:rPr>
          <w:sz w:val="22"/>
          <w:szCs w:val="22"/>
          <w:lang w:val="it-IT"/>
        </w:rPr>
        <w:t>ij</w:t>
      </w:r>
      <w:r w:rsidRPr="00175472">
        <w:rPr>
          <w:sz w:val="22"/>
          <w:szCs w:val="22"/>
          <w:lang w:val="it-IT"/>
        </w:rPr>
        <w:t>ednostima testosterona u odnosu na godine pacijenata. Međutim, treba imati u vidu da se fiziološki nivo testosterona u serumu smanjuje sa godinama.</w:t>
      </w:r>
    </w:p>
    <w:p w14:paraId="7C4163BF" w14:textId="0DE40006" w:rsidR="00032C33" w:rsidRPr="00175472" w:rsidRDefault="00032C33">
      <w:pPr>
        <w:pStyle w:val="NormalWeb"/>
        <w:spacing w:before="120" w:beforeAutospacing="0" w:after="0"/>
        <w:jc w:val="both"/>
        <w:rPr>
          <w:sz w:val="22"/>
          <w:szCs w:val="22"/>
          <w:lang w:val="it-IT"/>
        </w:rPr>
      </w:pPr>
      <w:r w:rsidRPr="00175472">
        <w:rPr>
          <w:sz w:val="22"/>
          <w:szCs w:val="22"/>
          <w:lang w:val="it-IT"/>
        </w:rPr>
        <w:t>Kao m</w:t>
      </w:r>
      <w:r w:rsidR="00F43D27" w:rsidRPr="00175472">
        <w:rPr>
          <w:sz w:val="22"/>
          <w:szCs w:val="22"/>
          <w:lang w:val="it-IT"/>
        </w:rPr>
        <w:t>j</w:t>
      </w:r>
      <w:r w:rsidRPr="00175472">
        <w:rPr>
          <w:sz w:val="22"/>
          <w:szCs w:val="22"/>
          <w:lang w:val="it-IT"/>
        </w:rPr>
        <w:t>era predostrožnosti se preporučuje redovno ispitivanje prostate.</w:t>
      </w:r>
    </w:p>
    <w:p w14:paraId="7C4163C0" w14:textId="7EE1B1C7" w:rsidR="00032C33" w:rsidRPr="00175472" w:rsidRDefault="00032C33">
      <w:pPr>
        <w:pStyle w:val="NormalWeb"/>
        <w:spacing w:before="120" w:beforeAutospacing="0" w:after="0"/>
        <w:jc w:val="both"/>
        <w:rPr>
          <w:sz w:val="22"/>
          <w:szCs w:val="22"/>
          <w:lang w:val="it-IT"/>
        </w:rPr>
      </w:pPr>
      <w:r w:rsidRPr="00175472">
        <w:rPr>
          <w:sz w:val="22"/>
          <w:szCs w:val="22"/>
          <w:lang w:val="it-IT"/>
        </w:rPr>
        <w:t>Kod bolesnika koji su na dugotrajnoj terapiji androgenima potrebno je redovno pratiti sl</w:t>
      </w:r>
      <w:r w:rsidR="00F43D27" w:rsidRPr="00175472">
        <w:rPr>
          <w:sz w:val="22"/>
          <w:szCs w:val="22"/>
          <w:lang w:val="it-IT"/>
        </w:rPr>
        <w:t>j</w:t>
      </w:r>
      <w:r w:rsidRPr="00175472">
        <w:rPr>
          <w:sz w:val="22"/>
          <w:szCs w:val="22"/>
          <w:lang w:val="it-IT"/>
        </w:rPr>
        <w:t>edeće biohemijske parametre: hemoglobin i hematokrit (radi otkrivanja policitemije), testove funkcije jetre i lipidni status.</w:t>
      </w:r>
    </w:p>
    <w:p w14:paraId="7C4163C1" w14:textId="336E2A10" w:rsidR="00032C33" w:rsidRPr="00175472" w:rsidRDefault="00032C33">
      <w:pPr>
        <w:tabs>
          <w:tab w:val="clear" w:pos="284"/>
        </w:tabs>
        <w:spacing w:before="120"/>
        <w:rPr>
          <w:color w:val="000000"/>
          <w:szCs w:val="22"/>
          <w:lang w:val="it-IT"/>
        </w:rPr>
      </w:pPr>
      <w:r w:rsidRPr="00175472">
        <w:rPr>
          <w:color w:val="000000"/>
          <w:szCs w:val="22"/>
          <w:lang w:val="it-IT"/>
        </w:rPr>
        <w:t>Kod pacijenata koji imaju tešku insuficijenciju srca, jetre ili bubrega ili ishemijsku bolest srca, prim</w:t>
      </w:r>
      <w:r w:rsidR="00F43D27" w:rsidRPr="00175472">
        <w:rPr>
          <w:color w:val="000000"/>
          <w:szCs w:val="22"/>
          <w:lang w:val="it-IT"/>
        </w:rPr>
        <w:t>j</w:t>
      </w:r>
      <w:r w:rsidRPr="00175472">
        <w:rPr>
          <w:color w:val="000000"/>
          <w:szCs w:val="22"/>
          <w:lang w:val="it-IT"/>
        </w:rPr>
        <w:t>ena testosterona može da izazove teške komplikacije u vidu edema sa ili bez kongestivne srčane insuficijencije. U tom slučaju terapiju treba odmah prekinuti.</w:t>
      </w:r>
    </w:p>
    <w:p w14:paraId="7C4163C2" w14:textId="1AA43DAC" w:rsidR="00032C33" w:rsidRPr="00175472" w:rsidRDefault="00032C33">
      <w:pPr>
        <w:tabs>
          <w:tab w:val="clear" w:pos="284"/>
        </w:tabs>
        <w:spacing w:before="120"/>
        <w:rPr>
          <w:color w:val="000000"/>
          <w:szCs w:val="22"/>
          <w:lang w:val="it-IT"/>
        </w:rPr>
      </w:pPr>
      <w:r w:rsidRPr="00175472">
        <w:rPr>
          <w:color w:val="000000"/>
          <w:szCs w:val="22"/>
          <w:lang w:val="it-IT"/>
        </w:rPr>
        <w:t>Testosteron može da dovede do povišenja krvnog pritiska; zbog toga je potrebno da se l</w:t>
      </w:r>
      <w:r w:rsidR="00F43D27" w:rsidRPr="00175472">
        <w:rPr>
          <w:color w:val="000000"/>
          <w:szCs w:val="22"/>
          <w:lang w:val="it-IT"/>
        </w:rPr>
        <w:t>ij</w:t>
      </w:r>
      <w:r w:rsidRPr="00175472">
        <w:rPr>
          <w:color w:val="000000"/>
          <w:szCs w:val="22"/>
          <w:lang w:val="it-IT"/>
        </w:rPr>
        <w:t>ek Testosteron Depo prim</w:t>
      </w:r>
      <w:r w:rsidR="00F43D27" w:rsidRPr="00175472">
        <w:rPr>
          <w:color w:val="000000"/>
          <w:szCs w:val="22"/>
          <w:lang w:val="it-IT"/>
        </w:rPr>
        <w:t>j</w:t>
      </w:r>
      <w:r w:rsidRPr="00175472">
        <w:rPr>
          <w:color w:val="000000"/>
          <w:szCs w:val="22"/>
          <w:lang w:val="it-IT"/>
        </w:rPr>
        <w:t>enjuje sa oprezom kod muškaraca sa hipertenzijom.</w:t>
      </w:r>
    </w:p>
    <w:p w14:paraId="7C4163C3" w14:textId="29DEBD69" w:rsidR="00032C33" w:rsidRPr="00175472" w:rsidRDefault="00032C33">
      <w:pPr>
        <w:tabs>
          <w:tab w:val="clear" w:pos="284"/>
        </w:tabs>
        <w:spacing w:before="120"/>
        <w:rPr>
          <w:color w:val="000000"/>
          <w:szCs w:val="22"/>
          <w:lang w:val="it-IT"/>
        </w:rPr>
      </w:pPr>
      <w:r w:rsidRPr="00175472">
        <w:rPr>
          <w:color w:val="000000"/>
          <w:szCs w:val="22"/>
          <w:lang w:val="it-IT"/>
        </w:rPr>
        <w:t>Testosteron Depo treba sa opreznošću prim</w:t>
      </w:r>
      <w:r w:rsidR="00F43D27" w:rsidRPr="00175472">
        <w:rPr>
          <w:color w:val="000000"/>
          <w:szCs w:val="22"/>
          <w:lang w:val="it-IT"/>
        </w:rPr>
        <w:t>j</w:t>
      </w:r>
      <w:r w:rsidRPr="00175472">
        <w:rPr>
          <w:color w:val="000000"/>
          <w:szCs w:val="22"/>
          <w:lang w:val="it-IT"/>
        </w:rPr>
        <w:t>enjivati kod pacijenata sa epilepsijom, migrenom, dijabetes melitusom ili sa metastazama u kostima.</w:t>
      </w:r>
    </w:p>
    <w:p w14:paraId="7C4163C4" w14:textId="147419AA" w:rsidR="00032C33" w:rsidRPr="00175472" w:rsidRDefault="00032C33">
      <w:pPr>
        <w:tabs>
          <w:tab w:val="clear" w:pos="284"/>
        </w:tabs>
        <w:spacing w:before="120"/>
        <w:rPr>
          <w:color w:val="000000"/>
          <w:szCs w:val="22"/>
          <w:lang w:val="it-IT"/>
        </w:rPr>
      </w:pPr>
      <w:r w:rsidRPr="00175472">
        <w:rPr>
          <w:color w:val="000000"/>
          <w:szCs w:val="22"/>
          <w:lang w:val="it-IT"/>
        </w:rPr>
        <w:t>Nivo testosterona u serumu treba kontrolisati pr</w:t>
      </w:r>
      <w:r w:rsidR="00F43D27" w:rsidRPr="00175472">
        <w:rPr>
          <w:color w:val="000000"/>
          <w:szCs w:val="22"/>
          <w:lang w:val="it-IT"/>
        </w:rPr>
        <w:t>ij</w:t>
      </w:r>
      <w:r w:rsidRPr="00175472">
        <w:rPr>
          <w:color w:val="000000"/>
          <w:szCs w:val="22"/>
          <w:lang w:val="it-IT"/>
        </w:rPr>
        <w:t>e početka prim</w:t>
      </w:r>
      <w:r w:rsidR="00F43D27" w:rsidRPr="00175472">
        <w:rPr>
          <w:color w:val="000000"/>
          <w:szCs w:val="22"/>
          <w:lang w:val="it-IT"/>
        </w:rPr>
        <w:t>j</w:t>
      </w:r>
      <w:r w:rsidRPr="00175472">
        <w:rPr>
          <w:color w:val="000000"/>
          <w:szCs w:val="22"/>
          <w:lang w:val="it-IT"/>
        </w:rPr>
        <w:t>ene i u regularnim intervalima u toku l</w:t>
      </w:r>
      <w:r w:rsidR="00F43D27" w:rsidRPr="00175472">
        <w:rPr>
          <w:color w:val="000000"/>
          <w:szCs w:val="22"/>
          <w:lang w:val="it-IT"/>
        </w:rPr>
        <w:t>ij</w:t>
      </w:r>
      <w:r w:rsidRPr="00175472">
        <w:rPr>
          <w:color w:val="000000"/>
          <w:szCs w:val="22"/>
          <w:lang w:val="it-IT"/>
        </w:rPr>
        <w:t>ečenja. L</w:t>
      </w:r>
      <w:r w:rsidR="00F43D27" w:rsidRPr="00175472">
        <w:rPr>
          <w:color w:val="000000"/>
          <w:szCs w:val="22"/>
          <w:lang w:val="it-IT"/>
        </w:rPr>
        <w:t>j</w:t>
      </w:r>
      <w:r w:rsidRPr="00175472">
        <w:rPr>
          <w:color w:val="000000"/>
          <w:szCs w:val="22"/>
          <w:lang w:val="it-IT"/>
        </w:rPr>
        <w:t>ekari treba da prilagode doze individualno svakom pacijentu, da bi se obezb</w:t>
      </w:r>
      <w:r w:rsidR="00F43D27" w:rsidRPr="00175472">
        <w:rPr>
          <w:color w:val="000000"/>
          <w:szCs w:val="22"/>
          <w:lang w:val="it-IT"/>
        </w:rPr>
        <w:t>ij</w:t>
      </w:r>
      <w:r w:rsidRPr="00175472">
        <w:rPr>
          <w:color w:val="000000"/>
          <w:szCs w:val="22"/>
          <w:lang w:val="it-IT"/>
        </w:rPr>
        <w:t>edilo održavanje eugonadalnih nivoa testosterona.</w:t>
      </w:r>
    </w:p>
    <w:p w14:paraId="7C4163C5" w14:textId="5188E6CF" w:rsidR="00032C33" w:rsidRPr="00175472" w:rsidRDefault="00032C33">
      <w:pPr>
        <w:tabs>
          <w:tab w:val="clear" w:pos="284"/>
        </w:tabs>
        <w:spacing w:before="120"/>
        <w:rPr>
          <w:color w:val="000000"/>
          <w:szCs w:val="22"/>
          <w:lang w:val="it-IT"/>
        </w:rPr>
      </w:pPr>
      <w:r w:rsidRPr="00175472">
        <w:rPr>
          <w:color w:val="000000"/>
          <w:szCs w:val="22"/>
          <w:lang w:val="it-IT"/>
        </w:rPr>
        <w:t>Nakon prim</w:t>
      </w:r>
      <w:r w:rsidR="00F43D27" w:rsidRPr="00175472">
        <w:rPr>
          <w:color w:val="000000"/>
          <w:szCs w:val="22"/>
          <w:lang w:val="it-IT"/>
        </w:rPr>
        <w:t>j</w:t>
      </w:r>
      <w:r w:rsidRPr="00175472">
        <w:rPr>
          <w:color w:val="000000"/>
          <w:szCs w:val="22"/>
          <w:lang w:val="it-IT"/>
        </w:rPr>
        <w:t>ene testosterona prim</w:t>
      </w:r>
      <w:r w:rsidR="00F43D27" w:rsidRPr="00175472">
        <w:rPr>
          <w:color w:val="000000"/>
          <w:szCs w:val="22"/>
          <w:lang w:val="it-IT"/>
        </w:rPr>
        <w:t>ij</w:t>
      </w:r>
      <w:r w:rsidRPr="00175472">
        <w:rPr>
          <w:color w:val="000000"/>
          <w:szCs w:val="22"/>
          <w:lang w:val="it-IT"/>
        </w:rPr>
        <w:t>ećeni su slučajevi benignih i malignih tumora jetre koji mogu da dovedu do intraabdominalnih krvarenja opasnih po život. Ukoliko dođe do pojave problema u gornjim partijama abdomena, uvećanja jetre ili znakova intraabdominalnog krvarenja, trebalo bi u diferencijalnoj dijagnozi razmatrati i postojanje tumora jetre i ukoliko je neophodno ukinuti davanje preparata.</w:t>
      </w:r>
    </w:p>
    <w:p w14:paraId="7C4163C6" w14:textId="4D62FE3E" w:rsidR="00032C33" w:rsidRPr="009A522B" w:rsidRDefault="00032C33">
      <w:pPr>
        <w:tabs>
          <w:tab w:val="clear" w:pos="284"/>
        </w:tabs>
        <w:spacing w:before="120"/>
        <w:rPr>
          <w:i/>
          <w:szCs w:val="22"/>
          <w:lang w:val="it-IT"/>
        </w:rPr>
      </w:pPr>
      <w:r w:rsidRPr="00175472">
        <w:rPr>
          <w:color w:val="000000"/>
          <w:szCs w:val="22"/>
          <w:lang w:val="it-IT"/>
        </w:rPr>
        <w:t xml:space="preserve">Treba biti oprezan kod </w:t>
      </w:r>
      <w:r w:rsidR="00175472">
        <w:rPr>
          <w:color w:val="000000"/>
          <w:szCs w:val="22"/>
          <w:lang w:val="it-IT"/>
        </w:rPr>
        <w:t>pacijenata</w:t>
      </w:r>
      <w:r w:rsidRPr="00175472">
        <w:rPr>
          <w:color w:val="000000"/>
          <w:szCs w:val="22"/>
          <w:lang w:val="it-IT"/>
        </w:rPr>
        <w:t xml:space="preserve"> koji imaju predispoziciju za nastanak edema pošto terapija androgenima može da dovede do povećane retencije natrijuma (vid</w:t>
      </w:r>
      <w:r w:rsidR="00F43D27" w:rsidRPr="00175472">
        <w:rPr>
          <w:color w:val="000000"/>
          <w:szCs w:val="22"/>
          <w:lang w:val="it-IT"/>
        </w:rPr>
        <w:t>j</w:t>
      </w:r>
      <w:r w:rsidRPr="00175472">
        <w:rPr>
          <w:color w:val="000000"/>
          <w:szCs w:val="22"/>
          <w:lang w:val="it-IT"/>
        </w:rPr>
        <w:t xml:space="preserve">eti </w:t>
      </w:r>
      <w:r w:rsidR="00F43D27" w:rsidRPr="00175472">
        <w:rPr>
          <w:color w:val="000000"/>
          <w:szCs w:val="22"/>
          <w:lang w:val="it-IT"/>
        </w:rPr>
        <w:t>dio</w:t>
      </w:r>
      <w:r w:rsidRPr="00175472">
        <w:rPr>
          <w:color w:val="000000"/>
          <w:szCs w:val="22"/>
          <w:lang w:val="it-IT"/>
        </w:rPr>
        <w:t xml:space="preserve"> 4.8).</w:t>
      </w:r>
    </w:p>
    <w:p w14:paraId="7C4163C7" w14:textId="156FA6F4" w:rsidR="00032C33" w:rsidRPr="009A522B" w:rsidRDefault="00032C33">
      <w:pPr>
        <w:tabs>
          <w:tab w:val="clear" w:pos="284"/>
        </w:tabs>
        <w:spacing w:before="240"/>
        <w:rPr>
          <w:i/>
          <w:szCs w:val="22"/>
          <w:lang w:val="sr-Latn-CS"/>
        </w:rPr>
      </w:pPr>
      <w:r w:rsidRPr="009A522B">
        <w:rPr>
          <w:i/>
          <w:szCs w:val="22"/>
          <w:lang w:val="it-IT"/>
        </w:rPr>
        <w:t>P</w:t>
      </w:r>
      <w:r w:rsidRPr="009A522B">
        <w:rPr>
          <w:i/>
          <w:szCs w:val="22"/>
          <w:lang w:val="sr-Latn-CS"/>
        </w:rPr>
        <w:t>oremećaji</w:t>
      </w:r>
      <w:r w:rsidR="00175472">
        <w:rPr>
          <w:i/>
          <w:szCs w:val="22"/>
          <w:lang w:val="sr-Latn-CS"/>
        </w:rPr>
        <w:t xml:space="preserve"> </w:t>
      </w:r>
      <w:r w:rsidR="007D5053" w:rsidRPr="009A522B">
        <w:rPr>
          <w:i/>
          <w:szCs w:val="22"/>
          <w:lang w:val="sr-Latn-CS"/>
        </w:rPr>
        <w:t>koagulacije</w:t>
      </w:r>
    </w:p>
    <w:p w14:paraId="7C4163C8" w14:textId="67A281F1" w:rsidR="007D5053" w:rsidRPr="00175472" w:rsidRDefault="00032C33">
      <w:pPr>
        <w:rPr>
          <w:rFonts w:eastAsia="Calibri"/>
          <w:color w:val="000000"/>
          <w:szCs w:val="22"/>
          <w:lang w:val="it-IT"/>
        </w:rPr>
      </w:pPr>
      <w:r w:rsidRPr="00175472">
        <w:rPr>
          <w:szCs w:val="22"/>
          <w:lang w:val="sr-Latn-CS"/>
        </w:rPr>
        <w:t>Testosteron treba oprezno koristiti kod pacijenata sa trombofilijom,</w:t>
      </w:r>
      <w:r w:rsidR="007D5053" w:rsidRPr="00175472">
        <w:rPr>
          <w:szCs w:val="22"/>
          <w:lang w:val="sr-Latn-CS"/>
        </w:rPr>
        <w:t xml:space="preserve"> ili faktorima rizika za nastanak venske tromboembolije (VTE),</w:t>
      </w:r>
      <w:r w:rsidR="00175472">
        <w:rPr>
          <w:szCs w:val="22"/>
          <w:lang w:val="sr-Latn-CS"/>
        </w:rPr>
        <w:t xml:space="preserve"> </w:t>
      </w:r>
      <w:r w:rsidR="007D5053" w:rsidRPr="00175472">
        <w:rPr>
          <w:rFonts w:eastAsia="Calibri"/>
          <w:color w:val="000000"/>
          <w:szCs w:val="22"/>
          <w:lang w:val="it-IT"/>
        </w:rPr>
        <w:t xml:space="preserve">budući da su u postmarketinškim studijama i slučajevima prijavljeni </w:t>
      </w:r>
      <w:r w:rsidR="007D5053" w:rsidRPr="00175472">
        <w:rPr>
          <w:rFonts w:eastAsia="Calibri"/>
          <w:color w:val="000000"/>
          <w:szCs w:val="22"/>
          <w:lang w:val="it-IT"/>
        </w:rPr>
        <w:lastRenderedPageBreak/>
        <w:t>trombotički događaji u ovim grupama pacijenata tokom terapije testosteronom (npr duboka venska tromboza, embolija pluća, okularna tromboza). Kod pacijenata sa trombofilijom, slučajevi venske tromboembolije su se javljali čak i uz antikoagulantnu terapiju. Zbog toga treba pažljivo razmotriti nastavak prim</w:t>
      </w:r>
      <w:r w:rsidR="00F43D27" w:rsidRPr="00175472">
        <w:rPr>
          <w:rFonts w:eastAsia="Calibri"/>
          <w:color w:val="000000"/>
          <w:szCs w:val="22"/>
          <w:lang w:val="it-IT"/>
        </w:rPr>
        <w:t>j</w:t>
      </w:r>
      <w:r w:rsidR="007D5053" w:rsidRPr="00175472">
        <w:rPr>
          <w:rFonts w:eastAsia="Calibri"/>
          <w:color w:val="000000"/>
          <w:szCs w:val="22"/>
          <w:lang w:val="it-IT"/>
        </w:rPr>
        <w:t>ene testosterona nakon prvog trombotičnog događaja. U slučaju nastavka terapije, treba prim</w:t>
      </w:r>
      <w:r w:rsidR="00F43D27" w:rsidRPr="00175472">
        <w:rPr>
          <w:rFonts w:eastAsia="Calibri"/>
          <w:color w:val="000000"/>
          <w:szCs w:val="22"/>
          <w:lang w:val="it-IT"/>
        </w:rPr>
        <w:t>ij</w:t>
      </w:r>
      <w:r w:rsidR="007D5053" w:rsidRPr="00175472">
        <w:rPr>
          <w:rFonts w:eastAsia="Calibri"/>
          <w:color w:val="000000"/>
          <w:szCs w:val="22"/>
          <w:lang w:val="it-IT"/>
        </w:rPr>
        <w:t>eniti dodatne m</w:t>
      </w:r>
      <w:r w:rsidR="00F43D27" w:rsidRPr="00175472">
        <w:rPr>
          <w:rFonts w:eastAsia="Calibri"/>
          <w:color w:val="000000"/>
          <w:szCs w:val="22"/>
          <w:lang w:val="it-IT"/>
        </w:rPr>
        <w:t>j</w:t>
      </w:r>
      <w:r w:rsidR="007D5053" w:rsidRPr="00175472">
        <w:rPr>
          <w:rFonts w:eastAsia="Calibri"/>
          <w:color w:val="000000"/>
          <w:szCs w:val="22"/>
          <w:lang w:val="it-IT"/>
        </w:rPr>
        <w:t>ere kako bi se umanjio rizik od VTE.</w:t>
      </w:r>
    </w:p>
    <w:p w14:paraId="7C4163C9" w14:textId="77777777" w:rsidR="007D5053" w:rsidRPr="00175472" w:rsidRDefault="007D5053">
      <w:pPr>
        <w:rPr>
          <w:rFonts w:eastAsia="Calibri"/>
          <w:color w:val="000000"/>
          <w:szCs w:val="22"/>
          <w:lang w:val="it-IT"/>
        </w:rPr>
      </w:pPr>
    </w:p>
    <w:p w14:paraId="7C4163CA" w14:textId="66872EED" w:rsidR="007D5053" w:rsidRPr="009A522B" w:rsidRDefault="007D5053">
      <w:pPr>
        <w:tabs>
          <w:tab w:val="clear" w:pos="284"/>
        </w:tabs>
        <w:rPr>
          <w:rFonts w:eastAsia="Calibri"/>
          <w:i/>
          <w:color w:val="000000"/>
          <w:szCs w:val="22"/>
          <w:lang w:val="it-IT"/>
        </w:rPr>
      </w:pPr>
      <w:r w:rsidRPr="009A522B">
        <w:rPr>
          <w:rFonts w:eastAsia="Calibri"/>
          <w:i/>
          <w:color w:val="000000"/>
          <w:szCs w:val="22"/>
          <w:lang w:val="it-IT"/>
        </w:rPr>
        <w:t>Zloupotreba l</w:t>
      </w:r>
      <w:r w:rsidR="00F43D27" w:rsidRPr="009A522B">
        <w:rPr>
          <w:rFonts w:eastAsia="Calibri"/>
          <w:i/>
          <w:color w:val="000000"/>
          <w:szCs w:val="22"/>
          <w:lang w:val="it-IT"/>
        </w:rPr>
        <w:t>ij</w:t>
      </w:r>
      <w:r w:rsidRPr="009A522B">
        <w:rPr>
          <w:rFonts w:eastAsia="Calibri"/>
          <w:i/>
          <w:color w:val="000000"/>
          <w:szCs w:val="22"/>
          <w:lang w:val="it-IT"/>
        </w:rPr>
        <w:t>eka i zavisnost</w:t>
      </w:r>
    </w:p>
    <w:p w14:paraId="7C4163CB" w14:textId="13B43634" w:rsidR="007D5053" w:rsidRPr="00175472" w:rsidRDefault="007D5053">
      <w:pPr>
        <w:tabs>
          <w:tab w:val="clear" w:pos="284"/>
        </w:tabs>
        <w:rPr>
          <w:rFonts w:eastAsia="Calibri"/>
          <w:color w:val="000000"/>
          <w:szCs w:val="22"/>
          <w:lang w:val="it-IT"/>
        </w:rPr>
      </w:pPr>
      <w:r w:rsidRPr="00175472">
        <w:rPr>
          <w:rFonts w:eastAsia="Calibri"/>
          <w:color w:val="000000"/>
          <w:szCs w:val="22"/>
          <w:lang w:val="it-IT"/>
        </w:rPr>
        <w:t>Testosteron može biti predmet zloupotrebe, obično u dozama višim od preporučenih i u kombinaciji sa drugim anaboličkim androgenim steroidima. Zloupotreba testosterona i drugih anaboličkih androgenih steroida može dovesti do ozbiljnih neželjenih reakcija uključujući: kardiovaskularne (ponekad sa smrtnim ishodom), hepatičke i psihijatrijske događaje. Zloupotreba testosterona može dovesti do zavisnosti i simptoma obustave nakon značajnog smanjenja doze ili naglog prestanka prim</w:t>
      </w:r>
      <w:r w:rsidR="000313F0" w:rsidRPr="00175472">
        <w:rPr>
          <w:rFonts w:eastAsia="Calibri"/>
          <w:color w:val="000000"/>
          <w:szCs w:val="22"/>
          <w:lang w:val="it-IT"/>
        </w:rPr>
        <w:t>j</w:t>
      </w:r>
      <w:r w:rsidRPr="00175472">
        <w:rPr>
          <w:rFonts w:eastAsia="Calibri"/>
          <w:color w:val="000000"/>
          <w:szCs w:val="22"/>
          <w:lang w:val="it-IT"/>
        </w:rPr>
        <w:t xml:space="preserve">ene. Zloupotreba testosterona i drugih anaboličkih androgenih steroida nosi ozbiljan zdravstveni rizik i pacijenta treba upozoriti na to. </w:t>
      </w:r>
    </w:p>
    <w:p w14:paraId="7C4163CC" w14:textId="77777777" w:rsidR="007D5053" w:rsidRPr="00175472" w:rsidRDefault="007D5053">
      <w:pPr>
        <w:rPr>
          <w:rFonts w:eastAsia="Calibri"/>
          <w:color w:val="000000"/>
          <w:szCs w:val="22"/>
          <w:lang w:val="it-IT"/>
        </w:rPr>
      </w:pPr>
    </w:p>
    <w:p w14:paraId="7C4163CD" w14:textId="75A9B722" w:rsidR="00032C33" w:rsidRPr="00175472" w:rsidRDefault="00032C33" w:rsidP="009A522B">
      <w:pPr>
        <w:tabs>
          <w:tab w:val="clear" w:pos="284"/>
        </w:tabs>
        <w:rPr>
          <w:color w:val="000000"/>
          <w:szCs w:val="22"/>
          <w:lang w:val="it-IT"/>
        </w:rPr>
      </w:pPr>
      <w:r w:rsidRPr="00175472">
        <w:rPr>
          <w:color w:val="000000"/>
          <w:szCs w:val="22"/>
          <w:lang w:val="it-IT"/>
        </w:rPr>
        <w:t>Prim</w:t>
      </w:r>
      <w:r w:rsidR="000313F0" w:rsidRPr="00175472">
        <w:rPr>
          <w:color w:val="000000"/>
          <w:szCs w:val="22"/>
          <w:lang w:val="it-IT"/>
        </w:rPr>
        <w:t>j</w:t>
      </w:r>
      <w:r w:rsidRPr="00175472">
        <w:rPr>
          <w:color w:val="000000"/>
          <w:szCs w:val="22"/>
          <w:lang w:val="it-IT"/>
        </w:rPr>
        <w:t>ena testosterona kod d</w:t>
      </w:r>
      <w:r w:rsidR="000313F0" w:rsidRPr="00175472">
        <w:rPr>
          <w:color w:val="000000"/>
          <w:szCs w:val="22"/>
          <w:lang w:val="it-IT"/>
        </w:rPr>
        <w:t>j</w:t>
      </w:r>
      <w:r w:rsidRPr="00175472">
        <w:rPr>
          <w:color w:val="000000"/>
          <w:szCs w:val="22"/>
          <w:lang w:val="it-IT"/>
        </w:rPr>
        <w:t>ece može da dovede, osim maskulinizacije, do ubrzanog rasta i sazr</w:t>
      </w:r>
      <w:r w:rsidR="000313F0" w:rsidRPr="00175472">
        <w:rPr>
          <w:color w:val="000000"/>
          <w:szCs w:val="22"/>
          <w:lang w:val="it-IT"/>
        </w:rPr>
        <w:t>ij</w:t>
      </w:r>
      <w:r w:rsidRPr="00175472">
        <w:rPr>
          <w:color w:val="000000"/>
          <w:szCs w:val="22"/>
          <w:lang w:val="it-IT"/>
        </w:rPr>
        <w:t>evanja kostiju i pr</w:t>
      </w:r>
      <w:r w:rsidR="000313F0" w:rsidRPr="00175472">
        <w:rPr>
          <w:color w:val="000000"/>
          <w:szCs w:val="22"/>
          <w:lang w:val="it-IT"/>
        </w:rPr>
        <w:t>i</w:t>
      </w:r>
      <w:r w:rsidRPr="00175472">
        <w:rPr>
          <w:color w:val="000000"/>
          <w:szCs w:val="22"/>
          <w:lang w:val="it-IT"/>
        </w:rPr>
        <w:t>vremenog zatvaranja epifiza pa tako i do smanjenja konačne visine.</w:t>
      </w:r>
    </w:p>
    <w:p w14:paraId="7C4163CE" w14:textId="012678CF" w:rsidR="00032C33" w:rsidRPr="00175472" w:rsidRDefault="00032C33">
      <w:pPr>
        <w:tabs>
          <w:tab w:val="clear" w:pos="284"/>
        </w:tabs>
        <w:spacing w:before="120"/>
        <w:rPr>
          <w:color w:val="000000"/>
          <w:szCs w:val="22"/>
          <w:lang w:val="it-IT"/>
        </w:rPr>
      </w:pPr>
      <w:r w:rsidRPr="00175472">
        <w:rPr>
          <w:color w:val="000000"/>
          <w:szCs w:val="22"/>
          <w:lang w:val="it-IT"/>
        </w:rPr>
        <w:t>Testosteron ne treba prim</w:t>
      </w:r>
      <w:r w:rsidR="000313F0" w:rsidRPr="00175472">
        <w:rPr>
          <w:color w:val="000000"/>
          <w:szCs w:val="22"/>
          <w:lang w:val="it-IT"/>
        </w:rPr>
        <w:t>j</w:t>
      </w:r>
      <w:r w:rsidRPr="00175472">
        <w:rPr>
          <w:color w:val="000000"/>
          <w:szCs w:val="22"/>
          <w:lang w:val="it-IT"/>
        </w:rPr>
        <w:t>enjivati kod žena jer u zavisnosti od individualne os</w:t>
      </w:r>
      <w:r w:rsidR="000313F0" w:rsidRPr="00175472">
        <w:rPr>
          <w:color w:val="000000"/>
          <w:szCs w:val="22"/>
          <w:lang w:val="it-IT"/>
        </w:rPr>
        <w:t>j</w:t>
      </w:r>
      <w:r w:rsidRPr="00175472">
        <w:rPr>
          <w:color w:val="000000"/>
          <w:szCs w:val="22"/>
          <w:lang w:val="it-IT"/>
        </w:rPr>
        <w:t>etljivosti na androgene impulse, kod žena mogu da se razviju znaci virilizacije kao što su akne, pojačana maljavost, prom</w:t>
      </w:r>
      <w:r w:rsidR="000313F0" w:rsidRPr="00175472">
        <w:rPr>
          <w:color w:val="000000"/>
          <w:szCs w:val="22"/>
          <w:lang w:val="it-IT"/>
        </w:rPr>
        <w:t>j</w:t>
      </w:r>
      <w:r w:rsidRPr="00175472">
        <w:rPr>
          <w:color w:val="000000"/>
          <w:szCs w:val="22"/>
          <w:lang w:val="it-IT"/>
        </w:rPr>
        <w:t>ene u glasu.</w:t>
      </w:r>
    </w:p>
    <w:p w14:paraId="7C4163CF" w14:textId="77777777" w:rsidR="00032C33" w:rsidRPr="00175472" w:rsidRDefault="00032C33">
      <w:pPr>
        <w:tabs>
          <w:tab w:val="clear" w:pos="284"/>
        </w:tabs>
        <w:rPr>
          <w:color w:val="000000"/>
          <w:szCs w:val="22"/>
          <w:lang w:val="pl-PL"/>
        </w:rPr>
      </w:pPr>
      <w:r w:rsidRPr="00175472">
        <w:rPr>
          <w:color w:val="000000"/>
          <w:szCs w:val="22"/>
          <w:lang w:val="pl-PL"/>
        </w:rPr>
        <w:t>Može da dođe do potenciranja već postojeće apneje u toku sna.</w:t>
      </w:r>
    </w:p>
    <w:p w14:paraId="7C4163D0" w14:textId="77777777" w:rsidR="00032C33" w:rsidRPr="00175472" w:rsidRDefault="00032C33">
      <w:pPr>
        <w:tabs>
          <w:tab w:val="clear" w:pos="284"/>
        </w:tabs>
        <w:spacing w:before="120"/>
        <w:rPr>
          <w:color w:val="000000"/>
          <w:szCs w:val="22"/>
          <w:lang w:val="pl-PL"/>
        </w:rPr>
      </w:pPr>
      <w:r w:rsidRPr="00175472">
        <w:rPr>
          <w:color w:val="000000"/>
          <w:szCs w:val="22"/>
          <w:lang w:val="pl-PL"/>
        </w:rPr>
        <w:t>Androgene ne treba koristiti za povećanje mišićne mase kod zdravih osoba ili za povećanje fizičkih sposobnosti.</w:t>
      </w:r>
    </w:p>
    <w:p w14:paraId="7C4163D1" w14:textId="311C1A60" w:rsidR="00032C33" w:rsidRPr="00175472" w:rsidRDefault="00032C33">
      <w:pPr>
        <w:spacing w:before="120"/>
        <w:rPr>
          <w:szCs w:val="22"/>
          <w:lang w:val="pl-PL"/>
        </w:rPr>
      </w:pPr>
      <w:r w:rsidRPr="00175472">
        <w:rPr>
          <w:color w:val="000000"/>
          <w:szCs w:val="22"/>
          <w:lang w:val="pl-PL"/>
        </w:rPr>
        <w:t xml:space="preserve">Kao i drugi uljani rastvori, Testosteron Depo se mora ubrizgavati </w:t>
      </w:r>
      <w:r w:rsidRPr="00175472">
        <w:rPr>
          <w:szCs w:val="22"/>
          <w:lang w:val="pl-PL"/>
        </w:rPr>
        <w:t>isključivo intramuskularno i veoma sporo. Plućni mikroembolizam uljanih rastvora može dati znake i simptome kao što su kašalj, dispneja i bol u grudima. Mogu postojati i drugi znaci i simptomi uključujući vazovagalne reakcije kao što su slabost, hiperhidroza, vrtoglavica, parestezija ili sinkopa. Ove reakcije se mogu javiti za vr</w:t>
      </w:r>
      <w:r w:rsidR="000313F0" w:rsidRPr="00175472">
        <w:rPr>
          <w:szCs w:val="22"/>
          <w:lang w:val="pl-PL"/>
        </w:rPr>
        <w:t>ij</w:t>
      </w:r>
      <w:r w:rsidRPr="00175472">
        <w:rPr>
          <w:szCs w:val="22"/>
          <w:lang w:val="pl-PL"/>
        </w:rPr>
        <w:t>eme ili odmah nakon prim</w:t>
      </w:r>
      <w:r w:rsidR="000313F0" w:rsidRPr="00175472">
        <w:rPr>
          <w:szCs w:val="22"/>
          <w:lang w:val="pl-PL"/>
        </w:rPr>
        <w:t>j</w:t>
      </w:r>
      <w:r w:rsidRPr="00175472">
        <w:rPr>
          <w:szCs w:val="22"/>
          <w:lang w:val="pl-PL"/>
        </w:rPr>
        <w:t>ene injekcije i reverzibilne su. L</w:t>
      </w:r>
      <w:r w:rsidR="000313F0" w:rsidRPr="00175472">
        <w:rPr>
          <w:szCs w:val="22"/>
          <w:lang w:val="pl-PL"/>
        </w:rPr>
        <w:t>ij</w:t>
      </w:r>
      <w:r w:rsidRPr="00175472">
        <w:rPr>
          <w:szCs w:val="22"/>
          <w:lang w:val="pl-PL"/>
        </w:rPr>
        <w:t>ečenje je suportivno, tj. prim</w:t>
      </w:r>
      <w:r w:rsidR="000313F0" w:rsidRPr="00175472">
        <w:rPr>
          <w:szCs w:val="22"/>
          <w:lang w:val="pl-PL"/>
        </w:rPr>
        <w:t>j</w:t>
      </w:r>
      <w:r w:rsidRPr="00175472">
        <w:rPr>
          <w:szCs w:val="22"/>
          <w:lang w:val="pl-PL"/>
        </w:rPr>
        <w:t>enjuje se kiseonik.</w:t>
      </w:r>
    </w:p>
    <w:p w14:paraId="7C4163D2" w14:textId="7D368542" w:rsidR="00032C33" w:rsidRPr="00175472" w:rsidRDefault="00032C33">
      <w:pPr>
        <w:spacing w:before="120"/>
        <w:rPr>
          <w:b/>
          <w:bCs/>
          <w:szCs w:val="22"/>
          <w:lang w:val="sr-Latn-CS"/>
        </w:rPr>
      </w:pPr>
      <w:r w:rsidRPr="00175472">
        <w:rPr>
          <w:szCs w:val="22"/>
          <w:lang w:val="pl-PL"/>
        </w:rPr>
        <w:t>Ukoliko se u individualnim slučajevima, javi učestala ili perzistentna erekcija, treba smanjiti dozu ili prekinuti sa l</w:t>
      </w:r>
      <w:r w:rsidR="000313F0" w:rsidRPr="00175472">
        <w:rPr>
          <w:szCs w:val="22"/>
          <w:lang w:val="pl-PL"/>
        </w:rPr>
        <w:t>ij</w:t>
      </w:r>
      <w:r w:rsidRPr="00175472">
        <w:rPr>
          <w:szCs w:val="22"/>
          <w:lang w:val="pl-PL"/>
        </w:rPr>
        <w:t>ečenjem da bi se izb</w:t>
      </w:r>
      <w:r w:rsidR="000313F0" w:rsidRPr="00175472">
        <w:rPr>
          <w:szCs w:val="22"/>
          <w:lang w:val="pl-PL"/>
        </w:rPr>
        <w:t>j</w:t>
      </w:r>
      <w:r w:rsidRPr="00175472">
        <w:rPr>
          <w:szCs w:val="22"/>
          <w:lang w:val="pl-PL"/>
        </w:rPr>
        <w:t>egla povreda penisa.</w:t>
      </w:r>
    </w:p>
    <w:p w14:paraId="7C4163D3" w14:textId="2FA3316F" w:rsidR="00032C33" w:rsidRPr="00175472" w:rsidRDefault="00032C33">
      <w:pPr>
        <w:spacing w:before="240" w:after="240"/>
        <w:rPr>
          <w:b/>
          <w:bCs/>
          <w:szCs w:val="22"/>
          <w:lang w:val="pl-PL"/>
        </w:rPr>
      </w:pPr>
      <w:r w:rsidRPr="00175472">
        <w:rPr>
          <w:b/>
          <w:bCs/>
          <w:szCs w:val="22"/>
          <w:lang w:val="pl-PL"/>
        </w:rPr>
        <w:t>4.5. Interakcije sa drugim l</w:t>
      </w:r>
      <w:r w:rsidR="000313F0" w:rsidRPr="00175472">
        <w:rPr>
          <w:b/>
          <w:bCs/>
          <w:szCs w:val="22"/>
          <w:lang w:val="pl-PL"/>
        </w:rPr>
        <w:t>j</w:t>
      </w:r>
      <w:r w:rsidRPr="00175472">
        <w:rPr>
          <w:b/>
          <w:bCs/>
          <w:szCs w:val="22"/>
          <w:lang w:val="pl-PL"/>
        </w:rPr>
        <w:t>ekovima i druge vrste interakcija</w:t>
      </w:r>
    </w:p>
    <w:p w14:paraId="7C4163D4" w14:textId="77777777" w:rsidR="00032C33" w:rsidRPr="00175472" w:rsidRDefault="00032C33">
      <w:pPr>
        <w:pStyle w:val="NoSpacing"/>
        <w:jc w:val="both"/>
        <w:rPr>
          <w:rFonts w:ascii="Times New Roman" w:hAnsi="Times New Roman"/>
          <w:i/>
          <w:noProof/>
          <w:lang w:val="bs-Latn-BA"/>
        </w:rPr>
      </w:pPr>
      <w:r w:rsidRPr="00175472">
        <w:rPr>
          <w:rFonts w:ascii="Times New Roman" w:hAnsi="Times New Roman"/>
          <w:i/>
          <w:noProof/>
          <w:lang w:val="bs-Latn-BA"/>
        </w:rPr>
        <w:t>Barbiturati i drugi induktori enzima</w:t>
      </w:r>
    </w:p>
    <w:p w14:paraId="7C4163D5" w14:textId="44D07554" w:rsidR="00032C33" w:rsidRPr="00175472" w:rsidRDefault="00032C33">
      <w:pPr>
        <w:pStyle w:val="NoSpacing"/>
        <w:jc w:val="both"/>
        <w:rPr>
          <w:rFonts w:ascii="Times New Roman" w:hAnsi="Times New Roman"/>
          <w:i/>
          <w:noProof/>
          <w:lang w:val="bs-Latn-BA"/>
        </w:rPr>
      </w:pPr>
      <w:r w:rsidRPr="00175472">
        <w:rPr>
          <w:rFonts w:ascii="Times New Roman" w:hAnsi="Times New Roman"/>
          <w:noProof/>
          <w:lang w:val="bs-Latn-BA"/>
        </w:rPr>
        <w:t>Interakcije su moguće sa l</w:t>
      </w:r>
      <w:r w:rsidR="000313F0" w:rsidRPr="00175472">
        <w:rPr>
          <w:rFonts w:ascii="Times New Roman" w:hAnsi="Times New Roman"/>
          <w:noProof/>
          <w:lang w:val="bs-Latn-BA"/>
        </w:rPr>
        <w:t>j</w:t>
      </w:r>
      <w:r w:rsidRPr="00175472">
        <w:rPr>
          <w:rFonts w:ascii="Times New Roman" w:hAnsi="Times New Roman"/>
          <w:noProof/>
          <w:lang w:val="bs-Latn-BA"/>
        </w:rPr>
        <w:t>ekovima koji indukuju mikrozomalne enzime, što za posl</w:t>
      </w:r>
      <w:r w:rsidR="000313F0" w:rsidRPr="00175472">
        <w:rPr>
          <w:rFonts w:ascii="Times New Roman" w:hAnsi="Times New Roman"/>
          <w:noProof/>
          <w:lang w:val="bs-Latn-BA"/>
        </w:rPr>
        <w:t>j</w:t>
      </w:r>
      <w:r w:rsidRPr="00175472">
        <w:rPr>
          <w:rFonts w:ascii="Times New Roman" w:hAnsi="Times New Roman"/>
          <w:noProof/>
          <w:lang w:val="bs-Latn-BA"/>
        </w:rPr>
        <w:t>edicu može imati povećanje klirensa testosterona.</w:t>
      </w:r>
    </w:p>
    <w:p w14:paraId="7C4163D6" w14:textId="77777777" w:rsidR="00032C33" w:rsidRPr="00175472" w:rsidRDefault="00032C33">
      <w:pPr>
        <w:pStyle w:val="NoSpacing"/>
        <w:spacing w:before="120"/>
        <w:jc w:val="both"/>
        <w:rPr>
          <w:rFonts w:ascii="Times New Roman" w:hAnsi="Times New Roman"/>
          <w:i/>
          <w:noProof/>
          <w:lang w:val="bs-Latn-BA"/>
        </w:rPr>
      </w:pPr>
      <w:r w:rsidRPr="00175472">
        <w:rPr>
          <w:rFonts w:ascii="Times New Roman" w:hAnsi="Times New Roman"/>
          <w:i/>
          <w:noProof/>
          <w:lang w:val="bs-Latn-BA"/>
        </w:rPr>
        <w:t>Oksifenbutazon</w:t>
      </w:r>
    </w:p>
    <w:p w14:paraId="7C4163D7" w14:textId="77777777" w:rsidR="00032C33" w:rsidRPr="00175472" w:rsidRDefault="00032C33">
      <w:pPr>
        <w:pStyle w:val="NoSpacing"/>
        <w:jc w:val="both"/>
        <w:rPr>
          <w:rFonts w:ascii="Times New Roman" w:hAnsi="Times New Roman"/>
          <w:i/>
          <w:color w:val="000000"/>
          <w:lang w:val="bs-Latn-BA"/>
        </w:rPr>
      </w:pPr>
      <w:r w:rsidRPr="00175472">
        <w:rPr>
          <w:rFonts w:ascii="Times New Roman" w:hAnsi="Times New Roman"/>
          <w:noProof/>
          <w:lang w:val="bs-Latn-BA"/>
        </w:rPr>
        <w:t>Prijavljeno je povećanje nivoa oksifenbutazona u serumu.</w:t>
      </w:r>
      <w:r w:rsidRPr="00175472">
        <w:rPr>
          <w:rFonts w:ascii="Times New Roman" w:hAnsi="Times New Roman"/>
          <w:i/>
          <w:color w:val="000000"/>
          <w:lang w:val="bs-Latn-BA"/>
        </w:rPr>
        <w:t xml:space="preserve"> </w:t>
      </w:r>
    </w:p>
    <w:p w14:paraId="7C4163D8" w14:textId="77777777" w:rsidR="00032C33" w:rsidRPr="00175472" w:rsidRDefault="00032C33">
      <w:pPr>
        <w:tabs>
          <w:tab w:val="clear" w:pos="284"/>
        </w:tabs>
        <w:spacing w:before="120"/>
        <w:rPr>
          <w:i/>
          <w:color w:val="000000"/>
          <w:szCs w:val="22"/>
          <w:lang w:val="pt-BR"/>
        </w:rPr>
      </w:pPr>
      <w:r w:rsidRPr="00175472">
        <w:rPr>
          <w:i/>
          <w:color w:val="000000"/>
          <w:szCs w:val="22"/>
          <w:lang w:val="pt-BR"/>
        </w:rPr>
        <w:t>Oralni antikoagulansi</w:t>
      </w:r>
    </w:p>
    <w:p w14:paraId="7C4163D9" w14:textId="0C31F541" w:rsidR="00032C33" w:rsidRPr="00175472" w:rsidRDefault="00032C33">
      <w:pPr>
        <w:tabs>
          <w:tab w:val="clear" w:pos="284"/>
        </w:tabs>
        <w:rPr>
          <w:color w:val="000000"/>
          <w:szCs w:val="22"/>
          <w:lang w:val="pt-BR"/>
        </w:rPr>
      </w:pPr>
      <w:r w:rsidRPr="00175472">
        <w:rPr>
          <w:color w:val="000000"/>
          <w:szCs w:val="22"/>
          <w:lang w:val="pt-BR"/>
        </w:rPr>
        <w:t>Treba pažljivo pratiti parametre koagulacije kada se testosteron prim</w:t>
      </w:r>
      <w:r w:rsidR="000313F0" w:rsidRPr="00175472">
        <w:rPr>
          <w:color w:val="000000"/>
          <w:szCs w:val="22"/>
          <w:lang w:val="pt-BR"/>
        </w:rPr>
        <w:t>j</w:t>
      </w:r>
      <w:r w:rsidRPr="00175472">
        <w:rPr>
          <w:color w:val="000000"/>
          <w:szCs w:val="22"/>
          <w:lang w:val="pt-BR"/>
        </w:rPr>
        <w:t>enjuje istovremeno sa derivatima kumarina.</w:t>
      </w:r>
    </w:p>
    <w:p w14:paraId="7C4163DA" w14:textId="77777777" w:rsidR="00032C33" w:rsidRPr="00175472" w:rsidRDefault="00032C33">
      <w:pPr>
        <w:spacing w:before="120"/>
        <w:rPr>
          <w:i/>
          <w:color w:val="000000"/>
          <w:szCs w:val="22"/>
          <w:lang w:val="pt-BR"/>
        </w:rPr>
      </w:pPr>
      <w:r w:rsidRPr="00175472">
        <w:rPr>
          <w:i/>
          <w:color w:val="000000"/>
          <w:szCs w:val="22"/>
          <w:lang w:val="pt-BR"/>
        </w:rPr>
        <w:t>Hipoglikemici</w:t>
      </w:r>
    </w:p>
    <w:p w14:paraId="7C4163DB" w14:textId="086DBEA4" w:rsidR="00032C33" w:rsidRPr="00175472" w:rsidRDefault="00032C33">
      <w:pPr>
        <w:rPr>
          <w:szCs w:val="22"/>
          <w:lang w:val="pt-BR"/>
        </w:rPr>
      </w:pPr>
      <w:r w:rsidRPr="00175472">
        <w:rPr>
          <w:color w:val="000000"/>
          <w:szCs w:val="22"/>
          <w:lang w:val="pt-BR"/>
        </w:rPr>
        <w:t>Hipoglikemijsko dejstvo antidijabetika može biti pojačano, što može zaht</w:t>
      </w:r>
      <w:r w:rsidR="000313F0" w:rsidRPr="00175472">
        <w:rPr>
          <w:color w:val="000000"/>
          <w:szCs w:val="22"/>
          <w:lang w:val="pt-BR"/>
        </w:rPr>
        <w:t>ij</w:t>
      </w:r>
      <w:r w:rsidRPr="00175472">
        <w:rPr>
          <w:color w:val="000000"/>
          <w:szCs w:val="22"/>
          <w:lang w:val="pt-BR"/>
        </w:rPr>
        <w:t>evati smanjenje doze hipoglikemika.</w:t>
      </w:r>
    </w:p>
    <w:p w14:paraId="7C4163DC" w14:textId="77777777" w:rsidR="00032C33" w:rsidRPr="00175472" w:rsidRDefault="00032C33">
      <w:pPr>
        <w:spacing w:before="240" w:after="240"/>
        <w:rPr>
          <w:b/>
          <w:bCs/>
          <w:szCs w:val="22"/>
          <w:lang w:val="pl-PL"/>
        </w:rPr>
      </w:pPr>
      <w:r w:rsidRPr="00175472">
        <w:rPr>
          <w:b/>
          <w:bCs/>
          <w:szCs w:val="22"/>
          <w:lang w:val="pl-PL"/>
        </w:rPr>
        <w:t>4.6. Plodnost, trudnoća i dojenje</w:t>
      </w:r>
    </w:p>
    <w:p w14:paraId="7C4163DD" w14:textId="77777777" w:rsidR="00032C33" w:rsidRPr="00175472" w:rsidRDefault="00032C33">
      <w:pPr>
        <w:rPr>
          <w:i/>
          <w:szCs w:val="22"/>
          <w:lang w:val="pl-PL"/>
        </w:rPr>
      </w:pPr>
      <w:r w:rsidRPr="00175472">
        <w:rPr>
          <w:i/>
          <w:szCs w:val="22"/>
          <w:lang w:val="pl-PL"/>
        </w:rPr>
        <w:t>Trudnoća</w:t>
      </w:r>
    </w:p>
    <w:p w14:paraId="7C4163DE" w14:textId="4A7A7A75" w:rsidR="00032C33" w:rsidRPr="00175472" w:rsidRDefault="00032C33">
      <w:pPr>
        <w:rPr>
          <w:szCs w:val="22"/>
          <w:lang w:val="pl-PL"/>
        </w:rPr>
      </w:pPr>
      <w:r w:rsidRPr="00175472">
        <w:rPr>
          <w:szCs w:val="22"/>
          <w:lang w:val="pl-PL"/>
        </w:rPr>
        <w:t>L</w:t>
      </w:r>
      <w:r w:rsidR="000313F0" w:rsidRPr="00175472">
        <w:rPr>
          <w:szCs w:val="22"/>
          <w:lang w:val="pl-PL"/>
        </w:rPr>
        <w:t>ij</w:t>
      </w:r>
      <w:r w:rsidRPr="00175472">
        <w:rPr>
          <w:szCs w:val="22"/>
          <w:lang w:val="pl-PL"/>
        </w:rPr>
        <w:t>ek Testosteron Depo je nam</w:t>
      </w:r>
      <w:r w:rsidR="000313F0" w:rsidRPr="00175472">
        <w:rPr>
          <w:szCs w:val="22"/>
          <w:lang w:val="pl-PL"/>
        </w:rPr>
        <w:t>ij</w:t>
      </w:r>
      <w:r w:rsidRPr="00175472">
        <w:rPr>
          <w:szCs w:val="22"/>
          <w:lang w:val="pl-PL"/>
        </w:rPr>
        <w:t>enjen za prim</w:t>
      </w:r>
      <w:r w:rsidR="000313F0" w:rsidRPr="00175472">
        <w:rPr>
          <w:szCs w:val="22"/>
          <w:lang w:val="pl-PL"/>
        </w:rPr>
        <w:t>j</w:t>
      </w:r>
      <w:r w:rsidRPr="00175472">
        <w:rPr>
          <w:szCs w:val="22"/>
          <w:lang w:val="pl-PL"/>
        </w:rPr>
        <w:t>enu samo kod muškaraca i nije indikovan kod trudnica (vid</w:t>
      </w:r>
      <w:r w:rsidR="000313F0" w:rsidRPr="00175472">
        <w:rPr>
          <w:szCs w:val="22"/>
          <w:lang w:val="pl-PL"/>
        </w:rPr>
        <w:t>j</w:t>
      </w:r>
      <w:r w:rsidRPr="00175472">
        <w:rPr>
          <w:szCs w:val="22"/>
          <w:lang w:val="pl-PL"/>
        </w:rPr>
        <w:t xml:space="preserve">eti </w:t>
      </w:r>
      <w:r w:rsidR="000313F0" w:rsidRPr="00175472">
        <w:rPr>
          <w:szCs w:val="22"/>
          <w:lang w:val="pl-PL"/>
        </w:rPr>
        <w:t>dio</w:t>
      </w:r>
      <w:r w:rsidRPr="00175472">
        <w:rPr>
          <w:szCs w:val="22"/>
          <w:lang w:val="pl-PL"/>
        </w:rPr>
        <w:t xml:space="preserve"> 5.3).</w:t>
      </w:r>
    </w:p>
    <w:p w14:paraId="7C4163DF" w14:textId="77777777" w:rsidR="00032C33" w:rsidRPr="00175472" w:rsidRDefault="00032C33">
      <w:pPr>
        <w:spacing w:before="120"/>
        <w:rPr>
          <w:i/>
          <w:szCs w:val="22"/>
          <w:lang w:val="pl-PL"/>
        </w:rPr>
      </w:pPr>
      <w:r w:rsidRPr="00175472">
        <w:rPr>
          <w:i/>
          <w:szCs w:val="22"/>
          <w:lang w:val="pl-PL"/>
        </w:rPr>
        <w:t>Laktacija</w:t>
      </w:r>
    </w:p>
    <w:p w14:paraId="7C4163E0" w14:textId="27A180FE" w:rsidR="00032C33" w:rsidRPr="00175472" w:rsidRDefault="00032C33">
      <w:pPr>
        <w:rPr>
          <w:i/>
          <w:szCs w:val="22"/>
          <w:lang w:val="pl-PL"/>
        </w:rPr>
      </w:pPr>
      <w:r w:rsidRPr="00175472">
        <w:rPr>
          <w:szCs w:val="22"/>
          <w:lang w:val="pl-PL"/>
        </w:rPr>
        <w:lastRenderedPageBreak/>
        <w:t>L</w:t>
      </w:r>
      <w:r w:rsidR="000313F0" w:rsidRPr="00175472">
        <w:rPr>
          <w:szCs w:val="22"/>
          <w:lang w:val="pl-PL"/>
        </w:rPr>
        <w:t>ij</w:t>
      </w:r>
      <w:r w:rsidRPr="00175472">
        <w:rPr>
          <w:szCs w:val="22"/>
          <w:lang w:val="pl-PL"/>
        </w:rPr>
        <w:t>ek Testosteron Depo je nam</w:t>
      </w:r>
      <w:r w:rsidR="000313F0" w:rsidRPr="00175472">
        <w:rPr>
          <w:szCs w:val="22"/>
          <w:lang w:val="pl-PL"/>
        </w:rPr>
        <w:t>ij</w:t>
      </w:r>
      <w:r w:rsidRPr="00175472">
        <w:rPr>
          <w:szCs w:val="22"/>
          <w:lang w:val="pl-PL"/>
        </w:rPr>
        <w:t>enjen za prim</w:t>
      </w:r>
      <w:r w:rsidR="000E2085" w:rsidRPr="00175472">
        <w:rPr>
          <w:szCs w:val="22"/>
          <w:lang w:val="pl-PL"/>
        </w:rPr>
        <w:t>j</w:t>
      </w:r>
      <w:r w:rsidRPr="00175472">
        <w:rPr>
          <w:szCs w:val="22"/>
          <w:lang w:val="pl-PL"/>
        </w:rPr>
        <w:t>enu samo kod muškaraca i nije indikovan kod žena koje doje (vid</w:t>
      </w:r>
      <w:r w:rsidR="000E2085" w:rsidRPr="00175472">
        <w:rPr>
          <w:szCs w:val="22"/>
          <w:lang w:val="pl-PL"/>
        </w:rPr>
        <w:t>j</w:t>
      </w:r>
      <w:r w:rsidRPr="00175472">
        <w:rPr>
          <w:szCs w:val="22"/>
          <w:lang w:val="pl-PL"/>
        </w:rPr>
        <w:t xml:space="preserve">eti </w:t>
      </w:r>
      <w:r w:rsidR="000E2085" w:rsidRPr="00175472">
        <w:rPr>
          <w:szCs w:val="22"/>
          <w:lang w:val="pl-PL"/>
        </w:rPr>
        <w:t>dio</w:t>
      </w:r>
      <w:r w:rsidRPr="00175472">
        <w:rPr>
          <w:szCs w:val="22"/>
          <w:lang w:val="pl-PL"/>
        </w:rPr>
        <w:t xml:space="preserve"> 5.3).</w:t>
      </w:r>
    </w:p>
    <w:p w14:paraId="7C4163E1" w14:textId="77777777" w:rsidR="00032C33" w:rsidRPr="00175472" w:rsidRDefault="00032C33">
      <w:pPr>
        <w:spacing w:before="120"/>
        <w:rPr>
          <w:i/>
          <w:szCs w:val="22"/>
          <w:lang w:val="pl-PL"/>
        </w:rPr>
      </w:pPr>
      <w:r w:rsidRPr="00175472">
        <w:rPr>
          <w:i/>
          <w:szCs w:val="22"/>
          <w:lang w:val="pl-PL"/>
        </w:rPr>
        <w:t>Plodnost</w:t>
      </w:r>
    </w:p>
    <w:p w14:paraId="7C4163E2" w14:textId="16792644" w:rsidR="00032C33" w:rsidRPr="00175472" w:rsidRDefault="00032C33">
      <w:pPr>
        <w:rPr>
          <w:szCs w:val="22"/>
          <w:lang w:val="pl-PL"/>
        </w:rPr>
      </w:pPr>
      <w:r w:rsidRPr="00175472">
        <w:rPr>
          <w:szCs w:val="22"/>
          <w:lang w:val="pl-PL"/>
        </w:rPr>
        <w:t>Supstituciona terapija testosteronom može reverzibilno da smanji spermatogenezu (vid</w:t>
      </w:r>
      <w:r w:rsidR="000E2085" w:rsidRPr="00175472">
        <w:rPr>
          <w:szCs w:val="22"/>
          <w:lang w:val="pl-PL"/>
        </w:rPr>
        <w:t>j</w:t>
      </w:r>
      <w:r w:rsidRPr="00175472">
        <w:rPr>
          <w:szCs w:val="22"/>
          <w:lang w:val="pl-PL"/>
        </w:rPr>
        <w:t xml:space="preserve">eti </w:t>
      </w:r>
      <w:r w:rsidR="000E2085" w:rsidRPr="00175472">
        <w:rPr>
          <w:szCs w:val="22"/>
          <w:lang w:val="pl-PL"/>
        </w:rPr>
        <w:t>djelove</w:t>
      </w:r>
      <w:r w:rsidRPr="00175472">
        <w:rPr>
          <w:szCs w:val="22"/>
          <w:lang w:val="pl-PL"/>
        </w:rPr>
        <w:t xml:space="preserve"> 4.8 i 5.3</w:t>
      </w:r>
      <w:r w:rsidRPr="00175472">
        <w:rPr>
          <w:bCs/>
          <w:szCs w:val="22"/>
          <w:lang w:val="pl-PL"/>
        </w:rPr>
        <w:t>).</w:t>
      </w:r>
    </w:p>
    <w:p w14:paraId="7C4163E3" w14:textId="4A99E72A" w:rsidR="00032C33" w:rsidRPr="00175472" w:rsidRDefault="00032C33">
      <w:pPr>
        <w:spacing w:before="240" w:after="240"/>
        <w:rPr>
          <w:szCs w:val="22"/>
          <w:lang w:val="pl-PL"/>
        </w:rPr>
      </w:pPr>
      <w:r w:rsidRPr="00175472">
        <w:rPr>
          <w:b/>
          <w:bCs/>
          <w:spacing w:val="-8"/>
          <w:szCs w:val="22"/>
          <w:lang w:val="pl-PL"/>
        </w:rPr>
        <w:t xml:space="preserve">4.7. </w:t>
      </w:r>
      <w:r w:rsidRPr="00175472">
        <w:rPr>
          <w:b/>
          <w:bCs/>
          <w:spacing w:val="-8"/>
          <w:szCs w:val="22"/>
          <w:lang w:val="sr-Latn-CS"/>
        </w:rPr>
        <w:t>Uticaj l</w:t>
      </w:r>
      <w:r w:rsidR="000E2085" w:rsidRPr="00175472">
        <w:rPr>
          <w:b/>
          <w:bCs/>
          <w:spacing w:val="-8"/>
          <w:szCs w:val="22"/>
          <w:lang w:val="sr-Latn-CS"/>
        </w:rPr>
        <w:t>ij</w:t>
      </w:r>
      <w:r w:rsidRPr="00175472">
        <w:rPr>
          <w:b/>
          <w:bCs/>
          <w:spacing w:val="-8"/>
          <w:szCs w:val="22"/>
          <w:lang w:val="sr-Latn-CS"/>
        </w:rPr>
        <w:t>eka na sposobnost upravljanja vozilima i rukovanja mašinama</w:t>
      </w:r>
    </w:p>
    <w:p w14:paraId="7C4163E4" w14:textId="605FD8BC" w:rsidR="00032C33" w:rsidRPr="00175472" w:rsidRDefault="00032C33">
      <w:pPr>
        <w:rPr>
          <w:szCs w:val="22"/>
          <w:lang w:val="pl-PL"/>
        </w:rPr>
      </w:pPr>
      <w:r w:rsidRPr="00175472">
        <w:rPr>
          <w:szCs w:val="22"/>
          <w:lang w:val="pl-PL"/>
        </w:rPr>
        <w:t>Nije poznato da li l</w:t>
      </w:r>
      <w:r w:rsidR="000E2085" w:rsidRPr="00175472">
        <w:rPr>
          <w:szCs w:val="22"/>
          <w:lang w:val="pl-PL"/>
        </w:rPr>
        <w:t>ij</w:t>
      </w:r>
      <w:r w:rsidRPr="00175472">
        <w:rPr>
          <w:szCs w:val="22"/>
          <w:lang w:val="pl-PL"/>
        </w:rPr>
        <w:t xml:space="preserve">ek Testosteron Depo </w:t>
      </w:r>
      <w:r w:rsidR="00DF1796">
        <w:rPr>
          <w:szCs w:val="22"/>
          <w:lang w:val="pl-PL"/>
        </w:rPr>
        <w:t xml:space="preserve">nema, ili ima zanemarljiv uticaj </w:t>
      </w:r>
      <w:r w:rsidRPr="00175472">
        <w:rPr>
          <w:szCs w:val="22"/>
          <w:lang w:val="pl-PL"/>
        </w:rPr>
        <w:t>na sposobnost upravljanja motornim vozilima i rukovanje mašinama.</w:t>
      </w:r>
    </w:p>
    <w:p w14:paraId="7C4163E5" w14:textId="77777777" w:rsidR="00032C33" w:rsidRPr="00175472" w:rsidRDefault="00032C33">
      <w:pPr>
        <w:spacing w:before="240" w:after="240"/>
        <w:rPr>
          <w:b/>
          <w:bCs/>
          <w:szCs w:val="22"/>
          <w:lang w:val="sv-SE"/>
        </w:rPr>
      </w:pPr>
      <w:r w:rsidRPr="00175472">
        <w:rPr>
          <w:b/>
          <w:bCs/>
          <w:szCs w:val="22"/>
          <w:lang w:val="sv-SE"/>
        </w:rPr>
        <w:t>4.8. Neželjena dejstva</w:t>
      </w:r>
    </w:p>
    <w:p w14:paraId="7C4163E6" w14:textId="580A8A7F" w:rsidR="00032C33" w:rsidRPr="00175472" w:rsidRDefault="00032C33">
      <w:pPr>
        <w:autoSpaceDE w:val="0"/>
        <w:autoSpaceDN w:val="0"/>
        <w:adjustRightInd w:val="0"/>
        <w:spacing w:before="120"/>
        <w:rPr>
          <w:szCs w:val="22"/>
          <w:lang w:val="hr-HR"/>
        </w:rPr>
      </w:pPr>
      <w:r w:rsidRPr="00175472">
        <w:rPr>
          <w:szCs w:val="22"/>
          <w:lang w:val="sv-SE"/>
        </w:rPr>
        <w:t>Navedena</w:t>
      </w:r>
      <w:r w:rsidRPr="00175472">
        <w:rPr>
          <w:szCs w:val="22"/>
          <w:lang w:val="hr-HR"/>
        </w:rPr>
        <w:t xml:space="preserve"> </w:t>
      </w:r>
      <w:r w:rsidRPr="00175472">
        <w:rPr>
          <w:szCs w:val="22"/>
          <w:lang w:val="sv-SE"/>
        </w:rPr>
        <w:t>ne</w:t>
      </w:r>
      <w:r w:rsidRPr="00175472">
        <w:rPr>
          <w:szCs w:val="22"/>
          <w:lang w:val="hr-HR"/>
        </w:rPr>
        <w:t>ž</w:t>
      </w:r>
      <w:r w:rsidRPr="00175472">
        <w:rPr>
          <w:szCs w:val="22"/>
          <w:lang w:val="sv-SE"/>
        </w:rPr>
        <w:t>eljena</w:t>
      </w:r>
      <w:r w:rsidRPr="00175472">
        <w:rPr>
          <w:szCs w:val="22"/>
          <w:lang w:val="hr-HR"/>
        </w:rPr>
        <w:t xml:space="preserve"> </w:t>
      </w:r>
      <w:r w:rsidRPr="00175472">
        <w:rPr>
          <w:szCs w:val="22"/>
          <w:lang w:val="sv-SE"/>
        </w:rPr>
        <w:t>dejstva</w:t>
      </w:r>
      <w:r w:rsidRPr="00175472">
        <w:rPr>
          <w:szCs w:val="22"/>
          <w:lang w:val="hr-HR"/>
        </w:rPr>
        <w:t xml:space="preserve"> </w:t>
      </w:r>
      <w:r w:rsidRPr="00175472">
        <w:rPr>
          <w:szCs w:val="22"/>
          <w:lang w:val="sv-SE"/>
        </w:rPr>
        <w:t>su</w:t>
      </w:r>
      <w:r w:rsidRPr="00175472">
        <w:rPr>
          <w:szCs w:val="22"/>
          <w:lang w:val="hr-HR"/>
        </w:rPr>
        <w:t xml:space="preserve"> </w:t>
      </w:r>
      <w:r w:rsidRPr="00175472">
        <w:rPr>
          <w:szCs w:val="22"/>
          <w:lang w:val="sv-SE"/>
        </w:rPr>
        <w:t>klasifikovana</w:t>
      </w:r>
      <w:r w:rsidRPr="00175472">
        <w:rPr>
          <w:szCs w:val="22"/>
          <w:lang w:val="hr-HR"/>
        </w:rPr>
        <w:t xml:space="preserve"> </w:t>
      </w:r>
      <w:r w:rsidRPr="00175472">
        <w:rPr>
          <w:szCs w:val="22"/>
          <w:lang w:val="sv-SE"/>
        </w:rPr>
        <w:t>prema</w:t>
      </w:r>
      <w:r w:rsidRPr="00175472">
        <w:rPr>
          <w:szCs w:val="22"/>
          <w:lang w:val="hr-HR"/>
        </w:rPr>
        <w:t xml:space="preserve"> MedDRA klasama </w:t>
      </w:r>
      <w:r w:rsidRPr="00175472">
        <w:rPr>
          <w:szCs w:val="22"/>
          <w:lang w:val="sv-SE"/>
        </w:rPr>
        <w:t>sistem</w:t>
      </w:r>
      <w:r w:rsidR="00DF1796">
        <w:rPr>
          <w:szCs w:val="22"/>
          <w:lang w:val="sv-SE"/>
        </w:rPr>
        <w:t>a</w:t>
      </w:r>
      <w:r w:rsidRPr="00175472">
        <w:rPr>
          <w:szCs w:val="22"/>
          <w:lang w:val="hr-HR"/>
        </w:rPr>
        <w:t xml:space="preserve"> </w:t>
      </w:r>
      <w:r w:rsidRPr="00175472">
        <w:rPr>
          <w:szCs w:val="22"/>
          <w:lang w:val="sv-SE"/>
        </w:rPr>
        <w:t>organa</w:t>
      </w:r>
      <w:r w:rsidRPr="00175472">
        <w:rPr>
          <w:szCs w:val="22"/>
          <w:lang w:val="bs-Latn-BA"/>
        </w:rPr>
        <w:t>. Proc</w:t>
      </w:r>
      <w:r w:rsidR="000E2085" w:rsidRPr="00175472">
        <w:rPr>
          <w:szCs w:val="22"/>
          <w:lang w:val="bs-Latn-BA"/>
        </w:rPr>
        <w:t>j</w:t>
      </w:r>
      <w:r w:rsidRPr="00175472">
        <w:rPr>
          <w:szCs w:val="22"/>
          <w:lang w:val="bs-Latn-BA"/>
        </w:rPr>
        <w:t>ena neželjenih efekata se zasniva na sl</w:t>
      </w:r>
      <w:r w:rsidR="000E2085" w:rsidRPr="00175472">
        <w:rPr>
          <w:szCs w:val="22"/>
          <w:lang w:val="bs-Latn-BA"/>
        </w:rPr>
        <w:t>j</w:t>
      </w:r>
      <w:r w:rsidRPr="00175472">
        <w:rPr>
          <w:szCs w:val="22"/>
          <w:lang w:val="bs-Latn-BA"/>
        </w:rPr>
        <w:t>edećim grupama</w:t>
      </w:r>
      <w:r w:rsidRPr="00175472">
        <w:rPr>
          <w:szCs w:val="22"/>
          <w:lang w:val="hr-HR"/>
        </w:rPr>
        <w:t xml:space="preserve"> </w:t>
      </w:r>
      <w:r w:rsidRPr="00175472">
        <w:rPr>
          <w:szCs w:val="22"/>
        </w:rPr>
        <w:t>u</w:t>
      </w:r>
      <w:r w:rsidRPr="00175472">
        <w:rPr>
          <w:rFonts w:eastAsia="TimesNewRoman"/>
          <w:szCs w:val="22"/>
          <w:lang w:val="hr-HR"/>
        </w:rPr>
        <w:t>č</w:t>
      </w:r>
      <w:r w:rsidRPr="00175472">
        <w:rPr>
          <w:szCs w:val="22"/>
        </w:rPr>
        <w:t>estalosti</w:t>
      </w:r>
      <w:r w:rsidRPr="00175472">
        <w:rPr>
          <w:szCs w:val="22"/>
          <w:lang w:val="hr-HR"/>
        </w:rPr>
        <w:t xml:space="preserve">: </w:t>
      </w:r>
      <w:r w:rsidRPr="00175472">
        <w:rPr>
          <w:szCs w:val="22"/>
        </w:rPr>
        <w:t>veoma</w:t>
      </w:r>
      <w:r w:rsidRPr="00175472">
        <w:rPr>
          <w:szCs w:val="22"/>
          <w:lang w:val="hr-HR"/>
        </w:rPr>
        <w:t xml:space="preserve"> č</w:t>
      </w:r>
      <w:r w:rsidRPr="00175472">
        <w:rPr>
          <w:szCs w:val="22"/>
        </w:rPr>
        <w:t>esto</w:t>
      </w:r>
      <w:r w:rsidRPr="00175472">
        <w:rPr>
          <w:szCs w:val="22"/>
          <w:lang w:val="hr-HR"/>
        </w:rPr>
        <w:t xml:space="preserve"> (</w:t>
      </w:r>
      <w:r w:rsidRPr="00175472">
        <w:rPr>
          <w:szCs w:val="22"/>
          <w:lang w:val="hr-HR"/>
        </w:rPr>
        <w:sym w:font="Symbol" w:char="F0B3"/>
      </w:r>
      <w:r w:rsidRPr="00175472">
        <w:rPr>
          <w:szCs w:val="22"/>
          <w:lang w:val="hr-HR"/>
        </w:rPr>
        <w:t xml:space="preserve"> 1/10); č</w:t>
      </w:r>
      <w:r w:rsidRPr="00175472">
        <w:rPr>
          <w:szCs w:val="22"/>
        </w:rPr>
        <w:t>esto</w:t>
      </w:r>
      <w:r w:rsidRPr="00175472">
        <w:rPr>
          <w:szCs w:val="22"/>
          <w:lang w:val="hr-HR"/>
        </w:rPr>
        <w:t xml:space="preserve"> (</w:t>
      </w:r>
      <w:r w:rsidRPr="00175472">
        <w:rPr>
          <w:szCs w:val="22"/>
          <w:lang w:val="hr-HR"/>
        </w:rPr>
        <w:sym w:font="Symbol" w:char="F0B3"/>
      </w:r>
      <w:r w:rsidRPr="00175472">
        <w:rPr>
          <w:szCs w:val="22"/>
          <w:lang w:val="hr-HR"/>
        </w:rPr>
        <w:t xml:space="preserve"> 1/100 </w:t>
      </w:r>
      <w:r w:rsidRPr="00175472">
        <w:rPr>
          <w:szCs w:val="22"/>
        </w:rPr>
        <w:t>do</w:t>
      </w:r>
      <w:r w:rsidRPr="00175472">
        <w:rPr>
          <w:szCs w:val="22"/>
          <w:lang w:val="hr-HR"/>
        </w:rPr>
        <w:t xml:space="preserve"> &lt; 1/10); </w:t>
      </w:r>
      <w:r w:rsidRPr="00175472">
        <w:rPr>
          <w:szCs w:val="22"/>
        </w:rPr>
        <w:t>povremeno</w:t>
      </w:r>
      <w:r w:rsidRPr="00175472">
        <w:rPr>
          <w:szCs w:val="22"/>
          <w:lang w:val="hr-HR"/>
        </w:rPr>
        <w:t xml:space="preserve"> (</w:t>
      </w:r>
      <w:r w:rsidRPr="00175472">
        <w:rPr>
          <w:szCs w:val="22"/>
          <w:lang w:val="hr-HR"/>
        </w:rPr>
        <w:sym w:font="Symbol" w:char="F0B3"/>
      </w:r>
      <w:r w:rsidRPr="00175472">
        <w:rPr>
          <w:szCs w:val="22"/>
          <w:lang w:val="hr-HR"/>
        </w:rPr>
        <w:t xml:space="preserve"> 1/1000 </w:t>
      </w:r>
      <w:r w:rsidRPr="00175472">
        <w:rPr>
          <w:szCs w:val="22"/>
        </w:rPr>
        <w:t>do</w:t>
      </w:r>
      <w:r w:rsidRPr="00175472">
        <w:rPr>
          <w:szCs w:val="22"/>
          <w:lang w:val="hr-HR"/>
        </w:rPr>
        <w:t xml:space="preserve"> &lt; 1/100); </w:t>
      </w:r>
      <w:r w:rsidRPr="00175472">
        <w:rPr>
          <w:szCs w:val="22"/>
        </w:rPr>
        <w:t>r</w:t>
      </w:r>
      <w:r w:rsidR="000E2085" w:rsidRPr="00175472">
        <w:rPr>
          <w:szCs w:val="22"/>
        </w:rPr>
        <w:t>ij</w:t>
      </w:r>
      <w:r w:rsidRPr="00175472">
        <w:rPr>
          <w:szCs w:val="22"/>
        </w:rPr>
        <w:t>etko</w:t>
      </w:r>
      <w:r w:rsidRPr="00175472">
        <w:rPr>
          <w:szCs w:val="22"/>
          <w:lang w:val="hr-HR"/>
        </w:rPr>
        <w:t xml:space="preserve"> (</w:t>
      </w:r>
      <w:r w:rsidRPr="00175472">
        <w:rPr>
          <w:szCs w:val="22"/>
          <w:lang w:val="hr-HR"/>
        </w:rPr>
        <w:sym w:font="Symbol" w:char="F0B3"/>
      </w:r>
      <w:r w:rsidRPr="00175472">
        <w:rPr>
          <w:szCs w:val="22"/>
          <w:lang w:val="hr-HR"/>
        </w:rPr>
        <w:t xml:space="preserve"> 1/10 000 </w:t>
      </w:r>
      <w:r w:rsidRPr="00175472">
        <w:rPr>
          <w:szCs w:val="22"/>
        </w:rPr>
        <w:t>do</w:t>
      </w:r>
      <w:r w:rsidRPr="00175472">
        <w:rPr>
          <w:szCs w:val="22"/>
          <w:lang w:val="hr-HR"/>
        </w:rPr>
        <w:t xml:space="preserve"> &lt; 1/1 000); </w:t>
      </w:r>
      <w:r w:rsidRPr="00175472">
        <w:rPr>
          <w:szCs w:val="22"/>
        </w:rPr>
        <w:t>veoma</w:t>
      </w:r>
      <w:r w:rsidRPr="00175472">
        <w:rPr>
          <w:szCs w:val="22"/>
          <w:lang w:val="hr-HR"/>
        </w:rPr>
        <w:t xml:space="preserve"> </w:t>
      </w:r>
      <w:r w:rsidRPr="00175472">
        <w:rPr>
          <w:szCs w:val="22"/>
        </w:rPr>
        <w:t>r</w:t>
      </w:r>
      <w:r w:rsidR="000E2085" w:rsidRPr="00175472">
        <w:rPr>
          <w:szCs w:val="22"/>
        </w:rPr>
        <w:t>ij</w:t>
      </w:r>
      <w:r w:rsidRPr="00175472">
        <w:rPr>
          <w:szCs w:val="22"/>
        </w:rPr>
        <w:t>etko</w:t>
      </w:r>
      <w:r w:rsidRPr="00175472">
        <w:rPr>
          <w:szCs w:val="22"/>
          <w:lang w:val="hr-HR"/>
        </w:rPr>
        <w:t xml:space="preserve"> (&lt; 1/10 000); </w:t>
      </w:r>
      <w:r w:rsidRPr="00175472">
        <w:rPr>
          <w:szCs w:val="22"/>
        </w:rPr>
        <w:t>nepoznato</w:t>
      </w:r>
      <w:r w:rsidRPr="00175472">
        <w:rPr>
          <w:szCs w:val="22"/>
          <w:lang w:val="bs-Latn-BA"/>
        </w:rPr>
        <w:t xml:space="preserve"> </w:t>
      </w:r>
      <w:r w:rsidRPr="00175472">
        <w:rPr>
          <w:szCs w:val="22"/>
          <w:lang w:val="hr-HR"/>
        </w:rPr>
        <w:t>(</w:t>
      </w:r>
      <w:r w:rsidRPr="00175472">
        <w:rPr>
          <w:szCs w:val="22"/>
        </w:rPr>
        <w:t>ne</w:t>
      </w:r>
      <w:r w:rsidRPr="00175472">
        <w:rPr>
          <w:szCs w:val="22"/>
          <w:lang w:val="hr-HR"/>
        </w:rPr>
        <w:t xml:space="preserve"> </w:t>
      </w:r>
      <w:r w:rsidRPr="00175472">
        <w:rPr>
          <w:szCs w:val="22"/>
        </w:rPr>
        <w:t>mo</w:t>
      </w:r>
      <w:r w:rsidRPr="00175472">
        <w:rPr>
          <w:szCs w:val="22"/>
          <w:lang w:val="hr-HR"/>
        </w:rPr>
        <w:t>ž</w:t>
      </w:r>
      <w:r w:rsidRPr="00175472">
        <w:rPr>
          <w:szCs w:val="22"/>
        </w:rPr>
        <w:t>e</w:t>
      </w:r>
      <w:r w:rsidRPr="00175472">
        <w:rPr>
          <w:szCs w:val="22"/>
          <w:lang w:val="hr-HR"/>
        </w:rPr>
        <w:t xml:space="preserve"> </w:t>
      </w:r>
      <w:r w:rsidRPr="00175472">
        <w:rPr>
          <w:szCs w:val="22"/>
        </w:rPr>
        <w:t>se</w:t>
      </w:r>
      <w:r w:rsidRPr="00175472">
        <w:rPr>
          <w:szCs w:val="22"/>
          <w:lang w:val="hr-HR"/>
        </w:rPr>
        <w:t xml:space="preserve"> </w:t>
      </w:r>
      <w:r w:rsidRPr="00175472">
        <w:rPr>
          <w:szCs w:val="22"/>
        </w:rPr>
        <w:t>proc</w:t>
      </w:r>
      <w:r w:rsidR="000E2085" w:rsidRPr="00175472">
        <w:rPr>
          <w:szCs w:val="22"/>
        </w:rPr>
        <w:t>ij</w:t>
      </w:r>
      <w:r w:rsidRPr="00175472">
        <w:rPr>
          <w:szCs w:val="22"/>
        </w:rPr>
        <w:t>eniti</w:t>
      </w:r>
      <w:r w:rsidRPr="00175472">
        <w:rPr>
          <w:szCs w:val="22"/>
          <w:lang w:val="hr-HR"/>
        </w:rPr>
        <w:t xml:space="preserve"> </w:t>
      </w:r>
      <w:r w:rsidRPr="00175472">
        <w:rPr>
          <w:szCs w:val="22"/>
        </w:rPr>
        <w:t>na</w:t>
      </w:r>
      <w:r w:rsidRPr="00175472">
        <w:rPr>
          <w:szCs w:val="22"/>
          <w:lang w:val="hr-HR"/>
        </w:rPr>
        <w:t xml:space="preserve"> </w:t>
      </w:r>
      <w:r w:rsidRPr="00175472">
        <w:rPr>
          <w:szCs w:val="22"/>
        </w:rPr>
        <w:t>osnovu</w:t>
      </w:r>
      <w:r w:rsidRPr="00175472">
        <w:rPr>
          <w:szCs w:val="22"/>
          <w:lang w:val="hr-HR"/>
        </w:rPr>
        <w:t xml:space="preserve"> </w:t>
      </w:r>
      <w:r w:rsidRPr="00175472">
        <w:rPr>
          <w:szCs w:val="22"/>
        </w:rPr>
        <w:t>raspolo</w:t>
      </w:r>
      <w:r w:rsidRPr="00175472">
        <w:rPr>
          <w:szCs w:val="22"/>
          <w:lang w:val="hr-HR"/>
        </w:rPr>
        <w:t>ž</w:t>
      </w:r>
      <w:r w:rsidRPr="00175472">
        <w:rPr>
          <w:szCs w:val="22"/>
        </w:rPr>
        <w:t>ivih</w:t>
      </w:r>
      <w:r w:rsidRPr="00175472">
        <w:rPr>
          <w:szCs w:val="22"/>
          <w:lang w:val="hr-HR"/>
        </w:rPr>
        <w:t xml:space="preserve"> </w:t>
      </w:r>
      <w:r w:rsidRPr="00175472">
        <w:rPr>
          <w:szCs w:val="22"/>
        </w:rPr>
        <w:t>podataka</w:t>
      </w:r>
      <w:r w:rsidRPr="00175472">
        <w:rPr>
          <w:szCs w:val="22"/>
          <w:lang w:val="hr-HR"/>
        </w:rPr>
        <w:t>).</w:t>
      </w:r>
    </w:p>
    <w:p w14:paraId="7C4163EB" w14:textId="77777777" w:rsidR="00032C33" w:rsidRPr="00175472" w:rsidRDefault="00032C33">
      <w:pPr>
        <w:pStyle w:val="NormalWeb"/>
        <w:spacing w:before="0" w:beforeAutospacing="0" w:after="0"/>
        <w:jc w:val="both"/>
        <w:rPr>
          <w:b/>
          <w:sz w:val="22"/>
          <w:szCs w:val="22"/>
          <w:lang w:val="hr-HR"/>
        </w:rPr>
      </w:pPr>
    </w:p>
    <w:p w14:paraId="7C4163EC" w14:textId="77777777" w:rsidR="00032C33" w:rsidRPr="00175472" w:rsidRDefault="00032C33">
      <w:pPr>
        <w:pStyle w:val="NormalWeb"/>
        <w:spacing w:before="0" w:beforeAutospacing="0" w:after="0"/>
        <w:jc w:val="both"/>
        <w:rPr>
          <w:b/>
          <w:sz w:val="22"/>
          <w:szCs w:val="22"/>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3510"/>
        <w:gridCol w:w="1849"/>
      </w:tblGrid>
      <w:tr w:rsidR="00032C33" w:rsidRPr="00175472" w14:paraId="7C4163F0" w14:textId="77777777" w:rsidTr="009A522B">
        <w:trPr>
          <w:trHeight w:val="530"/>
        </w:trPr>
        <w:tc>
          <w:tcPr>
            <w:tcW w:w="3708" w:type="dxa"/>
            <w:vAlign w:val="center"/>
          </w:tcPr>
          <w:p w14:paraId="7C4163ED" w14:textId="77777777" w:rsidR="00032C33" w:rsidRPr="009A522B" w:rsidRDefault="00032C33" w:rsidP="009A522B">
            <w:pPr>
              <w:pStyle w:val="NormalWeb"/>
              <w:spacing w:before="0" w:beforeAutospacing="0" w:after="0"/>
              <w:jc w:val="both"/>
              <w:rPr>
                <w:b/>
                <w:sz w:val="22"/>
                <w:szCs w:val="22"/>
                <w:lang w:val="pl-PL"/>
              </w:rPr>
            </w:pPr>
            <w:r w:rsidRPr="00175472">
              <w:rPr>
                <w:b/>
                <w:sz w:val="22"/>
                <w:szCs w:val="22"/>
                <w:lang w:val="pl-PL"/>
              </w:rPr>
              <w:t>Klasa sistema organa</w:t>
            </w:r>
          </w:p>
        </w:tc>
        <w:tc>
          <w:tcPr>
            <w:tcW w:w="3510" w:type="dxa"/>
            <w:vAlign w:val="center"/>
          </w:tcPr>
          <w:p w14:paraId="7C4163EE" w14:textId="77777777" w:rsidR="00032C33" w:rsidRPr="009A522B" w:rsidRDefault="00032C33" w:rsidP="009A522B">
            <w:pPr>
              <w:pStyle w:val="NormalWeb"/>
              <w:spacing w:before="0" w:beforeAutospacing="0" w:after="0"/>
              <w:jc w:val="both"/>
              <w:rPr>
                <w:b/>
                <w:sz w:val="22"/>
                <w:szCs w:val="22"/>
                <w:lang w:val="pl-PL"/>
              </w:rPr>
            </w:pPr>
            <w:r w:rsidRPr="00175472">
              <w:rPr>
                <w:b/>
                <w:sz w:val="22"/>
                <w:szCs w:val="22"/>
                <w:lang w:val="pl-PL"/>
              </w:rPr>
              <w:t>Neželjeno dejstvo</w:t>
            </w:r>
          </w:p>
        </w:tc>
        <w:tc>
          <w:tcPr>
            <w:tcW w:w="1849" w:type="dxa"/>
            <w:vAlign w:val="center"/>
          </w:tcPr>
          <w:p w14:paraId="7C4163EF" w14:textId="77777777" w:rsidR="00032C33" w:rsidRPr="009A522B" w:rsidRDefault="00032C33" w:rsidP="009A522B">
            <w:pPr>
              <w:pStyle w:val="NormalWeb"/>
              <w:spacing w:before="0" w:beforeAutospacing="0" w:after="0"/>
              <w:jc w:val="both"/>
              <w:rPr>
                <w:b/>
                <w:i/>
                <w:iCs/>
                <w:sz w:val="22"/>
                <w:szCs w:val="22"/>
                <w:lang w:val="pl-PL"/>
              </w:rPr>
            </w:pPr>
            <w:r w:rsidRPr="00175472">
              <w:rPr>
                <w:b/>
                <w:sz w:val="22"/>
                <w:szCs w:val="22"/>
                <w:lang w:val="pl-PL"/>
              </w:rPr>
              <w:t>Učestalost</w:t>
            </w:r>
          </w:p>
        </w:tc>
      </w:tr>
      <w:tr w:rsidR="00032C33" w:rsidRPr="00175472" w14:paraId="7C4163F5" w14:textId="77777777" w:rsidTr="009A522B">
        <w:trPr>
          <w:trHeight w:val="588"/>
        </w:trPr>
        <w:tc>
          <w:tcPr>
            <w:tcW w:w="3708" w:type="dxa"/>
            <w:vAlign w:val="center"/>
          </w:tcPr>
          <w:p w14:paraId="7C4163F1" w14:textId="77777777" w:rsidR="00032C33" w:rsidRPr="009A522B" w:rsidRDefault="00032C33" w:rsidP="009A522B">
            <w:pPr>
              <w:pStyle w:val="NormalWeb"/>
              <w:spacing w:before="0" w:beforeAutospacing="0" w:after="0"/>
              <w:jc w:val="both"/>
              <w:rPr>
                <w:sz w:val="22"/>
                <w:szCs w:val="22"/>
              </w:rPr>
            </w:pPr>
            <w:r w:rsidRPr="00175472">
              <w:rPr>
                <w:sz w:val="22"/>
                <w:szCs w:val="22"/>
              </w:rPr>
              <w:t>Neoplazme - benigne, maligne i neodređene (uključujući ciste i polipe)</w:t>
            </w:r>
          </w:p>
        </w:tc>
        <w:tc>
          <w:tcPr>
            <w:tcW w:w="3510" w:type="dxa"/>
            <w:vAlign w:val="center"/>
          </w:tcPr>
          <w:p w14:paraId="7C4163F2"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Benigni tumor jetre</w:t>
            </w:r>
          </w:p>
          <w:p w14:paraId="7C4163F3"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Maligni tumor jetre</w:t>
            </w:r>
          </w:p>
        </w:tc>
        <w:tc>
          <w:tcPr>
            <w:tcW w:w="1849" w:type="dxa"/>
            <w:vAlign w:val="center"/>
          </w:tcPr>
          <w:p w14:paraId="7C4163F4"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3F9" w14:textId="77777777" w:rsidTr="009A522B">
        <w:trPr>
          <w:trHeight w:val="422"/>
        </w:trPr>
        <w:tc>
          <w:tcPr>
            <w:tcW w:w="3708" w:type="dxa"/>
            <w:vMerge w:val="restart"/>
            <w:vAlign w:val="center"/>
          </w:tcPr>
          <w:p w14:paraId="7C4163F6" w14:textId="77777777" w:rsidR="00032C33" w:rsidRPr="009A522B" w:rsidRDefault="00032C33" w:rsidP="009A522B">
            <w:pPr>
              <w:pStyle w:val="NormalWeb"/>
              <w:jc w:val="both"/>
              <w:rPr>
                <w:sz w:val="22"/>
                <w:szCs w:val="22"/>
                <w:lang w:val="sv-SE"/>
              </w:rPr>
            </w:pPr>
            <w:r w:rsidRPr="00175472">
              <w:rPr>
                <w:sz w:val="22"/>
                <w:szCs w:val="22"/>
                <w:lang w:val="sv-SE"/>
              </w:rPr>
              <w:t>Poremećaji krvi i limfnog sistema</w:t>
            </w:r>
          </w:p>
        </w:tc>
        <w:tc>
          <w:tcPr>
            <w:tcW w:w="3510" w:type="dxa"/>
            <w:vAlign w:val="center"/>
          </w:tcPr>
          <w:p w14:paraId="7C4163F7"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Policitemija</w:t>
            </w:r>
          </w:p>
        </w:tc>
        <w:tc>
          <w:tcPr>
            <w:tcW w:w="1849" w:type="dxa"/>
            <w:vAlign w:val="center"/>
          </w:tcPr>
          <w:p w14:paraId="7C4163F8"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3FF" w14:textId="77777777" w:rsidTr="009A522B">
        <w:trPr>
          <w:trHeight w:val="890"/>
        </w:trPr>
        <w:tc>
          <w:tcPr>
            <w:tcW w:w="3708" w:type="dxa"/>
            <w:vMerge/>
            <w:vAlign w:val="center"/>
          </w:tcPr>
          <w:p w14:paraId="7C4163FA" w14:textId="77777777" w:rsidR="00032C33" w:rsidRPr="009A522B" w:rsidRDefault="00032C33" w:rsidP="009A522B">
            <w:pPr>
              <w:pStyle w:val="NormalWeb"/>
              <w:spacing w:before="0" w:beforeAutospacing="0" w:after="0"/>
              <w:jc w:val="both"/>
              <w:rPr>
                <w:sz w:val="22"/>
                <w:szCs w:val="22"/>
                <w:lang w:val="pl-PL"/>
              </w:rPr>
            </w:pPr>
          </w:p>
        </w:tc>
        <w:tc>
          <w:tcPr>
            <w:tcW w:w="3510" w:type="dxa"/>
            <w:vAlign w:val="center"/>
          </w:tcPr>
          <w:p w14:paraId="7C4163FB" w14:textId="025A5DA1"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Povećanje vr</w:t>
            </w:r>
            <w:r w:rsidR="000E2085" w:rsidRPr="00175472">
              <w:rPr>
                <w:sz w:val="22"/>
                <w:szCs w:val="22"/>
                <w:lang w:val="pl-PL"/>
              </w:rPr>
              <w:t>ij</w:t>
            </w:r>
            <w:r w:rsidRPr="00175472">
              <w:rPr>
                <w:sz w:val="22"/>
                <w:szCs w:val="22"/>
                <w:lang w:val="pl-PL"/>
              </w:rPr>
              <w:t xml:space="preserve">ednosti hematokrita </w:t>
            </w:r>
          </w:p>
          <w:p w14:paraId="7C4163FC"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Povećanje broja eritrocita</w:t>
            </w:r>
          </w:p>
          <w:p w14:paraId="7C4163FD" w14:textId="63DC263F"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Povećanje vr</w:t>
            </w:r>
            <w:r w:rsidR="000E2085" w:rsidRPr="00175472">
              <w:rPr>
                <w:sz w:val="22"/>
                <w:szCs w:val="22"/>
                <w:lang w:val="pl-PL"/>
              </w:rPr>
              <w:t>ij</w:t>
            </w:r>
            <w:r w:rsidRPr="00175472">
              <w:rPr>
                <w:sz w:val="22"/>
                <w:szCs w:val="22"/>
                <w:lang w:val="pl-PL"/>
              </w:rPr>
              <w:t>ednosti hemoglobina</w:t>
            </w:r>
          </w:p>
        </w:tc>
        <w:tc>
          <w:tcPr>
            <w:tcW w:w="1849" w:type="dxa"/>
            <w:vAlign w:val="center"/>
          </w:tcPr>
          <w:p w14:paraId="7C4163FE"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Često</w:t>
            </w:r>
          </w:p>
        </w:tc>
      </w:tr>
      <w:tr w:rsidR="00032C33" w:rsidRPr="00175472" w14:paraId="7C416403" w14:textId="77777777" w:rsidTr="009A522B">
        <w:trPr>
          <w:trHeight w:val="422"/>
        </w:trPr>
        <w:tc>
          <w:tcPr>
            <w:tcW w:w="3708" w:type="dxa"/>
            <w:vAlign w:val="center"/>
          </w:tcPr>
          <w:p w14:paraId="7C416400" w14:textId="2B637D46"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Poremećaji imunog sistema</w:t>
            </w:r>
          </w:p>
        </w:tc>
        <w:tc>
          <w:tcPr>
            <w:tcW w:w="3510" w:type="dxa"/>
            <w:vAlign w:val="center"/>
          </w:tcPr>
          <w:p w14:paraId="7C416401" w14:textId="0FB419DA"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Preos</w:t>
            </w:r>
            <w:r w:rsidR="000E2085" w:rsidRPr="00175472">
              <w:rPr>
                <w:sz w:val="22"/>
                <w:szCs w:val="22"/>
                <w:lang w:val="pl-PL"/>
              </w:rPr>
              <w:t>j</w:t>
            </w:r>
            <w:r w:rsidRPr="00175472">
              <w:rPr>
                <w:sz w:val="22"/>
                <w:szCs w:val="22"/>
                <w:lang w:val="pl-PL"/>
              </w:rPr>
              <w:t>etljivost</w:t>
            </w:r>
          </w:p>
        </w:tc>
        <w:tc>
          <w:tcPr>
            <w:tcW w:w="1849" w:type="dxa"/>
            <w:vAlign w:val="center"/>
          </w:tcPr>
          <w:p w14:paraId="7C416402"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D16160" w:rsidRPr="00175472" w14:paraId="7C416407" w14:textId="77777777" w:rsidTr="009A522B">
        <w:trPr>
          <w:trHeight w:val="395"/>
        </w:trPr>
        <w:tc>
          <w:tcPr>
            <w:tcW w:w="3708" w:type="dxa"/>
            <w:vMerge w:val="restart"/>
            <w:shd w:val="clear" w:color="auto" w:fill="auto"/>
            <w:vAlign w:val="center"/>
          </w:tcPr>
          <w:p w14:paraId="7C416404" w14:textId="77777777" w:rsidR="00D16160" w:rsidRPr="00175472" w:rsidRDefault="00D16160" w:rsidP="009A522B">
            <w:pPr>
              <w:pStyle w:val="NormalWeb"/>
              <w:tabs>
                <w:tab w:val="left" w:pos="284"/>
              </w:tabs>
              <w:spacing w:before="0" w:beforeAutospacing="0" w:after="0"/>
              <w:jc w:val="both"/>
              <w:rPr>
                <w:sz w:val="22"/>
                <w:szCs w:val="22"/>
                <w:lang w:val="pl-PL"/>
              </w:rPr>
            </w:pPr>
            <w:r w:rsidRPr="00175472">
              <w:rPr>
                <w:sz w:val="22"/>
                <w:szCs w:val="22"/>
                <w:lang w:val="pl-PL"/>
              </w:rPr>
              <w:t>Poremećaji metabolizma i ishrane</w:t>
            </w:r>
          </w:p>
        </w:tc>
        <w:tc>
          <w:tcPr>
            <w:tcW w:w="3510" w:type="dxa"/>
            <w:shd w:val="clear" w:color="auto" w:fill="auto"/>
            <w:vAlign w:val="center"/>
          </w:tcPr>
          <w:p w14:paraId="7C416405" w14:textId="22C9BA47" w:rsidR="00D16160" w:rsidRPr="00175472" w:rsidRDefault="00D16160" w:rsidP="009A522B">
            <w:pPr>
              <w:pStyle w:val="NormalWeb"/>
              <w:tabs>
                <w:tab w:val="left" w:pos="284"/>
              </w:tabs>
              <w:spacing w:before="0" w:beforeAutospacing="0" w:after="0"/>
              <w:jc w:val="both"/>
              <w:rPr>
                <w:sz w:val="22"/>
                <w:szCs w:val="22"/>
                <w:lang w:val="pl-PL"/>
              </w:rPr>
            </w:pPr>
            <w:r w:rsidRPr="00175472">
              <w:rPr>
                <w:sz w:val="22"/>
                <w:szCs w:val="22"/>
                <w:lang w:val="pl-PL"/>
              </w:rPr>
              <w:t>Povećanje t</w:t>
            </w:r>
            <w:r w:rsidR="000E2085" w:rsidRPr="00175472">
              <w:rPr>
                <w:sz w:val="22"/>
                <w:szCs w:val="22"/>
                <w:lang w:val="pl-PL"/>
              </w:rPr>
              <w:t>j</w:t>
            </w:r>
            <w:r w:rsidRPr="00175472">
              <w:rPr>
                <w:sz w:val="22"/>
                <w:szCs w:val="22"/>
                <w:lang w:val="pl-PL"/>
              </w:rPr>
              <w:t>elesne mase</w:t>
            </w:r>
          </w:p>
        </w:tc>
        <w:tc>
          <w:tcPr>
            <w:tcW w:w="1849" w:type="dxa"/>
            <w:shd w:val="clear" w:color="auto" w:fill="auto"/>
            <w:vAlign w:val="center"/>
          </w:tcPr>
          <w:p w14:paraId="7C416406" w14:textId="77777777" w:rsidR="00D16160" w:rsidRPr="00175472" w:rsidRDefault="00D16160" w:rsidP="009A522B">
            <w:pPr>
              <w:pStyle w:val="NormalWeb"/>
              <w:tabs>
                <w:tab w:val="left" w:pos="284"/>
              </w:tabs>
              <w:spacing w:before="0" w:beforeAutospacing="0" w:after="0"/>
              <w:jc w:val="both"/>
              <w:rPr>
                <w:sz w:val="22"/>
                <w:szCs w:val="22"/>
                <w:lang w:val="pl-PL"/>
              </w:rPr>
            </w:pPr>
            <w:r w:rsidRPr="00175472">
              <w:rPr>
                <w:sz w:val="22"/>
                <w:szCs w:val="22"/>
                <w:lang w:val="pl-PL"/>
              </w:rPr>
              <w:t>Često</w:t>
            </w:r>
          </w:p>
        </w:tc>
      </w:tr>
      <w:tr w:rsidR="00D16160" w:rsidRPr="00175472" w14:paraId="7C41640C" w14:textId="77777777" w:rsidTr="009A522B">
        <w:trPr>
          <w:trHeight w:val="231"/>
        </w:trPr>
        <w:tc>
          <w:tcPr>
            <w:tcW w:w="3708" w:type="dxa"/>
            <w:vMerge/>
            <w:shd w:val="clear" w:color="auto" w:fill="auto"/>
            <w:vAlign w:val="center"/>
          </w:tcPr>
          <w:p w14:paraId="7C416408" w14:textId="77777777" w:rsidR="00D16160" w:rsidRPr="00175472" w:rsidRDefault="00D16160" w:rsidP="009A522B">
            <w:pPr>
              <w:pStyle w:val="NormalWeb"/>
              <w:tabs>
                <w:tab w:val="left" w:pos="284"/>
              </w:tabs>
              <w:spacing w:before="0" w:beforeAutospacing="0" w:after="0"/>
              <w:jc w:val="both"/>
              <w:rPr>
                <w:sz w:val="22"/>
                <w:szCs w:val="22"/>
                <w:lang w:val="pl-PL"/>
              </w:rPr>
            </w:pPr>
          </w:p>
        </w:tc>
        <w:tc>
          <w:tcPr>
            <w:tcW w:w="3510" w:type="dxa"/>
            <w:shd w:val="clear" w:color="auto" w:fill="auto"/>
            <w:vAlign w:val="center"/>
          </w:tcPr>
          <w:p w14:paraId="7C416409" w14:textId="77777777" w:rsidR="00D16160" w:rsidRPr="00175472" w:rsidRDefault="00D16160" w:rsidP="009A522B">
            <w:pPr>
              <w:pStyle w:val="NormalWeb"/>
              <w:tabs>
                <w:tab w:val="left" w:pos="284"/>
              </w:tabs>
              <w:spacing w:before="0" w:beforeAutospacing="0" w:after="0"/>
              <w:jc w:val="both"/>
              <w:rPr>
                <w:sz w:val="22"/>
                <w:szCs w:val="22"/>
                <w:lang w:val="pl-PL"/>
              </w:rPr>
            </w:pPr>
            <w:r w:rsidRPr="00175472">
              <w:rPr>
                <w:sz w:val="22"/>
                <w:szCs w:val="22"/>
                <w:lang w:val="pl-PL"/>
              </w:rPr>
              <w:t>Hiperkalcemija</w:t>
            </w:r>
          </w:p>
          <w:p w14:paraId="7C41640A" w14:textId="77777777" w:rsidR="00D16160" w:rsidRPr="00175472" w:rsidRDefault="00D16160" w:rsidP="009A522B">
            <w:pPr>
              <w:pStyle w:val="NormalWeb"/>
              <w:tabs>
                <w:tab w:val="left" w:pos="284"/>
              </w:tabs>
              <w:spacing w:before="0" w:beforeAutospacing="0" w:after="0"/>
              <w:jc w:val="both"/>
              <w:rPr>
                <w:sz w:val="22"/>
                <w:szCs w:val="22"/>
                <w:lang w:val="pl-PL"/>
              </w:rPr>
            </w:pPr>
            <w:r w:rsidRPr="00175472">
              <w:rPr>
                <w:sz w:val="22"/>
                <w:szCs w:val="22"/>
                <w:lang w:val="pl-PL"/>
              </w:rPr>
              <w:t>Retencija vode</w:t>
            </w:r>
          </w:p>
        </w:tc>
        <w:tc>
          <w:tcPr>
            <w:tcW w:w="1849" w:type="dxa"/>
            <w:shd w:val="clear" w:color="auto" w:fill="auto"/>
            <w:vAlign w:val="center"/>
          </w:tcPr>
          <w:p w14:paraId="7C41640B" w14:textId="77777777" w:rsidR="00D16160" w:rsidRPr="00175472" w:rsidRDefault="00D16160" w:rsidP="009A522B">
            <w:pPr>
              <w:pStyle w:val="NormalWeb"/>
              <w:tabs>
                <w:tab w:val="left" w:pos="284"/>
              </w:tabs>
              <w:spacing w:before="0" w:beforeAutospacing="0" w:after="0"/>
              <w:jc w:val="both"/>
              <w:rPr>
                <w:sz w:val="22"/>
                <w:szCs w:val="22"/>
                <w:lang w:val="pl-PL"/>
              </w:rPr>
            </w:pPr>
            <w:r w:rsidRPr="00175472">
              <w:rPr>
                <w:sz w:val="22"/>
                <w:szCs w:val="22"/>
                <w:lang w:val="pl-PL"/>
              </w:rPr>
              <w:t>Nepoznato</w:t>
            </w:r>
          </w:p>
        </w:tc>
      </w:tr>
      <w:tr w:rsidR="00032C33" w:rsidRPr="00175472" w14:paraId="7C416411" w14:textId="77777777" w:rsidTr="009A522B">
        <w:trPr>
          <w:trHeight w:val="512"/>
        </w:trPr>
        <w:tc>
          <w:tcPr>
            <w:tcW w:w="3708" w:type="dxa"/>
            <w:vAlign w:val="center"/>
          </w:tcPr>
          <w:p w14:paraId="7C41640D"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Psihijatrijski poremećaji</w:t>
            </w:r>
          </w:p>
        </w:tc>
        <w:tc>
          <w:tcPr>
            <w:tcW w:w="3510" w:type="dxa"/>
            <w:vAlign w:val="center"/>
          </w:tcPr>
          <w:p w14:paraId="7C41640E"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Depresija</w:t>
            </w:r>
          </w:p>
          <w:p w14:paraId="7C41640F"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Anksioznost</w:t>
            </w:r>
          </w:p>
        </w:tc>
        <w:tc>
          <w:tcPr>
            <w:tcW w:w="1849" w:type="dxa"/>
            <w:vAlign w:val="center"/>
          </w:tcPr>
          <w:p w14:paraId="7C416410"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416" w14:textId="77777777" w:rsidTr="009A522B">
        <w:trPr>
          <w:trHeight w:val="512"/>
        </w:trPr>
        <w:tc>
          <w:tcPr>
            <w:tcW w:w="3708" w:type="dxa"/>
            <w:vAlign w:val="center"/>
          </w:tcPr>
          <w:p w14:paraId="7C416412"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Poremećaji nervnog sistema</w:t>
            </w:r>
          </w:p>
        </w:tc>
        <w:tc>
          <w:tcPr>
            <w:tcW w:w="3510" w:type="dxa"/>
            <w:vAlign w:val="center"/>
          </w:tcPr>
          <w:p w14:paraId="7C416413"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 xml:space="preserve">Glavobolja </w:t>
            </w:r>
          </w:p>
          <w:p w14:paraId="7C416414"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Parestezija</w:t>
            </w:r>
          </w:p>
        </w:tc>
        <w:tc>
          <w:tcPr>
            <w:tcW w:w="1849" w:type="dxa"/>
            <w:vAlign w:val="center"/>
          </w:tcPr>
          <w:p w14:paraId="7C416415"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41A" w14:textId="77777777" w:rsidTr="009A522B">
        <w:trPr>
          <w:trHeight w:val="440"/>
        </w:trPr>
        <w:tc>
          <w:tcPr>
            <w:tcW w:w="3708" w:type="dxa"/>
            <w:vAlign w:val="center"/>
          </w:tcPr>
          <w:p w14:paraId="7C416417"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Kardiovaskularni poremećaji</w:t>
            </w:r>
          </w:p>
        </w:tc>
        <w:tc>
          <w:tcPr>
            <w:tcW w:w="3510" w:type="dxa"/>
            <w:vAlign w:val="center"/>
          </w:tcPr>
          <w:p w14:paraId="7C416418"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Poremećaj cirkulatornog sistema</w:t>
            </w:r>
          </w:p>
        </w:tc>
        <w:tc>
          <w:tcPr>
            <w:tcW w:w="1849" w:type="dxa"/>
            <w:vAlign w:val="center"/>
          </w:tcPr>
          <w:p w14:paraId="7C416419"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420" w14:textId="77777777" w:rsidTr="009A522B">
        <w:trPr>
          <w:trHeight w:val="782"/>
        </w:trPr>
        <w:tc>
          <w:tcPr>
            <w:tcW w:w="3708" w:type="dxa"/>
            <w:vAlign w:val="center"/>
          </w:tcPr>
          <w:p w14:paraId="7C41641B"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Gastrointestinalni poremećaji</w:t>
            </w:r>
          </w:p>
        </w:tc>
        <w:tc>
          <w:tcPr>
            <w:tcW w:w="3510" w:type="dxa"/>
            <w:vAlign w:val="center"/>
          </w:tcPr>
          <w:p w14:paraId="7C41641C"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Abdominalni poremećaji</w:t>
            </w:r>
          </w:p>
          <w:p w14:paraId="7C41641D"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Intraabdominalno krvarenje</w:t>
            </w:r>
          </w:p>
          <w:p w14:paraId="7C41641E"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Mučnina</w:t>
            </w:r>
          </w:p>
        </w:tc>
        <w:tc>
          <w:tcPr>
            <w:tcW w:w="1849" w:type="dxa"/>
            <w:vAlign w:val="center"/>
          </w:tcPr>
          <w:p w14:paraId="7C41641F"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426" w14:textId="77777777" w:rsidTr="009A522B">
        <w:trPr>
          <w:trHeight w:val="773"/>
        </w:trPr>
        <w:tc>
          <w:tcPr>
            <w:tcW w:w="3708" w:type="dxa"/>
            <w:vAlign w:val="center"/>
          </w:tcPr>
          <w:p w14:paraId="7C416421"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Hepatobilijarni poremećaji</w:t>
            </w:r>
          </w:p>
        </w:tc>
        <w:tc>
          <w:tcPr>
            <w:tcW w:w="3510" w:type="dxa"/>
            <w:vAlign w:val="center"/>
          </w:tcPr>
          <w:p w14:paraId="7C416422"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 xml:space="preserve">Poremećaj testova funkcije jetre </w:t>
            </w:r>
          </w:p>
          <w:p w14:paraId="7C416423"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Žutica</w:t>
            </w:r>
          </w:p>
          <w:p w14:paraId="7C416424"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Uvećanje jetre</w:t>
            </w:r>
          </w:p>
        </w:tc>
        <w:tc>
          <w:tcPr>
            <w:tcW w:w="1849" w:type="dxa"/>
            <w:vAlign w:val="center"/>
          </w:tcPr>
          <w:p w14:paraId="7C416425"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42F" w14:textId="77777777" w:rsidTr="009A522B">
        <w:trPr>
          <w:trHeight w:val="1484"/>
        </w:trPr>
        <w:tc>
          <w:tcPr>
            <w:tcW w:w="3708" w:type="dxa"/>
            <w:vAlign w:val="center"/>
          </w:tcPr>
          <w:p w14:paraId="7C416427" w14:textId="77777777"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t>Poremećaji kože i potkožnog tkiva</w:t>
            </w:r>
          </w:p>
        </w:tc>
        <w:tc>
          <w:tcPr>
            <w:tcW w:w="3510" w:type="dxa"/>
            <w:vAlign w:val="center"/>
          </w:tcPr>
          <w:p w14:paraId="7C416428"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Akne</w:t>
            </w:r>
          </w:p>
          <w:p w14:paraId="7C416429"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 xml:space="preserve">Alopecija </w:t>
            </w:r>
          </w:p>
          <w:p w14:paraId="7C41642A"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Osip</w:t>
            </w:r>
          </w:p>
          <w:p w14:paraId="7C41642B"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Urtikarija</w:t>
            </w:r>
          </w:p>
          <w:p w14:paraId="7C41642C" w14:textId="77777777" w:rsidR="00032C33" w:rsidRPr="009A522B" w:rsidRDefault="00032C33" w:rsidP="009A522B">
            <w:pPr>
              <w:pStyle w:val="NormalWeb"/>
              <w:spacing w:before="0" w:beforeAutospacing="0" w:after="0"/>
              <w:jc w:val="both"/>
              <w:rPr>
                <w:bCs/>
                <w:sz w:val="22"/>
                <w:szCs w:val="22"/>
                <w:lang w:val="pl-PL"/>
              </w:rPr>
            </w:pPr>
            <w:r w:rsidRPr="00175472">
              <w:rPr>
                <w:bCs/>
                <w:sz w:val="22"/>
                <w:szCs w:val="22"/>
                <w:lang w:val="pl-PL"/>
              </w:rPr>
              <w:t>Pruritus</w:t>
            </w:r>
          </w:p>
          <w:p w14:paraId="7C41642D"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Ćelavost muškog tipa</w:t>
            </w:r>
          </w:p>
        </w:tc>
        <w:tc>
          <w:tcPr>
            <w:tcW w:w="1849" w:type="dxa"/>
            <w:vAlign w:val="center"/>
          </w:tcPr>
          <w:p w14:paraId="7C41642E"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r w:rsidR="00032C33" w:rsidRPr="00175472" w14:paraId="7C416434" w14:textId="77777777" w:rsidTr="009A522B">
        <w:trPr>
          <w:trHeight w:val="530"/>
        </w:trPr>
        <w:tc>
          <w:tcPr>
            <w:tcW w:w="3708" w:type="dxa"/>
            <w:vAlign w:val="center"/>
          </w:tcPr>
          <w:p w14:paraId="7C416430" w14:textId="77777777" w:rsidR="00032C33" w:rsidRPr="009A522B" w:rsidRDefault="00032C33" w:rsidP="009A522B">
            <w:pPr>
              <w:pStyle w:val="NormalWeb"/>
              <w:spacing w:before="0" w:beforeAutospacing="0" w:after="0"/>
              <w:jc w:val="both"/>
              <w:rPr>
                <w:sz w:val="22"/>
                <w:szCs w:val="22"/>
              </w:rPr>
            </w:pPr>
            <w:r w:rsidRPr="00175472">
              <w:rPr>
                <w:bCs/>
                <w:sz w:val="22"/>
                <w:szCs w:val="22"/>
              </w:rPr>
              <w:t>Poremećaji mišićno-koštanog sistema i vezivnog tkiva</w:t>
            </w:r>
          </w:p>
        </w:tc>
        <w:tc>
          <w:tcPr>
            <w:tcW w:w="3510" w:type="dxa"/>
            <w:vAlign w:val="center"/>
          </w:tcPr>
          <w:p w14:paraId="7C416431" w14:textId="1C5C0E4F" w:rsidR="00032C33" w:rsidRPr="009A522B" w:rsidRDefault="00032C33" w:rsidP="009A522B">
            <w:pPr>
              <w:pStyle w:val="NormalWeb"/>
              <w:spacing w:before="0" w:beforeAutospacing="0" w:after="0"/>
              <w:jc w:val="both"/>
              <w:rPr>
                <w:sz w:val="22"/>
                <w:szCs w:val="22"/>
                <w:lang w:val="nl-NL"/>
              </w:rPr>
            </w:pPr>
            <w:r w:rsidRPr="00175472">
              <w:rPr>
                <w:sz w:val="22"/>
                <w:szCs w:val="22"/>
                <w:lang w:val="pt-BR"/>
              </w:rPr>
              <w:t>Pr</w:t>
            </w:r>
            <w:r w:rsidR="00DF1796">
              <w:rPr>
                <w:sz w:val="22"/>
                <w:szCs w:val="22"/>
                <w:lang w:val="pt-BR"/>
              </w:rPr>
              <w:t>ij</w:t>
            </w:r>
            <w:r w:rsidRPr="00175472">
              <w:rPr>
                <w:sz w:val="22"/>
                <w:szCs w:val="22"/>
                <w:lang w:val="pt-BR"/>
              </w:rPr>
              <w:t>evremeno zatvaranje epifiza</w:t>
            </w:r>
            <w:r w:rsidRPr="00175472">
              <w:rPr>
                <w:sz w:val="22"/>
                <w:szCs w:val="22"/>
                <w:lang w:val="nl-NL"/>
              </w:rPr>
              <w:t>*</w:t>
            </w:r>
          </w:p>
          <w:p w14:paraId="7C416432" w14:textId="77777777" w:rsidR="00032C33" w:rsidRPr="009A522B" w:rsidRDefault="00032C33" w:rsidP="009A522B">
            <w:pPr>
              <w:pStyle w:val="NormalWeb"/>
              <w:spacing w:before="0" w:beforeAutospacing="0" w:after="0"/>
              <w:jc w:val="both"/>
              <w:rPr>
                <w:sz w:val="22"/>
                <w:szCs w:val="22"/>
                <w:lang w:val="pt-BR"/>
              </w:rPr>
            </w:pPr>
            <w:r w:rsidRPr="00175472">
              <w:rPr>
                <w:sz w:val="22"/>
                <w:szCs w:val="22"/>
                <w:lang w:val="nl-NL"/>
              </w:rPr>
              <w:t>Ubrzano formiranje kostiju</w:t>
            </w:r>
          </w:p>
        </w:tc>
        <w:tc>
          <w:tcPr>
            <w:tcW w:w="1849" w:type="dxa"/>
            <w:vAlign w:val="center"/>
          </w:tcPr>
          <w:p w14:paraId="7C416433" w14:textId="77777777" w:rsidR="00032C33" w:rsidRPr="009A522B" w:rsidRDefault="00032C33" w:rsidP="009A522B">
            <w:pPr>
              <w:pStyle w:val="NormalWeb"/>
              <w:spacing w:before="0" w:beforeAutospacing="0" w:after="0"/>
              <w:jc w:val="both"/>
              <w:rPr>
                <w:sz w:val="22"/>
                <w:szCs w:val="22"/>
                <w:lang w:val="nl-NL"/>
              </w:rPr>
            </w:pPr>
            <w:r w:rsidRPr="00175472">
              <w:rPr>
                <w:sz w:val="22"/>
                <w:szCs w:val="22"/>
                <w:lang w:val="pl-PL"/>
              </w:rPr>
              <w:t>Nepoznato</w:t>
            </w:r>
          </w:p>
        </w:tc>
      </w:tr>
      <w:tr w:rsidR="00032C33" w:rsidRPr="00175472" w14:paraId="7C416439" w14:textId="77777777" w:rsidTr="009A522B">
        <w:tc>
          <w:tcPr>
            <w:tcW w:w="3708" w:type="dxa"/>
            <w:vAlign w:val="center"/>
          </w:tcPr>
          <w:p w14:paraId="7C416435" w14:textId="6FA95CCB" w:rsidR="00032C33" w:rsidRPr="009A522B" w:rsidRDefault="00032C33" w:rsidP="009A522B">
            <w:pPr>
              <w:pStyle w:val="NormalWeb"/>
              <w:spacing w:before="0" w:beforeAutospacing="0" w:after="0"/>
              <w:jc w:val="both"/>
              <w:rPr>
                <w:sz w:val="22"/>
                <w:szCs w:val="22"/>
                <w:lang w:val="pl-PL"/>
              </w:rPr>
            </w:pPr>
            <w:r w:rsidRPr="00175472">
              <w:rPr>
                <w:bCs/>
                <w:sz w:val="22"/>
                <w:szCs w:val="22"/>
                <w:lang w:val="pl-PL"/>
              </w:rPr>
              <w:lastRenderedPageBreak/>
              <w:t>Opšti poremećaji i reakcije na m</w:t>
            </w:r>
            <w:r w:rsidR="000E2085" w:rsidRPr="00175472">
              <w:rPr>
                <w:bCs/>
                <w:sz w:val="22"/>
                <w:szCs w:val="22"/>
                <w:lang w:val="pl-PL"/>
              </w:rPr>
              <w:t>j</w:t>
            </w:r>
            <w:r w:rsidRPr="00175472">
              <w:rPr>
                <w:bCs/>
                <w:sz w:val="22"/>
                <w:szCs w:val="22"/>
                <w:lang w:val="pl-PL"/>
              </w:rPr>
              <w:t>estu prim</w:t>
            </w:r>
            <w:r w:rsidR="000E2085" w:rsidRPr="00175472">
              <w:rPr>
                <w:bCs/>
                <w:sz w:val="22"/>
                <w:szCs w:val="22"/>
                <w:lang w:val="pl-PL"/>
              </w:rPr>
              <w:t>j</w:t>
            </w:r>
            <w:r w:rsidRPr="00175472">
              <w:rPr>
                <w:bCs/>
                <w:sz w:val="22"/>
                <w:szCs w:val="22"/>
                <w:lang w:val="pl-PL"/>
              </w:rPr>
              <w:t>ene</w:t>
            </w:r>
          </w:p>
        </w:tc>
        <w:tc>
          <w:tcPr>
            <w:tcW w:w="3510" w:type="dxa"/>
            <w:vAlign w:val="center"/>
          </w:tcPr>
          <w:p w14:paraId="7C416436" w14:textId="4442BC83" w:rsidR="00032C33" w:rsidRPr="009A522B" w:rsidRDefault="00032C33" w:rsidP="009A522B">
            <w:pPr>
              <w:pStyle w:val="NormalWeb"/>
              <w:spacing w:before="0" w:beforeAutospacing="0" w:after="0"/>
              <w:jc w:val="both"/>
              <w:rPr>
                <w:bCs/>
                <w:sz w:val="22"/>
                <w:szCs w:val="22"/>
                <w:lang w:val="pt-BR"/>
              </w:rPr>
            </w:pPr>
            <w:r w:rsidRPr="00175472">
              <w:rPr>
                <w:bCs/>
                <w:sz w:val="22"/>
                <w:szCs w:val="22"/>
                <w:lang w:val="pl-PL"/>
              </w:rPr>
              <w:t>Reakcija na m</w:t>
            </w:r>
            <w:r w:rsidR="000E2085" w:rsidRPr="00175472">
              <w:rPr>
                <w:bCs/>
                <w:sz w:val="22"/>
                <w:szCs w:val="22"/>
                <w:lang w:val="pl-PL"/>
              </w:rPr>
              <w:t>j</w:t>
            </w:r>
            <w:r w:rsidRPr="00175472">
              <w:rPr>
                <w:bCs/>
                <w:sz w:val="22"/>
                <w:szCs w:val="22"/>
                <w:lang w:val="pl-PL"/>
              </w:rPr>
              <w:t>estu prim</w:t>
            </w:r>
            <w:r w:rsidR="000E2085" w:rsidRPr="00175472">
              <w:rPr>
                <w:bCs/>
                <w:sz w:val="22"/>
                <w:szCs w:val="22"/>
                <w:lang w:val="pl-PL"/>
              </w:rPr>
              <w:t>j</w:t>
            </w:r>
            <w:r w:rsidRPr="00175472">
              <w:rPr>
                <w:bCs/>
                <w:sz w:val="22"/>
                <w:szCs w:val="22"/>
                <w:lang w:val="pl-PL"/>
              </w:rPr>
              <w:t>ene</w:t>
            </w:r>
            <w:r w:rsidRPr="00175472">
              <w:rPr>
                <w:bCs/>
                <w:sz w:val="22"/>
                <w:szCs w:val="22"/>
                <w:lang w:val="pt-BR"/>
              </w:rPr>
              <w:t>** Astenija</w:t>
            </w:r>
          </w:p>
          <w:p w14:paraId="7C416437" w14:textId="77777777" w:rsidR="00032C33" w:rsidRPr="009A522B" w:rsidRDefault="00032C33" w:rsidP="009A522B">
            <w:pPr>
              <w:pStyle w:val="NormalWeb"/>
              <w:spacing w:before="0" w:beforeAutospacing="0" w:after="0"/>
              <w:jc w:val="both"/>
              <w:rPr>
                <w:bCs/>
                <w:sz w:val="22"/>
                <w:szCs w:val="22"/>
                <w:lang w:val="pt-BR"/>
              </w:rPr>
            </w:pPr>
            <w:r w:rsidRPr="00175472">
              <w:rPr>
                <w:bCs/>
                <w:sz w:val="22"/>
                <w:szCs w:val="22"/>
                <w:lang w:val="pt-BR"/>
              </w:rPr>
              <w:t>Edem</w:t>
            </w:r>
          </w:p>
        </w:tc>
        <w:tc>
          <w:tcPr>
            <w:tcW w:w="1849" w:type="dxa"/>
            <w:vAlign w:val="center"/>
          </w:tcPr>
          <w:p w14:paraId="7C416438" w14:textId="77777777" w:rsidR="00032C33" w:rsidRPr="009A522B" w:rsidRDefault="00032C33" w:rsidP="009A522B">
            <w:pPr>
              <w:pStyle w:val="NormalWeb"/>
              <w:spacing w:before="0" w:beforeAutospacing="0" w:after="0"/>
              <w:jc w:val="both"/>
              <w:rPr>
                <w:sz w:val="22"/>
                <w:szCs w:val="22"/>
                <w:lang w:val="pt-BR"/>
              </w:rPr>
            </w:pPr>
            <w:r w:rsidRPr="00175472">
              <w:rPr>
                <w:sz w:val="22"/>
                <w:szCs w:val="22"/>
                <w:lang w:val="pl-PL"/>
              </w:rPr>
              <w:t>Nepoznato</w:t>
            </w:r>
          </w:p>
        </w:tc>
      </w:tr>
      <w:tr w:rsidR="00032C33" w:rsidRPr="00175472" w14:paraId="7C41643D" w14:textId="77777777" w:rsidTr="009A522B">
        <w:trPr>
          <w:trHeight w:val="539"/>
        </w:trPr>
        <w:tc>
          <w:tcPr>
            <w:tcW w:w="3708" w:type="dxa"/>
            <w:vAlign w:val="center"/>
          </w:tcPr>
          <w:p w14:paraId="7C41643A"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Ispitivanja</w:t>
            </w:r>
          </w:p>
        </w:tc>
        <w:tc>
          <w:tcPr>
            <w:tcW w:w="3510" w:type="dxa"/>
            <w:vAlign w:val="center"/>
          </w:tcPr>
          <w:p w14:paraId="7C41643B"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 xml:space="preserve">Povećan nivo prostata specifičnog antigena </w:t>
            </w:r>
          </w:p>
        </w:tc>
        <w:tc>
          <w:tcPr>
            <w:tcW w:w="1849" w:type="dxa"/>
            <w:vAlign w:val="center"/>
          </w:tcPr>
          <w:p w14:paraId="7C41643C" w14:textId="77777777" w:rsidR="00032C33" w:rsidRPr="009A522B" w:rsidRDefault="00032C33" w:rsidP="009A522B">
            <w:pPr>
              <w:pStyle w:val="NormalWeb"/>
              <w:spacing w:before="0" w:beforeAutospacing="0" w:after="0"/>
              <w:jc w:val="both"/>
              <w:rPr>
                <w:sz w:val="22"/>
                <w:szCs w:val="22"/>
                <w:lang w:val="sr-Latn-CS"/>
              </w:rPr>
            </w:pPr>
            <w:r w:rsidRPr="00175472">
              <w:rPr>
                <w:sz w:val="22"/>
                <w:szCs w:val="22"/>
                <w:lang w:val="pl-PL"/>
              </w:rPr>
              <w:t>Nepoznato</w:t>
            </w:r>
          </w:p>
        </w:tc>
      </w:tr>
      <w:tr w:rsidR="00032C33" w:rsidRPr="00175472" w14:paraId="7C416447" w14:textId="77777777" w:rsidTr="009A522B">
        <w:trPr>
          <w:trHeight w:val="1637"/>
        </w:trPr>
        <w:tc>
          <w:tcPr>
            <w:tcW w:w="3708" w:type="dxa"/>
            <w:vAlign w:val="center"/>
          </w:tcPr>
          <w:p w14:paraId="7C41643E" w14:textId="77777777" w:rsidR="00032C33" w:rsidRPr="009A522B" w:rsidRDefault="00032C33" w:rsidP="009A522B">
            <w:pPr>
              <w:pStyle w:val="NormalWeb"/>
              <w:spacing w:before="0" w:beforeAutospacing="0" w:after="0"/>
              <w:jc w:val="both"/>
              <w:rPr>
                <w:sz w:val="22"/>
                <w:szCs w:val="22"/>
                <w:lang w:val="sv-SE"/>
              </w:rPr>
            </w:pPr>
            <w:r w:rsidRPr="00175472">
              <w:rPr>
                <w:bCs/>
                <w:sz w:val="22"/>
                <w:szCs w:val="22"/>
                <w:lang w:val="sv-SE"/>
              </w:rPr>
              <w:t>Poremećaji reproduktivnog sistema i dojki</w:t>
            </w:r>
          </w:p>
        </w:tc>
        <w:tc>
          <w:tcPr>
            <w:tcW w:w="3510" w:type="dxa"/>
            <w:vAlign w:val="center"/>
          </w:tcPr>
          <w:p w14:paraId="7C41643F" w14:textId="77777777" w:rsidR="00032C33" w:rsidRPr="009A522B" w:rsidRDefault="00032C33" w:rsidP="009A522B">
            <w:pPr>
              <w:pStyle w:val="NormalWeb"/>
              <w:spacing w:before="0" w:beforeAutospacing="0" w:after="0"/>
              <w:jc w:val="both"/>
              <w:rPr>
                <w:sz w:val="22"/>
                <w:szCs w:val="22"/>
                <w:lang w:val="sv-SE"/>
              </w:rPr>
            </w:pPr>
            <w:r w:rsidRPr="00175472">
              <w:rPr>
                <w:sz w:val="22"/>
                <w:szCs w:val="22"/>
                <w:lang w:val="sv-SE"/>
              </w:rPr>
              <w:t>Povećan libido</w:t>
            </w:r>
          </w:p>
          <w:p w14:paraId="7C416440" w14:textId="77777777" w:rsidR="00032C33" w:rsidRPr="009A522B" w:rsidRDefault="00032C33" w:rsidP="009A522B">
            <w:pPr>
              <w:pStyle w:val="NormalWeb"/>
              <w:spacing w:before="0" w:beforeAutospacing="0" w:after="0"/>
              <w:jc w:val="both"/>
              <w:rPr>
                <w:sz w:val="22"/>
                <w:szCs w:val="22"/>
                <w:lang w:val="sv-SE"/>
              </w:rPr>
            </w:pPr>
            <w:r w:rsidRPr="00175472">
              <w:rPr>
                <w:sz w:val="22"/>
                <w:szCs w:val="22"/>
                <w:lang w:val="sv-SE"/>
              </w:rPr>
              <w:t>Smanjen libido</w:t>
            </w:r>
          </w:p>
          <w:p w14:paraId="7C416441" w14:textId="77777777" w:rsidR="00032C33" w:rsidRPr="009A522B" w:rsidRDefault="00032C33" w:rsidP="009A522B">
            <w:pPr>
              <w:pStyle w:val="NormalWeb"/>
              <w:spacing w:before="0" w:beforeAutospacing="0" w:after="0"/>
              <w:jc w:val="both"/>
              <w:rPr>
                <w:sz w:val="22"/>
                <w:szCs w:val="22"/>
                <w:lang w:val="sv-SE"/>
              </w:rPr>
            </w:pPr>
            <w:r w:rsidRPr="00175472">
              <w:rPr>
                <w:sz w:val="22"/>
                <w:szCs w:val="22"/>
                <w:lang w:val="sv-SE"/>
              </w:rPr>
              <w:t>Ginekomastija</w:t>
            </w:r>
          </w:p>
          <w:p w14:paraId="7C416442" w14:textId="77777777" w:rsidR="00032C33" w:rsidRPr="009A522B" w:rsidRDefault="00032C33" w:rsidP="009A522B">
            <w:pPr>
              <w:pStyle w:val="NormalWeb"/>
              <w:spacing w:before="0" w:beforeAutospacing="0" w:after="0"/>
              <w:jc w:val="both"/>
              <w:rPr>
                <w:sz w:val="22"/>
                <w:szCs w:val="22"/>
                <w:lang w:val="sv-SE"/>
              </w:rPr>
            </w:pPr>
            <w:r w:rsidRPr="00175472">
              <w:rPr>
                <w:sz w:val="22"/>
                <w:szCs w:val="22"/>
                <w:lang w:val="sv-SE"/>
              </w:rPr>
              <w:t>Poremećaji prostate</w:t>
            </w:r>
          </w:p>
          <w:p w14:paraId="7C416443"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Povećana erekcija</w:t>
            </w:r>
          </w:p>
          <w:p w14:paraId="7C416444"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Abnormalna spermatogeneza</w:t>
            </w:r>
          </w:p>
          <w:p w14:paraId="7C416445" w14:textId="671BD2A0"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Pr</w:t>
            </w:r>
            <w:r w:rsidR="000E2085" w:rsidRPr="00175472">
              <w:rPr>
                <w:sz w:val="22"/>
                <w:szCs w:val="22"/>
                <w:lang w:val="pl-PL"/>
              </w:rPr>
              <w:t>i</w:t>
            </w:r>
            <w:r w:rsidRPr="00175472">
              <w:rPr>
                <w:sz w:val="22"/>
                <w:szCs w:val="22"/>
                <w:lang w:val="pl-PL"/>
              </w:rPr>
              <w:t>vremeni pubertet*</w:t>
            </w:r>
          </w:p>
        </w:tc>
        <w:tc>
          <w:tcPr>
            <w:tcW w:w="1849" w:type="dxa"/>
            <w:vAlign w:val="center"/>
          </w:tcPr>
          <w:p w14:paraId="7C416446" w14:textId="77777777" w:rsidR="00032C33" w:rsidRPr="009A522B" w:rsidRDefault="00032C33" w:rsidP="009A522B">
            <w:pPr>
              <w:pStyle w:val="NormalWeb"/>
              <w:spacing w:before="0" w:beforeAutospacing="0" w:after="0"/>
              <w:jc w:val="both"/>
              <w:rPr>
                <w:sz w:val="22"/>
                <w:szCs w:val="22"/>
                <w:lang w:val="pl-PL"/>
              </w:rPr>
            </w:pPr>
            <w:r w:rsidRPr="00175472">
              <w:rPr>
                <w:sz w:val="22"/>
                <w:szCs w:val="22"/>
                <w:lang w:val="pl-PL"/>
              </w:rPr>
              <w:t>Nepoznato</w:t>
            </w:r>
          </w:p>
        </w:tc>
      </w:tr>
    </w:tbl>
    <w:p w14:paraId="7C416448" w14:textId="2770210D" w:rsidR="00032C33" w:rsidRPr="00175472" w:rsidRDefault="00175472">
      <w:pPr>
        <w:pStyle w:val="NormalWeb"/>
        <w:spacing w:before="120" w:beforeAutospacing="0" w:after="0"/>
        <w:jc w:val="both"/>
        <w:rPr>
          <w:sz w:val="22"/>
          <w:szCs w:val="22"/>
          <w:lang w:val="sr-Latn-CS"/>
        </w:rPr>
      </w:pPr>
      <w:r>
        <w:rPr>
          <w:sz w:val="22"/>
          <w:szCs w:val="22"/>
          <w:lang w:val="pl-PL"/>
        </w:rPr>
        <w:t xml:space="preserve"> </w:t>
      </w:r>
      <w:r w:rsidR="00032C33" w:rsidRPr="00175472">
        <w:rPr>
          <w:sz w:val="22"/>
          <w:szCs w:val="22"/>
          <w:lang w:val="pl-PL"/>
        </w:rPr>
        <w:t xml:space="preserve">* </w:t>
      </w:r>
      <w:r w:rsidR="00032C33" w:rsidRPr="00175472">
        <w:rPr>
          <w:sz w:val="22"/>
          <w:szCs w:val="22"/>
          <w:lang w:val="sr-Latn-CS"/>
        </w:rPr>
        <w:t>kod d</w:t>
      </w:r>
      <w:r w:rsidR="000E2085" w:rsidRPr="00175472">
        <w:rPr>
          <w:sz w:val="22"/>
          <w:szCs w:val="22"/>
          <w:lang w:val="sr-Latn-CS"/>
        </w:rPr>
        <w:t>j</w:t>
      </w:r>
      <w:r w:rsidR="00032C33" w:rsidRPr="00175472">
        <w:rPr>
          <w:sz w:val="22"/>
          <w:szCs w:val="22"/>
          <w:lang w:val="sr-Latn-CS"/>
        </w:rPr>
        <w:t>ečaka pr</w:t>
      </w:r>
      <w:r w:rsidR="000E2085" w:rsidRPr="00175472">
        <w:rPr>
          <w:sz w:val="22"/>
          <w:szCs w:val="22"/>
          <w:lang w:val="sr-Latn-CS"/>
        </w:rPr>
        <w:t>ij</w:t>
      </w:r>
      <w:r w:rsidR="00032C33" w:rsidRPr="00175472">
        <w:rPr>
          <w:sz w:val="22"/>
          <w:szCs w:val="22"/>
          <w:lang w:val="sr-Latn-CS"/>
        </w:rPr>
        <w:t>e puberteta</w:t>
      </w:r>
    </w:p>
    <w:p w14:paraId="7C416449" w14:textId="6540A447" w:rsidR="00032C33" w:rsidRPr="00175472" w:rsidRDefault="00032C33">
      <w:pPr>
        <w:pStyle w:val="NormalWeb"/>
        <w:spacing w:before="0" w:beforeAutospacing="0" w:after="0"/>
        <w:jc w:val="both"/>
        <w:rPr>
          <w:bCs/>
          <w:sz w:val="22"/>
          <w:szCs w:val="22"/>
          <w:lang w:val="pt-BR"/>
        </w:rPr>
      </w:pPr>
      <w:r w:rsidRPr="00175472">
        <w:rPr>
          <w:sz w:val="22"/>
          <w:szCs w:val="22"/>
          <w:lang w:val="sr-Latn-CS"/>
        </w:rPr>
        <w:t>**</w:t>
      </w:r>
      <w:r w:rsidRPr="00175472">
        <w:rPr>
          <w:bCs/>
          <w:sz w:val="22"/>
          <w:szCs w:val="22"/>
          <w:lang w:val="pt-BR"/>
        </w:rPr>
        <w:t xml:space="preserve"> bol na m</w:t>
      </w:r>
      <w:r w:rsidR="000E2085" w:rsidRPr="00175472">
        <w:rPr>
          <w:bCs/>
          <w:sz w:val="22"/>
          <w:szCs w:val="22"/>
          <w:lang w:val="pt-BR"/>
        </w:rPr>
        <w:t>j</w:t>
      </w:r>
      <w:r w:rsidRPr="00175472">
        <w:rPr>
          <w:bCs/>
          <w:sz w:val="22"/>
          <w:szCs w:val="22"/>
          <w:lang w:val="pt-BR"/>
        </w:rPr>
        <w:t>estu davanja injekcije, eritem na m</w:t>
      </w:r>
      <w:r w:rsidR="000E2085" w:rsidRPr="00175472">
        <w:rPr>
          <w:bCs/>
          <w:sz w:val="22"/>
          <w:szCs w:val="22"/>
          <w:lang w:val="pt-BR"/>
        </w:rPr>
        <w:t>j</w:t>
      </w:r>
      <w:r w:rsidRPr="00175472">
        <w:rPr>
          <w:bCs/>
          <w:sz w:val="22"/>
          <w:szCs w:val="22"/>
          <w:lang w:val="pt-BR"/>
        </w:rPr>
        <w:t>estu prim</w:t>
      </w:r>
      <w:r w:rsidR="000E2085" w:rsidRPr="00175472">
        <w:rPr>
          <w:bCs/>
          <w:sz w:val="22"/>
          <w:szCs w:val="22"/>
          <w:lang w:val="pt-BR"/>
        </w:rPr>
        <w:t>j</w:t>
      </w:r>
      <w:r w:rsidRPr="00175472">
        <w:rPr>
          <w:bCs/>
          <w:sz w:val="22"/>
          <w:szCs w:val="22"/>
          <w:lang w:val="pt-BR"/>
        </w:rPr>
        <w:t>ene, induracija na m</w:t>
      </w:r>
      <w:r w:rsidR="000E2085" w:rsidRPr="00175472">
        <w:rPr>
          <w:bCs/>
          <w:sz w:val="22"/>
          <w:szCs w:val="22"/>
          <w:lang w:val="pt-BR"/>
        </w:rPr>
        <w:t>j</w:t>
      </w:r>
      <w:r w:rsidRPr="00175472">
        <w:rPr>
          <w:bCs/>
          <w:sz w:val="22"/>
          <w:szCs w:val="22"/>
          <w:lang w:val="pt-BR"/>
        </w:rPr>
        <w:t>estu prim</w:t>
      </w:r>
      <w:r w:rsidR="000E2085" w:rsidRPr="00175472">
        <w:rPr>
          <w:bCs/>
          <w:sz w:val="22"/>
          <w:szCs w:val="22"/>
          <w:lang w:val="pt-BR"/>
        </w:rPr>
        <w:t>j</w:t>
      </w:r>
      <w:r w:rsidRPr="00175472">
        <w:rPr>
          <w:bCs/>
          <w:sz w:val="22"/>
          <w:szCs w:val="22"/>
          <w:lang w:val="pt-BR"/>
        </w:rPr>
        <w:t>ene, otok na m</w:t>
      </w:r>
      <w:r w:rsidR="000E2085" w:rsidRPr="00175472">
        <w:rPr>
          <w:bCs/>
          <w:sz w:val="22"/>
          <w:szCs w:val="22"/>
          <w:lang w:val="pt-BR"/>
        </w:rPr>
        <w:t>j</w:t>
      </w:r>
      <w:r w:rsidRPr="00175472">
        <w:rPr>
          <w:bCs/>
          <w:sz w:val="22"/>
          <w:szCs w:val="22"/>
          <w:lang w:val="pt-BR"/>
        </w:rPr>
        <w:t>estu prim</w:t>
      </w:r>
      <w:r w:rsidR="000E2085" w:rsidRPr="00175472">
        <w:rPr>
          <w:bCs/>
          <w:sz w:val="22"/>
          <w:szCs w:val="22"/>
          <w:lang w:val="pt-BR"/>
        </w:rPr>
        <w:t>j</w:t>
      </w:r>
      <w:r w:rsidRPr="00175472">
        <w:rPr>
          <w:bCs/>
          <w:sz w:val="22"/>
          <w:szCs w:val="22"/>
          <w:lang w:val="pt-BR"/>
        </w:rPr>
        <w:t>ene, inflamacija na m</w:t>
      </w:r>
      <w:r w:rsidR="000E2085" w:rsidRPr="00175472">
        <w:rPr>
          <w:bCs/>
          <w:sz w:val="22"/>
          <w:szCs w:val="22"/>
          <w:lang w:val="pt-BR"/>
        </w:rPr>
        <w:t>j</w:t>
      </w:r>
      <w:r w:rsidRPr="00175472">
        <w:rPr>
          <w:bCs/>
          <w:sz w:val="22"/>
          <w:szCs w:val="22"/>
          <w:lang w:val="pt-BR"/>
        </w:rPr>
        <w:t>estu prim</w:t>
      </w:r>
      <w:r w:rsidR="000E2085" w:rsidRPr="00175472">
        <w:rPr>
          <w:bCs/>
          <w:sz w:val="22"/>
          <w:szCs w:val="22"/>
          <w:lang w:val="pt-BR"/>
        </w:rPr>
        <w:t>j</w:t>
      </w:r>
      <w:r w:rsidRPr="00175472">
        <w:rPr>
          <w:bCs/>
          <w:sz w:val="22"/>
          <w:szCs w:val="22"/>
          <w:lang w:val="pt-BR"/>
        </w:rPr>
        <w:t>ene</w:t>
      </w:r>
    </w:p>
    <w:p w14:paraId="7C41644A" w14:textId="77777777" w:rsidR="00032C33" w:rsidRPr="00175472" w:rsidRDefault="00032C33">
      <w:pPr>
        <w:spacing w:before="240"/>
        <w:rPr>
          <w:b/>
          <w:szCs w:val="22"/>
          <w:lang w:val="sr-Latn-CS"/>
        </w:rPr>
      </w:pPr>
      <w:r w:rsidRPr="00175472">
        <w:rPr>
          <w:b/>
          <w:szCs w:val="22"/>
          <w:lang w:val="sr-Latn-CS"/>
        </w:rPr>
        <w:t>Opis odabranih neželjenih reakcija</w:t>
      </w:r>
    </w:p>
    <w:p w14:paraId="7C41644B" w14:textId="77777777" w:rsidR="00032C33" w:rsidRPr="00175472" w:rsidRDefault="00032C33">
      <w:pPr>
        <w:spacing w:before="240"/>
        <w:rPr>
          <w:szCs w:val="22"/>
          <w:lang w:val="sr-Latn-CS"/>
        </w:rPr>
      </w:pPr>
      <w:r w:rsidRPr="00175472">
        <w:rPr>
          <w:szCs w:val="22"/>
          <w:lang w:val="sr-Latn-CS"/>
        </w:rPr>
        <w:t>Injekcije uljanih rastvora, kao što je Testosteron Depo, povezane su sa sistemskim reakcijama: kašalj, otežano disanje, bol u grudima. Mogu postojati i drugi znaci i simptomi uključujući vazovagalne reakcije kao što su malaksalost, hiperhidroza, vrtoglavica, parestezija ili sinkopa.</w:t>
      </w:r>
    </w:p>
    <w:p w14:paraId="7C41644C" w14:textId="7BEB1DFE" w:rsidR="00032C33" w:rsidRPr="0058126E" w:rsidRDefault="00032C33">
      <w:pPr>
        <w:pStyle w:val="NoSpacing"/>
        <w:spacing w:before="120"/>
        <w:jc w:val="both"/>
        <w:rPr>
          <w:rFonts w:ascii="Times New Roman" w:hAnsi="Times New Roman"/>
          <w:lang w:val="sr-Latn-CS"/>
        </w:rPr>
      </w:pPr>
      <w:r w:rsidRPr="0058126E">
        <w:rPr>
          <w:rFonts w:ascii="Times New Roman" w:hAnsi="Times New Roman"/>
          <w:lang w:val="sr-Latn-CS"/>
        </w:rPr>
        <w:t>Visoke doze ili dugotrajna prim</w:t>
      </w:r>
      <w:r w:rsidR="000E2085" w:rsidRPr="0058126E">
        <w:rPr>
          <w:rFonts w:ascii="Times New Roman" w:hAnsi="Times New Roman"/>
          <w:lang w:val="sr-Latn-CS"/>
        </w:rPr>
        <w:t>j</w:t>
      </w:r>
      <w:r w:rsidRPr="0058126E">
        <w:rPr>
          <w:rFonts w:ascii="Times New Roman" w:hAnsi="Times New Roman"/>
          <w:lang w:val="sr-Latn-CS"/>
        </w:rPr>
        <w:t>ena testosterona povećava sklonost zadržavanju vode i pojavi edema.</w:t>
      </w:r>
    </w:p>
    <w:p w14:paraId="7C41644D" w14:textId="12AA3F1B" w:rsidR="00032C33" w:rsidRPr="0058126E" w:rsidRDefault="00032C33">
      <w:pPr>
        <w:pStyle w:val="NormalWeb"/>
        <w:spacing w:before="120" w:beforeAutospacing="0" w:after="0"/>
        <w:jc w:val="both"/>
        <w:rPr>
          <w:sz w:val="22"/>
          <w:szCs w:val="22"/>
          <w:lang w:val="sr-Latn-CS"/>
        </w:rPr>
      </w:pPr>
      <w:r w:rsidRPr="0058126E">
        <w:rPr>
          <w:sz w:val="22"/>
          <w:szCs w:val="22"/>
          <w:lang w:val="sr-Latn-CS"/>
        </w:rPr>
        <w:t>Spermatogeneza je inhibirana dugotrajnom prim</w:t>
      </w:r>
      <w:r w:rsidR="000E2085" w:rsidRPr="0058126E">
        <w:rPr>
          <w:sz w:val="22"/>
          <w:szCs w:val="22"/>
          <w:lang w:val="sr-Latn-CS"/>
        </w:rPr>
        <w:t>j</w:t>
      </w:r>
      <w:r w:rsidRPr="0058126E">
        <w:rPr>
          <w:sz w:val="22"/>
          <w:szCs w:val="22"/>
          <w:lang w:val="sr-Latn-CS"/>
        </w:rPr>
        <w:t>enom ili prim</w:t>
      </w:r>
      <w:r w:rsidR="000E2085" w:rsidRPr="0058126E">
        <w:rPr>
          <w:sz w:val="22"/>
          <w:szCs w:val="22"/>
          <w:lang w:val="sr-Latn-CS"/>
        </w:rPr>
        <w:t>j</w:t>
      </w:r>
      <w:r w:rsidRPr="0058126E">
        <w:rPr>
          <w:sz w:val="22"/>
          <w:szCs w:val="22"/>
          <w:lang w:val="sr-Latn-CS"/>
        </w:rPr>
        <w:t>enom visokih doza testosterona.</w:t>
      </w:r>
    </w:p>
    <w:p w14:paraId="41607007" w14:textId="666A543E" w:rsidR="00A52C53" w:rsidRPr="0058126E" w:rsidRDefault="00032C33" w:rsidP="009A522B">
      <w:pPr>
        <w:pStyle w:val="NoSpacing"/>
        <w:spacing w:before="120"/>
        <w:jc w:val="both"/>
        <w:rPr>
          <w:rFonts w:ascii="Times New Roman" w:hAnsi="Times New Roman"/>
          <w:noProof/>
          <w:lang w:val="bs-Latn-BA"/>
        </w:rPr>
      </w:pPr>
      <w:r w:rsidRPr="0058126E">
        <w:rPr>
          <w:rFonts w:ascii="Times New Roman" w:hAnsi="Times New Roman"/>
          <w:noProof/>
          <w:color w:val="000000"/>
          <w:lang w:val="bs-Latn-BA"/>
        </w:rPr>
        <w:t xml:space="preserve">Ukoliko </w:t>
      </w:r>
      <w:r w:rsidR="00DF1796" w:rsidRPr="0058126E">
        <w:rPr>
          <w:rFonts w:ascii="Times New Roman" w:hAnsi="Times New Roman"/>
          <w:noProof/>
          <w:color w:val="000000"/>
          <w:lang w:val="bs-Latn-BA"/>
        </w:rPr>
        <w:t xml:space="preserve">se </w:t>
      </w:r>
      <w:r w:rsidRPr="0058126E">
        <w:rPr>
          <w:rFonts w:ascii="Times New Roman" w:hAnsi="Times New Roman"/>
          <w:noProof/>
          <w:color w:val="000000"/>
          <w:lang w:val="bs-Latn-BA"/>
        </w:rPr>
        <w:t>u pojedinačnim slučajevima javi učestala ili perzistentna erekcija, trebalo bi smanjiti dozu l</w:t>
      </w:r>
      <w:r w:rsidR="000E2085" w:rsidRPr="0058126E">
        <w:rPr>
          <w:rFonts w:ascii="Times New Roman" w:hAnsi="Times New Roman"/>
          <w:noProof/>
          <w:color w:val="000000"/>
          <w:lang w:val="bs-Latn-BA"/>
        </w:rPr>
        <w:t>ij</w:t>
      </w:r>
      <w:r w:rsidRPr="0058126E">
        <w:rPr>
          <w:rFonts w:ascii="Times New Roman" w:hAnsi="Times New Roman"/>
          <w:noProof/>
          <w:color w:val="000000"/>
          <w:lang w:val="bs-Latn-BA"/>
        </w:rPr>
        <w:t>eka ili prekinuti sa terapijom da bi se izb</w:t>
      </w:r>
      <w:r w:rsidR="000E2085" w:rsidRPr="0058126E">
        <w:rPr>
          <w:rFonts w:ascii="Times New Roman" w:hAnsi="Times New Roman"/>
          <w:noProof/>
          <w:color w:val="000000"/>
          <w:lang w:val="bs-Latn-BA"/>
        </w:rPr>
        <w:t>j</w:t>
      </w:r>
      <w:r w:rsidRPr="0058126E">
        <w:rPr>
          <w:rFonts w:ascii="Times New Roman" w:hAnsi="Times New Roman"/>
          <w:noProof/>
          <w:color w:val="000000"/>
          <w:lang w:val="bs-Latn-BA"/>
        </w:rPr>
        <w:t>egla povreda penisa.</w:t>
      </w:r>
    </w:p>
    <w:p w14:paraId="182EABF6" w14:textId="77777777" w:rsidR="0058126E" w:rsidRPr="0058126E" w:rsidRDefault="0058126E" w:rsidP="009A522B">
      <w:pPr>
        <w:pStyle w:val="NoSpacing"/>
        <w:spacing w:before="120"/>
        <w:jc w:val="both"/>
        <w:rPr>
          <w:rFonts w:ascii="Times New Roman" w:hAnsi="Times New Roman"/>
          <w:noProof/>
          <w:lang w:val="bs-Latn-BA"/>
        </w:rPr>
      </w:pPr>
      <w:bookmarkStart w:id="0" w:name="_GoBack"/>
      <w:bookmarkEnd w:id="0"/>
    </w:p>
    <w:p w14:paraId="5BCB1B5C" w14:textId="085F0C1D" w:rsidR="00A52C53" w:rsidRPr="00175472" w:rsidRDefault="00A52C53" w:rsidP="009A522B">
      <w:pPr>
        <w:tabs>
          <w:tab w:val="clear" w:pos="284"/>
        </w:tabs>
        <w:spacing w:after="200" w:line="276" w:lineRule="auto"/>
        <w:rPr>
          <w:rFonts w:eastAsia="Calibri"/>
          <w:szCs w:val="22"/>
          <w:u w:val="single"/>
          <w:lang w:val="sr-Latn-RS"/>
        </w:rPr>
      </w:pPr>
      <w:r w:rsidRPr="00175472">
        <w:rPr>
          <w:rFonts w:eastAsia="Calibri"/>
          <w:szCs w:val="22"/>
          <w:u w:val="single"/>
          <w:lang w:val="sr-Latn-RS"/>
        </w:rPr>
        <w:t>Prijavljivanje sumnji na neželjena dejstva</w:t>
      </w:r>
    </w:p>
    <w:p w14:paraId="19E5702A" w14:textId="77777777" w:rsidR="00A52C53" w:rsidRPr="00175472" w:rsidRDefault="00A52C53">
      <w:pPr>
        <w:tabs>
          <w:tab w:val="clear" w:pos="284"/>
        </w:tabs>
        <w:spacing w:after="200"/>
        <w:rPr>
          <w:rFonts w:eastAsia="Calibri"/>
          <w:szCs w:val="22"/>
          <w:lang w:val="sr-Latn-RS"/>
        </w:rPr>
      </w:pPr>
      <w:r w:rsidRPr="00175472">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20CC9A3" w14:textId="77777777" w:rsidR="00A52C53" w:rsidRPr="00175472" w:rsidRDefault="00A52C53">
      <w:pPr>
        <w:tabs>
          <w:tab w:val="clear" w:pos="284"/>
        </w:tabs>
        <w:rPr>
          <w:rFonts w:eastAsia="Calibri"/>
          <w:szCs w:val="22"/>
          <w:lang w:val="sr-Latn-RS"/>
        </w:rPr>
      </w:pPr>
      <w:r w:rsidRPr="00175472">
        <w:rPr>
          <w:rFonts w:eastAsia="Calibri"/>
          <w:szCs w:val="22"/>
          <w:lang w:val="sr-Latn-RS"/>
        </w:rPr>
        <w:t xml:space="preserve">Institut za ljekove i medicinska sredstva </w:t>
      </w:r>
    </w:p>
    <w:p w14:paraId="0FA0258B" w14:textId="77777777" w:rsidR="00A52C53" w:rsidRPr="00175472" w:rsidRDefault="00A52C53">
      <w:pPr>
        <w:tabs>
          <w:tab w:val="clear" w:pos="284"/>
        </w:tabs>
        <w:rPr>
          <w:rFonts w:eastAsia="Calibri"/>
          <w:szCs w:val="22"/>
          <w:lang w:val="sr-Latn-RS"/>
        </w:rPr>
      </w:pPr>
      <w:r w:rsidRPr="00175472">
        <w:rPr>
          <w:rFonts w:eastAsia="Calibri"/>
          <w:szCs w:val="22"/>
          <w:lang w:val="sr-Latn-RS"/>
        </w:rPr>
        <w:t>Odjeljenje za farmakovigilancu</w:t>
      </w:r>
    </w:p>
    <w:p w14:paraId="0DCD093C" w14:textId="77777777" w:rsidR="00A52C53" w:rsidRPr="00175472" w:rsidRDefault="00A52C53">
      <w:pPr>
        <w:tabs>
          <w:tab w:val="clear" w:pos="284"/>
        </w:tabs>
        <w:rPr>
          <w:rFonts w:eastAsia="Calibri"/>
          <w:szCs w:val="22"/>
          <w:lang w:val="sr-Latn-RS"/>
        </w:rPr>
      </w:pPr>
      <w:r w:rsidRPr="00175472">
        <w:rPr>
          <w:rFonts w:eastAsia="Calibri"/>
          <w:szCs w:val="22"/>
          <w:lang w:val="sr-Latn-RS"/>
        </w:rPr>
        <w:t>Bulevar Ivana Crnojevića 64a, 81000 Podgorica</w:t>
      </w:r>
    </w:p>
    <w:p w14:paraId="0DE7FE12" w14:textId="77777777" w:rsidR="00A52C53" w:rsidRPr="00175472" w:rsidRDefault="00A52C53" w:rsidP="009A522B">
      <w:pPr>
        <w:tabs>
          <w:tab w:val="clear" w:pos="284"/>
        </w:tabs>
        <w:rPr>
          <w:rFonts w:eastAsia="Calibri"/>
          <w:szCs w:val="22"/>
          <w:lang w:val="sr-Latn-RS"/>
        </w:rPr>
      </w:pPr>
    </w:p>
    <w:p w14:paraId="180A9FA8" w14:textId="77777777" w:rsidR="00A52C53" w:rsidRPr="00175472" w:rsidRDefault="00A52C53">
      <w:pPr>
        <w:tabs>
          <w:tab w:val="clear" w:pos="284"/>
        </w:tabs>
        <w:rPr>
          <w:rFonts w:eastAsia="Calibri"/>
          <w:szCs w:val="22"/>
          <w:lang w:val="sr-Latn-RS"/>
        </w:rPr>
      </w:pPr>
      <w:r w:rsidRPr="00175472">
        <w:rPr>
          <w:rFonts w:eastAsia="Calibri"/>
          <w:szCs w:val="22"/>
          <w:lang w:val="sr-Latn-RS"/>
        </w:rPr>
        <w:t>tel: +382 (0) 20 310 280</w:t>
      </w:r>
    </w:p>
    <w:p w14:paraId="6A9B9C76" w14:textId="77777777" w:rsidR="00A52C53" w:rsidRPr="00175472" w:rsidRDefault="00A52C53">
      <w:pPr>
        <w:tabs>
          <w:tab w:val="clear" w:pos="284"/>
          <w:tab w:val="left" w:pos="6720"/>
        </w:tabs>
        <w:rPr>
          <w:rFonts w:eastAsia="Calibri"/>
          <w:szCs w:val="22"/>
          <w:lang w:val="sr-Latn-RS"/>
        </w:rPr>
      </w:pPr>
      <w:r w:rsidRPr="00175472">
        <w:rPr>
          <w:rFonts w:eastAsia="Calibri"/>
          <w:szCs w:val="22"/>
          <w:lang w:val="sr-Latn-RS"/>
        </w:rPr>
        <w:t>fax: +382 (0) 20 310 581</w:t>
      </w:r>
      <w:r w:rsidRPr="00175472">
        <w:rPr>
          <w:rFonts w:eastAsia="Calibri"/>
          <w:szCs w:val="22"/>
          <w:lang w:val="sr-Latn-RS"/>
        </w:rPr>
        <w:tab/>
      </w:r>
    </w:p>
    <w:p w14:paraId="6ECE500D" w14:textId="77777777" w:rsidR="00A52C53" w:rsidRPr="00175472" w:rsidRDefault="004B6F31">
      <w:pPr>
        <w:tabs>
          <w:tab w:val="clear" w:pos="284"/>
        </w:tabs>
        <w:rPr>
          <w:rFonts w:eastAsia="Calibri"/>
          <w:szCs w:val="22"/>
          <w:lang w:val="sr-Latn-RS"/>
        </w:rPr>
      </w:pPr>
      <w:hyperlink r:id="rId7" w:history="1">
        <w:r w:rsidR="00A52C53" w:rsidRPr="00175472">
          <w:rPr>
            <w:rFonts w:eastAsia="Calibri"/>
            <w:color w:val="0563C1"/>
            <w:szCs w:val="22"/>
            <w:u w:val="single"/>
            <w:lang w:val="sr-Latn-RS"/>
          </w:rPr>
          <w:t>www.cinmed.me</w:t>
        </w:r>
      </w:hyperlink>
    </w:p>
    <w:p w14:paraId="7BE20638" w14:textId="77777777" w:rsidR="00A52C53" w:rsidRPr="00175472" w:rsidRDefault="004B6F31">
      <w:pPr>
        <w:tabs>
          <w:tab w:val="clear" w:pos="284"/>
        </w:tabs>
        <w:rPr>
          <w:rFonts w:eastAsia="Calibri"/>
          <w:color w:val="0000FF"/>
          <w:szCs w:val="22"/>
          <w:u w:val="single"/>
          <w:lang w:val="sr-Latn-RS"/>
        </w:rPr>
      </w:pPr>
      <w:hyperlink r:id="rId8" w:history="1">
        <w:r w:rsidR="00A52C53" w:rsidRPr="00175472">
          <w:rPr>
            <w:rFonts w:eastAsia="Calibri"/>
            <w:color w:val="0563C1"/>
            <w:szCs w:val="22"/>
            <w:u w:val="single"/>
            <w:lang w:val="sr-Latn-RS"/>
          </w:rPr>
          <w:t>nezeljenadejstva@cinmed.me</w:t>
        </w:r>
      </w:hyperlink>
    </w:p>
    <w:p w14:paraId="29158A28" w14:textId="77777777" w:rsidR="00A52C53" w:rsidRPr="00175472" w:rsidRDefault="00A52C53">
      <w:pPr>
        <w:tabs>
          <w:tab w:val="clear" w:pos="284"/>
        </w:tabs>
        <w:rPr>
          <w:rFonts w:eastAsia="Calibri"/>
          <w:szCs w:val="22"/>
          <w:lang w:val="sr-Latn-RS"/>
        </w:rPr>
      </w:pPr>
      <w:r w:rsidRPr="00175472">
        <w:rPr>
          <w:rFonts w:eastAsia="Calibri"/>
          <w:szCs w:val="22"/>
          <w:lang w:val="sr-Latn-RS"/>
        </w:rPr>
        <w:t>putem IS zdravstvene zaštite</w:t>
      </w:r>
    </w:p>
    <w:p w14:paraId="3A61E517" w14:textId="77777777" w:rsidR="00A52C53" w:rsidRPr="00175472" w:rsidRDefault="00A52C53">
      <w:pPr>
        <w:tabs>
          <w:tab w:val="clear" w:pos="284"/>
        </w:tabs>
        <w:rPr>
          <w:rFonts w:eastAsia="Calibri"/>
          <w:szCs w:val="22"/>
          <w:lang w:val="sr-Latn-RS"/>
        </w:rPr>
      </w:pPr>
      <w:r w:rsidRPr="00175472">
        <w:rPr>
          <w:rFonts w:eastAsia="Calibri"/>
          <w:szCs w:val="22"/>
          <w:lang w:val="sr-Latn-RS"/>
        </w:rPr>
        <w:t>QR kod za online prijavu sumnje na neželjeno dejstvo lijeka:</w:t>
      </w:r>
    </w:p>
    <w:p w14:paraId="589E84E9" w14:textId="77777777" w:rsidR="00A52C53" w:rsidRPr="00175472" w:rsidRDefault="00A52C53">
      <w:pPr>
        <w:tabs>
          <w:tab w:val="clear" w:pos="284"/>
        </w:tabs>
        <w:rPr>
          <w:rFonts w:eastAsia="Calibri"/>
          <w:szCs w:val="22"/>
          <w:lang w:val="sr-Latn-RS"/>
        </w:rPr>
      </w:pPr>
    </w:p>
    <w:p w14:paraId="545DCB84" w14:textId="77777777" w:rsidR="00A52C53" w:rsidRPr="00175472" w:rsidRDefault="00A52C53" w:rsidP="009A522B">
      <w:pPr>
        <w:tabs>
          <w:tab w:val="clear" w:pos="284"/>
        </w:tabs>
        <w:rPr>
          <w:rFonts w:eastAsia="Calibri"/>
          <w:szCs w:val="22"/>
          <w:lang w:val="sr-Latn-RS"/>
        </w:rPr>
      </w:pPr>
      <w:r w:rsidRPr="009A522B">
        <w:rPr>
          <w:noProof/>
          <w:szCs w:val="22"/>
        </w:rPr>
        <w:drawing>
          <wp:inline distT="0" distB="0" distL="0" distR="0" wp14:anchorId="2D555DDF" wp14:editId="3EFF0276">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C416458" w14:textId="2BB69EED" w:rsidR="00032C33" w:rsidRPr="00175472" w:rsidRDefault="00032C33">
      <w:pPr>
        <w:spacing w:before="240" w:after="240"/>
        <w:rPr>
          <w:b/>
          <w:bCs/>
          <w:szCs w:val="22"/>
          <w:lang w:val="sr-Latn-CS"/>
        </w:rPr>
      </w:pPr>
      <w:r w:rsidRPr="00175472">
        <w:rPr>
          <w:b/>
          <w:bCs/>
          <w:szCs w:val="22"/>
          <w:lang w:val="sr-Latn-CS"/>
        </w:rPr>
        <w:t>4.9. Predoziranje</w:t>
      </w:r>
    </w:p>
    <w:p w14:paraId="7C416459" w14:textId="2CCBF2BB" w:rsidR="00032C33" w:rsidRPr="00175472" w:rsidRDefault="00032C33">
      <w:pPr>
        <w:spacing w:before="240"/>
        <w:rPr>
          <w:color w:val="000000"/>
          <w:szCs w:val="22"/>
          <w:lang w:val="sr-Latn-CS"/>
        </w:rPr>
      </w:pPr>
      <w:r w:rsidRPr="00175472">
        <w:rPr>
          <w:color w:val="000000"/>
          <w:szCs w:val="22"/>
          <w:lang w:val="sr-Latn-CS"/>
        </w:rPr>
        <w:lastRenderedPageBreak/>
        <w:t>Nakon predoziranja ni</w:t>
      </w:r>
      <w:r w:rsidR="00DF1796">
        <w:rPr>
          <w:color w:val="000000"/>
          <w:szCs w:val="22"/>
          <w:lang w:val="sr-Latn-CS"/>
        </w:rPr>
        <w:t>je</w:t>
      </w:r>
      <w:r w:rsidRPr="00175472">
        <w:rPr>
          <w:color w:val="000000"/>
          <w:szCs w:val="22"/>
          <w:lang w:val="sr-Latn-CS"/>
        </w:rPr>
        <w:t>su neophodne posebne terapijske m</w:t>
      </w:r>
      <w:r w:rsidR="000E2085" w:rsidRPr="00175472">
        <w:rPr>
          <w:color w:val="000000"/>
          <w:szCs w:val="22"/>
          <w:lang w:val="sr-Latn-CS"/>
        </w:rPr>
        <w:t>j</w:t>
      </w:r>
      <w:r w:rsidRPr="00175472">
        <w:rPr>
          <w:color w:val="000000"/>
          <w:szCs w:val="22"/>
          <w:lang w:val="sr-Latn-CS"/>
        </w:rPr>
        <w:t>ere izuzev prekida davanja l</w:t>
      </w:r>
      <w:r w:rsidR="000E2085" w:rsidRPr="00175472">
        <w:rPr>
          <w:color w:val="000000"/>
          <w:szCs w:val="22"/>
          <w:lang w:val="sr-Latn-CS"/>
        </w:rPr>
        <w:t>ij</w:t>
      </w:r>
      <w:r w:rsidRPr="00175472">
        <w:rPr>
          <w:color w:val="000000"/>
          <w:szCs w:val="22"/>
          <w:lang w:val="sr-Latn-CS"/>
        </w:rPr>
        <w:t>eka ili smanjenja doze.</w:t>
      </w:r>
    </w:p>
    <w:p w14:paraId="298A305D" w14:textId="3DD3D43F" w:rsidR="0058126E" w:rsidRDefault="00032C33">
      <w:pPr>
        <w:spacing w:after="240"/>
        <w:rPr>
          <w:color w:val="000000"/>
          <w:szCs w:val="22"/>
          <w:lang w:val="sr-Latn-CS"/>
        </w:rPr>
      </w:pPr>
      <w:r w:rsidRPr="00175472">
        <w:rPr>
          <w:color w:val="000000"/>
          <w:szCs w:val="22"/>
          <w:lang w:val="sr-Latn-CS"/>
        </w:rPr>
        <w:t>Rezultati akutne toksičnosti ukazuju da se testosteron</w:t>
      </w:r>
      <w:r w:rsidR="00DF1796">
        <w:rPr>
          <w:color w:val="000000"/>
          <w:szCs w:val="22"/>
          <w:lang w:val="sr-Latn-CS"/>
        </w:rPr>
        <w:t xml:space="preserve"> </w:t>
      </w:r>
      <w:r w:rsidRPr="00175472">
        <w:rPr>
          <w:color w:val="000000"/>
          <w:szCs w:val="22"/>
          <w:lang w:val="sr-Latn-CS"/>
        </w:rPr>
        <w:t>enantat može klasifikovati kao netoksičan nakon pojedinačne prim</w:t>
      </w:r>
      <w:r w:rsidR="000E2085" w:rsidRPr="00175472">
        <w:rPr>
          <w:color w:val="000000"/>
          <w:szCs w:val="22"/>
          <w:lang w:val="sr-Latn-CS"/>
        </w:rPr>
        <w:t>j</w:t>
      </w:r>
      <w:r w:rsidRPr="00175472">
        <w:rPr>
          <w:color w:val="000000"/>
          <w:szCs w:val="22"/>
          <w:lang w:val="sr-Latn-CS"/>
        </w:rPr>
        <w:t>ene. Čak i u slučaju nehotičnog predoziranja prim</w:t>
      </w:r>
      <w:r w:rsidR="000E2085" w:rsidRPr="00175472">
        <w:rPr>
          <w:color w:val="000000"/>
          <w:szCs w:val="22"/>
          <w:lang w:val="sr-Latn-CS"/>
        </w:rPr>
        <w:t>j</w:t>
      </w:r>
      <w:r w:rsidRPr="00175472">
        <w:rPr>
          <w:color w:val="000000"/>
          <w:szCs w:val="22"/>
          <w:lang w:val="sr-Latn-CS"/>
        </w:rPr>
        <w:t>enom većeg broja doza zbog zaht</w:t>
      </w:r>
      <w:r w:rsidR="000E2085" w:rsidRPr="00175472">
        <w:rPr>
          <w:color w:val="000000"/>
          <w:szCs w:val="22"/>
          <w:lang w:val="sr-Latn-CS"/>
        </w:rPr>
        <w:t>j</w:t>
      </w:r>
      <w:r w:rsidRPr="00175472">
        <w:rPr>
          <w:color w:val="000000"/>
          <w:szCs w:val="22"/>
          <w:lang w:val="sr-Latn-CS"/>
        </w:rPr>
        <w:t>eva terapije, rizik od pojave akutne toksičnosti se ne očekuje.</w:t>
      </w:r>
    </w:p>
    <w:p w14:paraId="028249A2" w14:textId="77777777" w:rsidR="0058126E" w:rsidRPr="0058126E" w:rsidRDefault="0058126E" w:rsidP="0058126E">
      <w:pPr>
        <w:rPr>
          <w:color w:val="000000"/>
          <w:szCs w:val="22"/>
          <w:lang w:val="sr-Latn-CS"/>
        </w:rPr>
      </w:pPr>
    </w:p>
    <w:p w14:paraId="7C41645B" w14:textId="77777777" w:rsidR="00032C33" w:rsidRPr="00175472" w:rsidRDefault="00032C33" w:rsidP="009A522B">
      <w:pPr>
        <w:pStyle w:val="NASLOV123"/>
        <w:jc w:val="both"/>
        <w:rPr>
          <w:lang w:val="sr-Latn-CS"/>
        </w:rPr>
      </w:pPr>
      <w:r w:rsidRPr="00175472">
        <w:rPr>
          <w:lang w:val="sr-Latn-CS"/>
        </w:rPr>
        <w:t>5. FARMAKOLOŠKI PODACI</w:t>
      </w:r>
    </w:p>
    <w:p w14:paraId="7C41645C" w14:textId="77777777" w:rsidR="00032C33" w:rsidRPr="00175472" w:rsidRDefault="00032C33">
      <w:pPr>
        <w:rPr>
          <w:b/>
          <w:bCs/>
          <w:szCs w:val="22"/>
          <w:lang w:val="sr-Latn-CS"/>
        </w:rPr>
      </w:pPr>
      <w:r w:rsidRPr="00175472">
        <w:rPr>
          <w:b/>
          <w:bCs/>
          <w:szCs w:val="22"/>
          <w:lang w:val="sr-Latn-CS"/>
        </w:rPr>
        <w:t>5.1. Farmakodinamski podaci</w:t>
      </w:r>
    </w:p>
    <w:p w14:paraId="58FC72A1" w14:textId="77777777" w:rsidR="00A52C53" w:rsidRPr="00175472" w:rsidRDefault="00A52C53">
      <w:pPr>
        <w:rPr>
          <w:szCs w:val="22"/>
          <w:lang w:val="sr-Latn-CS"/>
        </w:rPr>
      </w:pPr>
    </w:p>
    <w:p w14:paraId="7C41645D" w14:textId="2DB0215B" w:rsidR="00032C33" w:rsidRPr="00175472" w:rsidRDefault="00032C33">
      <w:pPr>
        <w:rPr>
          <w:szCs w:val="22"/>
          <w:lang w:val="sr-Latn-CS"/>
        </w:rPr>
      </w:pPr>
      <w:r w:rsidRPr="00175472">
        <w:rPr>
          <w:szCs w:val="22"/>
          <w:lang w:val="sr-Latn-CS"/>
        </w:rPr>
        <w:t xml:space="preserve">Farmakoterapijska grupa: </w:t>
      </w:r>
      <w:r w:rsidRPr="00175472">
        <w:rPr>
          <w:szCs w:val="22"/>
          <w:lang w:val="sr-Latn-CS"/>
        </w:rPr>
        <w:tab/>
        <w:t>Androgeni. Derivati 3-androst-4-ona</w:t>
      </w:r>
    </w:p>
    <w:p w14:paraId="7C41645E" w14:textId="44B19190" w:rsidR="00032C33" w:rsidRPr="00175472" w:rsidRDefault="00032C33">
      <w:pPr>
        <w:spacing w:before="240" w:after="240"/>
        <w:rPr>
          <w:szCs w:val="22"/>
          <w:lang w:val="sr-Latn-CS"/>
        </w:rPr>
      </w:pPr>
      <w:r w:rsidRPr="00175472">
        <w:rPr>
          <w:szCs w:val="22"/>
          <w:lang w:val="sr-Latn-CS"/>
        </w:rPr>
        <w:t xml:space="preserve">ATC </w:t>
      </w:r>
      <w:r w:rsidR="000E2085" w:rsidRPr="00175472">
        <w:rPr>
          <w:szCs w:val="22"/>
          <w:lang w:val="sr-Latn-CS"/>
        </w:rPr>
        <w:t>kod</w:t>
      </w:r>
      <w:r w:rsidRPr="00175472">
        <w:rPr>
          <w:szCs w:val="22"/>
          <w:lang w:val="sr-Latn-CS"/>
        </w:rPr>
        <w:t>: G03BA03</w:t>
      </w:r>
    </w:p>
    <w:p w14:paraId="7C41645F" w14:textId="203AB309" w:rsidR="00032C33" w:rsidRPr="00175472" w:rsidRDefault="00032C33">
      <w:pPr>
        <w:spacing w:before="120"/>
        <w:rPr>
          <w:szCs w:val="22"/>
          <w:lang w:val="sr-Latn-CS"/>
        </w:rPr>
      </w:pPr>
      <w:r w:rsidRPr="00175472">
        <w:rPr>
          <w:szCs w:val="22"/>
          <w:lang w:val="sr-Latn-CS"/>
        </w:rPr>
        <w:t>Testosteron</w:t>
      </w:r>
      <w:r w:rsidR="00DF1796">
        <w:rPr>
          <w:szCs w:val="22"/>
          <w:lang w:val="sr-Latn-CS"/>
        </w:rPr>
        <w:t xml:space="preserve"> </w:t>
      </w:r>
      <w:r w:rsidRPr="00175472">
        <w:rPr>
          <w:szCs w:val="22"/>
          <w:lang w:val="sr-Latn-CS"/>
        </w:rPr>
        <w:t xml:space="preserve">enantat je estar prirodnog muškog hormona testosterona i iskazuje sva farmakološka dejstva prirodnog hormona. </w:t>
      </w:r>
      <w:r w:rsidRPr="00175472">
        <w:rPr>
          <w:szCs w:val="22"/>
          <w:lang w:val="pl-PL"/>
        </w:rPr>
        <w:t>Razlikuje se jedino po svom depo efektu, odnosno osobini preparata da se sporo razgrađuje do testosterona u organizmu.</w:t>
      </w:r>
    </w:p>
    <w:p w14:paraId="7C416460" w14:textId="77777777" w:rsidR="00032C33" w:rsidRPr="00175472" w:rsidRDefault="00032C33">
      <w:pPr>
        <w:spacing w:before="240" w:after="240"/>
        <w:rPr>
          <w:szCs w:val="22"/>
          <w:lang w:val="sr-Latn-CS"/>
        </w:rPr>
      </w:pPr>
      <w:r w:rsidRPr="00175472">
        <w:rPr>
          <w:b/>
          <w:bCs/>
          <w:szCs w:val="22"/>
          <w:lang w:val="sr-Latn-CS"/>
        </w:rPr>
        <w:t>5.2. Farmakokinetički podaci</w:t>
      </w:r>
    </w:p>
    <w:p w14:paraId="7C416461" w14:textId="0B5F3314" w:rsidR="00032C33" w:rsidRPr="00C12DB3" w:rsidRDefault="00032C33">
      <w:pPr>
        <w:pStyle w:val="Header"/>
        <w:tabs>
          <w:tab w:val="clear" w:pos="4536"/>
          <w:tab w:val="clear" w:pos="9072"/>
          <w:tab w:val="left" w:pos="284"/>
        </w:tabs>
        <w:spacing w:before="240"/>
        <w:rPr>
          <w:szCs w:val="22"/>
          <w:lang w:val="sr-Latn-CS"/>
        </w:rPr>
      </w:pPr>
      <w:r w:rsidRPr="00175472">
        <w:rPr>
          <w:szCs w:val="22"/>
          <w:lang w:val="sr-Latn-CS"/>
        </w:rPr>
        <w:t>Nakon intramuskularne prim</w:t>
      </w:r>
      <w:r w:rsidR="000E2085" w:rsidRPr="00175472">
        <w:rPr>
          <w:szCs w:val="22"/>
          <w:lang w:val="sr-Latn-CS"/>
        </w:rPr>
        <w:t>j</w:t>
      </w:r>
      <w:r w:rsidRPr="00175472">
        <w:rPr>
          <w:szCs w:val="22"/>
          <w:lang w:val="sr-Latn-CS"/>
        </w:rPr>
        <w:t>ene 200 mg testosteron</w:t>
      </w:r>
      <w:r w:rsidR="00DF1796">
        <w:rPr>
          <w:szCs w:val="22"/>
          <w:lang w:val="sr-Latn-CS"/>
        </w:rPr>
        <w:t xml:space="preserve"> </w:t>
      </w:r>
      <w:r w:rsidRPr="00175472">
        <w:rPr>
          <w:szCs w:val="22"/>
          <w:lang w:val="sr-Latn-CS"/>
        </w:rPr>
        <w:t xml:space="preserve">enantata kod </w:t>
      </w:r>
      <w:r w:rsidR="005F4DBA">
        <w:rPr>
          <w:szCs w:val="22"/>
          <w:lang w:val="sr-Latn-CS"/>
        </w:rPr>
        <w:t>7</w:t>
      </w:r>
      <w:r w:rsidRPr="00C12DB3">
        <w:rPr>
          <w:szCs w:val="22"/>
          <w:lang w:val="sr-Latn-CS"/>
        </w:rPr>
        <w:t xml:space="preserve"> hipogonadalnih muškaraca:</w:t>
      </w:r>
    </w:p>
    <w:p w14:paraId="7C416462" w14:textId="086F9709" w:rsidR="00032C33" w:rsidRPr="00C12DB3" w:rsidRDefault="00032C33">
      <w:pPr>
        <w:pStyle w:val="Header"/>
        <w:numPr>
          <w:ilvl w:val="0"/>
          <w:numId w:val="5"/>
        </w:numPr>
        <w:tabs>
          <w:tab w:val="clear" w:pos="4536"/>
          <w:tab w:val="clear" w:pos="9072"/>
          <w:tab w:val="left" w:pos="284"/>
        </w:tabs>
        <w:rPr>
          <w:szCs w:val="22"/>
          <w:lang w:val="pl-PL"/>
        </w:rPr>
      </w:pPr>
      <w:r w:rsidRPr="00C12DB3">
        <w:rPr>
          <w:szCs w:val="22"/>
          <w:lang w:val="pl-PL"/>
        </w:rPr>
        <w:t>maksimum koncentracije u serumu iznosi 1233 ± 484 nanograma/</w:t>
      </w:r>
      <w:r w:rsidR="005F4DBA">
        <w:rPr>
          <w:szCs w:val="22"/>
          <w:lang w:val="pl-PL"/>
        </w:rPr>
        <w:t>dl</w:t>
      </w:r>
      <w:r w:rsidRPr="00C12DB3">
        <w:rPr>
          <w:szCs w:val="22"/>
          <w:lang w:val="pl-PL"/>
        </w:rPr>
        <w:t xml:space="preserve"> i postiže se nakon 24 sata;</w:t>
      </w:r>
    </w:p>
    <w:p w14:paraId="7C416463" w14:textId="2EF0C9E6" w:rsidR="00032C33" w:rsidRPr="00175472" w:rsidRDefault="00032C33">
      <w:pPr>
        <w:pStyle w:val="Header"/>
        <w:numPr>
          <w:ilvl w:val="0"/>
          <w:numId w:val="5"/>
        </w:numPr>
        <w:tabs>
          <w:tab w:val="clear" w:pos="4536"/>
          <w:tab w:val="clear" w:pos="9072"/>
          <w:tab w:val="left" w:pos="284"/>
        </w:tabs>
        <w:rPr>
          <w:color w:val="000000"/>
          <w:szCs w:val="22"/>
          <w:lang w:val="pl-PL"/>
        </w:rPr>
      </w:pPr>
      <w:r w:rsidRPr="00C12DB3">
        <w:rPr>
          <w:szCs w:val="22"/>
          <w:lang w:val="pl-PL"/>
        </w:rPr>
        <w:t>fiziološki nivoi testosterona (približno 500 nanograma/</w:t>
      </w:r>
      <w:r w:rsidR="005F4DBA">
        <w:rPr>
          <w:szCs w:val="22"/>
          <w:lang w:val="pl-PL"/>
        </w:rPr>
        <w:t>dl</w:t>
      </w:r>
      <w:r w:rsidRPr="00C12DB3">
        <w:rPr>
          <w:szCs w:val="22"/>
          <w:lang w:val="pl-PL"/>
        </w:rPr>
        <w:t>)</w:t>
      </w:r>
      <w:r w:rsidRPr="00175472">
        <w:rPr>
          <w:szCs w:val="22"/>
          <w:lang w:val="pl-PL"/>
        </w:rPr>
        <w:t xml:space="preserve"> se održavaju tokom 11 dana.</w:t>
      </w:r>
      <w:r w:rsidRPr="00175472">
        <w:rPr>
          <w:color w:val="000000"/>
          <w:szCs w:val="22"/>
          <w:lang w:val="pl-PL"/>
        </w:rPr>
        <w:t xml:space="preserve"> </w:t>
      </w:r>
    </w:p>
    <w:p w14:paraId="7C416464" w14:textId="4C7AC4CC" w:rsidR="00032C33" w:rsidRPr="00175472" w:rsidRDefault="00032C33">
      <w:pPr>
        <w:spacing w:after="240"/>
        <w:rPr>
          <w:szCs w:val="22"/>
          <w:lang w:val="sr-Latn-CS"/>
        </w:rPr>
      </w:pPr>
      <w:r w:rsidRPr="00175472">
        <w:rPr>
          <w:szCs w:val="22"/>
          <w:lang w:val="pl-PL"/>
        </w:rPr>
        <w:t>Poluvr</w:t>
      </w:r>
      <w:r w:rsidR="000E2085" w:rsidRPr="00175472">
        <w:rPr>
          <w:szCs w:val="22"/>
          <w:lang w:val="pl-PL"/>
        </w:rPr>
        <w:t>ij</w:t>
      </w:r>
      <w:r w:rsidRPr="00175472">
        <w:rPr>
          <w:szCs w:val="22"/>
          <w:lang w:val="pl-PL"/>
        </w:rPr>
        <w:t>eme eliminacije iz krvi iznosi 2 - 3 dana (zdravi muški dobrovoljci).</w:t>
      </w:r>
    </w:p>
    <w:p w14:paraId="7C416465" w14:textId="68C3F5E6" w:rsidR="00032C33" w:rsidRPr="00175472" w:rsidRDefault="00032C33">
      <w:pPr>
        <w:rPr>
          <w:szCs w:val="22"/>
          <w:lang w:val="sr-Latn-CS"/>
        </w:rPr>
      </w:pPr>
      <w:r w:rsidRPr="00175472">
        <w:rPr>
          <w:b/>
          <w:bCs/>
          <w:szCs w:val="22"/>
          <w:lang w:val="sr-Latn-CS"/>
        </w:rPr>
        <w:t>5.3. Pretklinički podaci o bezb</w:t>
      </w:r>
      <w:r w:rsidR="000E2085" w:rsidRPr="00175472">
        <w:rPr>
          <w:b/>
          <w:bCs/>
          <w:szCs w:val="22"/>
          <w:lang w:val="sr-Latn-CS"/>
        </w:rPr>
        <w:t>j</w:t>
      </w:r>
      <w:r w:rsidRPr="00175472">
        <w:rPr>
          <w:b/>
          <w:bCs/>
          <w:szCs w:val="22"/>
          <w:lang w:val="sr-Latn-CS"/>
        </w:rPr>
        <w:t>ednosti l</w:t>
      </w:r>
      <w:r w:rsidR="000E2085" w:rsidRPr="00175472">
        <w:rPr>
          <w:b/>
          <w:bCs/>
          <w:szCs w:val="22"/>
          <w:lang w:val="sr-Latn-CS"/>
        </w:rPr>
        <w:t>ij</w:t>
      </w:r>
      <w:r w:rsidRPr="00175472">
        <w:rPr>
          <w:b/>
          <w:bCs/>
          <w:szCs w:val="22"/>
          <w:lang w:val="sr-Latn-CS"/>
        </w:rPr>
        <w:t>eka</w:t>
      </w:r>
    </w:p>
    <w:p w14:paraId="7C416466" w14:textId="1D5484CD" w:rsidR="00032C33" w:rsidRDefault="00032C33">
      <w:pPr>
        <w:tabs>
          <w:tab w:val="clear" w:pos="284"/>
        </w:tabs>
        <w:spacing w:before="240"/>
        <w:rPr>
          <w:color w:val="000000"/>
          <w:szCs w:val="22"/>
          <w:lang w:val="sr-Latn-CS"/>
        </w:rPr>
      </w:pPr>
      <w:r w:rsidRPr="00175472">
        <w:rPr>
          <w:szCs w:val="22"/>
          <w:lang w:val="sr-Latn-CS"/>
        </w:rPr>
        <w:t>Studije na životinjama su pokazale da ova formulacija ima minimalni potencijal za izazivanje senzitizacije ili lokalne iritacije nakon intramuskularne injekcije. Dugotrajne sistemske studije su pokazale da nema dokaza testikularne toksičnosti iako se može javiti privremena inhibicija spermatogeneze. Ni</w:t>
      </w:r>
      <w:r w:rsidR="00527DAD">
        <w:rPr>
          <w:szCs w:val="22"/>
          <w:lang w:val="sr-Latn-CS"/>
        </w:rPr>
        <w:t>je</w:t>
      </w:r>
      <w:r w:rsidRPr="00175472">
        <w:rPr>
          <w:szCs w:val="22"/>
          <w:lang w:val="sr-Latn-CS"/>
        </w:rPr>
        <w:t>su sprovedene studije plodnosti sa testosteron</w:t>
      </w:r>
      <w:r w:rsidR="00527DAD">
        <w:rPr>
          <w:szCs w:val="22"/>
          <w:lang w:val="sr-Latn-CS"/>
        </w:rPr>
        <w:t xml:space="preserve"> </w:t>
      </w:r>
      <w:r w:rsidRPr="00175472">
        <w:rPr>
          <w:szCs w:val="22"/>
          <w:lang w:val="sr-Latn-CS"/>
        </w:rPr>
        <w:t>enantatom. Prim</w:t>
      </w:r>
      <w:r w:rsidR="000E2085" w:rsidRPr="00175472">
        <w:rPr>
          <w:szCs w:val="22"/>
          <w:lang w:val="sr-Latn-CS"/>
        </w:rPr>
        <w:t>j</w:t>
      </w:r>
      <w:r w:rsidRPr="00175472">
        <w:rPr>
          <w:szCs w:val="22"/>
          <w:lang w:val="sr-Latn-CS"/>
        </w:rPr>
        <w:t>ena testosteron</w:t>
      </w:r>
      <w:r w:rsidR="00527DAD">
        <w:rPr>
          <w:szCs w:val="22"/>
          <w:lang w:val="sr-Latn-CS"/>
        </w:rPr>
        <w:t xml:space="preserve"> </w:t>
      </w:r>
      <w:r w:rsidRPr="00175472">
        <w:rPr>
          <w:szCs w:val="22"/>
          <w:lang w:val="sr-Latn-CS"/>
        </w:rPr>
        <w:t>enantata je kontraindikovana za vr</w:t>
      </w:r>
      <w:r w:rsidR="000E2085" w:rsidRPr="00175472">
        <w:rPr>
          <w:szCs w:val="22"/>
          <w:lang w:val="sr-Latn-CS"/>
        </w:rPr>
        <w:t>ij</w:t>
      </w:r>
      <w:r w:rsidRPr="00175472">
        <w:rPr>
          <w:szCs w:val="22"/>
          <w:lang w:val="sr-Latn-CS"/>
        </w:rPr>
        <w:t xml:space="preserve">eme trudnoće zbog mogućnosti virilizacije ženskog fetusa. Ispitivanje </w:t>
      </w:r>
      <w:r w:rsidRPr="00175472">
        <w:rPr>
          <w:color w:val="000000"/>
          <w:szCs w:val="22"/>
          <w:lang w:val="sr-Latn-CS"/>
        </w:rPr>
        <w:t>embriotoksičnih, posebno teratogenih dejstava l</w:t>
      </w:r>
      <w:r w:rsidR="000E2085" w:rsidRPr="00175472">
        <w:rPr>
          <w:color w:val="000000"/>
          <w:szCs w:val="22"/>
          <w:lang w:val="sr-Latn-CS"/>
        </w:rPr>
        <w:t>ij</w:t>
      </w:r>
      <w:r w:rsidRPr="00175472">
        <w:rPr>
          <w:color w:val="000000"/>
          <w:szCs w:val="22"/>
          <w:lang w:val="sr-Latn-CS"/>
        </w:rPr>
        <w:t>eka ni</w:t>
      </w:r>
      <w:r w:rsidR="00527DAD">
        <w:rPr>
          <w:color w:val="000000"/>
          <w:szCs w:val="22"/>
          <w:lang w:val="sr-Latn-CS"/>
        </w:rPr>
        <w:t>je</w:t>
      </w:r>
      <w:r w:rsidRPr="00175472">
        <w:rPr>
          <w:color w:val="000000"/>
          <w:szCs w:val="22"/>
          <w:lang w:val="sr-Latn-CS"/>
        </w:rPr>
        <w:t>su ukazala da se mogu desiti dalja oštećenja organa u razvoju.</w:t>
      </w:r>
    </w:p>
    <w:p w14:paraId="4E777527" w14:textId="77777777" w:rsidR="00527DAD" w:rsidRPr="00175472" w:rsidRDefault="00527DAD">
      <w:pPr>
        <w:tabs>
          <w:tab w:val="clear" w:pos="284"/>
        </w:tabs>
        <w:spacing w:before="240"/>
        <w:rPr>
          <w:i/>
          <w:iCs/>
          <w:szCs w:val="22"/>
          <w:lang w:val="it-IT"/>
        </w:rPr>
      </w:pPr>
    </w:p>
    <w:p w14:paraId="53501FCE" w14:textId="7BF5BBBD" w:rsidR="00783FD7" w:rsidRPr="00B67333" w:rsidRDefault="00032C33">
      <w:pPr>
        <w:spacing w:after="240"/>
        <w:rPr>
          <w:lang w:val="it-IT"/>
        </w:rPr>
      </w:pPr>
      <w:r w:rsidRPr="009A522B">
        <w:rPr>
          <w:i/>
          <w:iCs/>
          <w:szCs w:val="22"/>
          <w:lang w:val="it-IT"/>
        </w:rPr>
        <w:t>In vitro</w:t>
      </w:r>
      <w:r w:rsidRPr="009A522B">
        <w:rPr>
          <w:szCs w:val="22"/>
          <w:lang w:val="it-IT"/>
        </w:rPr>
        <w:t xml:space="preserve"> ispitivanja mutagenosti su dala negativne rezultate.</w:t>
      </w:r>
    </w:p>
    <w:p w14:paraId="7C416468" w14:textId="77777777" w:rsidR="00032C33" w:rsidRPr="00F53674" w:rsidRDefault="00032C33" w:rsidP="00923865">
      <w:pPr>
        <w:pStyle w:val="NASLOV123"/>
        <w:rPr>
          <w:lang w:val="sr-Latn-CS"/>
        </w:rPr>
      </w:pPr>
      <w:r w:rsidRPr="00F53674">
        <w:rPr>
          <w:lang w:val="sr-Latn-CS"/>
        </w:rPr>
        <w:t>6. FARMACEUTSKI PODACI</w:t>
      </w:r>
    </w:p>
    <w:p w14:paraId="7C416469" w14:textId="158A3EBB" w:rsidR="00032C33" w:rsidRPr="00383195" w:rsidRDefault="00032C33" w:rsidP="00923865">
      <w:pPr>
        <w:rPr>
          <w:b/>
          <w:bCs/>
          <w:szCs w:val="22"/>
          <w:lang w:val="sr-Latn-CS"/>
        </w:rPr>
      </w:pPr>
      <w:r w:rsidRPr="00F53674">
        <w:rPr>
          <w:b/>
          <w:bCs/>
          <w:szCs w:val="22"/>
          <w:lang w:val="sr-Latn-CS"/>
        </w:rPr>
        <w:t>6.1. Lista pomo</w:t>
      </w:r>
      <w:r w:rsidRPr="00383195">
        <w:rPr>
          <w:b/>
          <w:bCs/>
          <w:szCs w:val="22"/>
          <w:lang w:val="sr-Latn-CS"/>
        </w:rPr>
        <w:t>ćnih supstanci</w:t>
      </w:r>
      <w:r w:rsidR="000E2085">
        <w:rPr>
          <w:b/>
          <w:bCs/>
          <w:szCs w:val="22"/>
          <w:lang w:val="sr-Latn-CS"/>
        </w:rPr>
        <w:t xml:space="preserve"> (ekscipijenasa)</w:t>
      </w:r>
    </w:p>
    <w:p w14:paraId="7C41646A" w14:textId="77777777" w:rsidR="00032C33" w:rsidRPr="00586CC7" w:rsidRDefault="00032C33" w:rsidP="00736DA0">
      <w:pPr>
        <w:spacing w:before="240" w:after="240"/>
        <w:rPr>
          <w:szCs w:val="22"/>
          <w:lang w:val="sr-Latn-CS"/>
        </w:rPr>
      </w:pPr>
      <w:r w:rsidRPr="00D374FF">
        <w:rPr>
          <w:szCs w:val="22"/>
          <w:lang w:val="it-IT"/>
        </w:rPr>
        <w:t xml:space="preserve">Maslinovo ulje, </w:t>
      </w:r>
      <w:r w:rsidRPr="00586CC7">
        <w:rPr>
          <w:szCs w:val="22"/>
          <w:lang w:val="sr-Latn-CS"/>
        </w:rPr>
        <w:t>prečišćeno.</w:t>
      </w:r>
    </w:p>
    <w:p w14:paraId="7C41646B" w14:textId="7395360A" w:rsidR="00032C33" w:rsidRPr="00586CC7" w:rsidRDefault="00032C33" w:rsidP="00923865">
      <w:pPr>
        <w:rPr>
          <w:szCs w:val="22"/>
          <w:lang w:val="sr-Latn-CS"/>
        </w:rPr>
      </w:pPr>
      <w:r w:rsidRPr="00586CC7">
        <w:rPr>
          <w:b/>
          <w:bCs/>
          <w:szCs w:val="22"/>
          <w:lang w:val="sr-Latn-CS"/>
        </w:rPr>
        <w:t>6.2. Inkompatibilnost</w:t>
      </w:r>
      <w:r w:rsidR="000E2085">
        <w:rPr>
          <w:b/>
          <w:bCs/>
          <w:szCs w:val="22"/>
          <w:lang w:val="sr-Latn-CS"/>
        </w:rPr>
        <w:t>i</w:t>
      </w:r>
    </w:p>
    <w:p w14:paraId="7C41646C" w14:textId="64D46A1B" w:rsidR="00032C33" w:rsidRPr="00586CC7" w:rsidRDefault="00032C33" w:rsidP="00736DA0">
      <w:pPr>
        <w:spacing w:before="240" w:after="240"/>
        <w:rPr>
          <w:szCs w:val="22"/>
          <w:lang w:val="sr-Latn-CS"/>
        </w:rPr>
      </w:pPr>
      <w:r>
        <w:rPr>
          <w:szCs w:val="22"/>
          <w:lang w:val="sr-Latn-CS"/>
        </w:rPr>
        <w:t>Zbog nedostatka studija kompatibilnosti, ovaj l</w:t>
      </w:r>
      <w:r w:rsidR="000E2085">
        <w:rPr>
          <w:szCs w:val="22"/>
          <w:lang w:val="sr-Latn-CS"/>
        </w:rPr>
        <w:t>ij</w:t>
      </w:r>
      <w:r>
        <w:rPr>
          <w:szCs w:val="22"/>
          <w:lang w:val="sr-Latn-CS"/>
        </w:rPr>
        <w:t>ek se ne sm</w:t>
      </w:r>
      <w:r w:rsidR="000E2085">
        <w:rPr>
          <w:szCs w:val="22"/>
          <w:lang w:val="sr-Latn-CS"/>
        </w:rPr>
        <w:t>ij</w:t>
      </w:r>
      <w:r>
        <w:rPr>
          <w:szCs w:val="22"/>
          <w:lang w:val="sr-Latn-CS"/>
        </w:rPr>
        <w:t>e m</w:t>
      </w:r>
      <w:r w:rsidR="000E2085">
        <w:rPr>
          <w:szCs w:val="22"/>
          <w:lang w:val="sr-Latn-CS"/>
        </w:rPr>
        <w:t>j</w:t>
      </w:r>
      <w:r>
        <w:rPr>
          <w:szCs w:val="22"/>
          <w:lang w:val="sr-Latn-CS"/>
        </w:rPr>
        <w:t>ešati sa drugim medicinskim proizvodima.</w:t>
      </w:r>
    </w:p>
    <w:p w14:paraId="7C41646D" w14:textId="77777777" w:rsidR="00032C33" w:rsidRPr="00586CC7" w:rsidRDefault="00032C33" w:rsidP="00923865">
      <w:pPr>
        <w:rPr>
          <w:szCs w:val="22"/>
          <w:lang w:val="sr-Latn-CS"/>
        </w:rPr>
      </w:pPr>
      <w:r w:rsidRPr="00586CC7">
        <w:rPr>
          <w:b/>
          <w:bCs/>
          <w:szCs w:val="22"/>
          <w:lang w:val="sr-Latn-CS"/>
        </w:rPr>
        <w:t>6.3. Rok upotrebe</w:t>
      </w:r>
    </w:p>
    <w:p w14:paraId="7C41646E" w14:textId="0EEA99C4" w:rsidR="00032C33" w:rsidRPr="00586CC7" w:rsidRDefault="00032C33" w:rsidP="00586CC7">
      <w:pPr>
        <w:pStyle w:val="Header"/>
        <w:tabs>
          <w:tab w:val="clear" w:pos="4536"/>
          <w:tab w:val="clear" w:pos="9072"/>
          <w:tab w:val="left" w:pos="284"/>
        </w:tabs>
        <w:spacing w:before="200"/>
        <w:jc w:val="left"/>
        <w:rPr>
          <w:szCs w:val="22"/>
          <w:lang w:val="sr-Latn-CS"/>
        </w:rPr>
      </w:pPr>
      <w:r w:rsidRPr="00586CC7">
        <w:rPr>
          <w:szCs w:val="22"/>
          <w:lang w:val="sr-Latn-CS"/>
        </w:rPr>
        <w:t>5 godina</w:t>
      </w:r>
      <w:r w:rsidR="00783FD7">
        <w:rPr>
          <w:szCs w:val="22"/>
          <w:lang w:val="sr-Latn-CS"/>
        </w:rPr>
        <w:t>.</w:t>
      </w:r>
    </w:p>
    <w:p w14:paraId="6AEDA249" w14:textId="77777777" w:rsidR="002479E2" w:rsidRDefault="002479E2" w:rsidP="00923865">
      <w:pPr>
        <w:rPr>
          <w:b/>
          <w:bCs/>
          <w:szCs w:val="22"/>
          <w:lang w:val="it-IT"/>
        </w:rPr>
      </w:pPr>
    </w:p>
    <w:p w14:paraId="7C416470" w14:textId="5AAAF108" w:rsidR="00032C33" w:rsidRDefault="00032C33" w:rsidP="00923865">
      <w:pPr>
        <w:rPr>
          <w:szCs w:val="22"/>
          <w:lang w:val="sr-Latn-CS"/>
        </w:rPr>
      </w:pPr>
      <w:r w:rsidRPr="00D374FF">
        <w:rPr>
          <w:b/>
          <w:bCs/>
          <w:szCs w:val="22"/>
          <w:lang w:val="it-IT"/>
        </w:rPr>
        <w:t>6.4. Posebne m</w:t>
      </w:r>
      <w:r w:rsidR="000E2085">
        <w:rPr>
          <w:b/>
          <w:bCs/>
          <w:szCs w:val="22"/>
          <w:lang w:val="it-IT"/>
        </w:rPr>
        <w:t>j</w:t>
      </w:r>
      <w:r w:rsidRPr="00D374FF">
        <w:rPr>
          <w:b/>
          <w:bCs/>
          <w:szCs w:val="22"/>
          <w:lang w:val="it-IT"/>
        </w:rPr>
        <w:t xml:space="preserve">ere </w:t>
      </w:r>
      <w:r w:rsidRPr="00F44973">
        <w:rPr>
          <w:b/>
          <w:bCs/>
          <w:szCs w:val="22"/>
          <w:lang w:val="sr-Latn-CS"/>
        </w:rPr>
        <w:t xml:space="preserve">opreza </w:t>
      </w:r>
      <w:r w:rsidRPr="00D374FF">
        <w:rPr>
          <w:b/>
          <w:bCs/>
          <w:szCs w:val="22"/>
          <w:lang w:val="it-IT"/>
        </w:rPr>
        <w:t>pri čuvanju</w:t>
      </w:r>
      <w:r w:rsidR="000E2085">
        <w:rPr>
          <w:b/>
          <w:bCs/>
          <w:szCs w:val="22"/>
          <w:lang w:val="it-IT"/>
        </w:rPr>
        <w:t xml:space="preserve"> lijeka</w:t>
      </w:r>
    </w:p>
    <w:p w14:paraId="7C416471" w14:textId="77777777" w:rsidR="00032C33" w:rsidRPr="00F44973" w:rsidRDefault="00032C33" w:rsidP="00586CC7">
      <w:pPr>
        <w:spacing w:before="200" w:after="200"/>
        <w:rPr>
          <w:szCs w:val="22"/>
          <w:lang w:val="sr-Latn-CS"/>
        </w:rPr>
      </w:pPr>
      <w:r w:rsidRPr="00586CC7">
        <w:rPr>
          <w:szCs w:val="22"/>
          <w:lang w:val="sr-Latn-CS"/>
        </w:rPr>
        <w:t>Čuvati u originalnom pakovanju.</w:t>
      </w:r>
    </w:p>
    <w:p w14:paraId="7C416472" w14:textId="71C41DD2" w:rsidR="00032C33" w:rsidRDefault="00032C33" w:rsidP="00923865">
      <w:pPr>
        <w:rPr>
          <w:szCs w:val="22"/>
          <w:lang w:val="sr-Latn-CS"/>
        </w:rPr>
      </w:pPr>
      <w:r>
        <w:rPr>
          <w:b/>
          <w:bCs/>
          <w:szCs w:val="22"/>
          <w:lang w:val="sr-Latn-CS"/>
        </w:rPr>
        <w:lastRenderedPageBreak/>
        <w:t xml:space="preserve">6.5. </w:t>
      </w:r>
      <w:r w:rsidR="000E2085">
        <w:rPr>
          <w:b/>
          <w:bCs/>
          <w:szCs w:val="22"/>
          <w:lang w:val="sr-Latn-CS"/>
        </w:rPr>
        <w:t>Vrsta</w:t>
      </w:r>
      <w:r w:rsidRPr="00383195">
        <w:rPr>
          <w:b/>
          <w:bCs/>
          <w:szCs w:val="22"/>
          <w:lang w:val="sr-Latn-CS"/>
        </w:rPr>
        <w:t xml:space="preserve"> i sadržaj pakovanja</w:t>
      </w:r>
      <w:r>
        <w:rPr>
          <w:b/>
          <w:bCs/>
          <w:szCs w:val="22"/>
          <w:lang w:val="sr-Latn-CS"/>
        </w:rPr>
        <w:t xml:space="preserve"> </w:t>
      </w:r>
    </w:p>
    <w:p w14:paraId="7C416473" w14:textId="4FB25C2D" w:rsidR="00032C33" w:rsidRPr="00811AAE" w:rsidRDefault="00032C33" w:rsidP="00D374FF">
      <w:pPr>
        <w:pStyle w:val="Header"/>
        <w:tabs>
          <w:tab w:val="clear" w:pos="4536"/>
          <w:tab w:val="clear" w:pos="9072"/>
          <w:tab w:val="left" w:pos="284"/>
        </w:tabs>
        <w:spacing w:before="200" w:after="200"/>
        <w:rPr>
          <w:szCs w:val="22"/>
          <w:lang w:val="nl-NL"/>
        </w:rPr>
      </w:pPr>
      <w:r w:rsidRPr="00811AAE">
        <w:rPr>
          <w:szCs w:val="22"/>
          <w:lang w:val="nl-NL"/>
        </w:rPr>
        <w:t>Unutrašnje pakovanje</w:t>
      </w:r>
      <w:r>
        <w:rPr>
          <w:szCs w:val="22"/>
          <w:lang w:val="nl-NL"/>
        </w:rPr>
        <w:t xml:space="preserve"> je</w:t>
      </w:r>
      <w:r w:rsidRPr="00811AAE">
        <w:rPr>
          <w:szCs w:val="22"/>
          <w:lang w:val="nl-NL"/>
        </w:rPr>
        <w:t xml:space="preserve"> ampula od bezbojnog neutralnog stakla I hidrolitičke grupe, sa plavom tačkom za prelom i crvenim </w:t>
      </w:r>
      <w:r>
        <w:rPr>
          <w:szCs w:val="22"/>
          <w:lang w:val="nl-NL"/>
        </w:rPr>
        <w:t xml:space="preserve">(gornji) </w:t>
      </w:r>
      <w:r w:rsidRPr="00811AAE">
        <w:rPr>
          <w:szCs w:val="22"/>
          <w:lang w:val="nl-NL"/>
        </w:rPr>
        <w:t xml:space="preserve">i zelenim </w:t>
      </w:r>
      <w:r>
        <w:rPr>
          <w:szCs w:val="22"/>
          <w:lang w:val="nl-NL"/>
        </w:rPr>
        <w:t xml:space="preserve">(donji) </w:t>
      </w:r>
      <w:r w:rsidRPr="00811AAE">
        <w:rPr>
          <w:szCs w:val="22"/>
          <w:lang w:val="nl-NL"/>
        </w:rPr>
        <w:t>identifikacionim prstenovima na vratu, sa 1 m</w:t>
      </w:r>
      <w:r w:rsidR="000E2085">
        <w:rPr>
          <w:szCs w:val="22"/>
          <w:lang w:val="nl-NL"/>
        </w:rPr>
        <w:t>l</w:t>
      </w:r>
      <w:r w:rsidRPr="00811AAE">
        <w:rPr>
          <w:szCs w:val="22"/>
          <w:lang w:val="nl-NL"/>
        </w:rPr>
        <w:t xml:space="preserve"> rastvora za injekciju.</w:t>
      </w:r>
    </w:p>
    <w:p w14:paraId="7C416474" w14:textId="721CBD13" w:rsidR="00032C33" w:rsidRPr="00F44973" w:rsidRDefault="00032C33" w:rsidP="00586CC7">
      <w:pPr>
        <w:spacing w:before="200" w:after="200"/>
        <w:rPr>
          <w:szCs w:val="22"/>
          <w:lang w:val="sr-Latn-CS"/>
        </w:rPr>
      </w:pPr>
      <w:r>
        <w:rPr>
          <w:szCs w:val="22"/>
          <w:lang w:val="sr-Latn-CS"/>
        </w:rPr>
        <w:t>Spoljnje pakovanje je</w:t>
      </w:r>
      <w:r w:rsidRPr="00811AAE">
        <w:rPr>
          <w:szCs w:val="22"/>
          <w:lang w:val="sr-Latn-CS"/>
        </w:rPr>
        <w:t xml:space="preserve"> složiva kartonska kutija u kojoj se nalazi 5 ampula</w:t>
      </w:r>
      <w:r>
        <w:rPr>
          <w:szCs w:val="22"/>
          <w:lang w:val="sr-Latn-CS"/>
        </w:rPr>
        <w:t xml:space="preserve"> sm</w:t>
      </w:r>
      <w:r w:rsidR="000E2085">
        <w:rPr>
          <w:szCs w:val="22"/>
          <w:lang w:val="sr-Latn-CS"/>
        </w:rPr>
        <w:t>j</w:t>
      </w:r>
      <w:r>
        <w:rPr>
          <w:szCs w:val="22"/>
          <w:lang w:val="sr-Latn-CS"/>
        </w:rPr>
        <w:t>eštenih u PVC uložak</w:t>
      </w:r>
      <w:r w:rsidRPr="00811AAE">
        <w:rPr>
          <w:szCs w:val="22"/>
          <w:lang w:val="sr-Latn-CS"/>
        </w:rPr>
        <w:t xml:space="preserve"> </w:t>
      </w:r>
      <w:r w:rsidRPr="00811AAE">
        <w:rPr>
          <w:szCs w:val="22"/>
          <w:lang w:val="nl-NL"/>
        </w:rPr>
        <w:t>i Uputstvo za l</w:t>
      </w:r>
      <w:r w:rsidR="000E2085">
        <w:rPr>
          <w:szCs w:val="22"/>
          <w:lang w:val="nl-NL"/>
        </w:rPr>
        <w:t>ij</w:t>
      </w:r>
      <w:r w:rsidRPr="00811AAE">
        <w:rPr>
          <w:szCs w:val="22"/>
          <w:lang w:val="nl-NL"/>
        </w:rPr>
        <w:t>ek.</w:t>
      </w:r>
    </w:p>
    <w:p w14:paraId="7C416475" w14:textId="2746B701" w:rsidR="00032C33" w:rsidRPr="00383195" w:rsidRDefault="00032C33" w:rsidP="00923865">
      <w:pPr>
        <w:rPr>
          <w:b/>
          <w:bCs/>
          <w:szCs w:val="22"/>
          <w:lang w:val="sr-Latn-CS"/>
        </w:rPr>
      </w:pPr>
      <w:r w:rsidRPr="00E676EE">
        <w:rPr>
          <w:b/>
          <w:bCs/>
          <w:szCs w:val="22"/>
          <w:lang w:val="sr-Latn-CS"/>
        </w:rPr>
        <w:t>6.6. Posebne m</w:t>
      </w:r>
      <w:r w:rsidR="000E2085">
        <w:rPr>
          <w:b/>
          <w:bCs/>
          <w:szCs w:val="22"/>
          <w:lang w:val="sr-Latn-CS"/>
        </w:rPr>
        <w:t>j</w:t>
      </w:r>
      <w:r w:rsidRPr="00E676EE">
        <w:rPr>
          <w:b/>
          <w:bCs/>
          <w:szCs w:val="22"/>
          <w:lang w:val="sr-Latn-CS"/>
        </w:rPr>
        <w:t>ere opreza pri odlaganju materijala koji treba odbaciti nakon prim</w:t>
      </w:r>
      <w:r w:rsidR="000E2085">
        <w:rPr>
          <w:b/>
          <w:bCs/>
          <w:szCs w:val="22"/>
          <w:lang w:val="sr-Latn-CS"/>
        </w:rPr>
        <w:t>j</w:t>
      </w:r>
      <w:r w:rsidRPr="00E676EE">
        <w:rPr>
          <w:b/>
          <w:bCs/>
          <w:szCs w:val="22"/>
          <w:lang w:val="sr-Latn-CS"/>
        </w:rPr>
        <w:t>ene l</w:t>
      </w:r>
      <w:r w:rsidR="000E2085">
        <w:rPr>
          <w:b/>
          <w:bCs/>
          <w:szCs w:val="22"/>
          <w:lang w:val="sr-Latn-CS"/>
        </w:rPr>
        <w:t>ij</w:t>
      </w:r>
      <w:r w:rsidRPr="00E676EE">
        <w:rPr>
          <w:b/>
          <w:bCs/>
          <w:szCs w:val="22"/>
          <w:lang w:val="sr-Latn-CS"/>
        </w:rPr>
        <w:t xml:space="preserve">eka </w:t>
      </w:r>
      <w:r w:rsidRPr="00383195">
        <w:rPr>
          <w:b/>
          <w:bCs/>
          <w:szCs w:val="22"/>
          <w:lang w:val="sr-Latn-CS"/>
        </w:rPr>
        <w:t>(i druga uputstva za rukovanje l</w:t>
      </w:r>
      <w:r w:rsidR="000E2085">
        <w:rPr>
          <w:b/>
          <w:bCs/>
          <w:szCs w:val="22"/>
          <w:lang w:val="sr-Latn-CS"/>
        </w:rPr>
        <w:t>ij</w:t>
      </w:r>
      <w:r w:rsidRPr="00383195">
        <w:rPr>
          <w:b/>
          <w:bCs/>
          <w:szCs w:val="22"/>
          <w:lang w:val="sr-Latn-CS"/>
        </w:rPr>
        <w:t>ekom)</w:t>
      </w:r>
    </w:p>
    <w:p w14:paraId="7C416476" w14:textId="77777777" w:rsidR="00032C33" w:rsidRPr="00F44973" w:rsidRDefault="00032C33" w:rsidP="00923865">
      <w:pPr>
        <w:rPr>
          <w:szCs w:val="22"/>
          <w:lang w:val="sr-Latn-CS"/>
        </w:rPr>
      </w:pPr>
    </w:p>
    <w:p w14:paraId="7C416477" w14:textId="7B85480F" w:rsidR="00032C33" w:rsidRDefault="00032C33" w:rsidP="00586CC7">
      <w:pPr>
        <w:rPr>
          <w:szCs w:val="22"/>
          <w:lang w:val="it-IT"/>
        </w:rPr>
      </w:pPr>
      <w:r>
        <w:rPr>
          <w:szCs w:val="22"/>
          <w:lang w:val="it-IT"/>
        </w:rPr>
        <w:t>Svu neiskorišćenu količinu l</w:t>
      </w:r>
      <w:r w:rsidR="000E2085">
        <w:rPr>
          <w:szCs w:val="22"/>
          <w:lang w:val="it-IT"/>
        </w:rPr>
        <w:t>ij</w:t>
      </w:r>
      <w:r>
        <w:rPr>
          <w:szCs w:val="22"/>
          <w:lang w:val="it-IT"/>
        </w:rPr>
        <w:t>eka ili otpadnog materijala nakon njegove upotrebe treba ukloniti u skladu sa važećim propisima.</w:t>
      </w:r>
    </w:p>
    <w:p w14:paraId="432A6DA5" w14:textId="77777777" w:rsidR="00783FD7" w:rsidRPr="007A309C" w:rsidRDefault="00783FD7" w:rsidP="00586CC7">
      <w:pPr>
        <w:rPr>
          <w:szCs w:val="22"/>
          <w:lang w:val="it-IT"/>
        </w:rPr>
      </w:pPr>
    </w:p>
    <w:p w14:paraId="7C416478" w14:textId="77777777" w:rsidR="00032C33" w:rsidRPr="00F44973" w:rsidRDefault="00032C33" w:rsidP="00923865">
      <w:pPr>
        <w:pStyle w:val="NASLOV123"/>
        <w:rPr>
          <w:lang w:val="sr-Latn-CS"/>
        </w:rPr>
      </w:pPr>
      <w:r w:rsidRPr="00F44973">
        <w:rPr>
          <w:lang w:val="sr-Latn-CS"/>
        </w:rPr>
        <w:t xml:space="preserve">7. NOSILAC DOZVOLE </w:t>
      </w:r>
    </w:p>
    <w:p w14:paraId="7C41647A" w14:textId="7416C56E" w:rsidR="00032C33" w:rsidRDefault="00032C33" w:rsidP="00923865">
      <w:pPr>
        <w:rPr>
          <w:szCs w:val="22"/>
          <w:lang w:val="sr-Latn-CS"/>
        </w:rPr>
      </w:pPr>
      <w:r>
        <w:rPr>
          <w:szCs w:val="22"/>
          <w:lang w:val="sr-Latn-CS"/>
        </w:rPr>
        <w:t>G</w:t>
      </w:r>
      <w:r w:rsidR="000E2085">
        <w:rPr>
          <w:szCs w:val="22"/>
          <w:lang w:val="sr-Latn-CS"/>
        </w:rPr>
        <w:t>LK pharma d.o.o. Podgorica, ul. Svetozara Markovića, br. 46, 81000 Podgorica, Crna Gora</w:t>
      </w:r>
    </w:p>
    <w:p w14:paraId="28A0FAE2" w14:textId="77777777" w:rsidR="00783FD7" w:rsidRPr="00F44973" w:rsidRDefault="00783FD7" w:rsidP="00923865">
      <w:pPr>
        <w:rPr>
          <w:szCs w:val="22"/>
          <w:lang w:val="sr-Latn-CS"/>
        </w:rPr>
      </w:pPr>
    </w:p>
    <w:p w14:paraId="7C41647B" w14:textId="39B102E5" w:rsidR="00032C33" w:rsidRPr="00383195" w:rsidRDefault="00032C33" w:rsidP="00923865">
      <w:pPr>
        <w:pStyle w:val="NASLOV123"/>
        <w:rPr>
          <w:lang w:val="sr-Latn-CS"/>
        </w:rPr>
      </w:pPr>
      <w:r w:rsidRPr="00E676EE">
        <w:rPr>
          <w:lang w:val="pl-PL"/>
        </w:rPr>
        <w:t>8. BROJ DOZVOLE ZA STAVLJANJE L</w:t>
      </w:r>
      <w:r w:rsidR="00B007C9">
        <w:rPr>
          <w:lang w:val="pl-PL"/>
        </w:rPr>
        <w:t>IJ</w:t>
      </w:r>
      <w:r w:rsidRPr="00E676EE">
        <w:rPr>
          <w:lang w:val="pl-PL"/>
        </w:rPr>
        <w:t>EKA U PROMET</w:t>
      </w:r>
    </w:p>
    <w:p w14:paraId="2D5C4F70" w14:textId="7E0C78A2" w:rsidR="00783FD7" w:rsidRPr="0058126E" w:rsidRDefault="00783FD7" w:rsidP="009A522B">
      <w:pPr>
        <w:pStyle w:val="NASLOV123"/>
        <w:spacing w:after="0"/>
        <w:jc w:val="both"/>
        <w:rPr>
          <w:b w:val="0"/>
          <w:lang w:val="sr-Latn-CS"/>
        </w:rPr>
      </w:pPr>
      <w:r w:rsidRPr="0058126E">
        <w:rPr>
          <w:b w:val="0"/>
          <w:lang w:val="sr-Latn-CS"/>
        </w:rPr>
        <w:t xml:space="preserve">2030/15/113 </w:t>
      </w:r>
      <w:r w:rsidR="0058126E">
        <w:rPr>
          <w:b w:val="0"/>
          <w:lang w:val="sr-Latn-CS"/>
        </w:rPr>
        <w:t>-</w:t>
      </w:r>
      <w:r w:rsidRPr="0058126E">
        <w:rPr>
          <w:b w:val="0"/>
          <w:lang w:val="sr-Latn-CS"/>
        </w:rPr>
        <w:t xml:space="preserve"> 1116</w:t>
      </w:r>
    </w:p>
    <w:p w14:paraId="3D243710" w14:textId="77777777" w:rsidR="00783FD7" w:rsidRDefault="00783FD7" w:rsidP="009A522B">
      <w:pPr>
        <w:pStyle w:val="NASLOV123"/>
        <w:spacing w:before="0" w:after="0"/>
        <w:jc w:val="both"/>
        <w:rPr>
          <w:lang w:val="sr-Latn-CS"/>
        </w:rPr>
      </w:pPr>
    </w:p>
    <w:p w14:paraId="7C41647E" w14:textId="28040443" w:rsidR="00032C33" w:rsidRPr="00F53674" w:rsidRDefault="00032C33" w:rsidP="009A522B">
      <w:pPr>
        <w:pStyle w:val="NASLOV123"/>
        <w:spacing w:after="0"/>
        <w:jc w:val="both"/>
        <w:rPr>
          <w:lang w:val="sr-Latn-CS"/>
        </w:rPr>
      </w:pPr>
      <w:r w:rsidRPr="00E676EE">
        <w:rPr>
          <w:lang w:val="sr-Latn-CS"/>
        </w:rPr>
        <w:t>9. DATUM PRVE DOZVOLE</w:t>
      </w:r>
      <w:r w:rsidR="00B007C9">
        <w:rPr>
          <w:lang w:val="sr-Latn-CS"/>
        </w:rPr>
        <w:t>/</w:t>
      </w:r>
      <w:r w:rsidRPr="00E676EE">
        <w:rPr>
          <w:lang w:val="sr-Latn-CS"/>
        </w:rPr>
        <w:t>OBNOVE DOZVOLE</w:t>
      </w:r>
      <w:r w:rsidRPr="00F53674">
        <w:rPr>
          <w:lang w:val="sr-Latn-CS"/>
        </w:rPr>
        <w:t xml:space="preserve"> </w:t>
      </w:r>
      <w:r w:rsidRPr="00E676EE">
        <w:rPr>
          <w:lang w:val="sr-Latn-CS"/>
        </w:rPr>
        <w:t>ZA STAVLJANJE L</w:t>
      </w:r>
      <w:r w:rsidR="00B007C9">
        <w:rPr>
          <w:lang w:val="sr-Latn-CS"/>
        </w:rPr>
        <w:t>IJ</w:t>
      </w:r>
      <w:r w:rsidRPr="00E676EE">
        <w:rPr>
          <w:lang w:val="sr-Latn-CS"/>
        </w:rPr>
        <w:t>EKA U PROMET</w:t>
      </w:r>
    </w:p>
    <w:p w14:paraId="08B3D64B" w14:textId="452596F5" w:rsidR="00783FD7" w:rsidRDefault="00783FD7">
      <w:pPr>
        <w:pStyle w:val="NASLOV123"/>
        <w:rPr>
          <w:b w:val="0"/>
          <w:lang w:val="sr-Latn-CS"/>
        </w:rPr>
      </w:pPr>
      <w:r w:rsidRPr="009A522B">
        <w:rPr>
          <w:b w:val="0"/>
          <w:lang w:val="sr-Latn-CS"/>
        </w:rPr>
        <w:t>06.03.2015. godine</w:t>
      </w:r>
    </w:p>
    <w:p w14:paraId="4E1D1AE8" w14:textId="77777777" w:rsidR="002479E2" w:rsidRPr="009A522B" w:rsidRDefault="002479E2" w:rsidP="009A522B">
      <w:pPr>
        <w:pStyle w:val="NASLOV123"/>
        <w:spacing w:after="0"/>
        <w:rPr>
          <w:b w:val="0"/>
          <w:lang w:val="sr-Latn-CS"/>
        </w:rPr>
      </w:pPr>
    </w:p>
    <w:p w14:paraId="7C416481" w14:textId="6352DD18" w:rsidR="00032C33" w:rsidRDefault="00032C33" w:rsidP="009A522B">
      <w:pPr>
        <w:pStyle w:val="NASLOV123"/>
        <w:spacing w:before="0"/>
        <w:rPr>
          <w:lang w:val="sr-Latn-CS"/>
        </w:rPr>
      </w:pPr>
      <w:r w:rsidRPr="00F53674">
        <w:rPr>
          <w:lang w:val="sr-Latn-CS"/>
        </w:rPr>
        <w:t>10. DATUM REVIZIJE TEKSTA</w:t>
      </w:r>
    </w:p>
    <w:p w14:paraId="7C416482" w14:textId="667E4289" w:rsidR="00032C33" w:rsidRPr="00192C6A" w:rsidRDefault="0058126E" w:rsidP="00923865">
      <w:pPr>
        <w:pStyle w:val="NASLOV123"/>
        <w:rPr>
          <w:b w:val="0"/>
          <w:lang w:val="sr-Latn-CS"/>
        </w:rPr>
      </w:pPr>
      <w:r>
        <w:rPr>
          <w:b w:val="0"/>
          <w:lang w:val="sr-Latn-CS"/>
        </w:rPr>
        <w:t>Jun</w:t>
      </w:r>
      <w:r w:rsidR="00783FD7">
        <w:rPr>
          <w:b w:val="0"/>
          <w:lang w:val="sr-Latn-CS"/>
        </w:rPr>
        <w:t>, 2024. godine</w:t>
      </w:r>
    </w:p>
    <w:sectPr w:rsidR="00032C33" w:rsidRPr="00192C6A" w:rsidSect="009A522B">
      <w:headerReference w:type="even" r:id="rId11"/>
      <w:footerReference w:type="even" r:id="rId12"/>
      <w:footerReference w:type="default" r:id="rId13"/>
      <w:headerReference w:type="first" r:id="rId14"/>
      <w:pgSz w:w="11907" w:h="16840" w:code="9"/>
      <w:pgMar w:top="1134" w:right="1418" w:bottom="1134" w:left="1418"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F29E9" w14:textId="77777777" w:rsidR="004B6F31" w:rsidRDefault="004B6F31">
      <w:r>
        <w:separator/>
      </w:r>
    </w:p>
  </w:endnote>
  <w:endnote w:type="continuationSeparator" w:id="0">
    <w:p w14:paraId="669F6C5D" w14:textId="77777777" w:rsidR="004B6F31" w:rsidRDefault="004B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6487" w14:textId="77777777" w:rsidR="00032C33" w:rsidRDefault="00032C3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16488" w14:textId="77777777" w:rsidR="00032C33" w:rsidRDefault="00032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6489" w14:textId="47A2DFA0" w:rsidR="00032C33" w:rsidRDefault="00032C33"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58126E">
      <w:rPr>
        <w:noProof/>
        <w:sz w:val="18"/>
        <w:szCs w:val="18"/>
      </w:rPr>
      <w:t>7</w:t>
    </w:r>
    <w:r w:rsidRPr="005A4234">
      <w:rPr>
        <w:sz w:val="18"/>
        <w:szCs w:val="18"/>
      </w:rPr>
      <w:fldChar w:fldCharType="end"/>
    </w:r>
    <w:r w:rsidRPr="005A4234">
      <w:rPr>
        <w:sz w:val="18"/>
        <w:szCs w:val="18"/>
      </w:rPr>
      <w:t xml:space="preserve"> </w:t>
    </w:r>
    <w:r w:rsidR="00175472">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58126E">
      <w:rPr>
        <w:noProof/>
        <w:sz w:val="18"/>
        <w:szCs w:val="18"/>
      </w:rPr>
      <w:t>7</w:t>
    </w:r>
    <w:r w:rsidRPr="005A4234">
      <w:rPr>
        <w:sz w:val="18"/>
        <w:szCs w:val="18"/>
      </w:rPr>
      <w:fldChar w:fldCharType="end"/>
    </w:r>
  </w:p>
  <w:p w14:paraId="7C41648A" w14:textId="77777777" w:rsidR="00032C33" w:rsidRPr="00C536C2" w:rsidRDefault="00032C33"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A9118" w14:textId="77777777" w:rsidR="004B6F31" w:rsidRDefault="004B6F31">
      <w:r>
        <w:separator/>
      </w:r>
    </w:p>
  </w:footnote>
  <w:footnote w:type="continuationSeparator" w:id="0">
    <w:p w14:paraId="27A76889" w14:textId="77777777" w:rsidR="004B6F31" w:rsidRDefault="004B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B3613" w14:textId="44900095" w:rsidR="009955E4" w:rsidRDefault="009955E4">
    <w:pPr>
      <w:pStyle w:val="Header"/>
    </w:pPr>
    <w:r>
      <w:rPr>
        <w:noProof/>
      </w:rPr>
      <mc:AlternateContent>
        <mc:Choice Requires="wps">
          <w:drawing>
            <wp:anchor distT="0" distB="0" distL="0" distR="0" simplePos="0" relativeHeight="251659264" behindDoc="0" locked="0" layoutInCell="1" allowOverlap="1" wp14:anchorId="63732D71" wp14:editId="02FCF5E3">
              <wp:simplePos x="635" y="635"/>
              <wp:positionH relativeFrom="page">
                <wp:align>right</wp:align>
              </wp:positionH>
              <wp:positionV relativeFrom="page">
                <wp:align>top</wp:align>
              </wp:positionV>
              <wp:extent cx="443865" cy="443865"/>
              <wp:effectExtent l="0" t="0" r="0" b="635"/>
              <wp:wrapNone/>
              <wp:docPr id="472821135"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8B007" w14:textId="7575BA95" w:rsidR="009955E4" w:rsidRPr="009955E4" w:rsidRDefault="009955E4" w:rsidP="009955E4">
                          <w:pPr>
                            <w:rPr>
                              <w:rFonts w:ascii="Calibri" w:eastAsia="Calibri" w:hAnsi="Calibri" w:cs="Calibri"/>
                              <w:noProof/>
                              <w:color w:val="008000"/>
                              <w:szCs w:val="22"/>
                            </w:rPr>
                          </w:pPr>
                          <w:r w:rsidRPr="009955E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3732D71"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FA8B007" w14:textId="7575BA95" w:rsidR="009955E4" w:rsidRPr="009955E4" w:rsidRDefault="009955E4" w:rsidP="009955E4">
                    <w:pPr>
                      <w:rPr>
                        <w:rFonts w:ascii="Calibri" w:eastAsia="Calibri" w:hAnsi="Calibri" w:cs="Calibri"/>
                        <w:noProof/>
                        <w:color w:val="008000"/>
                        <w:szCs w:val="22"/>
                      </w:rPr>
                    </w:pPr>
                    <w:r w:rsidRPr="009955E4">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ACD0" w14:textId="52004E17" w:rsidR="009955E4" w:rsidRDefault="009955E4">
    <w:pPr>
      <w:pStyle w:val="Header"/>
    </w:pPr>
    <w:r>
      <w:rPr>
        <w:noProof/>
      </w:rPr>
      <mc:AlternateContent>
        <mc:Choice Requires="wps">
          <w:drawing>
            <wp:anchor distT="0" distB="0" distL="0" distR="0" simplePos="0" relativeHeight="251658240" behindDoc="0" locked="0" layoutInCell="1" allowOverlap="1" wp14:anchorId="70C0BA2B" wp14:editId="323454E8">
              <wp:simplePos x="635" y="635"/>
              <wp:positionH relativeFrom="page">
                <wp:align>right</wp:align>
              </wp:positionH>
              <wp:positionV relativeFrom="page">
                <wp:align>top</wp:align>
              </wp:positionV>
              <wp:extent cx="443865" cy="443865"/>
              <wp:effectExtent l="0" t="0" r="0" b="635"/>
              <wp:wrapNone/>
              <wp:docPr id="1834753825"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77734" w14:textId="63B4E160" w:rsidR="009955E4" w:rsidRPr="009955E4" w:rsidRDefault="009955E4" w:rsidP="009955E4">
                          <w:pPr>
                            <w:rPr>
                              <w:rFonts w:ascii="Calibri" w:eastAsia="Calibri" w:hAnsi="Calibri" w:cs="Calibri"/>
                              <w:noProof/>
                              <w:color w:val="008000"/>
                              <w:szCs w:val="22"/>
                            </w:rPr>
                          </w:pPr>
                          <w:r w:rsidRPr="009955E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0C0BA2B"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F477734" w14:textId="63B4E160" w:rsidR="009955E4" w:rsidRPr="009955E4" w:rsidRDefault="009955E4" w:rsidP="009955E4">
                    <w:pPr>
                      <w:rPr>
                        <w:rFonts w:ascii="Calibri" w:eastAsia="Calibri" w:hAnsi="Calibri" w:cs="Calibri"/>
                        <w:noProof/>
                        <w:color w:val="008000"/>
                        <w:szCs w:val="22"/>
                      </w:rPr>
                    </w:pPr>
                    <w:r w:rsidRPr="009955E4">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4056799"/>
    <w:multiLevelType w:val="hybridMultilevel"/>
    <w:tmpl w:val="E76A4D96"/>
    <w:lvl w:ilvl="0" w:tplc="CC86E3A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3E"/>
    <w:rsid w:val="00007EF9"/>
    <w:rsid w:val="00017801"/>
    <w:rsid w:val="00027AE7"/>
    <w:rsid w:val="000313F0"/>
    <w:rsid w:val="000316E6"/>
    <w:rsid w:val="00032C33"/>
    <w:rsid w:val="0003357E"/>
    <w:rsid w:val="0005798D"/>
    <w:rsid w:val="00064273"/>
    <w:rsid w:val="00071946"/>
    <w:rsid w:val="00083BE0"/>
    <w:rsid w:val="00094066"/>
    <w:rsid w:val="00095FB6"/>
    <w:rsid w:val="0009758B"/>
    <w:rsid w:val="000A0F4A"/>
    <w:rsid w:val="000D5631"/>
    <w:rsid w:val="000E2085"/>
    <w:rsid w:val="000E457F"/>
    <w:rsid w:val="000E75C0"/>
    <w:rsid w:val="00112E93"/>
    <w:rsid w:val="00141639"/>
    <w:rsid w:val="0014180A"/>
    <w:rsid w:val="00143B54"/>
    <w:rsid w:val="00154857"/>
    <w:rsid w:val="00166563"/>
    <w:rsid w:val="00173D18"/>
    <w:rsid w:val="00175472"/>
    <w:rsid w:val="00175772"/>
    <w:rsid w:val="00175A7E"/>
    <w:rsid w:val="0018601D"/>
    <w:rsid w:val="00191EA4"/>
    <w:rsid w:val="00192C6A"/>
    <w:rsid w:val="001A32D5"/>
    <w:rsid w:val="001B706A"/>
    <w:rsid w:val="001C4FD2"/>
    <w:rsid w:val="001D10C9"/>
    <w:rsid w:val="001E0A07"/>
    <w:rsid w:val="001E6145"/>
    <w:rsid w:val="001F2D4E"/>
    <w:rsid w:val="001F39B6"/>
    <w:rsid w:val="00200006"/>
    <w:rsid w:val="00205937"/>
    <w:rsid w:val="0022218E"/>
    <w:rsid w:val="0022223A"/>
    <w:rsid w:val="00222DA9"/>
    <w:rsid w:val="0024132F"/>
    <w:rsid w:val="00242DCD"/>
    <w:rsid w:val="0024426C"/>
    <w:rsid w:val="002479E2"/>
    <w:rsid w:val="00247C5C"/>
    <w:rsid w:val="00273BE0"/>
    <w:rsid w:val="00283C59"/>
    <w:rsid w:val="00295531"/>
    <w:rsid w:val="002B654C"/>
    <w:rsid w:val="002B6F6A"/>
    <w:rsid w:val="002C0FBF"/>
    <w:rsid w:val="002D2AC0"/>
    <w:rsid w:val="002F5E2F"/>
    <w:rsid w:val="00316FC0"/>
    <w:rsid w:val="00324261"/>
    <w:rsid w:val="00325ED8"/>
    <w:rsid w:val="00336F77"/>
    <w:rsid w:val="003447AE"/>
    <w:rsid w:val="003452C0"/>
    <w:rsid w:val="00383195"/>
    <w:rsid w:val="003A2DF8"/>
    <w:rsid w:val="003B2082"/>
    <w:rsid w:val="003C18A4"/>
    <w:rsid w:val="003E19DF"/>
    <w:rsid w:val="003E3EC7"/>
    <w:rsid w:val="003F0774"/>
    <w:rsid w:val="004123CD"/>
    <w:rsid w:val="00416597"/>
    <w:rsid w:val="004234ED"/>
    <w:rsid w:val="00427D41"/>
    <w:rsid w:val="00447A94"/>
    <w:rsid w:val="00462C33"/>
    <w:rsid w:val="004678D0"/>
    <w:rsid w:val="00483641"/>
    <w:rsid w:val="00492248"/>
    <w:rsid w:val="00497648"/>
    <w:rsid w:val="004B5A11"/>
    <w:rsid w:val="004B6F31"/>
    <w:rsid w:val="004B7A50"/>
    <w:rsid w:val="004D230F"/>
    <w:rsid w:val="004D6190"/>
    <w:rsid w:val="004D68F5"/>
    <w:rsid w:val="00503974"/>
    <w:rsid w:val="0052230B"/>
    <w:rsid w:val="00525A8A"/>
    <w:rsid w:val="005276F0"/>
    <w:rsid w:val="00527DAD"/>
    <w:rsid w:val="00530909"/>
    <w:rsid w:val="0053148B"/>
    <w:rsid w:val="00533EA3"/>
    <w:rsid w:val="005638D6"/>
    <w:rsid w:val="0058126E"/>
    <w:rsid w:val="00586CC7"/>
    <w:rsid w:val="005A4234"/>
    <w:rsid w:val="005B3388"/>
    <w:rsid w:val="005B4A30"/>
    <w:rsid w:val="005C3F73"/>
    <w:rsid w:val="005C77D5"/>
    <w:rsid w:val="005C7891"/>
    <w:rsid w:val="005D190F"/>
    <w:rsid w:val="005F4DBA"/>
    <w:rsid w:val="00601BF7"/>
    <w:rsid w:val="00603302"/>
    <w:rsid w:val="00604E4F"/>
    <w:rsid w:val="006054EE"/>
    <w:rsid w:val="00606DF9"/>
    <w:rsid w:val="006118B6"/>
    <w:rsid w:val="006270C0"/>
    <w:rsid w:val="00630195"/>
    <w:rsid w:val="006559AF"/>
    <w:rsid w:val="00660ED5"/>
    <w:rsid w:val="00693874"/>
    <w:rsid w:val="00693F46"/>
    <w:rsid w:val="006966E3"/>
    <w:rsid w:val="006B2DC1"/>
    <w:rsid w:val="006E26E1"/>
    <w:rsid w:val="006F158F"/>
    <w:rsid w:val="00710880"/>
    <w:rsid w:val="00710AA7"/>
    <w:rsid w:val="00736DA0"/>
    <w:rsid w:val="00764648"/>
    <w:rsid w:val="007672F3"/>
    <w:rsid w:val="00781E0E"/>
    <w:rsid w:val="00783FD7"/>
    <w:rsid w:val="00797608"/>
    <w:rsid w:val="00797656"/>
    <w:rsid w:val="007A309C"/>
    <w:rsid w:val="007A59CD"/>
    <w:rsid w:val="007B16C4"/>
    <w:rsid w:val="007C2D7E"/>
    <w:rsid w:val="007C44FF"/>
    <w:rsid w:val="007D17FD"/>
    <w:rsid w:val="007D48C5"/>
    <w:rsid w:val="007D5053"/>
    <w:rsid w:val="007E06F0"/>
    <w:rsid w:val="007E6D84"/>
    <w:rsid w:val="00802DFC"/>
    <w:rsid w:val="00811AAE"/>
    <w:rsid w:val="00814781"/>
    <w:rsid w:val="00833FA1"/>
    <w:rsid w:val="00834DBB"/>
    <w:rsid w:val="00842FFB"/>
    <w:rsid w:val="00843366"/>
    <w:rsid w:val="0086351A"/>
    <w:rsid w:val="00874B61"/>
    <w:rsid w:val="00891CCD"/>
    <w:rsid w:val="008A48B7"/>
    <w:rsid w:val="008B3EB5"/>
    <w:rsid w:val="008B65CF"/>
    <w:rsid w:val="008C5809"/>
    <w:rsid w:val="008C7F9C"/>
    <w:rsid w:val="008D78C9"/>
    <w:rsid w:val="008E0FC9"/>
    <w:rsid w:val="008F1A52"/>
    <w:rsid w:val="008F3A2B"/>
    <w:rsid w:val="009029F5"/>
    <w:rsid w:val="00913684"/>
    <w:rsid w:val="00923865"/>
    <w:rsid w:val="0093016E"/>
    <w:rsid w:val="009344CB"/>
    <w:rsid w:val="00934B4D"/>
    <w:rsid w:val="00955C75"/>
    <w:rsid w:val="009677DF"/>
    <w:rsid w:val="009946F8"/>
    <w:rsid w:val="009955E4"/>
    <w:rsid w:val="00996E6B"/>
    <w:rsid w:val="009A1D64"/>
    <w:rsid w:val="009A522B"/>
    <w:rsid w:val="009B1292"/>
    <w:rsid w:val="009B2430"/>
    <w:rsid w:val="009B338B"/>
    <w:rsid w:val="009B58AD"/>
    <w:rsid w:val="009B7935"/>
    <w:rsid w:val="009C7BA2"/>
    <w:rsid w:val="009D1161"/>
    <w:rsid w:val="009D3773"/>
    <w:rsid w:val="009D667B"/>
    <w:rsid w:val="009F4449"/>
    <w:rsid w:val="00A02252"/>
    <w:rsid w:val="00A127F1"/>
    <w:rsid w:val="00A27130"/>
    <w:rsid w:val="00A52C53"/>
    <w:rsid w:val="00A645D1"/>
    <w:rsid w:val="00A70D47"/>
    <w:rsid w:val="00A7147C"/>
    <w:rsid w:val="00A7660B"/>
    <w:rsid w:val="00A81B47"/>
    <w:rsid w:val="00A86897"/>
    <w:rsid w:val="00A95733"/>
    <w:rsid w:val="00AA4F61"/>
    <w:rsid w:val="00AB5465"/>
    <w:rsid w:val="00B007C9"/>
    <w:rsid w:val="00B15814"/>
    <w:rsid w:val="00B17741"/>
    <w:rsid w:val="00B26FAC"/>
    <w:rsid w:val="00B31AA2"/>
    <w:rsid w:val="00B60DD0"/>
    <w:rsid w:val="00B67333"/>
    <w:rsid w:val="00B74C0B"/>
    <w:rsid w:val="00B82021"/>
    <w:rsid w:val="00B8400D"/>
    <w:rsid w:val="00B86224"/>
    <w:rsid w:val="00B93A37"/>
    <w:rsid w:val="00B94E95"/>
    <w:rsid w:val="00BA1819"/>
    <w:rsid w:val="00BA5A22"/>
    <w:rsid w:val="00BB55E5"/>
    <w:rsid w:val="00BC305B"/>
    <w:rsid w:val="00BD725A"/>
    <w:rsid w:val="00BF3750"/>
    <w:rsid w:val="00C05A8B"/>
    <w:rsid w:val="00C06244"/>
    <w:rsid w:val="00C12DB3"/>
    <w:rsid w:val="00C31248"/>
    <w:rsid w:val="00C31B87"/>
    <w:rsid w:val="00C40710"/>
    <w:rsid w:val="00C4673A"/>
    <w:rsid w:val="00C4737C"/>
    <w:rsid w:val="00C50F15"/>
    <w:rsid w:val="00C536C2"/>
    <w:rsid w:val="00C55F47"/>
    <w:rsid w:val="00C56E2E"/>
    <w:rsid w:val="00C64A31"/>
    <w:rsid w:val="00C708F1"/>
    <w:rsid w:val="00C72FEC"/>
    <w:rsid w:val="00C822BE"/>
    <w:rsid w:val="00C82E8B"/>
    <w:rsid w:val="00C91027"/>
    <w:rsid w:val="00C91CC7"/>
    <w:rsid w:val="00CC1217"/>
    <w:rsid w:val="00CC4C88"/>
    <w:rsid w:val="00CD0B1F"/>
    <w:rsid w:val="00CD3F96"/>
    <w:rsid w:val="00CE09F3"/>
    <w:rsid w:val="00CE22D9"/>
    <w:rsid w:val="00CE76DA"/>
    <w:rsid w:val="00D0404A"/>
    <w:rsid w:val="00D11E94"/>
    <w:rsid w:val="00D16160"/>
    <w:rsid w:val="00D30389"/>
    <w:rsid w:val="00D329B3"/>
    <w:rsid w:val="00D337F6"/>
    <w:rsid w:val="00D374FF"/>
    <w:rsid w:val="00D45644"/>
    <w:rsid w:val="00D52CDB"/>
    <w:rsid w:val="00D554C2"/>
    <w:rsid w:val="00D56858"/>
    <w:rsid w:val="00D61710"/>
    <w:rsid w:val="00D6611E"/>
    <w:rsid w:val="00D85C74"/>
    <w:rsid w:val="00D85F37"/>
    <w:rsid w:val="00DB4534"/>
    <w:rsid w:val="00DD2A82"/>
    <w:rsid w:val="00DF1796"/>
    <w:rsid w:val="00DF46E4"/>
    <w:rsid w:val="00DF5124"/>
    <w:rsid w:val="00E03397"/>
    <w:rsid w:val="00E04856"/>
    <w:rsid w:val="00E11D9E"/>
    <w:rsid w:val="00E37420"/>
    <w:rsid w:val="00E50CD3"/>
    <w:rsid w:val="00E56089"/>
    <w:rsid w:val="00E676EE"/>
    <w:rsid w:val="00E84FEA"/>
    <w:rsid w:val="00E87BE1"/>
    <w:rsid w:val="00EA020F"/>
    <w:rsid w:val="00EA1F85"/>
    <w:rsid w:val="00EA7F94"/>
    <w:rsid w:val="00EB3031"/>
    <w:rsid w:val="00EB5363"/>
    <w:rsid w:val="00ED0C25"/>
    <w:rsid w:val="00ED3260"/>
    <w:rsid w:val="00ED4585"/>
    <w:rsid w:val="00ED735F"/>
    <w:rsid w:val="00EF085D"/>
    <w:rsid w:val="00F12770"/>
    <w:rsid w:val="00F12A5D"/>
    <w:rsid w:val="00F238BA"/>
    <w:rsid w:val="00F42610"/>
    <w:rsid w:val="00F42696"/>
    <w:rsid w:val="00F43D27"/>
    <w:rsid w:val="00F44973"/>
    <w:rsid w:val="00F473D1"/>
    <w:rsid w:val="00F53674"/>
    <w:rsid w:val="00F54156"/>
    <w:rsid w:val="00F5775F"/>
    <w:rsid w:val="00F63F24"/>
    <w:rsid w:val="00F71E05"/>
    <w:rsid w:val="00F74433"/>
    <w:rsid w:val="00FC3EEC"/>
    <w:rsid w:val="00FE234F"/>
    <w:rsid w:val="00FE73CF"/>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16394"/>
  <w15:docId w15:val="{CAF21A75-DC73-4AAD-8E68-E5F8C74A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7A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47A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47A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47AE"/>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semiHidden/>
    <w:locked/>
    <w:rsid w:val="003447AE"/>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3447AE"/>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3447AE"/>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47AE"/>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NormalWeb">
    <w:name w:val="Normal (Web)"/>
    <w:basedOn w:val="Normal"/>
    <w:rsid w:val="00F53674"/>
    <w:pPr>
      <w:tabs>
        <w:tab w:val="clear" w:pos="284"/>
      </w:tabs>
      <w:spacing w:before="100" w:beforeAutospacing="1" w:after="75"/>
      <w:jc w:val="left"/>
    </w:pPr>
    <w:rPr>
      <w:color w:val="000000"/>
      <w:sz w:val="24"/>
    </w:rPr>
  </w:style>
  <w:style w:type="paragraph" w:customStyle="1" w:styleId="paragraph1">
    <w:name w:val="paragraph1"/>
    <w:basedOn w:val="Normal"/>
    <w:uiPriority w:val="99"/>
    <w:rsid w:val="00416597"/>
    <w:pPr>
      <w:tabs>
        <w:tab w:val="clear" w:pos="284"/>
      </w:tabs>
      <w:jc w:val="left"/>
    </w:pPr>
    <w:rPr>
      <w:color w:val="000000"/>
      <w:sz w:val="24"/>
    </w:rPr>
  </w:style>
  <w:style w:type="table" w:styleId="TableGrid">
    <w:name w:val="Table Grid"/>
    <w:basedOn w:val="TableNormal"/>
    <w:uiPriority w:val="99"/>
    <w:locked/>
    <w:rsid w:val="001C4FD2"/>
    <w:pPr>
      <w:tabs>
        <w:tab w:val="left" w:pos="284"/>
      </w:tabs>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basedOn w:val="DefaultParagraphFont"/>
    <w:uiPriority w:val="99"/>
    <w:locked/>
    <w:rsid w:val="001C4FD2"/>
    <w:rPr>
      <w:rFonts w:ascii="Humanist777" w:hAnsi="Humanist777" w:cs="Times New Roman"/>
      <w:sz w:val="24"/>
      <w:szCs w:val="24"/>
      <w:lang w:val="en-US" w:eastAsia="en-US" w:bidi="ar-SA"/>
    </w:rPr>
  </w:style>
  <w:style w:type="paragraph" w:styleId="NoSpacing">
    <w:name w:val="No Spacing"/>
    <w:uiPriority w:val="99"/>
    <w:qFormat/>
    <w:rsid w:val="00A645D1"/>
    <w:rPr>
      <w:rFonts w:ascii="Calibri" w:hAnsi="Calibri"/>
    </w:rPr>
  </w:style>
  <w:style w:type="character" w:customStyle="1" w:styleId="CharChar2">
    <w:name w:val="Char Char2"/>
    <w:basedOn w:val="DefaultParagraphFont"/>
    <w:uiPriority w:val="99"/>
    <w:locked/>
    <w:rsid w:val="00E676EE"/>
    <w:rPr>
      <w:rFonts w:ascii="Humanist777" w:hAnsi="Humanist777" w:cs="Times New Roman"/>
      <w:sz w:val="24"/>
      <w:szCs w:val="24"/>
      <w:lang w:val="en-US" w:eastAsia="en-US" w:bidi="ar-SA"/>
    </w:rPr>
  </w:style>
  <w:style w:type="character" w:customStyle="1" w:styleId="CharChar3">
    <w:name w:val="Char Char3"/>
    <w:basedOn w:val="DefaultParagraphFont"/>
    <w:uiPriority w:val="99"/>
    <w:rsid w:val="00586CC7"/>
    <w:rPr>
      <w:rFonts w:ascii="Humanist777" w:hAnsi="Humanist777" w:cs="Times New Roman"/>
      <w:sz w:val="24"/>
      <w:szCs w:val="24"/>
      <w:lang w:val="en-US" w:eastAsia="en-US" w:bidi="ar-SA"/>
    </w:rPr>
  </w:style>
  <w:style w:type="paragraph" w:styleId="Revision">
    <w:name w:val="Revision"/>
    <w:hidden/>
    <w:uiPriority w:val="99"/>
    <w:semiHidden/>
    <w:rsid w:val="009A522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07223">
      <w:marLeft w:val="0"/>
      <w:marRight w:val="0"/>
      <w:marTop w:val="0"/>
      <w:marBottom w:val="0"/>
      <w:divBdr>
        <w:top w:val="none" w:sz="0" w:space="0" w:color="auto"/>
        <w:left w:val="none" w:sz="0" w:space="0" w:color="auto"/>
        <w:bottom w:val="none" w:sz="0" w:space="0" w:color="auto"/>
        <w:right w:val="none" w:sz="0" w:space="0" w:color="auto"/>
      </w:divBdr>
    </w:div>
    <w:div w:id="598607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3</cp:revision>
  <cp:lastPrinted>2016-12-14T09:33:00Z</cp:lastPrinted>
  <dcterms:created xsi:type="dcterms:W3CDTF">2024-06-12T08:14:00Z</dcterms:created>
  <dcterms:modified xsi:type="dcterms:W3CDTF">2024-06-24T10:27:00Z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6d5c1f21,1c2ead8f,4bb7f665</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2024-02-22T14:37:49Z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6cf9acb2-be7a-41a0-8bbb-042082a1115a</vt:lpwstr>
  </property>
  <property fmtid="{D5CDD505-2E9C-101B-9397-08002B2CF9AE}" pid="11" name="MSIP_Label_80e91ba7-203e-4ac0-a045-4c37ad0b383b_ContentBits">
    <vt:lpwstr>1</vt:lpwstr>
  </property>
</Properties>
</file>