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9F44EE" w:rsidRDefault="002510A5" w:rsidP="002510A5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9F44EE" w:rsidRDefault="002510A5" w:rsidP="002510A5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9F44EE" w:rsidRDefault="003C17AB" w:rsidP="00CA1FEB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411B4B" w:rsidRPr="009F44EE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1.</w:t>
      </w:r>
      <w:r w:rsidR="00F5167F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NAZIV 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LIJEKA</w:t>
      </w:r>
    </w:p>
    <w:p w:rsidR="00EC2532" w:rsidRPr="009F44EE" w:rsidRDefault="00EC2532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AC6AA2" w:rsidRPr="009F44EE" w:rsidRDefault="001F13B7" w:rsidP="00AC6AA2">
      <w:pPr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Colpocin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-T, 5 mg/ml</w:t>
      </w:r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>, rastvor za infuziju</w:t>
      </w:r>
    </w:p>
    <w:p w:rsidR="000D425A" w:rsidRPr="009F44EE" w:rsidRDefault="000D425A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6D20A5" w:rsidRPr="009F44EE" w:rsidRDefault="006D20A5" w:rsidP="006D20A5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>INN:</w:t>
      </w:r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</w:p>
    <w:p w:rsidR="00530BD7" w:rsidRPr="009F44EE" w:rsidRDefault="00530BD7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03D8B" w:rsidRPr="009F44EE" w:rsidRDefault="00203D8B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5167F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KVALITATIVNI I KVANTITATIVNI SASTAV</w:t>
      </w:r>
    </w:p>
    <w:p w:rsidR="005A0B2E" w:rsidRPr="009F44EE" w:rsidRDefault="005A0B2E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203D8B" w:rsidRPr="009F44EE" w:rsidRDefault="00203D8B" w:rsidP="00203D8B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1 ml rastvora za infuziju sadrži 5 mg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1F13B7" w:rsidRPr="009F44EE" w:rsidRDefault="00AC6AA2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>100 m</w:t>
      </w:r>
      <w:r w:rsidR="001F13B7" w:rsidRPr="009F44EE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rastvora za infuziju sadrži 500 mg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="001F0218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203D8B" w:rsidRPr="009F44EE" w:rsidRDefault="00203D8B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DE53BF" w:rsidRPr="009F44EE" w:rsidRDefault="00AC6AA2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Pomoćne supstance sa potvrđenim dejstvom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</w:p>
    <w:p w:rsidR="000229EA" w:rsidRPr="009F44EE" w:rsidRDefault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Ovaj lijek sadrži 13.51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mmola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(ili  310.58 mg)</w:t>
      </w:r>
      <w:r w:rsidR="00A0401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natrijuma </w:t>
      </w:r>
      <w:r w:rsidR="00425B6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po dozi od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100 m</w:t>
      </w:r>
      <w:r w:rsidR="00425B68" w:rsidRPr="009F44EE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425B6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0229EA" w:rsidRPr="009F44EE" w:rsidRDefault="00425B68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1 ml rastvora </w:t>
      </w:r>
      <w:r w:rsidR="000229EA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za infuziju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sadrži 0.14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mmola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(3.11 mg) natrijuma. </w:t>
      </w:r>
    </w:p>
    <w:p w:rsidR="00AC6AA2" w:rsidRPr="009F44EE" w:rsidRDefault="00AC6AA2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03793F" w:rsidRPr="009F44EE" w:rsidRDefault="0003793F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Za spisak svih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ekscipijenasa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, pogledati dio 6.1.</w:t>
      </w:r>
    </w:p>
    <w:p w:rsidR="00203D8B" w:rsidRPr="009F44EE" w:rsidRDefault="00203D8B" w:rsidP="001F13B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C37FD7" w:rsidRPr="009F44EE" w:rsidRDefault="00C37FD7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411B4B" w:rsidRPr="009F44EE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F5167F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FARMACEUTSKI OBLIK</w:t>
      </w:r>
      <w:r w:rsidR="009F2D2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203D8B" w:rsidRPr="009F44EE" w:rsidRDefault="00203D8B" w:rsidP="00AC6AA2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C6AA2" w:rsidRPr="009F44EE" w:rsidRDefault="00AC6AA2" w:rsidP="00AC6AA2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Rastvor za infuziju. </w:t>
      </w:r>
    </w:p>
    <w:p w:rsidR="00411B4B" w:rsidRPr="009F44EE" w:rsidRDefault="00AC6AA2" w:rsidP="00AC6AA2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Bistar, skoro bezbojan do slabo žuto obojen vodeni rastvor</w:t>
      </w:r>
      <w:r w:rsidR="000229EA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0229EA" w:rsidRPr="009F44EE" w:rsidRDefault="000229EA" w:rsidP="000229EA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pH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: 4.5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-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6.0</w:t>
      </w:r>
    </w:p>
    <w:p w:rsidR="000229EA" w:rsidRPr="009F44EE" w:rsidRDefault="000229EA" w:rsidP="000229EA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Osmolalitet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270 – 310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mOsmol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/kg</w:t>
      </w:r>
    </w:p>
    <w:p w:rsidR="00EC2532" w:rsidRPr="009F44EE" w:rsidRDefault="00EC2532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03D8B" w:rsidRPr="009F44EE" w:rsidRDefault="00203D8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411B4B" w:rsidRPr="009F44EE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KLINIČKI PODACI</w:t>
      </w:r>
    </w:p>
    <w:p w:rsidR="00CD6F02" w:rsidRPr="009F44EE" w:rsidRDefault="00CD6F0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4.1.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Terapijske indikacije</w:t>
      </w:r>
    </w:p>
    <w:p w:rsidR="000229EA" w:rsidRPr="009F44EE" w:rsidRDefault="000229EA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AC6AA2" w:rsidRPr="009F44EE" w:rsidRDefault="000229EA" w:rsidP="000229EA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-T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 </w:t>
      </w:r>
      <w:proofErr w:type="spellStart"/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indikovan</w:t>
      </w:r>
      <w:proofErr w:type="spellEnd"/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kod odraslih i 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djece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kada oralna primjena </w:t>
      </w:r>
      <w:r w:rsidR="00F04A8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lijeka 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nije moguća,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 sl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edećim 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indikacijama: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024FB7" w:rsidRPr="009F44EE" w:rsidRDefault="00C306A8" w:rsidP="004808A0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ind w:left="54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Profilaksa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postoperativnih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infekcija </w:t>
      </w:r>
      <w:r w:rsidR="00AA48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čiji su izazivači</w:t>
      </w:r>
      <w:r w:rsidR="00485E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osjetljive</w:t>
      </w:r>
      <w:r w:rsidR="00AA48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anaerobne bakterije, po</w:t>
      </w:r>
      <w:r w:rsidR="00024F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sebno vrste iz roda</w:t>
      </w:r>
      <w:r w:rsidR="00485E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D30AC6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Bacteroides</w:t>
      </w:r>
      <w:proofErr w:type="spellEnd"/>
      <w:r w:rsidR="004025C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anaerobnih streptokoka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AA48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tokom abdominalne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ginekološke i</w:t>
      </w:r>
      <w:r w:rsidR="00485E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li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AA48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kolorektalne</w:t>
      </w:r>
      <w:proofErr w:type="spellEnd"/>
      <w:r w:rsidR="00AA48B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hirurške intervencije koj</w:t>
      </w:r>
      <w:r w:rsidR="00CB699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nos</w:t>
      </w:r>
      <w:r w:rsidR="00CB699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D30AC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visok  rizik od nastanka ove vrste infekcija. Ovaj rastvor za infuziju se takođe može upotrijebiti u kombinaciji sa odgovarajućim antibioticima koji se primjenjuju u terapiji aerobnih infekcija.</w:t>
      </w:r>
    </w:p>
    <w:p w:rsidR="004025C5" w:rsidRPr="009F44EE" w:rsidRDefault="00024FB7" w:rsidP="00CB699B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ind w:left="540" w:hanging="18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erapija teških</w:t>
      </w:r>
      <w:r w:rsidR="004025C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4025C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intraabdominalnih</w:t>
      </w:r>
      <w:proofErr w:type="spellEnd"/>
      <w:r w:rsidR="004025C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ginekoloških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infekcija </w:t>
      </w:r>
      <w:r w:rsidR="00CB699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kada se sumnja ili je utvrđeno da su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izazivači</w:t>
      </w:r>
      <w:r w:rsidR="00591A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osjetljive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anaerobne bakterije, posebno vrste iz roda </w:t>
      </w:r>
      <w:proofErr w:type="spellStart"/>
      <w:r w:rsidR="00AC6AA2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Bacteroides</w:t>
      </w:r>
      <w:proofErr w:type="spellEnd"/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r w:rsidR="004025C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anaerobnih streptokoka.</w:t>
      </w:r>
      <w:r w:rsidR="00CB699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B4181D" w:rsidRPr="009F44EE" w:rsidRDefault="00B4181D" w:rsidP="00B4181D">
      <w:pPr>
        <w:pStyle w:val="ListParagraph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025C5" w:rsidRPr="009F44EE" w:rsidRDefault="004025C5" w:rsidP="004808A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 xml:space="preserve">Treba voditi računa o zvaničnim preporukama u vezi odgovarajuće upotrebe </w:t>
      </w:r>
      <w:proofErr w:type="spellStart"/>
      <w:r w:rsidRPr="009F44EE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antibakterijskih</w:t>
      </w:r>
      <w:proofErr w:type="spellEnd"/>
      <w:r w:rsidRPr="009F44EE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 xml:space="preserve"> ljekova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AC6AA2" w:rsidRPr="009F44EE" w:rsidRDefault="00AC6AA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4.2.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Doziranje i način primjene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 xml:space="preserve">Profilaksa </w:t>
      </w:r>
      <w:r w:rsidR="00CB699B"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 xml:space="preserve">postoperativnih infekcija izazvanih </w:t>
      </w:r>
      <w:r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anaerobni</w:t>
      </w:r>
      <w:r w:rsidR="00CB699B"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m bakterijama</w:t>
      </w:r>
      <w:r w:rsidRPr="009F44EE"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highlight w:val="yellow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Lijek se prije svega koristi u sklopu abdominalne (posebno kolorektalne) hirurgije i prilikom hirurških intervencija u ginekologiji. </w:t>
      </w:r>
    </w:p>
    <w:p w:rsidR="000831B3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Profilaksa antibioticima treba da bude kratkotrajna,</w:t>
      </w:r>
      <w:r w:rsidR="00282A2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uglavnom ograničena na post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operativni period </w:t>
      </w:r>
      <w:r w:rsidR="00282A2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(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24 sata, </w:t>
      </w:r>
      <w:r w:rsidR="00282A2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ali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nikad du</w:t>
      </w:r>
      <w:r w:rsidR="00282A2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že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od 48 sati</w:t>
      </w:r>
      <w:r w:rsidR="00282A2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)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. </w:t>
      </w:r>
      <w:r w:rsidR="000831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Mogući su različiti rasporedi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doziranja.</w:t>
      </w:r>
    </w:p>
    <w:p w:rsidR="000831B3" w:rsidRPr="009F44EE" w:rsidRDefault="000831B3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lastRenderedPageBreak/>
        <w:t>Odrasli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: </w:t>
      </w:r>
      <w:r w:rsidR="0067645D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Intravenska injekcija od 1000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mg</w:t>
      </w:r>
      <w:r w:rsidR="00CA64E8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do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1500 mg kao pojedinačna doza, 30-60 minuta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prije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operativnog zahvata ili alternativno 500</w:t>
      </w:r>
      <w:r w:rsidR="001F0218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mg neposredno prije, za vrijeme ili nakon operacije, </w:t>
      </w:r>
      <w:r w:rsidR="00591A3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a zatim 500 mg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na 8 sati.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Djeca uzrasta do 12 godina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20-30 mg/kg kao pojedinačna doza, 1-2 sata prije operativnog zahvata.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Novorođenčad gestacione starosti &lt; 40 nedjelja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: 10 mg/kg tjelesne mase kao pojedinačna doza prije operacije.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67645D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Anaerobne infekcije</w:t>
      </w: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 xml:space="preserve">: </w:t>
      </w:r>
    </w:p>
    <w:p w:rsidR="0067645D" w:rsidRPr="009F44EE" w:rsidRDefault="0067645D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</w:p>
    <w:p w:rsidR="0067645D" w:rsidRPr="009F44EE" w:rsidRDefault="0067645D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Intravenska primjena se koristi inicijalno u terapiji ukoliko pacijenti nijesu u mogućnosti da lijek uzimaju oralno. Mogući su različiti rasporedi doziranja.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highlight w:val="yellow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Odrasli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: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1000 mg-1500 mg</w:t>
      </w:r>
      <w:r w:rsidR="0067645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D09B6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dnevno, 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kao pojedinačna doza</w:t>
      </w:r>
      <w:r w:rsidR="00520A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="0067645D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alternativno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500 mg na 8 sati.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Djeca uzrasta od 8 nedjelja (od 2 mjeseca) do 12 godina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uobičajeno se primjenjuje 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20-30 mg/kg kao pojedinačna dnevna doza</w:t>
      </w:r>
      <w:r w:rsidR="00520AB3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ili podijeljeno na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7,5 mg/kg svakih 8 sati. Dnevna doza može biti povećana do 40 mg/kg, što zavisi od težine infekcije. Trajanje terapije je obično 7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</w:t>
      </w: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 xml:space="preserve">&lt; 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8 nedjelja (do 2 mjeseca)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uobičajeno se primjenjuje 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15 mg/kg kao pojedinačna dnevna doza</w:t>
      </w:r>
      <w:r w:rsidR="00520AB3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ili podijeljeno na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7,5 mg/kg svakih 12 sati.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Kod novorođenčadi gestacione starosti </w:t>
      </w:r>
      <w:r w:rsidRPr="009F44EE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&lt;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40 nedjelja može doći do nagomilavanja metronidazola tokom prve nedjelje života, </w:t>
      </w:r>
      <w:r w:rsidR="00CB6DFF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pa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se </w:t>
      </w:r>
      <w:r w:rsidR="00CB6DFF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zbog toga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preporučuje praćenje koncentracije lijeka u serumu nakon nekoliko dana terapije.</w:t>
      </w:r>
    </w:p>
    <w:p w:rsidR="0067645D" w:rsidRPr="009F44EE" w:rsidRDefault="0067645D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Oralni ljekovi se mogu da</w:t>
      </w:r>
      <w:r w:rsidR="00896205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vati u isto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m </w:t>
      </w:r>
      <w:r w:rsidR="00896205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doznom režimu.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Intravenski način primjene lijeka treba što je </w:t>
      </w:r>
      <w:r w:rsidR="00DE53BF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prije </w:t>
      </w: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moguće zamijeniti oralnom terapijom.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</w:p>
    <w:p w:rsidR="00054137" w:rsidRPr="009F44EE" w:rsidRDefault="00C13C7A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iCs/>
          <w:noProof/>
          <w:sz w:val="22"/>
          <w:szCs w:val="22"/>
          <w:u w:val="single"/>
          <w:lang w:val="sr-Latn-ME"/>
        </w:rPr>
        <w:t>Trajanje terapije</w:t>
      </w:r>
    </w:p>
    <w:p w:rsidR="00C13C7A" w:rsidRPr="009F44EE" w:rsidRDefault="00C13C7A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</w:p>
    <w:p w:rsidR="00C13C7A" w:rsidRPr="009F44EE" w:rsidRDefault="00C13C7A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Trajanje terapije najčešće iznosi 7 dana kod većine pacijenata, ali u zavisnosti od procjene kliničkih i bakterioloških analiza, ljekar može odlučiti da produži liječenje:</w:t>
      </w:r>
      <w:r w:rsidR="00AC70A0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npr. zbog eradikacije infekcije sa mjesta koja se ne mogu drenirati ili koja su podložna endogenoj rekontaminaciji </w:t>
      </w:r>
      <w:r w:rsidR="00520AB3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anaerobnim </w:t>
      </w:r>
      <w:r w:rsidR="00AC70A0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bakterijama iz crijeva, orofarinksa ili </w:t>
      </w:r>
      <w:r w:rsidR="000D09B6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iz </w:t>
      </w:r>
      <w:r w:rsidR="00AC70A0"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genitalnog trakta.</w:t>
      </w:r>
    </w:p>
    <w:p w:rsidR="00D07F00" w:rsidRPr="009F44EE" w:rsidRDefault="00D07F00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Bakterijska vaginoza: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BD65EA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A</w:t>
      </w:r>
      <w:r w:rsidR="00054137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dolescenti</w:t>
      </w:r>
      <w:r w:rsidR="00054137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: 400 mg dva puta dnevno tokom 5-7 dana</w:t>
      </w:r>
      <w:r w:rsidR="00520A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="00054137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2000 mg kao pojedinačna doza.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Urogenitalna trihomonijaza: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Odrasli i adolescenti: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2000 mg kao pojedinačna doza</w:t>
      </w:r>
      <w:r w:rsidR="00520A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200 mg tri puta dnevno tokom 7 dana</w:t>
      </w:r>
      <w:r w:rsidR="00520A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400 mg dva puta dnevno tokom 5-7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Djeca mlađa od 10 godina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: 40 mg/kg kao pojedinačna oralna doza</w:t>
      </w:r>
      <w:r w:rsidR="00520AB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15-30 mg/kg/dan podijeljeno u 2-3 doze tokom 7 dana, ali tako da se ne prelazi 2000 mg/dozi.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Đardijaza</w:t>
      </w:r>
      <w:r w:rsidRPr="009F44EE"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  <w:t>: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</w:pPr>
    </w:p>
    <w:p w:rsidR="00054137" w:rsidRPr="009F44EE" w:rsidRDefault="00F04A8C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S</w:t>
      </w:r>
      <w:r w:rsidR="00054137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tarij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i</w:t>
      </w:r>
      <w:r w:rsidR="00054137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od 10 godina:</w:t>
      </w:r>
      <w:r w:rsidR="00054137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2000 mg jednom dnevno tokom 3 dana</w:t>
      </w:r>
      <w:r w:rsidR="000464B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="00054137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400 mg tri puta dnevno tokom 5 dana, ili 500 mg dva puta dnevno tokom 7 -10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7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10 godina: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1000 mg jednom dnevno tokom 3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3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7 godina: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600 - 800 mg jednom dnevno tokom 3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lastRenderedPageBreak/>
        <w:t xml:space="preserve">Djeca uzrasta od 1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do 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3 godine: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500 mg jednom dnevno tokom 3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Alternativno, doza se može izraziti i u mg/kg tjelesne mase: 15 - 40 mg/kg/dan podijeljeno u 2-3 doze.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Amebijaza</w:t>
      </w: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>: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highlight w:val="cyan"/>
          <w:u w:val="single"/>
          <w:lang w:val="sr-Latn-ME"/>
        </w:rPr>
      </w:pPr>
    </w:p>
    <w:p w:rsidR="00054137" w:rsidRPr="009F44EE" w:rsidRDefault="00FE56A9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S</w:t>
      </w:r>
      <w:r w:rsidR="00054137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tarij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i</w:t>
      </w:r>
      <w:r w:rsidR="00054137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od 10 godina:</w:t>
      </w:r>
      <w:r w:rsidR="00054137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400 - 800 mg tri puta dnevno tokom 5 - 10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7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10 godina: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200 - 400 mg tri puta dnevno tokom 5 - 10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3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7 godina: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100 - 200 mg četiri puta dnevno tokom 5 - 10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1 </w:t>
      </w:r>
      <w:r w:rsidR="000D09B6"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9F44EE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3 godine: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100 - 200 mg tri puta dnevno tokom 5 - 10 dana.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Alternativno, doza se može izraziti i u mg/kg tjelesne mase: 35 - 50 mg/kg/dan podijeljeno u 3 doze tokom 5 - 10 dana, ali tako da ukupna doza ne prelazi 2400 mg/dan.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Eradikacija Helicobacter pylori kod pedijatrijskih pacijenata</w:t>
      </w: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 xml:space="preserve">: 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</w:p>
    <w:p w:rsidR="00BD65EA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Kao dio kombinovane terapije, metronidazol se primjenjuje u dozi od 20 mg/kg/dan, ali tako da ne prelazi</w:t>
      </w:r>
      <w:r w:rsidR="00BD65EA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500 mg 2x/dan</w:t>
      </w:r>
      <w:r w:rsidR="00F04A8C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tokom 7-14 dana. </w:t>
      </w:r>
    </w:p>
    <w:p w:rsidR="00054137" w:rsidRPr="009F44EE" w:rsidRDefault="00054137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Svakako, pri započinjanju terapije treba se pridržavati zvaničnih vodiča i protokola.</w:t>
      </w:r>
    </w:p>
    <w:p w:rsidR="00BD65EA" w:rsidRPr="009F44EE" w:rsidRDefault="00BD65EA" w:rsidP="0005413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Starije osobe </w:t>
      </w: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Potreban je oprez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k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od starijih osoba,  naročito kod primjene visokih doza, mada nema dovoljno podataka o prilagođavanju </w:t>
      </w:r>
      <w:r w:rsidR="00F04A8C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doziranja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.</w:t>
      </w: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Pacijenti sa </w:t>
      </w:r>
      <w:r w:rsidR="00376E1E"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oštećenjem funkcije bubrega</w:t>
      </w: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 </w:t>
      </w:r>
    </w:p>
    <w:p w:rsidR="00BD65EA" w:rsidRPr="009F44EE" w:rsidRDefault="00BD65EA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BD65EA" w:rsidRPr="009F44EE" w:rsidRDefault="00BD65EA" w:rsidP="00A6637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Nije potrebno prilagođavanje doze</w:t>
      </w:r>
      <w:r w:rsidR="00E973B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metronidazola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kod pacijenata sa oštećenjem funkcije bubrega.</w:t>
      </w:r>
    </w:p>
    <w:p w:rsidR="00906B94" w:rsidRPr="009F44EE" w:rsidRDefault="00BD65EA" w:rsidP="00A6637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Nije potrebno prilagođavanje doze </w:t>
      </w:r>
      <w:r w:rsidR="00E973B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metronidazola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kod pacijenata sa oštećenjem funkcije bubrega </w:t>
      </w:r>
      <w:r w:rsidR="00E973B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koji se podvrgavaju intermitentnoj peritonealnoj dijalizi (IDP) i</w:t>
      </w:r>
      <w:r w:rsidR="002B663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li</w:t>
      </w:r>
      <w:r w:rsidR="00E973B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kontinuiranoj ambulantnoj peritonealnoj dijalizi (CAPD). Smanjenje doze ipak može biti potrebno ukoliko se</w:t>
      </w:r>
      <w:r w:rsidR="00404132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pronađu velike koncentracije metabolita.</w:t>
      </w:r>
      <w:r w:rsidR="00906B94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</w:p>
    <w:p w:rsidR="00E973B1" w:rsidRPr="009F44EE" w:rsidRDefault="00906B94" w:rsidP="00A6637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Kod pacijenata na hemodijalizi,  metronidazol se mora opet primijeniti odmah nakon hemodijalize.</w:t>
      </w:r>
    </w:p>
    <w:p w:rsidR="00404132" w:rsidRPr="009F44EE" w:rsidRDefault="00404132" w:rsidP="00A6637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</w:p>
    <w:p w:rsidR="00404132" w:rsidRPr="009F44EE" w:rsidRDefault="00404132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Pacijenti sa</w:t>
      </w:r>
      <w:r w:rsidR="009F6716"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 </w:t>
      </w:r>
      <w:r w:rsidR="008400C9"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uznapredovalom</w:t>
      </w:r>
      <w:r w:rsidR="001C3683" w:rsidRPr="009F44EE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 insuficijencijom jetre</w:t>
      </w:r>
    </w:p>
    <w:p w:rsidR="00BD65EA" w:rsidRPr="009F44EE" w:rsidRDefault="00404132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Kod pacijenata sa </w:t>
      </w:r>
      <w:r w:rsidR="008400C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uznapredovalom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="001C368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insuficijencijom</w:t>
      </w:r>
      <w:r w:rsidR="00BD65EA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jetre potrebn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o je smanjiti dozu uz </w:t>
      </w:r>
      <w:r w:rsidR="00AE644C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praćenje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koncentracije  u serumu. </w:t>
      </w:r>
    </w:p>
    <w:p w:rsidR="00176428" w:rsidRPr="009F44EE" w:rsidRDefault="00176428" w:rsidP="00BD65EA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176428" w:rsidRPr="009F44EE" w:rsidRDefault="00176428" w:rsidP="00176428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Način primjene</w:t>
      </w:r>
    </w:p>
    <w:p w:rsidR="00176428" w:rsidRPr="009F44EE" w:rsidRDefault="00176428" w:rsidP="004808A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-T se primjenjuje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intravenski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brzinom od oko 5 ml/min</w:t>
      </w:r>
      <w:r w:rsidR="001163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(ili jedna boca tokom 20 do 60 minuta)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Intravenski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način primjene lijeka treba što je moguće prije zamijeniti oralnom terapijom. </w:t>
      </w:r>
    </w:p>
    <w:p w:rsidR="00452E9D" w:rsidRPr="009F44EE" w:rsidRDefault="00452E9D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4.3.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Kontraindikacije</w:t>
      </w:r>
      <w:proofErr w:type="spellEnd"/>
    </w:p>
    <w:p w:rsidR="00566B0F" w:rsidRPr="009F44EE" w:rsidRDefault="00566B0F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566B0F" w:rsidRPr="009F44EE" w:rsidRDefault="00566B0F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Preosjetljivost na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na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druge derivate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imidazola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na bilo koju pomoćnu supstancu ovog lijeka navedenu u 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dijel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 6.1.</w:t>
      </w:r>
    </w:p>
    <w:p w:rsidR="00566B0F" w:rsidRPr="009F44EE" w:rsidRDefault="00566B0F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4.4.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Posebna upozorenja i mjere opreza pri upotrebi lijeka</w:t>
      </w:r>
    </w:p>
    <w:p w:rsidR="00566B0F" w:rsidRPr="009F44EE" w:rsidRDefault="00566B0F" w:rsidP="00566B0F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46991" w:rsidRPr="009F44EE" w:rsidRDefault="00846991" w:rsidP="0084699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Oboljenja jetre</w:t>
      </w:r>
    </w:p>
    <w:p w:rsidR="00846991" w:rsidRPr="009F44EE" w:rsidRDefault="00846991" w:rsidP="00E87E4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E87E40" w:rsidRPr="009F44EE" w:rsidRDefault="00846991" w:rsidP="00E87E4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Potreban je oprez prilikom primjene kod pacijenata sa teškim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oštećenjem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D343D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funkcije 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jetre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 Ukoliko je potrebno</w:t>
      </w:r>
      <w:r w:rsidR="00D343D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doz</w:t>
      </w:r>
      <w:r w:rsidR="004C174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a </w:t>
      </w:r>
      <w:proofErr w:type="spellStart"/>
      <w:r w:rsidR="004C174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može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redukovati.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uglavnom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metaboliše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oksidacijom u jetri. Znatni poremećaj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može javiti kod uznapredoval</w:t>
      </w:r>
      <w:r w:rsidR="001C36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 </w:t>
      </w:r>
      <w:proofErr w:type="spellStart"/>
      <w:r w:rsidR="001C36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insuficijencije</w:t>
      </w:r>
      <w:proofErr w:type="spellEnd"/>
      <w:r w:rsidR="001C36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jetre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lastRenderedPageBreak/>
        <w:t>Kod ovih p</w:t>
      </w:r>
      <w:r w:rsidR="004C174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aci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jenata je potrebno pažljivo procijeniti odnos korist/rizik primjene </w:t>
      </w:r>
      <w:proofErr w:type="spellStart"/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liječenju </w:t>
      </w:r>
      <w:proofErr w:type="spellStart"/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trihomonijaze</w:t>
      </w:r>
      <w:proofErr w:type="spellEnd"/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(za prilagođavanje doze vidjeti 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dio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4.2)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A6637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Potrebno je pažljivo pratiti k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oncentracij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plazmi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</w:p>
    <w:p w:rsidR="006A2824" w:rsidRPr="009F44EE" w:rsidRDefault="00DE53BF" w:rsidP="00E87E4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</w:t>
      </w:r>
      <w:r w:rsidR="00E87E4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rilikom primjene kod pacijenata </w:t>
      </w:r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sa </w:t>
      </w:r>
      <w:proofErr w:type="spellStart"/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hepatičkom</w:t>
      </w:r>
      <w:proofErr w:type="spellEnd"/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encefalopatijom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potreban je oprez</w:t>
      </w:r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Kod pacijenata sa teškom </w:t>
      </w:r>
      <w:proofErr w:type="spellStart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hepatičkom</w:t>
      </w:r>
      <w:proofErr w:type="spellEnd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encefalopatijom</w:t>
      </w:r>
      <w:proofErr w:type="spellEnd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sporo </w:t>
      </w:r>
      <w:proofErr w:type="spellStart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metaboliše</w:t>
      </w:r>
      <w:proofErr w:type="spellEnd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što </w:t>
      </w:r>
      <w:r w:rsidR="00FF512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dovodi do </w:t>
      </w:r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akumulacij</w:t>
      </w:r>
      <w:r w:rsidR="00FF512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</w:t>
      </w:r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</w:t>
      </w:r>
      <w:r w:rsidR="00FF512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etronidazola</w:t>
      </w:r>
      <w:proofErr w:type="spellEnd"/>
      <w:r w:rsidR="001D00D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Ovo može da prouzrokuje pogoršanje neželjenih </w:t>
      </w:r>
      <w:proofErr w:type="spellStart"/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reakacija</w:t>
      </w:r>
      <w:proofErr w:type="spellEnd"/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 nivou centralnog nervnog sistema (CNS). </w:t>
      </w:r>
      <w:r w:rsidR="0084699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</w:t>
      </w:r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oza </w:t>
      </w:r>
      <w:proofErr w:type="spellStart"/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6A2824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može, po potrebi, redukovati.</w:t>
      </w:r>
    </w:p>
    <w:p w:rsidR="00846991" w:rsidRPr="009F44EE" w:rsidRDefault="004731C8" w:rsidP="004A0EF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 upotrebi ljekova koji sadrže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za sistemsku prim</w:t>
      </w:r>
      <w:r w:rsidR="00D343D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enu prijavljeni su slučajevi teške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hepatotoksičnosti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/akutn</w:t>
      </w:r>
      <w:r w:rsidR="004C20A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</w:t>
      </w:r>
      <w:r w:rsidR="00376E1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4C20A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insuficijencije</w:t>
      </w:r>
      <w:proofErr w:type="spellEnd"/>
      <w:r w:rsidR="004C20A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jetre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uključujući i slučajeve sa smrtnim ishodom sa brzim razvojem simptoma nakon uvođenja lijeka kod pacijenata sa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Cockayne</w:t>
      </w:r>
      <w:proofErr w:type="spellEnd"/>
      <w:r w:rsidR="007F270B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-</w:t>
      </w:r>
      <w:r w:rsidR="007F270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ovim</w:t>
      </w:r>
      <w:r w:rsidR="007F270B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sindromom. Kod ovih pacijenata, 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 </w:t>
      </w:r>
      <w:proofErr w:type="spellStart"/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-T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treba koristiti tek nakon pažljive procjene odnosa korist/rizik i samo ukoliko nije moguća terapija drugim ljekovima. Laboratorijski testovi funkcije jetre moraju se sprovoditi neposredno prije, za vrijeme i nakon prestanka terapije sve do povratka </w:t>
      </w:r>
      <w:r w:rsidR="002B663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funkcije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jetre na normalu ili na početne vrijednosti. Ukoliko dođe do izraženog pogoršanja vr</w:t>
      </w:r>
      <w:r w:rsidR="004A0EF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ednosti testova funkcije jetre tokom terapije, prim</w:t>
      </w:r>
      <w:r w:rsidR="004A0EF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enu l</w:t>
      </w:r>
      <w:r w:rsidR="004A0EF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eka treba prekinuti.</w:t>
      </w:r>
    </w:p>
    <w:p w:rsidR="004A0EFE" w:rsidRPr="009F44EE" w:rsidRDefault="007F270B" w:rsidP="004A0EF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Pacijentima 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sa </w:t>
      </w:r>
      <w:proofErr w:type="spellStart"/>
      <w:r w:rsidR="004A0EFE" w:rsidRPr="009F44EE">
        <w:rPr>
          <w:rFonts w:asciiTheme="majorBidi" w:hAnsiTheme="majorBidi" w:cstheme="majorBidi"/>
          <w:i/>
          <w:sz w:val="22"/>
          <w:szCs w:val="22"/>
          <w:lang w:val="sr-Latn-ME"/>
        </w:rPr>
        <w:t>Cockayne</w:t>
      </w:r>
      <w:proofErr w:type="spellEnd"/>
      <w:r w:rsidRPr="009F44EE">
        <w:rPr>
          <w:rFonts w:asciiTheme="majorBidi" w:hAnsiTheme="majorBidi" w:cstheme="majorBidi"/>
          <w:i/>
          <w:sz w:val="22"/>
          <w:szCs w:val="22"/>
          <w:lang w:val="sr-Latn-ME"/>
        </w:rPr>
        <w:t>-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ovim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sindromom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treba 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>savj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etovati da sve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simptom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moguće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g oštećenja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funkcije jetre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7111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odmah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prijave 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>svom lj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ekaru</w:t>
      </w:r>
      <w:r w:rsidR="00D343D8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 da u tom slučaju prestanu da uzimaju</w:t>
      </w:r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  <w:r w:rsidR="004A0EFE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151C04" w:rsidRPr="009F44EE" w:rsidRDefault="00151C04" w:rsidP="00151C04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151C04" w:rsidRPr="009F44EE" w:rsidRDefault="00151C04" w:rsidP="00151C04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Aktivno oboljenje centralnog nervnog sistema</w:t>
      </w:r>
    </w:p>
    <w:p w:rsidR="00AB5095" w:rsidRPr="009F44EE" w:rsidRDefault="00151C04" w:rsidP="00151C04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treba primjenjivati sa oprezom kod pacijenata sa ak</w:t>
      </w:r>
      <w:r w:rsidR="00AB5095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tivnim oboljenjem perifernog i centralnog nervnog sistema. Zabilježeni su teški neurološki poremećaji (uključujući napade </w:t>
      </w:r>
      <w:r w:rsidR="002B6631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i</w:t>
      </w:r>
      <w:r w:rsidR="00AB5095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periferne i optičke </w:t>
      </w:r>
      <w:r w:rsidR="00F8053F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neuropatije</w:t>
      </w:r>
      <w:r w:rsidR="00AB5095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) kod pacijenata koji su liječeni </w:t>
      </w:r>
      <w:proofErr w:type="spellStart"/>
      <w:r w:rsidR="00AB5095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metronidazolom</w:t>
      </w:r>
      <w:proofErr w:type="spellEnd"/>
      <w:r w:rsidR="00AB5095"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.</w:t>
      </w:r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</w:t>
      </w:r>
    </w:p>
    <w:p w:rsidR="00D40F1F" w:rsidRPr="009F44EE" w:rsidRDefault="00AB5095" w:rsidP="00AB5095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 slučaju pojave 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abnormalnih neurološkoh simptoma kao što su: 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ataksij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, </w:t>
      </w:r>
      <w:r w:rsidR="00527870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vrtoglavica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, </w:t>
      </w:r>
      <w:r w:rsidR="00527870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konfuzija 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ili bio kojih drugih neželjenih </w:t>
      </w:r>
      <w:r w:rsidR="00376E1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dejstava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na nivou CNS-a, terapiju metronidazolom treba prekinuti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.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Rizik od pogoršanja neurološk</w:t>
      </w:r>
      <w:r w:rsidR="0027111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og stanja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se mora uzeti u obzir kod pacijenata sa </w:t>
      </w:r>
      <w:r w:rsidR="00E20685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stabilnom ili</w:t>
      </w:r>
      <w:r w:rsidR="008D7593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="00D40F1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pogresivnom parestezijom, epilepsijom i aktivnim oboljenjem centralnog nervnog sistema osim </w:t>
      </w:r>
      <w:r w:rsidR="007F270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kod apscesa mozga.</w:t>
      </w:r>
    </w:p>
    <w:p w:rsidR="007F270B" w:rsidRPr="009F44EE" w:rsidRDefault="005F3B16" w:rsidP="007F270B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Prijavljena </w:t>
      </w:r>
      <w:r w:rsidR="00A42442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je </w:t>
      </w:r>
      <w:r w:rsidR="007F270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e</w:t>
      </w:r>
      <w:r w:rsidR="00FF0F5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ncefalopatija udružena sa cereb</w:t>
      </w:r>
      <w:r w:rsidR="00FF70E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e</w:t>
      </w:r>
      <w:r w:rsidR="00FF0F5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ralnom toksičnošću koju karakteriše </w:t>
      </w:r>
      <w:r w:rsidR="007F270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ataksija</w:t>
      </w:r>
      <w:r w:rsidR="00FF0F5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, </w:t>
      </w:r>
      <w:r w:rsidR="00527870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vrtoglavica</w:t>
      </w:r>
      <w:r w:rsidR="007F270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, </w:t>
      </w:r>
      <w:r w:rsidR="00FF0F5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dizartrija </w:t>
      </w:r>
      <w:r w:rsidR="00DE53BF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i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koja je praćena </w:t>
      </w:r>
      <w:r w:rsidR="00FF0F5B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CNS lezijama</w:t>
      </w:r>
      <w:r w:rsidR="00FF70E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koje se uočavaju na MR snimku.</w:t>
      </w:r>
      <w:r w:rsidR="00FF70EE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D759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CNS simptomi i CNS </w:t>
      </w:r>
      <w:proofErr w:type="spellStart"/>
      <w:r w:rsidR="008D7593" w:rsidRPr="009F44EE">
        <w:rPr>
          <w:rFonts w:asciiTheme="majorBidi" w:hAnsiTheme="majorBidi" w:cstheme="majorBidi"/>
          <w:sz w:val="22"/>
          <w:szCs w:val="22"/>
          <w:lang w:val="sr-Latn-ME"/>
        </w:rPr>
        <w:t>lezije</w:t>
      </w:r>
      <w:proofErr w:type="spellEnd"/>
      <w:r w:rsidR="008D759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su u</w:t>
      </w:r>
      <w:r w:rsidR="00DE53BF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glavnom </w:t>
      </w:r>
      <w:r w:rsidR="00FF70E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reverzibilni i povlače se u roku od nekoliko dana ili ned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="00FF70EE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elja nakon  prestanka uzimanja lijeka.</w:t>
      </w:r>
    </w:p>
    <w:p w:rsidR="00631259" w:rsidRPr="009F44EE" w:rsidRDefault="00A604C7" w:rsidP="004808A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Pri primjeni metronidazola može da se pojavi aseptični meningitis.</w:t>
      </w:r>
      <w:r w:rsidR="00A6637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Simptomi obično počinju tokom nekoliko sati nakon primjene lijeka i povlače se nakon prestanka uzimanja lijeka </w:t>
      </w:r>
      <w:r w:rsidR="00A6637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(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vidj</w:t>
      </w:r>
      <w:r w:rsidR="002B6631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e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ti dio </w:t>
      </w:r>
      <w:r w:rsidR="00A66379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4.8).</w:t>
      </w:r>
    </w:p>
    <w:p w:rsidR="00A604C7" w:rsidRPr="009F44EE" w:rsidRDefault="00A604C7" w:rsidP="00FF70E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AB5095" w:rsidRPr="009F44EE" w:rsidRDefault="00FF70EE" w:rsidP="00FF70EE">
      <w:pPr>
        <w:tabs>
          <w:tab w:val="left" w:pos="540"/>
          <w:tab w:val="left" w:pos="569"/>
        </w:tabs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Krvne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diskrazije</w:t>
      </w:r>
      <w:proofErr w:type="spellEnd"/>
    </w:p>
    <w:p w:rsidR="00151C04" w:rsidRPr="009F44EE" w:rsidRDefault="00151C04" w:rsidP="00151C04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631259" w:rsidRPr="009F44EE" w:rsidRDefault="00631259" w:rsidP="00631259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Metronidazol treba primjenjivati sa oprezom kod pacijenata sa anamnezom krvnih diskrazija</w:t>
      </w:r>
      <w:r w:rsidR="005F3B16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kao što su agranulocitoza, leukopenija, neutropenija ili u slučaju njihove pojave nakon primjene metronidazola.</w:t>
      </w:r>
    </w:p>
    <w:p w:rsidR="00057E35" w:rsidRPr="009F44EE" w:rsidRDefault="00057E35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631259" w:rsidRPr="009F44EE" w:rsidRDefault="00631259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Oboljenja bubrega</w:t>
      </w:r>
    </w:p>
    <w:p w:rsidR="00631259" w:rsidRPr="009F44EE" w:rsidRDefault="00631259" w:rsidP="0053346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se uklanja tokom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 treba ga primjenjivati nakon završetka ove procedure.</w:t>
      </w:r>
    </w:p>
    <w:p w:rsidR="00631259" w:rsidRPr="009F44EE" w:rsidRDefault="003D16D4" w:rsidP="0053346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Pacijente </w:t>
      </w:r>
      <w:r w:rsidR="006312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6312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sa</w:t>
      </w:r>
      <w:r w:rsidR="00376E1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oštećenjem</w:t>
      </w:r>
      <w:proofErr w:type="spellEnd"/>
      <w:r w:rsidR="00376E1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funkcije bubrega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uključujući pacijente </w:t>
      </w:r>
      <w:r w:rsidR="006312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koji su na </w:t>
      </w:r>
      <w:proofErr w:type="spellStart"/>
      <w:r w:rsidR="006312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peritonealnoj</w:t>
      </w:r>
      <w:proofErr w:type="spellEnd"/>
      <w:r w:rsidR="0063125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dijalizi ili kontinuiranoj amb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ulantnoj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peritonealnoj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dijalizi,</w:t>
      </w:r>
      <w:r w:rsidR="00F0167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treba pažljivo pratiti na znake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toksičnosti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usl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ed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potencijalne akumulacije toksičnih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</w:t>
      </w:r>
      <w:r w:rsidR="00F0167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53346D" w:rsidRPr="009F44EE" w:rsidRDefault="0053346D" w:rsidP="0053346D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3346D" w:rsidRPr="009F44EE" w:rsidRDefault="0053346D" w:rsidP="0053346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Pacijenti koji su na dijeti u kojoj se kontroliše unos natrijuma</w:t>
      </w:r>
    </w:p>
    <w:p w:rsidR="00BD7FA2" w:rsidRPr="009F44EE" w:rsidRDefault="00BD7FA2" w:rsidP="0053346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495C78" w:rsidRPr="009F44EE" w:rsidRDefault="0053346D" w:rsidP="009B75F3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Ovaj l</w:t>
      </w:r>
      <w:r w:rsidR="009B75F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ek sadrži 310,58 mg natrijuma</w:t>
      </w:r>
      <w:r w:rsidR="009B75F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9B75F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 dozi od 100 ml.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Sav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etuje se poseban oprez prilikom upotrebe kod pacijenata </w:t>
      </w:r>
      <w:r w:rsidR="009B75F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koji su na dijeti u kojoj se kontroliše unos natrijuma</w:t>
      </w:r>
      <w:r w:rsidR="009B75F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9B75F3" w:rsidRPr="009F44EE" w:rsidRDefault="009B75F3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495C78" w:rsidRPr="009F44EE" w:rsidRDefault="00495C7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Alkohol</w:t>
      </w:r>
    </w:p>
    <w:p w:rsidR="00495C78" w:rsidRPr="009F44EE" w:rsidRDefault="00495C78" w:rsidP="00495C78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495C78" w:rsidRPr="009F44EE" w:rsidRDefault="00495C78" w:rsidP="00495C78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>Pacijente treba upozoriti da ne konzumiraju alkoholna pića ili proizvode koji sadrže alkohol, prije, za vrijem</w:t>
      </w:r>
      <w:r w:rsidR="00833BD3" w:rsidRPr="009F44EE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liječenja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metronidazolom</w:t>
      </w:r>
      <w:proofErr w:type="spellEnd"/>
      <w:r w:rsidR="00173CD8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 najmanje 72h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po prestanku terapije zbog mogućnosti nastanka disulfiramske reakcije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(abdomin</w:t>
      </w:r>
      <w:r w:rsidR="007566E4" w:rsidRPr="009F44EE">
        <w:rPr>
          <w:rFonts w:asciiTheme="majorBidi" w:hAnsiTheme="majorBidi" w:cstheme="majorBidi"/>
          <w:sz w:val="22"/>
          <w:szCs w:val="22"/>
          <w:lang w:val="sr-Latn-ME"/>
        </w:rPr>
        <w:t>alni grčevi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nauzeja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="007566E4" w:rsidRPr="009F44EE">
        <w:rPr>
          <w:rFonts w:asciiTheme="majorBidi" w:hAnsiTheme="majorBidi" w:cstheme="majorBidi"/>
          <w:sz w:val="22"/>
          <w:szCs w:val="22"/>
          <w:lang w:val="sr-Latn-ME"/>
        </w:rPr>
        <w:t>glavobolja, crvenilo, povraćanje, tahikardija)</w:t>
      </w:r>
      <w:r w:rsidR="007575D5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833BD3" w:rsidRPr="009F44EE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="007575D5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4.5)</w:t>
      </w:r>
      <w:r w:rsidR="00833BD3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495C78" w:rsidRDefault="00495C7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225A9B" w:rsidRPr="009F44EE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E00AF9" w:rsidRPr="009F44EE" w:rsidRDefault="00E00AF9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lastRenderedPageBreak/>
        <w:t xml:space="preserve">Intenzivna i produžena terapija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E00AF9" w:rsidRPr="009F44EE" w:rsidRDefault="00E00AF9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C10C1B" w:rsidRPr="009F44EE" w:rsidRDefault="00E00AF9" w:rsidP="00C10C1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 pravilu, trajanje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i.v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terapije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ljekovima koji sadrže druge 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derivate </w:t>
      </w:r>
      <w:proofErr w:type="spellStart"/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midazol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 obično manje od 10 dana. Samo u određenim individualnim slučajevima nakon pažljive procjene odnosa korist/rizik</w:t>
      </w:r>
      <w:r w:rsidR="00853FC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moguće je produžiti ovaj period</w:t>
      </w:r>
      <w:r w:rsidR="00853FC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Ponavljanje 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terapije mora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biti što je više moguće ograničeno i to samo na određene </w:t>
      </w:r>
      <w:r w:rsidR="00853FC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rijetke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slučajeve.</w:t>
      </w:r>
      <w:r w:rsidR="00920C2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853FC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Ogranič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avanj</w:t>
      </w:r>
      <w:r w:rsidR="00853FC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 trajanja terapije je p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otrebno jer se ne može </w:t>
      </w:r>
      <w:r w:rsidR="00920C2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isključiti oštećenje ljudskih</w:t>
      </w:r>
      <w:r w:rsidR="000A7CF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reproduktivnih ćelija.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cr/>
        <w:t xml:space="preserve">Intenzivna ili produžena terapija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treba da se sprovodi samo pod uslovima pažljivog praćenja kliničkih i bioloških dejstava l</w:t>
      </w:r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eka, kao i pod nadzorom l</w:t>
      </w:r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ekara specijaliste. </w:t>
      </w:r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Ukoliko je neophodna produžena terapija, ljekar treba da ima u vidu mogućnost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periferne neuropatije ili </w:t>
      </w:r>
      <w:proofErr w:type="spellStart"/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leukopenije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Oba dejstva su </w:t>
      </w:r>
      <w:r w:rsidR="000A42B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obično </w:t>
      </w:r>
      <w:proofErr w:type="spellStart"/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reverzibilna</w:t>
      </w:r>
      <w:proofErr w:type="spellEnd"/>
      <w:r w:rsidR="00C10C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E00AF9" w:rsidRPr="009F44EE" w:rsidRDefault="00C10C1B" w:rsidP="00C10C1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Potrebno je pratiti pojavu neželjenih 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dejstav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="00BD207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kao što su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parestezija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ataksija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52787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vrtoglavica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63725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konvulzivne krize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tokom produžene</w:t>
      </w:r>
      <w:r w:rsidR="0063725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terapije.</w:t>
      </w:r>
      <w:r w:rsidR="001A517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Primjena visokih doza je povezana sa prolaznim </w:t>
      </w:r>
      <w:proofErr w:type="spellStart"/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epileptiformnim</w:t>
      </w:r>
      <w:proofErr w:type="spellEnd"/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napadima.</w:t>
      </w:r>
    </w:p>
    <w:p w:rsidR="000A42BD" w:rsidRPr="009F44EE" w:rsidRDefault="000A42BD" w:rsidP="000A42B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0A42BD" w:rsidRPr="009F44EE" w:rsidRDefault="000A42BD" w:rsidP="000A42B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Praćenje</w:t>
      </w:r>
    </w:p>
    <w:p w:rsidR="000A42BD" w:rsidRPr="009F44EE" w:rsidRDefault="000A42BD" w:rsidP="000A42B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0A42BD" w:rsidRPr="009F44EE" w:rsidRDefault="000A42BD" w:rsidP="001A517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Redovno kliničko i laboratorijsko praćenje (uključujući krvnu sliku)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, z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bog povećanog rizika od 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pojave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neželjenih </w:t>
      </w:r>
      <w:r w:rsidR="00833BD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dejstava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se preporučuje kod primjene visokih doza, produžene ili ponov</w:t>
      </w:r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ljene terapije, u slučaju  </w:t>
      </w:r>
      <w:r w:rsidR="000C224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</w:t>
      </w:r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rvne </w:t>
      </w:r>
      <w:proofErr w:type="spellStart"/>
      <w:r w:rsidR="001A517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diskrazije</w:t>
      </w:r>
      <w:proofErr w:type="spellEnd"/>
      <w:r w:rsidR="000C224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anamnezi, u slučaju </w:t>
      </w:r>
      <w:r w:rsidR="00BD207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teških </w:t>
      </w:r>
      <w:r w:rsidR="000C224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infekcija i </w:t>
      </w:r>
      <w:r w:rsidR="00BD207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teške </w:t>
      </w:r>
      <w:proofErr w:type="spellStart"/>
      <w:r w:rsidR="001C36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insuficijencije</w:t>
      </w:r>
      <w:proofErr w:type="spellEnd"/>
      <w:r w:rsidR="001C36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jetre.</w:t>
      </w:r>
    </w:p>
    <w:p w:rsidR="000C224F" w:rsidRPr="009F44EE" w:rsidRDefault="000C224F" w:rsidP="001A517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0C224F" w:rsidRPr="009F44EE" w:rsidRDefault="000C224F" w:rsidP="001A517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Opšte</w:t>
      </w:r>
    </w:p>
    <w:p w:rsidR="000A42BD" w:rsidRPr="009F44EE" w:rsidRDefault="000A42BD" w:rsidP="00C10C1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0C224F" w:rsidRPr="009F44EE" w:rsidRDefault="000C224F" w:rsidP="000C224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Pacijente treba upozoriti da lijek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-T može da dovede do pojave tamne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prebojenosti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urina (zbog </w:t>
      </w:r>
    </w:p>
    <w:p w:rsidR="000C224F" w:rsidRPr="009F44EE" w:rsidRDefault="000C224F" w:rsidP="000C224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prisustva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).</w:t>
      </w:r>
    </w:p>
    <w:p w:rsidR="00495C78" w:rsidRPr="009F44EE" w:rsidRDefault="00495C7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11B4B" w:rsidRPr="009F44EE" w:rsidRDefault="00411B4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4.5.</w:t>
      </w:r>
      <w:r w:rsidR="000D60CC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Interakcije sa drugim ljekovima i druge vrste interakcija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6C61A7" w:rsidRPr="009F44EE" w:rsidRDefault="006C61A7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Ne preporučuje se istovremena </w:t>
      </w:r>
      <w:r w:rsidR="00AC6AA2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prim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j</w:t>
      </w:r>
      <w:r w:rsidR="00D70F45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ena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:</w:t>
      </w:r>
    </w:p>
    <w:p w:rsidR="006C61A7" w:rsidRPr="009F44EE" w:rsidRDefault="006C61A7" w:rsidP="006C61A7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</w:pPr>
    </w:p>
    <w:p w:rsidR="00776BCF" w:rsidRPr="009F44EE" w:rsidRDefault="00CB7041" w:rsidP="009A0AA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Disulfiram</w:t>
      </w:r>
      <w:proofErr w:type="spellEnd"/>
      <w:r w:rsidR="006C61A7" w:rsidRPr="009F44EE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:</w:t>
      </w:r>
      <w:r w:rsidR="006C61A7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76BC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stovremen</w:t>
      </w:r>
      <w:r w:rsidR="00776BC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a primjena </w:t>
      </w:r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disulfirama</w:t>
      </w:r>
      <w:proofErr w:type="spellEnd"/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proofErr w:type="spellStart"/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776BC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može uzrokovati psihotične reakcije i stanja konfuzije. Pacijentima koji</w:t>
      </w:r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su u prethodne dvije nedjelje uzimali </w:t>
      </w:r>
      <w:proofErr w:type="spellStart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disulfiram</w:t>
      </w:r>
      <w:proofErr w:type="spellEnd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ne smije davati lijek </w:t>
      </w:r>
      <w:proofErr w:type="spellStart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-T.</w:t>
      </w:r>
    </w:p>
    <w:p w:rsidR="00DE53BF" w:rsidRPr="009F44EE" w:rsidRDefault="00DE53BF" w:rsidP="009A0AA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53218E" w:rsidRPr="009F44EE" w:rsidRDefault="00CB7041" w:rsidP="009A0AA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Alkohol</w:t>
      </w:r>
      <w:r w:rsidR="009A0AA9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:</w:t>
      </w:r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Reakcija slična </w:t>
      </w:r>
      <w:proofErr w:type="spellStart"/>
      <w:r w:rsidR="009A272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disulfiramskoj</w:t>
      </w:r>
      <w:proofErr w:type="spellEnd"/>
      <w:r w:rsidR="009A272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(engl. </w:t>
      </w:r>
      <w:r w:rsidR="009A272F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antabuse </w:t>
      </w:r>
      <w:proofErr w:type="spellStart"/>
      <w:r w:rsidR="009A272F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effect</w:t>
      </w:r>
      <w:proofErr w:type="spellEnd"/>
      <w:r w:rsidR="009A272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 </w:t>
      </w:r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(na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leti</w:t>
      </w:r>
      <w:r w:rsidR="006C61A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vrućine, crvenilo, povraćanje, tahikardija). </w:t>
      </w:r>
    </w:p>
    <w:p w:rsidR="009A0AA9" w:rsidRPr="009F44EE" w:rsidRDefault="006C61A7" w:rsidP="009A0AA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Izbjegavati konzumaciju</w:t>
      </w:r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alkoholnih pića ili ljekova koji sadrže alkohol.</w:t>
      </w:r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Pacijente treba savjetovati da ne konzumiraju alkohol za vrijeme  liječenja </w:t>
      </w:r>
      <w:proofErr w:type="spellStart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najmanje 72h po prestanku terapije</w:t>
      </w:r>
      <w:r w:rsidR="003479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zbog mogućnosti nastanka </w:t>
      </w:r>
      <w:proofErr w:type="spellStart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disulfiramske</w:t>
      </w:r>
      <w:proofErr w:type="spellEnd"/>
      <w:r w:rsidR="009A0AA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reakcije (crvenilo, povraćanje, tahikardija). </w:t>
      </w:r>
    </w:p>
    <w:p w:rsidR="00D70F45" w:rsidRPr="009F44EE" w:rsidRDefault="00D70F45" w:rsidP="006C61A7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7142A" w:rsidRPr="009F44EE" w:rsidRDefault="00D70F45" w:rsidP="0087142A">
      <w:pPr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Istovremena primjena koja zahtijeva mjere predostrožnosti: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cr/>
      </w:r>
    </w:p>
    <w:p w:rsidR="0087142A" w:rsidRPr="009F44EE" w:rsidRDefault="0087142A" w:rsidP="00497306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 xml:space="preserve">Oralni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antikoagulansi</w:t>
      </w:r>
      <w:proofErr w:type="spellEnd"/>
      <w:r w:rsidR="00833BD3"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 xml:space="preserve"> (</w:t>
      </w:r>
      <w:proofErr w:type="spellStart"/>
      <w:r w:rsidR="00833BD3"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varfarin</w:t>
      </w:r>
      <w:proofErr w:type="spellEnd"/>
      <w:r w:rsidR="00833BD3"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)</w:t>
      </w: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može da pojača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antikoagula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ntni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efekat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varfarina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drugih oralnih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antikoagulanasa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čime se produžava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protrombinsko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vr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eme i povećava rizik od hemoragije 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(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javlja se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kao posl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edica smanjenog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katabolizma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antikoagulanasa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jetri). Kod pacijenata koji istovremeno uzimaju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varfarin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neki drugi oralni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kumarinski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antikoagulans</w:t>
      </w:r>
      <w:proofErr w:type="spellEnd"/>
      <w:r w:rsidR="003479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treba češće pratiti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protrombinsko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vr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eme i INR</w:t>
      </w:r>
      <w:r w:rsidR="00416F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D70F45" w:rsidRPr="009F44EE" w:rsidRDefault="00416FB2" w:rsidP="0049730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Treba pažljivo pratiti pojavu znakova ili simptoma krvarenja kod ovih pacijenata</w:t>
      </w:r>
      <w:r w:rsidR="004C747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164DEC" w:rsidRPr="009F44EE" w:rsidRDefault="004C7475" w:rsidP="0049730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Zabilježeni su mnogi slučajevi povećane oralne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antikoagulantne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aktivnosti kod pacijenata koji su primali istovremenu </w:t>
      </w:r>
      <w:proofErr w:type="spellStart"/>
      <w:r w:rsidR="009A272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antibiotsku</w:t>
      </w:r>
      <w:proofErr w:type="spellEnd"/>
      <w:r w:rsidR="009A272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terapiju. Čini se da su stanje infekcije ili upale, kao i starost i opšte stanje pacijenta faktori rizika. U takvim okolnostima nije jasno koji 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udio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same infekcije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 koji njenog liječenja u pojavi </w:t>
      </w:r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poremećaja </w:t>
      </w:r>
      <w:proofErr w:type="spellStart"/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protrombinskog</w:t>
      </w:r>
      <w:proofErr w:type="spellEnd"/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vremena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Međutim, </w:t>
      </w:r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veća je mogućnost da neke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grupe antibiotika </w:t>
      </w:r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dovedu do interakcije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posebno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fluorohinoloni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49730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makrolidi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ciklini,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kotr</w:t>
      </w:r>
      <w:r w:rsidR="00164DE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imoksazol</w:t>
      </w:r>
      <w:proofErr w:type="spellEnd"/>
      <w:r w:rsidR="00164DE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neki </w:t>
      </w:r>
      <w:proofErr w:type="spellStart"/>
      <w:r w:rsidR="00164DE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cefalosporini</w:t>
      </w:r>
      <w:proofErr w:type="spellEnd"/>
      <w:r w:rsidR="00164DE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DE53BF" w:rsidRPr="009F44EE" w:rsidRDefault="00DE53BF" w:rsidP="0049730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4C7475" w:rsidRPr="009F44EE" w:rsidRDefault="00DE53BF" w:rsidP="0049730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Vekuronijum</w:t>
      </w:r>
      <w:proofErr w:type="spellEnd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</w:t>
      </w:r>
      <w:r w:rsidR="00164DEC"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(</w:t>
      </w:r>
      <w:proofErr w:type="spellStart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nedepolarišući</w:t>
      </w:r>
      <w:proofErr w:type="spellEnd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miorelaksans</w:t>
      </w:r>
      <w:proofErr w:type="spellEnd"/>
      <w:r w:rsidR="00164DEC"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):</w:t>
      </w:r>
      <w:r w:rsidR="00CB7041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7820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="007820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može da potencira dejstvo </w:t>
      </w:r>
      <w:proofErr w:type="spellStart"/>
      <w:r w:rsidR="007820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vekuronijuma</w:t>
      </w:r>
      <w:proofErr w:type="spellEnd"/>
      <w:r w:rsidR="007820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7820AE" w:rsidRPr="009F44EE" w:rsidRDefault="007820AE" w:rsidP="0049730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7820AE" w:rsidRPr="009F44EE" w:rsidRDefault="007820AE" w:rsidP="007820AE">
      <w:pPr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lastRenderedPageBreak/>
        <w:t>Istovremena primjena koju je potrebno razmotriti</w:t>
      </w:r>
      <w:r w:rsidR="001C3D1D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:</w:t>
      </w:r>
    </w:p>
    <w:p w:rsidR="007820AE" w:rsidRPr="009F44EE" w:rsidRDefault="007820AE" w:rsidP="007820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164DEC" w:rsidRPr="009F44EE" w:rsidRDefault="007820AE" w:rsidP="007820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5-fluorouracil</w:t>
      </w:r>
      <w:r w:rsidR="0053218E"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:</w:t>
      </w:r>
      <w:r w:rsidR="0053218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Povećanje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toksičnosti 5-fluorouracila zbog smanjenog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DE53BF" w:rsidRPr="009F44EE" w:rsidRDefault="00DE53BF" w:rsidP="007820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BF3DBF" w:rsidRPr="009F44EE" w:rsidRDefault="007820AE" w:rsidP="00E73E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Litijum: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Zabilježena je retencija litijuma sa mogućnošću oštećenja bubrega kod pacijenata koji su na istovremenoj terapiji litijumom 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Terapiju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litijumom treba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stepeno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smanjivati ili ukinuti prije početka terapije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 Potrebno je pratiti koncentracij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litijuma u plazmi, 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kao i 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koncentracije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kreatinina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elektrolita kod pacijenata koji su na istovremenoj terapiji litijumom i lijekom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-T.</w:t>
      </w:r>
      <w:r w:rsidR="00CB7041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DE53BF" w:rsidRPr="009F44EE" w:rsidRDefault="00DE53BF" w:rsidP="00E73E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BF3DBF" w:rsidRPr="009F44EE" w:rsidRDefault="0035263B" w:rsidP="00E73E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Holestiramin</w:t>
      </w:r>
      <w:proofErr w:type="spellEnd"/>
      <w:r w:rsidRPr="009F44EE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B4181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BF3D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može da odloži ili smanji </w:t>
      </w:r>
      <w:r w:rsidR="001C3D1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resorpciju </w:t>
      </w:r>
      <w:proofErr w:type="spellStart"/>
      <w:r w:rsidR="00BF3D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BF3D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DE53BF" w:rsidRPr="009F44EE" w:rsidRDefault="00DE53BF" w:rsidP="00E73EA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35263B" w:rsidRPr="009F44EE" w:rsidRDefault="0035263B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Fenitoin</w:t>
      </w:r>
      <w:proofErr w:type="spellEnd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, barbiturati (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fenobarbital</w:t>
      </w:r>
      <w:proofErr w:type="spellEnd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)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istovremena primjena sa ljekovim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koji induk</w:t>
      </w:r>
      <w:r w:rsidR="005F5D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uju </w:t>
      </w:r>
      <w:proofErr w:type="spellStart"/>
      <w:r w:rsidR="005F5D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mikrozomalne</w:t>
      </w:r>
      <w:proofErr w:type="spellEnd"/>
      <w:r w:rsidR="005F5D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enzime jetre (</w:t>
      </w:r>
      <w:proofErr w:type="spellStart"/>
      <w:r w:rsidR="005F5D8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enitoin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fenobarbital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), </w:t>
      </w:r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može ubrzati eliminaciju </w:t>
      </w:r>
      <w:proofErr w:type="spellStart"/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r w:rsidR="001C3D1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="004B3B2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tako smanjiti njegovu efikasnost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</w:p>
    <w:p w:rsidR="00DE53BF" w:rsidRPr="009F44EE" w:rsidRDefault="00DE53BF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</w:pPr>
    </w:p>
    <w:p w:rsidR="00E73EAE" w:rsidRPr="009F44EE" w:rsidRDefault="00CB7041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Cimetidin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 xml:space="preserve">: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istovremena primjena sa ljekovim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koji </w:t>
      </w:r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inhibiraju </w:t>
      </w:r>
      <w:proofErr w:type="spellStart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mikrozom</w:t>
      </w:r>
      <w:r w:rsidR="0035263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al</w:t>
      </w:r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ne</w:t>
      </w:r>
      <w:proofErr w:type="spellEnd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enzime jetre, kao što je </w:t>
      </w:r>
      <w:proofErr w:type="spellStart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cimetidin</w:t>
      </w:r>
      <w:proofErr w:type="spellEnd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može da uspori metabolizam i smanji plazma </w:t>
      </w:r>
      <w:proofErr w:type="spellStart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</w:t>
      </w:r>
      <w:proofErr w:type="spellEnd"/>
      <w:r w:rsidR="001C3D1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što 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može </w:t>
      </w:r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rezult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ovati</w:t>
      </w:r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toksičnošću </w:t>
      </w:r>
      <w:proofErr w:type="spellStart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E73EA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7820AE" w:rsidRPr="009F44EE" w:rsidRDefault="007820AE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A51F2" w:rsidRPr="009F44EE" w:rsidRDefault="007A51F2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Istovremena primjena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CYP3A4 supstrata (npr.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amjodaron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takrolimus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ciklosporin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karbamazepin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 </w:t>
      </w:r>
      <w:proofErr w:type="spellStart"/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inidin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) može značajno povećati koncentracije CYP3A4 supstrata u plazmi.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Potrebno je redovno praćenje koncentracija CYP3A4 supstrata u plazmi.</w:t>
      </w:r>
    </w:p>
    <w:p w:rsidR="00BD7FA2" w:rsidRPr="009F44EE" w:rsidRDefault="00BD7FA2" w:rsidP="007A51F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D4F00" w:rsidRPr="009F44EE" w:rsidRDefault="009063B8" w:rsidP="006757A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Busulfan</w:t>
      </w:r>
      <w:proofErr w:type="spellEnd"/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koncentracije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busulfana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plazmi mogu biti povećane tokom istovremene primjene sa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što može dovesti do teških toksičnih reakcija izazvanih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busulfanom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kao što su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sinusoidalni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opstruktivni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sindrom,</w:t>
      </w:r>
      <w:r w:rsidR="006757A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gastrointestinalni</w:t>
      </w:r>
      <w:r w:rsidR="006757A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6757A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mukozitis</w:t>
      </w:r>
      <w:proofErr w:type="spellEnd"/>
      <w:r w:rsidR="006757A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6757A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venookluzivna</w:t>
      </w:r>
      <w:proofErr w:type="spellEnd"/>
      <w:r w:rsidR="006757A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bolest jetre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9063B8" w:rsidRPr="009F44EE" w:rsidRDefault="009063B8" w:rsidP="007820A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A51F2" w:rsidRPr="009F44EE" w:rsidRDefault="007A51F2" w:rsidP="007A51F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Laboratorijski testovi</w:t>
      </w:r>
    </w:p>
    <w:p w:rsidR="009716BC" w:rsidRPr="009F44EE" w:rsidRDefault="007A51F2" w:rsidP="009716B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može imobilisati </w:t>
      </w:r>
      <w:proofErr w:type="spellStart"/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treponeme</w:t>
      </w:r>
      <w:proofErr w:type="spellEnd"/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što može dovesti do lažno pozitivnog 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Nelson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testa.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interferira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sa 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određi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anjem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aspartat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aminotransfer</w:t>
      </w:r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ze</w:t>
      </w:r>
      <w:proofErr w:type="spellEnd"/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(AST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alanin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aminotransferaze</w:t>
      </w:r>
      <w:proofErr w:type="spellEnd"/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(ALT), </w:t>
      </w:r>
      <w:proofErr w:type="spellStart"/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laktat</w:t>
      </w:r>
      <w:proofErr w:type="spellEnd"/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dehidrogenaz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(LDH),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triglicerid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glukoz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heksokinaze</w:t>
      </w:r>
      <w:proofErr w:type="spellEnd"/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 serumu. </w:t>
      </w:r>
      <w:proofErr w:type="spellStart"/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uzrokuje povećanje UV </w:t>
      </w:r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resorpcije 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na 340 </w:t>
      </w:r>
      <w:proofErr w:type="spellStart"/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nm</w:t>
      </w:r>
      <w:proofErr w:type="spellEnd"/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a što rezultira lažn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smanjenim lab</w:t>
      </w:r>
      <w:r w:rsidR="002042B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ratorijski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vrijednosti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ma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D502FD" w:rsidRPr="009F44EE" w:rsidRDefault="00D502FD" w:rsidP="00D502F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AC6AA2" w:rsidRPr="009F44EE" w:rsidRDefault="00D502FD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4.6. 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:rsidR="00D502FD" w:rsidRPr="009F44EE" w:rsidRDefault="00D502FD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2031B3" w:rsidRPr="009F44EE" w:rsidRDefault="002031B3" w:rsidP="002031B3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Plodnost</w:t>
      </w:r>
    </w:p>
    <w:p w:rsidR="00672C42" w:rsidRPr="009F44EE" w:rsidRDefault="00672C42" w:rsidP="002031B3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C85826" w:rsidRPr="009F44EE" w:rsidRDefault="00C85826" w:rsidP="00C85826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Nema kliničkih </w:t>
      </w:r>
      <w:r w:rsidR="00672C4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podataka o</w:t>
      </w:r>
      <w:r w:rsidR="009716B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utica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ju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 plodnost.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Studije na životinjama pokazuju neželjeno dejstv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 na muški reproduktivni </w:t>
      </w:r>
      <w:r w:rsidR="008B1CD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stem, a koj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 su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potpunosti ili djelimično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reverzibiln</w:t>
      </w:r>
      <w:r w:rsidR="007D4F0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nakon prestanka uzimanja lijeka</w:t>
      </w:r>
      <w:r w:rsidR="00971FE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(vidjeti dio 5.3)</w:t>
      </w:r>
      <w:r w:rsidR="008A34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2031B3" w:rsidRPr="009F44EE" w:rsidRDefault="00672C42" w:rsidP="00C85826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7A3ECB" w:rsidRPr="009F44EE" w:rsidRDefault="007A3EC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>Trudnoća</w:t>
      </w:r>
    </w:p>
    <w:p w:rsidR="00176428" w:rsidRPr="009F44EE" w:rsidRDefault="0017642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C85826" w:rsidRPr="009F44EE" w:rsidRDefault="00C85826" w:rsidP="009716B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prolazi kroz placentu.</w:t>
      </w:r>
    </w:p>
    <w:p w:rsidR="008B1CDD" w:rsidRPr="009F44EE" w:rsidRDefault="00C85826" w:rsidP="009716B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Klinički podaci velikog broja </w:t>
      </w:r>
      <w:r w:rsidR="005661A0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trudnica koje su bile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izložen</w:t>
      </w:r>
      <w:r w:rsidR="005661A0" w:rsidRPr="009F44EE">
        <w:rPr>
          <w:rFonts w:asciiTheme="majorBidi" w:hAnsiTheme="majorBidi" w:cstheme="majorBidi"/>
          <w:sz w:val="22"/>
          <w:szCs w:val="22"/>
          <w:lang w:val="sr-Latn-ME"/>
        </w:rPr>
        <w:t>e lijeku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>podaci</w:t>
      </w:r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iz studija na životinjama ni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su pokazali </w:t>
      </w:r>
      <w:proofErr w:type="spellStart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>teratogeno</w:t>
      </w:r>
      <w:proofErr w:type="spellEnd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ili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>fetotoksično</w:t>
      </w:r>
      <w:proofErr w:type="spellEnd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dejstvo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>. Međutim, neogranič</w:t>
      </w:r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ena primjena </w:t>
      </w:r>
      <w:proofErr w:type="spellStart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>nitroimidazola</w:t>
      </w:r>
      <w:proofErr w:type="spellEnd"/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toko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m trudnoće može da bude povezana sa </w:t>
      </w:r>
      <w:proofErr w:type="spellStart"/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>karcinogenim</w:t>
      </w:r>
      <w:proofErr w:type="spellEnd"/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>mutagenim</w:t>
      </w:r>
      <w:proofErr w:type="spellEnd"/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rizikom 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za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fetus</w:t>
      </w:r>
      <w:r w:rsidR="009716BC" w:rsidRPr="009F44EE">
        <w:rPr>
          <w:rFonts w:asciiTheme="majorBidi" w:hAnsiTheme="majorBidi" w:cstheme="majorBidi"/>
          <w:color w:val="FF0000"/>
          <w:sz w:val="22"/>
          <w:szCs w:val="22"/>
          <w:lang w:val="sr-Latn-ME"/>
        </w:rPr>
        <w:t xml:space="preserve"> </w:t>
      </w:r>
      <w:r w:rsidR="009716BC" w:rsidRPr="009F44EE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novorođenč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8B1CDD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EE15A1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Zbog toga se </w:t>
      </w:r>
      <w:proofErr w:type="spellStart"/>
      <w:r w:rsidR="00EE15A1"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  <w:r w:rsidR="00EE15A1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ne smije davati tokom trudnoće</w:t>
      </w:r>
      <w:r w:rsidR="009A19FA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EE15A1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osim ako je to neophodno.</w:t>
      </w:r>
    </w:p>
    <w:p w:rsidR="009716BC" w:rsidRPr="009F44EE" w:rsidRDefault="009716BC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72020E" w:rsidRPr="009F44EE" w:rsidRDefault="007A3EC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Dojenje </w:t>
      </w:r>
    </w:p>
    <w:p w:rsidR="009716BC" w:rsidRPr="009F44EE" w:rsidRDefault="009716BC" w:rsidP="008B1CDD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8B1CDD" w:rsidRPr="009F44EE" w:rsidRDefault="008B1CDD" w:rsidP="004808A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se izlučuje u majčino mlijeko</w:t>
      </w:r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>. Tokom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perioda</w:t>
      </w:r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>laktacije</w:t>
      </w:r>
      <w:proofErr w:type="spellEnd"/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treba prekinuti ili dojenje ili primjenu </w:t>
      </w:r>
      <w:proofErr w:type="spellStart"/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="00916C79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227BDB" w:rsidRDefault="00227BDB" w:rsidP="00396DFD">
      <w:pPr>
        <w:tabs>
          <w:tab w:val="left" w:pos="540"/>
          <w:tab w:val="left" w:pos="569"/>
        </w:tabs>
        <w:ind w:left="540" w:hanging="54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225A9B" w:rsidRPr="009F44EE" w:rsidRDefault="00225A9B" w:rsidP="00396DFD">
      <w:pPr>
        <w:tabs>
          <w:tab w:val="left" w:pos="540"/>
          <w:tab w:val="left" w:pos="569"/>
        </w:tabs>
        <w:ind w:left="540" w:hanging="54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396DFD">
      <w:pPr>
        <w:tabs>
          <w:tab w:val="left" w:pos="540"/>
          <w:tab w:val="left" w:pos="569"/>
        </w:tabs>
        <w:ind w:left="540" w:hanging="54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Uticaj na </w:t>
      </w:r>
      <w:r w:rsidR="002031B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sposobnost </w:t>
      </w:r>
      <w:r w:rsidR="00F34554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upravljanja vozili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F34554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</w:t>
      </w:r>
      <w:r w:rsidR="000D3449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rukovanje 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mašinama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916C79" w:rsidRPr="009F44EE" w:rsidRDefault="00916C79" w:rsidP="00916C7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>Ni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su sprovedene kliničke studije koje se odnose na sposo</w:t>
      </w:r>
      <w:r w:rsidR="00347A97" w:rsidRPr="009F44EE">
        <w:rPr>
          <w:rFonts w:asciiTheme="majorBidi" w:hAnsiTheme="majorBidi" w:cstheme="majorBidi"/>
          <w:sz w:val="22"/>
          <w:szCs w:val="22"/>
          <w:lang w:val="sr-Latn-ME"/>
        </w:rPr>
        <w:t>b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nost upravljanja vozilima nakon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F07D37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v</w:t>
      </w:r>
      <w:proofErr w:type="spellEnd"/>
      <w:r w:rsidR="00F07D37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primjene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. Nek</w:t>
      </w:r>
      <w:r w:rsidR="00376E1E" w:rsidRPr="009F44EE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9A19FA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neželjena </w:t>
      </w:r>
      <w:r w:rsidR="00376E1E" w:rsidRPr="009F44EE">
        <w:rPr>
          <w:rFonts w:asciiTheme="majorBidi" w:hAnsiTheme="majorBidi" w:cstheme="majorBidi"/>
          <w:sz w:val="22"/>
          <w:szCs w:val="22"/>
          <w:lang w:val="sr-Latn-ME"/>
        </w:rPr>
        <w:t>dejstva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kao što su </w:t>
      </w:r>
      <w:r w:rsidR="002206CA" w:rsidRPr="009F44EE">
        <w:rPr>
          <w:rFonts w:asciiTheme="majorBidi" w:hAnsiTheme="majorBidi" w:cstheme="majorBidi"/>
          <w:sz w:val="22"/>
          <w:szCs w:val="22"/>
          <w:lang w:val="sr-Latn-ME"/>
        </w:rPr>
        <w:t>konvulzije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vrtoglavice,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optička neuropatija, mogu da utiču na sposobnost upravljanja vozilima i rukovanje mašinama (vidjeti 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4.8)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AC6AA2" w:rsidRPr="009F44EE" w:rsidRDefault="00916C79" w:rsidP="00916C7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>Zbog navedenog</w:t>
      </w:r>
      <w:r w:rsidR="009A19FA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pacijentima 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se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preporuč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uje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da ne upravljaju vozilima </w:t>
      </w:r>
      <w:r w:rsidR="008A3460" w:rsidRPr="009F44EE">
        <w:rPr>
          <w:rFonts w:asciiTheme="majorBidi" w:hAnsiTheme="majorBidi" w:cstheme="majorBidi"/>
          <w:sz w:val="22"/>
          <w:szCs w:val="22"/>
          <w:lang w:val="sr-Latn-ME"/>
        </w:rPr>
        <w:t>i da</w:t>
      </w:r>
      <w:r w:rsidR="00AC6AA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ne rukuju mašinama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</w:p>
    <w:p w:rsidR="00AC6AA2" w:rsidRPr="009F44EE" w:rsidRDefault="00AC6AA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4.8.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Neželjena dejstva</w:t>
      </w:r>
    </w:p>
    <w:p w:rsidR="00AC6AA2" w:rsidRPr="009F44EE" w:rsidRDefault="00AC6AA2" w:rsidP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C6AA2" w:rsidRPr="009F44EE" w:rsidRDefault="00347A97" w:rsidP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Nema dostupnih poda</w:t>
      </w:r>
      <w:r w:rsidR="00376E1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taka o neželjenim dejstvima</w:t>
      </w:r>
      <w:r w:rsidR="0022471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iz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kliničkih ispitivanja, </w:t>
      </w:r>
      <w:r w:rsidR="0022471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koja je sponzorisao </w:t>
      </w:r>
      <w:r w:rsidR="00A94C9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proizvođač </w:t>
      </w:r>
      <w:proofErr w:type="spellStart"/>
      <w:r w:rsidR="0022471C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Baxter</w:t>
      </w:r>
      <w:proofErr w:type="spellEnd"/>
      <w:r w:rsidR="0022471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a koja su sprovedena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</w:t>
      </w:r>
      <w:r w:rsidR="00744D9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ljedeća neželjena dej</w:t>
      </w:r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stva su prijavljena prilikom upotrebe </w:t>
      </w:r>
      <w:proofErr w:type="spellStart"/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navedena su prema </w:t>
      </w:r>
      <w:proofErr w:type="spellStart"/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MeDRA</w:t>
      </w:r>
      <w:proofErr w:type="spellEnd"/>
      <w:r w:rsidR="003E190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klasifikaciji sistema organa i kategoriji učestalosti</w:t>
      </w:r>
      <w:r w:rsidR="00874AA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744D95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Kategorije učestalosti su sljedeće:</w:t>
      </w:r>
      <w:r w:rsidR="00874AA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veoma često (≥ 1/10), često (≥ 1/100, &lt; 1/10), povremeno (≥ 1/1000, &lt;1/100), rijetko (≥ 1/10000, &lt;1/1000), veoma rijetko (&lt;1/10000), nepoznata učestalost (ne može se procijeniti iz raspoloživih podataka).</w:t>
      </w:r>
    </w:p>
    <w:p w:rsidR="00AC6AA2" w:rsidRPr="009F44EE" w:rsidRDefault="00AC6AA2" w:rsidP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Učestalost, vrsta i težina neželjenih </w:t>
      </w:r>
      <w:r w:rsidR="00376E1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dejstava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347A9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ista je kod </w:t>
      </w:r>
      <w:r w:rsidR="00DF3588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djece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kao i kod odraslih osoba. </w:t>
      </w:r>
    </w:p>
    <w:p w:rsidR="00971FE0" w:rsidRPr="009F44EE" w:rsidRDefault="00971FE0" w:rsidP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260"/>
        <w:gridCol w:w="1719"/>
      </w:tblGrid>
      <w:tr w:rsidR="00C7465F" w:rsidRPr="009F44EE" w:rsidTr="004808A0">
        <w:trPr>
          <w:tblHeader/>
        </w:trPr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Klasifikacija  sistema organa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</w:pPr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Neželjen</w:t>
            </w:r>
            <w:r w:rsidR="00347A97"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a dejstva</w:t>
            </w:r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 xml:space="preserve"> </w:t>
            </w:r>
          </w:p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</w:pPr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(</w:t>
            </w:r>
            <w:proofErr w:type="spellStart"/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MedDRA</w:t>
            </w:r>
            <w:proofErr w:type="spellEnd"/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 xml:space="preserve"> termin)</w:t>
            </w:r>
          </w:p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1719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b/>
                <w:sz w:val="22"/>
                <w:szCs w:val="22"/>
                <w:lang w:val="sr-Latn-ME" w:eastAsia="en-GB"/>
              </w:rPr>
              <w:t>Učestalost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 w:eastAsia="en-GB"/>
              </w:rPr>
              <w:t>Poremećaji krvi i limfnog sistema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Leukopenija</w:t>
            </w:r>
            <w:proofErr w:type="spellEnd"/>
          </w:p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Agranulocitoza</w:t>
            </w:r>
            <w:proofErr w:type="spellEnd"/>
          </w:p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Pancitopenija</w:t>
            </w:r>
            <w:proofErr w:type="spellEnd"/>
          </w:p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Neutropenija</w:t>
            </w:r>
            <w:proofErr w:type="spellEnd"/>
          </w:p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Trombocitopenija</w:t>
            </w:r>
            <w:proofErr w:type="spellEnd"/>
          </w:p>
          <w:p w:rsidR="00C7465F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Eozinofilija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C7465F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Povremeno</w:t>
            </w:r>
          </w:p>
          <w:p w:rsidR="00F130ED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F130ED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F130ED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F130ED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F130ED" w:rsidRPr="009F44EE" w:rsidRDefault="00F130ED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3177FB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Anafilaktički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šok</w:t>
            </w:r>
          </w:p>
          <w:p w:rsidR="003177FB" w:rsidRPr="009F44EE" w:rsidRDefault="003177FB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i/>
                <w:sz w:val="22"/>
                <w:szCs w:val="22"/>
                <w:lang w:val="sr-Latn-ME"/>
              </w:rPr>
              <w:t>Jarisch-Herxheimer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reakcija</w:t>
            </w:r>
          </w:p>
          <w:p w:rsidR="003177FB" w:rsidRPr="009F44EE" w:rsidRDefault="003177FB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Preosjetljivost</w:t>
            </w:r>
          </w:p>
        </w:tc>
        <w:tc>
          <w:tcPr>
            <w:tcW w:w="1719" w:type="dxa"/>
            <w:shd w:val="clear" w:color="auto" w:fill="auto"/>
          </w:tcPr>
          <w:p w:rsidR="003177FB" w:rsidRPr="009F44EE" w:rsidRDefault="003177FB" w:rsidP="003177FB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3177FB" w:rsidRPr="009F44EE" w:rsidRDefault="003177FB" w:rsidP="003177FB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C7465F" w:rsidRPr="009F44EE" w:rsidRDefault="003177FB" w:rsidP="003177FB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3177FB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Smanjen apetit</w:t>
            </w:r>
          </w:p>
        </w:tc>
        <w:tc>
          <w:tcPr>
            <w:tcW w:w="1719" w:type="dxa"/>
            <w:shd w:val="clear" w:color="auto" w:fill="auto"/>
          </w:tcPr>
          <w:p w:rsidR="003177FB" w:rsidRPr="009F44EE" w:rsidRDefault="003177FB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1431C2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Halucinacije</w:t>
            </w:r>
          </w:p>
          <w:p w:rsidR="001431C2" w:rsidRPr="009F44EE" w:rsidRDefault="001431C2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Depresija</w:t>
            </w:r>
          </w:p>
          <w:p w:rsidR="001431C2" w:rsidRPr="009F44EE" w:rsidRDefault="001431C2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Konfuzija</w:t>
            </w:r>
          </w:p>
          <w:p w:rsidR="001431C2" w:rsidRPr="009F44EE" w:rsidRDefault="001431C2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Insomnija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C7465F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3260" w:type="dxa"/>
            <w:shd w:val="clear" w:color="auto" w:fill="auto"/>
          </w:tcPr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Disgeuzija</w:t>
            </w:r>
            <w:proofErr w:type="spellEnd"/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Glavobolja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Encefalopatija</w:t>
            </w:r>
            <w:proofErr w:type="spellEnd"/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Aseptični meningitis</w:t>
            </w:r>
          </w:p>
          <w:p w:rsidR="002206CA" w:rsidRPr="009F44EE" w:rsidRDefault="002206CA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Konvulzije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Somnolencija</w:t>
            </w:r>
            <w:proofErr w:type="spellEnd"/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Periferna neuropatija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Ataksija</w:t>
            </w:r>
            <w:proofErr w:type="spellEnd"/>
          </w:p>
          <w:p w:rsidR="001658C8" w:rsidRPr="009F44EE" w:rsidRDefault="00527870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Vrtoglavica</w:t>
            </w:r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</w:t>
            </w:r>
            <w:r w:rsidR="004A21B2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izart</w:t>
            </w:r>
            <w:r w:rsidR="00180E70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</w:t>
            </w:r>
            <w:r w:rsidR="004A21B2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ija</w:t>
            </w:r>
            <w:proofErr w:type="spellEnd"/>
          </w:p>
          <w:p w:rsidR="001431C2" w:rsidRPr="009F44EE" w:rsidRDefault="001431C2" w:rsidP="001431C2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</w:t>
            </w:r>
            <w:r w:rsidR="00504808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ipoestez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</w:t>
            </w:r>
            <w:r w:rsidR="00504808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j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</w:t>
            </w:r>
            <w:proofErr w:type="spellEnd"/>
          </w:p>
          <w:p w:rsidR="001431C2" w:rsidRPr="009F44EE" w:rsidRDefault="002E636C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Par</w:t>
            </w:r>
            <w:r w:rsidR="00504808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estez</w:t>
            </w:r>
            <w:r w:rsidR="001431C2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j</w:t>
            </w:r>
            <w:r w:rsidR="001431C2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504808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Često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Povremeno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B45A93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C7465F" w:rsidRPr="009F44EE" w:rsidRDefault="00B45A93" w:rsidP="00504808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3260" w:type="dxa"/>
            <w:shd w:val="clear" w:color="auto" w:fill="auto"/>
          </w:tcPr>
          <w:p w:rsidR="00B45A93" w:rsidRPr="009F44EE" w:rsidRDefault="00B45A93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Optička neuropatija </w:t>
            </w:r>
          </w:p>
          <w:p w:rsidR="00B45A93" w:rsidRPr="009F44EE" w:rsidRDefault="00B45A93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Diplopija</w:t>
            </w:r>
            <w:proofErr w:type="spellEnd"/>
          </w:p>
          <w:p w:rsidR="00C7465F" w:rsidRPr="009F44EE" w:rsidRDefault="00B45A93" w:rsidP="00B45A9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Miopija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3765AC" w:rsidRPr="009F44EE" w:rsidRDefault="003765AC" w:rsidP="003765A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3765AC" w:rsidRPr="009F44EE" w:rsidRDefault="003765AC" w:rsidP="003765A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C7465F" w:rsidRPr="009F44EE" w:rsidRDefault="003765A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2E636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Tahikardija</w:t>
            </w:r>
          </w:p>
          <w:p w:rsidR="002E636C" w:rsidRPr="009F44EE" w:rsidRDefault="002E636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C7465F" w:rsidRPr="009F44EE" w:rsidRDefault="002E636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medijastinalni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2E636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Dispnea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C7465F" w:rsidRPr="009F44EE" w:rsidRDefault="002E636C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lastRenderedPageBreak/>
              <w:t>Gastrointestinalni poremećaji</w:t>
            </w:r>
          </w:p>
        </w:tc>
        <w:tc>
          <w:tcPr>
            <w:tcW w:w="3260" w:type="dxa"/>
            <w:shd w:val="clear" w:color="auto" w:fill="auto"/>
          </w:tcPr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Glositis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</w:t>
            </w:r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Stomatitis</w:t>
            </w:r>
            <w:proofErr w:type="spellEnd"/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Suva usta</w:t>
            </w:r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Pankreatitis</w:t>
            </w:r>
            <w:proofErr w:type="spellEnd"/>
          </w:p>
          <w:p w:rsidR="002E636C" w:rsidRPr="009F44EE" w:rsidRDefault="00347A97" w:rsidP="004808A0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Bol u gornjem dijelu abdomena</w:t>
            </w:r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Dijareja</w:t>
            </w:r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Nauzeja</w:t>
            </w:r>
            <w:proofErr w:type="spellEnd"/>
          </w:p>
          <w:p w:rsidR="002E636C" w:rsidRPr="009F44EE" w:rsidRDefault="002E636C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Povraćanje</w:t>
            </w:r>
          </w:p>
          <w:p w:rsidR="002E636C" w:rsidRPr="009F44EE" w:rsidRDefault="00A77476" w:rsidP="002E636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Konstipacija</w:t>
            </w:r>
          </w:p>
          <w:p w:rsidR="00C7465F" w:rsidRPr="009F44EE" w:rsidRDefault="00A77476" w:rsidP="00A77476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Prebojenost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jezika </w:t>
            </w:r>
          </w:p>
        </w:tc>
        <w:tc>
          <w:tcPr>
            <w:tcW w:w="1719" w:type="dxa"/>
            <w:shd w:val="clear" w:color="auto" w:fill="auto"/>
          </w:tcPr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Često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Često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Često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990235" w:rsidRPr="009F44EE" w:rsidRDefault="00990235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990235" w:rsidRPr="009F44EE" w:rsidRDefault="00990235" w:rsidP="00990235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990235" w:rsidRPr="009F44EE" w:rsidRDefault="00990235" w:rsidP="00990235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C7465F" w:rsidRPr="009F44EE" w:rsidRDefault="00990235" w:rsidP="00990235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997FBE" w:rsidRPr="009F44EE" w:rsidTr="004808A0">
        <w:tc>
          <w:tcPr>
            <w:tcW w:w="4106" w:type="dxa"/>
            <w:shd w:val="clear" w:color="auto" w:fill="auto"/>
          </w:tcPr>
          <w:p w:rsidR="00997FBE" w:rsidRPr="009F44EE" w:rsidRDefault="00997FBE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Hepatobilijarni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3260" w:type="dxa"/>
            <w:shd w:val="clear" w:color="auto" w:fill="auto"/>
          </w:tcPr>
          <w:p w:rsidR="00997FBE" w:rsidRPr="009F44EE" w:rsidRDefault="00997FBE" w:rsidP="00997FBE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Holestatska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žutica</w:t>
            </w:r>
          </w:p>
        </w:tc>
        <w:tc>
          <w:tcPr>
            <w:tcW w:w="1719" w:type="dxa"/>
            <w:shd w:val="clear" w:color="auto" w:fill="auto"/>
          </w:tcPr>
          <w:p w:rsidR="00997FBE" w:rsidRPr="009F44EE" w:rsidRDefault="00997FBE" w:rsidP="00990235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na nivou kože i potkožnog tkiva</w:t>
            </w:r>
          </w:p>
        </w:tc>
        <w:tc>
          <w:tcPr>
            <w:tcW w:w="3260" w:type="dxa"/>
            <w:shd w:val="clear" w:color="auto" w:fill="auto"/>
          </w:tcPr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9F44EE">
              <w:rPr>
                <w:rFonts w:asciiTheme="majorBidi" w:eastAsia="Calibri" w:hAnsiTheme="majorBidi" w:cstheme="majorBidi"/>
                <w:i/>
                <w:sz w:val="22"/>
                <w:szCs w:val="22"/>
                <w:lang w:val="sr-Latn-ME"/>
              </w:rPr>
              <w:t>-Johnson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sindrom</w:t>
            </w:r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Toksična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epidermalna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nekroliza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</w:t>
            </w:r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Angioedem</w:t>
            </w:r>
            <w:proofErr w:type="spellEnd"/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Generalizovani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eritem</w:t>
            </w:r>
            <w:proofErr w:type="spellEnd"/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Pruritus</w:t>
            </w:r>
            <w:proofErr w:type="spellEnd"/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Oticanje lica</w:t>
            </w:r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Urtikarija</w:t>
            </w:r>
          </w:p>
          <w:p w:rsidR="00997FBE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Hiperhidroza</w:t>
            </w:r>
            <w:proofErr w:type="spellEnd"/>
          </w:p>
          <w:p w:rsidR="00C7465F" w:rsidRPr="009F44EE" w:rsidRDefault="00997FBE" w:rsidP="00997FBE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1719" w:type="dxa"/>
            <w:shd w:val="clear" w:color="auto" w:fill="auto"/>
          </w:tcPr>
          <w:p w:rsidR="00B937CC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937CC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937CC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937CC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B937CC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Nepoznato </w:t>
            </w:r>
          </w:p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C7465F" w:rsidRPr="009F44EE" w:rsidRDefault="00B937CC" w:rsidP="00B937CC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Nepoznato 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Poremećaji mišićno-skeletnog i vezivnog tkiva</w:t>
            </w:r>
          </w:p>
        </w:tc>
        <w:tc>
          <w:tcPr>
            <w:tcW w:w="3260" w:type="dxa"/>
            <w:shd w:val="clear" w:color="auto" w:fill="auto"/>
          </w:tcPr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Mialgija</w:t>
            </w:r>
            <w:proofErr w:type="spellEnd"/>
          </w:p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Mišićni spazam</w:t>
            </w:r>
          </w:p>
          <w:p w:rsidR="00C7465F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Artralgija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C7465F" w:rsidRPr="009F44EE" w:rsidRDefault="00B937CC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Često</w:t>
            </w:r>
          </w:p>
          <w:p w:rsidR="00B937CC" w:rsidRPr="009F44EE" w:rsidRDefault="00B937CC" w:rsidP="00B937CC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B937CC" w:rsidRPr="009F44EE" w:rsidRDefault="00B937CC" w:rsidP="00B937CC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E91FB7" w:rsidRPr="009F44EE" w:rsidTr="004808A0">
        <w:tc>
          <w:tcPr>
            <w:tcW w:w="4106" w:type="dxa"/>
            <w:shd w:val="clear" w:color="auto" w:fill="auto"/>
          </w:tcPr>
          <w:p w:rsidR="00E91FB7" w:rsidRPr="009F44EE" w:rsidRDefault="00E91FB7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urinarnog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3260" w:type="dxa"/>
            <w:shd w:val="clear" w:color="auto" w:fill="auto"/>
          </w:tcPr>
          <w:p w:rsidR="00E91FB7" w:rsidRPr="009F44EE" w:rsidRDefault="00E91FB7" w:rsidP="00E91FB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Hromaturija</w:t>
            </w:r>
            <w:proofErr w:type="spellEnd"/>
          </w:p>
          <w:p w:rsidR="00E91FB7" w:rsidRPr="009F44EE" w:rsidRDefault="00E91FB7" w:rsidP="00E91FB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Dizurija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E91FB7" w:rsidRPr="009F44EE" w:rsidRDefault="00E91FB7" w:rsidP="00E91FB7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E91FB7" w:rsidRPr="009F44EE" w:rsidRDefault="00E91FB7" w:rsidP="00E91FB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Opšti poremećaji i poremećaji na mjestu primjene</w:t>
            </w:r>
          </w:p>
        </w:tc>
        <w:tc>
          <w:tcPr>
            <w:tcW w:w="3260" w:type="dxa"/>
            <w:shd w:val="clear" w:color="auto" w:fill="auto"/>
          </w:tcPr>
          <w:p w:rsidR="00E91FB7" w:rsidRPr="009F44EE" w:rsidRDefault="00E91FB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Asten</w:t>
            </w:r>
            <w:r w:rsidR="00180E70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ja</w:t>
            </w:r>
          </w:p>
          <w:p w:rsidR="00A26B97" w:rsidRPr="009F44EE" w:rsidRDefault="00744D95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</w:t>
            </w:r>
            <w:r w:rsidR="00A26B97"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nflamacija</w:t>
            </w: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mukoze</w:t>
            </w:r>
            <w:proofErr w:type="spellEnd"/>
          </w:p>
          <w:p w:rsidR="00A26B97" w:rsidRPr="009F44EE" w:rsidRDefault="00A26B9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Pireksija</w:t>
            </w:r>
            <w:proofErr w:type="spellEnd"/>
          </w:p>
          <w:p w:rsidR="00E91FB7" w:rsidRPr="009F44EE" w:rsidRDefault="00E91FB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Reakcija na mjestu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injektovanja</w:t>
            </w:r>
            <w:proofErr w:type="spellEnd"/>
          </w:p>
          <w:p w:rsidR="00A26B97" w:rsidRPr="009F44EE" w:rsidRDefault="00A26B9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Malaksalost</w:t>
            </w:r>
          </w:p>
          <w:p w:rsidR="00A26B97" w:rsidRPr="009F44EE" w:rsidRDefault="00A26B9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Edem</w:t>
            </w:r>
            <w:proofErr w:type="spellEnd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 lica</w:t>
            </w:r>
          </w:p>
          <w:p w:rsidR="00E91FB7" w:rsidRPr="009F44EE" w:rsidRDefault="00A26B9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edem</w:t>
            </w:r>
            <w:proofErr w:type="spellEnd"/>
          </w:p>
          <w:p w:rsidR="00A26B97" w:rsidRPr="009F44EE" w:rsidRDefault="00A26B97" w:rsidP="00E91F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Bol u grudima</w:t>
            </w:r>
          </w:p>
          <w:p w:rsidR="00C7465F" w:rsidRPr="009F44EE" w:rsidRDefault="00A26B97" w:rsidP="00A26B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Drhtavica</w:t>
            </w:r>
          </w:p>
        </w:tc>
        <w:tc>
          <w:tcPr>
            <w:tcW w:w="1719" w:type="dxa"/>
            <w:shd w:val="clear" w:color="auto" w:fill="auto"/>
          </w:tcPr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Povremeno</w:t>
            </w:r>
          </w:p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Rijetko</w:t>
            </w:r>
          </w:p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A26B97" w:rsidRPr="009F44EE" w:rsidRDefault="00A26B97" w:rsidP="00A26B97">
            <w:pPr>
              <w:keepNext/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 xml:space="preserve">Nepoznato </w:t>
            </w:r>
          </w:p>
          <w:p w:rsidR="00A26B97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C7465F" w:rsidRPr="009F44EE" w:rsidRDefault="00A26B97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  <w:p w:rsidR="00713F50" w:rsidRPr="009F44EE" w:rsidRDefault="00713F50" w:rsidP="00A26B97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  <w:tr w:rsidR="00C7465F" w:rsidRPr="009F44EE" w:rsidTr="004808A0">
        <w:tc>
          <w:tcPr>
            <w:tcW w:w="4106" w:type="dxa"/>
            <w:shd w:val="clear" w:color="auto" w:fill="auto"/>
          </w:tcPr>
          <w:p w:rsidR="00C7465F" w:rsidRPr="009F44EE" w:rsidRDefault="00C7465F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3260" w:type="dxa"/>
            <w:shd w:val="clear" w:color="auto" w:fill="auto"/>
          </w:tcPr>
          <w:p w:rsidR="00C7465F" w:rsidRPr="009F44EE" w:rsidRDefault="00713F50" w:rsidP="00C7465F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Povećanje vrijednosti enzima jetre</w:t>
            </w:r>
          </w:p>
        </w:tc>
        <w:tc>
          <w:tcPr>
            <w:tcW w:w="1719" w:type="dxa"/>
            <w:shd w:val="clear" w:color="auto" w:fill="auto"/>
          </w:tcPr>
          <w:p w:rsidR="00C7465F" w:rsidRPr="009F44EE" w:rsidRDefault="00713F50" w:rsidP="00C7465F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</w:pPr>
            <w:r w:rsidRPr="009F44EE">
              <w:rPr>
                <w:rFonts w:asciiTheme="majorBidi" w:eastAsia="Calibri" w:hAnsiTheme="majorBidi" w:cstheme="majorBidi"/>
                <w:sz w:val="22"/>
                <w:szCs w:val="22"/>
                <w:lang w:val="sr-Latn-ME"/>
              </w:rPr>
              <w:t>Nepoznato</w:t>
            </w:r>
          </w:p>
        </w:tc>
      </w:tr>
    </w:tbl>
    <w:p w:rsidR="00AC6AA2" w:rsidRPr="009F44EE" w:rsidRDefault="00AC6AA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5A23D2" w:rsidRPr="009F44EE" w:rsidRDefault="005A23D2" w:rsidP="00A46C9A">
      <w:pPr>
        <w:spacing w:after="200"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9F44EE" w:rsidRDefault="005A23D2" w:rsidP="00A46C9A">
      <w:pPr>
        <w:spacing w:after="20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inuirano praćenje odnosa korist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dejstvo ovog lijeka </w:t>
      </w:r>
      <w:r w:rsidR="004E70AD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Institutu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za ljekove i medicinska sredstva</w:t>
      </w:r>
      <w:r w:rsidR="004E70AD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(</w:t>
      </w:r>
      <w:r w:rsidR="004E70AD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CInMED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):</w:t>
      </w:r>
    </w:p>
    <w:p w:rsidR="005A23D2" w:rsidRPr="009F44EE" w:rsidRDefault="004E70AD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Institut </w:t>
      </w:r>
      <w:r w:rsidR="005A23D2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za ljekove i medicinska sredstva </w:t>
      </w:r>
    </w:p>
    <w:p w:rsidR="005A23D2" w:rsidRPr="009F44EE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Odjeljenje za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farmakovigilancu</w:t>
      </w:r>
      <w:proofErr w:type="spellEnd"/>
    </w:p>
    <w:p w:rsidR="00EA5765" w:rsidRPr="009F44EE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Bulevar Ivana Crnojevića 64a, 81000 Podgorica</w:t>
      </w:r>
    </w:p>
    <w:p w:rsidR="00EA5765" w:rsidRPr="009F44EE" w:rsidRDefault="00EA5765" w:rsidP="00A46C9A">
      <w:pPr>
        <w:pStyle w:val="NoSpacing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5A23D2" w:rsidRPr="009F44EE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tel: +382 (0) 20 310 280</w:t>
      </w:r>
    </w:p>
    <w:p w:rsidR="00EA5765" w:rsidRPr="009F44EE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fax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:</w:t>
      </w:r>
      <w:r w:rsidR="00EA5765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+382 (0) 20 310 581</w:t>
      </w:r>
    </w:p>
    <w:p w:rsidR="005A23D2" w:rsidRPr="009F44EE" w:rsidRDefault="00BD2EF1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hyperlink r:id="rId8" w:history="1">
        <w:r w:rsidR="004E70AD" w:rsidRPr="009F44EE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www.cinmed.me</w:t>
        </w:r>
      </w:hyperlink>
    </w:p>
    <w:p w:rsidR="00EA5765" w:rsidRPr="009F44EE" w:rsidRDefault="00BD2EF1" w:rsidP="00A46C9A">
      <w:pPr>
        <w:pStyle w:val="NoSpacing"/>
        <w:jc w:val="both"/>
        <w:rPr>
          <w:rFonts w:asciiTheme="majorBidi" w:eastAsia="Calibri" w:hAnsiTheme="majorBidi" w:cstheme="majorBid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F44EE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nezeljenadejstva@cinmed.me</w:t>
        </w:r>
      </w:hyperlink>
    </w:p>
    <w:p w:rsidR="005A23D2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putem IS zdravstvene zaštite</w:t>
      </w:r>
    </w:p>
    <w:p w:rsidR="00426564" w:rsidRDefault="00426564" w:rsidP="0042656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lastRenderedPageBreak/>
        <w:t xml:space="preserve">QR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:rsidR="00426564" w:rsidRDefault="00426564" w:rsidP="0042656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426564" w:rsidRDefault="00426564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>
        <w:rPr>
          <w:noProof/>
        </w:rPr>
        <w:drawing>
          <wp:inline distT="0" distB="0" distL="0" distR="0" wp14:anchorId="2192F957" wp14:editId="1E744B2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564" w:rsidRPr="009F44EE" w:rsidRDefault="00426564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CD6F02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4.9.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CD6F02" w:rsidRPr="009F44EE" w:rsidRDefault="00CD6F0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E91FB7" w:rsidRPr="009F44EE" w:rsidRDefault="00E91FB7" w:rsidP="00E91FB7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Simptomi</w:t>
      </w:r>
    </w:p>
    <w:p w:rsidR="002206CA" w:rsidRPr="009F44EE" w:rsidRDefault="002206CA" w:rsidP="00E91FB7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slučajevima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predoziranja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C8744C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lijekom 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kod odraslih</w:t>
      </w:r>
      <w:r w:rsidR="00C8744C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klinički simptomi su </w:t>
      </w:r>
      <w:r w:rsidR="00F06C66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uglavnom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ograničeni na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nauzeju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povraćanje i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neurotoksična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dejstva, uključujući pojavu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ataksije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, blagu dezorijentaciju, konfuziju, konvulzije i perifernu neuropatiju.</w:t>
      </w:r>
    </w:p>
    <w:p w:rsidR="002206CA" w:rsidRPr="009F44EE" w:rsidRDefault="002206CA" w:rsidP="00E91FB7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E91FB7" w:rsidRPr="009F44EE" w:rsidRDefault="00E91FB7" w:rsidP="00E91FB7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Liječenje</w:t>
      </w:r>
    </w:p>
    <w:p w:rsidR="002206CA" w:rsidRPr="009F44EE" w:rsidRDefault="00E91FB7" w:rsidP="002206C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Ne postoji specifičn</w:t>
      </w:r>
      <w:r w:rsidR="00F06C66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a terapija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</w:t>
      </w:r>
      <w:r w:rsidR="00F06C66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a</w:t>
      </w:r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se može primijeniti u slučaju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predoziranja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metronidazolom</w:t>
      </w:r>
      <w:proofErr w:type="spellEnd"/>
      <w:r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  <w:r w:rsidR="002206C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Terapiju lijekom </w:t>
      </w:r>
      <w:proofErr w:type="spellStart"/>
      <w:r w:rsidR="002206C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Colpocin</w:t>
      </w:r>
      <w:proofErr w:type="spellEnd"/>
      <w:r w:rsidR="002206C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-T treba prekinuti.  Pacijente treba liječiti </w:t>
      </w:r>
      <w:proofErr w:type="spellStart"/>
      <w:r w:rsidR="002206C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simptomatski</w:t>
      </w:r>
      <w:proofErr w:type="spellEnd"/>
      <w:r w:rsidR="002206CA" w:rsidRPr="009F44EE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:rsidR="00176428" w:rsidRPr="009F44EE" w:rsidRDefault="00176428" w:rsidP="002206C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AC6AA2" w:rsidRPr="009F44EE" w:rsidRDefault="00AC6AA2" w:rsidP="00AC6AA2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FARMAKOLOŠK</w:t>
      </w:r>
      <w:r w:rsidR="000D425A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5.1.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Farmakodinamski</w:t>
      </w:r>
      <w:proofErr w:type="spellEnd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  <w:r w:rsidR="003A7059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F45F77" w:rsidRPr="009F44EE" w:rsidRDefault="00F45F77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3A3AE3" w:rsidRPr="009F44EE" w:rsidRDefault="003A3AE3" w:rsidP="003A3AE3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Farmakoterapijska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grupa: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Antibakterijski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ljekovi za sistemsku primjenu; derivati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imidazola</w:t>
      </w:r>
      <w:proofErr w:type="spellEnd"/>
    </w:p>
    <w:p w:rsidR="003A3AE3" w:rsidRPr="009F44EE" w:rsidRDefault="003A3AE3" w:rsidP="003A3AE3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ATC kod: J01XD01 </w:t>
      </w:r>
    </w:p>
    <w:p w:rsidR="003A3AE3" w:rsidRPr="009F44EE" w:rsidRDefault="003A3AE3" w:rsidP="003A3AE3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951F1B" w:rsidRPr="009F44EE" w:rsidRDefault="00951F1B" w:rsidP="00951F1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</w:t>
      </w:r>
      <w:r w:rsidR="002E366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nfektivni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lijek, iz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farmakoterapijske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grupe</w:t>
      </w:r>
      <w:r w:rsidR="00DE53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derivati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nitroimidazola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i koji uglavnom djeluje na striktne anaerobne mikroorganizme. Ovo dejstvo je najvjerovatnije uzrokovano interakcijom sa DNS i ra</w:t>
      </w:r>
      <w:r w:rsidR="00C8744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z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ličitim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metabolitima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951F1B" w:rsidRPr="009F44EE" w:rsidRDefault="00951F1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13F50" w:rsidRPr="009F44EE" w:rsidRDefault="002E3663" w:rsidP="0096536E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ima </w:t>
      </w:r>
      <w:proofErr w:type="spellStart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antibakt</w:t>
      </w:r>
      <w:r w:rsidR="00AE6B0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</w:t>
      </w:r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rijsko</w:t>
      </w:r>
      <w:proofErr w:type="spellEnd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proofErr w:type="spellStart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antiprotozoalno</w:t>
      </w:r>
      <w:proofErr w:type="spellEnd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djelovanje 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 efikasan je protiv</w:t>
      </w:r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anaerobn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ih</w:t>
      </w:r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bakterij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i 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protiv</w:t>
      </w:r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951F1B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Trichomonas</w:t>
      </w:r>
      <w:proofErr w:type="spellEnd"/>
      <w:r w:rsidR="00951F1B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="00951F1B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vaginalis</w:t>
      </w:r>
      <w:proofErr w:type="spellEnd"/>
      <w:r w:rsidR="00951F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kao 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drug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ih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protozo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klju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čujući </w:t>
      </w:r>
      <w:proofErr w:type="spellStart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Entamoeba</w:t>
      </w:r>
      <w:proofErr w:type="spellEnd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histolytica</w:t>
      </w:r>
      <w:proofErr w:type="spellEnd"/>
      <w:r w:rsidR="00713F5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 </w:t>
      </w:r>
      <w:r w:rsidR="00713F5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Giardia</w:t>
      </w:r>
      <w:proofErr w:type="spellEnd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="00713F50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lamblia</w:t>
      </w:r>
      <w:proofErr w:type="spellEnd"/>
      <w:r w:rsidR="00713F5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713F50" w:rsidRPr="009F44EE" w:rsidRDefault="00713F50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13F50" w:rsidRPr="009F44EE" w:rsidRDefault="0096536E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 xml:space="preserve">Spektar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antimikrobnog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 xml:space="preserve"> d</w:t>
      </w:r>
      <w:r w:rsidR="00C8744C"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j</w:t>
      </w: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elovanja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</w:p>
    <w:p w:rsidR="0096536E" w:rsidRPr="009F44EE" w:rsidRDefault="0096536E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57E30" w:rsidRPr="009F44EE" w:rsidRDefault="00A57E30" w:rsidP="00A57E3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G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ranične vr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="0096536E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ednosti minimalne inhibitorne koncentracije (MIK)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koje razdvajaju osjetljive (S, engl.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susceptible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 od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intermedijarno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osjetljivih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(engl.</w:t>
      </w:r>
      <w:r w:rsidR="00F06C66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intermediately</w:t>
      </w:r>
      <w:proofErr w:type="spellEnd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susceptible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 mikroorganizama, kao 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intermedijarno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osjetljive mikroorganizme od rezistentnih organizama (R) su sljedeće:</w:t>
      </w:r>
    </w:p>
    <w:p w:rsidR="00713F50" w:rsidRPr="009F44EE" w:rsidRDefault="00713F50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13F50" w:rsidRPr="009F44EE" w:rsidRDefault="00713F50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 ≤ 4 mg/l </w:t>
      </w:r>
      <w:r w:rsidR="00D3472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 &gt; 4 mg/l</w:t>
      </w:r>
    </w:p>
    <w:p w:rsidR="00A57E30" w:rsidRPr="009F44EE" w:rsidRDefault="00A57E30" w:rsidP="00713F50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13F50" w:rsidRPr="009F44EE" w:rsidRDefault="00A57E30" w:rsidP="00B1261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Prevalenca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stečene rezistencije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može varirati u zavisnosti od geografske r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egije i sa </w:t>
      </w:r>
      <w:proofErr w:type="spellStart"/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vremenom</w:t>
      </w:r>
      <w:proofErr w:type="spellEnd"/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za odabrane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vrste i poželjni su lokalni podaci o rezistenciji, naročito pri l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ečenju teških infekcija. 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Ove informacije daju samo približne smjernice o vjero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</w:t>
      </w:r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atnoći da li će mikroorganizmi biti osjetljivi na </w:t>
      </w:r>
      <w:proofErr w:type="spellStart"/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="00B1261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ne.</w:t>
      </w:r>
    </w:p>
    <w:p w:rsidR="002E37A5" w:rsidRPr="009F44EE" w:rsidRDefault="002E37A5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tbl>
      <w:tblPr>
        <w:tblW w:w="8356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56"/>
      </w:tblGrid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Kategorije</w:t>
            </w:r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OSJETLJIVE VRSTE</w:t>
            </w:r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Gram-negativni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aerobi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Helicobacter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pylori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Anaerobi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Bacteroides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fragilis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lastRenderedPageBreak/>
              <w:t>Bifidobacterium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&gt;&gt;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resistant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(70%)</w:t>
            </w:r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Bilophila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Clostridium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Clostridium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difficile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Clostridium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perfringens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Eubacterium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Fusobacterium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Peptostreptococcus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Prevotella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Porphyromonas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Veillonella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REZISTENTNE VRSTE</w:t>
            </w:r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 w:rsidP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Gram-pozitivni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aerobi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Actinomyces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Anaerobes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Mobiluncus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Propionibacterium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acnes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F44E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ANTIPARAZITNA AKTIVNOST</w:t>
            </w:r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Entamoeba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histolytica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Giardia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intestinalis</w:t>
            </w:r>
            <w:proofErr w:type="spellEnd"/>
          </w:p>
        </w:tc>
      </w:tr>
      <w:tr w:rsidR="00697745" w:rsidRPr="009F44EE" w:rsidTr="00697745">
        <w:tc>
          <w:tcPr>
            <w:tcW w:w="50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:rsidR="00697745" w:rsidRPr="009F44EE" w:rsidRDefault="0069774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</w:pP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Trichomonas</w:t>
            </w:r>
            <w:proofErr w:type="spellEnd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F44EE">
              <w:rPr>
                <w:rFonts w:asciiTheme="majorBidi" w:hAnsiTheme="majorBidi" w:cstheme="majorBidi"/>
                <w:bCs/>
                <w:i/>
                <w:sz w:val="22"/>
                <w:szCs w:val="22"/>
                <w:lang w:val="sr-Latn-ME"/>
              </w:rPr>
              <w:t>vaginalis</w:t>
            </w:r>
            <w:proofErr w:type="spellEnd"/>
          </w:p>
        </w:tc>
      </w:tr>
    </w:tbl>
    <w:p w:rsidR="0096536E" w:rsidRPr="009F44EE" w:rsidRDefault="0096536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96536E" w:rsidRPr="009F44EE" w:rsidRDefault="00971FE0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Moguća je pojava ukrštene rezistencije sa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tinidazolom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971FE0" w:rsidRPr="009F44EE" w:rsidRDefault="00971FE0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5.2.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Farmakokinetički</w:t>
      </w:r>
      <w:proofErr w:type="spellEnd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  <w:r w:rsidR="003A7059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8D35AB" w:rsidRPr="009F44EE" w:rsidRDefault="008D35A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8D35AB" w:rsidRPr="009F44EE" w:rsidRDefault="008D35AB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Distribucija: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Nakon primjene pojedinačne doze od 500 mg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srednja v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ijednost maksimalne koncentracije </w:t>
      </w:r>
      <w:proofErr w:type="spellStart"/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plazmi, iznosila je </w:t>
      </w:r>
      <w:r w:rsidR="00F06C66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oko</w:t>
      </w:r>
      <w:r w:rsidR="00AE6B0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14 – 18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μg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/ml 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na kraju infuzije od 20 minuta. Nakon </w:t>
      </w:r>
      <w:proofErr w:type="spellStart"/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i.v</w:t>
      </w:r>
      <w:proofErr w:type="spellEnd"/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 primjene pojedinačne doze od 1g, vrijednost maksimalne koncentracije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2-hidroksi-metabolita u plazmi je oko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3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μg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/ml</w:t>
      </w:r>
      <w:r w:rsidR="00ED3CC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Stanje ravnoteže </w:t>
      </w:r>
      <w:proofErr w:type="spellStart"/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od oko 17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</w:t>
      </w:r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13 </w:t>
      </w:r>
      <w:proofErr w:type="spellStart"/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μg</w:t>
      </w:r>
      <w:proofErr w:type="spellEnd"/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/ml se postiže nakon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primjene </w:t>
      </w:r>
      <w:proofErr w:type="spellStart"/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4D0AFC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svakih 8h, odnosno 12h sati.  </w:t>
      </w:r>
    </w:p>
    <w:p w:rsidR="009A50BF" w:rsidRPr="009F44EE" w:rsidRDefault="009A50BF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D35AB" w:rsidRPr="009F44EE" w:rsidRDefault="004D0AFC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Vezivanje za proteine plazme je manje od 10%, a volumen distribucije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lijeka iznosi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1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1 ± 0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4 l/kg.</w:t>
      </w:r>
    </w:p>
    <w:p w:rsidR="008D35AB" w:rsidRPr="009F44EE" w:rsidRDefault="008D35AB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D35AB" w:rsidRPr="009F44EE" w:rsidRDefault="004D0AFC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Metaboliza</w:t>
      </w:r>
      <w:r w:rsidR="008D35AB"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m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metaboliše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jetri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hidroksilacijom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oksidacijom i </w:t>
      </w:r>
      <w:proofErr w:type="spellStart"/>
      <w:r w:rsidR="00164A7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glukuronidacijom</w:t>
      </w:r>
      <w:proofErr w:type="spellEnd"/>
      <w:r w:rsidR="00164A7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Glavni </w:t>
      </w:r>
      <w:proofErr w:type="spellStart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metaboliti</w:t>
      </w:r>
      <w:proofErr w:type="spellEnd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su 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2-hidroksi-metabolit 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 </w:t>
      </w:r>
      <w:proofErr w:type="spellStart"/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</w:t>
      </w:r>
      <w:proofErr w:type="spellEnd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sa </w:t>
      </w:r>
      <w:proofErr w:type="spellStart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sirćetn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om</w:t>
      </w:r>
      <w:proofErr w:type="spellEnd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kiselin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om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8D35AB" w:rsidRPr="009F44EE" w:rsidRDefault="008D35AB" w:rsidP="001C275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D35AB" w:rsidRPr="009F44EE" w:rsidRDefault="008D35AB" w:rsidP="008B4A47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Elimina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ja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Više od 50% prim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jenjene doze se izluču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 putem urina, u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nepromijenjeno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</w:t>
      </w:r>
      <w:proofErr w:type="spellEnd"/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obliku (oko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20% </w:t>
      </w:r>
      <w:r w:rsidR="00EE718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doze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) 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kao i u obliku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Oko 20% prim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jenjene doze se izlučuje putem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fecesa</w:t>
      </w:r>
      <w:proofErr w:type="spellEnd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</w:t>
      </w:r>
      <w:proofErr w:type="spellEnd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iznosi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1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3 ± 0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3 ml/min/kg, 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dok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renalni</w:t>
      </w:r>
      <w:proofErr w:type="spellEnd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</w:t>
      </w:r>
      <w:proofErr w:type="spellEnd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iznosi približno 0</w:t>
      </w:r>
      <w:r w:rsidR="006F2BB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15 ml/min/kg. Poluvrijeme eliminacije </w:t>
      </w:r>
      <w:proofErr w:type="spellStart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iznosi oko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8 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sati, a poluvrijeme eliminacije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2-h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idroksi-metabolita oko 10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1C275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sati. </w:t>
      </w:r>
    </w:p>
    <w:p w:rsidR="00EE7180" w:rsidRPr="009F44EE" w:rsidRDefault="00EE7180" w:rsidP="008B4A47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D35AB" w:rsidRPr="009F44EE" w:rsidRDefault="00F07D37" w:rsidP="008B4A47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Specijalne grupe pacijenata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štećenje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funkcije bubrega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nema uticaja na poluvrijeme eliminacije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 ipak</w:t>
      </w:r>
      <w:r w:rsidR="000846C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ovo može da poveća poluvrije</w:t>
      </w:r>
      <w:r w:rsidR="00D6263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eliminacije 2-hidroksi-metabolita i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sa </w:t>
      </w:r>
      <w:proofErr w:type="spellStart"/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sirćetnom</w:t>
      </w:r>
      <w:proofErr w:type="spellEnd"/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ki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</w:t>
      </w:r>
      <w:r w:rsidR="009A50B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elinom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U slučaju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hemodijalize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lijek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Colpocin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-T se brzo izlučuje, a poluvrijeme eliminacije je skraćeno na oko 2</w:t>
      </w:r>
      <w:r w:rsidR="000846C9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5 sata. </w:t>
      </w:r>
      <w:r w:rsidR="009F6A1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Izgleda da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peritonealna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al</w:t>
      </w:r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iza ne utiče  na eliminaciju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njegovih </w:t>
      </w:r>
      <w:proofErr w:type="spellStart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</w:t>
      </w:r>
      <w:r w:rsidR="00D6263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proofErr w:type="spellEnd"/>
      <w:r w:rsidR="00BB1E60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poređenju sa pacijentima sa oštećenom funkcijom bubrega. </w:t>
      </w:r>
    </w:p>
    <w:p w:rsidR="008D35AB" w:rsidRPr="009F44EE" w:rsidRDefault="0048020B" w:rsidP="008B4A47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Kod pacijenata sa oštećenjem funkcije jetre, </w:t>
      </w:r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očekuje se da je metabolizam usporen, što dovodi do </w:t>
      </w:r>
      <w:r w:rsidR="00D22FCF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produženja </w:t>
      </w:r>
      <w:proofErr w:type="spellStart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poluvremena</w:t>
      </w:r>
      <w:proofErr w:type="spellEnd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eliminacije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Kod pacijenata sa teškim oštećenjem funkcije jetre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proofErr w:type="spellStart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klirens</w:t>
      </w:r>
      <w:proofErr w:type="spellEnd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se može smanjiti na oko </w:t>
      </w:r>
      <w:r w:rsidR="008D35A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65%, </w:t>
      </w:r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što dovodi do akumulacije </w:t>
      </w:r>
      <w:proofErr w:type="spellStart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8B4A47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tijelu.</w:t>
      </w:r>
    </w:p>
    <w:p w:rsidR="001C275B" w:rsidRPr="009F44EE" w:rsidRDefault="001C275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5.3.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Pretklinički</w:t>
      </w:r>
      <w:proofErr w:type="spellEnd"/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 o bezbjednosti </w:t>
      </w:r>
    </w:p>
    <w:p w:rsidR="00542F33" w:rsidRPr="009F44EE" w:rsidRDefault="00542F33" w:rsidP="004543B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42F33" w:rsidRPr="009F44EE" w:rsidRDefault="00542F33" w:rsidP="004543BC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 sprovedenim </w:t>
      </w:r>
      <w:r w:rsidR="009F6A11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in </w:t>
      </w:r>
      <w:proofErr w:type="spellStart"/>
      <w:r w:rsidR="009F6A11"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vitro</w:t>
      </w:r>
      <w:proofErr w:type="spellEnd"/>
      <w:r w:rsidR="009F6A1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studijama na ćelijama sisara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kao </w:t>
      </w:r>
      <w:r w:rsidR="009F6A11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D6263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 </w:t>
      </w:r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in </w:t>
      </w:r>
      <w:proofErr w:type="spellStart"/>
      <w:r w:rsidRPr="009F44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vivo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studijama</w:t>
      </w:r>
      <w:r w:rsidR="0096248A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nije dokazan mutageni efekat metronidazola.</w:t>
      </w:r>
    </w:p>
    <w:p w:rsidR="00542F33" w:rsidRPr="009F44EE" w:rsidRDefault="00DA7CF5" w:rsidP="004543B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 pojedinim</w:t>
      </w:r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studijama na ćelijama </w:t>
      </w:r>
      <w:r w:rsidR="00D62633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koje nijesu porijeklom od sisara</w:t>
      </w:r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 pokazana </w:t>
      </w:r>
      <w:proofErr w:type="spellStart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mutagenost</w:t>
      </w:r>
      <w:proofErr w:type="spellEnd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metronidazola</w:t>
      </w:r>
      <w:proofErr w:type="spellEnd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 </w:t>
      </w:r>
      <w:proofErr w:type="spellStart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metabolita</w:t>
      </w:r>
      <w:proofErr w:type="spellEnd"/>
      <w:r w:rsidR="00CA29B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DA7CF5" w:rsidRPr="009F44EE" w:rsidRDefault="00DA7CF5" w:rsidP="004543BC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Karcinogeni potencijal metronidazola je dokazan kod nekih vrsta miševa</w:t>
      </w:r>
      <w:r w:rsidR="0096248A"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ali ne i kod i pacova i hrčaka. Nije primijećen karcinogeni potencijal kod ljudi.</w:t>
      </w:r>
    </w:p>
    <w:p w:rsidR="003238A8" w:rsidRPr="009F44EE" w:rsidRDefault="007A06E5" w:rsidP="004543BC">
      <w:pPr>
        <w:pStyle w:val="Default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Peroralna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primjena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>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u dozi 5 puta većoj od maksimalne dnevne doze</w:t>
      </w:r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za </w:t>
      </w:r>
      <w:proofErr w:type="spellStart"/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>ljude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, tokom duže od 4 nedjelje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imala je toksično dejstvo na testise </w:t>
      </w:r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i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dovela je do neplodnost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kod 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mužjaka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pacova. Plodnost je obnovljena kod većine is</w:t>
      </w:r>
      <w:r w:rsidR="00AE35AC" w:rsidRPr="009F44EE">
        <w:rPr>
          <w:rFonts w:asciiTheme="majorBidi" w:hAnsiTheme="majorBidi" w:cstheme="majorBidi"/>
          <w:sz w:val="22"/>
          <w:szCs w:val="22"/>
          <w:lang w:val="sr-Latn-ME"/>
        </w:rPr>
        <w:t>pitanih životinja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u roku od 8 ned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elja nakon prestanka l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ečenja, </w:t>
      </w:r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dok su 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se </w:t>
      </w:r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smanjenje 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veličine </w:t>
      </w:r>
      <w:proofErr w:type="spellStart"/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>tetisa</w:t>
      </w:r>
      <w:proofErr w:type="spellEnd"/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>epidimisa</w:t>
      </w:r>
      <w:proofErr w:type="spellEnd"/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 i broja spermatozoida poboljšali, ali su i dalje prim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>jećivani</w:t>
      </w:r>
      <w:r w:rsidR="003238A8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3238A8" w:rsidRPr="009F44EE" w:rsidRDefault="003238A8" w:rsidP="004543BC">
      <w:pPr>
        <w:pStyle w:val="Default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Peroralna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primjena </w:t>
      </w:r>
      <w:proofErr w:type="spellStart"/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>metronidazol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>a</w:t>
      </w:r>
      <w:proofErr w:type="spellEnd"/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u dozi 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približno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6 puta većoj od maksimalne dnevne doze za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ljude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>, tokom 2 nedjelje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ili duže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imala je toksično dejstvo na testise 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>mužjaka miševa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. Plodnost je obnovljena kod većine ispitani</w:t>
      </w:r>
      <w:r w:rsidR="00AE35AC" w:rsidRPr="009F44EE">
        <w:rPr>
          <w:rFonts w:asciiTheme="majorBidi" w:hAnsiTheme="majorBidi" w:cstheme="majorBidi"/>
          <w:sz w:val="22"/>
          <w:szCs w:val="22"/>
          <w:lang w:val="sr-Latn-ME"/>
        </w:rPr>
        <w:t>h životinja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 u roku od 8 ned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elja nakon prestanka l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ečenja, dok su 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se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smanjenje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veličine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tetisa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epidimisa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i broja spermatozoida poboljšali, ali su i dalje prim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>jećivani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3238A8" w:rsidRPr="009F44EE" w:rsidRDefault="003238A8" w:rsidP="004543BC">
      <w:pPr>
        <w:pStyle w:val="Default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Ove studije su pokazale 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da je </w:t>
      </w:r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neželjeno dejstvo </w:t>
      </w:r>
      <w:proofErr w:type="spellStart"/>
      <w:r w:rsidRPr="009F44EE">
        <w:rPr>
          <w:rFonts w:asciiTheme="majorBidi" w:hAnsiTheme="majorBidi" w:cstheme="majorBidi"/>
          <w:sz w:val="22"/>
          <w:szCs w:val="22"/>
          <w:lang w:val="sr-Latn-ME"/>
        </w:rPr>
        <w:t>metronidazola</w:t>
      </w:r>
      <w:proofErr w:type="spellEnd"/>
      <w:r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na </w:t>
      </w:r>
      <w:r w:rsidR="0096248A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muški 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>reproduktivni sistem u potpunosti ili parcija</w:t>
      </w:r>
      <w:r w:rsidR="00F447C2" w:rsidRPr="009F44EE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no </w:t>
      </w:r>
      <w:proofErr w:type="spellStart"/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>reverzibilno</w:t>
      </w:r>
      <w:proofErr w:type="spellEnd"/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nakon prestanka uzimanja lijeka (vidjeti </w:t>
      </w:r>
      <w:r w:rsidR="00382752" w:rsidRPr="009F44EE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="004543BC" w:rsidRPr="009F44EE">
        <w:rPr>
          <w:rFonts w:asciiTheme="majorBidi" w:hAnsiTheme="majorBidi" w:cstheme="majorBidi"/>
          <w:sz w:val="22"/>
          <w:szCs w:val="22"/>
          <w:lang w:val="sr-Latn-ME"/>
        </w:rPr>
        <w:t xml:space="preserve"> 4.6)</w:t>
      </w:r>
      <w:r w:rsidR="00D62633" w:rsidRPr="009F44EE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5B5B77" w:rsidRPr="009F44EE" w:rsidRDefault="005B5B77" w:rsidP="005B5B77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:rsidR="00542F33" w:rsidRPr="009F44EE" w:rsidRDefault="00542F33" w:rsidP="00542F33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FARMACEUTSKI PODACI</w:t>
      </w:r>
    </w:p>
    <w:p w:rsidR="00AC6AA2" w:rsidRPr="009F44EE" w:rsidRDefault="00AC6AA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6.1.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Lista pomoćnih supstanci</w:t>
      </w:r>
      <w:r w:rsidR="002E0135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)</w:t>
      </w:r>
    </w:p>
    <w:p w:rsidR="00203D8B" w:rsidRPr="009F44EE" w:rsidRDefault="00D22FCF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ab/>
      </w:r>
    </w:p>
    <w:p w:rsidR="00AC6AA2" w:rsidRPr="009F44EE" w:rsidRDefault="00D22FCF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Dinatrijum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fosfat, </w:t>
      </w:r>
      <w:proofErr w:type="spellStart"/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dodekahidrat</w:t>
      </w:r>
      <w:proofErr w:type="spellEnd"/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AC6AA2" w:rsidRPr="009F44EE" w:rsidRDefault="00AC6AA2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Limunska kiselina,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monohidrat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AC6AA2" w:rsidRPr="009F44EE" w:rsidRDefault="00D22FCF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Natrijum </w:t>
      </w:r>
      <w:r w:rsidR="00AC6AA2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hlorid </w:t>
      </w:r>
    </w:p>
    <w:p w:rsidR="0072020E" w:rsidRPr="009F44EE" w:rsidRDefault="00AC6AA2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Voda za injekcije</w:t>
      </w:r>
    </w:p>
    <w:p w:rsidR="00D22FCF" w:rsidRPr="009F44EE" w:rsidRDefault="00D22FCF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6.2.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Inkompatibilnost</w:t>
      </w:r>
      <w:r w:rsidR="002846DB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</w:t>
      </w:r>
    </w:p>
    <w:p w:rsidR="00203D8B" w:rsidRPr="009F44EE" w:rsidRDefault="00203D8B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C6AA2" w:rsidRPr="009F44EE" w:rsidRDefault="00D22FCF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 odsustvu ispitivanja kompatibilnosti, ovaj lijek se ne smije miješati sa drugim ljekovima.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6.3.</w:t>
      </w:r>
      <w:r w:rsidR="00C05DF8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Rok upotrebe</w:t>
      </w:r>
    </w:p>
    <w:p w:rsidR="00DB725A" w:rsidRPr="009F44EE" w:rsidRDefault="00DB725A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ab/>
      </w:r>
    </w:p>
    <w:p w:rsidR="00203D8B" w:rsidRPr="009F44EE" w:rsidRDefault="00AC6AA2" w:rsidP="00AC6AA2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Rok upotrebe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neotvorenog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lijek</w:t>
      </w:r>
      <w:r w:rsidR="00DB725A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a: 3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6</w:t>
      </w:r>
      <w:r w:rsidR="00DB725A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mjeseci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AC6AA2" w:rsidRPr="009F44EE" w:rsidRDefault="00DB725A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Rok upotrebe nakon prvog otvaranja/ razblaženja: upotrijebiti odmah.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6.4.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Posebne mjere upozorenja pri čuvanju</w:t>
      </w:r>
      <w:r w:rsidR="00F8570A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lijeka</w:t>
      </w:r>
    </w:p>
    <w:p w:rsidR="00203D8B" w:rsidRPr="009F44EE" w:rsidRDefault="00203D8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EC2532" w:rsidRPr="009F44EE" w:rsidRDefault="00AC6AA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Ovaj lijek ne zaht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eva posebne uslove čuvanja.</w:t>
      </w:r>
    </w:p>
    <w:p w:rsidR="00DE53BF" w:rsidRPr="009F44EE" w:rsidRDefault="00DE53BF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6.5.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Vrsta i sadržaj </w:t>
      </w:r>
      <w:r w:rsidR="00F8570A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pakovanja</w:t>
      </w:r>
      <w:r w:rsidR="00C06864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203D8B" w:rsidRPr="009F44EE" w:rsidRDefault="00203D8B" w:rsidP="005A3B4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C6AA2" w:rsidRDefault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Unutrašnje pakovanje lijeka je BFS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polipropilenska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boca koja sadrži 100 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ml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rastvora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zapečaćena plastičnim </w:t>
      </w:r>
      <w:r w:rsidR="005A3B4D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zatvaračem sa gumenim zaptivačem i prstenom koji služi za otvaranje. </w:t>
      </w:r>
    </w:p>
    <w:p w:rsidR="00225A9B" w:rsidRPr="009F44EE" w:rsidRDefault="00225A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AC6AA2" w:rsidP="005A3B4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složiva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kartonska kutija u kojoj se nalazi </w:t>
      </w:r>
      <w:r w:rsidR="00426564">
        <w:rPr>
          <w:rFonts w:asciiTheme="majorBidi" w:hAnsiTheme="majorBidi" w:cstheme="majorBidi"/>
          <w:bCs/>
          <w:sz w:val="22"/>
          <w:szCs w:val="22"/>
          <w:lang w:val="sr-Latn-ME"/>
        </w:rPr>
        <w:t>2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0 plastičnih boca i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Upustvo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za lijek.</w:t>
      </w:r>
    </w:p>
    <w:p w:rsidR="00DE53BF" w:rsidRPr="009F44EE" w:rsidRDefault="00DE53BF" w:rsidP="005A3B4D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846DB" w:rsidRPr="009F44EE" w:rsidRDefault="0072020E" w:rsidP="004808A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6.6.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="00310F0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(i druga uputs</w:t>
      </w:r>
      <w:r w:rsidR="004109FA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t</w:t>
      </w:r>
      <w:r w:rsidR="00310F0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va za rukovanje lijekom) </w:t>
      </w:r>
    </w:p>
    <w:p w:rsidR="00203D8B" w:rsidRPr="009F44EE" w:rsidRDefault="00203D8B" w:rsidP="00F447C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C6AA2" w:rsidRPr="009F44EE" w:rsidRDefault="00AC6AA2" w:rsidP="00F447C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Isključivo za jednokratnu upotrebu. </w:t>
      </w:r>
    </w:p>
    <w:p w:rsidR="00B66A70" w:rsidRPr="009F44EE" w:rsidRDefault="00AC6AA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03D8B" w:rsidRPr="009F44EE" w:rsidRDefault="00203D8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F8570A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7.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NOSILAC DOZVOLE</w:t>
      </w:r>
      <w:r w:rsidR="00483928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C61BE0" w:rsidRPr="009F44EE" w:rsidRDefault="00C61BE0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04018" w:rsidRPr="009F44EE" w:rsidRDefault="00A0401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Evropa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Lek</w:t>
      </w:r>
      <w:proofErr w:type="spellEnd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Pharma </w:t>
      </w:r>
      <w:proofErr w:type="spellStart"/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d.o.o</w:t>
      </w:r>
      <w:proofErr w:type="spellEnd"/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Podgorica</w:t>
      </w:r>
    </w:p>
    <w:p w:rsidR="00A04018" w:rsidRPr="009F44EE" w:rsidRDefault="00A0401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Kritskog odreda 4/1</w:t>
      </w:r>
      <w:r w:rsidR="00203D8B"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81000 Podgorica</w:t>
      </w:r>
    </w:p>
    <w:p w:rsidR="00A04018" w:rsidRPr="009F44EE" w:rsidRDefault="00A04018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Cs/>
          <w:sz w:val="22"/>
          <w:szCs w:val="22"/>
          <w:lang w:val="sr-Latn-ME"/>
        </w:rPr>
        <w:t>Crna Gora</w:t>
      </w:r>
    </w:p>
    <w:p w:rsidR="00C37FD7" w:rsidRPr="009F44EE" w:rsidRDefault="00C37FD7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8.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BROJ DOZVOLE</w:t>
      </w:r>
      <w:r w:rsidR="008A6D4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ZA STAVLJANJE LIJEKA U PROMET</w:t>
      </w:r>
    </w:p>
    <w:p w:rsidR="00010C14" w:rsidRPr="009F44EE" w:rsidRDefault="00010C14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F45F77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225A9B">
        <w:rPr>
          <w:rFonts w:asciiTheme="majorBidi" w:hAnsiTheme="majorBidi" w:cstheme="majorBidi"/>
          <w:bCs/>
          <w:sz w:val="22"/>
          <w:szCs w:val="22"/>
          <w:lang w:val="sr-Latn-ME"/>
        </w:rPr>
        <w:t>2030/22/2752 - 6739</w:t>
      </w:r>
    </w:p>
    <w:p w:rsidR="00225A9B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25A9B" w:rsidRPr="009F44EE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2020E" w:rsidRPr="009F44E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9.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DATUM </w:t>
      </w:r>
      <w:r w:rsidR="00C05DF8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PRVE </w:t>
      </w:r>
      <w:r w:rsidR="008A6D4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DOZVOLE</w:t>
      </w:r>
      <w:r w:rsidR="00C05DF8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/OBNOVE DOZVOLE</w:t>
      </w:r>
      <w:r w:rsidR="008A6D43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225A9B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26.10.2022. godine</w:t>
      </w:r>
    </w:p>
    <w:p w:rsidR="00225A9B" w:rsidRPr="009F44EE" w:rsidRDefault="00225A9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36B35" w:rsidRPr="009F44EE" w:rsidRDefault="00836B35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3F6A59" w:rsidRPr="009F44EE" w:rsidRDefault="0072020E" w:rsidP="00C05DF8">
      <w:pPr>
        <w:tabs>
          <w:tab w:val="left" w:pos="540"/>
          <w:tab w:val="left" w:pos="569"/>
        </w:tabs>
        <w:ind w:left="540" w:hanging="540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10. </w:t>
      </w:r>
      <w:r w:rsidR="00480FB1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>D</w:t>
      </w:r>
      <w:r w:rsidR="00EC2532" w:rsidRPr="009F44E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9F44EE" w:rsidRDefault="003F6A59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8A6D43" w:rsidRPr="009F44EE" w:rsidRDefault="00426564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Jun, 2024</w:t>
      </w:r>
      <w:bookmarkStart w:id="0" w:name="_GoBack"/>
      <w:bookmarkEnd w:id="0"/>
      <w:r w:rsidR="00225A9B">
        <w:rPr>
          <w:rFonts w:asciiTheme="majorBidi" w:hAnsiTheme="majorBidi" w:cstheme="majorBidi"/>
          <w:bCs/>
          <w:sz w:val="22"/>
          <w:szCs w:val="22"/>
          <w:lang w:val="sr-Latn-ME"/>
        </w:rPr>
        <w:t>. godine</w:t>
      </w:r>
    </w:p>
    <w:p w:rsidR="003F6A59" w:rsidRPr="009F44EE" w:rsidRDefault="003F6A59" w:rsidP="00DE3F5C">
      <w:pPr>
        <w:rPr>
          <w:rFonts w:asciiTheme="majorBidi" w:hAnsiTheme="majorBidi" w:cstheme="majorBidi"/>
          <w:sz w:val="22"/>
          <w:szCs w:val="22"/>
          <w:lang w:val="sr-Latn-ME"/>
        </w:rPr>
      </w:pPr>
    </w:p>
    <w:sectPr w:rsidR="003F6A59" w:rsidRPr="009F44EE" w:rsidSect="004808A0">
      <w:footerReference w:type="default" r:id="rId12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F1" w:rsidRDefault="00BD2EF1">
      <w:r>
        <w:separator/>
      </w:r>
    </w:p>
  </w:endnote>
  <w:endnote w:type="continuationSeparator" w:id="0">
    <w:p w:rsidR="00BD2EF1" w:rsidRDefault="00BD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63" w:rsidRPr="00B23F69" w:rsidRDefault="002E3663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26564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26564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F1" w:rsidRDefault="00BD2EF1">
      <w:r>
        <w:separator/>
      </w:r>
    </w:p>
  </w:footnote>
  <w:footnote w:type="continuationSeparator" w:id="0">
    <w:p w:rsidR="00BD2EF1" w:rsidRDefault="00BD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3D70529"/>
    <w:multiLevelType w:val="hybridMultilevel"/>
    <w:tmpl w:val="BD20E634"/>
    <w:lvl w:ilvl="0" w:tplc="5C42CE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24FAD"/>
    <w:multiLevelType w:val="hybridMultilevel"/>
    <w:tmpl w:val="9732EFDC"/>
    <w:lvl w:ilvl="0" w:tplc="5C42CE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92B8A"/>
    <w:multiLevelType w:val="hybridMultilevel"/>
    <w:tmpl w:val="F724AD8E"/>
    <w:lvl w:ilvl="0" w:tplc="5C42CE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BFF"/>
    <w:rsid w:val="00010C14"/>
    <w:rsid w:val="000176CA"/>
    <w:rsid w:val="000229EA"/>
    <w:rsid w:val="00024FB7"/>
    <w:rsid w:val="00036FA0"/>
    <w:rsid w:val="0003793F"/>
    <w:rsid w:val="00045BD6"/>
    <w:rsid w:val="000464BE"/>
    <w:rsid w:val="00054137"/>
    <w:rsid w:val="00057E35"/>
    <w:rsid w:val="00076726"/>
    <w:rsid w:val="00080303"/>
    <w:rsid w:val="000831B3"/>
    <w:rsid w:val="000846C9"/>
    <w:rsid w:val="00092C97"/>
    <w:rsid w:val="000A3F58"/>
    <w:rsid w:val="000A42BD"/>
    <w:rsid w:val="000A7CFE"/>
    <w:rsid w:val="000C224F"/>
    <w:rsid w:val="000D09B6"/>
    <w:rsid w:val="000D2343"/>
    <w:rsid w:val="000D3449"/>
    <w:rsid w:val="000D425A"/>
    <w:rsid w:val="000D60CC"/>
    <w:rsid w:val="000E2084"/>
    <w:rsid w:val="000E6F55"/>
    <w:rsid w:val="000F77FA"/>
    <w:rsid w:val="00106C26"/>
    <w:rsid w:val="00107BF7"/>
    <w:rsid w:val="00116359"/>
    <w:rsid w:val="001201E4"/>
    <w:rsid w:val="00126F53"/>
    <w:rsid w:val="001313B3"/>
    <w:rsid w:val="001431C2"/>
    <w:rsid w:val="0014766D"/>
    <w:rsid w:val="00151C04"/>
    <w:rsid w:val="001536CC"/>
    <w:rsid w:val="00164A72"/>
    <w:rsid w:val="00164DEC"/>
    <w:rsid w:val="001658C8"/>
    <w:rsid w:val="00173CD8"/>
    <w:rsid w:val="00176428"/>
    <w:rsid w:val="00180E70"/>
    <w:rsid w:val="001A3FBA"/>
    <w:rsid w:val="001A5178"/>
    <w:rsid w:val="001A5518"/>
    <w:rsid w:val="001B1C6A"/>
    <w:rsid w:val="001C1263"/>
    <w:rsid w:val="001C1417"/>
    <w:rsid w:val="001C275B"/>
    <w:rsid w:val="001C3683"/>
    <w:rsid w:val="001C3D1D"/>
    <w:rsid w:val="001D00DF"/>
    <w:rsid w:val="001E390B"/>
    <w:rsid w:val="001F0218"/>
    <w:rsid w:val="001F13B7"/>
    <w:rsid w:val="001F42FB"/>
    <w:rsid w:val="001F719A"/>
    <w:rsid w:val="002031B3"/>
    <w:rsid w:val="00203D8B"/>
    <w:rsid w:val="002042B6"/>
    <w:rsid w:val="00215931"/>
    <w:rsid w:val="002206CA"/>
    <w:rsid w:val="0022471C"/>
    <w:rsid w:val="00224C91"/>
    <w:rsid w:val="00225A9B"/>
    <w:rsid w:val="00227BDB"/>
    <w:rsid w:val="00234CB1"/>
    <w:rsid w:val="002352F8"/>
    <w:rsid w:val="00236C4F"/>
    <w:rsid w:val="002510A5"/>
    <w:rsid w:val="00254A0A"/>
    <w:rsid w:val="00266046"/>
    <w:rsid w:val="00271113"/>
    <w:rsid w:val="00282A29"/>
    <w:rsid w:val="002846DB"/>
    <w:rsid w:val="002847EA"/>
    <w:rsid w:val="00284CCD"/>
    <w:rsid w:val="002B6631"/>
    <w:rsid w:val="002C6637"/>
    <w:rsid w:val="002E0135"/>
    <w:rsid w:val="002E3663"/>
    <w:rsid w:val="002E37A5"/>
    <w:rsid w:val="002E636C"/>
    <w:rsid w:val="00310F03"/>
    <w:rsid w:val="003177FB"/>
    <w:rsid w:val="003201D8"/>
    <w:rsid w:val="003238A8"/>
    <w:rsid w:val="003247D2"/>
    <w:rsid w:val="003445C1"/>
    <w:rsid w:val="00347960"/>
    <w:rsid w:val="00347A97"/>
    <w:rsid w:val="0035263B"/>
    <w:rsid w:val="0035305A"/>
    <w:rsid w:val="00355B61"/>
    <w:rsid w:val="00362686"/>
    <w:rsid w:val="00371510"/>
    <w:rsid w:val="003765AC"/>
    <w:rsid w:val="00376E1E"/>
    <w:rsid w:val="00382752"/>
    <w:rsid w:val="00396DFD"/>
    <w:rsid w:val="003A30F8"/>
    <w:rsid w:val="003A3AE3"/>
    <w:rsid w:val="003A7059"/>
    <w:rsid w:val="003B7A36"/>
    <w:rsid w:val="003C17AB"/>
    <w:rsid w:val="003C7823"/>
    <w:rsid w:val="003D16D4"/>
    <w:rsid w:val="003E1901"/>
    <w:rsid w:val="003E1DCC"/>
    <w:rsid w:val="003E377F"/>
    <w:rsid w:val="003F11A1"/>
    <w:rsid w:val="003F6A59"/>
    <w:rsid w:val="004025C5"/>
    <w:rsid w:val="00404132"/>
    <w:rsid w:val="004065C8"/>
    <w:rsid w:val="004109FA"/>
    <w:rsid w:val="00411B4B"/>
    <w:rsid w:val="00415BEE"/>
    <w:rsid w:val="00416FB2"/>
    <w:rsid w:val="00425B68"/>
    <w:rsid w:val="00426564"/>
    <w:rsid w:val="00427F85"/>
    <w:rsid w:val="00436F42"/>
    <w:rsid w:val="004378B4"/>
    <w:rsid w:val="00451314"/>
    <w:rsid w:val="00452E9D"/>
    <w:rsid w:val="004534C7"/>
    <w:rsid w:val="004543BC"/>
    <w:rsid w:val="004671AA"/>
    <w:rsid w:val="00472484"/>
    <w:rsid w:val="004731C8"/>
    <w:rsid w:val="0048020B"/>
    <w:rsid w:val="004808A0"/>
    <w:rsid w:val="00480FB1"/>
    <w:rsid w:val="00483928"/>
    <w:rsid w:val="00485E5B"/>
    <w:rsid w:val="00495C78"/>
    <w:rsid w:val="00497306"/>
    <w:rsid w:val="004A0EFE"/>
    <w:rsid w:val="004A21B2"/>
    <w:rsid w:val="004B356F"/>
    <w:rsid w:val="004B3B29"/>
    <w:rsid w:val="004B6C6F"/>
    <w:rsid w:val="004C1749"/>
    <w:rsid w:val="004C20AF"/>
    <w:rsid w:val="004C331F"/>
    <w:rsid w:val="004C7475"/>
    <w:rsid w:val="004D0900"/>
    <w:rsid w:val="004D0AFC"/>
    <w:rsid w:val="004D6103"/>
    <w:rsid w:val="004E3BCE"/>
    <w:rsid w:val="004E70AD"/>
    <w:rsid w:val="004F0E97"/>
    <w:rsid w:val="00501DD1"/>
    <w:rsid w:val="00504808"/>
    <w:rsid w:val="0050731F"/>
    <w:rsid w:val="00515C21"/>
    <w:rsid w:val="005173C6"/>
    <w:rsid w:val="00520AB3"/>
    <w:rsid w:val="00527870"/>
    <w:rsid w:val="00530BD7"/>
    <w:rsid w:val="0053218E"/>
    <w:rsid w:val="0053346D"/>
    <w:rsid w:val="00542F33"/>
    <w:rsid w:val="00545CD2"/>
    <w:rsid w:val="005476F3"/>
    <w:rsid w:val="0056303B"/>
    <w:rsid w:val="005661A0"/>
    <w:rsid w:val="00566B0F"/>
    <w:rsid w:val="00572527"/>
    <w:rsid w:val="00573E40"/>
    <w:rsid w:val="00576348"/>
    <w:rsid w:val="00591A31"/>
    <w:rsid w:val="005A0B2E"/>
    <w:rsid w:val="005A23D2"/>
    <w:rsid w:val="005A36CB"/>
    <w:rsid w:val="005A3B4D"/>
    <w:rsid w:val="005B49B8"/>
    <w:rsid w:val="005B5B77"/>
    <w:rsid w:val="005B7372"/>
    <w:rsid w:val="005C0741"/>
    <w:rsid w:val="005C5EF4"/>
    <w:rsid w:val="005D07EA"/>
    <w:rsid w:val="005E2E0B"/>
    <w:rsid w:val="005E7A7D"/>
    <w:rsid w:val="005F3B16"/>
    <w:rsid w:val="005F5D83"/>
    <w:rsid w:val="00602457"/>
    <w:rsid w:val="00631259"/>
    <w:rsid w:val="00637257"/>
    <w:rsid w:val="006425EA"/>
    <w:rsid w:val="00644FC3"/>
    <w:rsid w:val="00646BD1"/>
    <w:rsid w:val="006561C2"/>
    <w:rsid w:val="00671CB3"/>
    <w:rsid w:val="00672C42"/>
    <w:rsid w:val="00674BAF"/>
    <w:rsid w:val="006757AD"/>
    <w:rsid w:val="0067645D"/>
    <w:rsid w:val="00682200"/>
    <w:rsid w:val="00692BF6"/>
    <w:rsid w:val="00697745"/>
    <w:rsid w:val="006A1497"/>
    <w:rsid w:val="006A2824"/>
    <w:rsid w:val="006B0BD1"/>
    <w:rsid w:val="006B5404"/>
    <w:rsid w:val="006C5571"/>
    <w:rsid w:val="006C61A7"/>
    <w:rsid w:val="006D20A5"/>
    <w:rsid w:val="006D37BF"/>
    <w:rsid w:val="006E05C0"/>
    <w:rsid w:val="006F2BB2"/>
    <w:rsid w:val="00702E22"/>
    <w:rsid w:val="00710731"/>
    <w:rsid w:val="00713D15"/>
    <w:rsid w:val="00713F50"/>
    <w:rsid w:val="0072020E"/>
    <w:rsid w:val="00744D95"/>
    <w:rsid w:val="007566E4"/>
    <w:rsid w:val="007575D5"/>
    <w:rsid w:val="00776BCF"/>
    <w:rsid w:val="007820AE"/>
    <w:rsid w:val="00786071"/>
    <w:rsid w:val="00796AA6"/>
    <w:rsid w:val="007A06E5"/>
    <w:rsid w:val="007A1426"/>
    <w:rsid w:val="007A3ECB"/>
    <w:rsid w:val="007A51F2"/>
    <w:rsid w:val="007C0FA2"/>
    <w:rsid w:val="007D4F00"/>
    <w:rsid w:val="007D7BB3"/>
    <w:rsid w:val="007F270B"/>
    <w:rsid w:val="00824AB9"/>
    <w:rsid w:val="00833BD3"/>
    <w:rsid w:val="00836B35"/>
    <w:rsid w:val="00837CB0"/>
    <w:rsid w:val="008400C9"/>
    <w:rsid w:val="00843BDE"/>
    <w:rsid w:val="00846991"/>
    <w:rsid w:val="00853FC2"/>
    <w:rsid w:val="008621F0"/>
    <w:rsid w:val="00864862"/>
    <w:rsid w:val="0087142A"/>
    <w:rsid w:val="00874AA0"/>
    <w:rsid w:val="0087588C"/>
    <w:rsid w:val="00896205"/>
    <w:rsid w:val="0089705C"/>
    <w:rsid w:val="008A3460"/>
    <w:rsid w:val="008A6D43"/>
    <w:rsid w:val="008B1CDD"/>
    <w:rsid w:val="008B491E"/>
    <w:rsid w:val="008B4A47"/>
    <w:rsid w:val="008C1A28"/>
    <w:rsid w:val="008C2E98"/>
    <w:rsid w:val="008D03AC"/>
    <w:rsid w:val="008D35AB"/>
    <w:rsid w:val="008D7593"/>
    <w:rsid w:val="008E21D7"/>
    <w:rsid w:val="008E49BD"/>
    <w:rsid w:val="008E53E9"/>
    <w:rsid w:val="008E5771"/>
    <w:rsid w:val="008F4ACF"/>
    <w:rsid w:val="009063B8"/>
    <w:rsid w:val="00906B94"/>
    <w:rsid w:val="009152F3"/>
    <w:rsid w:val="00916C79"/>
    <w:rsid w:val="00920C2B"/>
    <w:rsid w:val="00924166"/>
    <w:rsid w:val="009379D2"/>
    <w:rsid w:val="00940B9B"/>
    <w:rsid w:val="009440D3"/>
    <w:rsid w:val="00951F1B"/>
    <w:rsid w:val="0095676E"/>
    <w:rsid w:val="00956983"/>
    <w:rsid w:val="0096248A"/>
    <w:rsid w:val="00963CF0"/>
    <w:rsid w:val="00964BB1"/>
    <w:rsid w:val="0096536E"/>
    <w:rsid w:val="009716BC"/>
    <w:rsid w:val="00971FE0"/>
    <w:rsid w:val="009775D9"/>
    <w:rsid w:val="00990235"/>
    <w:rsid w:val="00997175"/>
    <w:rsid w:val="00997FBE"/>
    <w:rsid w:val="009A0AA9"/>
    <w:rsid w:val="009A1847"/>
    <w:rsid w:val="009A19FA"/>
    <w:rsid w:val="009A272F"/>
    <w:rsid w:val="009A50BF"/>
    <w:rsid w:val="009B062A"/>
    <w:rsid w:val="009B75F3"/>
    <w:rsid w:val="009E7C6F"/>
    <w:rsid w:val="009F1793"/>
    <w:rsid w:val="009F2D23"/>
    <w:rsid w:val="009F44EE"/>
    <w:rsid w:val="009F6716"/>
    <w:rsid w:val="009F6A11"/>
    <w:rsid w:val="00A01D69"/>
    <w:rsid w:val="00A02335"/>
    <w:rsid w:val="00A04018"/>
    <w:rsid w:val="00A143FC"/>
    <w:rsid w:val="00A261C4"/>
    <w:rsid w:val="00A26B97"/>
    <w:rsid w:val="00A42442"/>
    <w:rsid w:val="00A46C9A"/>
    <w:rsid w:val="00A570D8"/>
    <w:rsid w:val="00A57E30"/>
    <w:rsid w:val="00A604C7"/>
    <w:rsid w:val="00A619F3"/>
    <w:rsid w:val="00A62A73"/>
    <w:rsid w:val="00A66379"/>
    <w:rsid w:val="00A67904"/>
    <w:rsid w:val="00A77476"/>
    <w:rsid w:val="00A87FF6"/>
    <w:rsid w:val="00A94C9E"/>
    <w:rsid w:val="00AA0A3B"/>
    <w:rsid w:val="00AA2763"/>
    <w:rsid w:val="00AA33B6"/>
    <w:rsid w:val="00AA48B7"/>
    <w:rsid w:val="00AB0CEA"/>
    <w:rsid w:val="00AB5095"/>
    <w:rsid w:val="00AB50CA"/>
    <w:rsid w:val="00AB6D64"/>
    <w:rsid w:val="00AC53CE"/>
    <w:rsid w:val="00AC6AA2"/>
    <w:rsid w:val="00AC70A0"/>
    <w:rsid w:val="00AD2193"/>
    <w:rsid w:val="00AE35AC"/>
    <w:rsid w:val="00AE644C"/>
    <w:rsid w:val="00AE6B09"/>
    <w:rsid w:val="00AF2AC7"/>
    <w:rsid w:val="00AF74CE"/>
    <w:rsid w:val="00B1261B"/>
    <w:rsid w:val="00B1367A"/>
    <w:rsid w:val="00B208DB"/>
    <w:rsid w:val="00B23F69"/>
    <w:rsid w:val="00B4181D"/>
    <w:rsid w:val="00B45A93"/>
    <w:rsid w:val="00B60619"/>
    <w:rsid w:val="00B66A70"/>
    <w:rsid w:val="00B67366"/>
    <w:rsid w:val="00B71FB5"/>
    <w:rsid w:val="00B7232B"/>
    <w:rsid w:val="00B80EE1"/>
    <w:rsid w:val="00B84135"/>
    <w:rsid w:val="00B937CC"/>
    <w:rsid w:val="00BB1E60"/>
    <w:rsid w:val="00BB4BDB"/>
    <w:rsid w:val="00BC3842"/>
    <w:rsid w:val="00BC6D3B"/>
    <w:rsid w:val="00BD2070"/>
    <w:rsid w:val="00BD2EF1"/>
    <w:rsid w:val="00BD40E5"/>
    <w:rsid w:val="00BD65EA"/>
    <w:rsid w:val="00BD7FA2"/>
    <w:rsid w:val="00BF3DBF"/>
    <w:rsid w:val="00C04D34"/>
    <w:rsid w:val="00C05DF8"/>
    <w:rsid w:val="00C06864"/>
    <w:rsid w:val="00C10C1B"/>
    <w:rsid w:val="00C10F54"/>
    <w:rsid w:val="00C13C7A"/>
    <w:rsid w:val="00C23D8D"/>
    <w:rsid w:val="00C306A8"/>
    <w:rsid w:val="00C37AA3"/>
    <w:rsid w:val="00C37FD7"/>
    <w:rsid w:val="00C43419"/>
    <w:rsid w:val="00C44CF3"/>
    <w:rsid w:val="00C61BE0"/>
    <w:rsid w:val="00C6707E"/>
    <w:rsid w:val="00C70B0E"/>
    <w:rsid w:val="00C7465F"/>
    <w:rsid w:val="00C773CA"/>
    <w:rsid w:val="00C83785"/>
    <w:rsid w:val="00C85826"/>
    <w:rsid w:val="00C8744C"/>
    <w:rsid w:val="00C87D58"/>
    <w:rsid w:val="00C94C0D"/>
    <w:rsid w:val="00CA1FEB"/>
    <w:rsid w:val="00CA29BB"/>
    <w:rsid w:val="00CA64E8"/>
    <w:rsid w:val="00CB699B"/>
    <w:rsid w:val="00CB6DFF"/>
    <w:rsid w:val="00CB7041"/>
    <w:rsid w:val="00CD4F85"/>
    <w:rsid w:val="00CD6F02"/>
    <w:rsid w:val="00CE246D"/>
    <w:rsid w:val="00CF07A0"/>
    <w:rsid w:val="00CF3E03"/>
    <w:rsid w:val="00D0082A"/>
    <w:rsid w:val="00D07F00"/>
    <w:rsid w:val="00D21455"/>
    <w:rsid w:val="00D22FCF"/>
    <w:rsid w:val="00D30AC6"/>
    <w:rsid w:val="00D3364F"/>
    <w:rsid w:val="00D343D8"/>
    <w:rsid w:val="00D34722"/>
    <w:rsid w:val="00D40F1F"/>
    <w:rsid w:val="00D47634"/>
    <w:rsid w:val="00D502FD"/>
    <w:rsid w:val="00D62633"/>
    <w:rsid w:val="00D709B3"/>
    <w:rsid w:val="00D70F45"/>
    <w:rsid w:val="00D825F6"/>
    <w:rsid w:val="00DA24CA"/>
    <w:rsid w:val="00DA2ED6"/>
    <w:rsid w:val="00DA7CF5"/>
    <w:rsid w:val="00DB725A"/>
    <w:rsid w:val="00DB76B8"/>
    <w:rsid w:val="00DC2EA1"/>
    <w:rsid w:val="00DD6AAF"/>
    <w:rsid w:val="00DE3F5C"/>
    <w:rsid w:val="00DE53BF"/>
    <w:rsid w:val="00DF0186"/>
    <w:rsid w:val="00DF1D20"/>
    <w:rsid w:val="00DF3588"/>
    <w:rsid w:val="00E00AF9"/>
    <w:rsid w:val="00E15F59"/>
    <w:rsid w:val="00E20685"/>
    <w:rsid w:val="00E21324"/>
    <w:rsid w:val="00E246B9"/>
    <w:rsid w:val="00E31FEA"/>
    <w:rsid w:val="00E45169"/>
    <w:rsid w:val="00E47787"/>
    <w:rsid w:val="00E51C30"/>
    <w:rsid w:val="00E64180"/>
    <w:rsid w:val="00E73EAE"/>
    <w:rsid w:val="00E74AEE"/>
    <w:rsid w:val="00E7653D"/>
    <w:rsid w:val="00E868E5"/>
    <w:rsid w:val="00E87E40"/>
    <w:rsid w:val="00E91FB7"/>
    <w:rsid w:val="00E9237A"/>
    <w:rsid w:val="00E939FA"/>
    <w:rsid w:val="00E973B1"/>
    <w:rsid w:val="00EA1ADB"/>
    <w:rsid w:val="00EA5765"/>
    <w:rsid w:val="00EC2532"/>
    <w:rsid w:val="00ED3CC0"/>
    <w:rsid w:val="00ED7812"/>
    <w:rsid w:val="00EE15A1"/>
    <w:rsid w:val="00EE7180"/>
    <w:rsid w:val="00EF3B86"/>
    <w:rsid w:val="00EF4CD0"/>
    <w:rsid w:val="00F01679"/>
    <w:rsid w:val="00F04A8C"/>
    <w:rsid w:val="00F06C66"/>
    <w:rsid w:val="00F07D37"/>
    <w:rsid w:val="00F130ED"/>
    <w:rsid w:val="00F317E9"/>
    <w:rsid w:val="00F34554"/>
    <w:rsid w:val="00F447C2"/>
    <w:rsid w:val="00F45F77"/>
    <w:rsid w:val="00F5167F"/>
    <w:rsid w:val="00F52258"/>
    <w:rsid w:val="00F8053F"/>
    <w:rsid w:val="00F8570A"/>
    <w:rsid w:val="00F91C7B"/>
    <w:rsid w:val="00FE56A9"/>
    <w:rsid w:val="00FF0F5B"/>
    <w:rsid w:val="00FF5127"/>
    <w:rsid w:val="00FF5F8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4648F"/>
  <w15:chartTrackingRefBased/>
  <w15:docId w15:val="{52C80615-DC76-4829-BFC9-20EC107B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270B"/>
    <w:rPr>
      <w:color w:val="808080"/>
    </w:rPr>
  </w:style>
  <w:style w:type="character" w:customStyle="1" w:styleId="muxgbd">
    <w:name w:val="muxgbd"/>
    <w:basedOn w:val="DefaultParagraphFont"/>
    <w:rsid w:val="00FF70EE"/>
  </w:style>
  <w:style w:type="character" w:styleId="Emphasis">
    <w:name w:val="Emphasis"/>
    <w:basedOn w:val="DefaultParagraphFont"/>
    <w:uiPriority w:val="20"/>
    <w:qFormat/>
    <w:rsid w:val="00FF70EE"/>
    <w:rPr>
      <w:i/>
      <w:iCs/>
    </w:rPr>
  </w:style>
  <w:style w:type="paragraph" w:styleId="NormalWeb">
    <w:name w:val="Normal (Web)"/>
    <w:basedOn w:val="Normal"/>
    <w:uiPriority w:val="99"/>
    <w:unhideWhenUsed/>
    <w:rsid w:val="00E91FB7"/>
    <w:pPr>
      <w:spacing w:before="100" w:beforeAutospacing="1" w:after="100" w:afterAutospacing="1"/>
    </w:pPr>
  </w:style>
  <w:style w:type="paragraph" w:customStyle="1" w:styleId="Default">
    <w:name w:val="Default"/>
    <w:rsid w:val="005B5B7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8BB5-B227-4E5D-B897-FDCE1B13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28450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/>
  <cp:lastModifiedBy>Jovana Jovanovic</cp:lastModifiedBy>
  <cp:revision>5</cp:revision>
  <dcterms:created xsi:type="dcterms:W3CDTF">2022-10-26T06:46:00Z</dcterms:created>
  <dcterms:modified xsi:type="dcterms:W3CDTF">2024-06-27T11:24:00Z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