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98CCD" w14:textId="77777777" w:rsidR="003B4123" w:rsidRDefault="005731D3">
      <w:pPr>
        <w:pStyle w:val="Heading1"/>
        <w:spacing w:before="79"/>
        <w:ind w:left="3016"/>
      </w:pPr>
      <w:r>
        <w:rPr>
          <w:u w:val="single"/>
        </w:rPr>
        <w:t>SAŽETAK KARAKTERISTIKA L</w:t>
      </w:r>
      <w:r w:rsidR="00B7471F">
        <w:rPr>
          <w:u w:val="single"/>
        </w:rPr>
        <w:t>IJ</w:t>
      </w:r>
      <w:r>
        <w:rPr>
          <w:u w:val="single"/>
        </w:rPr>
        <w:t>EKA</w:t>
      </w:r>
    </w:p>
    <w:p w14:paraId="3BFB6B9D" w14:textId="77777777" w:rsidR="003B4123" w:rsidRDefault="003B4123">
      <w:pPr>
        <w:pStyle w:val="BodyText"/>
        <w:ind w:left="0"/>
        <w:rPr>
          <w:b/>
          <w:sz w:val="20"/>
        </w:rPr>
      </w:pPr>
    </w:p>
    <w:p w14:paraId="375C4964" w14:textId="77777777" w:rsidR="003B4123" w:rsidRDefault="003B4123">
      <w:pPr>
        <w:pStyle w:val="BodyText"/>
        <w:ind w:left="0"/>
        <w:rPr>
          <w:b/>
          <w:sz w:val="20"/>
        </w:rPr>
      </w:pPr>
    </w:p>
    <w:p w14:paraId="6A78559F" w14:textId="77777777" w:rsidR="003B4123" w:rsidRDefault="003B4123">
      <w:pPr>
        <w:pStyle w:val="BodyText"/>
        <w:ind w:left="0"/>
        <w:rPr>
          <w:b/>
          <w:sz w:val="20"/>
        </w:rPr>
      </w:pPr>
    </w:p>
    <w:p w14:paraId="25799BDD" w14:textId="77777777" w:rsidR="003B4123" w:rsidRDefault="003B4123">
      <w:pPr>
        <w:pStyle w:val="BodyText"/>
        <w:ind w:left="0"/>
        <w:rPr>
          <w:b/>
          <w:sz w:val="20"/>
        </w:rPr>
      </w:pPr>
    </w:p>
    <w:p w14:paraId="455D44BA" w14:textId="77777777" w:rsidR="003B4123" w:rsidRDefault="003B4123">
      <w:pPr>
        <w:pStyle w:val="BodyText"/>
        <w:spacing w:before="8"/>
        <w:ind w:left="0"/>
        <w:rPr>
          <w:b/>
          <w:sz w:val="17"/>
        </w:rPr>
      </w:pPr>
    </w:p>
    <w:p w14:paraId="26226C70" w14:textId="77777777" w:rsidR="003B4123" w:rsidRDefault="00B7471F">
      <w:pPr>
        <w:pStyle w:val="ListParagraph"/>
        <w:numPr>
          <w:ilvl w:val="0"/>
          <w:numId w:val="1"/>
        </w:numPr>
        <w:tabs>
          <w:tab w:val="left" w:pos="335"/>
        </w:tabs>
        <w:spacing w:before="92"/>
        <w:ind w:firstLine="0"/>
        <w:rPr>
          <w:b/>
        </w:rPr>
      </w:pPr>
      <w:r>
        <w:rPr>
          <w:b/>
          <w:spacing w:val="3"/>
        </w:rPr>
        <w:t>NAZIV</w:t>
      </w:r>
      <w:r w:rsidR="005731D3">
        <w:rPr>
          <w:b/>
          <w:spacing w:val="3"/>
        </w:rPr>
        <w:t xml:space="preserve"> </w:t>
      </w:r>
      <w:r w:rsidR="005731D3">
        <w:rPr>
          <w:b/>
        </w:rPr>
        <w:t>L</w:t>
      </w:r>
      <w:r w:rsidR="00D5470D">
        <w:rPr>
          <w:b/>
        </w:rPr>
        <w:t>IJ</w:t>
      </w:r>
      <w:r w:rsidR="005731D3">
        <w:rPr>
          <w:b/>
        </w:rPr>
        <w:t>EKA</w:t>
      </w:r>
    </w:p>
    <w:p w14:paraId="466698BD" w14:textId="2800F2A1" w:rsidR="003B4123" w:rsidRDefault="005731D3" w:rsidP="00AF2F52">
      <w:pPr>
        <w:spacing w:before="177"/>
        <w:ind w:left="112"/>
        <w:rPr>
          <w:b/>
          <w:sz w:val="28"/>
        </w:rPr>
      </w:pPr>
      <w:r w:rsidRPr="005C1D37">
        <w:t>ACC</w:t>
      </w:r>
      <w:r w:rsidRPr="005C1D37">
        <w:rPr>
          <w:position w:val="10"/>
          <w:sz w:val="14"/>
        </w:rPr>
        <w:t xml:space="preserve">®   </w:t>
      </w:r>
      <w:r w:rsidRPr="005C1D37">
        <w:t xml:space="preserve">akut 600, </w:t>
      </w:r>
      <w:r w:rsidR="007322E7" w:rsidRPr="005C1D37">
        <w:t>600mg, šumeć</w:t>
      </w:r>
      <w:r w:rsidR="007322E7">
        <w:t>a</w:t>
      </w:r>
      <w:r w:rsidR="007322E7" w:rsidRPr="005C1D37">
        <w:t xml:space="preserve"> tablet</w:t>
      </w:r>
      <w:r w:rsidR="007322E7">
        <w:t>a</w:t>
      </w:r>
      <w:r w:rsidR="007322E7">
        <w:rPr>
          <w:b/>
        </w:rPr>
        <w:t xml:space="preserve"> </w:t>
      </w:r>
    </w:p>
    <w:p w14:paraId="68FE5403" w14:textId="77777777" w:rsidR="003B4123" w:rsidRDefault="005731D3">
      <w:pPr>
        <w:pStyle w:val="BodyText"/>
      </w:pPr>
      <w:r>
        <w:t>INN: acetilcistein</w:t>
      </w:r>
    </w:p>
    <w:p w14:paraId="7FE9F09F" w14:textId="77777777" w:rsidR="003B4123" w:rsidRDefault="003B4123">
      <w:pPr>
        <w:pStyle w:val="BodyText"/>
        <w:ind w:left="0"/>
        <w:rPr>
          <w:sz w:val="24"/>
        </w:rPr>
      </w:pPr>
    </w:p>
    <w:p w14:paraId="4CC0F56D" w14:textId="77777777" w:rsidR="003B4123" w:rsidRDefault="003B4123">
      <w:pPr>
        <w:pStyle w:val="BodyText"/>
        <w:spacing w:before="10"/>
        <w:ind w:left="0"/>
        <w:rPr>
          <w:sz w:val="19"/>
        </w:rPr>
      </w:pPr>
    </w:p>
    <w:p w14:paraId="21944592" w14:textId="77777777" w:rsidR="003B4123" w:rsidRDefault="005731D3">
      <w:pPr>
        <w:pStyle w:val="Heading1"/>
        <w:numPr>
          <w:ilvl w:val="0"/>
          <w:numId w:val="1"/>
        </w:numPr>
        <w:tabs>
          <w:tab w:val="left" w:pos="333"/>
        </w:tabs>
        <w:ind w:left="332" w:hanging="220"/>
      </w:pPr>
      <w:r>
        <w:t>KVALITATIVNI I KVANTITATIVNI</w:t>
      </w:r>
      <w:r>
        <w:rPr>
          <w:spacing w:val="-17"/>
        </w:rPr>
        <w:t xml:space="preserve"> </w:t>
      </w:r>
      <w:r>
        <w:t>SASTAV</w:t>
      </w:r>
    </w:p>
    <w:p w14:paraId="503DA5E4" w14:textId="77777777" w:rsidR="003B4123" w:rsidRDefault="005731D3">
      <w:pPr>
        <w:pStyle w:val="BodyText"/>
        <w:spacing w:before="193"/>
      </w:pPr>
      <w:r>
        <w:t>Jedna šumeća tableta sadrži 600 mg acetilcisteina.</w:t>
      </w:r>
    </w:p>
    <w:p w14:paraId="6811E9FA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124A06F9" w14:textId="77777777" w:rsidR="003B4123" w:rsidRDefault="005731D3">
      <w:pPr>
        <w:pStyle w:val="BodyText"/>
      </w:pPr>
      <w:r>
        <w:t>Pomoćne supstance sa potvrđenim dejstvom: laktoza; sorbitol.</w:t>
      </w:r>
    </w:p>
    <w:p w14:paraId="3CFA2831" w14:textId="3735FED4" w:rsidR="003B4123" w:rsidRDefault="005731D3">
      <w:pPr>
        <w:pStyle w:val="BodyText"/>
        <w:spacing w:line="477" w:lineRule="auto"/>
        <w:ind w:right="2953"/>
      </w:pPr>
      <w:r>
        <w:t xml:space="preserve">Jedna ACC akut 600 šumeća tableta sadrži 6,12 mmol (139 mg) natrijuma. Za </w:t>
      </w:r>
      <w:r w:rsidR="007322E7">
        <w:t xml:space="preserve">spisak </w:t>
      </w:r>
      <w:r>
        <w:t xml:space="preserve">svih </w:t>
      </w:r>
      <w:r w:rsidR="007322E7">
        <w:t>ekscipijenasa</w:t>
      </w:r>
      <w:r>
        <w:t xml:space="preserve">, </w:t>
      </w:r>
      <w:r w:rsidR="007322E7">
        <w:t xml:space="preserve">pogledati dio </w:t>
      </w:r>
      <w:r>
        <w:t>6.1.</w:t>
      </w:r>
    </w:p>
    <w:p w14:paraId="63E4C04E" w14:textId="77777777" w:rsidR="003B4123" w:rsidRDefault="003B4123">
      <w:pPr>
        <w:pStyle w:val="BodyText"/>
        <w:spacing w:before="1"/>
        <w:ind w:left="0"/>
        <w:rPr>
          <w:sz w:val="19"/>
        </w:rPr>
      </w:pPr>
    </w:p>
    <w:p w14:paraId="59B26EBD" w14:textId="77777777" w:rsidR="003B4123" w:rsidRDefault="005731D3">
      <w:pPr>
        <w:pStyle w:val="Heading1"/>
        <w:numPr>
          <w:ilvl w:val="0"/>
          <w:numId w:val="1"/>
        </w:numPr>
        <w:tabs>
          <w:tab w:val="left" w:pos="333"/>
        </w:tabs>
        <w:spacing w:before="1"/>
        <w:ind w:left="332" w:hanging="220"/>
      </w:pPr>
      <w:r>
        <w:t>FARMACEUTSKI</w:t>
      </w:r>
      <w:r>
        <w:rPr>
          <w:spacing w:val="-8"/>
        </w:rPr>
        <w:t xml:space="preserve"> </w:t>
      </w:r>
      <w:r>
        <w:t>OBLIK</w:t>
      </w:r>
    </w:p>
    <w:p w14:paraId="2D4F32E9" w14:textId="77777777" w:rsidR="003B4123" w:rsidRDefault="005731D3">
      <w:pPr>
        <w:pStyle w:val="BodyText"/>
        <w:spacing w:before="193"/>
      </w:pPr>
      <w:r>
        <w:t>Šumeća tableta.</w:t>
      </w:r>
    </w:p>
    <w:p w14:paraId="5260DDD9" w14:textId="77777777" w:rsidR="003B4123" w:rsidRDefault="003B4123">
      <w:pPr>
        <w:pStyle w:val="BodyText"/>
        <w:spacing w:before="8"/>
        <w:ind w:left="0"/>
        <w:rPr>
          <w:sz w:val="21"/>
        </w:rPr>
      </w:pPr>
    </w:p>
    <w:p w14:paraId="692BB96D" w14:textId="77777777" w:rsidR="003B4123" w:rsidRDefault="005731D3">
      <w:pPr>
        <w:spacing w:before="1"/>
        <w:ind w:left="112"/>
        <w:rPr>
          <w:i/>
        </w:rPr>
      </w:pPr>
      <w:r>
        <w:rPr>
          <w:i/>
        </w:rPr>
        <w:t>Opis:</w:t>
      </w:r>
    </w:p>
    <w:p w14:paraId="4D758481" w14:textId="77777777" w:rsidR="003B4123" w:rsidRDefault="005731D3">
      <w:pPr>
        <w:pStyle w:val="BodyText"/>
        <w:spacing w:before="7" w:line="250" w:lineRule="exact"/>
        <w:ind w:right="555"/>
      </w:pPr>
      <w:r>
        <w:t>Šumeća tableta: Okrugle, ravne, b</w:t>
      </w:r>
      <w:r w:rsidR="00D5470D">
        <w:t>ij</w:t>
      </w:r>
      <w:r>
        <w:t>ele tablete, fasetiranih ivica, sa utisnutom pod</w:t>
      </w:r>
      <w:r w:rsidR="00D5470D">
        <w:t>i</w:t>
      </w:r>
      <w:r>
        <w:t>onom linijom na jednoj strani, mirisa na kupinu.</w:t>
      </w:r>
    </w:p>
    <w:p w14:paraId="30693702" w14:textId="77777777" w:rsidR="003B4123" w:rsidRDefault="005731D3">
      <w:pPr>
        <w:pStyle w:val="BodyText"/>
        <w:spacing w:line="482" w:lineRule="auto"/>
        <w:ind w:right="2418"/>
      </w:pPr>
      <w:r>
        <w:t>Rastvor: Bistar do slabo opalescentan rastvor bez čestica, mirisa i ukusa na kupinu. Tableta se može pod</w:t>
      </w:r>
      <w:r w:rsidR="00D5470D">
        <w:t>ij</w:t>
      </w:r>
      <w:r>
        <w:t>eliti na jednake doze.</w:t>
      </w:r>
    </w:p>
    <w:p w14:paraId="4F702204" w14:textId="77777777" w:rsidR="003B4123" w:rsidRDefault="005731D3">
      <w:pPr>
        <w:pStyle w:val="Heading1"/>
        <w:numPr>
          <w:ilvl w:val="0"/>
          <w:numId w:val="1"/>
        </w:numPr>
        <w:tabs>
          <w:tab w:val="left" w:pos="334"/>
        </w:tabs>
        <w:spacing w:before="1" w:line="210" w:lineRule="exact"/>
        <w:ind w:left="333" w:hanging="221"/>
      </w:pPr>
      <w:r>
        <w:t>KLINIČKI</w:t>
      </w:r>
      <w:r>
        <w:rPr>
          <w:spacing w:val="-5"/>
        </w:rPr>
        <w:t xml:space="preserve"> </w:t>
      </w:r>
      <w:r>
        <w:t>PODACI</w:t>
      </w:r>
    </w:p>
    <w:p w14:paraId="1BD5C893" w14:textId="77777777" w:rsidR="003B4123" w:rsidRDefault="005731D3">
      <w:pPr>
        <w:pStyle w:val="ListParagraph"/>
        <w:numPr>
          <w:ilvl w:val="1"/>
          <w:numId w:val="1"/>
        </w:numPr>
        <w:tabs>
          <w:tab w:val="left" w:pos="497"/>
        </w:tabs>
        <w:spacing w:before="198"/>
        <w:ind w:firstLine="0"/>
        <w:rPr>
          <w:b/>
        </w:rPr>
      </w:pPr>
      <w:r>
        <w:rPr>
          <w:b/>
        </w:rPr>
        <w:t>Terapijske</w:t>
      </w:r>
      <w:r>
        <w:rPr>
          <w:b/>
          <w:spacing w:val="-13"/>
        </w:rPr>
        <w:t xml:space="preserve"> </w:t>
      </w:r>
      <w:r>
        <w:rPr>
          <w:b/>
        </w:rPr>
        <w:t>indikacije</w:t>
      </w:r>
    </w:p>
    <w:p w14:paraId="737C7010" w14:textId="77777777" w:rsidR="003B4123" w:rsidRDefault="003B4123">
      <w:pPr>
        <w:pStyle w:val="BodyText"/>
        <w:spacing w:before="3"/>
        <w:ind w:left="0"/>
        <w:rPr>
          <w:b/>
        </w:rPr>
      </w:pPr>
    </w:p>
    <w:p w14:paraId="07E40CA7" w14:textId="77777777" w:rsidR="003B4123" w:rsidRDefault="005731D3">
      <w:pPr>
        <w:pStyle w:val="BodyText"/>
        <w:spacing w:line="250" w:lineRule="exact"/>
        <w:ind w:right="154"/>
      </w:pPr>
      <w:r>
        <w:t xml:space="preserve">Sekretolitička terapija kod akutnih i hroničnih bronhopulmonalnih oboljenja praćene poremećajem </w:t>
      </w:r>
      <w:proofErr w:type="gramStart"/>
      <w:r>
        <w:t>stvaranja  i</w:t>
      </w:r>
      <w:proofErr w:type="gramEnd"/>
      <w:r>
        <w:t xml:space="preserve"> transporta</w:t>
      </w:r>
      <w:r>
        <w:rPr>
          <w:spacing w:val="-12"/>
        </w:rPr>
        <w:t xml:space="preserve"> </w:t>
      </w:r>
      <w:r>
        <w:t>mukusa.</w:t>
      </w:r>
    </w:p>
    <w:p w14:paraId="52C61971" w14:textId="77777777" w:rsidR="003B4123" w:rsidRDefault="003B4123">
      <w:pPr>
        <w:pStyle w:val="BodyText"/>
        <w:spacing w:before="5"/>
        <w:ind w:left="0"/>
      </w:pPr>
    </w:p>
    <w:p w14:paraId="14CAD56D" w14:textId="77777777" w:rsidR="003B4123" w:rsidRDefault="005731D3">
      <w:pPr>
        <w:pStyle w:val="Heading1"/>
        <w:numPr>
          <w:ilvl w:val="1"/>
          <w:numId w:val="1"/>
        </w:numPr>
        <w:tabs>
          <w:tab w:val="left" w:pos="497"/>
        </w:tabs>
        <w:ind w:left="496"/>
      </w:pPr>
      <w:r>
        <w:t>Doziranje i način</w:t>
      </w:r>
      <w:r>
        <w:rPr>
          <w:spacing w:val="-14"/>
        </w:rPr>
        <w:t xml:space="preserve"> </w:t>
      </w:r>
      <w:r>
        <w:t>prim</w:t>
      </w:r>
      <w:r w:rsidR="00D5470D">
        <w:t>j</w:t>
      </w:r>
      <w:r>
        <w:t>ene</w:t>
      </w:r>
    </w:p>
    <w:p w14:paraId="446A741D" w14:textId="77777777" w:rsidR="003B4123" w:rsidRDefault="003B4123">
      <w:pPr>
        <w:pStyle w:val="BodyText"/>
        <w:spacing w:before="4"/>
        <w:ind w:left="0"/>
        <w:rPr>
          <w:b/>
          <w:sz w:val="21"/>
        </w:rPr>
      </w:pPr>
    </w:p>
    <w:p w14:paraId="42F55B3F" w14:textId="77777777" w:rsidR="003B4123" w:rsidRDefault="005731D3">
      <w:pPr>
        <w:pStyle w:val="BodyText"/>
      </w:pPr>
      <w:r>
        <w:rPr>
          <w:u w:val="single"/>
        </w:rPr>
        <w:t>Odrasli i d</w:t>
      </w:r>
      <w:r w:rsidR="00D5470D">
        <w:rPr>
          <w:u w:val="single"/>
        </w:rPr>
        <w:t>j</w:t>
      </w:r>
      <w:r>
        <w:rPr>
          <w:u w:val="single"/>
        </w:rPr>
        <w:t>eca starija od 14 godina</w:t>
      </w:r>
    </w:p>
    <w:p w14:paraId="59BA4A24" w14:textId="77777777" w:rsidR="003B4123" w:rsidRDefault="005731D3">
      <w:pPr>
        <w:pStyle w:val="BodyText"/>
        <w:spacing w:before="1"/>
        <w:ind w:right="214"/>
      </w:pPr>
      <w:r>
        <w:t xml:space="preserve">½ </w:t>
      </w:r>
      <w:r>
        <w:rPr>
          <w:spacing w:val="-3"/>
        </w:rPr>
        <w:t xml:space="preserve">šumeće </w:t>
      </w:r>
      <w:r>
        <w:t xml:space="preserve">tablete dva puta dnevno ili 1 šumeća tableta </w:t>
      </w:r>
      <w:r>
        <w:rPr>
          <w:spacing w:val="-3"/>
        </w:rPr>
        <w:t xml:space="preserve">jednom </w:t>
      </w:r>
      <w:r>
        <w:t xml:space="preserve">dnevno (što odgovara 600 </w:t>
      </w:r>
      <w:r>
        <w:rPr>
          <w:spacing w:val="-4"/>
        </w:rPr>
        <w:t xml:space="preserve">mg </w:t>
      </w:r>
      <w:r>
        <w:t>acetilcisteina   na</w:t>
      </w:r>
      <w:r>
        <w:rPr>
          <w:spacing w:val="-10"/>
        </w:rPr>
        <w:t xml:space="preserve"> </w:t>
      </w:r>
      <w:r>
        <w:t>dan)</w:t>
      </w:r>
    </w:p>
    <w:p w14:paraId="5ABB2124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57F348A7" w14:textId="77777777" w:rsidR="003B4123" w:rsidRDefault="005731D3">
      <w:pPr>
        <w:pStyle w:val="BodyText"/>
      </w:pPr>
      <w:r>
        <w:rPr>
          <w:u w:val="single"/>
        </w:rPr>
        <w:t>Način prim</w:t>
      </w:r>
      <w:r w:rsidR="00D5470D">
        <w:rPr>
          <w:u w:val="single"/>
        </w:rPr>
        <w:t>j</w:t>
      </w:r>
      <w:r>
        <w:rPr>
          <w:u w:val="single"/>
        </w:rPr>
        <w:t>ene</w:t>
      </w:r>
    </w:p>
    <w:p w14:paraId="2B37220F" w14:textId="77777777" w:rsidR="003B4123" w:rsidRDefault="005731D3">
      <w:pPr>
        <w:pStyle w:val="BodyText"/>
      </w:pPr>
      <w:r>
        <w:t>Šumeću tabletu treba rastvoriti u čaši vode i popiti, nakon obroka.</w:t>
      </w:r>
    </w:p>
    <w:p w14:paraId="7D2268CB" w14:textId="77777777" w:rsidR="003B4123" w:rsidRDefault="003B4123">
      <w:pPr>
        <w:pStyle w:val="BodyText"/>
        <w:spacing w:before="8"/>
        <w:ind w:left="0"/>
        <w:rPr>
          <w:sz w:val="21"/>
        </w:rPr>
      </w:pPr>
    </w:p>
    <w:p w14:paraId="2C1B41A9" w14:textId="77777777" w:rsidR="003B4123" w:rsidRDefault="005731D3">
      <w:pPr>
        <w:pStyle w:val="BodyText"/>
      </w:pPr>
      <w:r>
        <w:rPr>
          <w:u w:val="single"/>
        </w:rPr>
        <w:t>Dužina terapije</w:t>
      </w:r>
    </w:p>
    <w:p w14:paraId="2CB2CB6F" w14:textId="77777777" w:rsidR="003B4123" w:rsidRDefault="005731D3">
      <w:pPr>
        <w:pStyle w:val="BodyText"/>
      </w:pPr>
      <w:r>
        <w:t>Dužina terapije zavisi od inidikacija i simptoma bolesti. Ako kod akutnih infekcija posle 4-5 dana korišćenja nema poboljšanja, mora se potražiti sav</w:t>
      </w:r>
      <w:r w:rsidR="00D5470D">
        <w:t>j</w:t>
      </w:r>
      <w:r>
        <w:t>et l</w:t>
      </w:r>
      <w:r w:rsidR="00D5470D">
        <w:t>j</w:t>
      </w:r>
      <w:r>
        <w:t>ekara.</w:t>
      </w:r>
    </w:p>
    <w:p w14:paraId="62332F66" w14:textId="77777777" w:rsidR="003B4123" w:rsidRDefault="003B4123">
      <w:pPr>
        <w:pStyle w:val="BodyText"/>
        <w:spacing w:before="8"/>
        <w:ind w:left="0"/>
        <w:rPr>
          <w:sz w:val="21"/>
        </w:rPr>
      </w:pPr>
    </w:p>
    <w:p w14:paraId="60AE403B" w14:textId="77777777" w:rsidR="003B4123" w:rsidRDefault="005731D3">
      <w:pPr>
        <w:pStyle w:val="BodyText"/>
        <w:spacing w:before="1"/>
        <w:ind w:right="154"/>
      </w:pPr>
      <w:r>
        <w:t>Radi spr</w:t>
      </w:r>
      <w:r w:rsidR="00D5470D">
        <w:t>ij</w:t>
      </w:r>
      <w:r>
        <w:t xml:space="preserve">ečavanja infekcije, terapiju hroničnog bronhitisa i mukoviscidoze (cistične fibroze) treba </w:t>
      </w:r>
      <w:proofErr w:type="gramStart"/>
      <w:r>
        <w:t>sprovoditi  u</w:t>
      </w:r>
      <w:proofErr w:type="gramEnd"/>
      <w:r>
        <w:t xml:space="preserve"> dužem vremenskom</w:t>
      </w:r>
      <w:r>
        <w:rPr>
          <w:spacing w:val="-15"/>
        </w:rPr>
        <w:t xml:space="preserve"> </w:t>
      </w:r>
      <w:r>
        <w:t>periodu.</w:t>
      </w:r>
    </w:p>
    <w:p w14:paraId="17E31205" w14:textId="77777777" w:rsidR="003B4123" w:rsidRDefault="003B4123">
      <w:pPr>
        <w:sectPr w:rsidR="003B4123">
          <w:footerReference w:type="default" r:id="rId7"/>
          <w:type w:val="continuous"/>
          <w:pgSz w:w="11910" w:h="16840"/>
          <w:pgMar w:top="1060" w:right="1020" w:bottom="1240" w:left="1020" w:header="720" w:footer="1057" w:gutter="0"/>
          <w:pgNumType w:start="1"/>
          <w:cols w:space="720"/>
        </w:sectPr>
      </w:pPr>
    </w:p>
    <w:p w14:paraId="7D370395" w14:textId="77777777" w:rsidR="003B4123" w:rsidRDefault="005731D3">
      <w:pPr>
        <w:pStyle w:val="Heading1"/>
        <w:numPr>
          <w:ilvl w:val="1"/>
          <w:numId w:val="1"/>
        </w:numPr>
        <w:tabs>
          <w:tab w:val="left" w:pos="497"/>
        </w:tabs>
        <w:spacing w:before="79"/>
        <w:ind w:left="496"/>
        <w:jc w:val="both"/>
      </w:pPr>
      <w:r>
        <w:lastRenderedPageBreak/>
        <w:t>Kontraindikacije</w:t>
      </w:r>
    </w:p>
    <w:p w14:paraId="42916D0E" w14:textId="77777777" w:rsidR="003B4123" w:rsidRDefault="003B4123">
      <w:pPr>
        <w:pStyle w:val="BodyText"/>
        <w:spacing w:before="9"/>
        <w:ind w:left="0"/>
        <w:rPr>
          <w:b/>
          <w:sz w:val="21"/>
        </w:rPr>
      </w:pPr>
    </w:p>
    <w:p w14:paraId="60118AB9" w14:textId="77777777" w:rsidR="003B4123" w:rsidRDefault="005731D3">
      <w:pPr>
        <w:pStyle w:val="BodyText"/>
        <w:spacing w:line="251" w:lineRule="exact"/>
        <w:jc w:val="both"/>
      </w:pPr>
      <w:r>
        <w:t>Preos</w:t>
      </w:r>
      <w:r w:rsidR="00D5470D">
        <w:t>j</w:t>
      </w:r>
      <w:r>
        <w:t>etljivost na acetilcistein ili na bilo koju od pomoćnih supstanci navedenih u od</w:t>
      </w:r>
      <w:r w:rsidR="00D5470D">
        <w:t>j</w:t>
      </w:r>
      <w:r>
        <w:t>eljku 6.1.</w:t>
      </w:r>
    </w:p>
    <w:p w14:paraId="1C03D6D7" w14:textId="77777777" w:rsidR="003B4123" w:rsidRDefault="005731D3" w:rsidP="00D5470D">
      <w:pPr>
        <w:pStyle w:val="BodyText"/>
        <w:ind w:right="909"/>
      </w:pPr>
      <w:r>
        <w:t>L</w:t>
      </w:r>
      <w:r w:rsidR="00D5470D">
        <w:t>ij</w:t>
      </w:r>
      <w:r>
        <w:t>ek ACC akut 600 se ne sm</w:t>
      </w:r>
      <w:r w:rsidR="00D5470D">
        <w:t>ij</w:t>
      </w:r>
      <w:r>
        <w:t>e prim</w:t>
      </w:r>
      <w:r w:rsidR="00D5470D">
        <w:t>j</w:t>
      </w:r>
      <w:r>
        <w:t>enjivati kod d</w:t>
      </w:r>
      <w:r w:rsidR="00D5470D">
        <w:t>j</w:t>
      </w:r>
      <w:r>
        <w:t>ece i adolescenata mlađih od 14 godina zbog visoke koncentracije aktivne supstance.</w:t>
      </w:r>
    </w:p>
    <w:p w14:paraId="5A55C4B4" w14:textId="77777777" w:rsidR="003B4123" w:rsidRDefault="003B4123">
      <w:pPr>
        <w:pStyle w:val="BodyText"/>
        <w:spacing w:before="4"/>
        <w:ind w:left="0"/>
      </w:pPr>
    </w:p>
    <w:p w14:paraId="27681BFD" w14:textId="77777777" w:rsidR="003B4123" w:rsidRDefault="005731D3">
      <w:pPr>
        <w:pStyle w:val="Heading1"/>
        <w:numPr>
          <w:ilvl w:val="1"/>
          <w:numId w:val="1"/>
        </w:numPr>
        <w:tabs>
          <w:tab w:val="left" w:pos="497"/>
        </w:tabs>
        <w:ind w:left="496"/>
        <w:jc w:val="both"/>
      </w:pPr>
      <w:r>
        <w:t>Posebna upozorenja i m</w:t>
      </w:r>
      <w:r w:rsidR="00D5470D">
        <w:t>j</w:t>
      </w:r>
      <w:r>
        <w:t>ere opreza pri upotrebi</w:t>
      </w:r>
      <w:r>
        <w:rPr>
          <w:spacing w:val="-25"/>
        </w:rPr>
        <w:t xml:space="preserve"> </w:t>
      </w:r>
      <w:r>
        <w:t>l</w:t>
      </w:r>
      <w:r w:rsidR="00D5470D">
        <w:t>ij</w:t>
      </w:r>
      <w:r>
        <w:t>eka</w:t>
      </w:r>
    </w:p>
    <w:p w14:paraId="60067048" w14:textId="77777777" w:rsidR="003B4123" w:rsidRDefault="003B4123">
      <w:pPr>
        <w:pStyle w:val="BodyText"/>
        <w:spacing w:before="8"/>
        <w:ind w:left="0"/>
        <w:rPr>
          <w:b/>
          <w:sz w:val="21"/>
        </w:rPr>
      </w:pPr>
    </w:p>
    <w:p w14:paraId="720E5CE9" w14:textId="77777777" w:rsidR="003B4123" w:rsidRDefault="005731D3">
      <w:pPr>
        <w:pStyle w:val="BodyText"/>
        <w:spacing w:before="1"/>
        <w:ind w:right="112"/>
        <w:jc w:val="both"/>
      </w:pPr>
      <w:r>
        <w:t>Veoma r</w:t>
      </w:r>
      <w:r w:rsidR="00D5470D">
        <w:t>ij</w:t>
      </w:r>
      <w:r>
        <w:t xml:space="preserve">etko je zabeležena pojava ozbiljnih neželjenih dejstava na koži kao što su </w:t>
      </w:r>
      <w:r>
        <w:rPr>
          <w:i/>
        </w:rPr>
        <w:t>Stevens-Johnson</w:t>
      </w:r>
      <w:r>
        <w:t xml:space="preserve">-ov sindrom i </w:t>
      </w:r>
      <w:r>
        <w:rPr>
          <w:i/>
        </w:rPr>
        <w:t>Lyell</w:t>
      </w:r>
      <w:r>
        <w:t>-ov sindrom koje su bile vremenski povezane sa prim</w:t>
      </w:r>
      <w:r w:rsidR="00D5470D">
        <w:t>j</w:t>
      </w:r>
      <w:r>
        <w:t>enom acetilcisteina. Ukoliko se pojave nove promene na koži i sluzokoži, potrebno je odmah potražiti savet l</w:t>
      </w:r>
      <w:r w:rsidR="00D5470D">
        <w:t>j</w:t>
      </w:r>
      <w:r>
        <w:t>ekara i prekinuti sa prim</w:t>
      </w:r>
      <w:r w:rsidR="00D5470D">
        <w:t>j</w:t>
      </w:r>
      <w:r>
        <w:t>enom acetilcisteina (vid</w:t>
      </w:r>
      <w:r w:rsidR="00D5470D">
        <w:t>j</w:t>
      </w:r>
      <w:r>
        <w:t>eti takođe odeljak 4.8).</w:t>
      </w:r>
    </w:p>
    <w:p w14:paraId="2C0F3FEC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6013FC27" w14:textId="77777777" w:rsidR="003B4123" w:rsidRDefault="005731D3">
      <w:pPr>
        <w:pStyle w:val="BodyText"/>
        <w:jc w:val="both"/>
      </w:pPr>
      <w:r>
        <w:t>Neophodan je oprez pri prim</w:t>
      </w:r>
      <w:r w:rsidR="00D5470D">
        <w:t>j</w:t>
      </w:r>
      <w:r>
        <w:t>eni kod pacijenta sa bronhijalnom astmom i pacijenata sa ulkusom u anamnezi.</w:t>
      </w:r>
    </w:p>
    <w:p w14:paraId="79BD3F94" w14:textId="77777777" w:rsidR="003B4123" w:rsidRDefault="003B4123">
      <w:pPr>
        <w:pStyle w:val="BodyText"/>
        <w:spacing w:before="2"/>
        <w:ind w:left="0"/>
      </w:pPr>
    </w:p>
    <w:p w14:paraId="6C3D01AE" w14:textId="77777777" w:rsidR="003B4123" w:rsidRDefault="005731D3">
      <w:pPr>
        <w:pStyle w:val="BodyText"/>
        <w:ind w:right="112"/>
        <w:jc w:val="both"/>
      </w:pPr>
      <w:r>
        <w:t>Potreban je oprez kod pacijenata sa intolerancijom na histamin. Izb</w:t>
      </w:r>
      <w:r w:rsidR="00D5470D">
        <w:t>j</w:t>
      </w:r>
      <w:r>
        <w:t>egavati dugotrajnu prim</w:t>
      </w:r>
      <w:r w:rsidR="00D5470D">
        <w:t>j</w:t>
      </w:r>
      <w:r>
        <w:t>enu kod ovih pacijenata s obzirom na to da l</w:t>
      </w:r>
      <w:r w:rsidR="00D5470D">
        <w:t>ij</w:t>
      </w:r>
      <w:r>
        <w:t>ek ACC akut 600 utiče na metabolizam histamina i može dovesti do intolerancije (npr. glavobolja, curenje iz nosa i svrab).</w:t>
      </w:r>
    </w:p>
    <w:p w14:paraId="7B766638" w14:textId="77777777" w:rsidR="003B4123" w:rsidRDefault="003B4123">
      <w:pPr>
        <w:pStyle w:val="BodyText"/>
        <w:spacing w:before="2"/>
        <w:ind w:left="0"/>
      </w:pPr>
    </w:p>
    <w:p w14:paraId="083C75D9" w14:textId="77777777" w:rsidR="003B4123" w:rsidRDefault="005731D3">
      <w:pPr>
        <w:pStyle w:val="BodyText"/>
        <w:ind w:right="112"/>
        <w:jc w:val="both"/>
      </w:pPr>
      <w:r>
        <w:t>Upotreba acetilcisteina, naročito na početku terapije, može dovesti do razvodnjavanja, a time i do povećanja količine bronhijalnog sekreta. Ukoliko pacijent ima poteškoća sa iskašljavanjem, potrebno je sprovesti odgovarajuće m</w:t>
      </w:r>
      <w:r w:rsidR="00D5470D">
        <w:t>j</w:t>
      </w:r>
      <w:r>
        <w:t>ere (posturalna drenaža i aspiracija bronhijalnog sekreta).</w:t>
      </w:r>
    </w:p>
    <w:p w14:paraId="1281B0EB" w14:textId="77777777" w:rsidR="003B4123" w:rsidRDefault="003B4123">
      <w:pPr>
        <w:pStyle w:val="BodyText"/>
        <w:spacing w:before="8"/>
        <w:ind w:left="0"/>
        <w:rPr>
          <w:sz w:val="21"/>
        </w:rPr>
      </w:pPr>
    </w:p>
    <w:p w14:paraId="146CEBDC" w14:textId="77777777" w:rsidR="003B4123" w:rsidRDefault="005731D3">
      <w:pPr>
        <w:pStyle w:val="BodyText"/>
        <w:spacing w:before="1"/>
        <w:jc w:val="both"/>
      </w:pPr>
      <w:r>
        <w:rPr>
          <w:u w:val="single"/>
        </w:rPr>
        <w:t>Ovaj l</w:t>
      </w:r>
      <w:r w:rsidR="00D5470D">
        <w:rPr>
          <w:u w:val="single"/>
        </w:rPr>
        <w:t>ij</w:t>
      </w:r>
      <w:r>
        <w:rPr>
          <w:u w:val="single"/>
        </w:rPr>
        <w:t>ek sadrži laktozu</w:t>
      </w:r>
    </w:p>
    <w:p w14:paraId="31A10B26" w14:textId="77777777" w:rsidR="003B4123" w:rsidRDefault="005731D3">
      <w:pPr>
        <w:pStyle w:val="BodyText"/>
        <w:spacing w:before="1"/>
      </w:pPr>
      <w:r>
        <w:t>Pacijenti sa r</w:t>
      </w:r>
      <w:r w:rsidR="00D5470D">
        <w:t>ij</w:t>
      </w:r>
      <w:r>
        <w:t>etkim naslednim oboljenjem intolerancije na galaktozu, nedostatkom laktaze ili glukozno- galaktoznom malapsorpcijom ne sm</w:t>
      </w:r>
      <w:r w:rsidR="00D5470D">
        <w:t>i</w:t>
      </w:r>
      <w:r>
        <w:t>ju koristiti ovaj l</w:t>
      </w:r>
      <w:r w:rsidR="00D5470D">
        <w:t>ij</w:t>
      </w:r>
      <w:r>
        <w:t>ek.</w:t>
      </w:r>
    </w:p>
    <w:p w14:paraId="0A357B70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40CD27DE" w14:textId="77777777" w:rsidR="003B4123" w:rsidRDefault="005731D3">
      <w:pPr>
        <w:pStyle w:val="BodyText"/>
        <w:jc w:val="both"/>
      </w:pPr>
      <w:r>
        <w:rPr>
          <w:u w:val="single"/>
        </w:rPr>
        <w:t>Ovaj l</w:t>
      </w:r>
      <w:r w:rsidR="00D5470D">
        <w:rPr>
          <w:u w:val="single"/>
        </w:rPr>
        <w:t>ij</w:t>
      </w:r>
      <w:r>
        <w:rPr>
          <w:u w:val="single"/>
        </w:rPr>
        <w:t>ek sadrži sorbitol</w:t>
      </w:r>
    </w:p>
    <w:p w14:paraId="197F419F" w14:textId="77777777" w:rsidR="003B4123" w:rsidRDefault="005731D3">
      <w:pPr>
        <w:pStyle w:val="BodyText"/>
        <w:spacing w:before="1"/>
        <w:jc w:val="both"/>
      </w:pPr>
      <w:r>
        <w:t>Pacijenti sa r</w:t>
      </w:r>
      <w:r w:rsidR="00D5470D">
        <w:t>ij</w:t>
      </w:r>
      <w:r>
        <w:t>etkim naslednim oboljenjem intolerancije na fruktozu ne sm</w:t>
      </w:r>
      <w:r w:rsidR="00D5470D">
        <w:t>i</w:t>
      </w:r>
      <w:r>
        <w:t>ju koristiti ovaj l</w:t>
      </w:r>
      <w:r w:rsidR="00D5470D">
        <w:t>ij</w:t>
      </w:r>
      <w:r>
        <w:t>ek.</w:t>
      </w:r>
    </w:p>
    <w:p w14:paraId="42053FA9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5E681A7F" w14:textId="77777777" w:rsidR="003B4123" w:rsidRDefault="005731D3">
      <w:pPr>
        <w:pStyle w:val="BodyText"/>
        <w:jc w:val="both"/>
      </w:pPr>
      <w:r>
        <w:rPr>
          <w:u w:val="single"/>
        </w:rPr>
        <w:t>Ovaj l</w:t>
      </w:r>
      <w:r w:rsidR="00D5470D">
        <w:rPr>
          <w:u w:val="single"/>
        </w:rPr>
        <w:t>ije</w:t>
      </w:r>
      <w:r>
        <w:rPr>
          <w:u w:val="single"/>
        </w:rPr>
        <w:t>k sadrži natrijum</w:t>
      </w:r>
    </w:p>
    <w:p w14:paraId="5ACD6DC0" w14:textId="77777777" w:rsidR="003B4123" w:rsidRDefault="005731D3">
      <w:pPr>
        <w:pStyle w:val="BodyText"/>
        <w:spacing w:before="1"/>
      </w:pPr>
      <w:r>
        <w:t>Ovaj l</w:t>
      </w:r>
      <w:r w:rsidR="00D5470D">
        <w:t>ij</w:t>
      </w:r>
      <w:r>
        <w:t>ek sadrži 6,12 mmol (139 mg) natrijuma po dozi. Sav</w:t>
      </w:r>
      <w:r w:rsidR="00D5470D">
        <w:t>j</w:t>
      </w:r>
      <w:r>
        <w:t>etuje se poseban oprez prilikom upotrebe kod pacijenata koji su na dijeti u kojoj se kontroliše unos natrijuma.</w:t>
      </w:r>
    </w:p>
    <w:p w14:paraId="15F84302" w14:textId="77777777" w:rsidR="003B4123" w:rsidRDefault="003B4123">
      <w:pPr>
        <w:pStyle w:val="BodyText"/>
        <w:spacing w:before="2"/>
        <w:ind w:left="0"/>
      </w:pPr>
    </w:p>
    <w:p w14:paraId="702F588C" w14:textId="77777777" w:rsidR="003B4123" w:rsidRDefault="005731D3">
      <w:pPr>
        <w:pStyle w:val="Heading1"/>
        <w:numPr>
          <w:ilvl w:val="1"/>
          <w:numId w:val="1"/>
        </w:numPr>
        <w:tabs>
          <w:tab w:val="left" w:pos="498"/>
        </w:tabs>
        <w:ind w:left="497" w:hanging="385"/>
        <w:jc w:val="both"/>
      </w:pPr>
      <w:r>
        <w:t>Interakcije sa drugim l</w:t>
      </w:r>
      <w:r w:rsidR="00D5470D">
        <w:t>j</w:t>
      </w:r>
      <w:r>
        <w:t>ekovima i druge vrste</w:t>
      </w:r>
      <w:r>
        <w:rPr>
          <w:spacing w:val="-31"/>
        </w:rPr>
        <w:t xml:space="preserve"> </w:t>
      </w:r>
      <w:r>
        <w:t>interakcija</w:t>
      </w:r>
    </w:p>
    <w:p w14:paraId="6364F53C" w14:textId="77777777" w:rsidR="003B4123" w:rsidRDefault="003B4123">
      <w:pPr>
        <w:pStyle w:val="BodyText"/>
        <w:spacing w:before="9"/>
        <w:ind w:left="0"/>
        <w:rPr>
          <w:b/>
          <w:sz w:val="21"/>
        </w:rPr>
      </w:pPr>
    </w:p>
    <w:p w14:paraId="3320DABC" w14:textId="77777777" w:rsidR="003B4123" w:rsidRDefault="005731D3">
      <w:pPr>
        <w:pStyle w:val="BodyText"/>
        <w:jc w:val="both"/>
      </w:pPr>
      <w:r>
        <w:t>Studije interakcija su obavljene samo kod odraslih.</w:t>
      </w:r>
    </w:p>
    <w:p w14:paraId="0E743345" w14:textId="77777777" w:rsidR="003B4123" w:rsidRDefault="003B4123">
      <w:pPr>
        <w:pStyle w:val="BodyText"/>
        <w:spacing w:before="2"/>
        <w:ind w:left="0"/>
      </w:pPr>
    </w:p>
    <w:p w14:paraId="1ADF90CC" w14:textId="77777777" w:rsidR="003B4123" w:rsidRDefault="005731D3">
      <w:pPr>
        <w:pStyle w:val="Heading1"/>
        <w:spacing w:before="1" w:line="251" w:lineRule="exact"/>
        <w:jc w:val="both"/>
      </w:pPr>
      <w:r>
        <w:t>Antitusici (sredstva za suzbijanje kašlja)</w:t>
      </w:r>
    </w:p>
    <w:p w14:paraId="0DC29477" w14:textId="77777777" w:rsidR="003B4123" w:rsidRDefault="005731D3">
      <w:pPr>
        <w:pStyle w:val="BodyText"/>
        <w:ind w:right="112"/>
        <w:jc w:val="both"/>
      </w:pPr>
      <w:r>
        <w:t>Kombinovana primena l</w:t>
      </w:r>
      <w:r w:rsidR="00D5470D">
        <w:t>ij</w:t>
      </w:r>
      <w:r>
        <w:t>eka ACC akut 600 sa antitusicima (sredstva za suzbijanje kašlja) može uzrokovati opasnu sekretornu kongestiju usled smanjenja ref</w:t>
      </w:r>
      <w:r w:rsidR="00F5038D">
        <w:t>lijek</w:t>
      </w:r>
      <w:r>
        <w:t>sa kašlja. Zbog toga je potrebno posebno pažlj</w:t>
      </w:r>
      <w:r w:rsidR="00D5470D">
        <w:t>i</w:t>
      </w:r>
      <w:r>
        <w:t>vo postaviti dijagnozu za prim</w:t>
      </w:r>
      <w:r w:rsidR="00D5470D">
        <w:t>j</w:t>
      </w:r>
      <w:r>
        <w:t>enu ove kombinacije.</w:t>
      </w:r>
    </w:p>
    <w:p w14:paraId="7CC64F1A" w14:textId="77777777" w:rsidR="003B4123" w:rsidRDefault="005731D3">
      <w:pPr>
        <w:pStyle w:val="Heading1"/>
        <w:spacing w:before="7" w:line="251" w:lineRule="exact"/>
        <w:jc w:val="both"/>
      </w:pPr>
      <w:r>
        <w:t>Aktivni ugalj</w:t>
      </w:r>
    </w:p>
    <w:p w14:paraId="5ED58949" w14:textId="77777777" w:rsidR="003B4123" w:rsidRDefault="005731D3">
      <w:pPr>
        <w:pStyle w:val="BodyText"/>
        <w:spacing w:line="251" w:lineRule="exact"/>
        <w:jc w:val="both"/>
      </w:pPr>
      <w:r>
        <w:t>Upotreba aktivnog uglja može smanjiti efekat acetilcisteina.</w:t>
      </w:r>
    </w:p>
    <w:p w14:paraId="4100A4A3" w14:textId="77777777" w:rsidR="003B4123" w:rsidRDefault="003B4123">
      <w:pPr>
        <w:pStyle w:val="BodyText"/>
        <w:spacing w:before="3"/>
        <w:ind w:left="0"/>
      </w:pPr>
    </w:p>
    <w:p w14:paraId="50B8E95D" w14:textId="77777777" w:rsidR="003B4123" w:rsidRDefault="005731D3">
      <w:pPr>
        <w:pStyle w:val="Heading1"/>
        <w:spacing w:line="251" w:lineRule="exact"/>
        <w:jc w:val="both"/>
      </w:pPr>
      <w:r>
        <w:t>Antibiotici</w:t>
      </w:r>
    </w:p>
    <w:p w14:paraId="60DD810E" w14:textId="77777777" w:rsidR="003B4123" w:rsidRDefault="005731D3">
      <w:pPr>
        <w:pStyle w:val="BodyText"/>
        <w:ind w:right="112"/>
        <w:jc w:val="both"/>
      </w:pPr>
      <w:r>
        <w:t xml:space="preserve">Do danas se izveštaji o inaktivaciji antibiotika (tetraciklina, aminoglikozida, penicilina) u prisustvu acetilcisteina odnose na </w:t>
      </w:r>
      <w:r>
        <w:rPr>
          <w:i/>
        </w:rPr>
        <w:t xml:space="preserve">in vitro </w:t>
      </w:r>
      <w:r>
        <w:t xml:space="preserve">eksperimente u kojima su navedene supstance mešane direktno. Ipak, </w:t>
      </w:r>
      <w:r>
        <w:rPr>
          <w:spacing w:val="-3"/>
        </w:rPr>
        <w:t xml:space="preserve">iz </w:t>
      </w:r>
      <w:r>
        <w:t>razloga bezb</w:t>
      </w:r>
      <w:r w:rsidR="00D5470D">
        <w:t>j</w:t>
      </w:r>
      <w:r>
        <w:t>ednosti, oralne antibiotike treba prim</w:t>
      </w:r>
      <w:r w:rsidR="00D5470D">
        <w:t>j</w:t>
      </w:r>
      <w:r>
        <w:t xml:space="preserve">enjivati odvojeno od acetilcisteina i u intervalu </w:t>
      </w:r>
      <w:proofErr w:type="gramStart"/>
      <w:r>
        <w:t>od  najmanje</w:t>
      </w:r>
      <w:proofErr w:type="gramEnd"/>
      <w:r>
        <w:t xml:space="preserve"> 2 sata. Ovo se ne odnosi na cefiksim i</w:t>
      </w:r>
      <w:r>
        <w:rPr>
          <w:spacing w:val="-32"/>
        </w:rPr>
        <w:t xml:space="preserve"> </w:t>
      </w:r>
      <w:r>
        <w:t>lorakarbef.</w:t>
      </w:r>
    </w:p>
    <w:p w14:paraId="2CACE1FC" w14:textId="77777777" w:rsidR="003B4123" w:rsidRDefault="003B4123">
      <w:pPr>
        <w:pStyle w:val="BodyText"/>
        <w:spacing w:before="5"/>
        <w:ind w:left="0"/>
      </w:pPr>
    </w:p>
    <w:p w14:paraId="7F664999" w14:textId="77777777" w:rsidR="003B4123" w:rsidRDefault="005731D3">
      <w:pPr>
        <w:pStyle w:val="Heading1"/>
        <w:spacing w:line="251" w:lineRule="exact"/>
        <w:jc w:val="both"/>
      </w:pPr>
      <w:r>
        <w:t>Nitroglicerin</w:t>
      </w:r>
    </w:p>
    <w:p w14:paraId="1222769C" w14:textId="77777777" w:rsidR="003B4123" w:rsidRDefault="005731D3">
      <w:pPr>
        <w:pStyle w:val="BodyText"/>
      </w:pPr>
      <w:r>
        <w:t>Istovremena prim</w:t>
      </w:r>
      <w:r w:rsidR="00D5470D">
        <w:t>j</w:t>
      </w:r>
      <w:r>
        <w:t>ena l</w:t>
      </w:r>
      <w:r w:rsidR="00D5470D">
        <w:t>ij</w:t>
      </w:r>
      <w:r>
        <w:t>eka ACC akut 600 i nitroglicerina može potencijalno da pojača vazodilatatorne i inhibitorne efekte gliceroltrinitrata (nitroglicerina) koji inhibiraju agregaciju trombocita. Ako se smatra da je</w:t>
      </w:r>
    </w:p>
    <w:p w14:paraId="4F2CF43F" w14:textId="77777777" w:rsidR="003B4123" w:rsidRDefault="003B4123">
      <w:pPr>
        <w:sectPr w:rsidR="003B4123">
          <w:pgSz w:w="11910" w:h="16840"/>
          <w:pgMar w:top="1060" w:right="1020" w:bottom="1240" w:left="1020" w:header="0" w:footer="1057" w:gutter="0"/>
          <w:cols w:space="720"/>
        </w:sectPr>
      </w:pPr>
    </w:p>
    <w:p w14:paraId="0AA2E9DC" w14:textId="77777777" w:rsidR="003B4123" w:rsidRDefault="005731D3">
      <w:pPr>
        <w:pStyle w:val="BodyText"/>
        <w:spacing w:before="70" w:line="250" w:lineRule="exact"/>
      </w:pPr>
      <w:r>
        <w:lastRenderedPageBreak/>
        <w:t>istovremena terapija acetilcisteinom i nitroglicerinom zaista neophodna, kod pacijenta treba pratiti moguću pojavu hipotenzije, koja može biti ozbiljna, a na nju može da ukaže pojava glavobolje.</w:t>
      </w:r>
    </w:p>
    <w:p w14:paraId="26F24FA6" w14:textId="77777777" w:rsidR="003B4123" w:rsidRDefault="003B4123">
      <w:pPr>
        <w:pStyle w:val="BodyText"/>
        <w:spacing w:before="4"/>
        <w:ind w:left="0"/>
      </w:pPr>
    </w:p>
    <w:p w14:paraId="38E66C05" w14:textId="77777777" w:rsidR="003B4123" w:rsidRDefault="005731D3">
      <w:pPr>
        <w:pStyle w:val="Heading1"/>
        <w:spacing w:before="1" w:line="249" w:lineRule="exact"/>
        <w:jc w:val="both"/>
      </w:pPr>
      <w:r>
        <w:t>Karbamazepin</w:t>
      </w:r>
    </w:p>
    <w:p w14:paraId="7ACAD80D" w14:textId="77777777" w:rsidR="003B4123" w:rsidRDefault="005731D3">
      <w:pPr>
        <w:pStyle w:val="BodyText"/>
        <w:spacing w:line="242" w:lineRule="auto"/>
      </w:pPr>
      <w:r>
        <w:t>Istovremena prim</w:t>
      </w:r>
      <w:r w:rsidR="00D5470D">
        <w:t>j</w:t>
      </w:r>
      <w:r>
        <w:t>ena acetilcisteina i karbamazepina može dovesti do subterapijskih koncentracija karbamazepina.</w:t>
      </w:r>
    </w:p>
    <w:p w14:paraId="52CF5B90" w14:textId="77777777" w:rsidR="003B4123" w:rsidRDefault="003B4123">
      <w:pPr>
        <w:pStyle w:val="BodyText"/>
        <w:spacing w:before="4"/>
        <w:ind w:left="0"/>
      </w:pPr>
    </w:p>
    <w:p w14:paraId="77F8926E" w14:textId="77777777" w:rsidR="003B4123" w:rsidRDefault="005731D3">
      <w:pPr>
        <w:pStyle w:val="Heading1"/>
        <w:spacing w:line="251" w:lineRule="exact"/>
        <w:jc w:val="both"/>
      </w:pPr>
      <w:r>
        <w:t>Interakcije sa rezultatima laboratorijskih analiza</w:t>
      </w:r>
    </w:p>
    <w:p w14:paraId="16166E1D" w14:textId="77777777" w:rsidR="003B4123" w:rsidRDefault="005731D3">
      <w:pPr>
        <w:pStyle w:val="BodyText"/>
        <w:ind w:right="555"/>
      </w:pPr>
      <w:r>
        <w:t>Acetilcistein može uticati na rezultate kolorimetrijskih analiza salicilata. Acetilcistein može uticati na rezultate određivanja ketonskih t</w:t>
      </w:r>
      <w:r w:rsidR="00F5038D">
        <w:t>ij</w:t>
      </w:r>
      <w:r>
        <w:t>ela u urinu.</w:t>
      </w:r>
    </w:p>
    <w:p w14:paraId="758B1497" w14:textId="77777777" w:rsidR="003B4123" w:rsidRDefault="003B4123">
      <w:pPr>
        <w:pStyle w:val="BodyText"/>
        <w:ind w:left="0"/>
      </w:pPr>
    </w:p>
    <w:p w14:paraId="73A1DEB0" w14:textId="77777777" w:rsidR="003B4123" w:rsidRDefault="005731D3">
      <w:pPr>
        <w:pStyle w:val="BodyText"/>
        <w:jc w:val="both"/>
      </w:pPr>
      <w:r>
        <w:t>Ne preporučuje se rastvaranje drugih l</w:t>
      </w:r>
      <w:r w:rsidR="00F5038D">
        <w:t>j</w:t>
      </w:r>
      <w:r>
        <w:t>ekova zajedno sa l</w:t>
      </w:r>
      <w:r w:rsidR="00F5038D">
        <w:t>j</w:t>
      </w:r>
      <w:r>
        <w:t>ekovima koji sadrže aktivnu supstancu acetilcistein.</w:t>
      </w:r>
    </w:p>
    <w:p w14:paraId="23E8ED44" w14:textId="77777777" w:rsidR="003B4123" w:rsidRDefault="005731D3">
      <w:pPr>
        <w:pStyle w:val="Heading1"/>
        <w:numPr>
          <w:ilvl w:val="1"/>
          <w:numId w:val="1"/>
        </w:numPr>
        <w:tabs>
          <w:tab w:val="left" w:pos="502"/>
        </w:tabs>
        <w:spacing w:before="13" w:line="500" w:lineRule="atLeast"/>
        <w:ind w:right="6715" w:firstLine="0"/>
      </w:pPr>
      <w:r>
        <w:t>Plodnost, trudnoća i</w:t>
      </w:r>
      <w:r>
        <w:rPr>
          <w:spacing w:val="-18"/>
        </w:rPr>
        <w:t xml:space="preserve"> </w:t>
      </w:r>
      <w:r>
        <w:t xml:space="preserve">dojenje </w:t>
      </w:r>
      <w:r w:rsidRPr="00B7471F">
        <w:rPr>
          <w:b w:val="0"/>
          <w:bCs w:val="0"/>
        </w:rPr>
        <w:t>Trudnoća</w:t>
      </w:r>
    </w:p>
    <w:p w14:paraId="39E30FC3" w14:textId="77777777" w:rsidR="003B4123" w:rsidRDefault="005731D3">
      <w:pPr>
        <w:pStyle w:val="BodyText"/>
        <w:spacing w:line="250" w:lineRule="exact"/>
        <w:jc w:val="both"/>
      </w:pPr>
      <w:r>
        <w:t>Nema podataka ili su podaci o prim</w:t>
      </w:r>
      <w:r w:rsidR="00F5038D">
        <w:t>j</w:t>
      </w:r>
      <w:r>
        <w:t>eni acetilcisteinu kod trudnica ograničeni.</w:t>
      </w:r>
    </w:p>
    <w:p w14:paraId="56E07F4F" w14:textId="77777777" w:rsidR="003B4123" w:rsidRDefault="003B4123">
      <w:pPr>
        <w:pStyle w:val="BodyText"/>
        <w:spacing w:before="10"/>
        <w:ind w:left="0"/>
        <w:rPr>
          <w:sz w:val="21"/>
        </w:rPr>
      </w:pPr>
    </w:p>
    <w:p w14:paraId="7D80E0DF" w14:textId="77777777" w:rsidR="003B4123" w:rsidRDefault="005731D3">
      <w:pPr>
        <w:pStyle w:val="BodyText"/>
        <w:ind w:right="112"/>
        <w:jc w:val="both"/>
      </w:pPr>
      <w:r>
        <w:t>Studije na životinjama ne ukazuju na direktna ili indirektna štetna dejstva u pogledu reproduktivne toksičnosti (vid</w:t>
      </w:r>
      <w:r w:rsidR="00F5038D">
        <w:t>j</w:t>
      </w:r>
      <w:r>
        <w:t>eti odeljak 5.3). Prim</w:t>
      </w:r>
      <w:r w:rsidR="00F5038D">
        <w:t>j</w:t>
      </w:r>
      <w:r>
        <w:t>enu acetilcisteina tokom trudnoće treba izb</w:t>
      </w:r>
      <w:r w:rsidR="00F5038D">
        <w:t>j</w:t>
      </w:r>
      <w:r>
        <w:t>egavati ako je moguće i prim</w:t>
      </w:r>
      <w:r w:rsidR="00F5038D">
        <w:t>j</w:t>
      </w:r>
      <w:r>
        <w:t>enjivati samo nakon stroge proc</w:t>
      </w:r>
      <w:r w:rsidR="00F5038D">
        <w:t>j</w:t>
      </w:r>
      <w:r>
        <w:t>ene odnosa koristi i</w:t>
      </w:r>
      <w:r>
        <w:rPr>
          <w:spacing w:val="-23"/>
        </w:rPr>
        <w:t xml:space="preserve"> </w:t>
      </w:r>
      <w:r>
        <w:t>rizika.</w:t>
      </w:r>
    </w:p>
    <w:p w14:paraId="543FCFC9" w14:textId="77777777" w:rsidR="003B4123" w:rsidRDefault="003B4123">
      <w:pPr>
        <w:pStyle w:val="BodyText"/>
        <w:spacing w:before="2"/>
        <w:ind w:left="0"/>
      </w:pPr>
    </w:p>
    <w:p w14:paraId="2F1326C4" w14:textId="77777777" w:rsidR="003B4123" w:rsidRPr="00B7471F" w:rsidRDefault="005731D3">
      <w:pPr>
        <w:pStyle w:val="Heading1"/>
        <w:spacing w:line="251" w:lineRule="exact"/>
        <w:jc w:val="both"/>
        <w:rPr>
          <w:b w:val="0"/>
          <w:bCs w:val="0"/>
        </w:rPr>
      </w:pPr>
      <w:r w:rsidRPr="00B7471F">
        <w:rPr>
          <w:b w:val="0"/>
          <w:bCs w:val="0"/>
        </w:rPr>
        <w:t>Dojenje</w:t>
      </w:r>
    </w:p>
    <w:p w14:paraId="0CC2F164" w14:textId="77777777" w:rsidR="003B4123" w:rsidRDefault="005731D3">
      <w:pPr>
        <w:pStyle w:val="BodyText"/>
        <w:ind w:right="112"/>
        <w:jc w:val="both"/>
      </w:pPr>
      <w:r>
        <w:t>Nema dovoljno podataka o izlučivanju acetilcisteina u majčino ml</w:t>
      </w:r>
      <w:r w:rsidR="00F5038D">
        <w:t>ij</w:t>
      </w:r>
      <w:r>
        <w:t>eko. Odluka o tome da li da se prekine dojenje ili da se prekine/odloži terapija acetilcisteinom mora se doneti uzimajući u obzir korist od dojenja za d</w:t>
      </w:r>
      <w:r w:rsidR="00F5038D">
        <w:t>ij</w:t>
      </w:r>
      <w:r>
        <w:t>ete i korist od terapije acetilcisteinom za ženu</w:t>
      </w:r>
    </w:p>
    <w:p w14:paraId="2DB3480B" w14:textId="77777777" w:rsidR="003B4123" w:rsidRDefault="003B4123">
      <w:pPr>
        <w:pStyle w:val="BodyText"/>
        <w:spacing w:before="10"/>
        <w:ind w:left="0"/>
      </w:pPr>
    </w:p>
    <w:p w14:paraId="51DFA91C" w14:textId="77777777" w:rsidR="003B4123" w:rsidRDefault="005731D3">
      <w:pPr>
        <w:pStyle w:val="Heading1"/>
        <w:numPr>
          <w:ilvl w:val="1"/>
          <w:numId w:val="1"/>
        </w:numPr>
        <w:tabs>
          <w:tab w:val="left" w:pos="459"/>
        </w:tabs>
        <w:ind w:left="458" w:hanging="346"/>
        <w:jc w:val="both"/>
      </w:pPr>
      <w:r>
        <w:rPr>
          <w:spacing w:val="-8"/>
        </w:rPr>
        <w:t xml:space="preserve">Uticaj </w:t>
      </w:r>
      <w:r>
        <w:rPr>
          <w:spacing w:val="-7"/>
        </w:rPr>
        <w:t>l</w:t>
      </w:r>
      <w:r w:rsidR="00F5038D">
        <w:rPr>
          <w:spacing w:val="-7"/>
        </w:rPr>
        <w:t>ij</w:t>
      </w:r>
      <w:r>
        <w:rPr>
          <w:spacing w:val="-7"/>
        </w:rPr>
        <w:t xml:space="preserve">eka </w:t>
      </w:r>
      <w:r>
        <w:rPr>
          <w:spacing w:val="-5"/>
        </w:rPr>
        <w:t xml:space="preserve">na </w:t>
      </w:r>
      <w:r>
        <w:rPr>
          <w:spacing w:val="-9"/>
        </w:rPr>
        <w:t xml:space="preserve">sposobnost upravljanja </w:t>
      </w:r>
      <w:r>
        <w:rPr>
          <w:spacing w:val="-8"/>
        </w:rPr>
        <w:t xml:space="preserve">vozilima </w:t>
      </w:r>
      <w:r>
        <w:t xml:space="preserve">i </w:t>
      </w:r>
      <w:r>
        <w:rPr>
          <w:spacing w:val="-8"/>
        </w:rPr>
        <w:t>rukovanja</w:t>
      </w:r>
      <w:r>
        <w:rPr>
          <w:spacing w:val="-34"/>
        </w:rPr>
        <w:t xml:space="preserve"> </w:t>
      </w:r>
      <w:r>
        <w:rPr>
          <w:spacing w:val="-10"/>
        </w:rPr>
        <w:t>mašinama</w:t>
      </w:r>
    </w:p>
    <w:p w14:paraId="0C676C38" w14:textId="77777777" w:rsidR="003B4123" w:rsidRDefault="003B4123">
      <w:pPr>
        <w:pStyle w:val="BodyText"/>
        <w:spacing w:before="4"/>
        <w:ind w:left="0"/>
        <w:rPr>
          <w:b/>
          <w:sz w:val="21"/>
        </w:rPr>
      </w:pPr>
    </w:p>
    <w:p w14:paraId="76AF5A09" w14:textId="77777777" w:rsidR="003B4123" w:rsidRDefault="005731D3">
      <w:pPr>
        <w:pStyle w:val="BodyText"/>
        <w:jc w:val="both"/>
      </w:pPr>
      <w:r>
        <w:t>L</w:t>
      </w:r>
      <w:r w:rsidR="00F5038D">
        <w:t>ij</w:t>
      </w:r>
      <w:r>
        <w:t>ek ACC akut 600 ne utiče na psihofizičke sposobnosti pacijenta.</w:t>
      </w:r>
    </w:p>
    <w:p w14:paraId="401E063A" w14:textId="77777777" w:rsidR="003B4123" w:rsidRDefault="003B4123">
      <w:pPr>
        <w:pStyle w:val="BodyText"/>
        <w:spacing w:before="2"/>
        <w:ind w:left="0"/>
      </w:pPr>
    </w:p>
    <w:p w14:paraId="5AE1BBC1" w14:textId="77777777" w:rsidR="003B4123" w:rsidRDefault="005731D3">
      <w:pPr>
        <w:pStyle w:val="Heading1"/>
        <w:numPr>
          <w:ilvl w:val="1"/>
          <w:numId w:val="1"/>
        </w:numPr>
        <w:tabs>
          <w:tab w:val="left" w:pos="498"/>
        </w:tabs>
        <w:ind w:left="498" w:hanging="386"/>
        <w:jc w:val="both"/>
      </w:pPr>
      <w:r>
        <w:t>Neželjena</w:t>
      </w:r>
      <w:r>
        <w:rPr>
          <w:spacing w:val="-11"/>
        </w:rPr>
        <w:t xml:space="preserve"> </w:t>
      </w:r>
      <w:r>
        <w:t>dejstva</w:t>
      </w:r>
    </w:p>
    <w:p w14:paraId="20ECCF67" w14:textId="77777777" w:rsidR="003B4123" w:rsidRDefault="003B4123">
      <w:pPr>
        <w:pStyle w:val="BodyText"/>
        <w:spacing w:before="3"/>
        <w:ind w:left="0"/>
        <w:rPr>
          <w:b/>
        </w:rPr>
      </w:pPr>
    </w:p>
    <w:p w14:paraId="37DD78A9" w14:textId="77777777" w:rsidR="003B4123" w:rsidRDefault="005731D3">
      <w:pPr>
        <w:pStyle w:val="BodyText"/>
        <w:spacing w:line="250" w:lineRule="exact"/>
        <w:ind w:right="2890"/>
      </w:pPr>
      <w:r>
        <w:rPr>
          <w:u w:val="single"/>
        </w:rPr>
        <w:t>Proc</w:t>
      </w:r>
      <w:r w:rsidR="00F5038D">
        <w:rPr>
          <w:u w:val="single"/>
        </w:rPr>
        <w:t>j</w:t>
      </w:r>
      <w:r>
        <w:rPr>
          <w:u w:val="single"/>
        </w:rPr>
        <w:t>ena neželjenih dejstava je zasnovana na sledećim podacima o učestalosti: veoma česte (&gt;1/10),</w:t>
      </w:r>
    </w:p>
    <w:p w14:paraId="466AC7DB" w14:textId="77777777" w:rsidR="003B4123" w:rsidRDefault="005731D3">
      <w:pPr>
        <w:pStyle w:val="BodyText"/>
        <w:ind w:right="6758"/>
      </w:pPr>
      <w:r>
        <w:rPr>
          <w:u w:val="single"/>
        </w:rPr>
        <w:t>česte (&gt;1/100 do &lt;1/10), povremene (&gt;1/1000 do &lt; 1/100), r</w:t>
      </w:r>
      <w:r w:rsidR="00F5038D">
        <w:rPr>
          <w:u w:val="single"/>
        </w:rPr>
        <w:t>ij</w:t>
      </w:r>
      <w:r>
        <w:rPr>
          <w:u w:val="single"/>
        </w:rPr>
        <w:t>etke (&gt;1/10000 do &lt;1/1000), veoma r</w:t>
      </w:r>
      <w:r w:rsidR="00F5038D">
        <w:rPr>
          <w:u w:val="single"/>
        </w:rPr>
        <w:t>ij</w:t>
      </w:r>
      <w:r>
        <w:rPr>
          <w:u w:val="single"/>
        </w:rPr>
        <w:t>etka (&lt;1/10000),</w:t>
      </w:r>
    </w:p>
    <w:p w14:paraId="0981FBF2" w14:textId="77777777" w:rsidR="003B4123" w:rsidRDefault="005731D3">
      <w:pPr>
        <w:pStyle w:val="BodyText"/>
        <w:spacing w:before="2"/>
        <w:jc w:val="both"/>
      </w:pPr>
      <w:r>
        <w:rPr>
          <w:u w:val="single"/>
        </w:rPr>
        <w:t>nepoznate učestalosti (ne može se proceniti na osnovu dostupnih podataka).</w:t>
      </w:r>
    </w:p>
    <w:p w14:paraId="5AAB2F28" w14:textId="77777777" w:rsidR="003B4123" w:rsidRDefault="003B4123">
      <w:pPr>
        <w:pStyle w:val="BodyText"/>
        <w:spacing w:before="2"/>
        <w:ind w:left="0"/>
        <w:rPr>
          <w:sz w:val="14"/>
        </w:rPr>
      </w:pPr>
    </w:p>
    <w:p w14:paraId="743CECDE" w14:textId="77777777" w:rsidR="003B4123" w:rsidRDefault="005731D3">
      <w:pPr>
        <w:pStyle w:val="Heading1"/>
        <w:spacing w:before="92" w:line="251" w:lineRule="exact"/>
      </w:pPr>
      <w:r>
        <w:rPr>
          <w:u w:val="single"/>
        </w:rPr>
        <w:t>Poremećaji imunskog sistema</w:t>
      </w:r>
    </w:p>
    <w:p w14:paraId="6057EA98" w14:textId="77777777" w:rsidR="003B4123" w:rsidRDefault="005731D3">
      <w:pPr>
        <w:spacing w:line="251" w:lineRule="exact"/>
        <w:ind w:left="112"/>
      </w:pPr>
      <w:r>
        <w:rPr>
          <w:i/>
        </w:rPr>
        <w:t xml:space="preserve">Povremeno: </w:t>
      </w:r>
      <w:r>
        <w:t>Reakcije preos</w:t>
      </w:r>
      <w:r w:rsidR="00F5038D">
        <w:t>j</w:t>
      </w:r>
      <w:r>
        <w:t>etljivosti</w:t>
      </w:r>
    </w:p>
    <w:p w14:paraId="27CFC36E" w14:textId="77777777" w:rsidR="003B4123" w:rsidRDefault="005731D3">
      <w:pPr>
        <w:pStyle w:val="BodyText"/>
        <w:spacing w:before="1"/>
      </w:pPr>
      <w:r>
        <w:rPr>
          <w:i/>
        </w:rPr>
        <w:t>Veoma r</w:t>
      </w:r>
      <w:r w:rsidR="00F5038D">
        <w:rPr>
          <w:i/>
        </w:rPr>
        <w:t>ij</w:t>
      </w:r>
      <w:r>
        <w:rPr>
          <w:i/>
        </w:rPr>
        <w:t xml:space="preserve">etko: </w:t>
      </w:r>
      <w:r>
        <w:t>Anafilaktički šok, anafilaktičke/anafilaktoidne reakcije</w:t>
      </w:r>
    </w:p>
    <w:p w14:paraId="68891040" w14:textId="77777777" w:rsidR="003B4123" w:rsidRDefault="003B4123">
      <w:pPr>
        <w:pStyle w:val="BodyText"/>
        <w:spacing w:before="2"/>
        <w:ind w:left="0"/>
      </w:pPr>
    </w:p>
    <w:p w14:paraId="6D41576A" w14:textId="77777777" w:rsidR="003B4123" w:rsidRDefault="005731D3">
      <w:pPr>
        <w:pStyle w:val="Heading1"/>
        <w:spacing w:line="251" w:lineRule="exact"/>
      </w:pPr>
      <w:r>
        <w:rPr>
          <w:u w:val="single"/>
        </w:rPr>
        <w:t>Poremećaji nervnog sistema</w:t>
      </w:r>
    </w:p>
    <w:p w14:paraId="7EC37A7C" w14:textId="77777777" w:rsidR="003B4123" w:rsidRDefault="005731D3">
      <w:pPr>
        <w:spacing w:line="251" w:lineRule="exact"/>
        <w:ind w:left="112"/>
      </w:pPr>
      <w:r>
        <w:rPr>
          <w:i/>
        </w:rPr>
        <w:t xml:space="preserve">Povremeno: </w:t>
      </w:r>
      <w:r>
        <w:t>Glavobolja</w:t>
      </w:r>
    </w:p>
    <w:p w14:paraId="2C3EE65A" w14:textId="77777777" w:rsidR="003B4123" w:rsidRDefault="003B4123">
      <w:pPr>
        <w:pStyle w:val="BodyText"/>
        <w:spacing w:before="3"/>
        <w:ind w:left="0"/>
      </w:pPr>
    </w:p>
    <w:p w14:paraId="0417D58D" w14:textId="77777777" w:rsidR="003B4123" w:rsidRDefault="005731D3">
      <w:pPr>
        <w:pStyle w:val="Heading1"/>
        <w:spacing w:line="251" w:lineRule="exact"/>
      </w:pPr>
      <w:r>
        <w:rPr>
          <w:u w:val="single"/>
        </w:rPr>
        <w:t>Poremećaji uha i labirinta</w:t>
      </w:r>
    </w:p>
    <w:p w14:paraId="2168474F" w14:textId="77777777" w:rsidR="003B4123" w:rsidRDefault="005731D3">
      <w:pPr>
        <w:spacing w:line="251" w:lineRule="exact"/>
        <w:ind w:left="112"/>
      </w:pPr>
      <w:r>
        <w:rPr>
          <w:i/>
        </w:rPr>
        <w:t xml:space="preserve">Povremeno: </w:t>
      </w:r>
      <w:r>
        <w:t>Tinitus</w:t>
      </w:r>
    </w:p>
    <w:p w14:paraId="3884674F" w14:textId="77777777" w:rsidR="003B4123" w:rsidRDefault="003B4123">
      <w:pPr>
        <w:pStyle w:val="BodyText"/>
        <w:spacing w:before="2"/>
        <w:ind w:left="0"/>
      </w:pPr>
    </w:p>
    <w:p w14:paraId="4A7C11B9" w14:textId="77777777" w:rsidR="003B4123" w:rsidRDefault="005731D3">
      <w:pPr>
        <w:pStyle w:val="Heading1"/>
        <w:spacing w:before="1" w:line="251" w:lineRule="exact"/>
      </w:pPr>
      <w:r>
        <w:rPr>
          <w:u w:val="single"/>
        </w:rPr>
        <w:t>Kardiološki poremećaji</w:t>
      </w:r>
    </w:p>
    <w:p w14:paraId="14C0BFC0" w14:textId="77777777" w:rsidR="003B4123" w:rsidRDefault="005731D3">
      <w:pPr>
        <w:spacing w:line="251" w:lineRule="exact"/>
        <w:ind w:left="112"/>
      </w:pPr>
      <w:r>
        <w:rPr>
          <w:i/>
        </w:rPr>
        <w:t xml:space="preserve">Povremeno: </w:t>
      </w:r>
      <w:r>
        <w:t>Tahikardija</w:t>
      </w:r>
    </w:p>
    <w:p w14:paraId="4188DE8C" w14:textId="77777777" w:rsidR="003B4123" w:rsidRDefault="003B4123">
      <w:pPr>
        <w:pStyle w:val="BodyText"/>
        <w:spacing w:before="7"/>
        <w:ind w:left="0"/>
      </w:pPr>
    </w:p>
    <w:p w14:paraId="3ACE8ABC" w14:textId="77777777" w:rsidR="003B4123" w:rsidRDefault="005731D3">
      <w:pPr>
        <w:pStyle w:val="Heading1"/>
        <w:spacing w:line="249" w:lineRule="exact"/>
      </w:pPr>
      <w:r>
        <w:rPr>
          <w:u w:val="single"/>
        </w:rPr>
        <w:t>Vaskularni poremećaji</w:t>
      </w:r>
    </w:p>
    <w:p w14:paraId="20AD1B07" w14:textId="77777777" w:rsidR="003B4123" w:rsidRDefault="005731D3">
      <w:pPr>
        <w:spacing w:line="249" w:lineRule="exact"/>
        <w:ind w:left="112"/>
      </w:pPr>
      <w:r>
        <w:rPr>
          <w:i/>
        </w:rPr>
        <w:t xml:space="preserve">Veoma </w:t>
      </w:r>
      <w:r w:rsidR="00F5038D">
        <w:rPr>
          <w:i/>
        </w:rPr>
        <w:t>rijetko</w:t>
      </w:r>
      <w:r>
        <w:rPr>
          <w:i/>
        </w:rPr>
        <w:t xml:space="preserve">: </w:t>
      </w:r>
      <w:r>
        <w:t>Hemoragije</w:t>
      </w:r>
    </w:p>
    <w:p w14:paraId="2BF28F05" w14:textId="77777777" w:rsidR="003B4123" w:rsidRDefault="003B4123">
      <w:pPr>
        <w:spacing w:line="249" w:lineRule="exact"/>
        <w:sectPr w:rsidR="003B4123">
          <w:pgSz w:w="11910" w:h="16840"/>
          <w:pgMar w:top="820" w:right="1020" w:bottom="1240" w:left="1020" w:header="0" w:footer="1057" w:gutter="0"/>
          <w:cols w:space="720"/>
        </w:sectPr>
      </w:pPr>
    </w:p>
    <w:p w14:paraId="1365847E" w14:textId="77777777" w:rsidR="003B4123" w:rsidRDefault="005731D3">
      <w:pPr>
        <w:pStyle w:val="Heading1"/>
        <w:spacing w:before="79" w:line="251" w:lineRule="exact"/>
      </w:pPr>
      <w:r>
        <w:rPr>
          <w:u w:val="single"/>
        </w:rPr>
        <w:lastRenderedPageBreak/>
        <w:t>Respiratorni, torakalni i medijastinalni poremećaji</w:t>
      </w:r>
    </w:p>
    <w:p w14:paraId="389888CD" w14:textId="77777777" w:rsidR="003B4123" w:rsidRDefault="005731D3">
      <w:pPr>
        <w:pStyle w:val="BodyText"/>
        <w:ind w:right="109"/>
      </w:pPr>
      <w:r>
        <w:rPr>
          <w:i/>
        </w:rPr>
        <w:t>R</w:t>
      </w:r>
      <w:r w:rsidR="00F5038D">
        <w:rPr>
          <w:i/>
        </w:rPr>
        <w:t>ij</w:t>
      </w:r>
      <w:r>
        <w:rPr>
          <w:i/>
        </w:rPr>
        <w:t xml:space="preserve">etko: </w:t>
      </w:r>
      <w:r>
        <w:t>respiratorni distres, bronhospazam, posebno kod pacijenata sa hiperreaktivnim bronhijalnim sistemom zbog astme</w:t>
      </w:r>
    </w:p>
    <w:p w14:paraId="4EC4EEB2" w14:textId="77777777" w:rsidR="003B4123" w:rsidRDefault="003B4123">
      <w:pPr>
        <w:pStyle w:val="BodyText"/>
        <w:ind w:left="0"/>
      </w:pPr>
    </w:p>
    <w:p w14:paraId="740614C7" w14:textId="77777777" w:rsidR="003B4123" w:rsidRDefault="005731D3">
      <w:pPr>
        <w:pStyle w:val="Heading1"/>
        <w:rPr>
          <w:b w:val="0"/>
        </w:rPr>
      </w:pPr>
      <w:r>
        <w:rPr>
          <w:u w:val="single"/>
        </w:rPr>
        <w:t>Gastrointestinalni poremećaj</w:t>
      </w:r>
      <w:r>
        <w:rPr>
          <w:b w:val="0"/>
          <w:u w:val="single"/>
        </w:rPr>
        <w:t>i</w:t>
      </w:r>
    </w:p>
    <w:p w14:paraId="285808A3" w14:textId="77777777" w:rsidR="003B4123" w:rsidRDefault="005731D3">
      <w:pPr>
        <w:pStyle w:val="BodyText"/>
        <w:spacing w:before="1" w:line="251" w:lineRule="exact"/>
      </w:pPr>
      <w:r>
        <w:rPr>
          <w:i/>
        </w:rPr>
        <w:t xml:space="preserve">Povremeno: </w:t>
      </w:r>
      <w:r>
        <w:t>Mučnina, povraćanje, dijareja, abdominalni bol, stomatitis</w:t>
      </w:r>
    </w:p>
    <w:p w14:paraId="54500FE2" w14:textId="77777777" w:rsidR="003B4123" w:rsidRDefault="00F5038D">
      <w:pPr>
        <w:spacing w:line="251" w:lineRule="exact"/>
        <w:ind w:left="112"/>
      </w:pPr>
      <w:r>
        <w:rPr>
          <w:i/>
        </w:rPr>
        <w:t>Rijetko</w:t>
      </w:r>
      <w:r w:rsidR="005731D3">
        <w:rPr>
          <w:i/>
        </w:rPr>
        <w:t xml:space="preserve">: </w:t>
      </w:r>
      <w:r w:rsidR="005731D3">
        <w:t>Dispepsija, gorušica</w:t>
      </w:r>
    </w:p>
    <w:p w14:paraId="1E7E338F" w14:textId="77777777" w:rsidR="003B4123" w:rsidRDefault="003B4123">
      <w:pPr>
        <w:pStyle w:val="BodyText"/>
        <w:spacing w:before="7"/>
        <w:ind w:left="0"/>
      </w:pPr>
    </w:p>
    <w:p w14:paraId="6A8CC259" w14:textId="77777777" w:rsidR="003B4123" w:rsidRDefault="005731D3">
      <w:pPr>
        <w:pStyle w:val="Heading1"/>
        <w:spacing w:before="1" w:line="251" w:lineRule="exact"/>
      </w:pPr>
      <w:r>
        <w:rPr>
          <w:u w:val="single"/>
        </w:rPr>
        <w:t>Poremećaji kože i potkožnog tkiva</w:t>
      </w:r>
    </w:p>
    <w:p w14:paraId="3508C286" w14:textId="77777777" w:rsidR="003B4123" w:rsidRDefault="005731D3">
      <w:pPr>
        <w:spacing w:line="251" w:lineRule="exact"/>
        <w:ind w:left="112"/>
      </w:pPr>
      <w:r>
        <w:rPr>
          <w:i/>
        </w:rPr>
        <w:t xml:space="preserve">Povremeno: </w:t>
      </w:r>
      <w:r>
        <w:t>Urikarija, osip, angioedem, svrab, egzantem</w:t>
      </w:r>
    </w:p>
    <w:p w14:paraId="2C1B61A0" w14:textId="77777777" w:rsidR="003B4123" w:rsidRDefault="003B4123">
      <w:pPr>
        <w:pStyle w:val="BodyText"/>
        <w:spacing w:before="2"/>
        <w:ind w:left="0"/>
      </w:pPr>
    </w:p>
    <w:p w14:paraId="317D13E3" w14:textId="77777777" w:rsidR="003B4123" w:rsidRDefault="005731D3">
      <w:pPr>
        <w:pStyle w:val="Heading1"/>
        <w:spacing w:line="251" w:lineRule="exact"/>
      </w:pPr>
      <w:r>
        <w:rPr>
          <w:u w:val="single"/>
        </w:rPr>
        <w:t xml:space="preserve">Opšti poremećaji i reakcije na mestu </w:t>
      </w:r>
      <w:r w:rsidR="00F5038D">
        <w:rPr>
          <w:u w:val="single"/>
        </w:rPr>
        <w:t>primjene</w:t>
      </w:r>
    </w:p>
    <w:p w14:paraId="2670C05C" w14:textId="77777777" w:rsidR="003B4123" w:rsidRDefault="005731D3">
      <w:pPr>
        <w:spacing w:line="250" w:lineRule="exact"/>
        <w:ind w:left="112"/>
      </w:pPr>
      <w:r>
        <w:rPr>
          <w:i/>
        </w:rPr>
        <w:t xml:space="preserve">Povremeno: </w:t>
      </w:r>
      <w:r>
        <w:t>Groznica</w:t>
      </w:r>
    </w:p>
    <w:p w14:paraId="4E905B8B" w14:textId="77777777" w:rsidR="003B4123" w:rsidRDefault="005731D3">
      <w:pPr>
        <w:spacing w:line="251" w:lineRule="exact"/>
        <w:ind w:left="112"/>
      </w:pPr>
      <w:r>
        <w:rPr>
          <w:i/>
        </w:rPr>
        <w:t xml:space="preserve">Nepoznate </w:t>
      </w:r>
      <w:r>
        <w:rPr>
          <w:i/>
          <w:u w:val="single"/>
        </w:rPr>
        <w:t>učestalosti</w:t>
      </w:r>
      <w:r>
        <w:rPr>
          <w:i/>
        </w:rPr>
        <w:t xml:space="preserve">: </w:t>
      </w:r>
      <w:r>
        <w:t>Edem lica</w:t>
      </w:r>
    </w:p>
    <w:p w14:paraId="1314C056" w14:textId="77777777" w:rsidR="003B4123" w:rsidRDefault="003B4123">
      <w:pPr>
        <w:pStyle w:val="BodyText"/>
        <w:spacing w:before="7"/>
        <w:ind w:left="0"/>
        <w:rPr>
          <w:sz w:val="14"/>
        </w:rPr>
      </w:pPr>
    </w:p>
    <w:p w14:paraId="1E2358BE" w14:textId="77777777" w:rsidR="003B4123" w:rsidRDefault="005731D3">
      <w:pPr>
        <w:pStyle w:val="Heading1"/>
        <w:spacing w:before="92" w:line="251" w:lineRule="exact"/>
        <w:jc w:val="both"/>
      </w:pPr>
      <w:r>
        <w:rPr>
          <w:u w:val="single"/>
        </w:rPr>
        <w:t>Ispitivanja</w:t>
      </w:r>
    </w:p>
    <w:p w14:paraId="4D103F06" w14:textId="77777777" w:rsidR="003B4123" w:rsidRDefault="005731D3">
      <w:pPr>
        <w:spacing w:line="251" w:lineRule="exact"/>
        <w:ind w:left="112"/>
        <w:jc w:val="both"/>
      </w:pPr>
      <w:r>
        <w:rPr>
          <w:i/>
        </w:rPr>
        <w:t xml:space="preserve">Povremeno: </w:t>
      </w:r>
      <w:r>
        <w:t>Hipotenzija</w:t>
      </w:r>
    </w:p>
    <w:p w14:paraId="034EA665" w14:textId="77777777" w:rsidR="003B4123" w:rsidRDefault="003B4123">
      <w:pPr>
        <w:pStyle w:val="BodyText"/>
        <w:ind w:left="0"/>
        <w:rPr>
          <w:sz w:val="24"/>
        </w:rPr>
      </w:pPr>
    </w:p>
    <w:p w14:paraId="7B5222AA" w14:textId="77777777" w:rsidR="003B4123" w:rsidRDefault="003B4123">
      <w:pPr>
        <w:pStyle w:val="BodyText"/>
        <w:spacing w:before="10"/>
        <w:ind w:left="0"/>
        <w:rPr>
          <w:sz w:val="19"/>
        </w:rPr>
      </w:pPr>
    </w:p>
    <w:p w14:paraId="1908D9E2" w14:textId="77777777" w:rsidR="003B4123" w:rsidRDefault="005731D3">
      <w:pPr>
        <w:pStyle w:val="BodyText"/>
        <w:spacing w:before="1"/>
        <w:ind w:right="104"/>
        <w:jc w:val="both"/>
      </w:pPr>
      <w:r>
        <w:t>Prijavljeni su veoma r</w:t>
      </w:r>
      <w:r w:rsidR="00F5038D">
        <w:t>ij</w:t>
      </w:r>
      <w:r>
        <w:t xml:space="preserve">etki slučajevi ozbiljnih poremećaja kože, kao što su </w:t>
      </w:r>
      <w:r>
        <w:rPr>
          <w:i/>
        </w:rPr>
        <w:t>Stevens-Johnson</w:t>
      </w:r>
      <w:r>
        <w:t>-ov sindrom i toksična epidermalna nekroliza, koji su bili vremenski povezani sa uzimanjem acetilcisteina. U većini prijavljenih slučajeva bio je prisutan najmanje još jedan istovremeno prim</w:t>
      </w:r>
      <w:r w:rsidR="00F5038D">
        <w:t>ij</w:t>
      </w:r>
      <w:r>
        <w:t xml:space="preserve">enjeni </w:t>
      </w:r>
      <w:r w:rsidR="00F5038D">
        <w:t>lijek</w:t>
      </w:r>
      <w:r>
        <w:t>, koji je mogao potencijalno da pojača opisane mukokutane efekte.</w:t>
      </w:r>
    </w:p>
    <w:p w14:paraId="039B82E7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7FF99C8C" w14:textId="77777777" w:rsidR="003B4123" w:rsidRDefault="005731D3">
      <w:pPr>
        <w:pStyle w:val="BodyText"/>
        <w:ind w:right="555"/>
      </w:pPr>
      <w:r>
        <w:t>U slučaju pojave abnormalnosti na koži i sluzokoži, treba odmah zatražiti sav</w:t>
      </w:r>
      <w:r w:rsidR="00F5038D">
        <w:t>j</w:t>
      </w:r>
      <w:r>
        <w:t xml:space="preserve">et </w:t>
      </w:r>
      <w:r w:rsidR="00F5038D">
        <w:t>ljekar</w:t>
      </w:r>
      <w:r>
        <w:t>a i prekinuti sa prim</w:t>
      </w:r>
      <w:r w:rsidR="00F5038D">
        <w:t>j</w:t>
      </w:r>
      <w:r>
        <w:t>enom acetilcisteina.</w:t>
      </w:r>
    </w:p>
    <w:p w14:paraId="25F7B5C0" w14:textId="77777777" w:rsidR="003B4123" w:rsidRDefault="003B4123">
      <w:pPr>
        <w:pStyle w:val="BodyText"/>
        <w:spacing w:before="8"/>
        <w:ind w:left="0"/>
        <w:rPr>
          <w:sz w:val="21"/>
        </w:rPr>
      </w:pPr>
    </w:p>
    <w:p w14:paraId="2B044937" w14:textId="77777777" w:rsidR="003B4123" w:rsidRDefault="005731D3">
      <w:pPr>
        <w:pStyle w:val="BodyText"/>
        <w:spacing w:before="1"/>
        <w:ind w:right="526"/>
      </w:pPr>
      <w:r>
        <w:t>Neke studije su pokazale da dolazi do smanjenja agregacije trombocita za vr</w:t>
      </w:r>
      <w:r w:rsidR="00F5038D">
        <w:t>ij</w:t>
      </w:r>
      <w:r>
        <w:t>eme uzimanja acetilcisteina. Klinički značaj ovih studija još nije utvrđen.</w:t>
      </w:r>
    </w:p>
    <w:p w14:paraId="5E797AE0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756BD08B" w14:textId="77777777" w:rsidR="00B7471F" w:rsidRPr="00786071" w:rsidRDefault="00B7471F" w:rsidP="00B7471F">
      <w:pPr>
        <w:spacing w:after="200" w:line="276" w:lineRule="auto"/>
        <w:rPr>
          <w:rFonts w:eastAsia="Calibri"/>
          <w:u w:val="single"/>
          <w:lang w:val="sr-Latn-RS"/>
        </w:rPr>
      </w:pPr>
      <w:r w:rsidRPr="00786071">
        <w:rPr>
          <w:rFonts w:eastAsia="Calibri"/>
          <w:u w:val="single"/>
          <w:lang w:val="sr-Latn-RS"/>
        </w:rPr>
        <w:t>Prijavljivanje sumnji na neželjena dejstva</w:t>
      </w:r>
    </w:p>
    <w:p w14:paraId="442C5749" w14:textId="77777777" w:rsidR="00B7471F" w:rsidRPr="00786071" w:rsidRDefault="00B7471F" w:rsidP="00B7471F">
      <w:pPr>
        <w:spacing w:after="200"/>
        <w:jc w:val="both"/>
        <w:rPr>
          <w:rFonts w:eastAsia="Calibri"/>
          <w:lang w:val="sr-Latn-RS"/>
        </w:rPr>
      </w:pPr>
      <w:r w:rsidRPr="00786071">
        <w:rPr>
          <w:rFonts w:eastAsia="Calibri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lang w:val="sr-Latn-RS"/>
        </w:rPr>
        <w:t>Institutu</w:t>
      </w:r>
      <w:r w:rsidRPr="00786071">
        <w:rPr>
          <w:rFonts w:eastAsia="Calibri"/>
          <w:lang w:val="sr-Latn-RS"/>
        </w:rPr>
        <w:t xml:space="preserve"> za ljekove i medicinska sredstva</w:t>
      </w:r>
      <w:r>
        <w:rPr>
          <w:rFonts w:eastAsia="Calibri"/>
          <w:lang w:val="sr-Latn-RS"/>
        </w:rPr>
        <w:t xml:space="preserve"> </w:t>
      </w:r>
      <w:r w:rsidRPr="00786071">
        <w:rPr>
          <w:rFonts w:eastAsia="Calibri"/>
          <w:lang w:val="sr-Latn-RS"/>
        </w:rPr>
        <w:t>(C</w:t>
      </w:r>
      <w:r>
        <w:rPr>
          <w:rFonts w:eastAsia="Calibri"/>
          <w:lang w:val="sr-Latn-RS"/>
        </w:rPr>
        <w:t>InMED</w:t>
      </w:r>
      <w:r w:rsidRPr="00786071">
        <w:rPr>
          <w:rFonts w:eastAsia="Calibri"/>
          <w:lang w:val="sr-Latn-RS"/>
        </w:rPr>
        <w:t>):</w:t>
      </w:r>
    </w:p>
    <w:p w14:paraId="741D6FD8" w14:textId="77777777" w:rsidR="00B7471F" w:rsidRPr="00786071" w:rsidRDefault="00B7471F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2858B9FD" w14:textId="77777777" w:rsidR="00B7471F" w:rsidRPr="00786071" w:rsidRDefault="00B7471F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6EE3F6F3" w14:textId="77777777" w:rsidR="00B7471F" w:rsidRPr="00786071" w:rsidRDefault="00B7471F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A85B287" w14:textId="77777777" w:rsidR="00B7471F" w:rsidRPr="00786071" w:rsidRDefault="00B7471F" w:rsidP="00B7471F">
      <w:pPr>
        <w:pStyle w:val="NoSpacing"/>
        <w:rPr>
          <w:rFonts w:eastAsia="Calibri"/>
          <w:sz w:val="22"/>
          <w:szCs w:val="22"/>
          <w:lang w:val="sr-Latn-RS"/>
        </w:rPr>
      </w:pPr>
    </w:p>
    <w:p w14:paraId="361EAE66" w14:textId="77777777" w:rsidR="00B7471F" w:rsidRPr="00786071" w:rsidRDefault="00B7471F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52155239" w14:textId="77777777" w:rsidR="00B7471F" w:rsidRPr="00786071" w:rsidRDefault="00B7471F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</w:p>
    <w:p w14:paraId="17004660" w14:textId="77777777" w:rsidR="00B7471F" w:rsidRPr="00786071" w:rsidRDefault="00E0254D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B7471F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00989969" w14:textId="77777777" w:rsidR="00B7471F" w:rsidRPr="00786071" w:rsidRDefault="00E0254D" w:rsidP="00B7471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B7471F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7941FE06" w14:textId="77777777" w:rsidR="00B7471F" w:rsidRDefault="00B7471F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6AE34847" w14:textId="77777777" w:rsidR="00B15634" w:rsidRDefault="00B15634" w:rsidP="00B1563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4B66D16" w14:textId="73BB1360" w:rsidR="00B15634" w:rsidRDefault="00B15634" w:rsidP="00B1563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58394B8" w14:textId="77777777" w:rsidR="00B15634" w:rsidRDefault="00B15634" w:rsidP="00B1563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3ED4BBC" w14:textId="2C18778E" w:rsidR="00B15634" w:rsidRDefault="00B15634" w:rsidP="00B15634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218EF76A" wp14:editId="190691EA">
            <wp:extent cx="972820" cy="972820"/>
            <wp:effectExtent l="0" t="0" r="0" b="0"/>
            <wp:docPr id="898811589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EA84" w14:textId="77777777" w:rsidR="00AF6A1C" w:rsidRDefault="00AF6A1C" w:rsidP="00B15634">
      <w:pPr>
        <w:pStyle w:val="NoSpacing"/>
        <w:rPr>
          <w:rFonts w:eastAsia="Calibri"/>
          <w:sz w:val="22"/>
          <w:szCs w:val="22"/>
          <w:lang w:val="sr-Latn-RS"/>
        </w:rPr>
      </w:pPr>
    </w:p>
    <w:p w14:paraId="22C910DF" w14:textId="77777777" w:rsidR="00AF6A1C" w:rsidRDefault="00AF6A1C" w:rsidP="00B15634">
      <w:pPr>
        <w:pStyle w:val="NoSpacing"/>
        <w:rPr>
          <w:rFonts w:eastAsia="Calibri"/>
          <w:sz w:val="22"/>
          <w:szCs w:val="22"/>
          <w:lang w:val="sr-Latn-RS"/>
        </w:rPr>
      </w:pPr>
    </w:p>
    <w:p w14:paraId="73BB24D0" w14:textId="77777777" w:rsidR="00B7471F" w:rsidRPr="00786071" w:rsidRDefault="00B7471F" w:rsidP="00B747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D8035DF" w14:textId="77777777" w:rsidR="003B4123" w:rsidRDefault="005731D3">
      <w:pPr>
        <w:pStyle w:val="Heading1"/>
        <w:numPr>
          <w:ilvl w:val="1"/>
          <w:numId w:val="1"/>
        </w:numPr>
        <w:tabs>
          <w:tab w:val="left" w:pos="497"/>
        </w:tabs>
        <w:ind w:left="496"/>
        <w:jc w:val="both"/>
      </w:pPr>
      <w:r>
        <w:lastRenderedPageBreak/>
        <w:t>Predoziranje</w:t>
      </w:r>
    </w:p>
    <w:p w14:paraId="6A9FA505" w14:textId="77777777" w:rsidR="003B4123" w:rsidRDefault="003B4123">
      <w:pPr>
        <w:pStyle w:val="BodyText"/>
        <w:spacing w:before="9"/>
        <w:ind w:left="0"/>
        <w:rPr>
          <w:b/>
          <w:sz w:val="21"/>
        </w:rPr>
      </w:pPr>
    </w:p>
    <w:p w14:paraId="098A9825" w14:textId="77777777" w:rsidR="003B4123" w:rsidRDefault="005731D3">
      <w:pPr>
        <w:pStyle w:val="BodyText"/>
        <w:ind w:right="112"/>
        <w:jc w:val="both"/>
      </w:pPr>
      <w:r>
        <w:t>Do danas nisu zab</w:t>
      </w:r>
      <w:r w:rsidR="00F5038D">
        <w:t>j</w:t>
      </w:r>
      <w:r>
        <w:t>eleženi slučajevi toksičnog predoziranja oralnom upotrebom acetilcisteina. Kod dobrovoljaca su prim</w:t>
      </w:r>
      <w:r w:rsidR="00F5038D">
        <w:t>j</w:t>
      </w:r>
      <w:r>
        <w:t xml:space="preserve">enjivane </w:t>
      </w:r>
      <w:r>
        <w:rPr>
          <w:spacing w:val="-3"/>
        </w:rPr>
        <w:t xml:space="preserve">doze </w:t>
      </w:r>
      <w:r>
        <w:t>od 11,6 g acetilcisteina/dan tokom 3 m</w:t>
      </w:r>
      <w:r w:rsidR="00B7471F">
        <w:t>J</w:t>
      </w:r>
      <w:r>
        <w:t>eseca i ni</w:t>
      </w:r>
      <w:r w:rsidR="00F5038D">
        <w:t>je</w:t>
      </w:r>
      <w:r>
        <w:t xml:space="preserve">su uočena </w:t>
      </w:r>
      <w:proofErr w:type="gramStart"/>
      <w:r>
        <w:rPr>
          <w:spacing w:val="-3"/>
        </w:rPr>
        <w:t xml:space="preserve">teška  </w:t>
      </w:r>
      <w:r>
        <w:t>neželjena</w:t>
      </w:r>
      <w:proofErr w:type="gramEnd"/>
      <w:r>
        <w:t xml:space="preserve"> dejstva. Oralne doze do 500 mg acetilcisteina/kg t</w:t>
      </w:r>
      <w:r w:rsidR="00F5038D">
        <w:t>j</w:t>
      </w:r>
      <w:r>
        <w:t xml:space="preserve">elesne mase su </w:t>
      </w:r>
      <w:r>
        <w:rPr>
          <w:spacing w:val="2"/>
        </w:rPr>
        <w:t xml:space="preserve">se </w:t>
      </w:r>
      <w:r>
        <w:t>mogle podnositi bez pojave simptoma</w:t>
      </w:r>
      <w:r>
        <w:rPr>
          <w:spacing w:val="-16"/>
        </w:rPr>
        <w:t xml:space="preserve"> </w:t>
      </w:r>
      <w:r>
        <w:t>intoksikacije.</w:t>
      </w:r>
    </w:p>
    <w:p w14:paraId="24FB896D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60D3E719" w14:textId="77777777" w:rsidR="003B4123" w:rsidRDefault="005731D3">
      <w:pPr>
        <w:pStyle w:val="BodyText"/>
        <w:jc w:val="both"/>
      </w:pPr>
      <w:r>
        <w:rPr>
          <w:u w:val="single"/>
        </w:rPr>
        <w:t>Simptomi intoksikacije</w:t>
      </w:r>
    </w:p>
    <w:p w14:paraId="3C559561" w14:textId="324D6827" w:rsidR="003B4123" w:rsidRDefault="005731D3">
      <w:pPr>
        <w:pStyle w:val="BodyText"/>
        <w:spacing w:before="1"/>
        <w:jc w:val="both"/>
      </w:pPr>
      <w:r>
        <w:t>Predoziranje može dovesti do gastrointestinalnih simptoma kao što su mučnina, povraćanje i dijareja.</w:t>
      </w:r>
    </w:p>
    <w:p w14:paraId="5EA17F53" w14:textId="77777777" w:rsidR="000C4184" w:rsidRDefault="000C4184">
      <w:pPr>
        <w:pStyle w:val="BodyText"/>
        <w:spacing w:before="1"/>
        <w:jc w:val="both"/>
      </w:pPr>
    </w:p>
    <w:p w14:paraId="3E88BDB2" w14:textId="77777777" w:rsidR="003B4123" w:rsidRDefault="005731D3">
      <w:pPr>
        <w:pStyle w:val="BodyText"/>
        <w:spacing w:before="65" w:line="251" w:lineRule="exact"/>
        <w:jc w:val="both"/>
      </w:pPr>
      <w:r>
        <w:rPr>
          <w:u w:val="single"/>
        </w:rPr>
        <w:t>Terapija intoksikacije</w:t>
      </w:r>
    </w:p>
    <w:p w14:paraId="1EE22E75" w14:textId="77777777" w:rsidR="003B4123" w:rsidRDefault="005731D3">
      <w:pPr>
        <w:pStyle w:val="BodyText"/>
        <w:spacing w:line="251" w:lineRule="exact"/>
        <w:jc w:val="both"/>
      </w:pPr>
      <w:r>
        <w:t>Ako je neophodno, u skladu sa simptomima.</w:t>
      </w:r>
    </w:p>
    <w:p w14:paraId="661CFB58" w14:textId="77777777" w:rsidR="003B4123" w:rsidRDefault="003B4123">
      <w:pPr>
        <w:pStyle w:val="BodyText"/>
        <w:spacing w:before="2"/>
        <w:ind w:left="0"/>
      </w:pPr>
    </w:p>
    <w:p w14:paraId="00E34BB2" w14:textId="77777777" w:rsidR="003B4123" w:rsidRDefault="005731D3">
      <w:pPr>
        <w:pStyle w:val="BodyText"/>
        <w:spacing w:before="1"/>
        <w:ind w:right="452"/>
        <w:jc w:val="both"/>
      </w:pPr>
      <w:r>
        <w:t>Dostupno je iskustvo dobijeno intravenskom prim</w:t>
      </w:r>
      <w:r w:rsidR="00F5038D">
        <w:t>j</w:t>
      </w:r>
      <w:r>
        <w:t>enom acetilcisteina u terapiji intoksikacije paracetamolom kod ljudi, sa prim</w:t>
      </w:r>
      <w:r w:rsidR="00F5038D">
        <w:t>j</w:t>
      </w:r>
      <w:r>
        <w:t>enom maksimalnih dnevnih doza do 30 g acetilcisteina. Intravenska prim</w:t>
      </w:r>
      <w:r w:rsidR="00F5038D">
        <w:t>j</w:t>
      </w:r>
      <w:r>
        <w:t xml:space="preserve">ena ekstremno visokih koncentracija acetilcisteina može dovesti do delimično ireverzibilnih "anafilaktoidnih reakcija", posebno ako se </w:t>
      </w:r>
      <w:r w:rsidR="00F5038D">
        <w:t>lijek</w:t>
      </w:r>
      <w:r>
        <w:t xml:space="preserve"> brzo primenjuje. U jednom slučaju su, nakon masivnog intravenskog predoziranja, prijavljene epizode epileptičnih napada i edem mozga sa smrtnim ishodom.</w:t>
      </w:r>
    </w:p>
    <w:p w14:paraId="2ADB8E48" w14:textId="77777777" w:rsidR="003B4123" w:rsidRDefault="003B4123">
      <w:pPr>
        <w:pStyle w:val="BodyText"/>
        <w:ind w:left="0"/>
        <w:rPr>
          <w:sz w:val="24"/>
        </w:rPr>
      </w:pPr>
    </w:p>
    <w:p w14:paraId="43EE36D9" w14:textId="77777777" w:rsidR="003B4123" w:rsidRDefault="005731D3">
      <w:pPr>
        <w:pStyle w:val="Heading1"/>
        <w:numPr>
          <w:ilvl w:val="0"/>
          <w:numId w:val="1"/>
        </w:numPr>
        <w:tabs>
          <w:tab w:val="left" w:pos="332"/>
        </w:tabs>
        <w:spacing w:before="186"/>
        <w:ind w:left="331" w:hanging="219"/>
        <w:jc w:val="both"/>
      </w:pPr>
      <w:r>
        <w:t>FARMAKOLOŠKI</w:t>
      </w:r>
      <w:r>
        <w:rPr>
          <w:spacing w:val="-9"/>
        </w:rPr>
        <w:t xml:space="preserve"> </w:t>
      </w:r>
      <w:r>
        <w:t>PODACI</w:t>
      </w:r>
    </w:p>
    <w:p w14:paraId="24BB0E3E" w14:textId="77777777" w:rsidR="003B4123" w:rsidRDefault="005731D3">
      <w:pPr>
        <w:pStyle w:val="ListParagraph"/>
        <w:numPr>
          <w:ilvl w:val="1"/>
          <w:numId w:val="1"/>
        </w:numPr>
        <w:tabs>
          <w:tab w:val="left" w:pos="500"/>
        </w:tabs>
        <w:spacing w:before="198" w:line="251" w:lineRule="exact"/>
        <w:ind w:left="499" w:hanging="387"/>
        <w:rPr>
          <w:b/>
        </w:rPr>
      </w:pPr>
      <w:r>
        <w:rPr>
          <w:b/>
        </w:rPr>
        <w:t>Farmakodinamski</w:t>
      </w:r>
      <w:r>
        <w:rPr>
          <w:b/>
          <w:spacing w:val="-13"/>
        </w:rPr>
        <w:t xml:space="preserve"> </w:t>
      </w:r>
      <w:r>
        <w:rPr>
          <w:b/>
        </w:rPr>
        <w:t>podaci</w:t>
      </w:r>
    </w:p>
    <w:p w14:paraId="371E35CB" w14:textId="77777777" w:rsidR="00C13C02" w:rsidRPr="00C13C02" w:rsidRDefault="00C13C02" w:rsidP="00C13C02">
      <w:pPr>
        <w:tabs>
          <w:tab w:val="left" w:pos="500"/>
        </w:tabs>
        <w:spacing w:before="198" w:line="251" w:lineRule="exact"/>
        <w:ind w:left="112"/>
        <w:rPr>
          <w:b/>
        </w:rPr>
      </w:pPr>
    </w:p>
    <w:p w14:paraId="1D027B59" w14:textId="77777777" w:rsidR="003B4123" w:rsidRDefault="005731D3">
      <w:pPr>
        <w:spacing w:line="251" w:lineRule="exact"/>
        <w:ind w:left="112"/>
        <w:jc w:val="both"/>
      </w:pPr>
      <w:r w:rsidRPr="00C13C02">
        <w:rPr>
          <w:bCs/>
        </w:rPr>
        <w:t>Farmakoterapijska grupa:</w:t>
      </w:r>
      <w:r>
        <w:rPr>
          <w:b/>
        </w:rPr>
        <w:t xml:space="preserve"> </w:t>
      </w:r>
      <w:r w:rsidR="00F5038D">
        <w:t>Ljekovi</w:t>
      </w:r>
      <w:r>
        <w:t xml:space="preserve"> protiv kašlja i prehlade; mukolitici</w:t>
      </w:r>
    </w:p>
    <w:p w14:paraId="0342CD91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34D4EB0C" w14:textId="77777777" w:rsidR="003B4123" w:rsidRDefault="005731D3">
      <w:pPr>
        <w:ind w:left="112"/>
        <w:jc w:val="both"/>
      </w:pPr>
      <w:r w:rsidRPr="00C13C02">
        <w:rPr>
          <w:bCs/>
        </w:rPr>
        <w:t xml:space="preserve">ATC </w:t>
      </w:r>
      <w:r w:rsidR="00C13C02" w:rsidRPr="00C13C02">
        <w:rPr>
          <w:bCs/>
        </w:rPr>
        <w:t>kod</w:t>
      </w:r>
      <w:r>
        <w:rPr>
          <w:b/>
        </w:rPr>
        <w:t xml:space="preserve">: </w:t>
      </w:r>
      <w:r>
        <w:t>R05CB01</w:t>
      </w:r>
    </w:p>
    <w:p w14:paraId="674A0E1D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1F0C6ED1" w14:textId="77777777" w:rsidR="003B4123" w:rsidRDefault="005731D3">
      <w:pPr>
        <w:pStyle w:val="BodyText"/>
        <w:ind w:right="451"/>
        <w:jc w:val="both"/>
      </w:pPr>
      <w:r>
        <w:t>Acetilcistein je derivat aminokiseline cisteina. Na sluzokoži respiratornog trakta deluje sekretolitički i sekretomotorno. U vezi sa tim zna se da acetilcistein kida disulfidne veze koje povezuju lance mukopolisaharida, a u purulentnom mukusu vrši depolimerizaciju lanaca DNK. Usled ovih mehanizama dolazi do smanjenja viskoziteta mukusa.</w:t>
      </w:r>
    </w:p>
    <w:p w14:paraId="3B03FA34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22A27229" w14:textId="77777777" w:rsidR="003B4123" w:rsidRDefault="005731D3">
      <w:pPr>
        <w:pStyle w:val="BodyText"/>
        <w:ind w:right="233"/>
      </w:pPr>
      <w:r>
        <w:t>Alternativni mehanizam d</w:t>
      </w:r>
      <w:r w:rsidR="00F5038D">
        <w:t>j</w:t>
      </w:r>
      <w:r>
        <w:t>elovanja acetilcisteina se bazira na reaktivnu SH grupu koja ima sposobnost da za sebe vezuje različite hemijske radikale i na taj način smanjuje njihovu toksičnost.</w:t>
      </w:r>
    </w:p>
    <w:p w14:paraId="4D025D7E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6EC9995D" w14:textId="77777777" w:rsidR="003B4123" w:rsidRDefault="005731D3">
      <w:pPr>
        <w:pStyle w:val="BodyText"/>
        <w:ind w:right="233"/>
      </w:pPr>
      <w:r>
        <w:t>Acetilcistein, takođe doprinosi sintezu glutationa koji ima važnu ulogu u procesima detoksikacije. Ovim mehanizmima objašnjava se njegov efekat kao antidot za trovanje paracetamolom.</w:t>
      </w:r>
    </w:p>
    <w:p w14:paraId="470D88E2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6D4928EE" w14:textId="77777777" w:rsidR="003B4123" w:rsidRDefault="005731D3">
      <w:pPr>
        <w:pStyle w:val="BodyText"/>
        <w:ind w:right="233"/>
      </w:pPr>
      <w:r>
        <w:t>U bolesnika sa hroničnim bronhitisom/mukoviscidozom (cističnom fibrozom) pluća acetilcistein d</w:t>
      </w:r>
      <w:r w:rsidR="00F5038D">
        <w:t>j</w:t>
      </w:r>
      <w:r>
        <w:t>eluje profilaktički smanjujući učestalost i intenzitet posledičnih bakterijskih superinfekcija.</w:t>
      </w:r>
    </w:p>
    <w:p w14:paraId="2AB422B5" w14:textId="77777777" w:rsidR="003B4123" w:rsidRDefault="003B4123">
      <w:pPr>
        <w:pStyle w:val="BodyText"/>
        <w:spacing w:before="2"/>
        <w:ind w:left="0"/>
      </w:pPr>
    </w:p>
    <w:p w14:paraId="5BA43120" w14:textId="77777777" w:rsidR="003B4123" w:rsidRDefault="005731D3">
      <w:pPr>
        <w:pStyle w:val="Heading1"/>
        <w:numPr>
          <w:ilvl w:val="1"/>
          <w:numId w:val="1"/>
        </w:numPr>
        <w:tabs>
          <w:tab w:val="left" w:pos="498"/>
        </w:tabs>
        <w:ind w:left="497" w:hanging="385"/>
        <w:jc w:val="both"/>
      </w:pPr>
      <w:r>
        <w:t>Farmakokinetički</w:t>
      </w:r>
      <w:r>
        <w:rPr>
          <w:spacing w:val="-14"/>
        </w:rPr>
        <w:t xml:space="preserve"> </w:t>
      </w:r>
      <w:r>
        <w:t>podaci</w:t>
      </w:r>
    </w:p>
    <w:p w14:paraId="44FD7B61" w14:textId="77777777" w:rsidR="003B4123" w:rsidRDefault="003B4123">
      <w:pPr>
        <w:pStyle w:val="BodyText"/>
        <w:spacing w:before="9"/>
        <w:ind w:left="0"/>
        <w:rPr>
          <w:b/>
          <w:sz w:val="21"/>
        </w:rPr>
      </w:pPr>
    </w:p>
    <w:p w14:paraId="4B732183" w14:textId="77777777" w:rsidR="003B4123" w:rsidRDefault="005731D3">
      <w:pPr>
        <w:pStyle w:val="BodyText"/>
        <w:ind w:right="116"/>
        <w:jc w:val="both"/>
      </w:pPr>
      <w:r>
        <w:t>Acetilcistein se brzo i skoro potpuno resorbuje posle peroralne prim</w:t>
      </w:r>
      <w:r w:rsidR="00F5038D">
        <w:t>j</w:t>
      </w:r>
      <w:r>
        <w:t>ene, a u jetri se metaboliše u cistein, farmakološki aktivni metabolit, kao i diacetilcistin, cistin i druge mešane disulfide. Zbog obimne razgradnje pri prvom prolazu kroz jetru, biološka raspoloživost oralnog acetilcisteina je veoma mala i iznosi približno 10%.</w:t>
      </w:r>
    </w:p>
    <w:p w14:paraId="1AD9804D" w14:textId="77777777" w:rsidR="003B4123" w:rsidRDefault="005731D3">
      <w:pPr>
        <w:pStyle w:val="BodyText"/>
        <w:spacing w:before="1"/>
        <w:ind w:right="233"/>
      </w:pPr>
      <w:r>
        <w:t>Maksimalne koncentracije u plazmi ljudi postižu se posle 1-3 sata, a pros</w:t>
      </w:r>
      <w:r w:rsidR="00F5038D">
        <w:t>j</w:t>
      </w:r>
      <w:r>
        <w:t>ečna maksimalna koncentracija aktivnog</w:t>
      </w:r>
      <w:r>
        <w:rPr>
          <w:spacing w:val="-5"/>
        </w:rPr>
        <w:t xml:space="preserve"> </w:t>
      </w:r>
      <w:r>
        <w:t>metabolita</w:t>
      </w:r>
      <w:r>
        <w:rPr>
          <w:spacing w:val="-5"/>
        </w:rPr>
        <w:t xml:space="preserve"> </w:t>
      </w:r>
      <w:r>
        <w:t>cisteina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oko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mikromol/l.</w:t>
      </w:r>
      <w:r>
        <w:rPr>
          <w:spacing w:val="-5"/>
        </w:rPr>
        <w:t xml:space="preserve"> </w:t>
      </w:r>
      <w:r>
        <w:t>Procenat</w:t>
      </w:r>
      <w:r>
        <w:rPr>
          <w:spacing w:val="-5"/>
        </w:rPr>
        <w:t xml:space="preserve"> </w:t>
      </w:r>
      <w:r>
        <w:t>vezivanja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proteine</w:t>
      </w:r>
      <w:r>
        <w:rPr>
          <w:spacing w:val="-5"/>
        </w:rPr>
        <w:t xml:space="preserve"> </w:t>
      </w:r>
      <w:r>
        <w:t>plazme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oko</w:t>
      </w:r>
      <w:r>
        <w:rPr>
          <w:spacing w:val="-5"/>
        </w:rPr>
        <w:t xml:space="preserve"> </w:t>
      </w:r>
      <w:r>
        <w:t>50%.</w:t>
      </w:r>
    </w:p>
    <w:p w14:paraId="251BB80E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3370BFC3" w14:textId="77777777" w:rsidR="003B4123" w:rsidRDefault="005731D3">
      <w:pPr>
        <w:pStyle w:val="BodyText"/>
        <w:ind w:right="233"/>
      </w:pPr>
      <w:r>
        <w:t>Acetilcistein i njegovi metaboliti u organizmu postoji u 3 oblika: d</w:t>
      </w:r>
      <w:r w:rsidR="00F5038D">
        <w:t>ij</w:t>
      </w:r>
      <w:r>
        <w:t>elom u slobodnoj formi, d</w:t>
      </w:r>
      <w:r w:rsidR="00F5038D">
        <w:t>ij</w:t>
      </w:r>
      <w:r>
        <w:t>elom vezani za proteine slabim disulfidnim vezama i d</w:t>
      </w:r>
      <w:r w:rsidR="00F5038D">
        <w:t>ij</w:t>
      </w:r>
      <w:r>
        <w:t>elom kao konstituensi aminokiselina.</w:t>
      </w:r>
    </w:p>
    <w:p w14:paraId="07796B0B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580C383F" w14:textId="77777777" w:rsidR="003B4123" w:rsidRDefault="005731D3">
      <w:pPr>
        <w:pStyle w:val="BodyText"/>
        <w:ind w:right="116"/>
        <w:jc w:val="both"/>
      </w:pPr>
      <w:r>
        <w:t>Acetilcistein se gotovo u c</w:t>
      </w:r>
      <w:r w:rsidR="00F5038D">
        <w:t>j</w:t>
      </w:r>
      <w:r>
        <w:t xml:space="preserve">elini izlučuje preko bubrega u obliku neaktivnih metabolita (neorganski sulfati, </w:t>
      </w:r>
      <w:r>
        <w:lastRenderedPageBreak/>
        <w:t>diacetilcistin). Poluvr</w:t>
      </w:r>
      <w:r w:rsidR="00F5038D">
        <w:t>ij</w:t>
      </w:r>
      <w:r>
        <w:t>eme eliminacije acetilcisteina iznosi samo 1 sat, uglavnom zbog brze biotransformacije u jetri. U slučaju ograničene funkcije jetre poluvr</w:t>
      </w:r>
      <w:r w:rsidR="00F5038D">
        <w:t>ij</w:t>
      </w:r>
      <w:r>
        <w:t>eme eliminacije je produženo i može iznositi do 8 sati.</w:t>
      </w:r>
    </w:p>
    <w:p w14:paraId="67D6AC04" w14:textId="77777777" w:rsidR="003B4123" w:rsidRDefault="003B4123">
      <w:pPr>
        <w:pStyle w:val="BodyText"/>
        <w:spacing w:before="2"/>
        <w:ind w:left="0"/>
      </w:pPr>
    </w:p>
    <w:p w14:paraId="3191FB35" w14:textId="77777777" w:rsidR="003B4123" w:rsidRDefault="005731D3">
      <w:pPr>
        <w:pStyle w:val="BodyText"/>
        <w:ind w:right="116"/>
        <w:jc w:val="both"/>
      </w:pPr>
      <w:r>
        <w:t xml:space="preserve">Farmakokinetička ispitivanja posle intravenske </w:t>
      </w:r>
      <w:r w:rsidR="00F5038D">
        <w:t>primjene</w:t>
      </w:r>
      <w:r>
        <w:t xml:space="preserve"> acetilcisteina pokazala su da ukupan volumen distribucije iznosi 0,47 L/kg t</w:t>
      </w:r>
      <w:r w:rsidR="00B7471F">
        <w:t>J</w:t>
      </w:r>
      <w:r>
        <w:t>elesne mase (ukupno) i 0,59 L/kg (redukovano), dok je klirens u plazmi bio 0,11 L/h/kg t</w:t>
      </w:r>
      <w:r w:rsidR="00B7471F">
        <w:t>J</w:t>
      </w:r>
      <w:r>
        <w:t xml:space="preserve">elesne mase i 0,84 L/h/kg (redukovano). </w:t>
      </w:r>
      <w:r w:rsidR="00F5038D">
        <w:t>Poluvrijeme</w:t>
      </w:r>
      <w:r>
        <w:t xml:space="preserve"> eliminacije nakon i.v. </w:t>
      </w:r>
      <w:r w:rsidR="00F5038D">
        <w:t>primjene</w:t>
      </w:r>
      <w:r>
        <w:t xml:space="preserve"> je 30-40 minuta dok izlučivanje prati trofaznu kinetiku (α, β i terminalna γ faza).</w:t>
      </w:r>
    </w:p>
    <w:p w14:paraId="485EED5B" w14:textId="77777777" w:rsidR="003B4123" w:rsidRDefault="005731D3">
      <w:pPr>
        <w:pStyle w:val="BodyText"/>
        <w:spacing w:before="88" w:line="250" w:lineRule="exact"/>
        <w:ind w:right="233"/>
      </w:pPr>
      <w:r>
        <w:t>Acetilcistein prolazi placentarnu barijeru i njegovo prisustvo se može dokazati u krvi pupčane vrpce. Nema podataka o prolasku acetilcisteina u majčino m</w:t>
      </w:r>
      <w:r w:rsidR="00F5038D">
        <w:t>lijek</w:t>
      </w:r>
      <w:r>
        <w:t>o.</w:t>
      </w:r>
    </w:p>
    <w:p w14:paraId="7CC4925F" w14:textId="79E2B247" w:rsidR="003B4123" w:rsidRDefault="005731D3">
      <w:pPr>
        <w:pStyle w:val="BodyText"/>
        <w:spacing w:before="76"/>
        <w:jc w:val="both"/>
      </w:pPr>
      <w:r>
        <w:t>Nema podataka da li acetilcistein prolazi hematoencefalnu barijeru kod ljudi.</w:t>
      </w:r>
    </w:p>
    <w:p w14:paraId="08DE4468" w14:textId="77777777" w:rsidR="000C4184" w:rsidRDefault="000C4184">
      <w:pPr>
        <w:pStyle w:val="BodyText"/>
        <w:spacing w:before="76"/>
        <w:jc w:val="both"/>
      </w:pPr>
    </w:p>
    <w:p w14:paraId="04859BAD" w14:textId="77777777" w:rsidR="003B4123" w:rsidRDefault="005731D3">
      <w:pPr>
        <w:pStyle w:val="Heading1"/>
        <w:numPr>
          <w:ilvl w:val="1"/>
          <w:numId w:val="1"/>
        </w:numPr>
        <w:tabs>
          <w:tab w:val="left" w:pos="498"/>
        </w:tabs>
        <w:spacing w:before="70"/>
        <w:ind w:left="497" w:hanging="385"/>
        <w:jc w:val="both"/>
      </w:pPr>
      <w:r>
        <w:t>Pretklinički podaci o bezbednosti</w:t>
      </w:r>
      <w:r>
        <w:rPr>
          <w:spacing w:val="-22"/>
        </w:rPr>
        <w:t xml:space="preserve"> </w:t>
      </w:r>
      <w:r w:rsidR="00F5038D">
        <w:t>lijek</w:t>
      </w:r>
      <w:r>
        <w:t>a</w:t>
      </w:r>
    </w:p>
    <w:p w14:paraId="14B1FF70" w14:textId="77777777" w:rsidR="003B4123" w:rsidRDefault="003B4123">
      <w:pPr>
        <w:pStyle w:val="BodyText"/>
        <w:spacing w:before="4"/>
        <w:ind w:left="0"/>
        <w:rPr>
          <w:b/>
          <w:sz w:val="21"/>
        </w:rPr>
      </w:pPr>
    </w:p>
    <w:p w14:paraId="0BA11906" w14:textId="77777777" w:rsidR="003B4123" w:rsidRDefault="005731D3">
      <w:pPr>
        <w:pStyle w:val="BodyText"/>
        <w:spacing w:before="1"/>
        <w:jc w:val="both"/>
      </w:pPr>
      <w:r>
        <w:rPr>
          <w:u w:val="single"/>
        </w:rPr>
        <w:t>Akutna toksičnost</w:t>
      </w:r>
    </w:p>
    <w:p w14:paraId="3E49AA89" w14:textId="77777777" w:rsidR="003B4123" w:rsidRDefault="005731D3">
      <w:pPr>
        <w:pStyle w:val="BodyText"/>
        <w:spacing w:before="7" w:line="250" w:lineRule="exact"/>
        <w:ind w:right="154"/>
      </w:pPr>
      <w:r>
        <w:t>U kliničkim studijama na životinjama pokazano je da je akutna toksičnost niska</w:t>
      </w:r>
      <w:r w:rsidR="00F5038D">
        <w:t>.</w:t>
      </w:r>
      <w:r>
        <w:t xml:space="preserve"> Za terapiju predoziranja, vid</w:t>
      </w:r>
      <w:r w:rsidR="00F5038D">
        <w:t>j</w:t>
      </w:r>
      <w:r>
        <w:t>eti od</w:t>
      </w:r>
      <w:r w:rsidR="00F5038D">
        <w:t>j</w:t>
      </w:r>
      <w:r>
        <w:t>eljak 4.9.</w:t>
      </w:r>
    </w:p>
    <w:p w14:paraId="2B201BD1" w14:textId="77777777" w:rsidR="003B4123" w:rsidRDefault="003B4123">
      <w:pPr>
        <w:pStyle w:val="BodyText"/>
        <w:ind w:left="0"/>
      </w:pPr>
    </w:p>
    <w:p w14:paraId="09D7F6CC" w14:textId="77777777" w:rsidR="003B4123" w:rsidRDefault="005731D3">
      <w:pPr>
        <w:pStyle w:val="BodyText"/>
        <w:spacing w:line="251" w:lineRule="exact"/>
        <w:jc w:val="both"/>
      </w:pPr>
      <w:r>
        <w:rPr>
          <w:u w:val="single"/>
        </w:rPr>
        <w:t>Hronična toksičnost</w:t>
      </w:r>
    </w:p>
    <w:p w14:paraId="3D23A9BB" w14:textId="77777777" w:rsidR="003B4123" w:rsidRDefault="005731D3">
      <w:pPr>
        <w:pStyle w:val="BodyText"/>
      </w:pPr>
      <w:r>
        <w:t>Studije na različitim životinjskim vrstama (pacov, pas) tokom jednogodišnjeg perioda ni</w:t>
      </w:r>
      <w:r w:rsidR="00B7471F">
        <w:t>je</w:t>
      </w:r>
      <w:r>
        <w:t>su pokazale bilo kakve patološke prom</w:t>
      </w:r>
      <w:r w:rsidR="00F5038D">
        <w:t>j</w:t>
      </w:r>
      <w:r>
        <w:t>ene.</w:t>
      </w:r>
    </w:p>
    <w:p w14:paraId="1C333890" w14:textId="77777777" w:rsidR="003B4123" w:rsidRDefault="003B4123">
      <w:pPr>
        <w:pStyle w:val="BodyText"/>
        <w:spacing w:before="5"/>
        <w:ind w:left="0"/>
      </w:pPr>
    </w:p>
    <w:p w14:paraId="740DA6AE" w14:textId="77777777" w:rsidR="003B4123" w:rsidRDefault="005731D3">
      <w:pPr>
        <w:pStyle w:val="BodyText"/>
        <w:spacing w:line="251" w:lineRule="exact"/>
        <w:jc w:val="both"/>
      </w:pPr>
      <w:r>
        <w:rPr>
          <w:u w:val="single"/>
        </w:rPr>
        <w:t>Mutageni i tumorogeni potencijal</w:t>
      </w:r>
    </w:p>
    <w:p w14:paraId="4AC04E28" w14:textId="77777777" w:rsidR="003B4123" w:rsidRDefault="005731D3">
      <w:pPr>
        <w:pStyle w:val="BodyText"/>
        <w:spacing w:line="482" w:lineRule="auto"/>
        <w:ind w:right="3158"/>
      </w:pPr>
      <w:r>
        <w:t>Ne očekuju se mutageni efekti acetilcisteina. Test in vitro je bio negativan. Nisu sprovedene studije kancerogenog potencijala acetilcisteina.</w:t>
      </w:r>
    </w:p>
    <w:p w14:paraId="4E833291" w14:textId="77777777" w:rsidR="003B4123" w:rsidRDefault="005731D3">
      <w:pPr>
        <w:pStyle w:val="BodyText"/>
        <w:spacing w:before="6"/>
        <w:jc w:val="both"/>
      </w:pPr>
      <w:r>
        <w:rPr>
          <w:u w:val="single"/>
        </w:rPr>
        <w:t>Reproduktivna toksičnost</w:t>
      </w:r>
    </w:p>
    <w:p w14:paraId="1A37BCF2" w14:textId="77777777" w:rsidR="003B4123" w:rsidRDefault="005731D3">
      <w:pPr>
        <w:pStyle w:val="BodyText"/>
        <w:ind w:right="112"/>
        <w:jc w:val="both"/>
      </w:pPr>
      <w:r>
        <w:t>Studije embriotoksičnosti su vršene na skotnim kunićima i pacovima koji su dobijali oralne doze acetilcisteina tokom organogeneze. Doza je bila 250, 500 i 750 mg/kg kod kunića i 500, 1000 i 2000 mg/kg kod pacova. Ni u jednoj od dve eksperimentalne studije nisu utvrđene malformacije.</w:t>
      </w:r>
    </w:p>
    <w:p w14:paraId="67584257" w14:textId="77777777" w:rsidR="003B4123" w:rsidRDefault="003B4123">
      <w:pPr>
        <w:pStyle w:val="BodyText"/>
        <w:spacing w:before="2"/>
        <w:ind w:left="0"/>
      </w:pPr>
    </w:p>
    <w:p w14:paraId="3FF5E6D0" w14:textId="77777777" w:rsidR="003B4123" w:rsidRDefault="005731D3">
      <w:pPr>
        <w:pStyle w:val="BodyText"/>
        <w:ind w:right="110"/>
        <w:jc w:val="both"/>
      </w:pPr>
      <w:r>
        <w:t>Studije plodnosti, prenatalne i postnatalne, rađene su sa oralno primenjivanim acetilcisteinom na pacovima. Rezultati ovih studija su pokazali da acetilcistein ne utiče na funkciju polnih žlezda, stopu plodnosti, porođaj, dojenje ili razvoj novorođenih životinja.</w:t>
      </w:r>
    </w:p>
    <w:p w14:paraId="57A47FEB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5CCC49B7" w14:textId="77777777" w:rsidR="003B4123" w:rsidRDefault="005731D3">
      <w:pPr>
        <w:pStyle w:val="BodyText"/>
        <w:ind w:right="112"/>
        <w:jc w:val="both"/>
      </w:pPr>
      <w:r>
        <w:t>Acetilcistein prolazi placentarnu barijeru kod pacova i njegovo prisustvo je dokazano u amnionskoj tečnosti. Koncentracije metabolita L-cisteina su veće u placenti i krvi fetusa nego u krvotoku majke, m</w:t>
      </w:r>
      <w:r w:rsidR="00F5038D">
        <w:t>j</w:t>
      </w:r>
      <w:r>
        <w:t xml:space="preserve">ereno 8 sati posle oralne </w:t>
      </w:r>
      <w:r w:rsidR="00F5038D">
        <w:t>primjene</w:t>
      </w:r>
      <w:r>
        <w:t>.</w:t>
      </w:r>
    </w:p>
    <w:p w14:paraId="2434C82D" w14:textId="77777777" w:rsidR="003B4123" w:rsidRDefault="003B4123">
      <w:pPr>
        <w:pStyle w:val="BodyText"/>
        <w:ind w:left="0"/>
        <w:rPr>
          <w:sz w:val="24"/>
        </w:rPr>
      </w:pPr>
    </w:p>
    <w:p w14:paraId="17F01FE5" w14:textId="77777777" w:rsidR="003B4123" w:rsidRDefault="005731D3">
      <w:pPr>
        <w:pStyle w:val="Heading1"/>
        <w:numPr>
          <w:ilvl w:val="0"/>
          <w:numId w:val="1"/>
        </w:numPr>
        <w:tabs>
          <w:tab w:val="left" w:pos="333"/>
        </w:tabs>
        <w:spacing w:before="181"/>
        <w:ind w:left="332" w:hanging="220"/>
        <w:jc w:val="both"/>
      </w:pPr>
      <w:r>
        <w:t>FARMACEUTSKI</w:t>
      </w:r>
      <w:r>
        <w:rPr>
          <w:spacing w:val="-9"/>
        </w:rPr>
        <w:t xml:space="preserve"> </w:t>
      </w:r>
      <w:r>
        <w:t>PODACI</w:t>
      </w:r>
    </w:p>
    <w:p w14:paraId="72045AD9" w14:textId="77777777" w:rsidR="003B4123" w:rsidRDefault="005731D3">
      <w:pPr>
        <w:pStyle w:val="ListParagraph"/>
        <w:numPr>
          <w:ilvl w:val="1"/>
          <w:numId w:val="1"/>
        </w:numPr>
        <w:tabs>
          <w:tab w:val="left" w:pos="499"/>
        </w:tabs>
        <w:spacing w:before="198"/>
        <w:ind w:firstLine="0"/>
        <w:rPr>
          <w:b/>
        </w:rPr>
      </w:pPr>
      <w:r>
        <w:rPr>
          <w:b/>
        </w:rPr>
        <w:t>Lista pomoćnih</w:t>
      </w:r>
      <w:r>
        <w:rPr>
          <w:b/>
          <w:spacing w:val="-19"/>
        </w:rPr>
        <w:t xml:space="preserve"> </w:t>
      </w:r>
      <w:r>
        <w:rPr>
          <w:b/>
        </w:rPr>
        <w:t>supstanci</w:t>
      </w:r>
      <w:r w:rsidR="00B7471F">
        <w:rPr>
          <w:b/>
        </w:rPr>
        <w:t xml:space="preserve"> (ekscipijenasa)</w:t>
      </w:r>
    </w:p>
    <w:p w14:paraId="2C1E1BB0" w14:textId="77777777" w:rsidR="003B4123" w:rsidRDefault="003B4123">
      <w:pPr>
        <w:pStyle w:val="BodyText"/>
        <w:spacing w:before="3"/>
        <w:ind w:left="0"/>
        <w:rPr>
          <w:b/>
        </w:rPr>
      </w:pPr>
    </w:p>
    <w:p w14:paraId="3667CCD7" w14:textId="6A6FCBC7" w:rsidR="007322E7" w:rsidRDefault="005731D3" w:rsidP="007322E7">
      <w:pPr>
        <w:pStyle w:val="BodyText"/>
        <w:spacing w:line="250" w:lineRule="exact"/>
        <w:ind w:right="7035"/>
      </w:pPr>
      <w:r>
        <w:t xml:space="preserve">Laktoza, </w:t>
      </w:r>
      <w:r w:rsidR="007322E7">
        <w:t>bezvodna</w:t>
      </w:r>
    </w:p>
    <w:p w14:paraId="1A18F54C" w14:textId="149BA676" w:rsidR="003B4123" w:rsidRDefault="005731D3" w:rsidP="007322E7">
      <w:pPr>
        <w:pStyle w:val="BodyText"/>
        <w:spacing w:line="250" w:lineRule="exact"/>
        <w:ind w:right="7035"/>
      </w:pPr>
      <w:r>
        <w:t>Limunska kiselina</w:t>
      </w:r>
      <w:r w:rsidR="007322E7">
        <w:t>, bezvodna</w:t>
      </w:r>
    </w:p>
    <w:p w14:paraId="4A872D97" w14:textId="38BDBC36" w:rsidR="003B4123" w:rsidRDefault="005731D3" w:rsidP="007322E7">
      <w:pPr>
        <w:pStyle w:val="BodyText"/>
        <w:ind w:right="6609"/>
      </w:pPr>
      <w:r>
        <w:t>Natrijum</w:t>
      </w:r>
      <w:r w:rsidR="007322E7">
        <w:t xml:space="preserve"> </w:t>
      </w:r>
      <w:r>
        <w:t>hidrogenkarbonat Natrijum</w:t>
      </w:r>
      <w:r w:rsidR="007322E7">
        <w:t xml:space="preserve"> </w:t>
      </w:r>
      <w:r>
        <w:t>karbonat</w:t>
      </w:r>
      <w:r w:rsidR="007322E7">
        <w:t>, bezvodni</w:t>
      </w:r>
    </w:p>
    <w:p w14:paraId="3EECD08C" w14:textId="77777777" w:rsidR="003B4123" w:rsidRDefault="005731D3">
      <w:pPr>
        <w:pStyle w:val="BodyText"/>
        <w:spacing w:before="2" w:line="251" w:lineRule="exact"/>
        <w:jc w:val="both"/>
      </w:pPr>
      <w:r>
        <w:t>Manitol (E421)</w:t>
      </w:r>
    </w:p>
    <w:p w14:paraId="1E096AC5" w14:textId="61EA312B" w:rsidR="003B4123" w:rsidRDefault="005731D3">
      <w:pPr>
        <w:pStyle w:val="BodyText"/>
        <w:ind w:right="6826"/>
      </w:pPr>
      <w:r>
        <w:t>Askorbinska kiselina (vitamin C) Natrijum</w:t>
      </w:r>
      <w:r w:rsidR="007322E7">
        <w:t xml:space="preserve"> </w:t>
      </w:r>
      <w:r>
        <w:t>ciklamat</w:t>
      </w:r>
    </w:p>
    <w:p w14:paraId="6A51CE39" w14:textId="244D58AC" w:rsidR="003B4123" w:rsidRDefault="005731D3" w:rsidP="007322E7">
      <w:pPr>
        <w:pStyle w:val="BodyText"/>
        <w:spacing w:before="9" w:line="250" w:lineRule="exact"/>
        <w:ind w:right="7885"/>
      </w:pPr>
      <w:r>
        <w:t>Saharin</w:t>
      </w:r>
      <w:r w:rsidR="007322E7">
        <w:t xml:space="preserve"> </w:t>
      </w:r>
      <w:r>
        <w:t>natrijum Natrijum</w:t>
      </w:r>
      <w:r w:rsidR="007322E7">
        <w:t xml:space="preserve"> </w:t>
      </w:r>
      <w:r>
        <w:t>citrat</w:t>
      </w:r>
    </w:p>
    <w:p w14:paraId="5F61458F" w14:textId="77777777" w:rsidR="003B4123" w:rsidRDefault="005731D3">
      <w:pPr>
        <w:pStyle w:val="BodyText"/>
        <w:spacing w:line="252" w:lineRule="exact"/>
        <w:jc w:val="both"/>
      </w:pPr>
      <w:r>
        <w:t xml:space="preserve">aroma (kupina, šumsko voće, </w:t>
      </w:r>
      <w:r>
        <w:rPr>
          <w:i/>
        </w:rPr>
        <w:t xml:space="preserve">sastav: </w:t>
      </w:r>
      <w:r>
        <w:t>sorbitol)</w:t>
      </w:r>
    </w:p>
    <w:p w14:paraId="31B66B86" w14:textId="77777777" w:rsidR="003B4123" w:rsidRDefault="003B4123">
      <w:pPr>
        <w:pStyle w:val="BodyText"/>
        <w:spacing w:before="3"/>
        <w:ind w:left="0"/>
      </w:pPr>
    </w:p>
    <w:p w14:paraId="3E47AEB9" w14:textId="77777777" w:rsidR="003B4123" w:rsidRDefault="005731D3">
      <w:pPr>
        <w:pStyle w:val="Heading1"/>
        <w:numPr>
          <w:ilvl w:val="1"/>
          <w:numId w:val="1"/>
        </w:numPr>
        <w:tabs>
          <w:tab w:val="left" w:pos="497"/>
        </w:tabs>
        <w:ind w:left="496"/>
        <w:jc w:val="both"/>
      </w:pPr>
      <w:r>
        <w:t>Inkompatibilnost</w:t>
      </w:r>
    </w:p>
    <w:p w14:paraId="5F06CE24" w14:textId="77777777" w:rsidR="003B4123" w:rsidRDefault="003B4123">
      <w:pPr>
        <w:pStyle w:val="BodyText"/>
        <w:spacing w:before="9"/>
        <w:ind w:left="0"/>
        <w:rPr>
          <w:b/>
          <w:sz w:val="21"/>
        </w:rPr>
      </w:pPr>
    </w:p>
    <w:p w14:paraId="231F1A3D" w14:textId="77777777" w:rsidR="003B4123" w:rsidRDefault="005731D3">
      <w:pPr>
        <w:pStyle w:val="BodyText"/>
        <w:jc w:val="both"/>
      </w:pPr>
      <w:r>
        <w:t>Vid</w:t>
      </w:r>
      <w:r w:rsidR="00F5038D">
        <w:t>j</w:t>
      </w:r>
      <w:r>
        <w:t>eti odeljak 4.5.</w:t>
      </w:r>
    </w:p>
    <w:p w14:paraId="7B3E63DC" w14:textId="77777777" w:rsidR="003B4123" w:rsidRDefault="003B4123">
      <w:pPr>
        <w:pStyle w:val="BodyText"/>
        <w:spacing w:before="2"/>
        <w:ind w:left="0"/>
      </w:pPr>
    </w:p>
    <w:p w14:paraId="2389D6A0" w14:textId="77777777" w:rsidR="003B4123" w:rsidRDefault="005731D3">
      <w:pPr>
        <w:pStyle w:val="Heading1"/>
        <w:numPr>
          <w:ilvl w:val="1"/>
          <w:numId w:val="1"/>
        </w:numPr>
        <w:tabs>
          <w:tab w:val="left" w:pos="497"/>
        </w:tabs>
        <w:ind w:left="496"/>
        <w:jc w:val="both"/>
      </w:pPr>
      <w:r>
        <w:t>Rok</w:t>
      </w:r>
      <w:r>
        <w:rPr>
          <w:spacing w:val="-7"/>
        </w:rPr>
        <w:t xml:space="preserve"> </w:t>
      </w:r>
      <w:r>
        <w:t>upotrebe</w:t>
      </w:r>
    </w:p>
    <w:p w14:paraId="79FB7A95" w14:textId="77777777" w:rsidR="003B4123" w:rsidRDefault="003B4123">
      <w:pPr>
        <w:pStyle w:val="BodyText"/>
        <w:spacing w:before="9"/>
        <w:ind w:left="0"/>
        <w:rPr>
          <w:b/>
          <w:sz w:val="21"/>
        </w:rPr>
      </w:pPr>
    </w:p>
    <w:p w14:paraId="3F9AAAC1" w14:textId="77777777" w:rsidR="003B4123" w:rsidRDefault="005731D3">
      <w:pPr>
        <w:pStyle w:val="BodyText"/>
        <w:jc w:val="both"/>
      </w:pPr>
      <w:r>
        <w:t>3 godine</w:t>
      </w:r>
    </w:p>
    <w:p w14:paraId="2B957512" w14:textId="77777777" w:rsidR="003B4123" w:rsidRDefault="003B4123">
      <w:pPr>
        <w:pStyle w:val="BodyText"/>
        <w:spacing w:before="2"/>
        <w:ind w:left="0"/>
      </w:pPr>
    </w:p>
    <w:p w14:paraId="1FB90DE8" w14:textId="77777777" w:rsidR="003B4123" w:rsidRDefault="005731D3">
      <w:pPr>
        <w:pStyle w:val="Heading1"/>
        <w:numPr>
          <w:ilvl w:val="1"/>
          <w:numId w:val="1"/>
        </w:numPr>
        <w:tabs>
          <w:tab w:val="left" w:pos="496"/>
        </w:tabs>
        <w:ind w:left="495" w:hanging="383"/>
        <w:jc w:val="both"/>
      </w:pPr>
      <w:r>
        <w:t>Posebne m</w:t>
      </w:r>
      <w:r w:rsidR="00B7471F">
        <w:t>j</w:t>
      </w:r>
      <w:r>
        <w:t xml:space="preserve">ere </w:t>
      </w:r>
      <w:r w:rsidR="00C13C02">
        <w:t>u</w:t>
      </w:r>
      <w:r w:rsidR="00B7471F">
        <w:t xml:space="preserve">pozorenja </w:t>
      </w:r>
      <w:r>
        <w:t>pri</w:t>
      </w:r>
      <w:r>
        <w:rPr>
          <w:spacing w:val="-13"/>
        </w:rPr>
        <w:t xml:space="preserve"> </w:t>
      </w:r>
      <w:r>
        <w:t>čuvanju</w:t>
      </w:r>
      <w:r w:rsidR="00B7471F">
        <w:t xml:space="preserve"> lijeka</w:t>
      </w:r>
    </w:p>
    <w:p w14:paraId="19573302" w14:textId="77777777" w:rsidR="003B4123" w:rsidRDefault="003B4123">
      <w:pPr>
        <w:pStyle w:val="BodyText"/>
        <w:spacing w:before="4"/>
        <w:ind w:left="0"/>
        <w:rPr>
          <w:b/>
          <w:sz w:val="21"/>
        </w:rPr>
      </w:pPr>
    </w:p>
    <w:p w14:paraId="414C9045" w14:textId="5A25FC06" w:rsidR="003B4123" w:rsidRDefault="00F5038D">
      <w:pPr>
        <w:pStyle w:val="BodyText"/>
        <w:jc w:val="both"/>
      </w:pPr>
      <w:r>
        <w:t>Lijek</w:t>
      </w:r>
      <w:r w:rsidR="005731D3">
        <w:t xml:space="preserve"> ne zaht</w:t>
      </w:r>
      <w:r w:rsidR="007322E7">
        <w:t>ij</w:t>
      </w:r>
      <w:r w:rsidR="005731D3">
        <w:t>eva posebne uslove čuvanja.</w:t>
      </w:r>
    </w:p>
    <w:p w14:paraId="7E42523C" w14:textId="77777777" w:rsidR="000C4184" w:rsidRDefault="000C4184">
      <w:pPr>
        <w:pStyle w:val="BodyText"/>
        <w:jc w:val="both"/>
      </w:pPr>
    </w:p>
    <w:p w14:paraId="1DD02579" w14:textId="1DB0F732" w:rsidR="003B4123" w:rsidRDefault="00B7471F">
      <w:pPr>
        <w:pStyle w:val="Heading1"/>
        <w:numPr>
          <w:ilvl w:val="1"/>
          <w:numId w:val="1"/>
        </w:numPr>
        <w:tabs>
          <w:tab w:val="left" w:pos="502"/>
        </w:tabs>
        <w:spacing w:before="79"/>
        <w:ind w:left="501" w:hanging="389"/>
      </w:pPr>
      <w:r>
        <w:t>Vrsta i sadržaj pakovanja</w:t>
      </w:r>
    </w:p>
    <w:p w14:paraId="553A6826" w14:textId="77777777" w:rsidR="003B4123" w:rsidRDefault="003B4123">
      <w:pPr>
        <w:pStyle w:val="BodyText"/>
        <w:spacing w:before="9"/>
        <w:ind w:left="0"/>
        <w:rPr>
          <w:b/>
          <w:sz w:val="21"/>
        </w:rPr>
      </w:pPr>
    </w:p>
    <w:p w14:paraId="3CBA67CD" w14:textId="77777777" w:rsidR="003B4123" w:rsidRDefault="005731D3">
      <w:pPr>
        <w:pStyle w:val="BodyText"/>
        <w:spacing w:line="251" w:lineRule="exact"/>
      </w:pPr>
      <w:r>
        <w:t>Unutrašnje pakovanje je troslojna kesica (polietilen-aluminijum-papir).</w:t>
      </w:r>
    </w:p>
    <w:p w14:paraId="562CEFD3" w14:textId="77777777" w:rsidR="003B4123" w:rsidRDefault="005731D3">
      <w:pPr>
        <w:pStyle w:val="BodyText"/>
        <w:ind w:right="112"/>
      </w:pPr>
      <w:r>
        <w:t xml:space="preserve">Spoljašnje pakovanje je složiva kartonska kutija u kojoj se nalazi 5 strip pakovanja (troslojnih kesica polietilen-aluminijum-papir) sa po dve pojedinačno pakovane (ukupno 10) šumeće tablete i Uputstvo za </w:t>
      </w:r>
      <w:r w:rsidR="00F5038D">
        <w:t>lijek</w:t>
      </w:r>
      <w:r>
        <w:t>.</w:t>
      </w:r>
    </w:p>
    <w:p w14:paraId="14F94F04" w14:textId="77777777" w:rsidR="003B4123" w:rsidRDefault="003B4123">
      <w:pPr>
        <w:pStyle w:val="BodyText"/>
        <w:spacing w:before="4"/>
        <w:ind w:left="0"/>
      </w:pPr>
    </w:p>
    <w:p w14:paraId="3B590C5E" w14:textId="77777777" w:rsidR="003B4123" w:rsidRDefault="005731D3">
      <w:pPr>
        <w:pStyle w:val="Heading1"/>
        <w:numPr>
          <w:ilvl w:val="1"/>
          <w:numId w:val="1"/>
        </w:numPr>
        <w:tabs>
          <w:tab w:val="left" w:pos="531"/>
        </w:tabs>
        <w:ind w:right="112" w:firstLine="0"/>
      </w:pPr>
      <w:r>
        <w:rPr>
          <w:spacing w:val="-3"/>
        </w:rPr>
        <w:t xml:space="preserve">Posebne </w:t>
      </w:r>
      <w:r>
        <w:t>m</w:t>
      </w:r>
      <w:r w:rsidR="00F5038D">
        <w:t>j</w:t>
      </w:r>
      <w:r>
        <w:t xml:space="preserve">ere opreza pri odlaganju materijala </w:t>
      </w:r>
      <w:r>
        <w:rPr>
          <w:spacing w:val="-3"/>
        </w:rPr>
        <w:t xml:space="preserve">koji </w:t>
      </w:r>
      <w:r>
        <w:t xml:space="preserve">treba odbaciti nakon </w:t>
      </w:r>
      <w:r w:rsidR="00F5038D">
        <w:t>primjene</w:t>
      </w:r>
      <w:r>
        <w:t xml:space="preserve"> </w:t>
      </w:r>
      <w:r w:rsidR="00F5038D">
        <w:t>lijek</w:t>
      </w:r>
      <w:r>
        <w:t>a (i druga uputstva za rukovanje</w:t>
      </w:r>
      <w:r>
        <w:rPr>
          <w:spacing w:val="-8"/>
        </w:rPr>
        <w:t xml:space="preserve"> </w:t>
      </w:r>
      <w:r w:rsidR="00F5038D">
        <w:rPr>
          <w:spacing w:val="-2"/>
        </w:rPr>
        <w:t>lijek</w:t>
      </w:r>
      <w:r>
        <w:rPr>
          <w:spacing w:val="-2"/>
        </w:rPr>
        <w:t>om)</w:t>
      </w:r>
    </w:p>
    <w:p w14:paraId="623C49AA" w14:textId="77777777" w:rsidR="003B4123" w:rsidRDefault="003B4123">
      <w:pPr>
        <w:pStyle w:val="BodyText"/>
        <w:spacing w:before="8"/>
        <w:ind w:left="0"/>
        <w:rPr>
          <w:b/>
          <w:sz w:val="21"/>
        </w:rPr>
      </w:pPr>
    </w:p>
    <w:p w14:paraId="3DE2DE97" w14:textId="77777777" w:rsidR="003B4123" w:rsidRDefault="005731D3">
      <w:pPr>
        <w:pStyle w:val="BodyText"/>
        <w:spacing w:before="1"/>
      </w:pPr>
      <w:r>
        <w:t>Nema posebnih zaht</w:t>
      </w:r>
      <w:r w:rsidR="00C13C02">
        <w:t>j</w:t>
      </w:r>
      <w:r>
        <w:t>eva.</w:t>
      </w:r>
    </w:p>
    <w:p w14:paraId="43822CE8" w14:textId="77777777" w:rsidR="003B4123" w:rsidRDefault="003B4123">
      <w:pPr>
        <w:pStyle w:val="BodyText"/>
        <w:spacing w:before="9"/>
        <w:ind w:left="0"/>
        <w:rPr>
          <w:sz w:val="21"/>
        </w:rPr>
      </w:pPr>
    </w:p>
    <w:p w14:paraId="7401A941" w14:textId="163F5D1E" w:rsidR="003B4123" w:rsidRDefault="005731D3">
      <w:pPr>
        <w:pStyle w:val="BodyText"/>
      </w:pPr>
      <w:r>
        <w:t xml:space="preserve">Svu neiskorišćenu količinu </w:t>
      </w:r>
      <w:r w:rsidR="00F5038D">
        <w:t>lijek</w:t>
      </w:r>
      <w:r>
        <w:t>a ili otpadnog materijala nakon njegove upotrebe treba ukloniti, u skladu sa važećim propisima.</w:t>
      </w:r>
    </w:p>
    <w:p w14:paraId="17E3FB3A" w14:textId="77777777" w:rsidR="002B6B8E" w:rsidRDefault="002B6B8E">
      <w:pPr>
        <w:pStyle w:val="BodyText"/>
      </w:pPr>
    </w:p>
    <w:p w14:paraId="7EC70ECE" w14:textId="77777777" w:rsidR="003B4123" w:rsidRDefault="005731D3">
      <w:pPr>
        <w:pStyle w:val="Heading1"/>
        <w:numPr>
          <w:ilvl w:val="0"/>
          <w:numId w:val="1"/>
        </w:numPr>
        <w:tabs>
          <w:tab w:val="left" w:pos="333"/>
        </w:tabs>
        <w:spacing w:before="202"/>
        <w:ind w:left="332" w:hanging="220"/>
      </w:pPr>
      <w:r>
        <w:t>NOSILAC</w:t>
      </w:r>
      <w:r>
        <w:rPr>
          <w:spacing w:val="-7"/>
        </w:rPr>
        <w:t xml:space="preserve"> </w:t>
      </w:r>
      <w:r>
        <w:t>DOZVOLE</w:t>
      </w:r>
    </w:p>
    <w:p w14:paraId="35900021" w14:textId="77777777" w:rsidR="00F5038D" w:rsidRPr="00D5209D" w:rsidRDefault="00F5038D" w:rsidP="00D5209D">
      <w:pPr>
        <w:pStyle w:val="Heading1"/>
        <w:tabs>
          <w:tab w:val="left" w:pos="334"/>
        </w:tabs>
        <w:spacing w:before="207"/>
        <w:rPr>
          <w:b w:val="0"/>
          <w:bCs w:val="0"/>
        </w:rPr>
      </w:pPr>
      <w:r w:rsidRPr="00D5209D">
        <w:rPr>
          <w:b w:val="0"/>
          <w:bCs w:val="0"/>
        </w:rPr>
        <w:t>Glosarij d.o.o.</w:t>
      </w:r>
    </w:p>
    <w:p w14:paraId="7061BF3D" w14:textId="3B1F7533" w:rsidR="00D5209D" w:rsidRDefault="00F5038D" w:rsidP="002B6B8E">
      <w:pPr>
        <w:pStyle w:val="Heading1"/>
        <w:tabs>
          <w:tab w:val="left" w:pos="334"/>
        </w:tabs>
        <w:rPr>
          <w:b w:val="0"/>
          <w:bCs w:val="0"/>
        </w:rPr>
      </w:pPr>
      <w:r w:rsidRPr="00D5209D">
        <w:rPr>
          <w:b w:val="0"/>
          <w:bCs w:val="0"/>
        </w:rPr>
        <w:t xml:space="preserve">Vojislavljevića </w:t>
      </w:r>
      <w:r w:rsidR="00D5209D" w:rsidRPr="00D5209D">
        <w:rPr>
          <w:b w:val="0"/>
          <w:bCs w:val="0"/>
        </w:rPr>
        <w:t>76, 81000 Podgorica, Crna Gora</w:t>
      </w:r>
    </w:p>
    <w:p w14:paraId="40DFFC12" w14:textId="14FAB0FB" w:rsidR="002B6B8E" w:rsidRDefault="002B6B8E" w:rsidP="002B6B8E">
      <w:pPr>
        <w:pStyle w:val="Heading1"/>
        <w:tabs>
          <w:tab w:val="left" w:pos="334"/>
        </w:tabs>
        <w:rPr>
          <w:b w:val="0"/>
          <w:bCs w:val="0"/>
        </w:rPr>
      </w:pPr>
    </w:p>
    <w:p w14:paraId="70643A5D" w14:textId="77777777" w:rsidR="002B6B8E" w:rsidRDefault="002B6B8E" w:rsidP="002B6B8E">
      <w:pPr>
        <w:pStyle w:val="Heading1"/>
        <w:tabs>
          <w:tab w:val="left" w:pos="334"/>
        </w:tabs>
        <w:rPr>
          <w:b w:val="0"/>
          <w:bCs w:val="0"/>
        </w:rPr>
      </w:pPr>
    </w:p>
    <w:p w14:paraId="70F26B69" w14:textId="71637592" w:rsidR="003B4123" w:rsidRDefault="005731D3" w:rsidP="002B6B8E">
      <w:pPr>
        <w:pStyle w:val="Heading1"/>
        <w:numPr>
          <w:ilvl w:val="0"/>
          <w:numId w:val="1"/>
        </w:numPr>
        <w:tabs>
          <w:tab w:val="left" w:pos="334"/>
        </w:tabs>
        <w:ind w:left="333" w:hanging="221"/>
      </w:pPr>
      <w:r>
        <w:t>BROJ</w:t>
      </w:r>
      <w:r w:rsidR="007322E7">
        <w:t xml:space="preserve"> </w:t>
      </w:r>
      <w:r>
        <w:t>DOZVOLE</w:t>
      </w:r>
      <w:r w:rsidR="007322E7">
        <w:t xml:space="preserve"> </w:t>
      </w:r>
      <w:r>
        <w:t xml:space="preserve">ZA STAVLJANJE </w:t>
      </w:r>
      <w:r w:rsidR="00F5038D">
        <w:t>LIJEK</w:t>
      </w:r>
      <w:r>
        <w:t>A U</w:t>
      </w:r>
      <w:r>
        <w:rPr>
          <w:spacing w:val="-21"/>
        </w:rPr>
        <w:t xml:space="preserve"> </w:t>
      </w:r>
      <w:r>
        <w:t>PROMET</w:t>
      </w:r>
    </w:p>
    <w:p w14:paraId="55CE7EF9" w14:textId="77777777" w:rsidR="002B6B8E" w:rsidRDefault="002B6B8E" w:rsidP="002B6B8E">
      <w:pPr>
        <w:pStyle w:val="Heading1"/>
        <w:tabs>
          <w:tab w:val="left" w:pos="416"/>
        </w:tabs>
        <w:spacing w:line="250" w:lineRule="exact"/>
        <w:ind w:left="0" w:right="113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1F0F9CD9" w14:textId="00268250" w:rsidR="00D5209D" w:rsidRDefault="002B6B8E" w:rsidP="002B6B8E">
      <w:pPr>
        <w:pStyle w:val="Heading1"/>
        <w:tabs>
          <w:tab w:val="left" w:pos="416"/>
        </w:tabs>
        <w:spacing w:line="250" w:lineRule="exact"/>
        <w:ind w:left="0" w:right="113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D5209D" w:rsidRPr="00D5209D">
        <w:rPr>
          <w:b w:val="0"/>
          <w:bCs w:val="0"/>
        </w:rPr>
        <w:t>ACC</w:t>
      </w:r>
      <w:r w:rsidR="00D5209D" w:rsidRPr="002C47A9">
        <w:rPr>
          <w:b w:val="0"/>
          <w:bCs w:val="0"/>
          <w:vertAlign w:val="superscript"/>
        </w:rPr>
        <w:t>®</w:t>
      </w:r>
      <w:r w:rsidR="00D5209D" w:rsidRPr="00D5209D">
        <w:rPr>
          <w:b w:val="0"/>
          <w:bCs w:val="0"/>
        </w:rPr>
        <w:t xml:space="preserve"> akut 600, šumeća tableta, 600 mg, kesica, 10x1 šumeća tableta: 2030/14/259 </w:t>
      </w:r>
      <w:r w:rsidR="00D5209D">
        <w:rPr>
          <w:b w:val="0"/>
          <w:bCs w:val="0"/>
        </w:rPr>
        <w:t>–</w:t>
      </w:r>
      <w:r w:rsidR="00D5209D" w:rsidRPr="00D5209D">
        <w:rPr>
          <w:b w:val="0"/>
          <w:bCs w:val="0"/>
        </w:rPr>
        <w:t xml:space="preserve"> 2442</w:t>
      </w:r>
    </w:p>
    <w:p w14:paraId="6061ED02" w14:textId="77777777" w:rsidR="002B6B8E" w:rsidRDefault="002B6B8E" w:rsidP="002B6B8E">
      <w:pPr>
        <w:pStyle w:val="Heading1"/>
        <w:tabs>
          <w:tab w:val="left" w:pos="416"/>
        </w:tabs>
        <w:spacing w:line="250" w:lineRule="exact"/>
        <w:ind w:left="0" w:right="113"/>
        <w:rPr>
          <w:b w:val="0"/>
          <w:bCs w:val="0"/>
        </w:rPr>
      </w:pPr>
    </w:p>
    <w:p w14:paraId="46B0760F" w14:textId="77777777" w:rsidR="002B6B8E" w:rsidRDefault="002B6B8E" w:rsidP="002B6B8E">
      <w:pPr>
        <w:pStyle w:val="Heading1"/>
        <w:tabs>
          <w:tab w:val="left" w:pos="416"/>
        </w:tabs>
        <w:spacing w:line="250" w:lineRule="exact"/>
        <w:ind w:left="0" w:right="113"/>
        <w:rPr>
          <w:b w:val="0"/>
          <w:bCs w:val="0"/>
        </w:rPr>
      </w:pPr>
    </w:p>
    <w:p w14:paraId="3500F47E" w14:textId="616C4F9E" w:rsidR="003B4123" w:rsidRDefault="005731D3" w:rsidP="002B6B8E">
      <w:pPr>
        <w:pStyle w:val="Heading1"/>
        <w:numPr>
          <w:ilvl w:val="0"/>
          <w:numId w:val="1"/>
        </w:numPr>
        <w:tabs>
          <w:tab w:val="left" w:pos="416"/>
        </w:tabs>
        <w:spacing w:line="250" w:lineRule="exact"/>
        <w:ind w:right="113" w:firstLine="30"/>
      </w:pPr>
      <w:r>
        <w:t>DATUM PRVE DOZVOLE</w:t>
      </w:r>
      <w:r w:rsidR="007322E7">
        <w:t>/</w:t>
      </w:r>
      <w:r>
        <w:t xml:space="preserve">OBNOVE DOZVOLE ZA STAVLJANJE </w:t>
      </w:r>
      <w:r w:rsidR="00F5038D">
        <w:t>LIJEK</w:t>
      </w:r>
      <w:r>
        <w:t xml:space="preserve">A U </w:t>
      </w:r>
      <w:r>
        <w:rPr>
          <w:spacing w:val="-2"/>
        </w:rPr>
        <w:t>PROMET</w:t>
      </w:r>
    </w:p>
    <w:p w14:paraId="71CC0189" w14:textId="77777777" w:rsidR="002B6B8E" w:rsidRDefault="002B6B8E" w:rsidP="002B6B8E">
      <w:pPr>
        <w:pStyle w:val="Heading1"/>
        <w:tabs>
          <w:tab w:val="left" w:pos="443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00B06071" w14:textId="6F38D18D" w:rsidR="00D5209D" w:rsidRDefault="002B6B8E" w:rsidP="002B6B8E">
      <w:pPr>
        <w:pStyle w:val="Heading1"/>
        <w:tabs>
          <w:tab w:val="left" w:pos="443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D5209D" w:rsidRPr="00D5209D">
        <w:rPr>
          <w:b w:val="0"/>
          <w:bCs w:val="0"/>
        </w:rPr>
        <w:t>ACC</w:t>
      </w:r>
      <w:r w:rsidR="00D5209D" w:rsidRPr="002C47A9">
        <w:rPr>
          <w:b w:val="0"/>
          <w:bCs w:val="0"/>
          <w:vertAlign w:val="superscript"/>
        </w:rPr>
        <w:t>®</w:t>
      </w:r>
      <w:r w:rsidR="00D5209D" w:rsidRPr="00D5209D">
        <w:rPr>
          <w:b w:val="0"/>
          <w:bCs w:val="0"/>
        </w:rPr>
        <w:t xml:space="preserve"> akut 600, šumeća tableta, 600 mg, kesica, 10x1 šumeća tableta: 07.05.2014. godine</w:t>
      </w:r>
    </w:p>
    <w:p w14:paraId="6E50DECB" w14:textId="0C0864B9" w:rsidR="002B6B8E" w:rsidRDefault="002B6B8E" w:rsidP="002B6B8E">
      <w:pPr>
        <w:pStyle w:val="Heading1"/>
        <w:tabs>
          <w:tab w:val="left" w:pos="443"/>
        </w:tabs>
        <w:ind w:left="0"/>
        <w:rPr>
          <w:b w:val="0"/>
          <w:bCs w:val="0"/>
        </w:rPr>
      </w:pPr>
    </w:p>
    <w:p w14:paraId="390CD6CA" w14:textId="77777777" w:rsidR="002B6B8E" w:rsidRDefault="002B6B8E" w:rsidP="002B6B8E">
      <w:pPr>
        <w:pStyle w:val="Heading1"/>
        <w:tabs>
          <w:tab w:val="left" w:pos="443"/>
        </w:tabs>
        <w:ind w:left="0"/>
        <w:rPr>
          <w:b w:val="0"/>
          <w:bCs w:val="0"/>
        </w:rPr>
      </w:pPr>
      <w:bookmarkStart w:id="0" w:name="_GoBack"/>
      <w:bookmarkEnd w:id="0"/>
    </w:p>
    <w:p w14:paraId="09707A4A" w14:textId="3C4F3DCC" w:rsidR="003B4123" w:rsidRDefault="005731D3" w:rsidP="002B6B8E">
      <w:pPr>
        <w:pStyle w:val="Heading1"/>
        <w:numPr>
          <w:ilvl w:val="0"/>
          <w:numId w:val="1"/>
        </w:numPr>
        <w:tabs>
          <w:tab w:val="left" w:pos="142"/>
        </w:tabs>
        <w:ind w:left="142" w:hanging="30"/>
      </w:pPr>
      <w:r>
        <w:t>DATUM REVIZIJE</w:t>
      </w:r>
      <w:r>
        <w:rPr>
          <w:spacing w:val="-10"/>
        </w:rPr>
        <w:t xml:space="preserve"> </w:t>
      </w:r>
      <w:r>
        <w:t>TEKSTA</w:t>
      </w:r>
    </w:p>
    <w:p w14:paraId="47027DDF" w14:textId="0259AC99" w:rsidR="00AF2F52" w:rsidRPr="00AF2F52" w:rsidRDefault="00AF2F52" w:rsidP="00AF2F52">
      <w:pPr>
        <w:pStyle w:val="Heading1"/>
        <w:tabs>
          <w:tab w:val="left" w:pos="142"/>
        </w:tabs>
        <w:spacing w:before="207"/>
        <w:rPr>
          <w:b w:val="0"/>
        </w:rPr>
      </w:pPr>
      <w:r w:rsidRPr="00AF2F52">
        <w:rPr>
          <w:b w:val="0"/>
        </w:rPr>
        <w:t>Jun, 2024. godine</w:t>
      </w:r>
    </w:p>
    <w:p w14:paraId="3B1014F1" w14:textId="133742DB" w:rsidR="003B4123" w:rsidRDefault="003B4123" w:rsidP="003B69A5">
      <w:pPr>
        <w:pStyle w:val="BodyText"/>
        <w:spacing w:before="192"/>
        <w:ind w:firstLine="30"/>
      </w:pPr>
    </w:p>
    <w:sectPr w:rsidR="003B4123">
      <w:pgSz w:w="11910" w:h="16840"/>
      <w:pgMar w:top="1060" w:right="1020" w:bottom="1240" w:left="102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C3DD" w14:textId="77777777" w:rsidR="00E0254D" w:rsidRDefault="00E0254D">
      <w:r>
        <w:separator/>
      </w:r>
    </w:p>
  </w:endnote>
  <w:endnote w:type="continuationSeparator" w:id="0">
    <w:p w14:paraId="7E0ECC28" w14:textId="77777777" w:rsidR="00E0254D" w:rsidRDefault="00E0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7CD7" w14:textId="1735E54D" w:rsidR="003B4123" w:rsidRDefault="00537C4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49F8C8" wp14:editId="73D0400B">
              <wp:simplePos x="0" y="0"/>
              <wp:positionH relativeFrom="page">
                <wp:posOffset>3610610</wp:posOffset>
              </wp:positionH>
              <wp:positionV relativeFrom="page">
                <wp:posOffset>9881235</wp:posOffset>
              </wp:positionV>
              <wp:extent cx="327660" cy="153670"/>
              <wp:effectExtent l="635" t="381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9CF73" w14:textId="32D8767C" w:rsidR="003B4123" w:rsidRDefault="005731D3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6B8E">
                            <w:rPr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od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9F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3pt;margin-top:778.05pt;width:25.8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e5rA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" filled="f" stroked="f">
              <v:textbox inset="0,0,0,0">
                <w:txbxContent>
                  <w:p w14:paraId="30D9CF73" w14:textId="32D8767C" w:rsidR="003B4123" w:rsidRDefault="005731D3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6B8E">
                      <w:rPr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od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DB86" w14:textId="77777777" w:rsidR="00E0254D" w:rsidRDefault="00E0254D">
      <w:r>
        <w:separator/>
      </w:r>
    </w:p>
  </w:footnote>
  <w:footnote w:type="continuationSeparator" w:id="0">
    <w:p w14:paraId="6F781F9E" w14:textId="77777777" w:rsidR="00E0254D" w:rsidRDefault="00E0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38AF"/>
    <w:multiLevelType w:val="multilevel"/>
    <w:tmpl w:val="2146FCFC"/>
    <w:lvl w:ilvl="0">
      <w:start w:val="1"/>
      <w:numFmt w:val="decimal"/>
      <w:lvlText w:val="%1."/>
      <w:lvlJc w:val="left"/>
      <w:pPr>
        <w:ind w:left="112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2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540" w:hanging="384"/>
      </w:pPr>
      <w:rPr>
        <w:rFonts w:hint="default"/>
      </w:rPr>
    </w:lvl>
    <w:lvl w:ilvl="3">
      <w:numFmt w:val="bullet"/>
      <w:lvlText w:val="•"/>
      <w:lvlJc w:val="left"/>
      <w:pPr>
        <w:ind w:left="2581" w:hanging="384"/>
      </w:pPr>
      <w:rPr>
        <w:rFonts w:hint="default"/>
      </w:rPr>
    </w:lvl>
    <w:lvl w:ilvl="4">
      <w:numFmt w:val="bullet"/>
      <w:lvlText w:val="•"/>
      <w:lvlJc w:val="left"/>
      <w:pPr>
        <w:ind w:left="3621" w:hanging="384"/>
      </w:pPr>
      <w:rPr>
        <w:rFonts w:hint="default"/>
      </w:rPr>
    </w:lvl>
    <w:lvl w:ilvl="5">
      <w:numFmt w:val="bullet"/>
      <w:lvlText w:val="•"/>
      <w:lvlJc w:val="left"/>
      <w:pPr>
        <w:ind w:left="4662" w:hanging="384"/>
      </w:pPr>
      <w:rPr>
        <w:rFonts w:hint="default"/>
      </w:rPr>
    </w:lvl>
    <w:lvl w:ilvl="6">
      <w:numFmt w:val="bullet"/>
      <w:lvlText w:val="•"/>
      <w:lvlJc w:val="left"/>
      <w:pPr>
        <w:ind w:left="5703" w:hanging="384"/>
      </w:pPr>
      <w:rPr>
        <w:rFonts w:hint="default"/>
      </w:rPr>
    </w:lvl>
    <w:lvl w:ilvl="7">
      <w:numFmt w:val="bullet"/>
      <w:lvlText w:val="•"/>
      <w:lvlJc w:val="left"/>
      <w:pPr>
        <w:ind w:left="6743" w:hanging="384"/>
      </w:pPr>
      <w:rPr>
        <w:rFonts w:hint="default"/>
      </w:rPr>
    </w:lvl>
    <w:lvl w:ilvl="8">
      <w:numFmt w:val="bullet"/>
      <w:lvlText w:val="•"/>
      <w:lvlJc w:val="left"/>
      <w:pPr>
        <w:ind w:left="7784" w:hanging="3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23"/>
    <w:rsid w:val="0005566C"/>
    <w:rsid w:val="000C4184"/>
    <w:rsid w:val="002B6B8E"/>
    <w:rsid w:val="002C47A9"/>
    <w:rsid w:val="003B4123"/>
    <w:rsid w:val="003B69A5"/>
    <w:rsid w:val="00421FC2"/>
    <w:rsid w:val="00537C4D"/>
    <w:rsid w:val="005731D3"/>
    <w:rsid w:val="005C1D37"/>
    <w:rsid w:val="00631D07"/>
    <w:rsid w:val="006E7768"/>
    <w:rsid w:val="007322E7"/>
    <w:rsid w:val="008E38C8"/>
    <w:rsid w:val="00A3181E"/>
    <w:rsid w:val="00AF2F52"/>
    <w:rsid w:val="00AF6A1C"/>
    <w:rsid w:val="00B15634"/>
    <w:rsid w:val="00B7471F"/>
    <w:rsid w:val="00C13C02"/>
    <w:rsid w:val="00CE7228"/>
    <w:rsid w:val="00D5209D"/>
    <w:rsid w:val="00D5470D"/>
    <w:rsid w:val="00D57B11"/>
    <w:rsid w:val="00E0254D"/>
    <w:rsid w:val="00E70636"/>
    <w:rsid w:val="00ED112A"/>
    <w:rsid w:val="00F5038D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59030"/>
  <w15:docId w15:val="{0A922EA4-6D34-4CAF-A45B-0EA5E372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ind w:left="112" w:hanging="3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471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747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2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E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7768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Svetlana Rajc</cp:lastModifiedBy>
  <cp:revision>8</cp:revision>
  <dcterms:created xsi:type="dcterms:W3CDTF">2024-06-28T06:57:00Z</dcterms:created>
  <dcterms:modified xsi:type="dcterms:W3CDTF">2024-06-28T07:17:00Z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2021-01-12T00:00:00Z</vt:filetime>
  </property>
</Properties>
</file>