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C7B" w:rsidRPr="00424A4B" w:rsidRDefault="00F91C7B" w:rsidP="005C33D8">
      <w:pPr>
        <w:rPr>
          <w:b/>
          <w:bCs/>
          <w:i/>
          <w:iCs/>
          <w:sz w:val="22"/>
          <w:szCs w:val="22"/>
          <w:u w:val="single"/>
          <w:lang w:val="sr-Latn-ME"/>
        </w:rPr>
      </w:pPr>
    </w:p>
    <w:p w:rsidR="002510A5" w:rsidRPr="00424A4B" w:rsidRDefault="002510A5" w:rsidP="005C33D8">
      <w:pPr>
        <w:jc w:val="center"/>
        <w:rPr>
          <w:b/>
          <w:bCs/>
          <w:iCs/>
          <w:sz w:val="22"/>
          <w:szCs w:val="22"/>
          <w:u w:val="single"/>
          <w:lang w:val="sr-Latn-ME"/>
        </w:rPr>
      </w:pPr>
      <w:r w:rsidRPr="00424A4B">
        <w:rPr>
          <w:b/>
          <w:bCs/>
          <w:iCs/>
          <w:sz w:val="22"/>
          <w:szCs w:val="22"/>
          <w:u w:val="single"/>
          <w:lang w:val="sr-Latn-ME"/>
        </w:rPr>
        <w:t>SAŽETAK KARAKTERISTIKA LIJEKA</w:t>
      </w:r>
    </w:p>
    <w:p w:rsidR="002510A5" w:rsidRPr="00424A4B" w:rsidRDefault="002510A5" w:rsidP="005C33D8">
      <w:pPr>
        <w:rPr>
          <w:b/>
          <w:bCs/>
          <w:i/>
          <w:iCs/>
          <w:sz w:val="22"/>
          <w:szCs w:val="22"/>
          <w:u w:val="single"/>
          <w:lang w:val="sr-Latn-ME"/>
        </w:rPr>
      </w:pPr>
    </w:p>
    <w:p w:rsidR="003C17AB" w:rsidRPr="00424A4B" w:rsidRDefault="003C17AB" w:rsidP="005C33D8">
      <w:pPr>
        <w:rPr>
          <w:sz w:val="22"/>
          <w:szCs w:val="22"/>
          <w:lang w:val="sr-Latn-ME"/>
        </w:rPr>
      </w:pPr>
    </w:p>
    <w:p w:rsidR="00C37FD7" w:rsidRPr="00424A4B" w:rsidRDefault="00C37FD7" w:rsidP="005C33D8">
      <w:pPr>
        <w:tabs>
          <w:tab w:val="left" w:pos="540"/>
          <w:tab w:val="left" w:pos="569"/>
        </w:tabs>
        <w:rPr>
          <w:bCs/>
          <w:sz w:val="22"/>
          <w:szCs w:val="22"/>
          <w:lang w:val="sr-Latn-ME"/>
        </w:rPr>
      </w:pPr>
    </w:p>
    <w:p w:rsidR="00411B4B" w:rsidRPr="00424A4B" w:rsidRDefault="00411B4B" w:rsidP="005C33D8">
      <w:pPr>
        <w:tabs>
          <w:tab w:val="left" w:pos="540"/>
          <w:tab w:val="left" w:pos="569"/>
        </w:tabs>
        <w:rPr>
          <w:b/>
          <w:bCs/>
          <w:sz w:val="22"/>
          <w:szCs w:val="22"/>
          <w:lang w:val="sr-Latn-ME"/>
        </w:rPr>
      </w:pPr>
      <w:r w:rsidRPr="00424A4B">
        <w:rPr>
          <w:b/>
          <w:bCs/>
          <w:sz w:val="22"/>
          <w:szCs w:val="22"/>
          <w:lang w:val="sr-Latn-ME"/>
        </w:rPr>
        <w:t>1.</w:t>
      </w:r>
      <w:r w:rsidR="00F5167F" w:rsidRPr="00424A4B">
        <w:rPr>
          <w:b/>
          <w:bCs/>
          <w:sz w:val="22"/>
          <w:szCs w:val="22"/>
          <w:lang w:val="sr-Latn-ME"/>
        </w:rPr>
        <w:tab/>
      </w:r>
      <w:r w:rsidR="002846DB" w:rsidRPr="00424A4B">
        <w:rPr>
          <w:b/>
          <w:bCs/>
          <w:sz w:val="22"/>
          <w:szCs w:val="22"/>
          <w:lang w:val="sr-Latn-ME"/>
        </w:rPr>
        <w:t xml:space="preserve">NAZIV </w:t>
      </w:r>
      <w:r w:rsidRPr="00424A4B">
        <w:rPr>
          <w:b/>
          <w:bCs/>
          <w:sz w:val="22"/>
          <w:szCs w:val="22"/>
          <w:lang w:val="sr-Latn-ME"/>
        </w:rPr>
        <w:t>LIJEKA</w:t>
      </w:r>
    </w:p>
    <w:p w:rsidR="00EC2532" w:rsidRPr="00424A4B" w:rsidRDefault="00EC2532" w:rsidP="005C33D8">
      <w:pPr>
        <w:rPr>
          <w:sz w:val="22"/>
          <w:szCs w:val="22"/>
          <w:lang w:val="sr-Latn-ME"/>
        </w:rPr>
      </w:pPr>
    </w:p>
    <w:p w:rsidR="005E6320" w:rsidRPr="00424A4B" w:rsidRDefault="009C77FA" w:rsidP="0055503A">
      <w:pPr>
        <w:tabs>
          <w:tab w:val="left" w:pos="284"/>
        </w:tabs>
        <w:rPr>
          <w:bCs/>
          <w:sz w:val="22"/>
          <w:szCs w:val="22"/>
          <w:lang w:val="sr-Latn-ME"/>
        </w:rPr>
      </w:pPr>
      <w:r w:rsidRPr="00424A4B">
        <w:rPr>
          <w:bCs/>
          <w:sz w:val="22"/>
          <w:szCs w:val="22"/>
          <w:lang w:val="sr-Latn-ME"/>
        </w:rPr>
        <w:t>Perjeta</w:t>
      </w:r>
      <w:r w:rsidR="005E6320" w:rsidRPr="00424A4B">
        <w:rPr>
          <w:bCs/>
          <w:sz w:val="22"/>
          <w:szCs w:val="22"/>
          <w:lang w:val="sr-Latn-ME"/>
        </w:rPr>
        <w:t>, 420 mg, koncentrat za rastvor za infuziju</w:t>
      </w:r>
    </w:p>
    <w:p w:rsidR="000D425A" w:rsidRPr="00424A4B" w:rsidRDefault="000D425A" w:rsidP="005C33D8">
      <w:pPr>
        <w:rPr>
          <w:bCs/>
          <w:sz w:val="22"/>
          <w:szCs w:val="22"/>
          <w:lang w:val="sr-Latn-ME"/>
        </w:rPr>
      </w:pPr>
    </w:p>
    <w:p w:rsidR="006D20A5" w:rsidRPr="00424A4B" w:rsidRDefault="006D20A5" w:rsidP="00CD41AC">
      <w:pPr>
        <w:rPr>
          <w:bCs/>
          <w:sz w:val="22"/>
          <w:szCs w:val="22"/>
          <w:lang w:val="sr-Latn-ME"/>
        </w:rPr>
      </w:pPr>
      <w:r w:rsidRPr="00424A4B">
        <w:rPr>
          <w:sz w:val="22"/>
          <w:szCs w:val="22"/>
          <w:lang w:val="sr-Latn-ME"/>
        </w:rPr>
        <w:t>INN:</w:t>
      </w:r>
      <w:r w:rsidR="005E6320" w:rsidRPr="00424A4B">
        <w:rPr>
          <w:sz w:val="22"/>
          <w:szCs w:val="22"/>
          <w:lang w:val="sr-Latn-ME"/>
        </w:rPr>
        <w:t xml:space="preserve"> pertuzumab</w:t>
      </w:r>
    </w:p>
    <w:p w:rsidR="00530BD7" w:rsidRPr="00424A4B" w:rsidRDefault="00530BD7">
      <w:pPr>
        <w:rPr>
          <w:bCs/>
          <w:sz w:val="22"/>
          <w:szCs w:val="22"/>
          <w:lang w:val="sr-Latn-ME"/>
        </w:rPr>
      </w:pPr>
    </w:p>
    <w:p w:rsidR="008636AE" w:rsidRPr="00424A4B" w:rsidRDefault="008636AE">
      <w:pPr>
        <w:rPr>
          <w:bCs/>
          <w:sz w:val="22"/>
          <w:szCs w:val="22"/>
          <w:lang w:val="sr-Latn-ME"/>
        </w:rPr>
      </w:pPr>
    </w:p>
    <w:p w:rsidR="00411B4B" w:rsidRPr="00424A4B" w:rsidRDefault="00411B4B">
      <w:pPr>
        <w:tabs>
          <w:tab w:val="left" w:pos="540"/>
          <w:tab w:val="left" w:pos="569"/>
        </w:tabs>
        <w:rPr>
          <w:b/>
          <w:bCs/>
          <w:sz w:val="22"/>
          <w:szCs w:val="22"/>
          <w:lang w:val="sr-Latn-ME"/>
        </w:rPr>
      </w:pPr>
      <w:r w:rsidRPr="00424A4B">
        <w:rPr>
          <w:b/>
          <w:bCs/>
          <w:sz w:val="22"/>
          <w:szCs w:val="22"/>
          <w:lang w:val="sr-Latn-ME"/>
        </w:rPr>
        <w:t xml:space="preserve">2. </w:t>
      </w:r>
      <w:r w:rsidR="00F5167F" w:rsidRPr="00424A4B">
        <w:rPr>
          <w:b/>
          <w:bCs/>
          <w:sz w:val="22"/>
          <w:szCs w:val="22"/>
          <w:lang w:val="sr-Latn-ME"/>
        </w:rPr>
        <w:tab/>
      </w:r>
      <w:r w:rsidRPr="00424A4B">
        <w:rPr>
          <w:b/>
          <w:bCs/>
          <w:sz w:val="22"/>
          <w:szCs w:val="22"/>
          <w:lang w:val="sr-Latn-ME"/>
        </w:rPr>
        <w:t>KVALITATIVNI I KVANTITATIVNI SASTAV</w:t>
      </w:r>
    </w:p>
    <w:p w:rsidR="005E6320" w:rsidRPr="00424A4B" w:rsidRDefault="005E6320">
      <w:pPr>
        <w:tabs>
          <w:tab w:val="left" w:pos="540"/>
          <w:tab w:val="left" w:pos="569"/>
        </w:tabs>
        <w:rPr>
          <w:b/>
          <w:bCs/>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Jedna bočica sa 14 ml koncentrata sadrži 420 mg pertuzumaba u koncentraciji od 30 mg/ml.</w:t>
      </w:r>
    </w:p>
    <w:p w:rsidR="005E6320" w:rsidRPr="00424A4B" w:rsidRDefault="005E6320" w:rsidP="0055503A">
      <w:pPr>
        <w:jc w:val="both"/>
        <w:rPr>
          <w:sz w:val="22"/>
          <w:szCs w:val="22"/>
          <w:lang w:val="sr-Latn-ME"/>
        </w:rPr>
      </w:pPr>
      <w:r w:rsidRPr="00424A4B">
        <w:rPr>
          <w:sz w:val="22"/>
          <w:szCs w:val="22"/>
          <w:lang w:val="sr-Latn-ME"/>
        </w:rPr>
        <w:t>Nakon razblaživanja, 1</w:t>
      </w:r>
      <w:r w:rsidR="005C33D8" w:rsidRPr="00424A4B">
        <w:rPr>
          <w:sz w:val="22"/>
          <w:szCs w:val="22"/>
          <w:lang w:val="sr-Latn-ME"/>
        </w:rPr>
        <w:t xml:space="preserve"> </w:t>
      </w:r>
      <w:r w:rsidRPr="00424A4B">
        <w:rPr>
          <w:sz w:val="22"/>
          <w:szCs w:val="22"/>
          <w:lang w:val="sr-Latn-ME"/>
        </w:rPr>
        <w:t>ml rastvora sadrži približno 3.02 mg pertuzumaba za početnu dozu i približno 1.59 mg za dozu održavanja (vidjeti dio 6.6.)</w:t>
      </w:r>
      <w:r w:rsidR="008342CF" w:rsidRPr="00424A4B">
        <w:rPr>
          <w:sz w:val="22"/>
          <w:szCs w:val="22"/>
          <w:lang w:val="sr-Latn-ME"/>
        </w:rPr>
        <w:t>.</w:t>
      </w:r>
    </w:p>
    <w:p w:rsidR="008342CF" w:rsidRPr="00424A4B" w:rsidRDefault="008342CF"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Pertuzumab je humanizovano IgG1 monoklonsko antitijelo koje se prozvodi iz ćelija sisara (jajnici kineskog hrčka) </w:t>
      </w:r>
      <w:r w:rsidR="008342CF" w:rsidRPr="00424A4B">
        <w:rPr>
          <w:sz w:val="22"/>
          <w:szCs w:val="22"/>
          <w:lang w:val="sr-Latn-ME"/>
        </w:rPr>
        <w:t xml:space="preserve">tehnologijom </w:t>
      </w:r>
      <w:r w:rsidRPr="00424A4B">
        <w:rPr>
          <w:sz w:val="22"/>
          <w:szCs w:val="22"/>
          <w:lang w:val="sr-Latn-ME"/>
        </w:rPr>
        <w:t>rekombinantn</w:t>
      </w:r>
      <w:r w:rsidR="008342CF" w:rsidRPr="00424A4B">
        <w:rPr>
          <w:sz w:val="22"/>
          <w:szCs w:val="22"/>
          <w:lang w:val="sr-Latn-ME"/>
        </w:rPr>
        <w:t>e</w:t>
      </w:r>
      <w:r w:rsidRPr="00424A4B">
        <w:rPr>
          <w:sz w:val="22"/>
          <w:szCs w:val="22"/>
          <w:lang w:val="sr-Latn-ME"/>
        </w:rPr>
        <w:t xml:space="preserve"> DNK.</w:t>
      </w:r>
    </w:p>
    <w:p w:rsidR="008342CF" w:rsidRPr="00424A4B" w:rsidRDefault="008342CF" w:rsidP="005C33D8">
      <w:pPr>
        <w:jc w:val="both"/>
        <w:rPr>
          <w:sz w:val="22"/>
          <w:szCs w:val="22"/>
          <w:lang w:val="sr-Latn-ME"/>
        </w:rPr>
      </w:pPr>
    </w:p>
    <w:p w:rsidR="0003793F" w:rsidRPr="00424A4B" w:rsidRDefault="0003793F" w:rsidP="00CD41AC">
      <w:pPr>
        <w:jc w:val="both"/>
        <w:rPr>
          <w:sz w:val="22"/>
          <w:szCs w:val="22"/>
          <w:lang w:val="sr-Latn-ME"/>
        </w:rPr>
      </w:pPr>
      <w:r w:rsidRPr="00424A4B">
        <w:rPr>
          <w:sz w:val="22"/>
          <w:szCs w:val="22"/>
          <w:lang w:val="sr-Latn-ME"/>
        </w:rPr>
        <w:t>Za spisak svih ekscipijenasa, pogledati dio 6.1.</w:t>
      </w:r>
    </w:p>
    <w:p w:rsidR="00C37FD7" w:rsidRPr="00424A4B" w:rsidRDefault="00C37FD7">
      <w:pPr>
        <w:rPr>
          <w:sz w:val="22"/>
          <w:szCs w:val="22"/>
          <w:lang w:val="sr-Latn-ME"/>
        </w:rPr>
      </w:pPr>
    </w:p>
    <w:p w:rsidR="008636AE" w:rsidRPr="00424A4B" w:rsidRDefault="008636AE">
      <w:pPr>
        <w:rPr>
          <w:sz w:val="22"/>
          <w:szCs w:val="22"/>
          <w:lang w:val="sr-Latn-ME"/>
        </w:rPr>
      </w:pPr>
    </w:p>
    <w:p w:rsidR="00411B4B" w:rsidRPr="00424A4B" w:rsidRDefault="00411B4B">
      <w:pPr>
        <w:tabs>
          <w:tab w:val="left" w:pos="540"/>
          <w:tab w:val="left" w:pos="569"/>
        </w:tabs>
        <w:rPr>
          <w:b/>
          <w:bCs/>
          <w:sz w:val="22"/>
          <w:szCs w:val="22"/>
          <w:lang w:val="sr-Latn-ME"/>
        </w:rPr>
      </w:pPr>
      <w:r w:rsidRPr="00424A4B">
        <w:rPr>
          <w:b/>
          <w:bCs/>
          <w:sz w:val="22"/>
          <w:szCs w:val="22"/>
          <w:lang w:val="sr-Latn-ME"/>
        </w:rPr>
        <w:t xml:space="preserve">3. </w:t>
      </w:r>
      <w:r w:rsidR="00F5167F" w:rsidRPr="00424A4B">
        <w:rPr>
          <w:b/>
          <w:bCs/>
          <w:sz w:val="22"/>
          <w:szCs w:val="22"/>
          <w:lang w:val="sr-Latn-ME"/>
        </w:rPr>
        <w:tab/>
      </w:r>
      <w:r w:rsidRPr="00424A4B">
        <w:rPr>
          <w:b/>
          <w:bCs/>
          <w:sz w:val="22"/>
          <w:szCs w:val="22"/>
          <w:lang w:val="sr-Latn-ME"/>
        </w:rPr>
        <w:t>FARMACEUTSKI OBLIK</w:t>
      </w:r>
      <w:r w:rsidR="009F2D23" w:rsidRPr="00424A4B">
        <w:rPr>
          <w:b/>
          <w:bCs/>
          <w:sz w:val="22"/>
          <w:szCs w:val="22"/>
          <w:lang w:val="sr-Latn-ME"/>
        </w:rPr>
        <w:t xml:space="preserve"> </w:t>
      </w:r>
    </w:p>
    <w:p w:rsidR="005E6320" w:rsidRPr="00424A4B" w:rsidRDefault="005E6320">
      <w:pPr>
        <w:tabs>
          <w:tab w:val="left" w:pos="540"/>
          <w:tab w:val="left" w:pos="569"/>
        </w:tabs>
        <w:rPr>
          <w:b/>
          <w:bCs/>
          <w:sz w:val="22"/>
          <w:szCs w:val="22"/>
          <w:lang w:val="sr-Latn-ME"/>
        </w:rPr>
      </w:pPr>
    </w:p>
    <w:p w:rsidR="005E6320" w:rsidRPr="00424A4B" w:rsidRDefault="005E6320">
      <w:pPr>
        <w:rPr>
          <w:bCs/>
          <w:sz w:val="22"/>
          <w:szCs w:val="22"/>
          <w:lang w:val="sr-Latn-ME"/>
        </w:rPr>
      </w:pPr>
      <w:r w:rsidRPr="00424A4B">
        <w:rPr>
          <w:bCs/>
          <w:sz w:val="22"/>
          <w:szCs w:val="22"/>
          <w:lang w:val="sr-Latn-ME"/>
        </w:rPr>
        <w:t>Koncentrat za rastvor za infuziju.</w:t>
      </w:r>
    </w:p>
    <w:p w:rsidR="00411B4B" w:rsidRPr="00424A4B" w:rsidRDefault="005E6320">
      <w:pPr>
        <w:rPr>
          <w:bCs/>
          <w:sz w:val="22"/>
          <w:szCs w:val="22"/>
          <w:lang w:val="sr-Latn-ME"/>
        </w:rPr>
      </w:pPr>
      <w:r w:rsidRPr="00424A4B">
        <w:rPr>
          <w:bCs/>
          <w:sz w:val="22"/>
          <w:szCs w:val="22"/>
          <w:lang w:val="sr-Latn-ME"/>
        </w:rPr>
        <w:t>Bistra do blago opalescentna, bezbojna do blijedožuta tečnost.</w:t>
      </w:r>
    </w:p>
    <w:p w:rsidR="00EC2532" w:rsidRPr="00424A4B" w:rsidRDefault="00EC2532">
      <w:pPr>
        <w:rPr>
          <w:bCs/>
          <w:sz w:val="22"/>
          <w:szCs w:val="22"/>
          <w:lang w:val="sr-Latn-ME"/>
        </w:rPr>
      </w:pPr>
    </w:p>
    <w:p w:rsidR="008636AE" w:rsidRPr="00424A4B" w:rsidRDefault="008636AE">
      <w:pPr>
        <w:rPr>
          <w:bCs/>
          <w:sz w:val="22"/>
          <w:szCs w:val="22"/>
          <w:lang w:val="sr-Latn-ME"/>
        </w:rPr>
      </w:pPr>
    </w:p>
    <w:p w:rsidR="00411B4B" w:rsidRPr="00424A4B" w:rsidRDefault="00411B4B">
      <w:pPr>
        <w:tabs>
          <w:tab w:val="left" w:pos="540"/>
          <w:tab w:val="left" w:pos="569"/>
        </w:tabs>
        <w:rPr>
          <w:b/>
          <w:bCs/>
          <w:sz w:val="22"/>
          <w:szCs w:val="22"/>
          <w:lang w:val="sr-Latn-ME"/>
        </w:rPr>
      </w:pPr>
      <w:r w:rsidRPr="00424A4B">
        <w:rPr>
          <w:b/>
          <w:bCs/>
          <w:sz w:val="22"/>
          <w:szCs w:val="22"/>
          <w:lang w:val="sr-Latn-ME"/>
        </w:rPr>
        <w:t xml:space="preserve">4. </w:t>
      </w:r>
      <w:r w:rsidR="00480FB1" w:rsidRPr="00424A4B">
        <w:rPr>
          <w:b/>
          <w:bCs/>
          <w:sz w:val="22"/>
          <w:szCs w:val="22"/>
          <w:lang w:val="sr-Latn-ME"/>
        </w:rPr>
        <w:tab/>
      </w:r>
      <w:r w:rsidRPr="00424A4B">
        <w:rPr>
          <w:b/>
          <w:bCs/>
          <w:sz w:val="22"/>
          <w:szCs w:val="22"/>
          <w:lang w:val="sr-Latn-ME"/>
        </w:rPr>
        <w:t>KLINIČKI PODACI</w:t>
      </w:r>
    </w:p>
    <w:p w:rsidR="00CD6F02" w:rsidRPr="00424A4B" w:rsidRDefault="00CD6F02">
      <w:pPr>
        <w:tabs>
          <w:tab w:val="left" w:pos="540"/>
          <w:tab w:val="left" w:pos="569"/>
        </w:tabs>
        <w:rPr>
          <w:bCs/>
          <w:sz w:val="22"/>
          <w:szCs w:val="22"/>
          <w:lang w:val="sr-Latn-ME"/>
        </w:rPr>
      </w:pPr>
    </w:p>
    <w:p w:rsidR="00411B4B" w:rsidRPr="00424A4B" w:rsidRDefault="00411B4B">
      <w:pPr>
        <w:tabs>
          <w:tab w:val="left" w:pos="540"/>
          <w:tab w:val="left" w:pos="569"/>
        </w:tabs>
        <w:rPr>
          <w:b/>
          <w:bCs/>
          <w:sz w:val="22"/>
          <w:szCs w:val="22"/>
          <w:lang w:val="sr-Latn-ME"/>
        </w:rPr>
      </w:pPr>
      <w:r w:rsidRPr="00424A4B">
        <w:rPr>
          <w:b/>
          <w:bCs/>
          <w:sz w:val="22"/>
          <w:szCs w:val="22"/>
          <w:lang w:val="sr-Latn-ME"/>
        </w:rPr>
        <w:t xml:space="preserve">4.1. </w:t>
      </w:r>
      <w:r w:rsidR="00480FB1" w:rsidRPr="00424A4B">
        <w:rPr>
          <w:b/>
          <w:bCs/>
          <w:sz w:val="22"/>
          <w:szCs w:val="22"/>
          <w:lang w:val="sr-Latn-ME"/>
        </w:rPr>
        <w:tab/>
      </w:r>
      <w:r w:rsidRPr="00424A4B">
        <w:rPr>
          <w:b/>
          <w:bCs/>
          <w:sz w:val="22"/>
          <w:szCs w:val="22"/>
          <w:lang w:val="sr-Latn-ME"/>
        </w:rPr>
        <w:t>Terapijske indikacije</w:t>
      </w:r>
    </w:p>
    <w:p w:rsidR="009514B9" w:rsidRPr="00424A4B" w:rsidRDefault="009514B9">
      <w:pPr>
        <w:tabs>
          <w:tab w:val="left" w:pos="540"/>
          <w:tab w:val="left" w:pos="569"/>
        </w:tabs>
        <w:rPr>
          <w:b/>
          <w:bCs/>
          <w:sz w:val="22"/>
          <w:szCs w:val="22"/>
          <w:lang w:val="sr-Latn-ME"/>
        </w:rPr>
      </w:pPr>
    </w:p>
    <w:p w:rsidR="005E6320" w:rsidRPr="00424A4B" w:rsidRDefault="005E6320">
      <w:pPr>
        <w:jc w:val="both"/>
        <w:rPr>
          <w:sz w:val="22"/>
          <w:szCs w:val="22"/>
          <w:u w:val="single"/>
          <w:lang w:val="sr-Latn-ME"/>
        </w:rPr>
      </w:pPr>
      <w:r w:rsidRPr="00424A4B">
        <w:rPr>
          <w:sz w:val="22"/>
          <w:szCs w:val="22"/>
          <w:u w:val="single"/>
          <w:lang w:val="sr-Latn-ME"/>
        </w:rPr>
        <w:t xml:space="preserve">Rani karcinom dojke </w:t>
      </w:r>
    </w:p>
    <w:p w:rsidR="005E6320" w:rsidRPr="00424A4B" w:rsidRDefault="009514B9">
      <w:pPr>
        <w:jc w:val="both"/>
        <w:rPr>
          <w:sz w:val="22"/>
          <w:szCs w:val="22"/>
          <w:lang w:val="sr-Latn-ME"/>
        </w:rPr>
      </w:pPr>
      <w:r w:rsidRPr="00424A4B">
        <w:rPr>
          <w:sz w:val="22"/>
          <w:szCs w:val="22"/>
          <w:lang w:val="sr-Latn-ME"/>
        </w:rPr>
        <w:t xml:space="preserve">Lijek </w:t>
      </w:r>
      <w:r w:rsidR="009C77FA" w:rsidRPr="00424A4B">
        <w:rPr>
          <w:sz w:val="22"/>
          <w:szCs w:val="22"/>
          <w:lang w:val="sr-Latn-ME"/>
        </w:rPr>
        <w:t>Perjeta</w:t>
      </w:r>
      <w:r w:rsidR="005E6320" w:rsidRPr="00424A4B">
        <w:rPr>
          <w:sz w:val="22"/>
          <w:szCs w:val="22"/>
          <w:lang w:val="sr-Latn-ME"/>
        </w:rPr>
        <w:t xml:space="preserve"> je indikovan za primjenu u kombinaciji sa trastuzumabom i hemoterapijom za:</w:t>
      </w:r>
    </w:p>
    <w:p w:rsidR="005E6320" w:rsidRPr="00424A4B" w:rsidRDefault="005E6320">
      <w:pPr>
        <w:numPr>
          <w:ilvl w:val="0"/>
          <w:numId w:val="12"/>
        </w:numPr>
        <w:jc w:val="both"/>
        <w:rPr>
          <w:sz w:val="22"/>
          <w:szCs w:val="22"/>
          <w:lang w:val="sr-Latn-ME"/>
        </w:rPr>
      </w:pPr>
      <w:r w:rsidRPr="00424A4B">
        <w:rPr>
          <w:sz w:val="22"/>
          <w:szCs w:val="22"/>
          <w:lang w:val="sr-Latn-ME"/>
        </w:rPr>
        <w:t>neoadjuvantno liječenje odraslih pacijenata s</w:t>
      </w:r>
      <w:r w:rsidR="009C77FA" w:rsidRPr="00424A4B">
        <w:rPr>
          <w:sz w:val="22"/>
          <w:szCs w:val="22"/>
          <w:lang w:val="sr-Latn-ME"/>
        </w:rPr>
        <w:t>a</w:t>
      </w:r>
      <w:r w:rsidRPr="00424A4B">
        <w:rPr>
          <w:sz w:val="22"/>
          <w:szCs w:val="22"/>
          <w:lang w:val="sr-Latn-ME"/>
        </w:rPr>
        <w:t xml:space="preserve"> HER2 pozitivnim, lokalno uznapredovalim, upalnim ili karcinomom  dojke u ranom stadijumu sa velikim rizikom od recidiva (vidjeti dio 5.1)</w:t>
      </w:r>
    </w:p>
    <w:p w:rsidR="005E6320" w:rsidRPr="00424A4B" w:rsidRDefault="005E6320">
      <w:pPr>
        <w:numPr>
          <w:ilvl w:val="0"/>
          <w:numId w:val="12"/>
        </w:numPr>
        <w:jc w:val="both"/>
        <w:rPr>
          <w:sz w:val="22"/>
          <w:szCs w:val="22"/>
          <w:lang w:val="sr-Latn-ME"/>
        </w:rPr>
      </w:pPr>
      <w:r w:rsidRPr="00424A4B">
        <w:rPr>
          <w:sz w:val="22"/>
          <w:szCs w:val="22"/>
          <w:lang w:val="sr-Latn-ME"/>
        </w:rPr>
        <w:t>adjuvantno liječenje odraslih pacijenata sa HER2 pozitivnim ranim karcinomom dojke sa velikim rizikom od recidiva (vidjeti dio 5.1)</w:t>
      </w:r>
    </w:p>
    <w:p w:rsidR="005E6320" w:rsidRPr="00424A4B" w:rsidRDefault="005E6320">
      <w:pPr>
        <w:jc w:val="both"/>
        <w:rPr>
          <w:sz w:val="22"/>
          <w:szCs w:val="22"/>
          <w:lang w:val="sr-Latn-ME"/>
        </w:rPr>
      </w:pPr>
    </w:p>
    <w:p w:rsidR="005E6320" w:rsidRPr="00424A4B" w:rsidRDefault="005E6320">
      <w:pPr>
        <w:jc w:val="both"/>
        <w:rPr>
          <w:sz w:val="22"/>
          <w:szCs w:val="22"/>
          <w:u w:val="single"/>
          <w:lang w:val="sr-Latn-ME"/>
        </w:rPr>
      </w:pPr>
      <w:r w:rsidRPr="00424A4B">
        <w:rPr>
          <w:sz w:val="22"/>
          <w:szCs w:val="22"/>
          <w:u w:val="single"/>
          <w:lang w:val="sr-Latn-ME"/>
        </w:rPr>
        <w:t>Metastatski karcinom dojke</w:t>
      </w:r>
    </w:p>
    <w:p w:rsidR="00411B4B" w:rsidRPr="00424A4B" w:rsidRDefault="009514B9">
      <w:pPr>
        <w:tabs>
          <w:tab w:val="left" w:pos="540"/>
          <w:tab w:val="left" w:pos="569"/>
        </w:tabs>
        <w:jc w:val="both"/>
        <w:rPr>
          <w:sz w:val="22"/>
          <w:szCs w:val="22"/>
          <w:lang w:val="sr-Latn-ME"/>
        </w:rPr>
      </w:pPr>
      <w:r w:rsidRPr="00424A4B">
        <w:rPr>
          <w:sz w:val="22"/>
          <w:szCs w:val="22"/>
          <w:lang w:val="sr-Latn-ME"/>
        </w:rPr>
        <w:t xml:space="preserve">Lijek </w:t>
      </w:r>
      <w:r w:rsidR="009C77FA" w:rsidRPr="00424A4B">
        <w:rPr>
          <w:sz w:val="22"/>
          <w:szCs w:val="22"/>
          <w:lang w:val="sr-Latn-ME"/>
        </w:rPr>
        <w:t>Perjeta</w:t>
      </w:r>
      <w:r w:rsidR="005E6320" w:rsidRPr="00424A4B">
        <w:rPr>
          <w:sz w:val="22"/>
          <w:szCs w:val="22"/>
          <w:lang w:val="sr-Latn-ME"/>
        </w:rPr>
        <w:t xml:space="preserve"> je indikovan za primjenu u kombinaciji s trastuzumabom i docetakselom kod odraslih pacijenata sa HER2 pozitivnim metastatskim ili lokalno recidivirajućim neresektabilnim karcinomom dojke koji prethodno ni</w:t>
      </w:r>
      <w:r w:rsidR="009C77FA" w:rsidRPr="00424A4B">
        <w:rPr>
          <w:sz w:val="22"/>
          <w:szCs w:val="22"/>
          <w:lang w:val="sr-Latn-ME"/>
        </w:rPr>
        <w:t>je</w:t>
      </w:r>
      <w:r w:rsidR="005E6320" w:rsidRPr="00424A4B">
        <w:rPr>
          <w:sz w:val="22"/>
          <w:szCs w:val="22"/>
          <w:lang w:val="sr-Latn-ME"/>
        </w:rPr>
        <w:t>su primali anti-HER2 terapiju ni hemoterapiju za liječenje metastatske bolesti.</w:t>
      </w:r>
    </w:p>
    <w:p w:rsidR="009514B9" w:rsidRPr="00424A4B" w:rsidRDefault="009514B9">
      <w:pPr>
        <w:tabs>
          <w:tab w:val="left" w:pos="540"/>
          <w:tab w:val="left" w:pos="569"/>
        </w:tabs>
        <w:rPr>
          <w:bCs/>
          <w:sz w:val="22"/>
          <w:szCs w:val="22"/>
          <w:lang w:val="sr-Latn-ME"/>
        </w:rPr>
      </w:pPr>
    </w:p>
    <w:p w:rsidR="00411B4B" w:rsidRPr="00424A4B" w:rsidRDefault="00411B4B">
      <w:pPr>
        <w:tabs>
          <w:tab w:val="left" w:pos="540"/>
          <w:tab w:val="left" w:pos="569"/>
        </w:tabs>
        <w:rPr>
          <w:b/>
          <w:bCs/>
          <w:sz w:val="22"/>
          <w:szCs w:val="22"/>
          <w:lang w:val="sr-Latn-ME"/>
        </w:rPr>
      </w:pPr>
      <w:r w:rsidRPr="00424A4B">
        <w:rPr>
          <w:b/>
          <w:bCs/>
          <w:sz w:val="22"/>
          <w:szCs w:val="22"/>
          <w:lang w:val="sr-Latn-ME"/>
        </w:rPr>
        <w:t xml:space="preserve">4.2. </w:t>
      </w:r>
      <w:r w:rsidR="00480FB1" w:rsidRPr="00424A4B">
        <w:rPr>
          <w:b/>
          <w:bCs/>
          <w:sz w:val="22"/>
          <w:szCs w:val="22"/>
          <w:lang w:val="sr-Latn-ME"/>
        </w:rPr>
        <w:tab/>
      </w:r>
      <w:r w:rsidRPr="00424A4B">
        <w:rPr>
          <w:b/>
          <w:bCs/>
          <w:sz w:val="22"/>
          <w:szCs w:val="22"/>
          <w:lang w:val="sr-Latn-ME"/>
        </w:rPr>
        <w:t>Doziranje i način primjene</w:t>
      </w:r>
    </w:p>
    <w:p w:rsidR="008342CF" w:rsidRPr="00424A4B" w:rsidRDefault="008342CF" w:rsidP="0055503A">
      <w:pPr>
        <w:jc w:val="both"/>
        <w:rPr>
          <w:bCs/>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Liječenje lijekom </w:t>
      </w:r>
      <w:r w:rsidR="009C77FA" w:rsidRPr="00424A4B">
        <w:rPr>
          <w:sz w:val="22"/>
          <w:szCs w:val="22"/>
          <w:lang w:val="sr-Latn-ME"/>
        </w:rPr>
        <w:t>Perjeta</w:t>
      </w:r>
      <w:r w:rsidRPr="00424A4B">
        <w:rPr>
          <w:sz w:val="22"/>
          <w:szCs w:val="22"/>
          <w:lang w:val="sr-Latn-ME"/>
        </w:rPr>
        <w:t xml:space="preserve"> se smije započeti samo pod nadzorom ljekara sa iskustvom u </w:t>
      </w:r>
      <w:r w:rsidR="009C77FA" w:rsidRPr="00424A4B">
        <w:rPr>
          <w:sz w:val="22"/>
          <w:szCs w:val="22"/>
          <w:lang w:val="sr-Latn-ME"/>
        </w:rPr>
        <w:t>primijeni</w:t>
      </w:r>
      <w:r w:rsidRPr="00424A4B">
        <w:rPr>
          <w:sz w:val="22"/>
          <w:szCs w:val="22"/>
          <w:lang w:val="sr-Latn-ME"/>
        </w:rPr>
        <w:t xml:space="preserve"> antineoplastičnih ljekova. Lijek </w:t>
      </w:r>
      <w:r w:rsidR="009C77FA" w:rsidRPr="00424A4B">
        <w:rPr>
          <w:sz w:val="22"/>
          <w:szCs w:val="22"/>
          <w:lang w:val="sr-Latn-ME"/>
        </w:rPr>
        <w:t>Perjeta</w:t>
      </w:r>
      <w:r w:rsidRPr="00424A4B">
        <w:rPr>
          <w:sz w:val="22"/>
          <w:szCs w:val="22"/>
          <w:lang w:val="sr-Latn-ME"/>
        </w:rPr>
        <w:t xml:space="preserve"> smije </w:t>
      </w:r>
      <w:r w:rsidR="009C77FA" w:rsidRPr="00424A4B">
        <w:rPr>
          <w:sz w:val="22"/>
          <w:szCs w:val="22"/>
          <w:lang w:val="sr-Latn-ME"/>
        </w:rPr>
        <w:t>primijeni</w:t>
      </w:r>
      <w:r w:rsidRPr="00424A4B">
        <w:rPr>
          <w:sz w:val="22"/>
          <w:szCs w:val="22"/>
          <w:lang w:val="sr-Latn-ME"/>
        </w:rPr>
        <w:t>ti samo zdravstveni radnik koji zna kako postupati u slučaju anafilakse, i to u uslovima u kojima su neposredno dostupni svi potrebni zdravstveni radnici i oprema za oživljavanje.</w:t>
      </w:r>
    </w:p>
    <w:p w:rsidR="005E6320" w:rsidRPr="00424A4B" w:rsidRDefault="005E6320" w:rsidP="0055503A">
      <w:pPr>
        <w:jc w:val="both"/>
        <w:rPr>
          <w:sz w:val="22"/>
          <w:szCs w:val="22"/>
          <w:lang w:val="sr-Latn-ME"/>
        </w:rPr>
      </w:pPr>
    </w:p>
    <w:p w:rsidR="00744600" w:rsidRPr="00424A4B" w:rsidRDefault="00744600" w:rsidP="0055503A">
      <w:pPr>
        <w:jc w:val="both"/>
        <w:rPr>
          <w:sz w:val="22"/>
          <w:szCs w:val="22"/>
          <w:lang w:val="sr-Latn-ME"/>
        </w:rPr>
      </w:pPr>
    </w:p>
    <w:p w:rsidR="00744600" w:rsidRPr="00424A4B" w:rsidRDefault="00744600" w:rsidP="0055503A">
      <w:pPr>
        <w:jc w:val="both"/>
        <w:rPr>
          <w:sz w:val="22"/>
          <w:szCs w:val="22"/>
          <w:lang w:val="sr-Latn-ME"/>
        </w:rPr>
      </w:pPr>
    </w:p>
    <w:p w:rsidR="00744600" w:rsidRPr="00424A4B" w:rsidRDefault="00744600" w:rsidP="0055503A">
      <w:pPr>
        <w:jc w:val="both"/>
        <w:rPr>
          <w:sz w:val="22"/>
          <w:szCs w:val="22"/>
          <w:lang w:val="sr-Latn-ME"/>
        </w:rPr>
      </w:pPr>
    </w:p>
    <w:p w:rsidR="005E6320" w:rsidRPr="00424A4B" w:rsidRDefault="005E6320" w:rsidP="0055503A">
      <w:pPr>
        <w:jc w:val="both"/>
        <w:rPr>
          <w:sz w:val="22"/>
          <w:szCs w:val="22"/>
          <w:u w:val="single"/>
          <w:lang w:val="sr-Latn-ME"/>
        </w:rPr>
      </w:pPr>
      <w:r w:rsidRPr="00424A4B">
        <w:rPr>
          <w:sz w:val="22"/>
          <w:szCs w:val="22"/>
          <w:u w:val="single"/>
          <w:lang w:val="sr-Latn-ME"/>
        </w:rPr>
        <w:lastRenderedPageBreak/>
        <w:t>Doziranje</w:t>
      </w:r>
    </w:p>
    <w:p w:rsidR="005E6320" w:rsidRPr="00424A4B" w:rsidRDefault="005E6320" w:rsidP="0055503A">
      <w:pPr>
        <w:jc w:val="both"/>
        <w:rPr>
          <w:sz w:val="22"/>
          <w:szCs w:val="22"/>
          <w:lang w:val="sr-Latn-ME"/>
        </w:rPr>
      </w:pPr>
      <w:r w:rsidRPr="00424A4B">
        <w:rPr>
          <w:sz w:val="22"/>
          <w:szCs w:val="22"/>
          <w:lang w:val="sr-Latn-ME"/>
        </w:rPr>
        <w:t xml:space="preserve">Pacijenti liječeni lijekom </w:t>
      </w:r>
      <w:r w:rsidR="009C77FA" w:rsidRPr="00424A4B">
        <w:rPr>
          <w:sz w:val="22"/>
          <w:szCs w:val="22"/>
          <w:lang w:val="sr-Latn-ME"/>
        </w:rPr>
        <w:t>Perjeta</w:t>
      </w:r>
      <w:r w:rsidRPr="00424A4B">
        <w:rPr>
          <w:sz w:val="22"/>
          <w:szCs w:val="22"/>
          <w:lang w:val="sr-Latn-ME"/>
        </w:rPr>
        <w:t xml:space="preserve"> moraju imati HER2 pozitivni karcinom, koji se definiše kao imunohistohemijski nalaz (IHC) 3+ i/ili odnos od ≥ 2,0,  dobijen </w:t>
      </w:r>
      <w:r w:rsidRPr="00424A4B">
        <w:rPr>
          <w:i/>
          <w:sz w:val="22"/>
          <w:szCs w:val="22"/>
          <w:lang w:val="sr-Latn-ME"/>
        </w:rPr>
        <w:t>in situ</w:t>
      </w:r>
      <w:r w:rsidRPr="00424A4B">
        <w:rPr>
          <w:sz w:val="22"/>
          <w:szCs w:val="22"/>
          <w:lang w:val="sr-Latn-ME"/>
        </w:rPr>
        <w:t xml:space="preserve"> hibridizacijom (ISH) uz pomoć validiranog testa.</w:t>
      </w:r>
    </w:p>
    <w:p w:rsidR="002B03CF" w:rsidRPr="00424A4B" w:rsidRDefault="002B03CF"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Kako bi se osigurali tačni i ponovljivi rezultati, testiranje se mora sprovesti u specijalizovanoj laboratoriji, u kojoj se može osigurati validacija testnih postupaka. Za detaljna uputstva o izvođenju testova i interpretaciji nalaza vidjeti uputstva priložena u pakovanju validiranih testova na HER2.</w:t>
      </w:r>
    </w:p>
    <w:p w:rsidR="005E6320" w:rsidRPr="00424A4B" w:rsidRDefault="005E6320" w:rsidP="0055503A">
      <w:pPr>
        <w:jc w:val="both"/>
        <w:rPr>
          <w:sz w:val="22"/>
          <w:szCs w:val="22"/>
          <w:lang w:val="sr-Latn-ME"/>
        </w:rPr>
      </w:pPr>
      <w:r w:rsidRPr="00424A4B">
        <w:rPr>
          <w:sz w:val="22"/>
          <w:szCs w:val="22"/>
          <w:lang w:val="sr-Latn-ME"/>
        </w:rPr>
        <w:t>Preporučena početna udarna doza pertuzumab</w:t>
      </w:r>
      <w:r w:rsidR="009C77FA" w:rsidRPr="00424A4B">
        <w:rPr>
          <w:sz w:val="22"/>
          <w:szCs w:val="22"/>
          <w:lang w:val="sr-Latn-ME"/>
        </w:rPr>
        <w:t>a</w:t>
      </w:r>
      <w:r w:rsidRPr="00424A4B">
        <w:rPr>
          <w:sz w:val="22"/>
          <w:szCs w:val="22"/>
          <w:lang w:val="sr-Latn-ME"/>
        </w:rPr>
        <w:t xml:space="preserve"> je 840</w:t>
      </w:r>
      <w:r w:rsidR="009C77FA" w:rsidRPr="00424A4B">
        <w:rPr>
          <w:sz w:val="22"/>
          <w:szCs w:val="22"/>
          <w:lang w:val="sr-Latn-ME"/>
        </w:rPr>
        <w:t xml:space="preserve"> </w:t>
      </w:r>
      <w:r w:rsidRPr="00424A4B">
        <w:rPr>
          <w:sz w:val="22"/>
          <w:szCs w:val="22"/>
          <w:lang w:val="sr-Latn-ME"/>
        </w:rPr>
        <w:t>mg, prim</w:t>
      </w:r>
      <w:r w:rsidR="009C77FA" w:rsidRPr="00424A4B">
        <w:rPr>
          <w:sz w:val="22"/>
          <w:szCs w:val="22"/>
          <w:lang w:val="sr-Latn-ME"/>
        </w:rPr>
        <w:t>i</w:t>
      </w:r>
      <w:r w:rsidRPr="00424A4B">
        <w:rPr>
          <w:sz w:val="22"/>
          <w:szCs w:val="22"/>
          <w:lang w:val="sr-Latn-ME"/>
        </w:rPr>
        <w:t>jenjeno u obliku 60-minutne intravenske infuzije, nakon čega se svake 3 nedjelje daje doza održavanja od 420</w:t>
      </w:r>
      <w:r w:rsidR="009C77FA" w:rsidRPr="00424A4B">
        <w:rPr>
          <w:sz w:val="22"/>
          <w:szCs w:val="22"/>
          <w:lang w:val="sr-Latn-ME"/>
        </w:rPr>
        <w:t xml:space="preserve"> </w:t>
      </w:r>
      <w:r w:rsidRPr="00424A4B">
        <w:rPr>
          <w:sz w:val="22"/>
          <w:szCs w:val="22"/>
          <w:lang w:val="sr-Latn-ME"/>
        </w:rPr>
        <w:t>mg, koja se primjenjuje tokom perioda od 30</w:t>
      </w:r>
      <w:r w:rsidR="009C77FA" w:rsidRPr="00424A4B">
        <w:rPr>
          <w:sz w:val="22"/>
          <w:szCs w:val="22"/>
          <w:lang w:val="sr-Latn-ME"/>
        </w:rPr>
        <w:t xml:space="preserve"> do </w:t>
      </w:r>
      <w:r w:rsidRPr="00424A4B">
        <w:rPr>
          <w:sz w:val="22"/>
          <w:szCs w:val="22"/>
          <w:lang w:val="sr-Latn-ME"/>
        </w:rPr>
        <w:t>60 minuta. Preporučuje se posmatranje u trajanju od 30</w:t>
      </w:r>
      <w:r w:rsidR="009C77FA" w:rsidRPr="00424A4B">
        <w:rPr>
          <w:sz w:val="22"/>
          <w:szCs w:val="22"/>
          <w:lang w:val="sr-Latn-ME"/>
        </w:rPr>
        <w:t xml:space="preserve"> do </w:t>
      </w:r>
      <w:r w:rsidRPr="00424A4B">
        <w:rPr>
          <w:sz w:val="22"/>
          <w:szCs w:val="22"/>
          <w:lang w:val="sr-Latn-ME"/>
        </w:rPr>
        <w:t>60 minuta nakon završetka svake infuzije. Infuziju trastuzumaba ili hemoterapije koja slijedi treba prim</w:t>
      </w:r>
      <w:r w:rsidR="009C77FA" w:rsidRPr="00424A4B">
        <w:rPr>
          <w:sz w:val="22"/>
          <w:szCs w:val="22"/>
          <w:lang w:val="sr-Latn-ME"/>
        </w:rPr>
        <w:t>i</w:t>
      </w:r>
      <w:r w:rsidRPr="00424A4B">
        <w:rPr>
          <w:sz w:val="22"/>
          <w:szCs w:val="22"/>
          <w:lang w:val="sr-Latn-ME"/>
        </w:rPr>
        <w:t>jeniti tek nakon završtetka perioda posmatranja (vidjeti dio 4.4.)</w:t>
      </w:r>
    </w:p>
    <w:p w:rsidR="002B03CF" w:rsidRPr="00424A4B" w:rsidRDefault="002B03CF"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Lijek </w:t>
      </w:r>
      <w:r w:rsidR="009C77FA" w:rsidRPr="00424A4B">
        <w:rPr>
          <w:sz w:val="22"/>
          <w:szCs w:val="22"/>
          <w:lang w:val="sr-Latn-ME"/>
        </w:rPr>
        <w:t>Perjeta</w:t>
      </w:r>
      <w:r w:rsidRPr="00424A4B">
        <w:rPr>
          <w:sz w:val="22"/>
          <w:szCs w:val="22"/>
          <w:lang w:val="sr-Latn-ME"/>
        </w:rPr>
        <w:t xml:space="preserve"> i trastuzumab treba primijeniti jedan za drugim, a ne pomiješane u istoj infuzionoj kesi. </w:t>
      </w:r>
      <w:r w:rsidR="009514B9" w:rsidRPr="00424A4B">
        <w:rPr>
          <w:sz w:val="22"/>
          <w:szCs w:val="22"/>
          <w:lang w:val="sr-Latn-ME"/>
        </w:rPr>
        <w:t xml:space="preserve">Lijek </w:t>
      </w:r>
      <w:r w:rsidR="009C77FA" w:rsidRPr="00424A4B">
        <w:rPr>
          <w:sz w:val="22"/>
          <w:szCs w:val="22"/>
          <w:lang w:val="sr-Latn-ME"/>
        </w:rPr>
        <w:t>Perjeta</w:t>
      </w:r>
      <w:r w:rsidRPr="00424A4B">
        <w:rPr>
          <w:sz w:val="22"/>
          <w:szCs w:val="22"/>
          <w:lang w:val="sr-Latn-ME"/>
        </w:rPr>
        <w:t xml:space="preserve"> i trastuzumab mogu se dati, bilo kojim redosledom. Kada se primjenjuje sa</w:t>
      </w:r>
      <w:r w:rsidR="009C77FA" w:rsidRPr="00424A4B">
        <w:rPr>
          <w:sz w:val="22"/>
          <w:szCs w:val="22"/>
          <w:lang w:val="sr-Latn-ME"/>
        </w:rPr>
        <w:t xml:space="preserve"> lijekom</w:t>
      </w:r>
      <w:r w:rsidRPr="00424A4B">
        <w:rPr>
          <w:sz w:val="22"/>
          <w:szCs w:val="22"/>
          <w:lang w:val="sr-Latn-ME"/>
        </w:rPr>
        <w:t xml:space="preserve"> Perjet</w:t>
      </w:r>
      <w:r w:rsidR="009C77FA" w:rsidRPr="00424A4B">
        <w:rPr>
          <w:sz w:val="22"/>
          <w:szCs w:val="22"/>
          <w:lang w:val="sr-Latn-ME"/>
        </w:rPr>
        <w:t>a</w:t>
      </w:r>
      <w:r w:rsidR="00B30B91" w:rsidRPr="00424A4B">
        <w:rPr>
          <w:sz w:val="22"/>
          <w:szCs w:val="22"/>
          <w:lang w:val="sr-Latn-ME"/>
        </w:rPr>
        <w:t xml:space="preserve">, preporučuje se da se </w:t>
      </w:r>
      <w:r w:rsidRPr="00424A4B">
        <w:rPr>
          <w:sz w:val="22"/>
          <w:szCs w:val="22"/>
          <w:lang w:val="sr-Latn-ME"/>
        </w:rPr>
        <w:t>slijedi raspored primjene na svake 3 nedjelje prema kojem se primjenjuje trastuzumab u obliku:</w:t>
      </w:r>
    </w:p>
    <w:p w:rsidR="005E6320" w:rsidRPr="00424A4B" w:rsidRDefault="005E6320" w:rsidP="0055503A">
      <w:pPr>
        <w:numPr>
          <w:ilvl w:val="0"/>
          <w:numId w:val="14"/>
        </w:numPr>
        <w:rPr>
          <w:sz w:val="22"/>
          <w:szCs w:val="22"/>
          <w:lang w:val="sr-Latn-ME"/>
        </w:rPr>
      </w:pPr>
      <w:r w:rsidRPr="00424A4B">
        <w:rPr>
          <w:sz w:val="22"/>
          <w:szCs w:val="22"/>
          <w:lang w:val="sr-Latn-ME"/>
        </w:rPr>
        <w:t>i.v. infuzije s</w:t>
      </w:r>
      <w:r w:rsidR="009C77FA" w:rsidRPr="00424A4B">
        <w:rPr>
          <w:sz w:val="22"/>
          <w:szCs w:val="22"/>
          <w:lang w:val="sr-Latn-ME"/>
        </w:rPr>
        <w:t>a</w:t>
      </w:r>
      <w:r w:rsidRPr="00424A4B">
        <w:rPr>
          <w:sz w:val="22"/>
          <w:szCs w:val="22"/>
          <w:lang w:val="sr-Latn-ME"/>
        </w:rPr>
        <w:t xml:space="preserve"> početnom udarnom dozom trastuzumaba od 8</w:t>
      </w:r>
      <w:r w:rsidR="009C77FA" w:rsidRPr="00424A4B">
        <w:rPr>
          <w:sz w:val="22"/>
          <w:szCs w:val="22"/>
          <w:lang w:val="sr-Latn-ME"/>
        </w:rPr>
        <w:t xml:space="preserve"> </w:t>
      </w:r>
      <w:r w:rsidRPr="00424A4B">
        <w:rPr>
          <w:sz w:val="22"/>
          <w:szCs w:val="22"/>
          <w:lang w:val="sr-Latn-ME"/>
        </w:rPr>
        <w:t>mg/kg tjelesne težine, nakon čega se svake 3 nedjelje primjenjuje doza održavanja od 6</w:t>
      </w:r>
      <w:r w:rsidR="009C77FA" w:rsidRPr="00424A4B">
        <w:rPr>
          <w:sz w:val="22"/>
          <w:szCs w:val="22"/>
          <w:lang w:val="sr-Latn-ME"/>
        </w:rPr>
        <w:t xml:space="preserve"> </w:t>
      </w:r>
      <w:r w:rsidRPr="00424A4B">
        <w:rPr>
          <w:sz w:val="22"/>
          <w:szCs w:val="22"/>
          <w:lang w:val="sr-Latn-ME"/>
        </w:rPr>
        <w:t>mg/kg tjelesne težine</w:t>
      </w:r>
    </w:p>
    <w:p w:rsidR="005E6320" w:rsidRPr="00424A4B" w:rsidRDefault="005E6320" w:rsidP="0055503A">
      <w:pPr>
        <w:rPr>
          <w:sz w:val="22"/>
          <w:szCs w:val="22"/>
          <w:lang w:val="sr-Latn-ME"/>
        </w:rPr>
      </w:pPr>
      <w:r w:rsidRPr="00424A4B">
        <w:rPr>
          <w:sz w:val="22"/>
          <w:szCs w:val="22"/>
          <w:lang w:val="sr-Latn-ME"/>
        </w:rPr>
        <w:t>ili</w:t>
      </w:r>
    </w:p>
    <w:p w:rsidR="005E6320" w:rsidRPr="00424A4B" w:rsidRDefault="005E6320" w:rsidP="0055503A">
      <w:pPr>
        <w:numPr>
          <w:ilvl w:val="0"/>
          <w:numId w:val="13"/>
        </w:numPr>
        <w:rPr>
          <w:sz w:val="22"/>
          <w:szCs w:val="22"/>
          <w:lang w:val="sr-Latn-ME"/>
        </w:rPr>
      </w:pPr>
      <w:r w:rsidRPr="00424A4B">
        <w:rPr>
          <w:sz w:val="22"/>
          <w:szCs w:val="22"/>
          <w:lang w:val="sr-Latn-ME"/>
        </w:rPr>
        <w:t>fiksne su</w:t>
      </w:r>
      <w:r w:rsidR="009C77FA" w:rsidRPr="00424A4B">
        <w:rPr>
          <w:sz w:val="22"/>
          <w:szCs w:val="22"/>
          <w:lang w:val="sr-Latn-ME"/>
        </w:rPr>
        <w:t>b</w:t>
      </w:r>
      <w:r w:rsidRPr="00424A4B">
        <w:rPr>
          <w:sz w:val="22"/>
          <w:szCs w:val="22"/>
          <w:lang w:val="sr-Latn-ME"/>
        </w:rPr>
        <w:t>kutane doze trastuzumaba injekcijom (600 mg) svake tri nedjelje, nezavisno od težine pacijenta.</w:t>
      </w:r>
    </w:p>
    <w:p w:rsidR="005E6320" w:rsidRPr="00424A4B" w:rsidRDefault="005E6320" w:rsidP="0055503A">
      <w:pPr>
        <w:rPr>
          <w:sz w:val="22"/>
          <w:szCs w:val="22"/>
          <w:lang w:val="sr-Latn-ME"/>
        </w:rPr>
      </w:pPr>
      <w:r w:rsidRPr="00424A4B">
        <w:rPr>
          <w:sz w:val="22"/>
          <w:szCs w:val="22"/>
          <w:lang w:val="sr-Latn-ME"/>
        </w:rPr>
        <w:t xml:space="preserve">Kod pacijenata koji primaju taksan, lijek </w:t>
      </w:r>
      <w:r w:rsidR="009C77FA" w:rsidRPr="00424A4B">
        <w:rPr>
          <w:sz w:val="22"/>
          <w:szCs w:val="22"/>
          <w:lang w:val="sr-Latn-ME"/>
        </w:rPr>
        <w:t>Perjeta</w:t>
      </w:r>
      <w:r w:rsidRPr="00424A4B">
        <w:rPr>
          <w:sz w:val="22"/>
          <w:szCs w:val="22"/>
          <w:lang w:val="sr-Latn-ME"/>
        </w:rPr>
        <w:t xml:space="preserve"> i trastuzumab treba </w:t>
      </w:r>
      <w:r w:rsidR="009C77FA" w:rsidRPr="00424A4B">
        <w:rPr>
          <w:sz w:val="22"/>
          <w:szCs w:val="22"/>
          <w:lang w:val="sr-Latn-ME"/>
        </w:rPr>
        <w:t>primijeni</w:t>
      </w:r>
      <w:r w:rsidRPr="00424A4B">
        <w:rPr>
          <w:sz w:val="22"/>
          <w:szCs w:val="22"/>
          <w:lang w:val="sr-Latn-ME"/>
        </w:rPr>
        <w:t>ti prije taksana.</w:t>
      </w:r>
    </w:p>
    <w:p w:rsidR="005E6320" w:rsidRPr="00424A4B" w:rsidRDefault="005E6320" w:rsidP="0055503A">
      <w:pPr>
        <w:rPr>
          <w:sz w:val="22"/>
          <w:szCs w:val="22"/>
          <w:lang w:val="sr-Latn-ME"/>
        </w:rPr>
      </w:pPr>
    </w:p>
    <w:p w:rsidR="005E6320" w:rsidRPr="00424A4B" w:rsidRDefault="005E6320" w:rsidP="005C33D8">
      <w:pPr>
        <w:tabs>
          <w:tab w:val="left" w:pos="567"/>
        </w:tabs>
        <w:jc w:val="both"/>
        <w:rPr>
          <w:sz w:val="22"/>
          <w:szCs w:val="22"/>
          <w:lang w:val="sr-Latn-ME"/>
        </w:rPr>
      </w:pPr>
      <w:r w:rsidRPr="00424A4B">
        <w:rPr>
          <w:sz w:val="22"/>
          <w:szCs w:val="22"/>
          <w:lang w:val="sr-Latn-ME"/>
        </w:rPr>
        <w:t xml:space="preserve">Kada se primjenjuje sa lijekom </w:t>
      </w:r>
      <w:r w:rsidR="009C77FA" w:rsidRPr="00424A4B">
        <w:rPr>
          <w:sz w:val="22"/>
          <w:szCs w:val="22"/>
          <w:lang w:val="sr-Latn-ME"/>
        </w:rPr>
        <w:t>Perjeta</w:t>
      </w:r>
      <w:r w:rsidRPr="00424A4B">
        <w:rPr>
          <w:sz w:val="22"/>
          <w:szCs w:val="22"/>
          <w:lang w:val="sr-Latn-ME"/>
        </w:rPr>
        <w:t>, početna doza docetaksela može iznositi 75 mg/m</w:t>
      </w:r>
      <w:r w:rsidRPr="00424A4B">
        <w:rPr>
          <w:sz w:val="22"/>
          <w:szCs w:val="22"/>
          <w:vertAlign w:val="superscript"/>
          <w:lang w:val="sr-Latn-ME"/>
        </w:rPr>
        <w:t>2</w:t>
      </w:r>
      <w:r w:rsidRPr="00424A4B">
        <w:rPr>
          <w:sz w:val="22"/>
          <w:szCs w:val="22"/>
          <w:lang w:val="sr-Latn-ME"/>
        </w:rPr>
        <w:t>, a kasnije se može povećati na 100 mg/m</w:t>
      </w:r>
      <w:r w:rsidRPr="00424A4B">
        <w:rPr>
          <w:sz w:val="22"/>
          <w:szCs w:val="22"/>
          <w:vertAlign w:val="superscript"/>
          <w:lang w:val="sr-Latn-ME"/>
        </w:rPr>
        <w:t>2</w:t>
      </w:r>
      <w:r w:rsidRPr="00424A4B">
        <w:rPr>
          <w:sz w:val="22"/>
          <w:szCs w:val="22"/>
          <w:lang w:val="sr-Latn-ME"/>
        </w:rPr>
        <w:t xml:space="preserve"> u zavisnosti od odabranog protokola liječenja i podnošenj</w:t>
      </w:r>
      <w:r w:rsidR="009C77FA" w:rsidRPr="00424A4B">
        <w:rPr>
          <w:sz w:val="22"/>
          <w:szCs w:val="22"/>
          <w:lang w:val="sr-Latn-ME"/>
        </w:rPr>
        <w:t>a</w:t>
      </w:r>
      <w:r w:rsidRPr="00424A4B">
        <w:rPr>
          <w:sz w:val="22"/>
          <w:szCs w:val="22"/>
          <w:lang w:val="sr-Latn-ME"/>
        </w:rPr>
        <w:t xml:space="preserve"> početne doze. Druga je mogućnost od početka primjenjivati docetaksel u dozi od 100 mg/m</w:t>
      </w:r>
      <w:r w:rsidRPr="00424A4B">
        <w:rPr>
          <w:sz w:val="22"/>
          <w:szCs w:val="22"/>
          <w:vertAlign w:val="superscript"/>
          <w:lang w:val="sr-Latn-ME"/>
        </w:rPr>
        <w:t>2</w:t>
      </w:r>
      <w:r w:rsidRPr="00424A4B">
        <w:rPr>
          <w:sz w:val="22"/>
          <w:szCs w:val="22"/>
          <w:lang w:val="sr-Latn-ME"/>
        </w:rPr>
        <w:t xml:space="preserve"> svake 3 nedjelje, opet u zavisnosti od odabranog protokola. Ako se primjenjuje protokol baziran na karboplatin</w:t>
      </w:r>
      <w:r w:rsidR="009C77FA" w:rsidRPr="00424A4B">
        <w:rPr>
          <w:sz w:val="22"/>
          <w:szCs w:val="22"/>
          <w:lang w:val="sr-Latn-ME"/>
        </w:rPr>
        <w:t>u</w:t>
      </w:r>
      <w:r w:rsidRPr="00424A4B">
        <w:rPr>
          <w:sz w:val="22"/>
          <w:szCs w:val="22"/>
          <w:lang w:val="sr-Latn-ME"/>
        </w:rPr>
        <w:t>, preporučena doza docetaksela je 75 mg/m</w:t>
      </w:r>
      <w:r w:rsidRPr="00424A4B">
        <w:rPr>
          <w:sz w:val="22"/>
          <w:szCs w:val="22"/>
          <w:vertAlign w:val="superscript"/>
          <w:lang w:val="sr-Latn-ME"/>
        </w:rPr>
        <w:t>2</w:t>
      </w:r>
      <w:r w:rsidRPr="00424A4B">
        <w:rPr>
          <w:sz w:val="22"/>
          <w:szCs w:val="22"/>
          <w:lang w:val="sr-Latn-ME"/>
        </w:rPr>
        <w:t xml:space="preserve"> cijelo vrijeme liječenja (bez povećavanja doze). Kada se primjenjuje s</w:t>
      </w:r>
      <w:r w:rsidR="008E2C64" w:rsidRPr="00424A4B">
        <w:rPr>
          <w:sz w:val="22"/>
          <w:szCs w:val="22"/>
          <w:lang w:val="sr-Latn-ME"/>
        </w:rPr>
        <w:t>a</w:t>
      </w:r>
      <w:r w:rsidRPr="00424A4B">
        <w:rPr>
          <w:sz w:val="22"/>
          <w:szCs w:val="22"/>
          <w:lang w:val="sr-Latn-ME"/>
        </w:rPr>
        <w:t xml:space="preserve"> lijekom </w:t>
      </w:r>
      <w:r w:rsidR="009C77FA" w:rsidRPr="00424A4B">
        <w:rPr>
          <w:sz w:val="22"/>
          <w:szCs w:val="22"/>
          <w:lang w:val="sr-Latn-ME"/>
        </w:rPr>
        <w:t>Perjeta</w:t>
      </w:r>
      <w:r w:rsidRPr="00424A4B">
        <w:rPr>
          <w:sz w:val="22"/>
          <w:szCs w:val="22"/>
          <w:lang w:val="sr-Latn-ME"/>
        </w:rPr>
        <w:t xml:space="preserve"> kod adjuvantnog liječenja, preporučena doza paklitaksela iznosi 80 mg/m</w:t>
      </w:r>
      <w:r w:rsidRPr="00424A4B">
        <w:rPr>
          <w:sz w:val="22"/>
          <w:szCs w:val="22"/>
          <w:vertAlign w:val="superscript"/>
          <w:lang w:val="sr-Latn-ME"/>
        </w:rPr>
        <w:t>2</w:t>
      </w:r>
      <w:r w:rsidRPr="00424A4B">
        <w:rPr>
          <w:sz w:val="22"/>
          <w:szCs w:val="22"/>
          <w:lang w:val="sr-Latn-ME"/>
        </w:rPr>
        <w:t xml:space="preserve"> jedanput nedeljno tokom 12 nedjeljnih ciklusa. </w:t>
      </w:r>
    </w:p>
    <w:p w:rsidR="005E6320" w:rsidRPr="00424A4B" w:rsidRDefault="005E6320" w:rsidP="00CD41AC">
      <w:pPr>
        <w:tabs>
          <w:tab w:val="left" w:pos="567"/>
        </w:tabs>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Kod pacijenata koji primaju protokol baziran na antraciklinu, lijek </w:t>
      </w:r>
      <w:r w:rsidR="009C77FA" w:rsidRPr="00424A4B">
        <w:rPr>
          <w:sz w:val="22"/>
          <w:szCs w:val="22"/>
          <w:lang w:val="sr-Latn-ME"/>
        </w:rPr>
        <w:t>Perjeta</w:t>
      </w:r>
      <w:r w:rsidRPr="00424A4B">
        <w:rPr>
          <w:sz w:val="22"/>
          <w:szCs w:val="22"/>
          <w:lang w:val="sr-Latn-ME"/>
        </w:rPr>
        <w:t xml:space="preserve"> i trastuzumab treba </w:t>
      </w:r>
      <w:r w:rsidR="009C77FA" w:rsidRPr="00424A4B">
        <w:rPr>
          <w:sz w:val="22"/>
          <w:szCs w:val="22"/>
          <w:lang w:val="sr-Latn-ME"/>
        </w:rPr>
        <w:t>primijeni</w:t>
      </w:r>
      <w:r w:rsidRPr="00424A4B">
        <w:rPr>
          <w:sz w:val="22"/>
          <w:szCs w:val="22"/>
          <w:lang w:val="sr-Latn-ME"/>
        </w:rPr>
        <w:t>ti nakon završetka cijelog ciklusa antraciklina (vidjeti dio 4.4.).</w:t>
      </w:r>
    </w:p>
    <w:p w:rsidR="005E6320" w:rsidRPr="00424A4B" w:rsidRDefault="005E6320" w:rsidP="0055503A">
      <w:pPr>
        <w:rPr>
          <w:sz w:val="22"/>
          <w:szCs w:val="22"/>
          <w:lang w:val="sr-Latn-ME"/>
        </w:rPr>
      </w:pPr>
    </w:p>
    <w:p w:rsidR="005E6320" w:rsidRPr="00424A4B" w:rsidRDefault="005E6320" w:rsidP="0055503A">
      <w:pPr>
        <w:rPr>
          <w:i/>
          <w:sz w:val="22"/>
          <w:szCs w:val="22"/>
          <w:lang w:val="sr-Latn-ME"/>
        </w:rPr>
      </w:pPr>
      <w:r w:rsidRPr="00424A4B">
        <w:rPr>
          <w:i/>
          <w:sz w:val="22"/>
          <w:szCs w:val="22"/>
          <w:lang w:val="sr-Latn-ME"/>
        </w:rPr>
        <w:t>Metastatski karcinom dojke</w:t>
      </w:r>
    </w:p>
    <w:p w:rsidR="005E6320" w:rsidRPr="00424A4B" w:rsidRDefault="005E6320" w:rsidP="0055503A">
      <w:pPr>
        <w:jc w:val="both"/>
        <w:rPr>
          <w:i/>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Lijek </w:t>
      </w:r>
      <w:r w:rsidR="009C77FA" w:rsidRPr="00424A4B">
        <w:rPr>
          <w:sz w:val="22"/>
          <w:szCs w:val="22"/>
          <w:lang w:val="sr-Latn-ME"/>
        </w:rPr>
        <w:t>Perjeta</w:t>
      </w:r>
      <w:r w:rsidRPr="00424A4B">
        <w:rPr>
          <w:sz w:val="22"/>
          <w:szCs w:val="22"/>
          <w:lang w:val="sr-Latn-ME"/>
        </w:rPr>
        <w:t xml:space="preserve"> treba primjenjivati u kombinaciji s</w:t>
      </w:r>
      <w:r w:rsidR="008E2C64" w:rsidRPr="00424A4B">
        <w:rPr>
          <w:sz w:val="22"/>
          <w:szCs w:val="22"/>
          <w:lang w:val="sr-Latn-ME"/>
        </w:rPr>
        <w:t>a</w:t>
      </w:r>
      <w:r w:rsidRPr="00424A4B">
        <w:rPr>
          <w:sz w:val="22"/>
          <w:szCs w:val="22"/>
          <w:lang w:val="sr-Latn-ME"/>
        </w:rPr>
        <w:t xml:space="preserve"> trastuzumabom i docetakselom. Liječenje lijekom </w:t>
      </w:r>
      <w:r w:rsidR="009C77FA" w:rsidRPr="00424A4B">
        <w:rPr>
          <w:sz w:val="22"/>
          <w:szCs w:val="22"/>
          <w:lang w:val="sr-Latn-ME"/>
        </w:rPr>
        <w:t>Perjeta</w:t>
      </w:r>
      <w:r w:rsidRPr="00424A4B">
        <w:rPr>
          <w:sz w:val="22"/>
          <w:szCs w:val="22"/>
          <w:lang w:val="sr-Latn-ME"/>
        </w:rPr>
        <w:t xml:space="preserve"> i trastuzumabom može se nastaviti do progresije bolesti ili do pojave toksičnosti koja se ne može zbrinuti, čak i ako se prekine liječenje docetakselom.</w:t>
      </w:r>
    </w:p>
    <w:p w:rsidR="005E6320" w:rsidRPr="00424A4B" w:rsidRDefault="005E6320" w:rsidP="0055503A">
      <w:pPr>
        <w:rPr>
          <w:sz w:val="22"/>
          <w:szCs w:val="22"/>
          <w:lang w:val="sr-Latn-ME"/>
        </w:rPr>
      </w:pPr>
    </w:p>
    <w:p w:rsidR="005E6320" w:rsidRPr="00424A4B" w:rsidRDefault="005E6320" w:rsidP="0055503A">
      <w:pPr>
        <w:rPr>
          <w:i/>
          <w:sz w:val="22"/>
          <w:szCs w:val="22"/>
          <w:lang w:val="sr-Latn-ME"/>
        </w:rPr>
      </w:pPr>
      <w:r w:rsidRPr="00424A4B">
        <w:rPr>
          <w:i/>
          <w:sz w:val="22"/>
          <w:szCs w:val="22"/>
          <w:lang w:val="sr-Latn-ME"/>
        </w:rPr>
        <w:t>Rani karcinom dojke</w:t>
      </w:r>
    </w:p>
    <w:p w:rsidR="005E6320" w:rsidRPr="00424A4B" w:rsidRDefault="005E6320" w:rsidP="0055503A">
      <w:pPr>
        <w:rPr>
          <w:i/>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Kod neoadjuvantnog liječenja lijek </w:t>
      </w:r>
      <w:r w:rsidR="009C77FA" w:rsidRPr="00424A4B">
        <w:rPr>
          <w:sz w:val="22"/>
          <w:szCs w:val="22"/>
          <w:lang w:val="sr-Latn-ME"/>
        </w:rPr>
        <w:t>Perjeta</w:t>
      </w:r>
      <w:r w:rsidRPr="00424A4B">
        <w:rPr>
          <w:sz w:val="22"/>
          <w:szCs w:val="22"/>
          <w:lang w:val="sr-Latn-ME"/>
        </w:rPr>
        <w:t xml:space="preserve"> treba primjenjivati tokom 3 do 6 ciklusa u kombinaciji sa trastuzumabom i hemoterapijom, kao dio kompletnog protokola za liječenje ranog karcinoma dojke</w:t>
      </w:r>
      <w:r w:rsidR="008E2C64" w:rsidRPr="00424A4B">
        <w:rPr>
          <w:sz w:val="22"/>
          <w:szCs w:val="22"/>
          <w:lang w:val="sr-Latn-ME"/>
        </w:rPr>
        <w:t xml:space="preserve"> (vidjeti dio 5.1)</w:t>
      </w:r>
      <w:r w:rsidRPr="00424A4B">
        <w:rPr>
          <w:sz w:val="22"/>
          <w:szCs w:val="22"/>
          <w:lang w:val="sr-Latn-ME"/>
        </w:rPr>
        <w:t xml:space="preserve">. </w:t>
      </w:r>
    </w:p>
    <w:p w:rsidR="005E6320" w:rsidRPr="00424A4B" w:rsidRDefault="005E6320" w:rsidP="0055503A">
      <w:pPr>
        <w:jc w:val="both"/>
        <w:rPr>
          <w:sz w:val="22"/>
          <w:szCs w:val="22"/>
          <w:lang w:val="sr-Latn-ME"/>
        </w:rPr>
      </w:pPr>
      <w:r w:rsidRPr="00424A4B">
        <w:rPr>
          <w:sz w:val="22"/>
          <w:szCs w:val="22"/>
          <w:lang w:val="sr-Latn-ME"/>
        </w:rPr>
        <w:t xml:space="preserve">Kod adjuvantnog liječenja lijek </w:t>
      </w:r>
      <w:r w:rsidR="009C77FA" w:rsidRPr="00424A4B">
        <w:rPr>
          <w:sz w:val="22"/>
          <w:szCs w:val="22"/>
          <w:lang w:val="sr-Latn-ME"/>
        </w:rPr>
        <w:t>Perjeta</w:t>
      </w:r>
      <w:r w:rsidRPr="00424A4B">
        <w:rPr>
          <w:sz w:val="22"/>
          <w:szCs w:val="22"/>
          <w:lang w:val="sr-Latn-ME"/>
        </w:rPr>
        <w:t xml:space="preserve"> treba primjenjivati u kombinaciji s</w:t>
      </w:r>
      <w:r w:rsidR="008E2C64" w:rsidRPr="00424A4B">
        <w:rPr>
          <w:sz w:val="22"/>
          <w:szCs w:val="22"/>
          <w:lang w:val="sr-Latn-ME"/>
        </w:rPr>
        <w:t>a</w:t>
      </w:r>
      <w:r w:rsidRPr="00424A4B">
        <w:rPr>
          <w:sz w:val="22"/>
          <w:szCs w:val="22"/>
          <w:lang w:val="sr-Latn-ME"/>
        </w:rPr>
        <w:t xml:space="preserve"> trastuzumabom tokom ukupno godinu dana (do 18 ciklusa</w:t>
      </w:r>
      <w:r w:rsidR="008E2C64" w:rsidRPr="00424A4B">
        <w:rPr>
          <w:sz w:val="22"/>
          <w:szCs w:val="22"/>
          <w:lang w:val="sr-Latn-ME"/>
        </w:rPr>
        <w:t xml:space="preserve"> ili </w:t>
      </w:r>
      <w:r w:rsidRPr="00424A4B">
        <w:rPr>
          <w:sz w:val="22"/>
          <w:szCs w:val="22"/>
          <w:lang w:val="sr-Latn-ME"/>
        </w:rPr>
        <w:t>do recidiva bolesti ili do pojave toksičnosti koja se ne može zbrinuti, št</w:t>
      </w:r>
      <w:r w:rsidR="008E2C64" w:rsidRPr="00424A4B">
        <w:rPr>
          <w:sz w:val="22"/>
          <w:szCs w:val="22"/>
          <w:lang w:val="sr-Latn-ME"/>
        </w:rPr>
        <w:t>a</w:t>
      </w:r>
      <w:r w:rsidRPr="00424A4B">
        <w:rPr>
          <w:sz w:val="22"/>
          <w:szCs w:val="22"/>
          <w:lang w:val="sr-Latn-ME"/>
        </w:rPr>
        <w:t xml:space="preserve"> god nastupi prvo), kao dio kompletnog protokola za liječenje ranog karcinoma dojke, nezavisno od vremena hirurškog zahvata. Liječenje treba </w:t>
      </w:r>
      <w:r w:rsidR="008E2C64" w:rsidRPr="00424A4B">
        <w:rPr>
          <w:sz w:val="22"/>
          <w:szCs w:val="22"/>
          <w:lang w:val="sr-Latn-ME"/>
        </w:rPr>
        <w:t xml:space="preserve">da </w:t>
      </w:r>
      <w:r w:rsidRPr="00424A4B">
        <w:rPr>
          <w:sz w:val="22"/>
          <w:szCs w:val="22"/>
          <w:lang w:val="sr-Latn-ME"/>
        </w:rPr>
        <w:t>uključ</w:t>
      </w:r>
      <w:r w:rsidR="008E2C64" w:rsidRPr="00424A4B">
        <w:rPr>
          <w:sz w:val="22"/>
          <w:szCs w:val="22"/>
          <w:lang w:val="sr-Latn-ME"/>
        </w:rPr>
        <w:t>uje</w:t>
      </w:r>
      <w:r w:rsidRPr="00424A4B">
        <w:rPr>
          <w:sz w:val="22"/>
          <w:szCs w:val="22"/>
          <w:lang w:val="sr-Latn-ME"/>
        </w:rPr>
        <w:t xml:space="preserve"> standardnu hemoterapiju baziranu na antraciklinu i/ili taksanu. </w:t>
      </w:r>
    </w:p>
    <w:p w:rsidR="005E6320" w:rsidRPr="00424A4B" w:rsidRDefault="005E6320" w:rsidP="0055503A">
      <w:pPr>
        <w:jc w:val="both"/>
        <w:rPr>
          <w:sz w:val="22"/>
          <w:szCs w:val="22"/>
          <w:lang w:val="sr-Latn-ME"/>
        </w:rPr>
      </w:pPr>
      <w:r w:rsidRPr="00424A4B">
        <w:rPr>
          <w:sz w:val="22"/>
          <w:szCs w:val="22"/>
          <w:lang w:val="sr-Latn-ME"/>
        </w:rPr>
        <w:t xml:space="preserve">Liječenje lijekom </w:t>
      </w:r>
      <w:r w:rsidR="009C77FA" w:rsidRPr="00424A4B">
        <w:rPr>
          <w:sz w:val="22"/>
          <w:szCs w:val="22"/>
          <w:lang w:val="sr-Latn-ME"/>
        </w:rPr>
        <w:t>Perjeta</w:t>
      </w:r>
      <w:r w:rsidRPr="00424A4B">
        <w:rPr>
          <w:sz w:val="22"/>
          <w:szCs w:val="22"/>
          <w:lang w:val="sr-Latn-ME"/>
        </w:rPr>
        <w:t xml:space="preserve"> i trastuzumabom treba započeti 1. dan</w:t>
      </w:r>
      <w:r w:rsidR="008E2C64" w:rsidRPr="00424A4B">
        <w:rPr>
          <w:sz w:val="22"/>
          <w:szCs w:val="22"/>
          <w:lang w:val="sr-Latn-ME"/>
        </w:rPr>
        <w:t>a</w:t>
      </w:r>
      <w:r w:rsidRPr="00424A4B">
        <w:rPr>
          <w:sz w:val="22"/>
          <w:szCs w:val="22"/>
          <w:lang w:val="sr-Latn-ME"/>
        </w:rPr>
        <w:t xml:space="preserve"> prvog ciklusa hemoterapije koja sadrži taksan, a treba ga nastaviti čak i ako se hemoterapija prekine.</w:t>
      </w:r>
    </w:p>
    <w:p w:rsidR="005C33D8" w:rsidRPr="00424A4B" w:rsidRDefault="005C33D8" w:rsidP="0055503A">
      <w:pPr>
        <w:jc w:val="both"/>
        <w:rPr>
          <w:sz w:val="22"/>
          <w:szCs w:val="22"/>
          <w:lang w:val="sr-Latn-ME"/>
        </w:rPr>
      </w:pPr>
    </w:p>
    <w:p w:rsidR="005E6320" w:rsidRPr="00424A4B" w:rsidRDefault="005E6320" w:rsidP="0055503A">
      <w:pPr>
        <w:rPr>
          <w:i/>
          <w:sz w:val="22"/>
          <w:szCs w:val="22"/>
          <w:lang w:val="sr-Latn-ME"/>
        </w:rPr>
      </w:pPr>
      <w:r w:rsidRPr="00424A4B">
        <w:rPr>
          <w:i/>
          <w:sz w:val="22"/>
          <w:szCs w:val="22"/>
          <w:lang w:val="sr-Latn-ME"/>
        </w:rPr>
        <w:t>Od</w:t>
      </w:r>
      <w:r w:rsidR="008E2C64" w:rsidRPr="00424A4B">
        <w:rPr>
          <w:i/>
          <w:sz w:val="22"/>
          <w:szCs w:val="22"/>
          <w:lang w:val="sr-Latn-ME"/>
        </w:rPr>
        <w:t>ložene</w:t>
      </w:r>
      <w:r w:rsidRPr="00424A4B">
        <w:rPr>
          <w:i/>
          <w:sz w:val="22"/>
          <w:szCs w:val="22"/>
          <w:lang w:val="sr-Latn-ME"/>
        </w:rPr>
        <w:t xml:space="preserve"> ili propuštene doze</w:t>
      </w:r>
    </w:p>
    <w:p w:rsidR="005E6320" w:rsidRPr="00424A4B" w:rsidRDefault="005E6320" w:rsidP="0055503A">
      <w:pPr>
        <w:rPr>
          <w:sz w:val="22"/>
          <w:szCs w:val="22"/>
          <w:lang w:val="sr-Latn-ME"/>
        </w:rPr>
      </w:pPr>
      <w:r w:rsidRPr="00424A4B">
        <w:rPr>
          <w:sz w:val="22"/>
          <w:szCs w:val="22"/>
          <w:lang w:val="sr-Latn-ME"/>
        </w:rPr>
        <w:t>Za preporuke u slučaju od</w:t>
      </w:r>
      <w:r w:rsidR="008E2C64" w:rsidRPr="00424A4B">
        <w:rPr>
          <w:sz w:val="22"/>
          <w:szCs w:val="22"/>
          <w:lang w:val="sr-Latn-ME"/>
        </w:rPr>
        <w:t>ložene</w:t>
      </w:r>
      <w:r w:rsidRPr="00424A4B">
        <w:rPr>
          <w:sz w:val="22"/>
          <w:szCs w:val="22"/>
          <w:lang w:val="sr-Latn-ME"/>
        </w:rPr>
        <w:t xml:space="preserve"> ili propuštene doze vidjeti tabelu 1 u nastavku.</w:t>
      </w:r>
    </w:p>
    <w:p w:rsidR="005C33D8" w:rsidRPr="00424A4B" w:rsidRDefault="005C33D8" w:rsidP="0055503A">
      <w:pPr>
        <w:rPr>
          <w:sz w:val="22"/>
          <w:szCs w:val="22"/>
          <w:lang w:val="sr-Latn-ME"/>
        </w:rPr>
      </w:pPr>
    </w:p>
    <w:p w:rsidR="005E6320" w:rsidRPr="00424A4B" w:rsidRDefault="005E6320" w:rsidP="0055503A">
      <w:pPr>
        <w:rPr>
          <w:b/>
          <w:sz w:val="22"/>
          <w:szCs w:val="22"/>
          <w:lang w:val="sr-Latn-ME"/>
        </w:rPr>
      </w:pPr>
      <w:r w:rsidRPr="00424A4B">
        <w:rPr>
          <w:b/>
          <w:sz w:val="22"/>
          <w:szCs w:val="22"/>
          <w:lang w:val="sr-Latn-ME"/>
        </w:rPr>
        <w:t>Tabela 1. Preporuke za od</w:t>
      </w:r>
      <w:r w:rsidR="008E2C64" w:rsidRPr="00424A4B">
        <w:rPr>
          <w:b/>
          <w:sz w:val="22"/>
          <w:szCs w:val="22"/>
          <w:lang w:val="sr-Latn-ME"/>
        </w:rPr>
        <w:t>ložene</w:t>
      </w:r>
      <w:r w:rsidRPr="00424A4B">
        <w:rPr>
          <w:b/>
          <w:sz w:val="22"/>
          <w:szCs w:val="22"/>
          <w:lang w:val="sr-Latn-ME"/>
        </w:rPr>
        <w:t xml:space="preserve"> ili propuštene doze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462"/>
        <w:gridCol w:w="2414"/>
        <w:gridCol w:w="2187"/>
      </w:tblGrid>
      <w:tr w:rsidR="005E6320" w:rsidRPr="00424A4B" w:rsidTr="00E27A7A">
        <w:trPr>
          <w:cantSplit/>
        </w:trPr>
        <w:tc>
          <w:tcPr>
            <w:tcW w:w="2061" w:type="dxa"/>
            <w:vMerge w:val="restart"/>
            <w:shd w:val="clear" w:color="auto" w:fill="auto"/>
          </w:tcPr>
          <w:p w:rsidR="005E6320" w:rsidRPr="00424A4B" w:rsidRDefault="005E6320" w:rsidP="0055503A">
            <w:pPr>
              <w:jc w:val="center"/>
              <w:rPr>
                <w:b/>
                <w:bCs/>
                <w:sz w:val="22"/>
                <w:szCs w:val="22"/>
                <w:lang w:val="sr-Latn-ME"/>
              </w:rPr>
            </w:pPr>
            <w:r w:rsidRPr="00424A4B">
              <w:rPr>
                <w:b/>
                <w:bCs/>
                <w:sz w:val="22"/>
                <w:szCs w:val="22"/>
                <w:lang w:val="sr-Latn-ME"/>
              </w:rPr>
              <w:t>Vrijeme između dvije uzastopne infuzije</w:t>
            </w:r>
          </w:p>
        </w:tc>
        <w:tc>
          <w:tcPr>
            <w:tcW w:w="2522" w:type="dxa"/>
            <w:vMerge w:val="restart"/>
            <w:shd w:val="clear" w:color="auto" w:fill="auto"/>
          </w:tcPr>
          <w:p w:rsidR="005E6320" w:rsidRPr="00424A4B" w:rsidRDefault="009C77FA" w:rsidP="0055503A">
            <w:pPr>
              <w:jc w:val="center"/>
              <w:rPr>
                <w:b/>
                <w:bCs/>
                <w:sz w:val="22"/>
                <w:szCs w:val="22"/>
                <w:lang w:val="sr-Latn-ME"/>
              </w:rPr>
            </w:pPr>
            <w:r w:rsidRPr="00424A4B">
              <w:rPr>
                <w:b/>
                <w:bCs/>
                <w:sz w:val="22"/>
                <w:szCs w:val="22"/>
                <w:lang w:val="sr-Latn-ME"/>
              </w:rPr>
              <w:t>Perjeta</w:t>
            </w:r>
          </w:p>
        </w:tc>
        <w:tc>
          <w:tcPr>
            <w:tcW w:w="4704" w:type="dxa"/>
            <w:gridSpan w:val="2"/>
            <w:shd w:val="clear" w:color="auto" w:fill="auto"/>
          </w:tcPr>
          <w:p w:rsidR="005E6320" w:rsidRPr="00424A4B" w:rsidRDefault="005E6320" w:rsidP="0055503A">
            <w:pPr>
              <w:jc w:val="center"/>
              <w:rPr>
                <w:b/>
                <w:bCs/>
                <w:sz w:val="22"/>
                <w:szCs w:val="22"/>
                <w:lang w:val="sr-Latn-ME"/>
              </w:rPr>
            </w:pPr>
            <w:r w:rsidRPr="00424A4B">
              <w:rPr>
                <w:b/>
                <w:bCs/>
                <w:sz w:val="22"/>
                <w:szCs w:val="22"/>
                <w:lang w:val="sr-Latn-ME"/>
              </w:rPr>
              <w:t>Trastuzumab</w:t>
            </w:r>
          </w:p>
        </w:tc>
      </w:tr>
      <w:tr w:rsidR="005E6320" w:rsidRPr="00424A4B" w:rsidTr="00E27A7A">
        <w:trPr>
          <w:cantSplit/>
        </w:trPr>
        <w:tc>
          <w:tcPr>
            <w:tcW w:w="2061" w:type="dxa"/>
            <w:vMerge/>
            <w:shd w:val="clear" w:color="auto" w:fill="auto"/>
          </w:tcPr>
          <w:p w:rsidR="005E6320" w:rsidRPr="00424A4B" w:rsidRDefault="005E6320" w:rsidP="0055503A">
            <w:pPr>
              <w:rPr>
                <w:b/>
                <w:bCs/>
                <w:sz w:val="22"/>
                <w:szCs w:val="22"/>
                <w:lang w:val="sr-Latn-ME"/>
              </w:rPr>
            </w:pPr>
          </w:p>
        </w:tc>
        <w:tc>
          <w:tcPr>
            <w:tcW w:w="2522" w:type="dxa"/>
            <w:vMerge/>
            <w:shd w:val="clear" w:color="auto" w:fill="auto"/>
          </w:tcPr>
          <w:p w:rsidR="005E6320" w:rsidRPr="00424A4B" w:rsidRDefault="005E6320" w:rsidP="0055503A">
            <w:pPr>
              <w:rPr>
                <w:b/>
                <w:bCs/>
                <w:sz w:val="22"/>
                <w:szCs w:val="22"/>
                <w:lang w:val="sr-Latn-ME"/>
              </w:rPr>
            </w:pPr>
          </w:p>
        </w:tc>
        <w:tc>
          <w:tcPr>
            <w:tcW w:w="2471" w:type="dxa"/>
            <w:shd w:val="clear" w:color="auto" w:fill="auto"/>
          </w:tcPr>
          <w:p w:rsidR="005E6320" w:rsidRPr="00424A4B" w:rsidRDefault="005E6320" w:rsidP="0055503A">
            <w:pPr>
              <w:jc w:val="center"/>
              <w:rPr>
                <w:b/>
                <w:bCs/>
                <w:sz w:val="22"/>
                <w:szCs w:val="22"/>
                <w:lang w:val="sr-Latn-ME"/>
              </w:rPr>
            </w:pPr>
            <w:r w:rsidRPr="00424A4B">
              <w:rPr>
                <w:b/>
                <w:bCs/>
                <w:sz w:val="22"/>
                <w:szCs w:val="22"/>
                <w:lang w:val="sr-Latn-ME"/>
              </w:rPr>
              <w:t>Intravenska primjena</w:t>
            </w:r>
          </w:p>
        </w:tc>
        <w:tc>
          <w:tcPr>
            <w:tcW w:w="2233" w:type="dxa"/>
          </w:tcPr>
          <w:p w:rsidR="005E6320" w:rsidRPr="00424A4B" w:rsidRDefault="005E6320" w:rsidP="0055503A">
            <w:pPr>
              <w:jc w:val="center"/>
              <w:rPr>
                <w:b/>
                <w:bCs/>
                <w:sz w:val="22"/>
                <w:szCs w:val="22"/>
                <w:lang w:val="sr-Latn-ME"/>
              </w:rPr>
            </w:pPr>
            <w:r w:rsidRPr="00424A4B">
              <w:rPr>
                <w:b/>
                <w:bCs/>
                <w:sz w:val="22"/>
                <w:szCs w:val="22"/>
                <w:lang w:val="sr-Latn-ME"/>
              </w:rPr>
              <w:t>Sup</w:t>
            </w:r>
            <w:r w:rsidR="008E2C64" w:rsidRPr="00424A4B">
              <w:rPr>
                <w:b/>
                <w:bCs/>
                <w:sz w:val="22"/>
                <w:szCs w:val="22"/>
                <w:lang w:val="sr-Latn-ME"/>
              </w:rPr>
              <w:t>b</w:t>
            </w:r>
            <w:r w:rsidRPr="00424A4B">
              <w:rPr>
                <w:b/>
                <w:bCs/>
                <w:sz w:val="22"/>
                <w:szCs w:val="22"/>
                <w:lang w:val="sr-Latn-ME"/>
              </w:rPr>
              <w:t>kutana primjena</w:t>
            </w:r>
          </w:p>
        </w:tc>
      </w:tr>
      <w:tr w:rsidR="005E6320" w:rsidRPr="00424A4B" w:rsidTr="00E27A7A">
        <w:trPr>
          <w:cantSplit/>
          <w:trHeight w:val="2690"/>
        </w:trPr>
        <w:tc>
          <w:tcPr>
            <w:tcW w:w="2061" w:type="dxa"/>
            <w:shd w:val="clear" w:color="auto" w:fill="auto"/>
          </w:tcPr>
          <w:p w:rsidR="005E6320" w:rsidRPr="00424A4B" w:rsidRDefault="005E6320" w:rsidP="0055503A">
            <w:pPr>
              <w:rPr>
                <w:bCs/>
                <w:sz w:val="22"/>
                <w:szCs w:val="22"/>
                <w:lang w:val="sr-Latn-ME"/>
              </w:rPr>
            </w:pPr>
            <w:r w:rsidRPr="00424A4B">
              <w:rPr>
                <w:bCs/>
                <w:sz w:val="22"/>
                <w:szCs w:val="22"/>
                <w:lang w:val="sr-Latn-ME"/>
              </w:rPr>
              <w:t>&lt; 6 nedelja</w:t>
            </w:r>
          </w:p>
        </w:tc>
        <w:tc>
          <w:tcPr>
            <w:tcW w:w="2522" w:type="dxa"/>
            <w:shd w:val="clear" w:color="auto" w:fill="auto"/>
          </w:tcPr>
          <w:p w:rsidR="005E6320" w:rsidRPr="00424A4B" w:rsidRDefault="005E6320" w:rsidP="0055503A">
            <w:pPr>
              <w:rPr>
                <w:bCs/>
                <w:sz w:val="22"/>
                <w:szCs w:val="22"/>
                <w:lang w:val="sr-Latn-ME"/>
              </w:rPr>
            </w:pPr>
            <w:r w:rsidRPr="00424A4B">
              <w:rPr>
                <w:bCs/>
                <w:sz w:val="22"/>
                <w:szCs w:val="22"/>
                <w:lang w:val="sr-Latn-ME"/>
              </w:rPr>
              <w:t>Dozu od 420 mg pertuzumaba treba primijeniti što je prije moguće. Ne smije se čekati do sljedeće planirane doze. Nakon toga liječenje treba nastaviti prema prvobitno planiranom rasporedu.</w:t>
            </w:r>
          </w:p>
        </w:tc>
        <w:tc>
          <w:tcPr>
            <w:tcW w:w="2471" w:type="dxa"/>
            <w:shd w:val="clear" w:color="auto" w:fill="auto"/>
          </w:tcPr>
          <w:p w:rsidR="005E6320" w:rsidRPr="00424A4B" w:rsidRDefault="005E6320" w:rsidP="0055503A">
            <w:pPr>
              <w:rPr>
                <w:bCs/>
                <w:sz w:val="22"/>
                <w:szCs w:val="22"/>
                <w:lang w:val="sr-Latn-ME"/>
              </w:rPr>
            </w:pPr>
            <w:r w:rsidRPr="00424A4B">
              <w:rPr>
                <w:bCs/>
                <w:sz w:val="22"/>
                <w:szCs w:val="22"/>
                <w:lang w:val="sr-Latn-ME"/>
              </w:rPr>
              <w:t>Intravensku dozu trastuzumaba od 6 mg/kg treba primijeniti što je prije moguće. Ne smije se čekati do sljedeće planirane doze. Nakon toga liječenje treba nastaviti prema prvobitno planiranom rasporedu.</w:t>
            </w:r>
          </w:p>
          <w:p w:rsidR="005E6320" w:rsidRPr="00424A4B" w:rsidRDefault="005E6320" w:rsidP="0055503A">
            <w:pPr>
              <w:rPr>
                <w:bCs/>
                <w:sz w:val="22"/>
                <w:szCs w:val="22"/>
                <w:lang w:val="sr-Latn-ME"/>
              </w:rPr>
            </w:pPr>
          </w:p>
        </w:tc>
        <w:tc>
          <w:tcPr>
            <w:tcW w:w="2233" w:type="dxa"/>
            <w:vMerge w:val="restart"/>
          </w:tcPr>
          <w:p w:rsidR="005E6320" w:rsidRPr="00424A4B" w:rsidRDefault="005E6320" w:rsidP="0055503A">
            <w:pPr>
              <w:rPr>
                <w:bCs/>
                <w:sz w:val="22"/>
                <w:szCs w:val="22"/>
                <w:lang w:val="sr-Latn-ME"/>
              </w:rPr>
            </w:pPr>
            <w:r w:rsidRPr="00424A4B">
              <w:rPr>
                <w:bCs/>
                <w:sz w:val="22"/>
                <w:szCs w:val="22"/>
                <w:lang w:val="sr-Latn-ME"/>
              </w:rPr>
              <w:t xml:space="preserve">Fiksnu </w:t>
            </w:r>
            <w:r w:rsidR="008E2C64" w:rsidRPr="00424A4B">
              <w:rPr>
                <w:bCs/>
                <w:sz w:val="22"/>
                <w:szCs w:val="22"/>
                <w:lang w:val="sr-Latn-ME"/>
              </w:rPr>
              <w:t>subkuta</w:t>
            </w:r>
            <w:r w:rsidRPr="00424A4B">
              <w:rPr>
                <w:bCs/>
                <w:sz w:val="22"/>
                <w:szCs w:val="22"/>
                <w:lang w:val="sr-Latn-ME"/>
              </w:rPr>
              <w:t>nu dozu trastuzumaba od 600 mg treba primijeniti što je prije moguće. Ne smije se čekati do sljedeće planirane doze.</w:t>
            </w:r>
          </w:p>
          <w:p w:rsidR="005E6320" w:rsidRPr="00424A4B" w:rsidRDefault="005E6320" w:rsidP="0055503A">
            <w:pPr>
              <w:rPr>
                <w:bCs/>
                <w:sz w:val="22"/>
                <w:szCs w:val="22"/>
                <w:lang w:val="sr-Latn-ME"/>
              </w:rPr>
            </w:pPr>
          </w:p>
        </w:tc>
      </w:tr>
      <w:tr w:rsidR="005E6320" w:rsidRPr="00424A4B" w:rsidTr="00E27A7A">
        <w:trPr>
          <w:cantSplit/>
        </w:trPr>
        <w:tc>
          <w:tcPr>
            <w:tcW w:w="2061" w:type="dxa"/>
            <w:shd w:val="clear" w:color="auto" w:fill="auto"/>
          </w:tcPr>
          <w:p w:rsidR="005E6320" w:rsidRPr="00424A4B" w:rsidRDefault="005E6320" w:rsidP="0055503A">
            <w:pPr>
              <w:rPr>
                <w:bCs/>
                <w:sz w:val="22"/>
                <w:szCs w:val="22"/>
                <w:lang w:val="sr-Latn-ME"/>
              </w:rPr>
            </w:pPr>
            <w:r w:rsidRPr="00424A4B">
              <w:rPr>
                <w:bCs/>
                <w:sz w:val="22"/>
                <w:szCs w:val="22"/>
                <w:lang w:val="sr-Latn-ME"/>
              </w:rPr>
              <w:t>≥ 6 nedelja</w:t>
            </w:r>
          </w:p>
        </w:tc>
        <w:tc>
          <w:tcPr>
            <w:tcW w:w="2522" w:type="dxa"/>
            <w:shd w:val="clear" w:color="auto" w:fill="auto"/>
          </w:tcPr>
          <w:p w:rsidR="005E6320" w:rsidRPr="00424A4B" w:rsidRDefault="005E6320" w:rsidP="0055503A">
            <w:pPr>
              <w:rPr>
                <w:bCs/>
                <w:sz w:val="22"/>
                <w:szCs w:val="22"/>
                <w:lang w:val="sr-Latn-ME"/>
              </w:rPr>
            </w:pPr>
            <w:r w:rsidRPr="00424A4B">
              <w:rPr>
                <w:bCs/>
                <w:sz w:val="22"/>
                <w:szCs w:val="22"/>
                <w:lang w:val="sr-Latn-ME"/>
              </w:rPr>
              <w:t xml:space="preserve">Udarnu  dozu od 840 mg pertuzumaba treba ponovo </w:t>
            </w:r>
            <w:r w:rsidR="009C77FA" w:rsidRPr="00424A4B">
              <w:rPr>
                <w:bCs/>
                <w:sz w:val="22"/>
                <w:szCs w:val="22"/>
                <w:lang w:val="sr-Latn-ME"/>
              </w:rPr>
              <w:t>primijeni</w:t>
            </w:r>
            <w:r w:rsidRPr="00424A4B">
              <w:rPr>
                <w:bCs/>
                <w:sz w:val="22"/>
                <w:szCs w:val="22"/>
                <w:lang w:val="sr-Latn-ME"/>
              </w:rPr>
              <w:t>ti u obliku 60</w:t>
            </w:r>
            <w:r w:rsidRPr="00424A4B">
              <w:rPr>
                <w:bCs/>
                <w:sz w:val="22"/>
                <w:szCs w:val="22"/>
                <w:lang w:val="sr-Latn-ME"/>
              </w:rPr>
              <w:noBreakHyphen/>
              <w:t>minutne infuzije, a nakon toga nastaviti liječenje intravenskom dozom održavanja od 420 mg, svake 3 nedjelje .</w:t>
            </w:r>
          </w:p>
        </w:tc>
        <w:tc>
          <w:tcPr>
            <w:tcW w:w="2471" w:type="dxa"/>
            <w:shd w:val="clear" w:color="auto" w:fill="auto"/>
          </w:tcPr>
          <w:p w:rsidR="005E6320" w:rsidRPr="00424A4B" w:rsidRDefault="005E6320" w:rsidP="0055503A">
            <w:pPr>
              <w:rPr>
                <w:bCs/>
                <w:sz w:val="22"/>
                <w:szCs w:val="22"/>
                <w:lang w:val="sr-Latn-ME"/>
              </w:rPr>
            </w:pPr>
            <w:r w:rsidRPr="00424A4B">
              <w:rPr>
                <w:bCs/>
                <w:sz w:val="22"/>
                <w:szCs w:val="22"/>
                <w:lang w:val="sr-Latn-ME"/>
              </w:rPr>
              <w:t>Treba ponovo primijeniti udarnu intravensku dozu trastuzumaba od 8 mg/kg tokom približno 90 minuta, a nakon toga nastaviti liječenje intravenskom dozom održavanja od 6 mg/kg, svake 3 nedelje.</w:t>
            </w:r>
          </w:p>
        </w:tc>
        <w:tc>
          <w:tcPr>
            <w:tcW w:w="2233" w:type="dxa"/>
            <w:vMerge/>
          </w:tcPr>
          <w:p w:rsidR="005E6320" w:rsidRPr="00424A4B" w:rsidRDefault="005E6320" w:rsidP="0055503A">
            <w:pPr>
              <w:rPr>
                <w:bCs/>
                <w:sz w:val="22"/>
                <w:szCs w:val="22"/>
                <w:lang w:val="sr-Latn-ME"/>
              </w:rPr>
            </w:pPr>
          </w:p>
        </w:tc>
      </w:tr>
    </w:tbl>
    <w:p w:rsidR="005E6320" w:rsidRPr="00424A4B" w:rsidRDefault="005E6320" w:rsidP="0055503A">
      <w:pPr>
        <w:rPr>
          <w:sz w:val="22"/>
          <w:szCs w:val="22"/>
          <w:lang w:val="sr-Latn-ME"/>
        </w:rPr>
      </w:pPr>
    </w:p>
    <w:p w:rsidR="005E6320" w:rsidRPr="00424A4B" w:rsidRDefault="005E6320" w:rsidP="0055503A">
      <w:pPr>
        <w:rPr>
          <w:i/>
          <w:sz w:val="22"/>
          <w:szCs w:val="22"/>
          <w:lang w:val="sr-Latn-ME"/>
        </w:rPr>
      </w:pPr>
      <w:r w:rsidRPr="00424A4B">
        <w:rPr>
          <w:i/>
          <w:sz w:val="22"/>
          <w:szCs w:val="22"/>
          <w:lang w:val="sr-Latn-ME"/>
        </w:rPr>
        <w:t>Podešavanje doziranja</w:t>
      </w:r>
    </w:p>
    <w:p w:rsidR="005E6320" w:rsidRPr="00424A4B" w:rsidRDefault="005E6320" w:rsidP="0055503A">
      <w:pPr>
        <w:jc w:val="both"/>
        <w:rPr>
          <w:sz w:val="22"/>
          <w:szCs w:val="22"/>
          <w:lang w:val="sr-Latn-ME"/>
        </w:rPr>
      </w:pPr>
      <w:r w:rsidRPr="00424A4B">
        <w:rPr>
          <w:sz w:val="22"/>
          <w:szCs w:val="22"/>
          <w:lang w:val="sr-Latn-ME"/>
        </w:rPr>
        <w:t>Ne preporučuje se smanjiva</w:t>
      </w:r>
      <w:r w:rsidR="008E2C64" w:rsidRPr="00424A4B">
        <w:rPr>
          <w:sz w:val="22"/>
          <w:szCs w:val="22"/>
          <w:lang w:val="sr-Latn-ME"/>
        </w:rPr>
        <w:t>nje</w:t>
      </w:r>
      <w:r w:rsidRPr="00424A4B">
        <w:rPr>
          <w:sz w:val="22"/>
          <w:szCs w:val="22"/>
          <w:lang w:val="sr-Latn-ME"/>
        </w:rPr>
        <w:t xml:space="preserve"> doz</w:t>
      </w:r>
      <w:r w:rsidR="008E2C64" w:rsidRPr="00424A4B">
        <w:rPr>
          <w:sz w:val="22"/>
          <w:szCs w:val="22"/>
          <w:lang w:val="sr-Latn-ME"/>
        </w:rPr>
        <w:t>e</w:t>
      </w:r>
      <w:r w:rsidRPr="00424A4B">
        <w:rPr>
          <w:sz w:val="22"/>
          <w:szCs w:val="22"/>
          <w:lang w:val="sr-Latn-ME"/>
        </w:rPr>
        <w:t xml:space="preserve"> lijeka </w:t>
      </w:r>
      <w:r w:rsidR="009C77FA" w:rsidRPr="00424A4B">
        <w:rPr>
          <w:sz w:val="22"/>
          <w:szCs w:val="22"/>
          <w:lang w:val="sr-Latn-ME"/>
        </w:rPr>
        <w:t>Perjeta</w:t>
      </w:r>
      <w:r w:rsidRPr="00424A4B">
        <w:rPr>
          <w:sz w:val="22"/>
          <w:szCs w:val="22"/>
          <w:lang w:val="sr-Latn-ME"/>
        </w:rPr>
        <w:t xml:space="preserve"> ni trastuzumaba. Za pojedinosti o trastuzumabu vidjeti Sažetak karakteristika lijeka za trastuzumab.</w:t>
      </w:r>
    </w:p>
    <w:p w:rsidR="002B03CF" w:rsidRPr="00424A4B" w:rsidRDefault="002B03CF"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Pacijenti mogu nastaviti sa l</w:t>
      </w:r>
      <w:r w:rsidR="005C33D8" w:rsidRPr="00424A4B">
        <w:rPr>
          <w:sz w:val="22"/>
          <w:szCs w:val="22"/>
          <w:lang w:val="sr-Latn-ME"/>
        </w:rPr>
        <w:t>i</w:t>
      </w:r>
      <w:r w:rsidRPr="00424A4B">
        <w:rPr>
          <w:sz w:val="22"/>
          <w:szCs w:val="22"/>
          <w:lang w:val="sr-Latn-ME"/>
        </w:rPr>
        <w:t>ječenjem tokom perioda reverzibilne mijelosupresije izazvane hemoterapijom, ali ih tokom tog vremena treba pomno nadzirati zbog mogućih komplikacija povezanih sa neutropenijom. Za prilagođavanje doze docetaksela i drugih hemoterapija vidjeti odgovarajući Sažetak karakteristika lijeka.</w:t>
      </w:r>
    </w:p>
    <w:p w:rsidR="002B03CF" w:rsidRPr="00424A4B" w:rsidRDefault="002B03CF"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Ako se obustavi liječenje trastuzumaba, mora se obustaviti i liječenje lijekom </w:t>
      </w:r>
      <w:r w:rsidR="009C77FA" w:rsidRPr="00424A4B">
        <w:rPr>
          <w:sz w:val="22"/>
          <w:szCs w:val="22"/>
          <w:lang w:val="sr-Latn-ME"/>
        </w:rPr>
        <w:t>Perjeta</w:t>
      </w:r>
      <w:r w:rsidRPr="00424A4B">
        <w:rPr>
          <w:sz w:val="22"/>
          <w:szCs w:val="22"/>
          <w:lang w:val="sr-Latn-ME"/>
        </w:rPr>
        <w:t>.</w:t>
      </w:r>
    </w:p>
    <w:p w:rsidR="005C33D8" w:rsidRPr="00424A4B" w:rsidRDefault="005C33D8" w:rsidP="0055503A">
      <w:pPr>
        <w:jc w:val="both"/>
        <w:rPr>
          <w:i/>
          <w:sz w:val="22"/>
          <w:szCs w:val="22"/>
          <w:lang w:val="sr-Latn-ME"/>
        </w:rPr>
      </w:pPr>
    </w:p>
    <w:p w:rsidR="005E6320" w:rsidRPr="00424A4B" w:rsidRDefault="005E6320" w:rsidP="0055503A">
      <w:pPr>
        <w:jc w:val="both"/>
        <w:rPr>
          <w:i/>
          <w:sz w:val="22"/>
          <w:szCs w:val="22"/>
          <w:lang w:val="sr-Latn-ME"/>
        </w:rPr>
      </w:pPr>
      <w:r w:rsidRPr="00424A4B">
        <w:rPr>
          <w:i/>
          <w:sz w:val="22"/>
          <w:szCs w:val="22"/>
          <w:lang w:val="sr-Latn-ME"/>
        </w:rPr>
        <w:t>Disfunkcija lijeve komore</w:t>
      </w:r>
    </w:p>
    <w:p w:rsidR="005E6320" w:rsidRPr="00424A4B" w:rsidRDefault="005E6320" w:rsidP="0055503A">
      <w:pPr>
        <w:jc w:val="both"/>
        <w:rPr>
          <w:sz w:val="22"/>
          <w:szCs w:val="22"/>
          <w:lang w:val="sr-Latn-ME"/>
        </w:rPr>
      </w:pPr>
      <w:r w:rsidRPr="00424A4B">
        <w:rPr>
          <w:sz w:val="22"/>
          <w:szCs w:val="22"/>
          <w:lang w:val="sr-Latn-ME"/>
        </w:rPr>
        <w:t>L</w:t>
      </w:r>
      <w:r w:rsidR="005C33D8" w:rsidRPr="00424A4B">
        <w:rPr>
          <w:sz w:val="22"/>
          <w:szCs w:val="22"/>
          <w:lang w:val="sr-Latn-ME"/>
        </w:rPr>
        <w:t>i</w:t>
      </w:r>
      <w:r w:rsidRPr="00424A4B">
        <w:rPr>
          <w:sz w:val="22"/>
          <w:szCs w:val="22"/>
          <w:lang w:val="sr-Latn-ME"/>
        </w:rPr>
        <w:t xml:space="preserve">ječenje lijekom </w:t>
      </w:r>
      <w:r w:rsidR="009C77FA" w:rsidRPr="00424A4B">
        <w:rPr>
          <w:sz w:val="22"/>
          <w:szCs w:val="22"/>
          <w:lang w:val="sr-Latn-ME"/>
        </w:rPr>
        <w:t>Perjeta</w:t>
      </w:r>
      <w:r w:rsidRPr="00424A4B">
        <w:rPr>
          <w:sz w:val="22"/>
          <w:szCs w:val="22"/>
          <w:lang w:val="sr-Latn-ME"/>
        </w:rPr>
        <w:t xml:space="preserve"> i trastuzumabom mora se prekinuti na najmanje 3 nedjelje ako se pojave bilo kakvi znaci i simptomi koji ukazuju na kongestivnu srčanu insuficijenciju. </w:t>
      </w:r>
      <w:r w:rsidR="009514B9" w:rsidRPr="00424A4B">
        <w:rPr>
          <w:sz w:val="22"/>
          <w:szCs w:val="22"/>
          <w:lang w:val="sr-Latn-ME"/>
        </w:rPr>
        <w:t xml:space="preserve">Lijek </w:t>
      </w:r>
      <w:r w:rsidR="009C77FA" w:rsidRPr="00424A4B">
        <w:rPr>
          <w:sz w:val="22"/>
          <w:szCs w:val="22"/>
          <w:lang w:val="sr-Latn-ME"/>
        </w:rPr>
        <w:t>Perjeta</w:t>
      </w:r>
      <w:r w:rsidRPr="00424A4B">
        <w:rPr>
          <w:sz w:val="22"/>
          <w:szCs w:val="22"/>
          <w:lang w:val="sr-Latn-ME"/>
        </w:rPr>
        <w:t xml:space="preserve"> se mora trajno obustaviti ako se potvrdi kongestivna srčana insuficijencija (vidjeti dio 4.4. za više informacija)</w:t>
      </w:r>
      <w:r w:rsidR="005C33D8" w:rsidRPr="00424A4B">
        <w:rPr>
          <w:sz w:val="22"/>
          <w:szCs w:val="22"/>
          <w:lang w:val="sr-Latn-ME"/>
        </w:rPr>
        <w:t>.</w:t>
      </w:r>
    </w:p>
    <w:p w:rsidR="005E6320" w:rsidRPr="00424A4B" w:rsidRDefault="005E6320" w:rsidP="005C33D8">
      <w:pPr>
        <w:rPr>
          <w:sz w:val="22"/>
          <w:szCs w:val="22"/>
          <w:lang w:val="sr-Latn-ME"/>
        </w:rPr>
      </w:pPr>
    </w:p>
    <w:p w:rsidR="005E6320" w:rsidRPr="00424A4B" w:rsidRDefault="005E6320" w:rsidP="00CD41AC">
      <w:pPr>
        <w:rPr>
          <w:sz w:val="22"/>
          <w:szCs w:val="22"/>
          <w:u w:val="single"/>
          <w:lang w:val="sr-Latn-ME"/>
        </w:rPr>
      </w:pPr>
      <w:r w:rsidRPr="00424A4B">
        <w:rPr>
          <w:sz w:val="22"/>
          <w:szCs w:val="22"/>
          <w:u w:val="single"/>
          <w:lang w:val="sr-Latn-ME"/>
        </w:rPr>
        <w:t>Pacijenti sa metastatskim karcinomom dojke</w:t>
      </w:r>
    </w:p>
    <w:p w:rsidR="005E6320" w:rsidRPr="00424A4B" w:rsidRDefault="005E6320">
      <w:pPr>
        <w:rPr>
          <w:sz w:val="22"/>
          <w:szCs w:val="22"/>
          <w:lang w:val="sr-Latn-ME"/>
        </w:rPr>
      </w:pPr>
    </w:p>
    <w:p w:rsidR="005E6320" w:rsidRPr="00424A4B" w:rsidRDefault="005E6320">
      <w:pPr>
        <w:jc w:val="both"/>
        <w:rPr>
          <w:sz w:val="22"/>
          <w:szCs w:val="22"/>
          <w:lang w:val="sr-Latn-ME"/>
        </w:rPr>
      </w:pPr>
      <w:r w:rsidRPr="00424A4B">
        <w:rPr>
          <w:sz w:val="22"/>
          <w:szCs w:val="22"/>
          <w:lang w:val="sr-Latn-ME"/>
        </w:rPr>
        <w:t xml:space="preserve">Ejekciona frakcija lijeve komore prije liječenja mora biti ≥ 50%. Liječenje lijekom </w:t>
      </w:r>
      <w:r w:rsidR="009C77FA" w:rsidRPr="00424A4B">
        <w:rPr>
          <w:sz w:val="22"/>
          <w:szCs w:val="22"/>
          <w:lang w:val="sr-Latn-ME"/>
        </w:rPr>
        <w:t>Perjeta</w:t>
      </w:r>
      <w:r w:rsidRPr="00424A4B">
        <w:rPr>
          <w:sz w:val="22"/>
          <w:szCs w:val="22"/>
          <w:lang w:val="sr-Latn-ME"/>
        </w:rPr>
        <w:t xml:space="preserve"> i trastuzumabom mora se prekinuti na najmanje 3 nedjelje u slučaju:</w:t>
      </w:r>
    </w:p>
    <w:p w:rsidR="005E6320" w:rsidRPr="00424A4B" w:rsidRDefault="005E6320">
      <w:pPr>
        <w:jc w:val="both"/>
        <w:rPr>
          <w:sz w:val="22"/>
          <w:szCs w:val="22"/>
          <w:lang w:val="sr-Latn-ME"/>
        </w:rPr>
      </w:pPr>
    </w:p>
    <w:p w:rsidR="005E6320" w:rsidRPr="00424A4B" w:rsidRDefault="005E6320">
      <w:pPr>
        <w:numPr>
          <w:ilvl w:val="0"/>
          <w:numId w:val="13"/>
        </w:numPr>
        <w:jc w:val="both"/>
        <w:rPr>
          <w:sz w:val="22"/>
          <w:szCs w:val="22"/>
          <w:lang w:val="sr-Latn-ME"/>
        </w:rPr>
      </w:pPr>
      <w:r w:rsidRPr="00424A4B">
        <w:rPr>
          <w:sz w:val="22"/>
          <w:szCs w:val="22"/>
          <w:lang w:val="sr-Latn-ME"/>
        </w:rPr>
        <w:t xml:space="preserve">smanjenja ejekcione frakcije lijeve komore na manje od 40% </w:t>
      </w:r>
    </w:p>
    <w:p w:rsidR="005E6320" w:rsidRPr="00424A4B" w:rsidRDefault="005E6320">
      <w:pPr>
        <w:numPr>
          <w:ilvl w:val="0"/>
          <w:numId w:val="13"/>
        </w:numPr>
        <w:jc w:val="both"/>
        <w:rPr>
          <w:sz w:val="22"/>
          <w:szCs w:val="22"/>
          <w:lang w:val="sr-Latn-ME"/>
        </w:rPr>
      </w:pPr>
      <w:r w:rsidRPr="00424A4B">
        <w:rPr>
          <w:sz w:val="22"/>
          <w:szCs w:val="22"/>
          <w:lang w:val="sr-Latn-ME"/>
        </w:rPr>
        <w:t>ejekciona frakcija lijeve komore od 40</w:t>
      </w:r>
      <w:r w:rsidR="00B311C8" w:rsidRPr="00424A4B">
        <w:rPr>
          <w:sz w:val="22"/>
          <w:szCs w:val="22"/>
          <w:lang w:val="sr-Latn-ME"/>
        </w:rPr>
        <w:t xml:space="preserve"> do </w:t>
      </w:r>
      <w:r w:rsidRPr="00424A4B">
        <w:rPr>
          <w:sz w:val="22"/>
          <w:szCs w:val="22"/>
          <w:lang w:val="sr-Latn-ME"/>
        </w:rPr>
        <w:t>45% uz smanjenje za ≥ 10 procentnih bodova u odnosu na vrijednost prije liječenja.</w:t>
      </w:r>
    </w:p>
    <w:p w:rsidR="005E6320" w:rsidRPr="00424A4B" w:rsidRDefault="005E6320">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Liječenje lijekom </w:t>
      </w:r>
      <w:r w:rsidR="009C77FA" w:rsidRPr="00424A4B">
        <w:rPr>
          <w:sz w:val="22"/>
          <w:szCs w:val="22"/>
          <w:lang w:val="sr-Latn-ME"/>
        </w:rPr>
        <w:t>Perjeta</w:t>
      </w:r>
      <w:r w:rsidRPr="00424A4B">
        <w:rPr>
          <w:sz w:val="22"/>
          <w:szCs w:val="22"/>
          <w:lang w:val="sr-Latn-ME"/>
        </w:rPr>
        <w:t xml:space="preserve"> i trastuzumabom može se nastaviti ako se ejekciona frakcija lijeve komore oporavi na &gt; 45% ili na 40-45% uz smanjenje za &lt; 10 procentnih bodova u odnosu na vrijednost prije l</w:t>
      </w:r>
      <w:r w:rsidR="005C33D8" w:rsidRPr="00424A4B">
        <w:rPr>
          <w:sz w:val="22"/>
          <w:szCs w:val="22"/>
          <w:lang w:val="sr-Latn-ME"/>
        </w:rPr>
        <w:t>i</w:t>
      </w:r>
      <w:r w:rsidRPr="00424A4B">
        <w:rPr>
          <w:sz w:val="22"/>
          <w:szCs w:val="22"/>
          <w:lang w:val="sr-Latn-ME"/>
        </w:rPr>
        <w:t>ječenja.</w:t>
      </w:r>
    </w:p>
    <w:p w:rsidR="005E6320" w:rsidRPr="00424A4B" w:rsidRDefault="005E6320" w:rsidP="0055503A">
      <w:pPr>
        <w:rPr>
          <w:sz w:val="22"/>
          <w:szCs w:val="22"/>
          <w:lang w:val="sr-Latn-ME"/>
        </w:rPr>
      </w:pPr>
    </w:p>
    <w:p w:rsidR="005E6320" w:rsidRPr="00424A4B" w:rsidRDefault="005E6320" w:rsidP="0055503A">
      <w:pPr>
        <w:rPr>
          <w:sz w:val="22"/>
          <w:szCs w:val="22"/>
          <w:u w:val="single"/>
          <w:lang w:val="sr-Latn-ME"/>
        </w:rPr>
      </w:pPr>
      <w:r w:rsidRPr="00424A4B">
        <w:rPr>
          <w:sz w:val="22"/>
          <w:szCs w:val="22"/>
          <w:u w:val="single"/>
          <w:lang w:val="sr-Latn-ME"/>
        </w:rPr>
        <w:lastRenderedPageBreak/>
        <w:t>Pacijenti sa ranim karcinomom dojke</w:t>
      </w:r>
    </w:p>
    <w:p w:rsidR="005E6320" w:rsidRPr="00424A4B" w:rsidRDefault="005E6320" w:rsidP="0055503A">
      <w:pPr>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Ejekciona frakcija lijeve komore prije liječenja mora biti ≥ 55% (≥ 50% nakon završetka liječenja antraciklinskom komponentom hemoterapije, ako se ona primjenjuje). Liječenje lijekom </w:t>
      </w:r>
      <w:r w:rsidR="009C77FA" w:rsidRPr="00424A4B">
        <w:rPr>
          <w:sz w:val="22"/>
          <w:szCs w:val="22"/>
          <w:lang w:val="sr-Latn-ME"/>
        </w:rPr>
        <w:t>Perjeta</w:t>
      </w:r>
      <w:r w:rsidRPr="00424A4B">
        <w:rPr>
          <w:sz w:val="22"/>
          <w:szCs w:val="22"/>
          <w:lang w:val="sr-Latn-ME"/>
        </w:rPr>
        <w:t xml:space="preserve"> i trastuzumabom mora se prekinuti na najmanje 3 nedjelje u slučaju:</w:t>
      </w:r>
    </w:p>
    <w:p w:rsidR="005E6320" w:rsidRPr="00424A4B" w:rsidRDefault="005E6320" w:rsidP="0055503A">
      <w:pPr>
        <w:ind w:left="720" w:hanging="360"/>
        <w:rPr>
          <w:sz w:val="22"/>
          <w:szCs w:val="22"/>
          <w:lang w:val="sr-Latn-ME"/>
        </w:rPr>
      </w:pPr>
      <w:r w:rsidRPr="00424A4B">
        <w:rPr>
          <w:sz w:val="22"/>
          <w:szCs w:val="22"/>
          <w:lang w:val="sr-Latn-ME"/>
        </w:rPr>
        <w:t>•</w:t>
      </w:r>
      <w:r w:rsidRPr="00424A4B">
        <w:rPr>
          <w:sz w:val="22"/>
          <w:szCs w:val="22"/>
          <w:lang w:val="sr-Latn-ME"/>
        </w:rPr>
        <w:tab/>
        <w:t>smanjenja ejekcione frakcije lijeve komore na manje od 50% uz smanjenje za ≥ 10 procentnih bodova u odnosu na vrijednost prije liječenja.</w:t>
      </w:r>
    </w:p>
    <w:p w:rsidR="005E6320" w:rsidRPr="00424A4B" w:rsidRDefault="005E6320" w:rsidP="0055503A">
      <w:pPr>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Liječenje lijekom </w:t>
      </w:r>
      <w:r w:rsidR="009C77FA" w:rsidRPr="00424A4B">
        <w:rPr>
          <w:sz w:val="22"/>
          <w:szCs w:val="22"/>
          <w:lang w:val="sr-Latn-ME"/>
        </w:rPr>
        <w:t>Perjeta</w:t>
      </w:r>
      <w:r w:rsidRPr="00424A4B">
        <w:rPr>
          <w:sz w:val="22"/>
          <w:szCs w:val="22"/>
          <w:lang w:val="sr-Latn-ME"/>
        </w:rPr>
        <w:t xml:space="preserve"> i trastuzumabom može se nastaviti ako se ejekciona frakcija lijeve komore oporavi na ≥ 50% ili ako se razlika u odnosu na vrijednost prije liječenja smanji na &lt; 10 procentnih bodova.</w:t>
      </w:r>
    </w:p>
    <w:p w:rsidR="002B03CF" w:rsidRPr="00424A4B" w:rsidRDefault="002B03CF" w:rsidP="0055503A">
      <w:pPr>
        <w:jc w:val="both"/>
        <w:rPr>
          <w:sz w:val="22"/>
          <w:szCs w:val="22"/>
          <w:lang w:val="sr-Latn-ME"/>
        </w:rPr>
      </w:pPr>
    </w:p>
    <w:p w:rsidR="005E6320" w:rsidRPr="00424A4B" w:rsidRDefault="005E6320" w:rsidP="0055503A">
      <w:pPr>
        <w:rPr>
          <w:i/>
          <w:sz w:val="22"/>
          <w:szCs w:val="22"/>
          <w:lang w:val="sr-Latn-ME"/>
        </w:rPr>
      </w:pPr>
      <w:r w:rsidRPr="00424A4B">
        <w:rPr>
          <w:i/>
          <w:sz w:val="22"/>
          <w:szCs w:val="22"/>
          <w:lang w:val="sr-Latn-ME"/>
        </w:rPr>
        <w:t>Stariji pacijenti</w:t>
      </w:r>
    </w:p>
    <w:p w:rsidR="005E6320" w:rsidRPr="00424A4B" w:rsidRDefault="005E6320" w:rsidP="0055503A">
      <w:pPr>
        <w:jc w:val="both"/>
        <w:rPr>
          <w:sz w:val="22"/>
          <w:szCs w:val="22"/>
          <w:lang w:val="sr-Latn-ME"/>
        </w:rPr>
      </w:pPr>
      <w:r w:rsidRPr="00424A4B">
        <w:rPr>
          <w:sz w:val="22"/>
          <w:szCs w:val="22"/>
          <w:lang w:val="sr-Latn-ME"/>
        </w:rPr>
        <w:t>Sveukupno ni</w:t>
      </w:r>
      <w:r w:rsidR="00B311C8" w:rsidRPr="00424A4B">
        <w:rPr>
          <w:sz w:val="22"/>
          <w:szCs w:val="22"/>
          <w:lang w:val="sr-Latn-ME"/>
        </w:rPr>
        <w:t>je</w:t>
      </w:r>
      <w:r w:rsidRPr="00424A4B">
        <w:rPr>
          <w:sz w:val="22"/>
          <w:szCs w:val="22"/>
          <w:lang w:val="sr-Latn-ME"/>
        </w:rPr>
        <w:t xml:space="preserve">su primijećene razlike u efikasnosti lijeka </w:t>
      </w:r>
      <w:r w:rsidR="009C77FA" w:rsidRPr="00424A4B">
        <w:rPr>
          <w:sz w:val="22"/>
          <w:szCs w:val="22"/>
          <w:lang w:val="sr-Latn-ME"/>
        </w:rPr>
        <w:t>Perjeta</w:t>
      </w:r>
      <w:r w:rsidRPr="00424A4B">
        <w:rPr>
          <w:sz w:val="22"/>
          <w:szCs w:val="22"/>
          <w:lang w:val="sr-Latn-ME"/>
        </w:rPr>
        <w:t xml:space="preserve"> između pacijenata starosti od ≥ 65 godina i onih mlađih od 65 godina.</w:t>
      </w:r>
      <w:r w:rsidR="00B311C8" w:rsidRPr="00424A4B">
        <w:rPr>
          <w:sz w:val="22"/>
          <w:szCs w:val="22"/>
          <w:lang w:val="sr-Latn-ME"/>
        </w:rPr>
        <w:t xml:space="preserve"> </w:t>
      </w:r>
      <w:r w:rsidRPr="00424A4B">
        <w:rPr>
          <w:sz w:val="22"/>
          <w:szCs w:val="22"/>
          <w:lang w:val="sr-Latn-ME"/>
        </w:rPr>
        <w:t>Nije potrebno prilagođavati dozu kod starijih pacijenata u dobi od ≥ 65 godina. Dostupni su ograničeni podaci za pacijente starije od 75 godina.</w:t>
      </w:r>
      <w:r w:rsidR="00463C21" w:rsidRPr="00424A4B">
        <w:rPr>
          <w:sz w:val="22"/>
          <w:szCs w:val="22"/>
          <w:lang w:val="sr-Latn-ME"/>
        </w:rPr>
        <w:t xml:space="preserve"> Za procjenu bezbjednosti lijeka Perjeta kod starijih pacijenata vidjeti dio 4.8.</w:t>
      </w:r>
    </w:p>
    <w:p w:rsidR="002B03CF" w:rsidRPr="00424A4B" w:rsidRDefault="002B03CF" w:rsidP="0055503A">
      <w:pPr>
        <w:jc w:val="both"/>
        <w:rPr>
          <w:sz w:val="22"/>
          <w:szCs w:val="22"/>
          <w:lang w:val="sr-Latn-ME"/>
        </w:rPr>
      </w:pPr>
    </w:p>
    <w:p w:rsidR="005E6320" w:rsidRPr="00424A4B" w:rsidRDefault="005E6320" w:rsidP="0055503A">
      <w:pPr>
        <w:jc w:val="both"/>
        <w:rPr>
          <w:i/>
          <w:sz w:val="22"/>
          <w:szCs w:val="22"/>
          <w:lang w:val="sr-Latn-ME"/>
        </w:rPr>
      </w:pPr>
      <w:r w:rsidRPr="00424A4B">
        <w:rPr>
          <w:i/>
          <w:sz w:val="22"/>
          <w:szCs w:val="22"/>
          <w:lang w:val="sr-Latn-ME"/>
        </w:rPr>
        <w:t>Oštećenje bubrežne funkcije</w:t>
      </w:r>
    </w:p>
    <w:p w:rsidR="005E6320" w:rsidRPr="00424A4B" w:rsidRDefault="005E6320" w:rsidP="0055503A">
      <w:pPr>
        <w:jc w:val="both"/>
        <w:rPr>
          <w:sz w:val="22"/>
          <w:szCs w:val="22"/>
          <w:lang w:val="sr-Latn-ME"/>
        </w:rPr>
      </w:pPr>
      <w:r w:rsidRPr="00424A4B">
        <w:rPr>
          <w:sz w:val="22"/>
          <w:szCs w:val="22"/>
          <w:lang w:val="sr-Latn-ME"/>
        </w:rPr>
        <w:t>Kod pacijenata sa blagim do umjerenim oštećenjem bubrežne funkcije nije potrebno prilagođavati dozu lijeka pertuzumaba. Zbog ograničenih raspoloživih farmakokinetičkih podataka ne mogu se dati preporuke za doziranje kod pacijenata sa teškim oštećenjem bubrežne funkcije (vidjeti dio 5.2).</w:t>
      </w:r>
    </w:p>
    <w:p w:rsidR="002B03CF" w:rsidRPr="00424A4B" w:rsidRDefault="002B03CF" w:rsidP="0055503A">
      <w:pPr>
        <w:jc w:val="both"/>
        <w:rPr>
          <w:sz w:val="22"/>
          <w:szCs w:val="22"/>
          <w:lang w:val="sr-Latn-ME"/>
        </w:rPr>
      </w:pPr>
    </w:p>
    <w:p w:rsidR="005E6320" w:rsidRPr="00424A4B" w:rsidRDefault="005E6320" w:rsidP="0055503A">
      <w:pPr>
        <w:jc w:val="both"/>
        <w:rPr>
          <w:i/>
          <w:sz w:val="22"/>
          <w:szCs w:val="22"/>
          <w:lang w:val="sr-Latn-ME"/>
        </w:rPr>
      </w:pPr>
      <w:r w:rsidRPr="00424A4B">
        <w:rPr>
          <w:i/>
          <w:sz w:val="22"/>
          <w:szCs w:val="22"/>
          <w:lang w:val="sr-Latn-ME"/>
        </w:rPr>
        <w:t>Oštećenje funkcije jetre</w:t>
      </w:r>
    </w:p>
    <w:p w:rsidR="005E6320" w:rsidRPr="00424A4B" w:rsidRDefault="005E6320" w:rsidP="0055503A">
      <w:pPr>
        <w:jc w:val="both"/>
        <w:rPr>
          <w:sz w:val="22"/>
          <w:szCs w:val="22"/>
          <w:lang w:val="sr-Latn-ME"/>
        </w:rPr>
      </w:pPr>
      <w:r w:rsidRPr="00424A4B">
        <w:rPr>
          <w:sz w:val="22"/>
          <w:szCs w:val="22"/>
          <w:lang w:val="sr-Latn-ME"/>
        </w:rPr>
        <w:t>Ni</w:t>
      </w:r>
      <w:r w:rsidR="00B311C8" w:rsidRPr="00424A4B">
        <w:rPr>
          <w:sz w:val="22"/>
          <w:szCs w:val="22"/>
          <w:lang w:val="sr-Latn-ME"/>
        </w:rPr>
        <w:t>je</w:t>
      </w:r>
      <w:r w:rsidRPr="00424A4B">
        <w:rPr>
          <w:sz w:val="22"/>
          <w:szCs w:val="22"/>
          <w:lang w:val="sr-Latn-ME"/>
        </w:rPr>
        <w:t xml:space="preserve">su ispitivani bezbjednost i efikasnost lijeka </w:t>
      </w:r>
      <w:r w:rsidR="009C77FA" w:rsidRPr="00424A4B">
        <w:rPr>
          <w:sz w:val="22"/>
          <w:szCs w:val="22"/>
          <w:lang w:val="sr-Latn-ME"/>
        </w:rPr>
        <w:t>Perjeta</w:t>
      </w:r>
      <w:r w:rsidRPr="00424A4B">
        <w:rPr>
          <w:sz w:val="22"/>
          <w:szCs w:val="22"/>
          <w:lang w:val="sr-Latn-ME"/>
        </w:rPr>
        <w:t xml:space="preserve"> kod pacijenata sa oštećenjem funkcije jetre. Ne mogu se dati posebne preporuke za doziranje.</w:t>
      </w:r>
    </w:p>
    <w:p w:rsidR="002B03CF" w:rsidRPr="00424A4B" w:rsidRDefault="002B03CF" w:rsidP="0055503A">
      <w:pPr>
        <w:jc w:val="both"/>
        <w:rPr>
          <w:sz w:val="22"/>
          <w:szCs w:val="22"/>
          <w:lang w:val="sr-Latn-ME"/>
        </w:rPr>
      </w:pPr>
    </w:p>
    <w:p w:rsidR="005E6320" w:rsidRPr="00424A4B" w:rsidRDefault="005E6320" w:rsidP="0055503A">
      <w:pPr>
        <w:jc w:val="both"/>
        <w:rPr>
          <w:i/>
          <w:sz w:val="22"/>
          <w:szCs w:val="22"/>
          <w:lang w:val="sr-Latn-ME"/>
        </w:rPr>
      </w:pPr>
      <w:r w:rsidRPr="00424A4B">
        <w:rPr>
          <w:i/>
          <w:sz w:val="22"/>
          <w:szCs w:val="22"/>
          <w:lang w:val="sr-Latn-ME"/>
        </w:rPr>
        <w:t>Pedijatrijska populacija</w:t>
      </w:r>
    </w:p>
    <w:p w:rsidR="005E6320" w:rsidRPr="00424A4B" w:rsidRDefault="005E6320" w:rsidP="0055503A">
      <w:pPr>
        <w:jc w:val="both"/>
        <w:rPr>
          <w:sz w:val="22"/>
          <w:szCs w:val="22"/>
          <w:lang w:val="sr-Latn-ME"/>
        </w:rPr>
      </w:pPr>
      <w:r w:rsidRPr="00424A4B">
        <w:rPr>
          <w:sz w:val="22"/>
          <w:szCs w:val="22"/>
          <w:lang w:val="sr-Latn-ME"/>
        </w:rPr>
        <w:t xml:space="preserve">Bezbjednost i efikasnost lijeka </w:t>
      </w:r>
      <w:r w:rsidR="009C77FA" w:rsidRPr="00424A4B">
        <w:rPr>
          <w:sz w:val="22"/>
          <w:szCs w:val="22"/>
          <w:lang w:val="sr-Latn-ME"/>
        </w:rPr>
        <w:t>Perjeta</w:t>
      </w:r>
      <w:r w:rsidRPr="00424A4B">
        <w:rPr>
          <w:sz w:val="22"/>
          <w:szCs w:val="22"/>
          <w:lang w:val="sr-Latn-ME"/>
        </w:rPr>
        <w:t xml:space="preserve"> kod djece i adolescenata mlađih od 18 godina ni</w:t>
      </w:r>
      <w:r w:rsidR="00B311C8" w:rsidRPr="00424A4B">
        <w:rPr>
          <w:sz w:val="22"/>
          <w:szCs w:val="22"/>
          <w:lang w:val="sr-Latn-ME"/>
        </w:rPr>
        <w:t>je</w:t>
      </w:r>
      <w:r w:rsidRPr="00424A4B">
        <w:rPr>
          <w:sz w:val="22"/>
          <w:szCs w:val="22"/>
          <w:lang w:val="sr-Latn-ME"/>
        </w:rPr>
        <w:t xml:space="preserve">su ustanovljene. Nema relevantne primjene lijeka </w:t>
      </w:r>
      <w:r w:rsidR="009C77FA" w:rsidRPr="00424A4B">
        <w:rPr>
          <w:sz w:val="22"/>
          <w:szCs w:val="22"/>
          <w:lang w:val="sr-Latn-ME"/>
        </w:rPr>
        <w:t>Perjeta</w:t>
      </w:r>
      <w:r w:rsidRPr="00424A4B">
        <w:rPr>
          <w:sz w:val="22"/>
          <w:szCs w:val="22"/>
          <w:lang w:val="sr-Latn-ME"/>
        </w:rPr>
        <w:t xml:space="preserve"> u pedijatrijskoj populaciji za indikaciju karcinoma dojke.</w:t>
      </w:r>
    </w:p>
    <w:p w:rsidR="00452E9D" w:rsidRPr="00424A4B" w:rsidRDefault="00452E9D" w:rsidP="005C33D8">
      <w:pPr>
        <w:tabs>
          <w:tab w:val="left" w:pos="540"/>
          <w:tab w:val="left" w:pos="569"/>
        </w:tabs>
        <w:rPr>
          <w:bCs/>
          <w:sz w:val="22"/>
          <w:szCs w:val="22"/>
          <w:u w:val="single"/>
          <w:lang w:val="sr-Latn-ME"/>
        </w:rPr>
      </w:pPr>
    </w:p>
    <w:p w:rsidR="00452E9D" w:rsidRPr="00424A4B" w:rsidRDefault="00452E9D" w:rsidP="00CD41AC">
      <w:pPr>
        <w:tabs>
          <w:tab w:val="left" w:pos="540"/>
          <w:tab w:val="left" w:pos="569"/>
        </w:tabs>
        <w:rPr>
          <w:bCs/>
          <w:sz w:val="22"/>
          <w:szCs w:val="22"/>
          <w:u w:val="single"/>
          <w:lang w:val="sr-Latn-ME"/>
        </w:rPr>
      </w:pPr>
      <w:r w:rsidRPr="00424A4B">
        <w:rPr>
          <w:bCs/>
          <w:sz w:val="22"/>
          <w:szCs w:val="22"/>
          <w:u w:val="single"/>
          <w:lang w:val="sr-Latn-ME"/>
        </w:rPr>
        <w:t>Način primjene</w:t>
      </w:r>
    </w:p>
    <w:p w:rsidR="002B03CF" w:rsidRPr="00424A4B" w:rsidRDefault="002B03CF">
      <w:pPr>
        <w:tabs>
          <w:tab w:val="left" w:pos="540"/>
          <w:tab w:val="left" w:pos="569"/>
        </w:tabs>
        <w:rPr>
          <w:bCs/>
          <w:sz w:val="22"/>
          <w:szCs w:val="22"/>
          <w:u w:val="single"/>
          <w:lang w:val="sr-Latn-ME"/>
        </w:rPr>
      </w:pPr>
    </w:p>
    <w:p w:rsidR="005E6320" w:rsidRPr="00424A4B" w:rsidRDefault="009514B9" w:rsidP="0055503A">
      <w:pPr>
        <w:jc w:val="both"/>
        <w:rPr>
          <w:sz w:val="22"/>
          <w:szCs w:val="22"/>
          <w:lang w:val="sr-Latn-ME"/>
        </w:rPr>
      </w:pPr>
      <w:r w:rsidRPr="00424A4B">
        <w:rPr>
          <w:sz w:val="22"/>
          <w:szCs w:val="22"/>
          <w:lang w:val="sr-Latn-ME"/>
        </w:rPr>
        <w:t xml:space="preserve">Lijek </w:t>
      </w:r>
      <w:r w:rsidR="009C77FA" w:rsidRPr="00424A4B">
        <w:rPr>
          <w:sz w:val="22"/>
          <w:szCs w:val="22"/>
          <w:lang w:val="sr-Latn-ME"/>
        </w:rPr>
        <w:t>Perjeta</w:t>
      </w:r>
      <w:r w:rsidR="005E6320" w:rsidRPr="00424A4B">
        <w:rPr>
          <w:sz w:val="22"/>
          <w:szCs w:val="22"/>
          <w:lang w:val="sr-Latn-ME"/>
        </w:rPr>
        <w:t xml:space="preserve"> se primjenjuje intravenskom infuzijom. Ne smije se primijeniti brzom niti bolusnom intravenskom injekcijom. Za uputstvo o raz</w:t>
      </w:r>
      <w:r w:rsidR="00B311C8" w:rsidRPr="00424A4B">
        <w:rPr>
          <w:sz w:val="22"/>
          <w:szCs w:val="22"/>
          <w:lang w:val="sr-Latn-ME"/>
        </w:rPr>
        <w:t>blaživanju</w:t>
      </w:r>
      <w:r w:rsidR="005E6320" w:rsidRPr="00424A4B">
        <w:rPr>
          <w:sz w:val="22"/>
          <w:szCs w:val="22"/>
          <w:lang w:val="sr-Latn-ME"/>
        </w:rPr>
        <w:t xml:space="preserve"> lijeka </w:t>
      </w:r>
      <w:r w:rsidR="009C77FA" w:rsidRPr="00424A4B">
        <w:rPr>
          <w:sz w:val="22"/>
          <w:szCs w:val="22"/>
          <w:lang w:val="sr-Latn-ME"/>
        </w:rPr>
        <w:t>Perjeta</w:t>
      </w:r>
      <w:r w:rsidR="005E6320" w:rsidRPr="00424A4B">
        <w:rPr>
          <w:sz w:val="22"/>
          <w:szCs w:val="22"/>
          <w:lang w:val="sr-Latn-ME"/>
        </w:rPr>
        <w:t xml:space="preserve"> prije primjene, vidjeti djelove 6.2 i 6.6.</w:t>
      </w:r>
    </w:p>
    <w:p w:rsidR="002B03CF" w:rsidRPr="00424A4B" w:rsidRDefault="002B03CF"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Kod početne doze je preporučeno trajanje infuzije 60 minuta. Ako pacijent dobro podnese prvu infuziju, sljedeće infuzije mogu se primjenjivati tokom 30 do 60 minuta (vidjeti dio 4.4).</w:t>
      </w:r>
    </w:p>
    <w:p w:rsidR="005E6320" w:rsidRPr="00424A4B" w:rsidRDefault="005E6320" w:rsidP="0055503A">
      <w:pPr>
        <w:rPr>
          <w:sz w:val="22"/>
          <w:szCs w:val="22"/>
          <w:lang w:val="sr-Latn-ME"/>
        </w:rPr>
      </w:pPr>
    </w:p>
    <w:p w:rsidR="005E6320" w:rsidRPr="00424A4B" w:rsidRDefault="005E6320" w:rsidP="0055503A">
      <w:pPr>
        <w:rPr>
          <w:i/>
          <w:sz w:val="22"/>
          <w:szCs w:val="22"/>
          <w:lang w:val="sr-Latn-ME"/>
        </w:rPr>
      </w:pPr>
      <w:r w:rsidRPr="00424A4B">
        <w:rPr>
          <w:i/>
          <w:sz w:val="22"/>
          <w:szCs w:val="22"/>
          <w:lang w:val="sr-Latn-ME"/>
        </w:rPr>
        <w:t>Reakcije na infuziju</w:t>
      </w:r>
    </w:p>
    <w:p w:rsidR="008342CF" w:rsidRPr="00424A4B" w:rsidRDefault="005E6320" w:rsidP="0055503A">
      <w:pPr>
        <w:jc w:val="both"/>
        <w:rPr>
          <w:sz w:val="22"/>
          <w:szCs w:val="22"/>
          <w:lang w:val="sr-Latn-ME"/>
        </w:rPr>
      </w:pPr>
      <w:r w:rsidRPr="00424A4B">
        <w:rPr>
          <w:sz w:val="22"/>
          <w:szCs w:val="22"/>
          <w:lang w:val="sr-Latn-ME"/>
        </w:rPr>
        <w:t xml:space="preserve">Ako se kod pacijenata javi reakcija na infuziju, može se smanjiti brzina infuzije ili privremeno prekinuti njena primjena (vidjeti dio 4.8). Primjena infuzije može se nastaviti nakon povlačenja simptoma. Ublažavanju simptoma može </w:t>
      </w:r>
      <w:r w:rsidR="00B311C8" w:rsidRPr="00424A4B">
        <w:rPr>
          <w:sz w:val="22"/>
          <w:szCs w:val="22"/>
          <w:lang w:val="sr-Latn-ME"/>
        </w:rPr>
        <w:t>doprinijeti</w:t>
      </w:r>
      <w:r w:rsidRPr="00424A4B">
        <w:rPr>
          <w:sz w:val="22"/>
          <w:szCs w:val="22"/>
          <w:lang w:val="sr-Latn-ME"/>
        </w:rPr>
        <w:t xml:space="preserve"> i liječenje kiseonikom, beta agonistima, antihistaminicima, brzom intravenskom nadoknadom tečnosti i antipireticima. </w:t>
      </w:r>
    </w:p>
    <w:p w:rsidR="008342CF" w:rsidRPr="00424A4B" w:rsidRDefault="008342CF" w:rsidP="0055503A">
      <w:pPr>
        <w:rPr>
          <w:sz w:val="22"/>
          <w:szCs w:val="22"/>
          <w:lang w:val="sr-Latn-ME"/>
        </w:rPr>
      </w:pPr>
    </w:p>
    <w:p w:rsidR="005E6320" w:rsidRPr="00424A4B" w:rsidRDefault="005E6320" w:rsidP="0055503A">
      <w:pPr>
        <w:rPr>
          <w:i/>
          <w:sz w:val="22"/>
          <w:szCs w:val="22"/>
          <w:lang w:val="sr-Latn-ME"/>
        </w:rPr>
      </w:pPr>
      <w:r w:rsidRPr="00424A4B">
        <w:rPr>
          <w:i/>
          <w:sz w:val="22"/>
          <w:szCs w:val="22"/>
          <w:lang w:val="sr-Latn-ME"/>
        </w:rPr>
        <w:t>Reakcije preosjetljivosti/anafilaksija</w:t>
      </w:r>
    </w:p>
    <w:p w:rsidR="005E6320" w:rsidRPr="00424A4B" w:rsidRDefault="005E6320" w:rsidP="0055503A">
      <w:pPr>
        <w:rPr>
          <w:sz w:val="22"/>
          <w:szCs w:val="22"/>
          <w:lang w:val="sr-Latn-ME"/>
        </w:rPr>
      </w:pPr>
      <w:r w:rsidRPr="00424A4B">
        <w:rPr>
          <w:sz w:val="22"/>
          <w:szCs w:val="22"/>
          <w:lang w:val="sr-Latn-ME"/>
        </w:rPr>
        <w:t>Infuzija se mora odmah i trajno prekinuti ako se kod pacijenta pojavi reakcija stepena 4 prema NCI CTCAE klasifikaciji (anafilaksija), bronhospazam ili sindrom akutnog respiratornog distresa (vidjeti dio 4.4).</w:t>
      </w:r>
    </w:p>
    <w:p w:rsidR="00452E9D" w:rsidRPr="00424A4B" w:rsidRDefault="00452E9D" w:rsidP="005C33D8">
      <w:pPr>
        <w:tabs>
          <w:tab w:val="left" w:pos="540"/>
          <w:tab w:val="left" w:pos="569"/>
        </w:tabs>
        <w:rPr>
          <w:bCs/>
          <w:sz w:val="22"/>
          <w:szCs w:val="22"/>
          <w:lang w:val="sr-Latn-ME"/>
        </w:rPr>
      </w:pPr>
    </w:p>
    <w:p w:rsidR="00411B4B" w:rsidRPr="00424A4B" w:rsidRDefault="00411B4B" w:rsidP="00CD41AC">
      <w:pPr>
        <w:tabs>
          <w:tab w:val="left" w:pos="540"/>
          <w:tab w:val="left" w:pos="569"/>
        </w:tabs>
        <w:rPr>
          <w:b/>
          <w:bCs/>
          <w:sz w:val="22"/>
          <w:szCs w:val="22"/>
          <w:lang w:val="sr-Latn-ME"/>
        </w:rPr>
      </w:pPr>
      <w:r w:rsidRPr="00424A4B">
        <w:rPr>
          <w:b/>
          <w:bCs/>
          <w:sz w:val="22"/>
          <w:szCs w:val="22"/>
          <w:lang w:val="sr-Latn-ME"/>
        </w:rPr>
        <w:t xml:space="preserve">4.3. </w:t>
      </w:r>
      <w:r w:rsidR="00480FB1" w:rsidRPr="00424A4B">
        <w:rPr>
          <w:b/>
          <w:bCs/>
          <w:sz w:val="22"/>
          <w:szCs w:val="22"/>
          <w:lang w:val="sr-Latn-ME"/>
        </w:rPr>
        <w:tab/>
      </w:r>
      <w:r w:rsidRPr="00424A4B">
        <w:rPr>
          <w:b/>
          <w:bCs/>
          <w:sz w:val="22"/>
          <w:szCs w:val="22"/>
          <w:lang w:val="sr-Latn-ME"/>
        </w:rPr>
        <w:t>Kontraindikacije</w:t>
      </w:r>
    </w:p>
    <w:p w:rsidR="00B311C8" w:rsidRPr="00424A4B" w:rsidRDefault="00B311C8">
      <w:pPr>
        <w:tabs>
          <w:tab w:val="left" w:pos="540"/>
          <w:tab w:val="left" w:pos="569"/>
        </w:tabs>
        <w:rPr>
          <w:b/>
          <w:bCs/>
          <w:sz w:val="22"/>
          <w:szCs w:val="22"/>
          <w:lang w:val="sr-Latn-ME"/>
        </w:rPr>
      </w:pPr>
    </w:p>
    <w:p w:rsidR="0072020E" w:rsidRPr="00424A4B" w:rsidRDefault="005E6320" w:rsidP="0055503A">
      <w:pPr>
        <w:rPr>
          <w:sz w:val="22"/>
          <w:szCs w:val="22"/>
          <w:lang w:val="sr-Latn-ME"/>
        </w:rPr>
      </w:pPr>
      <w:r w:rsidRPr="00424A4B">
        <w:rPr>
          <w:sz w:val="22"/>
          <w:szCs w:val="22"/>
          <w:lang w:val="sr-Latn-ME"/>
        </w:rPr>
        <w:t xml:space="preserve">Preosjetljivost na aktivnu supstancu ili na bilo koju od pomoćnih supstanci navedenih u dijelu 6.1. </w:t>
      </w:r>
    </w:p>
    <w:p w:rsidR="005E6320" w:rsidRPr="00424A4B" w:rsidRDefault="005E6320" w:rsidP="0055503A">
      <w:pPr>
        <w:rPr>
          <w:sz w:val="22"/>
          <w:szCs w:val="22"/>
          <w:lang w:val="sr-Latn-ME"/>
        </w:rPr>
      </w:pPr>
    </w:p>
    <w:p w:rsidR="00A06870" w:rsidRPr="00424A4B" w:rsidRDefault="00A06870" w:rsidP="0055503A">
      <w:pPr>
        <w:rPr>
          <w:sz w:val="22"/>
          <w:szCs w:val="22"/>
          <w:lang w:val="sr-Latn-ME"/>
        </w:rPr>
      </w:pPr>
    </w:p>
    <w:p w:rsidR="00A06870" w:rsidRPr="00424A4B" w:rsidRDefault="00A06870" w:rsidP="0055503A">
      <w:pPr>
        <w:rPr>
          <w:sz w:val="22"/>
          <w:szCs w:val="22"/>
          <w:lang w:val="sr-Latn-ME"/>
        </w:rPr>
      </w:pPr>
    </w:p>
    <w:p w:rsidR="00411B4B" w:rsidRPr="00424A4B" w:rsidRDefault="00411B4B" w:rsidP="005C33D8">
      <w:pPr>
        <w:tabs>
          <w:tab w:val="left" w:pos="540"/>
          <w:tab w:val="left" w:pos="569"/>
        </w:tabs>
        <w:rPr>
          <w:b/>
          <w:bCs/>
          <w:sz w:val="22"/>
          <w:szCs w:val="22"/>
          <w:lang w:val="sr-Latn-ME"/>
        </w:rPr>
      </w:pPr>
      <w:r w:rsidRPr="00424A4B">
        <w:rPr>
          <w:b/>
          <w:bCs/>
          <w:sz w:val="22"/>
          <w:szCs w:val="22"/>
          <w:lang w:val="sr-Latn-ME"/>
        </w:rPr>
        <w:lastRenderedPageBreak/>
        <w:t xml:space="preserve">4.4. </w:t>
      </w:r>
      <w:r w:rsidR="00480FB1" w:rsidRPr="00424A4B">
        <w:rPr>
          <w:b/>
          <w:bCs/>
          <w:sz w:val="22"/>
          <w:szCs w:val="22"/>
          <w:lang w:val="sr-Latn-ME"/>
        </w:rPr>
        <w:tab/>
      </w:r>
      <w:r w:rsidRPr="00424A4B">
        <w:rPr>
          <w:b/>
          <w:bCs/>
          <w:sz w:val="22"/>
          <w:szCs w:val="22"/>
          <w:lang w:val="sr-Latn-ME"/>
        </w:rPr>
        <w:t>Posebna upozorenja i mjere opreza pri upotrebi lijeka</w:t>
      </w:r>
    </w:p>
    <w:p w:rsidR="002B03CF" w:rsidRPr="00424A4B" w:rsidRDefault="002B03CF" w:rsidP="0055503A">
      <w:pPr>
        <w:rPr>
          <w:sz w:val="22"/>
          <w:szCs w:val="22"/>
          <w:u w:val="single"/>
          <w:lang w:val="sr-Latn-ME"/>
        </w:rPr>
      </w:pPr>
    </w:p>
    <w:p w:rsidR="005E6320" w:rsidRPr="00424A4B" w:rsidRDefault="005E6320" w:rsidP="0055503A">
      <w:pPr>
        <w:rPr>
          <w:sz w:val="22"/>
          <w:szCs w:val="22"/>
          <w:u w:val="single"/>
          <w:lang w:val="sr-Latn-ME"/>
        </w:rPr>
      </w:pPr>
      <w:r w:rsidRPr="00424A4B">
        <w:rPr>
          <w:sz w:val="22"/>
          <w:szCs w:val="22"/>
          <w:u w:val="single"/>
          <w:lang w:val="sr-Latn-ME"/>
        </w:rPr>
        <w:t>Sledljivost</w:t>
      </w:r>
    </w:p>
    <w:p w:rsidR="005E6320" w:rsidRPr="00424A4B" w:rsidRDefault="005E6320" w:rsidP="0055503A">
      <w:pPr>
        <w:jc w:val="both"/>
        <w:rPr>
          <w:sz w:val="22"/>
          <w:szCs w:val="22"/>
          <w:lang w:val="sr-Latn-ME"/>
        </w:rPr>
      </w:pPr>
      <w:r w:rsidRPr="00424A4B">
        <w:rPr>
          <w:sz w:val="22"/>
          <w:szCs w:val="22"/>
          <w:lang w:val="sr-Latn-ME"/>
        </w:rPr>
        <w:t>Kako bi se poboljšala sledljivost bioloških ljekova, naziv i broj serije primijenjenog lijeka potrebno je jasno evidentirati (ili navesti) u pacijentovoj medicinskoj dokumentaciji.</w:t>
      </w:r>
    </w:p>
    <w:p w:rsidR="00B30B91" w:rsidRPr="00424A4B" w:rsidRDefault="00B30B91" w:rsidP="0055503A">
      <w:pPr>
        <w:jc w:val="both"/>
        <w:rPr>
          <w:sz w:val="22"/>
          <w:szCs w:val="22"/>
          <w:lang w:val="sr-Latn-ME"/>
        </w:rPr>
      </w:pPr>
    </w:p>
    <w:p w:rsidR="005E6320" w:rsidRPr="00424A4B" w:rsidRDefault="005E6320" w:rsidP="0055503A">
      <w:pPr>
        <w:rPr>
          <w:sz w:val="22"/>
          <w:szCs w:val="22"/>
          <w:u w:val="single"/>
          <w:lang w:val="sr-Latn-ME"/>
        </w:rPr>
      </w:pPr>
      <w:r w:rsidRPr="00424A4B">
        <w:rPr>
          <w:sz w:val="22"/>
          <w:szCs w:val="22"/>
          <w:u w:val="single"/>
          <w:lang w:val="sr-Latn-ME"/>
        </w:rPr>
        <w:t>Disfunkcija lijeve komore (uključujući kongestivnu srčanu insuficijenciju)</w:t>
      </w:r>
    </w:p>
    <w:p w:rsidR="002B03CF" w:rsidRPr="00424A4B" w:rsidRDefault="002B03CF" w:rsidP="0055503A">
      <w:pPr>
        <w:rPr>
          <w:sz w:val="22"/>
          <w:szCs w:val="22"/>
          <w:u w:val="single"/>
          <w:lang w:val="sr-Latn-ME"/>
        </w:rPr>
      </w:pPr>
    </w:p>
    <w:p w:rsidR="005E6320" w:rsidRPr="00424A4B" w:rsidRDefault="005E6320" w:rsidP="0055503A">
      <w:pPr>
        <w:jc w:val="both"/>
        <w:rPr>
          <w:sz w:val="22"/>
          <w:szCs w:val="22"/>
          <w:lang w:val="sr-Latn-ME"/>
        </w:rPr>
      </w:pPr>
      <w:r w:rsidRPr="00424A4B">
        <w:rPr>
          <w:sz w:val="22"/>
          <w:szCs w:val="22"/>
          <w:lang w:val="sr-Latn-ME"/>
        </w:rPr>
        <w:t xml:space="preserve">Kod primjene ljekova koji blokiraju aktivnost HER2 receptora, uključujući lijek </w:t>
      </w:r>
      <w:r w:rsidR="009C77FA" w:rsidRPr="00424A4B">
        <w:rPr>
          <w:sz w:val="22"/>
          <w:szCs w:val="22"/>
          <w:lang w:val="sr-Latn-ME"/>
        </w:rPr>
        <w:t>Perjeta</w:t>
      </w:r>
      <w:r w:rsidRPr="00424A4B">
        <w:rPr>
          <w:sz w:val="22"/>
          <w:szCs w:val="22"/>
          <w:lang w:val="sr-Latn-ME"/>
        </w:rPr>
        <w:t xml:space="preserve">, prijavljeno je smanjenje ejekcione frakcije lijeve komore. Incidenca simptomatske sistolne disfunkcije lijeve komore (kongestivna srčana insuficijencija) bila je viša kod pacijenata liječenih lijekom </w:t>
      </w:r>
      <w:r w:rsidR="009C77FA" w:rsidRPr="00424A4B">
        <w:rPr>
          <w:sz w:val="22"/>
          <w:szCs w:val="22"/>
          <w:lang w:val="sr-Latn-ME"/>
        </w:rPr>
        <w:t>Perjeta</w:t>
      </w:r>
      <w:r w:rsidRPr="00424A4B">
        <w:rPr>
          <w:sz w:val="22"/>
          <w:szCs w:val="22"/>
          <w:lang w:val="sr-Latn-ME"/>
        </w:rPr>
        <w:t>, u kombinaciji s</w:t>
      </w:r>
      <w:r w:rsidR="00B311C8" w:rsidRPr="00424A4B">
        <w:rPr>
          <w:sz w:val="22"/>
          <w:szCs w:val="22"/>
          <w:lang w:val="sr-Latn-ME"/>
        </w:rPr>
        <w:t>a</w:t>
      </w:r>
      <w:r w:rsidRPr="00424A4B">
        <w:rPr>
          <w:sz w:val="22"/>
          <w:szCs w:val="22"/>
          <w:lang w:val="sr-Latn-ME"/>
        </w:rPr>
        <w:t xml:space="preserve"> trastuzumabom i hemoterapijom nego </w:t>
      </w:r>
      <w:r w:rsidR="00B311C8" w:rsidRPr="00424A4B">
        <w:rPr>
          <w:sz w:val="22"/>
          <w:szCs w:val="22"/>
          <w:lang w:val="sr-Latn-ME"/>
        </w:rPr>
        <w:t>kod</w:t>
      </w:r>
      <w:r w:rsidRPr="00424A4B">
        <w:rPr>
          <w:sz w:val="22"/>
          <w:szCs w:val="22"/>
          <w:lang w:val="sr-Latn-ME"/>
        </w:rPr>
        <w:t xml:space="preserve"> onih koji su primali trastuzumab i hemoterapiju. Kod </w:t>
      </w:r>
      <w:r w:rsidR="00B311C8" w:rsidRPr="00424A4B">
        <w:rPr>
          <w:sz w:val="22"/>
          <w:szCs w:val="22"/>
          <w:lang w:val="sr-Latn-ME"/>
        </w:rPr>
        <w:t>pacijenata</w:t>
      </w:r>
      <w:r w:rsidRPr="00424A4B">
        <w:rPr>
          <w:sz w:val="22"/>
          <w:szCs w:val="22"/>
          <w:lang w:val="sr-Latn-ME"/>
        </w:rPr>
        <w:t xml:space="preserve"> koji su prethodno bili liječeni antraciklinima ili radioterapijom grudi rizik od smanjenja ejekcione frakcije lijeve komore može biti povećan. Većina slučajeva simptomatske insuficijencije srca prijavljenih kod adjuvantnog liječenja javila se kod pacijenata koji su primali hemoterapiju baziranu na antraciklinima (vidjeti dio 4.8).</w:t>
      </w:r>
    </w:p>
    <w:p w:rsidR="002B03CF" w:rsidRPr="00424A4B" w:rsidRDefault="002B03CF" w:rsidP="0055503A">
      <w:pPr>
        <w:jc w:val="both"/>
        <w:rPr>
          <w:sz w:val="22"/>
          <w:szCs w:val="22"/>
          <w:lang w:val="sr-Latn-ME"/>
        </w:rPr>
      </w:pPr>
    </w:p>
    <w:p w:rsidR="005E6320" w:rsidRPr="00424A4B" w:rsidRDefault="005E287E" w:rsidP="0055503A">
      <w:pPr>
        <w:jc w:val="both"/>
        <w:rPr>
          <w:sz w:val="22"/>
          <w:szCs w:val="22"/>
          <w:lang w:val="sr-Latn-ME"/>
        </w:rPr>
      </w:pPr>
      <w:r w:rsidRPr="00424A4B">
        <w:rPr>
          <w:sz w:val="22"/>
          <w:szCs w:val="22"/>
          <w:lang w:val="sr-Latn-ME"/>
        </w:rPr>
        <w:t xml:space="preserve">Lijek </w:t>
      </w:r>
      <w:r w:rsidR="009C77FA" w:rsidRPr="00424A4B">
        <w:rPr>
          <w:sz w:val="22"/>
          <w:szCs w:val="22"/>
          <w:lang w:val="sr-Latn-ME"/>
        </w:rPr>
        <w:t>Perjeta</w:t>
      </w:r>
      <w:r w:rsidR="005E6320" w:rsidRPr="00424A4B">
        <w:rPr>
          <w:sz w:val="22"/>
          <w:szCs w:val="22"/>
          <w:lang w:val="sr-Latn-ME"/>
        </w:rPr>
        <w:t xml:space="preserve"> nije ispitivan kod pacijenata sa: ejekcionom frakcijom lijeve komore prije liječenja od ≤ 50%; kongestivnom srčanom insuficijencijom u anamnezi; smanjenjem ejekcione frakcije lijeve komore na &lt; 50% tokom prethodnog adjuvantnog liječenja trastuzumabom; ili stanjima koja bi mogla narušiti funkciju lijeve komore, poput nekontrolisane hipertenzije, nedavnog infarkta miokarda, teške srčane aritmije koja zahtijeva liječenje ili prethodne kumulativne izloženosti antraciklinima od &gt; 360 mg/m</w:t>
      </w:r>
      <w:r w:rsidR="005E6320" w:rsidRPr="00424A4B">
        <w:rPr>
          <w:sz w:val="22"/>
          <w:szCs w:val="22"/>
          <w:vertAlign w:val="superscript"/>
          <w:lang w:val="sr-Latn-ME"/>
        </w:rPr>
        <w:t>2</w:t>
      </w:r>
      <w:r w:rsidR="005E6320" w:rsidRPr="00424A4B">
        <w:rPr>
          <w:sz w:val="22"/>
          <w:szCs w:val="22"/>
          <w:lang w:val="sr-Latn-ME"/>
        </w:rPr>
        <w:t xml:space="preserve"> doksorubicina ili njegovog ekvivalenta.</w:t>
      </w:r>
    </w:p>
    <w:p w:rsidR="002B03CF" w:rsidRPr="00424A4B" w:rsidRDefault="002B03CF" w:rsidP="0055503A">
      <w:pPr>
        <w:jc w:val="both"/>
        <w:rPr>
          <w:sz w:val="22"/>
          <w:szCs w:val="22"/>
          <w:lang w:val="sr-Latn-ME"/>
        </w:rPr>
      </w:pPr>
    </w:p>
    <w:p w:rsidR="002B03CF" w:rsidRPr="00424A4B" w:rsidRDefault="005E6320" w:rsidP="0055503A">
      <w:pPr>
        <w:jc w:val="both"/>
        <w:rPr>
          <w:sz w:val="22"/>
          <w:szCs w:val="22"/>
          <w:lang w:val="sr-Latn-ME"/>
        </w:rPr>
      </w:pPr>
      <w:r w:rsidRPr="00424A4B">
        <w:rPr>
          <w:sz w:val="22"/>
          <w:szCs w:val="22"/>
          <w:lang w:val="sr-Latn-ME"/>
        </w:rPr>
        <w:t xml:space="preserve">Prije početka liječenja lijekom </w:t>
      </w:r>
      <w:r w:rsidR="009C77FA" w:rsidRPr="00424A4B">
        <w:rPr>
          <w:sz w:val="22"/>
          <w:szCs w:val="22"/>
          <w:lang w:val="sr-Latn-ME"/>
        </w:rPr>
        <w:t>Perjeta</w:t>
      </w:r>
      <w:r w:rsidRPr="00424A4B">
        <w:rPr>
          <w:sz w:val="22"/>
          <w:szCs w:val="22"/>
          <w:lang w:val="sr-Latn-ME"/>
        </w:rPr>
        <w:t xml:space="preserve"> i u redovnim intervalima tokom liječenja lijekom </w:t>
      </w:r>
      <w:r w:rsidR="009C77FA" w:rsidRPr="00424A4B">
        <w:rPr>
          <w:sz w:val="22"/>
          <w:szCs w:val="22"/>
          <w:lang w:val="sr-Latn-ME"/>
        </w:rPr>
        <w:t>Perjeta</w:t>
      </w:r>
      <w:r w:rsidRPr="00424A4B">
        <w:rPr>
          <w:sz w:val="22"/>
          <w:szCs w:val="22"/>
          <w:lang w:val="sr-Latn-ME"/>
        </w:rPr>
        <w:t xml:space="preserve"> npr. jednom tokom neoadjuvantnog</w:t>
      </w:r>
      <w:r w:rsidR="00B311C8" w:rsidRPr="00424A4B">
        <w:rPr>
          <w:sz w:val="22"/>
          <w:szCs w:val="22"/>
          <w:lang w:val="sr-Latn-ME"/>
        </w:rPr>
        <w:t xml:space="preserve"> </w:t>
      </w:r>
      <w:r w:rsidRPr="00424A4B">
        <w:rPr>
          <w:sz w:val="22"/>
          <w:szCs w:val="22"/>
          <w:lang w:val="sr-Latn-ME"/>
        </w:rPr>
        <w:t>liječenja te svakih 12 nedjelja tokom adjuvantnog liječenja ili liječenja metastatske bolesti) treba procijeniti ejekcionu frakciju lijeve komore kako bi se potvrdilo da se ona nalazi unutar normalnih vrijednosti. Ako se ejekciona frakcija lijeve komore smanji kako je opisano u dijelu 4.2 te se ne poboljša ili se dodatno pogorša pri sljedećoj proc</w:t>
      </w:r>
      <w:r w:rsidR="00B311C8" w:rsidRPr="00424A4B">
        <w:rPr>
          <w:sz w:val="22"/>
          <w:szCs w:val="22"/>
          <w:lang w:val="sr-Latn-ME"/>
        </w:rPr>
        <w:t>j</w:t>
      </w:r>
      <w:r w:rsidRPr="00424A4B">
        <w:rPr>
          <w:sz w:val="22"/>
          <w:szCs w:val="22"/>
          <w:lang w:val="sr-Latn-ME"/>
        </w:rPr>
        <w:t xml:space="preserve">eni, neophodno je ozbiljno razmotriti obustavu liječenja lijekom </w:t>
      </w:r>
      <w:r w:rsidR="009C77FA" w:rsidRPr="00424A4B">
        <w:rPr>
          <w:sz w:val="22"/>
          <w:szCs w:val="22"/>
          <w:lang w:val="sr-Latn-ME"/>
        </w:rPr>
        <w:t>Perjeta</w:t>
      </w:r>
      <w:r w:rsidRPr="00424A4B">
        <w:rPr>
          <w:sz w:val="22"/>
          <w:szCs w:val="22"/>
          <w:lang w:val="sr-Latn-ME"/>
        </w:rPr>
        <w:t xml:space="preserve"> i trastuzumabom, osim ako se smatra da su koristi liječenja za pojedinog pacijenta veće od rizika</w:t>
      </w:r>
      <w:r w:rsidR="002B03CF" w:rsidRPr="00424A4B">
        <w:rPr>
          <w:sz w:val="22"/>
          <w:szCs w:val="22"/>
          <w:lang w:val="sr-Latn-ME"/>
        </w:rPr>
        <w:t>.</w:t>
      </w:r>
    </w:p>
    <w:p w:rsidR="005E6320" w:rsidRPr="00424A4B" w:rsidRDefault="005E6320" w:rsidP="0055503A">
      <w:pPr>
        <w:jc w:val="both"/>
        <w:rPr>
          <w:sz w:val="22"/>
          <w:szCs w:val="22"/>
          <w:lang w:val="sr-Latn-ME"/>
        </w:rPr>
      </w:pPr>
      <w:r w:rsidRPr="00424A4B">
        <w:rPr>
          <w:sz w:val="22"/>
          <w:szCs w:val="22"/>
          <w:lang w:val="sr-Latn-ME"/>
        </w:rPr>
        <w:t xml:space="preserve"> </w:t>
      </w:r>
    </w:p>
    <w:p w:rsidR="005E6320" w:rsidRPr="00424A4B" w:rsidRDefault="005E6320" w:rsidP="0055503A">
      <w:pPr>
        <w:jc w:val="both"/>
        <w:rPr>
          <w:sz w:val="22"/>
          <w:szCs w:val="22"/>
          <w:lang w:val="sr-Latn-ME"/>
        </w:rPr>
      </w:pPr>
      <w:r w:rsidRPr="00424A4B">
        <w:rPr>
          <w:sz w:val="22"/>
          <w:szCs w:val="22"/>
          <w:lang w:val="sr-Latn-ME"/>
        </w:rPr>
        <w:t xml:space="preserve">Prije primjene lijeka </w:t>
      </w:r>
      <w:r w:rsidR="009C77FA" w:rsidRPr="00424A4B">
        <w:rPr>
          <w:sz w:val="22"/>
          <w:szCs w:val="22"/>
          <w:lang w:val="sr-Latn-ME"/>
        </w:rPr>
        <w:t>Perjeta</w:t>
      </w:r>
      <w:r w:rsidRPr="00424A4B">
        <w:rPr>
          <w:sz w:val="22"/>
          <w:szCs w:val="22"/>
          <w:lang w:val="sr-Latn-ME"/>
        </w:rPr>
        <w:t xml:space="preserve"> sa antraciklinom potrebno je pažljivo razmotriti srčani rizik i balansirati ga sa medicinskim potrebama pojedinog pacijenta. Na osnovu farmakološkog djelovanja ljekova koji ciljano djeluju na HER2 i antraciklina, mogao bi se očekivati povećan rizik od kardiotoksičnosti kod istovremene primjene lijeka </w:t>
      </w:r>
      <w:r w:rsidR="009C77FA" w:rsidRPr="00424A4B">
        <w:rPr>
          <w:sz w:val="22"/>
          <w:szCs w:val="22"/>
          <w:lang w:val="sr-Latn-ME"/>
        </w:rPr>
        <w:t>Perjeta</w:t>
      </w:r>
      <w:r w:rsidRPr="00424A4B">
        <w:rPr>
          <w:sz w:val="22"/>
          <w:szCs w:val="22"/>
          <w:lang w:val="sr-Latn-ME"/>
        </w:rPr>
        <w:t xml:space="preserve"> i antraciklina u odnosu na njihovu sekvencionalnu primjenu. </w:t>
      </w:r>
    </w:p>
    <w:p w:rsidR="002B03CF" w:rsidRPr="00424A4B" w:rsidRDefault="002B03CF"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Sekvencionalna primjena lijeka </w:t>
      </w:r>
      <w:r w:rsidR="009C77FA" w:rsidRPr="00424A4B">
        <w:rPr>
          <w:sz w:val="22"/>
          <w:szCs w:val="22"/>
          <w:lang w:val="sr-Latn-ME"/>
        </w:rPr>
        <w:t>Perjeta</w:t>
      </w:r>
      <w:r w:rsidRPr="00424A4B">
        <w:rPr>
          <w:sz w:val="22"/>
          <w:szCs w:val="22"/>
          <w:lang w:val="sr-Latn-ME"/>
        </w:rPr>
        <w:t xml:space="preserve"> (u kombinaciji s</w:t>
      </w:r>
      <w:r w:rsidR="00B311C8" w:rsidRPr="00424A4B">
        <w:rPr>
          <w:sz w:val="22"/>
          <w:szCs w:val="22"/>
          <w:lang w:val="sr-Latn-ME"/>
        </w:rPr>
        <w:t>a</w:t>
      </w:r>
      <w:r w:rsidRPr="00424A4B">
        <w:rPr>
          <w:sz w:val="22"/>
          <w:szCs w:val="22"/>
          <w:lang w:val="sr-Latn-ME"/>
        </w:rPr>
        <w:t xml:space="preserve"> trastuzumabom i taksanom) nakon primjene epirubicina ili doksorubicina kao komponenta mnogih protokola </w:t>
      </w:r>
      <w:r w:rsidR="00B311C8" w:rsidRPr="00424A4B">
        <w:rPr>
          <w:sz w:val="22"/>
          <w:szCs w:val="22"/>
          <w:lang w:val="sr-Latn-ME"/>
        </w:rPr>
        <w:t>zasnovanih</w:t>
      </w:r>
      <w:r w:rsidRPr="00424A4B">
        <w:rPr>
          <w:sz w:val="22"/>
          <w:szCs w:val="22"/>
          <w:lang w:val="sr-Latn-ME"/>
        </w:rPr>
        <w:t xml:space="preserve"> na antraciklinu </w:t>
      </w:r>
      <w:r w:rsidR="00B311C8" w:rsidRPr="00424A4B">
        <w:rPr>
          <w:sz w:val="22"/>
          <w:szCs w:val="22"/>
          <w:lang w:val="sr-Latn-ME"/>
        </w:rPr>
        <w:t>pr</w:t>
      </w:r>
      <w:r w:rsidRPr="00424A4B">
        <w:rPr>
          <w:sz w:val="22"/>
          <w:szCs w:val="22"/>
          <w:lang w:val="sr-Latn-ME"/>
        </w:rPr>
        <w:t>ocjenjivala se u ispitivanjima APHINITY i BERENICE. Međutim, dostupni su samo ograničeni podaci o bezbednosti kod istovremene primjene lijeka Perjeta i antraciklina. U ispitivanju TRYPHAENA</w:t>
      </w:r>
      <w:r w:rsidR="005E287E" w:rsidRPr="00424A4B">
        <w:rPr>
          <w:sz w:val="22"/>
          <w:szCs w:val="22"/>
          <w:lang w:val="sr-Latn-ME"/>
        </w:rPr>
        <w:t xml:space="preserve"> lijek</w:t>
      </w:r>
      <w:r w:rsidRPr="00424A4B">
        <w:rPr>
          <w:sz w:val="22"/>
          <w:szCs w:val="22"/>
          <w:lang w:val="sr-Latn-ME"/>
        </w:rPr>
        <w:t xml:space="preserve"> </w:t>
      </w:r>
      <w:r w:rsidR="009C77FA" w:rsidRPr="00424A4B">
        <w:rPr>
          <w:sz w:val="22"/>
          <w:szCs w:val="22"/>
          <w:lang w:val="sr-Latn-ME"/>
        </w:rPr>
        <w:t>Perjeta</w:t>
      </w:r>
      <w:r w:rsidRPr="00424A4B">
        <w:rPr>
          <w:sz w:val="22"/>
          <w:szCs w:val="22"/>
          <w:lang w:val="sr-Latn-ME"/>
        </w:rPr>
        <w:t xml:space="preserve"> se </w:t>
      </w:r>
      <w:r w:rsidR="005E287E" w:rsidRPr="00424A4B">
        <w:rPr>
          <w:sz w:val="22"/>
          <w:szCs w:val="22"/>
          <w:lang w:val="sr-Latn-ME"/>
        </w:rPr>
        <w:t xml:space="preserve">primjenjivao </w:t>
      </w:r>
      <w:r w:rsidRPr="00424A4B">
        <w:rPr>
          <w:sz w:val="22"/>
          <w:szCs w:val="22"/>
          <w:lang w:val="sr-Latn-ME"/>
        </w:rPr>
        <w:t>istovremeno s</w:t>
      </w:r>
      <w:r w:rsidR="00B311C8" w:rsidRPr="00424A4B">
        <w:rPr>
          <w:sz w:val="22"/>
          <w:szCs w:val="22"/>
          <w:lang w:val="sr-Latn-ME"/>
        </w:rPr>
        <w:t>a</w:t>
      </w:r>
      <w:r w:rsidRPr="00424A4B">
        <w:rPr>
          <w:sz w:val="22"/>
          <w:szCs w:val="22"/>
          <w:lang w:val="sr-Latn-ME"/>
        </w:rPr>
        <w:t xml:space="preserve"> epirubicinom kao dijelom protokola FEC (5</w:t>
      </w:r>
      <w:r w:rsidR="00B311C8" w:rsidRPr="00424A4B">
        <w:rPr>
          <w:sz w:val="22"/>
          <w:szCs w:val="22"/>
          <w:lang w:val="sr-Latn-ME"/>
        </w:rPr>
        <w:t>-</w:t>
      </w:r>
      <w:r w:rsidRPr="00424A4B">
        <w:rPr>
          <w:sz w:val="22"/>
          <w:szCs w:val="22"/>
          <w:lang w:val="sr-Latn-ME"/>
        </w:rPr>
        <w:t>fluorouracil, epirubicin, ciklofosfamid) (vidjeti dijelove 4.8 i 5.1). Liječile su se samo pacijentkinje koje prethodno ni</w:t>
      </w:r>
      <w:r w:rsidR="007E4669" w:rsidRPr="00424A4B">
        <w:rPr>
          <w:sz w:val="22"/>
          <w:szCs w:val="22"/>
          <w:lang w:val="sr-Latn-ME"/>
        </w:rPr>
        <w:t>je</w:t>
      </w:r>
      <w:r w:rsidRPr="00424A4B">
        <w:rPr>
          <w:sz w:val="22"/>
          <w:szCs w:val="22"/>
          <w:lang w:val="sr-Latn-ME"/>
        </w:rPr>
        <w:t>su primale hemoterapiju i primile su niske kumulativne doze epirubicina (do 300 mg/m</w:t>
      </w:r>
      <w:r w:rsidRPr="00424A4B">
        <w:rPr>
          <w:sz w:val="22"/>
          <w:szCs w:val="22"/>
          <w:vertAlign w:val="superscript"/>
          <w:lang w:val="sr-Latn-ME"/>
        </w:rPr>
        <w:t>2</w:t>
      </w:r>
      <w:r w:rsidRPr="00424A4B">
        <w:rPr>
          <w:sz w:val="22"/>
          <w:szCs w:val="22"/>
          <w:lang w:val="sr-Latn-ME"/>
        </w:rPr>
        <w:t>). U tom ispitivanju</w:t>
      </w:r>
      <w:r w:rsidR="007E4669" w:rsidRPr="00424A4B">
        <w:rPr>
          <w:sz w:val="22"/>
          <w:szCs w:val="22"/>
          <w:lang w:val="sr-Latn-ME"/>
        </w:rPr>
        <w:t xml:space="preserve"> je</w:t>
      </w:r>
      <w:r w:rsidRPr="00424A4B">
        <w:rPr>
          <w:sz w:val="22"/>
          <w:szCs w:val="22"/>
          <w:lang w:val="sr-Latn-ME"/>
        </w:rPr>
        <w:t xml:space="preserve"> bezb</w:t>
      </w:r>
      <w:r w:rsidR="007E4669" w:rsidRPr="00424A4B">
        <w:rPr>
          <w:sz w:val="22"/>
          <w:szCs w:val="22"/>
          <w:lang w:val="sr-Latn-ME"/>
        </w:rPr>
        <w:t>j</w:t>
      </w:r>
      <w:r w:rsidRPr="00424A4B">
        <w:rPr>
          <w:sz w:val="22"/>
          <w:szCs w:val="22"/>
          <w:lang w:val="sr-Latn-ME"/>
        </w:rPr>
        <w:t xml:space="preserve">ednost za srce bila slična onoj </w:t>
      </w:r>
      <w:r w:rsidR="007E4669" w:rsidRPr="00424A4B">
        <w:rPr>
          <w:sz w:val="22"/>
          <w:szCs w:val="22"/>
          <w:lang w:val="sr-Latn-ME"/>
        </w:rPr>
        <w:t>zabilježenoj</w:t>
      </w:r>
      <w:r w:rsidRPr="00424A4B">
        <w:rPr>
          <w:sz w:val="22"/>
          <w:szCs w:val="22"/>
          <w:lang w:val="sr-Latn-ME"/>
        </w:rPr>
        <w:t xml:space="preserve"> kod pacijenata koji su primali isti protokol, ali uz sekvencionalnu primjenu lijeka </w:t>
      </w:r>
      <w:r w:rsidR="009C77FA" w:rsidRPr="00424A4B">
        <w:rPr>
          <w:sz w:val="22"/>
          <w:szCs w:val="22"/>
          <w:lang w:val="sr-Latn-ME"/>
        </w:rPr>
        <w:t>Perjeta</w:t>
      </w:r>
      <w:r w:rsidRPr="00424A4B">
        <w:rPr>
          <w:sz w:val="22"/>
          <w:szCs w:val="22"/>
          <w:lang w:val="sr-Latn-ME"/>
        </w:rPr>
        <w:t xml:space="preserve"> (nakon hemoterapije FEC).</w:t>
      </w:r>
    </w:p>
    <w:p w:rsidR="008342CF" w:rsidRPr="00424A4B" w:rsidRDefault="008342CF" w:rsidP="0055503A">
      <w:pPr>
        <w:jc w:val="both"/>
        <w:rPr>
          <w:sz w:val="22"/>
          <w:szCs w:val="22"/>
          <w:lang w:val="sr-Latn-ME"/>
        </w:rPr>
      </w:pPr>
    </w:p>
    <w:p w:rsidR="005E6320" w:rsidRPr="00424A4B" w:rsidRDefault="005E6320" w:rsidP="0055503A">
      <w:pPr>
        <w:rPr>
          <w:sz w:val="22"/>
          <w:szCs w:val="22"/>
          <w:lang w:val="sr-Latn-ME"/>
        </w:rPr>
      </w:pPr>
      <w:r w:rsidRPr="00424A4B">
        <w:rPr>
          <w:sz w:val="22"/>
          <w:szCs w:val="22"/>
          <w:u w:val="single"/>
          <w:lang w:val="sr-Latn-ME"/>
        </w:rPr>
        <w:t>Reakcije na infuziju</w:t>
      </w:r>
      <w:r w:rsidRPr="00424A4B">
        <w:rPr>
          <w:sz w:val="22"/>
          <w:szCs w:val="22"/>
          <w:lang w:val="sr-Latn-ME"/>
        </w:rPr>
        <w:t xml:space="preserve"> </w:t>
      </w:r>
    </w:p>
    <w:p w:rsidR="002B03CF" w:rsidRPr="00424A4B" w:rsidRDefault="002B03CF" w:rsidP="0055503A">
      <w:pPr>
        <w:rPr>
          <w:sz w:val="22"/>
          <w:szCs w:val="22"/>
          <w:lang w:val="sr-Latn-ME"/>
        </w:rPr>
      </w:pPr>
    </w:p>
    <w:p w:rsidR="005E6320" w:rsidRPr="00424A4B" w:rsidRDefault="005E287E" w:rsidP="0055503A">
      <w:pPr>
        <w:jc w:val="both"/>
        <w:rPr>
          <w:sz w:val="22"/>
          <w:szCs w:val="22"/>
          <w:lang w:val="sr-Latn-ME"/>
        </w:rPr>
      </w:pPr>
      <w:r w:rsidRPr="00424A4B">
        <w:rPr>
          <w:sz w:val="22"/>
          <w:szCs w:val="22"/>
          <w:lang w:val="sr-Latn-ME"/>
        </w:rPr>
        <w:t xml:space="preserve">Lijek </w:t>
      </w:r>
      <w:r w:rsidR="009C77FA" w:rsidRPr="00424A4B">
        <w:rPr>
          <w:sz w:val="22"/>
          <w:szCs w:val="22"/>
          <w:lang w:val="sr-Latn-ME"/>
        </w:rPr>
        <w:t>Perjeta</w:t>
      </w:r>
      <w:r w:rsidR="005E6320" w:rsidRPr="00424A4B">
        <w:rPr>
          <w:sz w:val="22"/>
          <w:szCs w:val="22"/>
          <w:lang w:val="sr-Latn-ME"/>
        </w:rPr>
        <w:t xml:space="preserve"> se povezuje s</w:t>
      </w:r>
      <w:r w:rsidR="007E4669" w:rsidRPr="00424A4B">
        <w:rPr>
          <w:sz w:val="22"/>
          <w:szCs w:val="22"/>
          <w:lang w:val="sr-Latn-ME"/>
        </w:rPr>
        <w:t>a</w:t>
      </w:r>
      <w:r w:rsidR="005E6320" w:rsidRPr="00424A4B">
        <w:rPr>
          <w:sz w:val="22"/>
          <w:szCs w:val="22"/>
          <w:lang w:val="sr-Latn-ME"/>
        </w:rPr>
        <w:t xml:space="preserve"> reakcijama na infuziju</w:t>
      </w:r>
      <w:r w:rsidR="003B41BC" w:rsidRPr="00424A4B">
        <w:rPr>
          <w:sz w:val="22"/>
          <w:szCs w:val="22"/>
          <w:lang w:val="sr-Latn-ME"/>
        </w:rPr>
        <w:t xml:space="preserve"> uključujući događaje sa fatalnim ishodom</w:t>
      </w:r>
      <w:r w:rsidR="005E6320" w:rsidRPr="00424A4B">
        <w:rPr>
          <w:sz w:val="22"/>
          <w:szCs w:val="22"/>
          <w:lang w:val="sr-Latn-ME"/>
        </w:rPr>
        <w:t xml:space="preserve"> (vidjeti dio 4.8). Preporučuje se pažljivo nadzirati pacijenta tokom i 60 minuta nakon prve infuzije lijeka </w:t>
      </w:r>
      <w:r w:rsidR="009C77FA" w:rsidRPr="00424A4B">
        <w:rPr>
          <w:sz w:val="22"/>
          <w:szCs w:val="22"/>
          <w:lang w:val="sr-Latn-ME"/>
        </w:rPr>
        <w:t>Perjeta</w:t>
      </w:r>
      <w:r w:rsidR="005E6320" w:rsidRPr="00424A4B">
        <w:rPr>
          <w:sz w:val="22"/>
          <w:szCs w:val="22"/>
          <w:lang w:val="sr-Latn-ME"/>
        </w:rPr>
        <w:t>, kao i tokom i 30-60 minuta nakon svake sljedeće infuzije. Ako dođe do značajne reakcije na infuziju, infuziju treba usporiti ili privremeno prekinuti, te uvesti odgovarajuće liječenje. Pacijente treba procijeniti i pomno nadzirati do potpunog povlačenja znakova i simptoma. Kod pacijenata sa teškim reakcijama na infuziju potrebno je razmotriti trajno obustavljanje liječenja. Ova  klinička procjena mora da se zasniva na težini prethodne reakcije i odgovoru na prim</w:t>
      </w:r>
      <w:r w:rsidR="007E4669" w:rsidRPr="00424A4B">
        <w:rPr>
          <w:sz w:val="22"/>
          <w:szCs w:val="22"/>
          <w:lang w:val="sr-Latn-ME"/>
        </w:rPr>
        <w:t>i</w:t>
      </w:r>
      <w:r w:rsidR="005E6320" w:rsidRPr="00424A4B">
        <w:rPr>
          <w:sz w:val="22"/>
          <w:szCs w:val="22"/>
          <w:lang w:val="sr-Latn-ME"/>
        </w:rPr>
        <w:t xml:space="preserve">jenjeno liječenje neželjenih dejstava (vidjeti dio 4.2). </w:t>
      </w:r>
    </w:p>
    <w:p w:rsidR="005E6320" w:rsidRPr="00424A4B" w:rsidRDefault="005E6320" w:rsidP="00CD41AC">
      <w:pPr>
        <w:keepNext/>
        <w:tabs>
          <w:tab w:val="left" w:pos="567"/>
        </w:tabs>
        <w:rPr>
          <w:sz w:val="22"/>
          <w:szCs w:val="22"/>
          <w:u w:val="single"/>
          <w:lang w:val="sr-Latn-ME"/>
        </w:rPr>
      </w:pPr>
      <w:r w:rsidRPr="00424A4B">
        <w:rPr>
          <w:sz w:val="22"/>
          <w:szCs w:val="22"/>
          <w:u w:val="single"/>
          <w:lang w:val="sr-Latn-ME"/>
        </w:rPr>
        <w:lastRenderedPageBreak/>
        <w:t xml:space="preserve">Reakcije preosjetljivosti/anafilaksa </w:t>
      </w:r>
    </w:p>
    <w:p w:rsidR="005E6320" w:rsidRPr="00424A4B" w:rsidRDefault="005E6320">
      <w:pPr>
        <w:keepNext/>
        <w:tabs>
          <w:tab w:val="left" w:pos="567"/>
        </w:tabs>
        <w:jc w:val="both"/>
        <w:rPr>
          <w:sz w:val="22"/>
          <w:szCs w:val="22"/>
          <w:lang w:val="sr-Latn-ME"/>
        </w:rPr>
      </w:pPr>
      <w:r w:rsidRPr="00424A4B">
        <w:rPr>
          <w:sz w:val="22"/>
          <w:szCs w:val="22"/>
          <w:lang w:val="sr-Latn-ME"/>
        </w:rPr>
        <w:t>Pacijenti se mora</w:t>
      </w:r>
      <w:r w:rsidR="007E4669" w:rsidRPr="00424A4B">
        <w:rPr>
          <w:sz w:val="22"/>
          <w:szCs w:val="22"/>
          <w:lang w:val="sr-Latn-ME"/>
        </w:rPr>
        <w:t>ju</w:t>
      </w:r>
      <w:r w:rsidRPr="00424A4B">
        <w:rPr>
          <w:sz w:val="22"/>
          <w:szCs w:val="22"/>
          <w:lang w:val="sr-Latn-ME"/>
        </w:rPr>
        <w:t xml:space="preserve"> pažljivo nadzirati zbog moguće pojave reakcija preosjetljivosti. </w:t>
      </w:r>
      <w:r w:rsidR="003B41BC" w:rsidRPr="00424A4B">
        <w:rPr>
          <w:sz w:val="22"/>
          <w:szCs w:val="22"/>
          <w:lang w:val="sr-Latn-ME"/>
        </w:rPr>
        <w:t>Prim</w:t>
      </w:r>
      <w:r w:rsidR="00A73A12" w:rsidRPr="00424A4B">
        <w:rPr>
          <w:sz w:val="22"/>
          <w:szCs w:val="22"/>
          <w:lang w:val="sr-Latn-ME"/>
        </w:rPr>
        <w:t>j</w:t>
      </w:r>
      <w:r w:rsidR="003B41BC" w:rsidRPr="00424A4B">
        <w:rPr>
          <w:sz w:val="22"/>
          <w:szCs w:val="22"/>
          <w:lang w:val="sr-Latn-ME"/>
        </w:rPr>
        <w:t>ećeni su slučajevi teške preos</w:t>
      </w:r>
      <w:r w:rsidR="007B2F20" w:rsidRPr="00424A4B">
        <w:rPr>
          <w:sz w:val="22"/>
          <w:szCs w:val="22"/>
          <w:lang w:val="sr-Latn-ME"/>
        </w:rPr>
        <w:t>j</w:t>
      </w:r>
      <w:r w:rsidR="003B41BC" w:rsidRPr="00424A4B">
        <w:rPr>
          <w:sz w:val="22"/>
          <w:szCs w:val="22"/>
          <w:lang w:val="sr-Latn-ME"/>
        </w:rPr>
        <w:t xml:space="preserve">etljivosti </w:t>
      </w:r>
      <w:r w:rsidRPr="00424A4B">
        <w:rPr>
          <w:sz w:val="22"/>
          <w:szCs w:val="22"/>
          <w:lang w:val="sr-Latn-ME"/>
        </w:rPr>
        <w:t>uključujući anafilaksu</w:t>
      </w:r>
      <w:r w:rsidR="003B41BC" w:rsidRPr="00424A4B">
        <w:rPr>
          <w:sz w:val="22"/>
          <w:szCs w:val="22"/>
          <w:lang w:val="sr-Latn-ME"/>
        </w:rPr>
        <w:t xml:space="preserve"> i događaje sa fatalnim ishodom</w:t>
      </w:r>
      <w:r w:rsidRPr="00424A4B">
        <w:rPr>
          <w:sz w:val="22"/>
          <w:szCs w:val="22"/>
          <w:lang w:val="sr-Latn-ME"/>
        </w:rPr>
        <w:t xml:space="preserve"> (vidjeti dio 4.8). Ljekovi za liječenje takvih reakcija kao i oprema za hitne slučajeve moraju da budu odmah dostupni. Liječenje lijekom </w:t>
      </w:r>
      <w:r w:rsidR="009C77FA" w:rsidRPr="00424A4B">
        <w:rPr>
          <w:sz w:val="22"/>
          <w:szCs w:val="22"/>
          <w:lang w:val="sr-Latn-ME"/>
        </w:rPr>
        <w:t>Perjeta</w:t>
      </w:r>
      <w:r w:rsidRPr="00424A4B">
        <w:rPr>
          <w:sz w:val="22"/>
          <w:szCs w:val="22"/>
          <w:lang w:val="sr-Latn-ME"/>
        </w:rPr>
        <w:t xml:space="preserve"> se mora trajno obustaviti u slučaju reakcija preosjetljivosti stepena 4 prema NCI-CTCAE klasifikaciji (anafilaksa), bronhospazma ili akutnog respiratornog distres sindroma (vidjeti dio 4.2). </w:t>
      </w:r>
    </w:p>
    <w:p w:rsidR="002B03CF" w:rsidRPr="00424A4B" w:rsidRDefault="002B03CF">
      <w:pPr>
        <w:keepNext/>
        <w:tabs>
          <w:tab w:val="left" w:pos="567"/>
        </w:tabs>
        <w:jc w:val="both"/>
        <w:rPr>
          <w:i/>
          <w:sz w:val="22"/>
          <w:szCs w:val="22"/>
          <w:lang w:val="sr-Latn-ME"/>
        </w:rPr>
      </w:pPr>
    </w:p>
    <w:p w:rsidR="005E6320" w:rsidRPr="00424A4B" w:rsidRDefault="005E6320" w:rsidP="0055503A">
      <w:pPr>
        <w:rPr>
          <w:sz w:val="22"/>
          <w:szCs w:val="22"/>
          <w:u w:val="single"/>
          <w:lang w:val="sr-Latn-ME"/>
        </w:rPr>
      </w:pPr>
      <w:r w:rsidRPr="00424A4B">
        <w:rPr>
          <w:sz w:val="22"/>
          <w:szCs w:val="22"/>
          <w:u w:val="single"/>
          <w:lang w:val="sr-Latn-ME"/>
        </w:rPr>
        <w:t>Febrilna neutropenija</w:t>
      </w:r>
    </w:p>
    <w:p w:rsidR="005E6320" w:rsidRPr="00424A4B" w:rsidRDefault="005E6320" w:rsidP="0055503A">
      <w:pPr>
        <w:jc w:val="both"/>
        <w:rPr>
          <w:sz w:val="22"/>
          <w:szCs w:val="22"/>
          <w:lang w:val="sr-Latn-ME"/>
        </w:rPr>
      </w:pPr>
      <w:r w:rsidRPr="00424A4B">
        <w:rPr>
          <w:sz w:val="22"/>
          <w:szCs w:val="22"/>
          <w:lang w:val="sr-Latn-ME"/>
        </w:rPr>
        <w:t xml:space="preserve">Pacijenti liječeni lijekom </w:t>
      </w:r>
      <w:r w:rsidR="009C77FA" w:rsidRPr="00424A4B">
        <w:rPr>
          <w:sz w:val="22"/>
          <w:szCs w:val="22"/>
          <w:lang w:val="sr-Latn-ME"/>
        </w:rPr>
        <w:t>Perjeta</w:t>
      </w:r>
      <w:r w:rsidRPr="00424A4B">
        <w:rPr>
          <w:sz w:val="22"/>
          <w:szCs w:val="22"/>
          <w:lang w:val="sr-Latn-ME"/>
        </w:rPr>
        <w:t xml:space="preserve">, trastuzumabom i docetakselom izloženi su povećanom riziku od febrilne neutropenije u poređenju sa pacijentima koji primaju placebo, trastuzumab i docetaksel, naročito tokom prva 3 ciklusa liječenja (vidjeti dio 4.8). U ispitivanju u metastatskom karcinomu dojke pod nazivom CLEOPATRA najmanji broj  neutrofila bio je podjednak kod pacijenata liječenih lijekom </w:t>
      </w:r>
      <w:r w:rsidR="009C77FA" w:rsidRPr="00424A4B">
        <w:rPr>
          <w:sz w:val="22"/>
          <w:szCs w:val="22"/>
          <w:lang w:val="sr-Latn-ME"/>
        </w:rPr>
        <w:t>Perjeta</w:t>
      </w:r>
      <w:r w:rsidRPr="00424A4B">
        <w:rPr>
          <w:sz w:val="22"/>
          <w:szCs w:val="22"/>
          <w:lang w:val="sr-Latn-ME"/>
        </w:rPr>
        <w:t xml:space="preserve"> i onih koji su primali placebo, veća incidencija febrilne neutropenije kod pacijenata liječenih lijekom Perjeta bila je povezana sa većom incidencijom mukozitisa i </w:t>
      </w:r>
      <w:r w:rsidR="007E4669" w:rsidRPr="00424A4B">
        <w:rPr>
          <w:sz w:val="22"/>
          <w:szCs w:val="22"/>
          <w:lang w:val="sr-Latn-ME"/>
        </w:rPr>
        <w:t>dijareje</w:t>
      </w:r>
      <w:r w:rsidRPr="00424A4B">
        <w:rPr>
          <w:sz w:val="22"/>
          <w:szCs w:val="22"/>
          <w:lang w:val="sr-Latn-ME"/>
        </w:rPr>
        <w:t xml:space="preserve"> kod tih pacijenata. Treba razmotriti simptomatsko liječenje mukozitisa i </w:t>
      </w:r>
      <w:r w:rsidR="007E4669" w:rsidRPr="00424A4B">
        <w:rPr>
          <w:sz w:val="22"/>
          <w:szCs w:val="22"/>
          <w:lang w:val="sr-Latn-ME"/>
        </w:rPr>
        <w:t>dijareje</w:t>
      </w:r>
      <w:r w:rsidRPr="00424A4B">
        <w:rPr>
          <w:sz w:val="22"/>
          <w:szCs w:val="22"/>
          <w:lang w:val="sr-Latn-ME"/>
        </w:rPr>
        <w:t>. Ni</w:t>
      </w:r>
      <w:r w:rsidR="007E4669" w:rsidRPr="00424A4B">
        <w:rPr>
          <w:sz w:val="22"/>
          <w:szCs w:val="22"/>
          <w:lang w:val="sr-Latn-ME"/>
        </w:rPr>
        <w:t>je</w:t>
      </w:r>
      <w:r w:rsidRPr="00424A4B">
        <w:rPr>
          <w:sz w:val="22"/>
          <w:szCs w:val="22"/>
          <w:lang w:val="sr-Latn-ME"/>
        </w:rPr>
        <w:t>su prijavljeni slučajevi febrilne neutropenije nakon prestanka primjene docetaksela.</w:t>
      </w:r>
    </w:p>
    <w:p w:rsidR="005E6320" w:rsidRPr="00424A4B" w:rsidRDefault="005E6320" w:rsidP="0055503A">
      <w:pPr>
        <w:rPr>
          <w:sz w:val="22"/>
          <w:szCs w:val="22"/>
          <w:lang w:val="sr-Latn-ME"/>
        </w:rPr>
      </w:pPr>
    </w:p>
    <w:p w:rsidR="005E6320" w:rsidRPr="00424A4B" w:rsidRDefault="005E6320" w:rsidP="005C33D8">
      <w:pPr>
        <w:rPr>
          <w:iCs/>
          <w:sz w:val="22"/>
          <w:szCs w:val="22"/>
          <w:u w:val="single"/>
          <w:lang w:val="sr-Latn-ME"/>
        </w:rPr>
      </w:pPr>
      <w:r w:rsidRPr="00424A4B">
        <w:rPr>
          <w:iCs/>
          <w:sz w:val="22"/>
          <w:szCs w:val="22"/>
          <w:u w:val="single"/>
          <w:lang w:val="sr-Latn-ME"/>
        </w:rPr>
        <w:t>Dijareja</w:t>
      </w:r>
    </w:p>
    <w:p w:rsidR="005E6320" w:rsidRPr="00424A4B" w:rsidRDefault="005E287E" w:rsidP="00CD41AC">
      <w:pPr>
        <w:jc w:val="both"/>
        <w:rPr>
          <w:sz w:val="22"/>
          <w:szCs w:val="22"/>
          <w:lang w:val="sr-Latn-ME"/>
        </w:rPr>
      </w:pPr>
      <w:r w:rsidRPr="00424A4B">
        <w:rPr>
          <w:sz w:val="22"/>
          <w:szCs w:val="22"/>
          <w:lang w:val="sr-Latn-ME"/>
        </w:rPr>
        <w:t xml:space="preserve">Lijek </w:t>
      </w:r>
      <w:r w:rsidR="009C77FA" w:rsidRPr="00424A4B">
        <w:rPr>
          <w:sz w:val="22"/>
          <w:szCs w:val="22"/>
          <w:lang w:val="sr-Latn-ME"/>
        </w:rPr>
        <w:t>Perjeta</w:t>
      </w:r>
      <w:r w:rsidR="005E6320" w:rsidRPr="00424A4B">
        <w:rPr>
          <w:sz w:val="22"/>
          <w:szCs w:val="22"/>
          <w:lang w:val="sr-Latn-ME"/>
        </w:rPr>
        <w:t xml:space="preserve"> može izazvati tešku dijareju. Dijareja se najčešće javlja tokom istovremene primjene s</w:t>
      </w:r>
      <w:r w:rsidR="007E4669" w:rsidRPr="00424A4B">
        <w:rPr>
          <w:sz w:val="22"/>
          <w:szCs w:val="22"/>
          <w:lang w:val="sr-Latn-ME"/>
        </w:rPr>
        <w:t>a</w:t>
      </w:r>
      <w:r w:rsidR="005E6320" w:rsidRPr="00424A4B">
        <w:rPr>
          <w:sz w:val="22"/>
          <w:szCs w:val="22"/>
          <w:lang w:val="sr-Latn-ME"/>
        </w:rPr>
        <w:t xml:space="preserve"> taksanom. Rizik od dijareje </w:t>
      </w:r>
      <w:r w:rsidR="00463C21" w:rsidRPr="00424A4B">
        <w:rPr>
          <w:sz w:val="22"/>
          <w:szCs w:val="22"/>
          <w:lang w:val="sr-Latn-ME"/>
        </w:rPr>
        <w:t xml:space="preserve">je </w:t>
      </w:r>
      <w:r w:rsidR="005E6320" w:rsidRPr="00424A4B">
        <w:rPr>
          <w:sz w:val="22"/>
          <w:szCs w:val="22"/>
          <w:lang w:val="sr-Latn-ME"/>
        </w:rPr>
        <w:t>veći kod starijih (</w:t>
      </w:r>
      <w:r w:rsidR="007E4669" w:rsidRPr="00424A4B">
        <w:rPr>
          <w:rFonts w:eastAsia="SimSun"/>
          <w:sz w:val="22"/>
          <w:szCs w:val="22"/>
          <w:u w:val="single"/>
          <w:lang w:val="sr-Latn-ME"/>
        </w:rPr>
        <w:t>&gt;</w:t>
      </w:r>
      <w:r w:rsidR="005E6320" w:rsidRPr="00424A4B">
        <w:rPr>
          <w:sz w:val="22"/>
          <w:szCs w:val="22"/>
          <w:lang w:val="sr-Latn-ME"/>
        </w:rPr>
        <w:t xml:space="preserve"> 65 godina) nego kod mlađih pacijenata (&lt; 65 godina). Dijareju treba liječiti u skladu sa standardnom praksom i smjernicama. Treba razmotriti ranu intervenciju primjenom loperamida i nado</w:t>
      </w:r>
      <w:r w:rsidR="007E4669" w:rsidRPr="00424A4B">
        <w:rPr>
          <w:sz w:val="22"/>
          <w:szCs w:val="22"/>
          <w:lang w:val="sr-Latn-ME"/>
        </w:rPr>
        <w:t>knadom</w:t>
      </w:r>
      <w:r w:rsidR="005E6320" w:rsidRPr="00424A4B">
        <w:rPr>
          <w:sz w:val="22"/>
          <w:szCs w:val="22"/>
          <w:lang w:val="sr-Latn-ME"/>
        </w:rPr>
        <w:t xml:space="preserve"> tečnosti i elektrolita, posebno kod starijih pacijenata i kod teške ili dugotrajne dijareje.  Treba razmotriti privremen prekid liječenja pertuzumabom ako se pacijentovo stanje ne poboljša. Kad se dijareja stavi pod kontrolu, liječenje pertuzumabom može se ponovno započeti.</w:t>
      </w:r>
    </w:p>
    <w:p w:rsidR="00057E35" w:rsidRPr="00424A4B" w:rsidRDefault="00057E35">
      <w:pPr>
        <w:tabs>
          <w:tab w:val="left" w:pos="540"/>
          <w:tab w:val="left" w:pos="569"/>
        </w:tabs>
        <w:rPr>
          <w:bCs/>
          <w:sz w:val="22"/>
          <w:szCs w:val="22"/>
          <w:lang w:val="sr-Latn-ME"/>
        </w:rPr>
      </w:pPr>
    </w:p>
    <w:p w:rsidR="00411B4B" w:rsidRPr="00424A4B" w:rsidRDefault="00411B4B">
      <w:pPr>
        <w:tabs>
          <w:tab w:val="left" w:pos="540"/>
          <w:tab w:val="left" w:pos="569"/>
        </w:tabs>
        <w:rPr>
          <w:b/>
          <w:bCs/>
          <w:sz w:val="22"/>
          <w:szCs w:val="22"/>
          <w:lang w:val="sr-Latn-ME"/>
        </w:rPr>
      </w:pPr>
      <w:r w:rsidRPr="00424A4B">
        <w:rPr>
          <w:b/>
          <w:bCs/>
          <w:sz w:val="22"/>
          <w:szCs w:val="22"/>
          <w:lang w:val="sr-Latn-ME"/>
        </w:rPr>
        <w:t>4.5.</w:t>
      </w:r>
      <w:r w:rsidR="000D60CC" w:rsidRPr="00424A4B">
        <w:rPr>
          <w:b/>
          <w:bCs/>
          <w:sz w:val="22"/>
          <w:szCs w:val="22"/>
          <w:lang w:val="sr-Latn-ME"/>
        </w:rPr>
        <w:tab/>
      </w:r>
      <w:r w:rsidRPr="00424A4B">
        <w:rPr>
          <w:b/>
          <w:bCs/>
          <w:sz w:val="22"/>
          <w:szCs w:val="22"/>
          <w:lang w:val="sr-Latn-ME"/>
        </w:rPr>
        <w:t>Interakcije sa drugim ljekovima i druge vrste interakcija</w:t>
      </w:r>
    </w:p>
    <w:p w:rsidR="00445878" w:rsidRPr="00424A4B" w:rsidRDefault="00445878">
      <w:pPr>
        <w:tabs>
          <w:tab w:val="left" w:pos="540"/>
          <w:tab w:val="left" w:pos="569"/>
        </w:tabs>
        <w:rPr>
          <w:b/>
          <w:bCs/>
          <w:sz w:val="22"/>
          <w:szCs w:val="22"/>
          <w:lang w:val="sr-Latn-ME"/>
        </w:rPr>
      </w:pPr>
    </w:p>
    <w:p w:rsidR="005E6320" w:rsidRPr="00424A4B" w:rsidRDefault="005E6320">
      <w:pPr>
        <w:widowControl w:val="0"/>
        <w:tabs>
          <w:tab w:val="left" w:pos="567"/>
        </w:tabs>
        <w:jc w:val="both"/>
        <w:rPr>
          <w:sz w:val="22"/>
          <w:szCs w:val="22"/>
          <w:lang w:val="sr-Latn-ME"/>
        </w:rPr>
      </w:pPr>
      <w:r w:rsidRPr="00424A4B">
        <w:rPr>
          <w:sz w:val="22"/>
          <w:szCs w:val="22"/>
          <w:lang w:val="sr-Latn-ME"/>
        </w:rPr>
        <w:t>U podispitivanju 37 pacijenata u sklopu randomizovanog pivotalnog ispitivanja CLEOPATRA u metastatskom karcinomu dojke ni</w:t>
      </w:r>
      <w:r w:rsidR="007E4669" w:rsidRPr="00424A4B">
        <w:rPr>
          <w:sz w:val="22"/>
          <w:szCs w:val="22"/>
          <w:lang w:val="sr-Latn-ME"/>
        </w:rPr>
        <w:t>je</w:t>
      </w:r>
      <w:r w:rsidRPr="00424A4B">
        <w:rPr>
          <w:sz w:val="22"/>
          <w:szCs w:val="22"/>
          <w:lang w:val="sr-Latn-ME"/>
        </w:rPr>
        <w:t>su primijećene farmakokinetičke interakcije između pertuzumaba i trastuzumaba, ni između pertuzumaba i docetaksela. Osim toga, u populaci</w:t>
      </w:r>
      <w:r w:rsidR="007E4669" w:rsidRPr="00424A4B">
        <w:rPr>
          <w:sz w:val="22"/>
          <w:szCs w:val="22"/>
          <w:lang w:val="sr-Latn-ME"/>
        </w:rPr>
        <w:t>onoj</w:t>
      </w:r>
      <w:r w:rsidRPr="00424A4B">
        <w:rPr>
          <w:sz w:val="22"/>
          <w:szCs w:val="22"/>
          <w:lang w:val="sr-Latn-ME"/>
        </w:rPr>
        <w:t xml:space="preserve"> farmakokinetičkoj analizi nije bilo znakova interakcije između pertuzumaba i trastuzumaba, ni između pertuzumaba  i docetaksela. Taj izostanak interakcija između ljekova potvrdili su farmakokinetički podaci iz ispitivanja NEOPSHERE i APHINITY.</w:t>
      </w:r>
    </w:p>
    <w:p w:rsidR="002B03CF" w:rsidRPr="00424A4B" w:rsidRDefault="002B03CF">
      <w:pPr>
        <w:widowControl w:val="0"/>
        <w:tabs>
          <w:tab w:val="left" w:pos="567"/>
        </w:tabs>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U pet ispitivanja su ispitani efekti pertuzumaba na farmakokinetiku istovremeno primijenjenih citotoksičnih ljekova: docetaksela, paklitaksela, gemcitabina, kapecitabina, karboplatina i erlotiniba. Ni</w:t>
      </w:r>
      <w:r w:rsidR="007E4669" w:rsidRPr="00424A4B">
        <w:rPr>
          <w:sz w:val="22"/>
          <w:szCs w:val="22"/>
          <w:lang w:val="sr-Latn-ME"/>
        </w:rPr>
        <w:t>je</w:t>
      </w:r>
      <w:r w:rsidRPr="00424A4B">
        <w:rPr>
          <w:sz w:val="22"/>
          <w:szCs w:val="22"/>
          <w:lang w:val="sr-Latn-ME"/>
        </w:rPr>
        <w:t xml:space="preserve">su pronađeni dokazi farmakokinetičkih interakcija između pertuzumaba i bilo kojeg od tih ljekova. U navedenim je ispitivanjima farmakokinetika pertuzumaba bila slična onoj </w:t>
      </w:r>
      <w:r w:rsidR="007E4669" w:rsidRPr="00424A4B">
        <w:rPr>
          <w:sz w:val="22"/>
          <w:szCs w:val="22"/>
          <w:lang w:val="sr-Latn-ME"/>
        </w:rPr>
        <w:t>zabilježenoj</w:t>
      </w:r>
      <w:r w:rsidRPr="00424A4B">
        <w:rPr>
          <w:sz w:val="22"/>
          <w:szCs w:val="22"/>
          <w:lang w:val="sr-Latn-ME"/>
        </w:rPr>
        <w:t xml:space="preserve"> u ispitivanjima u kojima je primijenjen samostalno.</w:t>
      </w:r>
    </w:p>
    <w:p w:rsidR="0072020E" w:rsidRPr="00424A4B" w:rsidRDefault="0072020E" w:rsidP="005C33D8">
      <w:pPr>
        <w:tabs>
          <w:tab w:val="left" w:pos="540"/>
          <w:tab w:val="left" w:pos="569"/>
        </w:tabs>
        <w:rPr>
          <w:bCs/>
          <w:sz w:val="22"/>
          <w:szCs w:val="22"/>
          <w:lang w:val="sr-Latn-ME"/>
        </w:rPr>
      </w:pPr>
    </w:p>
    <w:p w:rsidR="0072020E" w:rsidRPr="00424A4B" w:rsidRDefault="0072020E" w:rsidP="00CD41AC">
      <w:pPr>
        <w:tabs>
          <w:tab w:val="left" w:pos="540"/>
          <w:tab w:val="left" w:pos="569"/>
        </w:tabs>
        <w:rPr>
          <w:b/>
          <w:sz w:val="22"/>
          <w:szCs w:val="22"/>
          <w:lang w:val="sr-Latn-ME"/>
        </w:rPr>
      </w:pPr>
      <w:r w:rsidRPr="00424A4B">
        <w:rPr>
          <w:b/>
          <w:bCs/>
          <w:sz w:val="22"/>
          <w:szCs w:val="22"/>
          <w:lang w:val="sr-Latn-ME"/>
        </w:rPr>
        <w:t xml:space="preserve">4.6. </w:t>
      </w:r>
      <w:r w:rsidR="00480FB1" w:rsidRPr="00424A4B">
        <w:rPr>
          <w:b/>
          <w:bCs/>
          <w:sz w:val="22"/>
          <w:szCs w:val="22"/>
          <w:lang w:val="sr-Latn-ME"/>
        </w:rPr>
        <w:tab/>
      </w:r>
      <w:r w:rsidR="006D20A5" w:rsidRPr="00424A4B">
        <w:rPr>
          <w:b/>
          <w:sz w:val="22"/>
          <w:szCs w:val="22"/>
          <w:lang w:val="sr-Latn-ME"/>
        </w:rPr>
        <w:t>Plodnost, trudnoća i dojenje</w:t>
      </w:r>
    </w:p>
    <w:p w:rsidR="005D2A08" w:rsidRPr="00424A4B" w:rsidRDefault="005D2A08">
      <w:pPr>
        <w:tabs>
          <w:tab w:val="left" w:pos="540"/>
          <w:tab w:val="left" w:pos="569"/>
        </w:tabs>
        <w:rPr>
          <w:b/>
          <w:sz w:val="22"/>
          <w:szCs w:val="22"/>
          <w:lang w:val="sr-Latn-ME"/>
        </w:rPr>
      </w:pPr>
    </w:p>
    <w:p w:rsidR="005D2A08" w:rsidRPr="00424A4B" w:rsidRDefault="005D2A08">
      <w:pPr>
        <w:tabs>
          <w:tab w:val="left" w:pos="540"/>
          <w:tab w:val="left" w:pos="569"/>
        </w:tabs>
        <w:rPr>
          <w:sz w:val="22"/>
          <w:szCs w:val="22"/>
          <w:u w:val="single"/>
          <w:lang w:val="sr-Latn-ME"/>
        </w:rPr>
      </w:pPr>
      <w:r w:rsidRPr="00424A4B">
        <w:rPr>
          <w:sz w:val="22"/>
          <w:szCs w:val="22"/>
          <w:u w:val="single"/>
          <w:lang w:val="sr-Latn-ME"/>
        </w:rPr>
        <w:t>Plodnost</w:t>
      </w:r>
    </w:p>
    <w:p w:rsidR="002B03CF" w:rsidRPr="00424A4B" w:rsidRDefault="002B03CF">
      <w:pPr>
        <w:tabs>
          <w:tab w:val="left" w:pos="540"/>
          <w:tab w:val="left" w:pos="569"/>
        </w:tabs>
        <w:rPr>
          <w:sz w:val="22"/>
          <w:szCs w:val="22"/>
          <w:u w:val="single"/>
          <w:lang w:val="sr-Latn-ME"/>
        </w:rPr>
      </w:pPr>
    </w:p>
    <w:p w:rsidR="005D2A08" w:rsidRPr="00424A4B" w:rsidRDefault="005D2A08" w:rsidP="0055503A">
      <w:pPr>
        <w:jc w:val="both"/>
        <w:rPr>
          <w:sz w:val="22"/>
          <w:szCs w:val="22"/>
          <w:lang w:val="sr-Latn-ME"/>
        </w:rPr>
      </w:pPr>
      <w:r w:rsidRPr="00424A4B">
        <w:rPr>
          <w:sz w:val="22"/>
          <w:szCs w:val="22"/>
          <w:lang w:val="sr-Latn-ME"/>
        </w:rPr>
        <w:t>Nijesu sprovedena posebna istraživanja na životinjama kojima bi se procijenio efekat pertuzumaba na plodnost. U ispitivanju toksičnosti ponovljenih doza na makaki majmunima nijesu se mogli donijeti konačni zaključci o štetnom efektu na reproduktivne organe mužjaka. Kod polno zrelih ženki makaki majmuna izloženih pertuzumabu nijesu primijećeni neželjeni efekti (vidjeti dio 5.3)</w:t>
      </w:r>
      <w:r w:rsidR="002B03CF" w:rsidRPr="00424A4B">
        <w:rPr>
          <w:sz w:val="22"/>
          <w:szCs w:val="22"/>
          <w:lang w:val="sr-Latn-ME"/>
        </w:rPr>
        <w:t>.</w:t>
      </w:r>
    </w:p>
    <w:p w:rsidR="002B03CF" w:rsidRPr="00424A4B" w:rsidRDefault="002B03CF" w:rsidP="0055503A">
      <w:pPr>
        <w:jc w:val="both"/>
        <w:rPr>
          <w:sz w:val="22"/>
          <w:szCs w:val="22"/>
          <w:lang w:val="sr-Latn-ME"/>
        </w:rPr>
      </w:pPr>
    </w:p>
    <w:p w:rsidR="005E6320" w:rsidRPr="00424A4B" w:rsidRDefault="005E6320" w:rsidP="0055503A">
      <w:pPr>
        <w:rPr>
          <w:sz w:val="22"/>
          <w:szCs w:val="22"/>
          <w:u w:val="single"/>
          <w:lang w:val="sr-Latn-ME"/>
        </w:rPr>
      </w:pPr>
      <w:r w:rsidRPr="00424A4B">
        <w:rPr>
          <w:sz w:val="22"/>
          <w:szCs w:val="22"/>
          <w:u w:val="single"/>
          <w:lang w:val="sr-Latn-ME"/>
        </w:rPr>
        <w:t xml:space="preserve">Kontracepcija </w:t>
      </w:r>
    </w:p>
    <w:p w:rsidR="002031B3" w:rsidRPr="00424A4B" w:rsidRDefault="005E6320" w:rsidP="0055503A">
      <w:pPr>
        <w:tabs>
          <w:tab w:val="left" w:pos="540"/>
          <w:tab w:val="left" w:pos="569"/>
        </w:tabs>
        <w:jc w:val="both"/>
        <w:rPr>
          <w:sz w:val="22"/>
          <w:szCs w:val="22"/>
          <w:lang w:val="sr-Latn-ME"/>
        </w:rPr>
      </w:pPr>
      <w:r w:rsidRPr="00424A4B">
        <w:rPr>
          <w:sz w:val="22"/>
          <w:szCs w:val="22"/>
          <w:lang w:val="sr-Latn-ME"/>
        </w:rPr>
        <w:t xml:space="preserve">Žene u reproduktivnom periodu moraju da koriste efikasnu kontracepciju dok primaju lijek </w:t>
      </w:r>
      <w:r w:rsidR="009C77FA" w:rsidRPr="00424A4B">
        <w:rPr>
          <w:sz w:val="22"/>
          <w:szCs w:val="22"/>
          <w:lang w:val="sr-Latn-ME"/>
        </w:rPr>
        <w:t>Perjeta</w:t>
      </w:r>
      <w:r w:rsidRPr="00424A4B">
        <w:rPr>
          <w:sz w:val="22"/>
          <w:szCs w:val="22"/>
          <w:lang w:val="sr-Latn-ME"/>
        </w:rPr>
        <w:t xml:space="preserve"> i još 6 mjeseci nakon posljednje doze pertuzumaba. </w:t>
      </w:r>
    </w:p>
    <w:p w:rsidR="00B30B91" w:rsidRPr="00424A4B" w:rsidRDefault="00B30B91" w:rsidP="00CD41AC">
      <w:pPr>
        <w:tabs>
          <w:tab w:val="left" w:pos="540"/>
          <w:tab w:val="left" w:pos="569"/>
        </w:tabs>
        <w:rPr>
          <w:sz w:val="22"/>
          <w:szCs w:val="22"/>
          <w:u w:val="single"/>
          <w:lang w:val="sr-Latn-ME"/>
        </w:rPr>
      </w:pPr>
    </w:p>
    <w:p w:rsidR="00A06870" w:rsidRPr="00424A4B" w:rsidRDefault="00A06870" w:rsidP="00CD41AC">
      <w:pPr>
        <w:tabs>
          <w:tab w:val="left" w:pos="540"/>
          <w:tab w:val="left" w:pos="569"/>
        </w:tabs>
        <w:rPr>
          <w:sz w:val="22"/>
          <w:szCs w:val="22"/>
          <w:u w:val="single"/>
          <w:lang w:val="sr-Latn-ME"/>
        </w:rPr>
      </w:pPr>
    </w:p>
    <w:p w:rsidR="00A06870" w:rsidRPr="00424A4B" w:rsidRDefault="00A06870" w:rsidP="00CD41AC">
      <w:pPr>
        <w:tabs>
          <w:tab w:val="left" w:pos="540"/>
          <w:tab w:val="left" w:pos="569"/>
        </w:tabs>
        <w:rPr>
          <w:sz w:val="22"/>
          <w:szCs w:val="22"/>
          <w:u w:val="single"/>
          <w:lang w:val="sr-Latn-ME"/>
        </w:rPr>
      </w:pPr>
    </w:p>
    <w:p w:rsidR="007A3ECB" w:rsidRPr="00424A4B" w:rsidRDefault="007A3ECB">
      <w:pPr>
        <w:tabs>
          <w:tab w:val="left" w:pos="540"/>
          <w:tab w:val="left" w:pos="569"/>
        </w:tabs>
        <w:rPr>
          <w:sz w:val="22"/>
          <w:szCs w:val="22"/>
          <w:u w:val="single"/>
          <w:lang w:val="sr-Latn-ME"/>
        </w:rPr>
      </w:pPr>
      <w:r w:rsidRPr="00424A4B">
        <w:rPr>
          <w:sz w:val="22"/>
          <w:szCs w:val="22"/>
          <w:u w:val="single"/>
          <w:lang w:val="sr-Latn-ME"/>
        </w:rPr>
        <w:lastRenderedPageBreak/>
        <w:t>Trudnoća</w:t>
      </w:r>
    </w:p>
    <w:p w:rsidR="002B03CF" w:rsidRPr="00424A4B" w:rsidRDefault="002B03CF">
      <w:pPr>
        <w:jc w:val="both"/>
        <w:rPr>
          <w:sz w:val="22"/>
          <w:szCs w:val="22"/>
          <w:lang w:val="sr-Latn-ME"/>
        </w:rPr>
      </w:pPr>
    </w:p>
    <w:p w:rsidR="005E6320" w:rsidRPr="00424A4B" w:rsidRDefault="005E6320">
      <w:pPr>
        <w:jc w:val="both"/>
        <w:rPr>
          <w:sz w:val="22"/>
          <w:szCs w:val="22"/>
          <w:lang w:val="sr-Latn-ME"/>
        </w:rPr>
      </w:pPr>
      <w:r w:rsidRPr="00424A4B">
        <w:rPr>
          <w:sz w:val="22"/>
          <w:szCs w:val="22"/>
          <w:lang w:val="sr-Latn-ME"/>
        </w:rPr>
        <w:t xml:space="preserve">Podaci o </w:t>
      </w:r>
      <w:r w:rsidR="009C77FA" w:rsidRPr="00424A4B">
        <w:rPr>
          <w:sz w:val="22"/>
          <w:szCs w:val="22"/>
          <w:lang w:val="sr-Latn-ME"/>
        </w:rPr>
        <w:t>primijeni</w:t>
      </w:r>
      <w:r w:rsidRPr="00424A4B">
        <w:rPr>
          <w:sz w:val="22"/>
          <w:szCs w:val="22"/>
          <w:lang w:val="sr-Latn-ME"/>
        </w:rPr>
        <w:t xml:space="preserve"> pertuzumaba kod trudnica su ograničeni. </w:t>
      </w:r>
    </w:p>
    <w:p w:rsidR="005E6320" w:rsidRPr="00424A4B" w:rsidRDefault="005E6320">
      <w:pPr>
        <w:jc w:val="both"/>
        <w:rPr>
          <w:sz w:val="22"/>
          <w:szCs w:val="22"/>
          <w:lang w:val="sr-Latn-ME"/>
        </w:rPr>
      </w:pPr>
      <w:r w:rsidRPr="00424A4B">
        <w:rPr>
          <w:sz w:val="22"/>
          <w:szCs w:val="22"/>
          <w:lang w:val="sr-Latn-ME"/>
        </w:rPr>
        <w:t>Istraživanja na životinjama ukazala su na reproduktivnu toksičnost (vidjeti dio 5.3).</w:t>
      </w:r>
    </w:p>
    <w:p w:rsidR="005E6320" w:rsidRPr="00424A4B" w:rsidRDefault="005E287E">
      <w:pPr>
        <w:jc w:val="both"/>
        <w:rPr>
          <w:sz w:val="22"/>
          <w:szCs w:val="22"/>
          <w:lang w:val="sr-Latn-ME"/>
        </w:rPr>
      </w:pPr>
      <w:r w:rsidRPr="00424A4B">
        <w:rPr>
          <w:sz w:val="22"/>
          <w:szCs w:val="22"/>
          <w:lang w:val="sr-Latn-ME"/>
        </w:rPr>
        <w:t xml:space="preserve">Lijek </w:t>
      </w:r>
      <w:r w:rsidR="009C77FA" w:rsidRPr="00424A4B">
        <w:rPr>
          <w:sz w:val="22"/>
          <w:szCs w:val="22"/>
          <w:lang w:val="sr-Latn-ME"/>
        </w:rPr>
        <w:t>Perjeta</w:t>
      </w:r>
      <w:r w:rsidR="005E6320" w:rsidRPr="00424A4B">
        <w:rPr>
          <w:sz w:val="22"/>
          <w:szCs w:val="22"/>
          <w:lang w:val="sr-Latn-ME"/>
        </w:rPr>
        <w:t xml:space="preserve"> se ne preporučuje za primjenu tokom trudnoće i kod žena u reproduktivnom periodu koje ne koriste kontracepciju. </w:t>
      </w:r>
    </w:p>
    <w:p w:rsidR="002031B3" w:rsidRPr="00424A4B" w:rsidRDefault="002031B3">
      <w:pPr>
        <w:tabs>
          <w:tab w:val="left" w:pos="540"/>
          <w:tab w:val="left" w:pos="569"/>
        </w:tabs>
        <w:rPr>
          <w:sz w:val="22"/>
          <w:szCs w:val="22"/>
          <w:u w:val="single"/>
          <w:lang w:val="sr-Latn-ME"/>
        </w:rPr>
      </w:pPr>
    </w:p>
    <w:p w:rsidR="0072020E" w:rsidRPr="00424A4B" w:rsidRDefault="007A3ECB">
      <w:pPr>
        <w:tabs>
          <w:tab w:val="left" w:pos="540"/>
          <w:tab w:val="left" w:pos="569"/>
        </w:tabs>
        <w:jc w:val="both"/>
        <w:rPr>
          <w:sz w:val="22"/>
          <w:szCs w:val="22"/>
          <w:u w:val="single"/>
          <w:lang w:val="sr-Latn-ME"/>
        </w:rPr>
      </w:pPr>
      <w:r w:rsidRPr="00424A4B">
        <w:rPr>
          <w:sz w:val="22"/>
          <w:szCs w:val="22"/>
          <w:u w:val="single"/>
          <w:lang w:val="sr-Latn-ME"/>
        </w:rPr>
        <w:t xml:space="preserve">Dojenje </w:t>
      </w:r>
    </w:p>
    <w:p w:rsidR="002B03CF" w:rsidRPr="00424A4B" w:rsidRDefault="002B03CF">
      <w:pPr>
        <w:tabs>
          <w:tab w:val="left" w:pos="540"/>
          <w:tab w:val="left" w:pos="569"/>
        </w:tabs>
        <w:jc w:val="both"/>
        <w:rPr>
          <w:b/>
          <w:bCs/>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Budući da se humani IgG izlučuje u majčino mlijeko, a moguća resorpcija i neželjeno djelovanje na odojče ni</w:t>
      </w:r>
      <w:r w:rsidR="005D2A08" w:rsidRPr="00424A4B">
        <w:rPr>
          <w:sz w:val="22"/>
          <w:szCs w:val="22"/>
          <w:lang w:val="sr-Latn-ME"/>
        </w:rPr>
        <w:t>je</w:t>
      </w:r>
      <w:r w:rsidRPr="00424A4B">
        <w:rPr>
          <w:sz w:val="22"/>
          <w:szCs w:val="22"/>
          <w:lang w:val="sr-Latn-ME"/>
        </w:rPr>
        <w:t xml:space="preserve">su poznati, mora se donijeti odluka hoće li se prekinuti dojenje ili obustaviti liječenje, uzimajući u obzir korist dojenja za dijete i dobrobit liječenja lijekom </w:t>
      </w:r>
      <w:r w:rsidR="009C77FA" w:rsidRPr="00424A4B">
        <w:rPr>
          <w:sz w:val="22"/>
          <w:szCs w:val="22"/>
          <w:lang w:val="sr-Latn-ME"/>
        </w:rPr>
        <w:t>Perjeta</w:t>
      </w:r>
      <w:r w:rsidRPr="00424A4B">
        <w:rPr>
          <w:sz w:val="22"/>
          <w:szCs w:val="22"/>
          <w:lang w:val="sr-Latn-ME"/>
        </w:rPr>
        <w:t xml:space="preserve"> za ženu (vidjeti dio 5.2).</w:t>
      </w:r>
    </w:p>
    <w:p w:rsidR="00227BDB" w:rsidRPr="00424A4B" w:rsidRDefault="00227BDB" w:rsidP="005C33D8">
      <w:pPr>
        <w:tabs>
          <w:tab w:val="left" w:pos="540"/>
          <w:tab w:val="left" w:pos="569"/>
        </w:tabs>
        <w:ind w:left="540" w:hanging="540"/>
        <w:jc w:val="both"/>
        <w:rPr>
          <w:b/>
          <w:bCs/>
          <w:sz w:val="22"/>
          <w:szCs w:val="22"/>
          <w:lang w:val="sr-Latn-ME"/>
        </w:rPr>
      </w:pPr>
    </w:p>
    <w:p w:rsidR="0072020E" w:rsidRPr="00424A4B" w:rsidRDefault="0072020E" w:rsidP="00CD41AC">
      <w:pPr>
        <w:tabs>
          <w:tab w:val="left" w:pos="540"/>
          <w:tab w:val="left" w:pos="569"/>
        </w:tabs>
        <w:ind w:left="540" w:hanging="540"/>
        <w:jc w:val="both"/>
        <w:rPr>
          <w:b/>
          <w:bCs/>
          <w:sz w:val="22"/>
          <w:szCs w:val="22"/>
          <w:lang w:val="sr-Latn-ME"/>
        </w:rPr>
      </w:pPr>
      <w:r w:rsidRPr="00424A4B">
        <w:rPr>
          <w:b/>
          <w:bCs/>
          <w:sz w:val="22"/>
          <w:szCs w:val="22"/>
          <w:lang w:val="sr-Latn-ME"/>
        </w:rPr>
        <w:t xml:space="preserve">4.7. </w:t>
      </w:r>
      <w:r w:rsidR="00480FB1" w:rsidRPr="00424A4B">
        <w:rPr>
          <w:b/>
          <w:bCs/>
          <w:sz w:val="22"/>
          <w:szCs w:val="22"/>
          <w:lang w:val="sr-Latn-ME"/>
        </w:rPr>
        <w:tab/>
      </w:r>
      <w:r w:rsidRPr="00424A4B">
        <w:rPr>
          <w:b/>
          <w:bCs/>
          <w:sz w:val="22"/>
          <w:szCs w:val="22"/>
          <w:lang w:val="sr-Latn-ME"/>
        </w:rPr>
        <w:t xml:space="preserve">Uticaj na </w:t>
      </w:r>
      <w:r w:rsidR="002031B3" w:rsidRPr="00424A4B">
        <w:rPr>
          <w:b/>
          <w:bCs/>
          <w:sz w:val="22"/>
          <w:szCs w:val="22"/>
          <w:lang w:val="sr-Latn-ME"/>
        </w:rPr>
        <w:t xml:space="preserve">sposobnost </w:t>
      </w:r>
      <w:r w:rsidR="00F34554" w:rsidRPr="00424A4B">
        <w:rPr>
          <w:b/>
          <w:bCs/>
          <w:sz w:val="22"/>
          <w:szCs w:val="22"/>
          <w:lang w:val="sr-Latn-ME"/>
        </w:rPr>
        <w:t>upravljanja vozili</w:t>
      </w:r>
      <w:r w:rsidRPr="00424A4B">
        <w:rPr>
          <w:b/>
          <w:bCs/>
          <w:sz w:val="22"/>
          <w:szCs w:val="22"/>
          <w:lang w:val="sr-Latn-ME"/>
        </w:rPr>
        <w:t>m</w:t>
      </w:r>
      <w:r w:rsidR="00F34554" w:rsidRPr="00424A4B">
        <w:rPr>
          <w:b/>
          <w:bCs/>
          <w:sz w:val="22"/>
          <w:szCs w:val="22"/>
          <w:lang w:val="sr-Latn-ME"/>
        </w:rPr>
        <w:t>a</w:t>
      </w:r>
      <w:r w:rsidRPr="00424A4B">
        <w:rPr>
          <w:b/>
          <w:bCs/>
          <w:sz w:val="22"/>
          <w:szCs w:val="22"/>
          <w:lang w:val="sr-Latn-ME"/>
        </w:rPr>
        <w:t xml:space="preserve"> i </w:t>
      </w:r>
      <w:r w:rsidR="000D3449" w:rsidRPr="00424A4B">
        <w:rPr>
          <w:b/>
          <w:bCs/>
          <w:sz w:val="22"/>
          <w:szCs w:val="22"/>
          <w:lang w:val="sr-Latn-ME"/>
        </w:rPr>
        <w:t xml:space="preserve">rukovanje </w:t>
      </w:r>
      <w:r w:rsidRPr="00424A4B">
        <w:rPr>
          <w:b/>
          <w:bCs/>
          <w:sz w:val="22"/>
          <w:szCs w:val="22"/>
          <w:lang w:val="sr-Latn-ME"/>
        </w:rPr>
        <w:t>mašinama</w:t>
      </w:r>
    </w:p>
    <w:p w:rsidR="00445878" w:rsidRPr="00424A4B" w:rsidRDefault="00445878">
      <w:pPr>
        <w:tabs>
          <w:tab w:val="left" w:pos="540"/>
          <w:tab w:val="left" w:pos="569"/>
        </w:tabs>
        <w:ind w:left="540" w:hanging="540"/>
        <w:jc w:val="both"/>
        <w:rPr>
          <w:b/>
          <w:bCs/>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S obzirom na prijavljena neželjena dejstva, </w:t>
      </w:r>
      <w:r w:rsidR="005E287E" w:rsidRPr="00424A4B">
        <w:rPr>
          <w:sz w:val="22"/>
          <w:szCs w:val="22"/>
          <w:lang w:val="sr-Latn-ME"/>
        </w:rPr>
        <w:t xml:space="preserve">lijek </w:t>
      </w:r>
      <w:r w:rsidR="009C77FA" w:rsidRPr="00424A4B">
        <w:rPr>
          <w:sz w:val="22"/>
          <w:szCs w:val="22"/>
          <w:lang w:val="sr-Latn-ME"/>
        </w:rPr>
        <w:t>Perjeta</w:t>
      </w:r>
      <w:r w:rsidRPr="00424A4B">
        <w:rPr>
          <w:sz w:val="22"/>
          <w:szCs w:val="22"/>
          <w:lang w:val="sr-Latn-ME"/>
        </w:rPr>
        <w:t xml:space="preserve"> </w:t>
      </w:r>
      <w:r w:rsidR="00463C21" w:rsidRPr="00424A4B">
        <w:rPr>
          <w:sz w:val="22"/>
          <w:szCs w:val="22"/>
          <w:lang w:val="sr-Latn-ME"/>
        </w:rPr>
        <w:t>ima manji uticaj</w:t>
      </w:r>
      <w:r w:rsidRPr="00424A4B">
        <w:rPr>
          <w:sz w:val="22"/>
          <w:szCs w:val="22"/>
          <w:lang w:val="sr-Latn-ME"/>
        </w:rPr>
        <w:t xml:space="preserve"> na sposobnost upravljanja vozilima i rukovanja mašinama. </w:t>
      </w:r>
      <w:r w:rsidR="00463C21" w:rsidRPr="00424A4B">
        <w:rPr>
          <w:sz w:val="22"/>
          <w:szCs w:val="22"/>
          <w:lang w:val="sr-Latn-ME"/>
        </w:rPr>
        <w:t xml:space="preserve">Tokom terapije lijekom Perjeta može se javiti vrtoglavica (vidjeti dio 4.8). </w:t>
      </w:r>
      <w:r w:rsidRPr="00424A4B">
        <w:rPr>
          <w:sz w:val="22"/>
          <w:szCs w:val="22"/>
          <w:lang w:val="sr-Latn-ME"/>
        </w:rPr>
        <w:t>Pacijent</w:t>
      </w:r>
      <w:r w:rsidR="005D2A08" w:rsidRPr="00424A4B">
        <w:rPr>
          <w:sz w:val="22"/>
          <w:szCs w:val="22"/>
          <w:lang w:val="sr-Latn-ME"/>
        </w:rPr>
        <w:t>e</w:t>
      </w:r>
      <w:r w:rsidRPr="00424A4B">
        <w:rPr>
          <w:sz w:val="22"/>
          <w:szCs w:val="22"/>
          <w:lang w:val="sr-Latn-ME"/>
        </w:rPr>
        <w:t xml:space="preserve"> kod kojih se jave reakcije na infuziju treba savjetovati da ne upravljaju vozilima i </w:t>
      </w:r>
      <w:r w:rsidR="005D2A08" w:rsidRPr="00424A4B">
        <w:rPr>
          <w:sz w:val="22"/>
          <w:szCs w:val="22"/>
          <w:lang w:val="sr-Latn-ME"/>
        </w:rPr>
        <w:t xml:space="preserve">da </w:t>
      </w:r>
      <w:r w:rsidRPr="00424A4B">
        <w:rPr>
          <w:sz w:val="22"/>
          <w:szCs w:val="22"/>
          <w:lang w:val="sr-Latn-ME"/>
        </w:rPr>
        <w:t xml:space="preserve">ne rukuju mašinama dok se simptomi ne povuku. </w:t>
      </w:r>
    </w:p>
    <w:p w:rsidR="0072020E" w:rsidRPr="00424A4B" w:rsidRDefault="0072020E" w:rsidP="005C33D8">
      <w:pPr>
        <w:tabs>
          <w:tab w:val="left" w:pos="540"/>
          <w:tab w:val="left" w:pos="569"/>
        </w:tabs>
        <w:rPr>
          <w:b/>
          <w:bCs/>
          <w:sz w:val="22"/>
          <w:szCs w:val="22"/>
          <w:lang w:val="sr-Latn-ME"/>
        </w:rPr>
      </w:pPr>
    </w:p>
    <w:p w:rsidR="0072020E" w:rsidRPr="00424A4B" w:rsidRDefault="0072020E" w:rsidP="00CD41AC">
      <w:pPr>
        <w:tabs>
          <w:tab w:val="left" w:pos="540"/>
          <w:tab w:val="left" w:pos="569"/>
        </w:tabs>
        <w:rPr>
          <w:b/>
          <w:bCs/>
          <w:sz w:val="22"/>
          <w:szCs w:val="22"/>
          <w:lang w:val="sr-Latn-ME"/>
        </w:rPr>
      </w:pPr>
      <w:r w:rsidRPr="00424A4B">
        <w:rPr>
          <w:b/>
          <w:bCs/>
          <w:sz w:val="22"/>
          <w:szCs w:val="22"/>
          <w:lang w:val="sr-Latn-ME"/>
        </w:rPr>
        <w:t xml:space="preserve">4.8. </w:t>
      </w:r>
      <w:r w:rsidR="00480FB1" w:rsidRPr="00424A4B">
        <w:rPr>
          <w:b/>
          <w:bCs/>
          <w:sz w:val="22"/>
          <w:szCs w:val="22"/>
          <w:lang w:val="sr-Latn-ME"/>
        </w:rPr>
        <w:tab/>
      </w:r>
      <w:r w:rsidRPr="00424A4B">
        <w:rPr>
          <w:b/>
          <w:bCs/>
          <w:sz w:val="22"/>
          <w:szCs w:val="22"/>
          <w:lang w:val="sr-Latn-ME"/>
        </w:rPr>
        <w:t>Neželjena dejstva</w:t>
      </w:r>
    </w:p>
    <w:p w:rsidR="005E6320" w:rsidRPr="00424A4B" w:rsidRDefault="005E6320">
      <w:pPr>
        <w:tabs>
          <w:tab w:val="left" w:pos="540"/>
          <w:tab w:val="left" w:pos="569"/>
        </w:tabs>
        <w:rPr>
          <w:b/>
          <w:bCs/>
          <w:sz w:val="22"/>
          <w:szCs w:val="22"/>
          <w:lang w:val="sr-Latn-ME"/>
        </w:rPr>
      </w:pPr>
    </w:p>
    <w:p w:rsidR="005E6320" w:rsidRPr="00424A4B" w:rsidRDefault="005E6320" w:rsidP="0055503A">
      <w:pPr>
        <w:rPr>
          <w:sz w:val="22"/>
          <w:szCs w:val="22"/>
          <w:u w:val="single"/>
          <w:lang w:val="sr-Latn-ME"/>
        </w:rPr>
      </w:pPr>
      <w:r w:rsidRPr="00424A4B">
        <w:rPr>
          <w:sz w:val="22"/>
          <w:szCs w:val="22"/>
          <w:u w:val="single"/>
          <w:lang w:val="sr-Latn-ME"/>
        </w:rPr>
        <w:t>Sažetak bezbjednosnog profila</w:t>
      </w:r>
    </w:p>
    <w:p w:rsidR="002B03CF" w:rsidRPr="00424A4B" w:rsidRDefault="002B03CF" w:rsidP="0055503A">
      <w:pPr>
        <w:rPr>
          <w:sz w:val="22"/>
          <w:szCs w:val="22"/>
          <w:u w:val="single"/>
          <w:lang w:val="sr-Latn-ME"/>
        </w:rPr>
      </w:pPr>
    </w:p>
    <w:p w:rsidR="005E6320" w:rsidRPr="00424A4B" w:rsidRDefault="005E6320" w:rsidP="005C33D8">
      <w:pPr>
        <w:jc w:val="both"/>
        <w:rPr>
          <w:sz w:val="22"/>
          <w:szCs w:val="22"/>
          <w:lang w:val="sr-Latn-ME"/>
        </w:rPr>
      </w:pPr>
      <w:r w:rsidRPr="00424A4B">
        <w:rPr>
          <w:sz w:val="22"/>
          <w:szCs w:val="22"/>
          <w:lang w:val="sr-Latn-ME"/>
        </w:rPr>
        <w:t xml:space="preserve">Bezbjednost lijeka </w:t>
      </w:r>
      <w:r w:rsidR="009C77FA" w:rsidRPr="00424A4B">
        <w:rPr>
          <w:sz w:val="22"/>
          <w:szCs w:val="22"/>
          <w:lang w:val="sr-Latn-ME"/>
        </w:rPr>
        <w:t>Perjeta</w:t>
      </w:r>
      <w:r w:rsidRPr="00424A4B">
        <w:rPr>
          <w:sz w:val="22"/>
          <w:szCs w:val="22"/>
          <w:lang w:val="sr-Latn-ME"/>
        </w:rPr>
        <w:t xml:space="preserve"> </w:t>
      </w:r>
      <w:r w:rsidR="005D2A08" w:rsidRPr="00424A4B">
        <w:rPr>
          <w:sz w:val="22"/>
          <w:szCs w:val="22"/>
          <w:lang w:val="sr-Latn-ME"/>
        </w:rPr>
        <w:t>pr</w:t>
      </w:r>
      <w:r w:rsidRPr="00424A4B">
        <w:rPr>
          <w:sz w:val="22"/>
          <w:szCs w:val="22"/>
          <w:lang w:val="sr-Latn-ME"/>
        </w:rPr>
        <w:t xml:space="preserve">ocijenjena je kod više od 6000 pacijenata u ispitivanjima faze I, II i III u kojima su učestvovali pacijenti sa različitim malignitetima koji su uglavnom bili liječeni lijekom </w:t>
      </w:r>
      <w:r w:rsidR="009C77FA" w:rsidRPr="00424A4B">
        <w:rPr>
          <w:sz w:val="22"/>
          <w:szCs w:val="22"/>
          <w:lang w:val="sr-Latn-ME"/>
        </w:rPr>
        <w:t>Perjeta</w:t>
      </w:r>
      <w:r w:rsidRPr="00424A4B">
        <w:rPr>
          <w:sz w:val="22"/>
          <w:szCs w:val="22"/>
          <w:lang w:val="sr-Latn-ME"/>
        </w:rPr>
        <w:t xml:space="preserve"> u kombinaciji s</w:t>
      </w:r>
      <w:r w:rsidR="005D2A08" w:rsidRPr="00424A4B">
        <w:rPr>
          <w:sz w:val="22"/>
          <w:szCs w:val="22"/>
          <w:lang w:val="sr-Latn-ME"/>
        </w:rPr>
        <w:t>a</w:t>
      </w:r>
      <w:r w:rsidRPr="00424A4B">
        <w:rPr>
          <w:sz w:val="22"/>
          <w:szCs w:val="22"/>
          <w:lang w:val="sr-Latn-ME"/>
        </w:rPr>
        <w:t xml:space="preserve"> drugim antineoplasticima. Ta su ispitivanja uključivala pivotalna ispitivanja CLEOPATRA (n=808), NEOSPHERE (n=417), TRYPHAENA (n=225) i APHINITY (n=4804) [objedinjeni podaci navedeni su u Tabeli 2]. Bezbjednost lijeka </w:t>
      </w:r>
      <w:r w:rsidR="009C77FA" w:rsidRPr="00424A4B">
        <w:rPr>
          <w:sz w:val="22"/>
          <w:szCs w:val="22"/>
          <w:lang w:val="sr-Latn-ME"/>
        </w:rPr>
        <w:t>Perjeta</w:t>
      </w:r>
      <w:r w:rsidRPr="00424A4B">
        <w:rPr>
          <w:sz w:val="22"/>
          <w:szCs w:val="22"/>
          <w:lang w:val="sr-Latn-ME"/>
        </w:rPr>
        <w:t xml:space="preserve"> načelno je bila dosledna u</w:t>
      </w:r>
      <w:r w:rsidR="005D2A08" w:rsidRPr="00424A4B">
        <w:rPr>
          <w:sz w:val="22"/>
          <w:szCs w:val="22"/>
          <w:lang w:val="sr-Latn-ME"/>
        </w:rPr>
        <w:t xml:space="preserve"> </w:t>
      </w:r>
      <w:r w:rsidRPr="00424A4B">
        <w:rPr>
          <w:sz w:val="22"/>
          <w:szCs w:val="22"/>
          <w:lang w:val="sr-Latn-ME"/>
        </w:rPr>
        <w:t xml:space="preserve">svim ispitivanjima, iako su se incidenca i najčešća neželjena dejstva lijeka razlikovale zavisno od toga da li se </w:t>
      </w:r>
      <w:r w:rsidR="005E287E" w:rsidRPr="00424A4B">
        <w:rPr>
          <w:sz w:val="22"/>
          <w:szCs w:val="22"/>
          <w:lang w:val="sr-Latn-ME"/>
        </w:rPr>
        <w:t xml:space="preserve">lijek </w:t>
      </w:r>
      <w:r w:rsidR="009C77FA" w:rsidRPr="00424A4B">
        <w:rPr>
          <w:sz w:val="22"/>
          <w:szCs w:val="22"/>
          <w:lang w:val="sr-Latn-ME"/>
        </w:rPr>
        <w:t>Perjeta</w:t>
      </w:r>
      <w:r w:rsidR="005E287E" w:rsidRPr="00424A4B">
        <w:rPr>
          <w:sz w:val="22"/>
          <w:szCs w:val="22"/>
          <w:vertAlign w:val="superscript"/>
          <w:lang w:val="sr-Latn-ME"/>
        </w:rPr>
        <w:t xml:space="preserve"> </w:t>
      </w:r>
      <w:r w:rsidR="005E287E" w:rsidRPr="00424A4B">
        <w:rPr>
          <w:sz w:val="22"/>
          <w:szCs w:val="22"/>
          <w:lang w:val="sr-Latn-ME"/>
        </w:rPr>
        <w:t xml:space="preserve">primjenjivao </w:t>
      </w:r>
      <w:r w:rsidRPr="00424A4B">
        <w:rPr>
          <w:sz w:val="22"/>
          <w:szCs w:val="22"/>
          <w:lang w:val="sr-Latn-ME"/>
        </w:rPr>
        <w:t xml:space="preserve">u monoterapiji ili istovremeno sa antineoplasticima. </w:t>
      </w:r>
    </w:p>
    <w:p w:rsidR="005D2A08" w:rsidRPr="00424A4B" w:rsidRDefault="005E6320" w:rsidP="0055503A">
      <w:pPr>
        <w:rPr>
          <w:sz w:val="22"/>
          <w:szCs w:val="22"/>
          <w:lang w:val="sr-Latn-ME"/>
        </w:rPr>
      </w:pPr>
      <w:r w:rsidRPr="00424A4B">
        <w:rPr>
          <w:sz w:val="22"/>
          <w:szCs w:val="22"/>
          <w:lang w:val="sr-Latn-ME"/>
        </w:rPr>
        <w:t xml:space="preserve"> </w:t>
      </w:r>
    </w:p>
    <w:p w:rsidR="005E6320" w:rsidRPr="00424A4B" w:rsidRDefault="005E6320" w:rsidP="0055503A">
      <w:pPr>
        <w:jc w:val="both"/>
        <w:rPr>
          <w:sz w:val="22"/>
          <w:szCs w:val="22"/>
          <w:u w:val="single"/>
          <w:lang w:val="sr-Latn-ME"/>
        </w:rPr>
      </w:pPr>
      <w:r w:rsidRPr="00424A4B">
        <w:rPr>
          <w:sz w:val="22"/>
          <w:szCs w:val="22"/>
          <w:u w:val="single"/>
          <w:lang w:val="sr-Latn-ME"/>
        </w:rPr>
        <w:t xml:space="preserve">Tabelarni prikaz neželjenih reakcija </w:t>
      </w:r>
    </w:p>
    <w:p w:rsidR="002B03CF" w:rsidRPr="00424A4B" w:rsidRDefault="002B03CF" w:rsidP="0055503A">
      <w:pPr>
        <w:jc w:val="both"/>
        <w:rPr>
          <w:sz w:val="22"/>
          <w:szCs w:val="22"/>
          <w:u w:val="single"/>
          <w:lang w:val="sr-Latn-ME"/>
        </w:rPr>
      </w:pPr>
    </w:p>
    <w:p w:rsidR="005E6320" w:rsidRPr="00424A4B" w:rsidRDefault="005E6320" w:rsidP="0055503A">
      <w:pPr>
        <w:jc w:val="both"/>
        <w:rPr>
          <w:sz w:val="22"/>
          <w:szCs w:val="22"/>
          <w:lang w:val="sr-Latn-ME"/>
        </w:rPr>
      </w:pPr>
      <w:r w:rsidRPr="00424A4B">
        <w:rPr>
          <w:sz w:val="22"/>
          <w:szCs w:val="22"/>
          <w:lang w:val="sr-Latn-ME"/>
        </w:rPr>
        <w:t xml:space="preserve">U Tabeli </w:t>
      </w:r>
      <w:r w:rsidR="005D2A08" w:rsidRPr="00424A4B">
        <w:rPr>
          <w:sz w:val="22"/>
          <w:szCs w:val="22"/>
          <w:lang w:val="sr-Latn-ME"/>
        </w:rPr>
        <w:t>2</w:t>
      </w:r>
      <w:r w:rsidRPr="00424A4B">
        <w:rPr>
          <w:sz w:val="22"/>
          <w:szCs w:val="22"/>
          <w:lang w:val="sr-Latn-ME"/>
        </w:rPr>
        <w:t xml:space="preserve"> prikazane su neželjene reakcije lijeka u grupama liječenim lijekom </w:t>
      </w:r>
      <w:r w:rsidR="009C77FA" w:rsidRPr="00424A4B">
        <w:rPr>
          <w:sz w:val="22"/>
          <w:szCs w:val="22"/>
          <w:lang w:val="sr-Latn-ME"/>
        </w:rPr>
        <w:t>Perjeta</w:t>
      </w:r>
      <w:r w:rsidRPr="00424A4B">
        <w:rPr>
          <w:sz w:val="22"/>
          <w:szCs w:val="22"/>
          <w:lang w:val="sr-Latn-ME"/>
        </w:rPr>
        <w:t xml:space="preserve"> iz sljedećih pivotalnih kliničkih ispitivanja</w:t>
      </w:r>
      <w:r w:rsidR="002B03CF" w:rsidRPr="00424A4B">
        <w:rPr>
          <w:sz w:val="22"/>
          <w:szCs w:val="22"/>
          <w:lang w:val="sr-Latn-ME"/>
        </w:rPr>
        <w:t>:</w:t>
      </w:r>
      <w:r w:rsidRPr="00424A4B">
        <w:rPr>
          <w:sz w:val="22"/>
          <w:szCs w:val="22"/>
          <w:lang w:val="sr-Latn-ME"/>
        </w:rPr>
        <w:t xml:space="preserve"> </w:t>
      </w:r>
    </w:p>
    <w:p w:rsidR="005E6320" w:rsidRPr="00424A4B" w:rsidRDefault="005E6320" w:rsidP="0055503A">
      <w:pPr>
        <w:numPr>
          <w:ilvl w:val="0"/>
          <w:numId w:val="15"/>
        </w:numPr>
        <w:jc w:val="both"/>
        <w:rPr>
          <w:sz w:val="22"/>
          <w:szCs w:val="22"/>
          <w:lang w:val="sr-Latn-ME"/>
        </w:rPr>
      </w:pPr>
      <w:r w:rsidRPr="00424A4B">
        <w:rPr>
          <w:sz w:val="22"/>
          <w:szCs w:val="22"/>
          <w:lang w:val="sr-Latn-ME"/>
        </w:rPr>
        <w:t xml:space="preserve">CLEOPATRA, u kojem </w:t>
      </w:r>
      <w:r w:rsidR="005E287E" w:rsidRPr="00424A4B">
        <w:rPr>
          <w:sz w:val="22"/>
          <w:szCs w:val="22"/>
          <w:lang w:val="sr-Latn-ME"/>
        </w:rPr>
        <w:t>s</w:t>
      </w:r>
      <w:r w:rsidRPr="00424A4B">
        <w:rPr>
          <w:sz w:val="22"/>
          <w:szCs w:val="22"/>
          <w:lang w:val="sr-Latn-ME"/>
        </w:rPr>
        <w:t>e</w:t>
      </w:r>
      <w:r w:rsidR="005E287E" w:rsidRPr="00424A4B">
        <w:rPr>
          <w:sz w:val="22"/>
          <w:szCs w:val="22"/>
          <w:lang w:val="sr-Latn-ME"/>
        </w:rPr>
        <w:t xml:space="preserve"> lijek</w:t>
      </w:r>
      <w:r w:rsidRPr="00424A4B">
        <w:rPr>
          <w:sz w:val="22"/>
          <w:szCs w:val="22"/>
          <w:lang w:val="sr-Latn-ME"/>
        </w:rPr>
        <w:t xml:space="preserve"> </w:t>
      </w:r>
      <w:r w:rsidR="009C77FA" w:rsidRPr="00424A4B">
        <w:rPr>
          <w:sz w:val="22"/>
          <w:szCs w:val="22"/>
          <w:lang w:val="sr-Latn-ME"/>
        </w:rPr>
        <w:t>Perjeta</w:t>
      </w:r>
      <w:r w:rsidRPr="00424A4B">
        <w:rPr>
          <w:sz w:val="22"/>
          <w:szCs w:val="22"/>
          <w:lang w:val="sr-Latn-ME"/>
        </w:rPr>
        <w:t xml:space="preserve"> </w:t>
      </w:r>
      <w:r w:rsidR="005E287E" w:rsidRPr="00424A4B">
        <w:rPr>
          <w:sz w:val="22"/>
          <w:szCs w:val="22"/>
          <w:lang w:val="sr-Latn-ME"/>
        </w:rPr>
        <w:t xml:space="preserve">primjenjivao </w:t>
      </w:r>
      <w:r w:rsidRPr="00424A4B">
        <w:rPr>
          <w:sz w:val="22"/>
          <w:szCs w:val="22"/>
          <w:lang w:val="sr-Latn-ME"/>
        </w:rPr>
        <w:t>u kombinaciji s</w:t>
      </w:r>
      <w:r w:rsidR="002B03CF" w:rsidRPr="00424A4B">
        <w:rPr>
          <w:sz w:val="22"/>
          <w:szCs w:val="22"/>
          <w:lang w:val="sr-Latn-ME"/>
        </w:rPr>
        <w:t>a</w:t>
      </w:r>
      <w:r w:rsidRPr="00424A4B">
        <w:rPr>
          <w:sz w:val="22"/>
          <w:szCs w:val="22"/>
          <w:lang w:val="sr-Latn-ME"/>
        </w:rPr>
        <w:t xml:space="preserve"> docetakselom i trastuzumabom kod pacijenata sa metastatskim karcinomom dojke (n=453) </w:t>
      </w:r>
    </w:p>
    <w:p w:rsidR="005E6320" w:rsidRPr="00424A4B" w:rsidRDefault="005E6320" w:rsidP="0055503A">
      <w:pPr>
        <w:numPr>
          <w:ilvl w:val="0"/>
          <w:numId w:val="15"/>
        </w:numPr>
        <w:jc w:val="both"/>
        <w:rPr>
          <w:sz w:val="22"/>
          <w:szCs w:val="22"/>
          <w:lang w:val="sr-Latn-ME"/>
        </w:rPr>
      </w:pPr>
      <w:r w:rsidRPr="00424A4B">
        <w:rPr>
          <w:sz w:val="22"/>
          <w:szCs w:val="22"/>
          <w:lang w:val="sr-Latn-ME"/>
        </w:rPr>
        <w:t xml:space="preserve">NEOSPHERE (n=309) i TRYPHAENA (n=218), u kojima se </w:t>
      </w:r>
      <w:r w:rsidR="005E287E" w:rsidRPr="00424A4B">
        <w:rPr>
          <w:sz w:val="22"/>
          <w:szCs w:val="22"/>
          <w:lang w:val="sr-Latn-ME"/>
        </w:rPr>
        <w:t xml:space="preserve">lijek </w:t>
      </w:r>
      <w:r w:rsidR="009C77FA" w:rsidRPr="00424A4B">
        <w:rPr>
          <w:sz w:val="22"/>
          <w:szCs w:val="22"/>
          <w:lang w:val="sr-Latn-ME"/>
        </w:rPr>
        <w:t>Perjeta</w:t>
      </w:r>
      <w:r w:rsidRPr="00424A4B">
        <w:rPr>
          <w:sz w:val="22"/>
          <w:szCs w:val="22"/>
          <w:lang w:val="sr-Latn-ME"/>
        </w:rPr>
        <w:t xml:space="preserve"> </w:t>
      </w:r>
      <w:r w:rsidR="005E287E" w:rsidRPr="00424A4B">
        <w:rPr>
          <w:sz w:val="22"/>
          <w:szCs w:val="22"/>
          <w:lang w:val="sr-Latn-ME"/>
        </w:rPr>
        <w:t xml:space="preserve">primjenjivao </w:t>
      </w:r>
      <w:r w:rsidRPr="00424A4B">
        <w:rPr>
          <w:sz w:val="22"/>
          <w:szCs w:val="22"/>
          <w:lang w:val="sr-Latn-ME"/>
        </w:rPr>
        <w:t xml:space="preserve">neoadjuvantno u kombinaciji sa trastuzumabom i hemoterapijom kod pacijenata sa lokalno uznapredovalim, upalnim ili ranim karcinomom dojke </w:t>
      </w:r>
    </w:p>
    <w:p w:rsidR="005E6320" w:rsidRPr="00424A4B" w:rsidRDefault="005E6320" w:rsidP="0055503A">
      <w:pPr>
        <w:numPr>
          <w:ilvl w:val="0"/>
          <w:numId w:val="15"/>
        </w:numPr>
        <w:jc w:val="both"/>
        <w:rPr>
          <w:sz w:val="22"/>
          <w:szCs w:val="22"/>
          <w:lang w:val="sr-Latn-ME"/>
        </w:rPr>
      </w:pPr>
      <w:r w:rsidRPr="00424A4B">
        <w:rPr>
          <w:sz w:val="22"/>
          <w:szCs w:val="22"/>
          <w:lang w:val="sr-Latn-ME"/>
        </w:rPr>
        <w:t>APHINITY, u kojem se</w:t>
      </w:r>
      <w:r w:rsidR="005E287E" w:rsidRPr="00424A4B">
        <w:rPr>
          <w:sz w:val="22"/>
          <w:szCs w:val="22"/>
          <w:lang w:val="sr-Latn-ME"/>
        </w:rPr>
        <w:t xml:space="preserve"> lijek</w:t>
      </w:r>
      <w:r w:rsidRPr="00424A4B">
        <w:rPr>
          <w:sz w:val="22"/>
          <w:szCs w:val="22"/>
          <w:lang w:val="sr-Latn-ME"/>
        </w:rPr>
        <w:t xml:space="preserve"> </w:t>
      </w:r>
      <w:r w:rsidR="009C77FA" w:rsidRPr="00424A4B">
        <w:rPr>
          <w:sz w:val="22"/>
          <w:szCs w:val="22"/>
          <w:lang w:val="sr-Latn-ME"/>
        </w:rPr>
        <w:t>Perjeta</w:t>
      </w:r>
      <w:r w:rsidRPr="00424A4B">
        <w:rPr>
          <w:sz w:val="22"/>
          <w:szCs w:val="22"/>
          <w:lang w:val="sr-Latn-ME"/>
        </w:rPr>
        <w:t xml:space="preserve"> </w:t>
      </w:r>
      <w:r w:rsidR="005E287E" w:rsidRPr="00424A4B">
        <w:rPr>
          <w:sz w:val="22"/>
          <w:szCs w:val="22"/>
          <w:lang w:val="sr-Latn-ME"/>
        </w:rPr>
        <w:t xml:space="preserve">primjenjivao </w:t>
      </w:r>
      <w:r w:rsidRPr="00424A4B">
        <w:rPr>
          <w:sz w:val="22"/>
          <w:szCs w:val="22"/>
          <w:lang w:val="sr-Latn-ME"/>
        </w:rPr>
        <w:t>adjuvantno u kombinaciji s</w:t>
      </w:r>
      <w:r w:rsidR="002B03CF" w:rsidRPr="00424A4B">
        <w:rPr>
          <w:sz w:val="22"/>
          <w:szCs w:val="22"/>
          <w:lang w:val="sr-Latn-ME"/>
        </w:rPr>
        <w:t>a</w:t>
      </w:r>
      <w:r w:rsidRPr="00424A4B">
        <w:rPr>
          <w:sz w:val="22"/>
          <w:szCs w:val="22"/>
          <w:lang w:val="sr-Latn-ME"/>
        </w:rPr>
        <w:t xml:space="preserve"> trastuzumabom i hemoterapijom (baziranoj na antraciklinu ili nekom drugom lijeku) koja je sadržavala taksan kod pacijenata sa ranim karcinomom dojke (n=2364)</w:t>
      </w:r>
    </w:p>
    <w:p w:rsidR="002B03CF" w:rsidRPr="00424A4B" w:rsidRDefault="002B03CF" w:rsidP="0055503A">
      <w:pPr>
        <w:tabs>
          <w:tab w:val="left" w:pos="0"/>
        </w:tabs>
        <w:jc w:val="both"/>
        <w:rPr>
          <w:sz w:val="22"/>
          <w:szCs w:val="22"/>
          <w:lang w:val="sr-Latn-ME"/>
        </w:rPr>
      </w:pPr>
    </w:p>
    <w:p w:rsidR="005E6320" w:rsidRPr="00424A4B" w:rsidRDefault="005E6320" w:rsidP="0055503A">
      <w:pPr>
        <w:tabs>
          <w:tab w:val="left" w:pos="0"/>
        </w:tabs>
        <w:jc w:val="both"/>
        <w:rPr>
          <w:sz w:val="22"/>
          <w:szCs w:val="22"/>
          <w:lang w:val="sr-Latn-ME"/>
        </w:rPr>
      </w:pPr>
      <w:r w:rsidRPr="00424A4B">
        <w:rPr>
          <w:sz w:val="22"/>
          <w:szCs w:val="22"/>
          <w:lang w:val="sr-Latn-ME"/>
        </w:rPr>
        <w:t>Pored toga, u Tabelu 2 uključene su neželjene reakcije lijeka prijavljene tokom post-marketinškog praćenja lijeka.</w:t>
      </w:r>
    </w:p>
    <w:p w:rsidR="005E6320" w:rsidRPr="00424A4B" w:rsidRDefault="005E6320" w:rsidP="0055503A">
      <w:pPr>
        <w:tabs>
          <w:tab w:val="left" w:pos="0"/>
        </w:tabs>
        <w:jc w:val="both"/>
        <w:rPr>
          <w:sz w:val="22"/>
          <w:szCs w:val="22"/>
          <w:lang w:val="sr-Latn-ME"/>
        </w:rPr>
      </w:pPr>
      <w:r w:rsidRPr="00424A4B">
        <w:rPr>
          <w:sz w:val="22"/>
          <w:szCs w:val="22"/>
          <w:lang w:val="sr-Latn-ME"/>
        </w:rPr>
        <w:t xml:space="preserve">Budući da se u tim ispitivanjima </w:t>
      </w:r>
      <w:r w:rsidR="005E287E" w:rsidRPr="00424A4B">
        <w:rPr>
          <w:sz w:val="22"/>
          <w:szCs w:val="22"/>
          <w:lang w:val="sr-Latn-ME"/>
        </w:rPr>
        <w:t xml:space="preserve">lijek </w:t>
      </w:r>
      <w:r w:rsidR="009C77FA" w:rsidRPr="00424A4B">
        <w:rPr>
          <w:sz w:val="22"/>
          <w:szCs w:val="22"/>
          <w:lang w:val="sr-Latn-ME"/>
        </w:rPr>
        <w:t>Perjeta</w:t>
      </w:r>
      <w:r w:rsidRPr="00424A4B">
        <w:rPr>
          <w:sz w:val="22"/>
          <w:szCs w:val="22"/>
          <w:lang w:val="sr-Latn-ME"/>
        </w:rPr>
        <w:t xml:space="preserve"> </w:t>
      </w:r>
      <w:r w:rsidR="005E287E" w:rsidRPr="00424A4B">
        <w:rPr>
          <w:sz w:val="22"/>
          <w:szCs w:val="22"/>
          <w:lang w:val="sr-Latn-ME"/>
        </w:rPr>
        <w:t xml:space="preserve">primjenjivao </w:t>
      </w:r>
      <w:r w:rsidRPr="00424A4B">
        <w:rPr>
          <w:sz w:val="22"/>
          <w:szCs w:val="22"/>
          <w:lang w:val="sr-Latn-ME"/>
        </w:rPr>
        <w:t>s</w:t>
      </w:r>
      <w:r w:rsidR="002B03CF" w:rsidRPr="00424A4B">
        <w:rPr>
          <w:sz w:val="22"/>
          <w:szCs w:val="22"/>
          <w:lang w:val="sr-Latn-ME"/>
        </w:rPr>
        <w:t>a</w:t>
      </w:r>
      <w:r w:rsidRPr="00424A4B">
        <w:rPr>
          <w:sz w:val="22"/>
          <w:szCs w:val="22"/>
          <w:lang w:val="sr-Latn-ME"/>
        </w:rPr>
        <w:t xml:space="preserve"> trastuzumabom i hemoterapijom, teško je odrediti uzročno-posljedičnu povezanost između pojedine neželjene reakcije i određenog lijeka.</w:t>
      </w:r>
    </w:p>
    <w:p w:rsidR="002B03CF" w:rsidRPr="00424A4B" w:rsidRDefault="002B03CF" w:rsidP="0055503A">
      <w:pPr>
        <w:tabs>
          <w:tab w:val="left" w:pos="0"/>
        </w:tabs>
        <w:jc w:val="both"/>
        <w:rPr>
          <w:sz w:val="22"/>
          <w:szCs w:val="22"/>
          <w:lang w:val="sr-Latn-ME"/>
        </w:rPr>
      </w:pPr>
    </w:p>
    <w:p w:rsidR="005E6320" w:rsidRPr="00424A4B" w:rsidRDefault="005E6320" w:rsidP="0055503A">
      <w:pPr>
        <w:tabs>
          <w:tab w:val="left" w:pos="0"/>
        </w:tabs>
        <w:jc w:val="both"/>
        <w:rPr>
          <w:sz w:val="22"/>
          <w:szCs w:val="22"/>
          <w:lang w:val="sr-Latn-ME"/>
        </w:rPr>
      </w:pPr>
      <w:r w:rsidRPr="00424A4B">
        <w:rPr>
          <w:sz w:val="22"/>
          <w:szCs w:val="22"/>
          <w:lang w:val="sr-Latn-ME"/>
        </w:rPr>
        <w:t xml:space="preserve">U nastavku su neželjene reakcije navedene prema MedRA klasifikaciji sistema </w:t>
      </w:r>
      <w:r w:rsidR="005D2A08" w:rsidRPr="00424A4B">
        <w:rPr>
          <w:sz w:val="22"/>
          <w:szCs w:val="22"/>
          <w:lang w:val="sr-Latn-ME"/>
        </w:rPr>
        <w:t xml:space="preserve">organa </w:t>
      </w:r>
      <w:r w:rsidRPr="00424A4B">
        <w:rPr>
          <w:sz w:val="22"/>
          <w:szCs w:val="22"/>
          <w:lang w:val="sr-Latn-ME"/>
        </w:rPr>
        <w:t>i kategorijama učestalosti:</w:t>
      </w:r>
    </w:p>
    <w:p w:rsidR="005E6320" w:rsidRPr="00424A4B" w:rsidRDefault="005E6320" w:rsidP="0055503A">
      <w:pPr>
        <w:rPr>
          <w:sz w:val="22"/>
          <w:szCs w:val="22"/>
          <w:lang w:val="sr-Latn-ME"/>
        </w:rPr>
      </w:pPr>
      <w:r w:rsidRPr="00424A4B">
        <w:rPr>
          <w:sz w:val="22"/>
          <w:szCs w:val="22"/>
          <w:lang w:val="sr-Latn-ME"/>
        </w:rPr>
        <w:t xml:space="preserve">Veoma često </w:t>
      </w:r>
      <w:r w:rsidR="005D2A08" w:rsidRPr="00424A4B">
        <w:rPr>
          <w:sz w:val="22"/>
          <w:szCs w:val="22"/>
          <w:lang w:val="sr-Latn-ME"/>
        </w:rPr>
        <w:t>(</w:t>
      </w:r>
      <w:r w:rsidRPr="00424A4B">
        <w:rPr>
          <w:sz w:val="22"/>
          <w:szCs w:val="22"/>
          <w:lang w:val="sr-Latn-ME"/>
        </w:rPr>
        <w:t>≥ 1/10</w:t>
      </w:r>
      <w:r w:rsidR="005D2A08" w:rsidRPr="00424A4B">
        <w:rPr>
          <w:sz w:val="22"/>
          <w:szCs w:val="22"/>
          <w:lang w:val="sr-Latn-ME"/>
        </w:rPr>
        <w:t>)</w:t>
      </w:r>
    </w:p>
    <w:p w:rsidR="005E6320" w:rsidRPr="00424A4B" w:rsidRDefault="005E6320" w:rsidP="005C33D8">
      <w:pPr>
        <w:rPr>
          <w:sz w:val="22"/>
          <w:szCs w:val="22"/>
          <w:lang w:val="sr-Latn-ME"/>
        </w:rPr>
      </w:pPr>
      <w:r w:rsidRPr="00424A4B">
        <w:rPr>
          <w:sz w:val="22"/>
          <w:szCs w:val="22"/>
          <w:lang w:val="sr-Latn-ME"/>
        </w:rPr>
        <w:t xml:space="preserve">Često </w:t>
      </w:r>
      <w:r w:rsidR="005D2A08" w:rsidRPr="00424A4B">
        <w:rPr>
          <w:sz w:val="22"/>
          <w:szCs w:val="22"/>
          <w:lang w:val="sr-Latn-ME"/>
        </w:rPr>
        <w:t>(</w:t>
      </w:r>
      <w:r w:rsidRPr="00424A4B">
        <w:rPr>
          <w:sz w:val="22"/>
          <w:szCs w:val="22"/>
          <w:lang w:val="sr-Latn-ME"/>
        </w:rPr>
        <w:t>≥ 1/100 do &lt; 1/10</w:t>
      </w:r>
      <w:r w:rsidR="005D2A08" w:rsidRPr="00424A4B">
        <w:rPr>
          <w:sz w:val="22"/>
          <w:szCs w:val="22"/>
          <w:lang w:val="sr-Latn-ME"/>
        </w:rPr>
        <w:t>)</w:t>
      </w:r>
    </w:p>
    <w:p w:rsidR="005E6320" w:rsidRPr="00424A4B" w:rsidRDefault="005E6320" w:rsidP="00CD41AC">
      <w:pPr>
        <w:rPr>
          <w:sz w:val="22"/>
          <w:szCs w:val="22"/>
          <w:lang w:val="sr-Latn-ME"/>
        </w:rPr>
      </w:pPr>
      <w:r w:rsidRPr="00424A4B">
        <w:rPr>
          <w:sz w:val="22"/>
          <w:szCs w:val="22"/>
          <w:lang w:val="sr-Latn-ME"/>
        </w:rPr>
        <w:t xml:space="preserve">Povremeno </w:t>
      </w:r>
      <w:r w:rsidR="005D2A08" w:rsidRPr="00424A4B">
        <w:rPr>
          <w:sz w:val="22"/>
          <w:szCs w:val="22"/>
          <w:lang w:val="sr-Latn-ME"/>
        </w:rPr>
        <w:t>(</w:t>
      </w:r>
      <w:r w:rsidRPr="00424A4B">
        <w:rPr>
          <w:sz w:val="22"/>
          <w:szCs w:val="22"/>
          <w:lang w:val="sr-Latn-ME"/>
        </w:rPr>
        <w:t>≥ 1/1000 do &lt; 1/100</w:t>
      </w:r>
      <w:r w:rsidR="005D2A08" w:rsidRPr="00424A4B">
        <w:rPr>
          <w:sz w:val="22"/>
          <w:szCs w:val="22"/>
          <w:lang w:val="sr-Latn-ME"/>
        </w:rPr>
        <w:t>)</w:t>
      </w:r>
    </w:p>
    <w:p w:rsidR="005E6320" w:rsidRPr="00424A4B" w:rsidRDefault="005E6320">
      <w:pPr>
        <w:rPr>
          <w:sz w:val="22"/>
          <w:szCs w:val="22"/>
          <w:lang w:val="sr-Latn-ME"/>
        </w:rPr>
      </w:pPr>
      <w:r w:rsidRPr="00424A4B">
        <w:rPr>
          <w:sz w:val="22"/>
          <w:szCs w:val="22"/>
          <w:lang w:val="sr-Latn-ME"/>
        </w:rPr>
        <w:t xml:space="preserve">Rijetko </w:t>
      </w:r>
      <w:r w:rsidR="005D2A08" w:rsidRPr="00424A4B">
        <w:rPr>
          <w:sz w:val="22"/>
          <w:szCs w:val="22"/>
          <w:lang w:val="sr-Latn-ME"/>
        </w:rPr>
        <w:t>(</w:t>
      </w:r>
      <w:r w:rsidRPr="00424A4B">
        <w:rPr>
          <w:sz w:val="22"/>
          <w:szCs w:val="22"/>
          <w:lang w:val="sr-Latn-ME"/>
        </w:rPr>
        <w:t>≥ 1/10 000 do &lt; 1/1000</w:t>
      </w:r>
      <w:r w:rsidR="005D2A08" w:rsidRPr="00424A4B">
        <w:rPr>
          <w:sz w:val="22"/>
          <w:szCs w:val="22"/>
          <w:lang w:val="sr-Latn-ME"/>
        </w:rPr>
        <w:t>)</w:t>
      </w:r>
    </w:p>
    <w:p w:rsidR="005E6320" w:rsidRPr="00424A4B" w:rsidRDefault="005E6320">
      <w:pPr>
        <w:rPr>
          <w:sz w:val="22"/>
          <w:szCs w:val="22"/>
          <w:lang w:val="sr-Latn-ME"/>
        </w:rPr>
      </w:pPr>
      <w:r w:rsidRPr="00424A4B">
        <w:rPr>
          <w:sz w:val="22"/>
          <w:szCs w:val="22"/>
          <w:lang w:val="sr-Latn-ME"/>
        </w:rPr>
        <w:t xml:space="preserve">Veoma rijetko </w:t>
      </w:r>
      <w:r w:rsidR="005D2A08" w:rsidRPr="00424A4B">
        <w:rPr>
          <w:sz w:val="22"/>
          <w:szCs w:val="22"/>
          <w:lang w:val="sr-Latn-ME"/>
        </w:rPr>
        <w:t>(</w:t>
      </w:r>
      <w:r w:rsidRPr="00424A4B">
        <w:rPr>
          <w:sz w:val="22"/>
          <w:szCs w:val="22"/>
          <w:lang w:val="sr-Latn-ME"/>
        </w:rPr>
        <w:t>&lt; 1/10 000</w:t>
      </w:r>
      <w:r w:rsidR="005D2A08" w:rsidRPr="00424A4B">
        <w:rPr>
          <w:sz w:val="22"/>
          <w:szCs w:val="22"/>
          <w:lang w:val="sr-Latn-ME"/>
        </w:rPr>
        <w:t>)</w:t>
      </w:r>
    </w:p>
    <w:p w:rsidR="005E6320" w:rsidRPr="00424A4B" w:rsidRDefault="005E6320">
      <w:pPr>
        <w:jc w:val="both"/>
        <w:rPr>
          <w:sz w:val="22"/>
          <w:szCs w:val="22"/>
          <w:lang w:val="sr-Latn-ME"/>
        </w:rPr>
      </w:pPr>
      <w:r w:rsidRPr="00424A4B">
        <w:rPr>
          <w:sz w:val="22"/>
          <w:szCs w:val="22"/>
          <w:lang w:val="sr-Latn-ME"/>
        </w:rPr>
        <w:lastRenderedPageBreak/>
        <w:t>Nepoznato (</w:t>
      </w:r>
      <w:r w:rsidR="005D2A08" w:rsidRPr="00424A4B">
        <w:rPr>
          <w:sz w:val="22"/>
          <w:szCs w:val="22"/>
          <w:lang w:val="sr-Latn-ME"/>
        </w:rPr>
        <w:t xml:space="preserve">učestalost </w:t>
      </w:r>
      <w:r w:rsidRPr="00424A4B">
        <w:rPr>
          <w:sz w:val="22"/>
          <w:szCs w:val="22"/>
          <w:lang w:val="sr-Latn-ME"/>
        </w:rPr>
        <w:t>ne može biti procijenjen</w:t>
      </w:r>
      <w:r w:rsidR="005D2A08" w:rsidRPr="00424A4B">
        <w:rPr>
          <w:sz w:val="22"/>
          <w:szCs w:val="22"/>
          <w:lang w:val="sr-Latn-ME"/>
        </w:rPr>
        <w:t>a</w:t>
      </w:r>
      <w:r w:rsidRPr="00424A4B">
        <w:rPr>
          <w:sz w:val="22"/>
          <w:szCs w:val="22"/>
          <w:lang w:val="sr-Latn-ME"/>
        </w:rPr>
        <w:t xml:space="preserve"> na osnovu raspoloživih podataka)</w:t>
      </w:r>
    </w:p>
    <w:p w:rsidR="005E6320" w:rsidRPr="00424A4B" w:rsidRDefault="005E6320" w:rsidP="0055503A">
      <w:pPr>
        <w:jc w:val="both"/>
        <w:rPr>
          <w:sz w:val="22"/>
          <w:szCs w:val="22"/>
          <w:lang w:val="sr-Latn-ME"/>
        </w:rPr>
      </w:pPr>
      <w:r w:rsidRPr="00424A4B">
        <w:rPr>
          <w:sz w:val="22"/>
          <w:szCs w:val="22"/>
          <w:lang w:val="sr-Latn-ME"/>
        </w:rPr>
        <w:t>U</w:t>
      </w:r>
      <w:r w:rsidR="005D2A08" w:rsidRPr="00424A4B">
        <w:rPr>
          <w:sz w:val="22"/>
          <w:szCs w:val="22"/>
          <w:lang w:val="sr-Latn-ME"/>
        </w:rPr>
        <w:t xml:space="preserve"> okviru</w:t>
      </w:r>
      <w:r w:rsidRPr="00424A4B">
        <w:rPr>
          <w:sz w:val="22"/>
          <w:szCs w:val="22"/>
          <w:lang w:val="sr-Latn-ME"/>
        </w:rPr>
        <w:t xml:space="preserve"> svake kategorije učestalosti i klase sistema</w:t>
      </w:r>
      <w:r w:rsidR="005D2A08" w:rsidRPr="00424A4B">
        <w:rPr>
          <w:sz w:val="22"/>
          <w:szCs w:val="22"/>
          <w:lang w:val="sr-Latn-ME"/>
        </w:rPr>
        <w:t xml:space="preserve"> organa</w:t>
      </w:r>
      <w:r w:rsidRPr="00424A4B">
        <w:rPr>
          <w:sz w:val="22"/>
          <w:szCs w:val="22"/>
          <w:lang w:val="sr-Latn-ME"/>
        </w:rPr>
        <w:t>, neželjene reakcije su prikazane prema opadajućoj ozbiljnosti.</w:t>
      </w:r>
    </w:p>
    <w:p w:rsidR="002B03CF" w:rsidRPr="00424A4B" w:rsidRDefault="002B03CF"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Najčešće neželjene reakcije lijeka (≥ 30%) prema objedinjenim podacima bile su: dijareja, alopecija, mučnina, umor, neutropenija i povraćanje. Najčešće neželjne reakcije lijeka stepena 3-4 prema NCI-CTCAE klasifikaciji (≥ 10%) bile su neutropenija i febrilna neutropenija.</w:t>
      </w:r>
    </w:p>
    <w:p w:rsidR="002B03CF" w:rsidRPr="00424A4B" w:rsidRDefault="002B03CF" w:rsidP="0055503A">
      <w:pPr>
        <w:jc w:val="both"/>
        <w:rPr>
          <w:sz w:val="22"/>
          <w:szCs w:val="22"/>
          <w:lang w:val="sr-Latn-ME"/>
        </w:rPr>
      </w:pPr>
    </w:p>
    <w:p w:rsidR="005E6320" w:rsidRPr="00424A4B" w:rsidRDefault="005E6320" w:rsidP="0055503A">
      <w:pPr>
        <w:rPr>
          <w:b/>
          <w:sz w:val="22"/>
          <w:szCs w:val="22"/>
          <w:lang w:val="sr-Latn-ME"/>
        </w:rPr>
      </w:pPr>
      <w:r w:rsidRPr="00424A4B">
        <w:rPr>
          <w:b/>
          <w:sz w:val="22"/>
          <w:szCs w:val="22"/>
          <w:lang w:val="sr-Latn-ME"/>
        </w:rPr>
        <w:t xml:space="preserve">Tabela </w:t>
      </w:r>
      <w:r w:rsidR="003B41BC" w:rsidRPr="00424A4B">
        <w:rPr>
          <w:b/>
          <w:sz w:val="22"/>
          <w:szCs w:val="22"/>
          <w:lang w:val="sr-Latn-ME"/>
        </w:rPr>
        <w:t>2</w:t>
      </w:r>
      <w:r w:rsidRPr="00424A4B">
        <w:rPr>
          <w:b/>
          <w:sz w:val="22"/>
          <w:szCs w:val="22"/>
          <w:lang w:val="sr-Latn-ME"/>
        </w:rPr>
        <w:t xml:space="preserve">: Sažetak neželjenih reakcija lijeka kod pacijenata liječenih lijekom </w:t>
      </w:r>
      <w:r w:rsidR="009C77FA" w:rsidRPr="00424A4B">
        <w:rPr>
          <w:b/>
          <w:sz w:val="22"/>
          <w:szCs w:val="22"/>
          <w:lang w:val="sr-Latn-ME"/>
        </w:rPr>
        <w:t>Perjeta</w:t>
      </w:r>
      <w:r w:rsidRPr="00424A4B">
        <w:rPr>
          <w:b/>
          <w:sz w:val="22"/>
          <w:szCs w:val="22"/>
          <w:lang w:val="sr-Latn-ME"/>
        </w:rPr>
        <w:t xml:space="preserve"> u kliničkim ispitivanjima</w:t>
      </w:r>
      <w:r w:rsidRPr="00424A4B">
        <w:rPr>
          <w:b/>
          <w:noProof/>
          <w:sz w:val="22"/>
          <w:szCs w:val="22"/>
          <w:lang w:val="sr-Latn-ME"/>
        </w:rPr>
        <w:t>^</w:t>
      </w:r>
      <w:r w:rsidRPr="00424A4B">
        <w:rPr>
          <w:b/>
          <w:sz w:val="22"/>
          <w:szCs w:val="22"/>
          <w:lang w:val="sr-Latn-ME"/>
        </w:rPr>
        <w:t xml:space="preserve"> i tokom post-marketinškog praćenja lijeka</w:t>
      </w:r>
      <w:r w:rsidRPr="00424A4B">
        <w:rPr>
          <w:rFonts w:eastAsia="SimSun"/>
          <w:color w:val="000000"/>
          <w:sz w:val="22"/>
          <w:szCs w:val="22"/>
          <w:lang w:val="sr-Latn-ME" w:eastAsia="hr-HR"/>
        </w:rPr>
        <w:t>†</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1C0" w:firstRow="0" w:lastRow="1" w:firstColumn="1" w:lastColumn="1" w:noHBand="0" w:noVBand="0"/>
      </w:tblPr>
      <w:tblGrid>
        <w:gridCol w:w="2472"/>
        <w:gridCol w:w="2347"/>
        <w:gridCol w:w="1782"/>
        <w:gridCol w:w="1228"/>
        <w:gridCol w:w="1226"/>
      </w:tblGrid>
      <w:tr w:rsidR="005E6320" w:rsidRPr="00424A4B" w:rsidTr="00B30B91">
        <w:trPr>
          <w:cantSplit/>
          <w:trHeight w:hRule="exact" w:val="519"/>
          <w:jc w:val="center"/>
        </w:trPr>
        <w:tc>
          <w:tcPr>
            <w:tcW w:w="1365" w:type="pct"/>
            <w:tcBorders>
              <w:top w:val="single" w:sz="12" w:space="0" w:color="auto"/>
              <w:left w:val="single" w:sz="12" w:space="0" w:color="auto"/>
              <w:bottom w:val="single" w:sz="12" w:space="0" w:color="auto"/>
              <w:right w:val="single" w:sz="12" w:space="0" w:color="auto"/>
            </w:tcBorders>
            <w:noWrap/>
            <w:vAlign w:val="center"/>
          </w:tcPr>
          <w:p w:rsidR="005E6320" w:rsidRPr="00424A4B" w:rsidRDefault="005D2A08" w:rsidP="005C33D8">
            <w:pPr>
              <w:rPr>
                <w:b/>
                <w:sz w:val="22"/>
                <w:szCs w:val="22"/>
                <w:lang w:val="sr-Latn-ME"/>
              </w:rPr>
            </w:pPr>
            <w:r w:rsidRPr="00424A4B">
              <w:rPr>
                <w:b/>
                <w:sz w:val="22"/>
                <w:szCs w:val="22"/>
                <w:lang w:val="sr-Latn-ME"/>
              </w:rPr>
              <w:t>S</w:t>
            </w:r>
            <w:r w:rsidR="005E6320" w:rsidRPr="00424A4B">
              <w:rPr>
                <w:b/>
                <w:sz w:val="22"/>
                <w:szCs w:val="22"/>
                <w:lang w:val="sr-Latn-ME"/>
              </w:rPr>
              <w:t>istem</w:t>
            </w:r>
            <w:r w:rsidRPr="00424A4B">
              <w:rPr>
                <w:b/>
                <w:sz w:val="22"/>
                <w:szCs w:val="22"/>
                <w:lang w:val="sr-Latn-ME"/>
              </w:rPr>
              <w:t>i organa</w:t>
            </w:r>
          </w:p>
        </w:tc>
        <w:tc>
          <w:tcPr>
            <w:tcW w:w="1296" w:type="pct"/>
            <w:tcBorders>
              <w:top w:val="single" w:sz="12" w:space="0" w:color="auto"/>
              <w:left w:val="single" w:sz="12" w:space="0" w:color="auto"/>
              <w:bottom w:val="single" w:sz="12" w:space="0" w:color="auto"/>
              <w:right w:val="single" w:sz="12" w:space="0" w:color="auto"/>
            </w:tcBorders>
            <w:noWrap/>
            <w:vAlign w:val="center"/>
          </w:tcPr>
          <w:p w:rsidR="005E6320" w:rsidRPr="00424A4B" w:rsidRDefault="005E6320" w:rsidP="00CD41AC">
            <w:pPr>
              <w:rPr>
                <w:b/>
                <w:i/>
                <w:sz w:val="22"/>
                <w:szCs w:val="22"/>
                <w:u w:val="single"/>
                <w:lang w:val="sr-Latn-ME"/>
              </w:rPr>
            </w:pPr>
            <w:r w:rsidRPr="00424A4B">
              <w:rPr>
                <w:b/>
                <w:i/>
                <w:sz w:val="22"/>
                <w:szCs w:val="22"/>
                <w:u w:val="single"/>
                <w:lang w:val="sr-Latn-ME"/>
              </w:rPr>
              <w:t>Veoma često</w:t>
            </w:r>
          </w:p>
        </w:tc>
        <w:tc>
          <w:tcPr>
            <w:tcW w:w="984" w:type="pct"/>
            <w:tcBorders>
              <w:top w:val="single" w:sz="12" w:space="0" w:color="auto"/>
              <w:left w:val="single" w:sz="12" w:space="0" w:color="auto"/>
              <w:bottom w:val="single" w:sz="12" w:space="0" w:color="auto"/>
              <w:right w:val="single" w:sz="12" w:space="0" w:color="auto"/>
            </w:tcBorders>
            <w:noWrap/>
            <w:vAlign w:val="center"/>
          </w:tcPr>
          <w:p w:rsidR="005E6320" w:rsidRPr="00424A4B" w:rsidRDefault="005E6320">
            <w:pPr>
              <w:rPr>
                <w:b/>
                <w:i/>
                <w:sz w:val="22"/>
                <w:szCs w:val="22"/>
                <w:u w:val="single"/>
                <w:lang w:val="sr-Latn-ME"/>
              </w:rPr>
            </w:pPr>
            <w:r w:rsidRPr="00424A4B">
              <w:rPr>
                <w:b/>
                <w:i/>
                <w:sz w:val="22"/>
                <w:szCs w:val="22"/>
                <w:u w:val="single"/>
                <w:lang w:val="sr-Latn-ME"/>
              </w:rPr>
              <w:t>Često</w:t>
            </w:r>
          </w:p>
        </w:tc>
        <w:tc>
          <w:tcPr>
            <w:tcW w:w="678" w:type="pct"/>
            <w:tcBorders>
              <w:top w:val="single" w:sz="12" w:space="0" w:color="auto"/>
              <w:left w:val="single" w:sz="12" w:space="0" w:color="auto"/>
              <w:bottom w:val="single" w:sz="12" w:space="0" w:color="auto"/>
              <w:right w:val="single" w:sz="12" w:space="0" w:color="auto"/>
            </w:tcBorders>
            <w:noWrap/>
            <w:vAlign w:val="center"/>
          </w:tcPr>
          <w:p w:rsidR="005E6320" w:rsidRPr="00424A4B" w:rsidRDefault="005E6320">
            <w:pPr>
              <w:rPr>
                <w:b/>
                <w:i/>
                <w:sz w:val="22"/>
                <w:szCs w:val="22"/>
                <w:u w:val="single"/>
                <w:lang w:val="sr-Latn-ME"/>
              </w:rPr>
            </w:pPr>
            <w:r w:rsidRPr="00424A4B">
              <w:rPr>
                <w:b/>
                <w:i/>
                <w:sz w:val="22"/>
                <w:szCs w:val="22"/>
                <w:u w:val="single"/>
                <w:lang w:val="sr-Latn-ME"/>
              </w:rPr>
              <w:t>Povremeno</w:t>
            </w:r>
          </w:p>
        </w:tc>
        <w:tc>
          <w:tcPr>
            <w:tcW w:w="678" w:type="pct"/>
            <w:tcBorders>
              <w:top w:val="single" w:sz="12" w:space="0" w:color="auto"/>
              <w:left w:val="single" w:sz="12" w:space="0" w:color="auto"/>
              <w:bottom w:val="single" w:sz="12" w:space="0" w:color="auto"/>
              <w:right w:val="single" w:sz="12" w:space="0" w:color="auto"/>
            </w:tcBorders>
          </w:tcPr>
          <w:p w:rsidR="005E6320" w:rsidRPr="00424A4B" w:rsidRDefault="005E6320">
            <w:pPr>
              <w:rPr>
                <w:b/>
                <w:i/>
                <w:sz w:val="22"/>
                <w:szCs w:val="22"/>
                <w:u w:val="single"/>
                <w:lang w:val="sr-Latn-ME"/>
              </w:rPr>
            </w:pPr>
            <w:r w:rsidRPr="00424A4B">
              <w:rPr>
                <w:b/>
                <w:i/>
                <w:sz w:val="22"/>
                <w:szCs w:val="22"/>
                <w:u w:val="single"/>
                <w:lang w:val="sr-Latn-ME"/>
              </w:rPr>
              <w:t>Rijetko</w:t>
            </w:r>
          </w:p>
        </w:tc>
      </w:tr>
      <w:tr w:rsidR="005E6320" w:rsidRPr="00424A4B" w:rsidTr="00B30B91">
        <w:trPr>
          <w:cantSplit/>
          <w:trHeight w:val="539"/>
          <w:jc w:val="center"/>
        </w:trPr>
        <w:tc>
          <w:tcPr>
            <w:tcW w:w="1365"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5C33D8">
            <w:pPr>
              <w:rPr>
                <w:sz w:val="22"/>
                <w:szCs w:val="22"/>
                <w:lang w:val="sr-Latn-ME"/>
              </w:rPr>
            </w:pPr>
            <w:r w:rsidRPr="00424A4B">
              <w:rPr>
                <w:sz w:val="22"/>
                <w:szCs w:val="22"/>
                <w:lang w:val="sr-Latn-ME"/>
              </w:rPr>
              <w:t>Infekcije i infestacije</w:t>
            </w:r>
          </w:p>
        </w:tc>
        <w:tc>
          <w:tcPr>
            <w:tcW w:w="1296"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CD41AC">
            <w:pPr>
              <w:rPr>
                <w:sz w:val="22"/>
                <w:szCs w:val="22"/>
                <w:lang w:val="sr-Latn-ME"/>
              </w:rPr>
            </w:pPr>
            <w:r w:rsidRPr="00424A4B">
              <w:rPr>
                <w:sz w:val="22"/>
                <w:szCs w:val="22"/>
                <w:lang w:val="sr-Latn-ME"/>
              </w:rPr>
              <w:t xml:space="preserve">nazofaringitis </w:t>
            </w:r>
          </w:p>
        </w:tc>
        <w:tc>
          <w:tcPr>
            <w:tcW w:w="984"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r w:rsidRPr="00424A4B">
              <w:rPr>
                <w:sz w:val="22"/>
                <w:szCs w:val="22"/>
                <w:lang w:val="sr-Latn-ME"/>
              </w:rPr>
              <w:t xml:space="preserve">paronihija </w:t>
            </w:r>
          </w:p>
          <w:p w:rsidR="005E6320" w:rsidRPr="00424A4B" w:rsidRDefault="005E6320">
            <w:pPr>
              <w:rPr>
                <w:sz w:val="22"/>
                <w:szCs w:val="22"/>
                <w:lang w:val="sr-Latn-ME"/>
              </w:rPr>
            </w:pPr>
            <w:r w:rsidRPr="00424A4B">
              <w:rPr>
                <w:sz w:val="22"/>
                <w:szCs w:val="22"/>
                <w:lang w:val="sr-Latn-ME"/>
              </w:rPr>
              <w:t>infekcije gornjih disajnih puteva</w:t>
            </w:r>
          </w:p>
        </w:tc>
        <w:tc>
          <w:tcPr>
            <w:tcW w:w="678"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p>
        </w:tc>
        <w:tc>
          <w:tcPr>
            <w:tcW w:w="678" w:type="pct"/>
            <w:tcBorders>
              <w:top w:val="single" w:sz="12" w:space="0" w:color="auto"/>
              <w:left w:val="single" w:sz="12" w:space="0" w:color="auto"/>
              <w:bottom w:val="single" w:sz="12" w:space="0" w:color="auto"/>
              <w:right w:val="single" w:sz="12" w:space="0" w:color="auto"/>
            </w:tcBorders>
          </w:tcPr>
          <w:p w:rsidR="005E6320" w:rsidRPr="00424A4B" w:rsidRDefault="005E6320">
            <w:pPr>
              <w:rPr>
                <w:sz w:val="22"/>
                <w:szCs w:val="22"/>
                <w:lang w:val="sr-Latn-ME"/>
              </w:rPr>
            </w:pPr>
          </w:p>
        </w:tc>
      </w:tr>
      <w:tr w:rsidR="005E6320" w:rsidRPr="00424A4B" w:rsidTr="00B30B91">
        <w:trPr>
          <w:cantSplit/>
          <w:trHeight w:val="541"/>
          <w:jc w:val="center"/>
        </w:trPr>
        <w:tc>
          <w:tcPr>
            <w:tcW w:w="1365"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5C33D8">
            <w:pPr>
              <w:rPr>
                <w:sz w:val="22"/>
                <w:szCs w:val="22"/>
                <w:lang w:val="sr-Latn-ME"/>
              </w:rPr>
            </w:pPr>
            <w:r w:rsidRPr="00424A4B">
              <w:rPr>
                <w:sz w:val="22"/>
                <w:szCs w:val="22"/>
                <w:lang w:val="sr-Latn-ME"/>
              </w:rPr>
              <w:t>Poremećaji na nivou krvi i limfnog</w:t>
            </w:r>
          </w:p>
          <w:p w:rsidR="005E6320" w:rsidRPr="00424A4B" w:rsidRDefault="005E6320" w:rsidP="00CD41AC">
            <w:pPr>
              <w:rPr>
                <w:sz w:val="22"/>
                <w:szCs w:val="22"/>
                <w:lang w:val="sr-Latn-ME"/>
              </w:rPr>
            </w:pPr>
            <w:r w:rsidRPr="00424A4B">
              <w:rPr>
                <w:sz w:val="22"/>
                <w:szCs w:val="22"/>
                <w:lang w:val="sr-Latn-ME"/>
              </w:rPr>
              <w:t>sistema</w:t>
            </w:r>
          </w:p>
        </w:tc>
        <w:tc>
          <w:tcPr>
            <w:tcW w:w="1296"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r w:rsidRPr="00424A4B">
              <w:rPr>
                <w:sz w:val="22"/>
                <w:szCs w:val="22"/>
                <w:lang w:val="sr-Latn-ME"/>
              </w:rPr>
              <w:t>febrilna neutropenija*</w:t>
            </w:r>
          </w:p>
          <w:p w:rsidR="005E6320" w:rsidRPr="00424A4B" w:rsidRDefault="005E6320">
            <w:pPr>
              <w:rPr>
                <w:sz w:val="22"/>
                <w:szCs w:val="22"/>
                <w:lang w:val="sr-Latn-ME"/>
              </w:rPr>
            </w:pPr>
            <w:r w:rsidRPr="00424A4B">
              <w:rPr>
                <w:sz w:val="22"/>
                <w:szCs w:val="22"/>
                <w:lang w:val="sr-Latn-ME"/>
              </w:rPr>
              <w:t xml:space="preserve">neutropenija </w:t>
            </w:r>
          </w:p>
          <w:p w:rsidR="005E6320" w:rsidRPr="00424A4B" w:rsidRDefault="005E6320">
            <w:pPr>
              <w:rPr>
                <w:sz w:val="22"/>
                <w:szCs w:val="22"/>
                <w:lang w:val="sr-Latn-ME"/>
              </w:rPr>
            </w:pPr>
            <w:r w:rsidRPr="00424A4B">
              <w:rPr>
                <w:sz w:val="22"/>
                <w:szCs w:val="22"/>
                <w:lang w:val="sr-Latn-ME"/>
              </w:rPr>
              <w:t xml:space="preserve">leukopenija </w:t>
            </w:r>
          </w:p>
          <w:p w:rsidR="005E6320" w:rsidRPr="00424A4B" w:rsidRDefault="005E6320">
            <w:pPr>
              <w:rPr>
                <w:sz w:val="22"/>
                <w:szCs w:val="22"/>
                <w:lang w:val="sr-Latn-ME"/>
              </w:rPr>
            </w:pPr>
            <w:r w:rsidRPr="00424A4B">
              <w:rPr>
                <w:sz w:val="22"/>
                <w:szCs w:val="22"/>
                <w:lang w:val="sr-Latn-ME"/>
              </w:rPr>
              <w:t>anemija</w:t>
            </w:r>
          </w:p>
        </w:tc>
        <w:tc>
          <w:tcPr>
            <w:tcW w:w="984"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p>
        </w:tc>
        <w:tc>
          <w:tcPr>
            <w:tcW w:w="678"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p>
        </w:tc>
        <w:tc>
          <w:tcPr>
            <w:tcW w:w="678" w:type="pct"/>
            <w:tcBorders>
              <w:top w:val="single" w:sz="12" w:space="0" w:color="auto"/>
              <w:left w:val="single" w:sz="12" w:space="0" w:color="auto"/>
              <w:bottom w:val="single" w:sz="12" w:space="0" w:color="auto"/>
              <w:right w:val="single" w:sz="12" w:space="0" w:color="auto"/>
            </w:tcBorders>
          </w:tcPr>
          <w:p w:rsidR="005E6320" w:rsidRPr="00424A4B" w:rsidRDefault="005E6320">
            <w:pPr>
              <w:rPr>
                <w:sz w:val="22"/>
                <w:szCs w:val="22"/>
                <w:lang w:val="sr-Latn-ME"/>
              </w:rPr>
            </w:pPr>
          </w:p>
        </w:tc>
      </w:tr>
      <w:tr w:rsidR="005E6320" w:rsidRPr="00424A4B" w:rsidTr="00B30B91">
        <w:trPr>
          <w:cantSplit/>
          <w:trHeight w:val="541"/>
          <w:jc w:val="center"/>
        </w:trPr>
        <w:tc>
          <w:tcPr>
            <w:tcW w:w="1365"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5C33D8">
            <w:pPr>
              <w:rPr>
                <w:sz w:val="22"/>
                <w:szCs w:val="22"/>
                <w:lang w:val="sr-Latn-ME"/>
              </w:rPr>
            </w:pPr>
            <w:r w:rsidRPr="00424A4B">
              <w:rPr>
                <w:sz w:val="22"/>
                <w:szCs w:val="22"/>
                <w:lang w:val="sr-Latn-ME"/>
              </w:rPr>
              <w:t>Poremećaji imunološkog sisitema</w:t>
            </w:r>
          </w:p>
        </w:tc>
        <w:tc>
          <w:tcPr>
            <w:tcW w:w="1296"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CD41AC">
            <w:pPr>
              <w:rPr>
                <w:sz w:val="22"/>
                <w:szCs w:val="22"/>
                <w:lang w:val="sr-Latn-ME"/>
              </w:rPr>
            </w:pPr>
            <w:r w:rsidRPr="00424A4B">
              <w:rPr>
                <w:sz w:val="22"/>
                <w:szCs w:val="22"/>
                <w:lang w:val="sr-Latn-ME"/>
              </w:rPr>
              <w:t>reakcija na infuziju</w:t>
            </w:r>
            <w:r w:rsidR="003B41BC" w:rsidRPr="00424A4B">
              <w:rPr>
                <w:noProof/>
                <w:sz w:val="22"/>
                <w:szCs w:val="22"/>
                <w:lang w:val="sr-Latn-ME"/>
              </w:rPr>
              <w:t>°°, *</w:t>
            </w:r>
          </w:p>
        </w:tc>
        <w:tc>
          <w:tcPr>
            <w:tcW w:w="984"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r w:rsidRPr="00424A4B">
              <w:rPr>
                <w:sz w:val="22"/>
                <w:szCs w:val="22"/>
                <w:lang w:val="sr-Latn-ME"/>
              </w:rPr>
              <w:t>preosjetljivost</w:t>
            </w:r>
            <w:r w:rsidR="003B41BC" w:rsidRPr="00424A4B">
              <w:rPr>
                <w:noProof/>
                <w:sz w:val="22"/>
                <w:szCs w:val="22"/>
                <w:lang w:val="sr-Latn-ME"/>
              </w:rPr>
              <w:t>°, *</w:t>
            </w:r>
          </w:p>
          <w:p w:rsidR="005E6320" w:rsidRPr="00424A4B" w:rsidRDefault="005E6320">
            <w:pPr>
              <w:rPr>
                <w:sz w:val="22"/>
                <w:szCs w:val="22"/>
                <w:lang w:val="sr-Latn-ME"/>
              </w:rPr>
            </w:pPr>
            <w:r w:rsidRPr="00424A4B">
              <w:rPr>
                <w:sz w:val="22"/>
                <w:szCs w:val="22"/>
                <w:lang w:val="sr-Latn-ME"/>
              </w:rPr>
              <w:t>preosjetljivost na lijek</w:t>
            </w:r>
            <w:r w:rsidR="003B41BC" w:rsidRPr="00424A4B">
              <w:rPr>
                <w:noProof/>
                <w:sz w:val="22"/>
                <w:szCs w:val="22"/>
                <w:lang w:val="sr-Latn-ME"/>
              </w:rPr>
              <w:t>°, *</w:t>
            </w:r>
          </w:p>
        </w:tc>
        <w:tc>
          <w:tcPr>
            <w:tcW w:w="678"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r w:rsidRPr="00424A4B">
              <w:rPr>
                <w:sz w:val="22"/>
                <w:szCs w:val="22"/>
                <w:lang w:val="sr-Latn-ME"/>
              </w:rPr>
              <w:t>anafilaktička reakcija</w:t>
            </w:r>
            <w:r w:rsidR="003B41BC" w:rsidRPr="00424A4B">
              <w:rPr>
                <w:noProof/>
                <w:sz w:val="22"/>
                <w:szCs w:val="22"/>
                <w:lang w:val="sr-Latn-ME"/>
              </w:rPr>
              <w:t>°,*</w:t>
            </w:r>
          </w:p>
        </w:tc>
        <w:tc>
          <w:tcPr>
            <w:tcW w:w="678" w:type="pct"/>
            <w:tcBorders>
              <w:top w:val="single" w:sz="12" w:space="0" w:color="auto"/>
              <w:left w:val="single" w:sz="12" w:space="0" w:color="auto"/>
              <w:bottom w:val="single" w:sz="12" w:space="0" w:color="auto"/>
              <w:right w:val="single" w:sz="12" w:space="0" w:color="auto"/>
            </w:tcBorders>
          </w:tcPr>
          <w:p w:rsidR="005E6320" w:rsidRPr="00424A4B" w:rsidRDefault="005E6320">
            <w:pPr>
              <w:rPr>
                <w:sz w:val="22"/>
                <w:szCs w:val="22"/>
                <w:lang w:val="sr-Latn-ME"/>
              </w:rPr>
            </w:pPr>
            <w:r w:rsidRPr="00424A4B">
              <w:rPr>
                <w:sz w:val="22"/>
                <w:szCs w:val="22"/>
                <w:lang w:val="sr-Latn-ME"/>
              </w:rPr>
              <w:t>sindrom oslobađanja citokina</w:t>
            </w:r>
            <w:r w:rsidR="003B41BC" w:rsidRPr="00424A4B">
              <w:rPr>
                <w:noProof/>
                <w:sz w:val="22"/>
                <w:szCs w:val="22"/>
                <w:lang w:val="sr-Latn-ME"/>
              </w:rPr>
              <w:t>°°</w:t>
            </w:r>
          </w:p>
        </w:tc>
      </w:tr>
      <w:tr w:rsidR="005E6320" w:rsidRPr="00424A4B" w:rsidTr="00B30B91">
        <w:trPr>
          <w:cantSplit/>
          <w:trHeight w:val="337"/>
          <w:jc w:val="center"/>
        </w:trPr>
        <w:tc>
          <w:tcPr>
            <w:tcW w:w="1365"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5C33D8">
            <w:pPr>
              <w:rPr>
                <w:sz w:val="22"/>
                <w:szCs w:val="22"/>
                <w:lang w:val="sr-Latn-ME"/>
              </w:rPr>
            </w:pPr>
            <w:r w:rsidRPr="00424A4B">
              <w:rPr>
                <w:sz w:val="22"/>
                <w:szCs w:val="22"/>
                <w:lang w:val="sr-Latn-ME"/>
              </w:rPr>
              <w:t xml:space="preserve">Poremećaji metabolizma i ishrane </w:t>
            </w:r>
          </w:p>
        </w:tc>
        <w:tc>
          <w:tcPr>
            <w:tcW w:w="1296"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CD41AC">
            <w:pPr>
              <w:rPr>
                <w:sz w:val="22"/>
                <w:szCs w:val="22"/>
                <w:lang w:val="sr-Latn-ME"/>
              </w:rPr>
            </w:pPr>
            <w:r w:rsidRPr="00424A4B">
              <w:rPr>
                <w:sz w:val="22"/>
                <w:szCs w:val="22"/>
                <w:lang w:val="sr-Latn-ME"/>
              </w:rPr>
              <w:t xml:space="preserve">smanjen apetit </w:t>
            </w:r>
          </w:p>
        </w:tc>
        <w:tc>
          <w:tcPr>
            <w:tcW w:w="984"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p>
        </w:tc>
        <w:tc>
          <w:tcPr>
            <w:tcW w:w="678"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p>
        </w:tc>
        <w:tc>
          <w:tcPr>
            <w:tcW w:w="678" w:type="pct"/>
            <w:tcBorders>
              <w:top w:val="single" w:sz="12" w:space="0" w:color="auto"/>
              <w:left w:val="single" w:sz="12" w:space="0" w:color="auto"/>
              <w:bottom w:val="single" w:sz="12" w:space="0" w:color="auto"/>
              <w:right w:val="single" w:sz="12" w:space="0" w:color="auto"/>
            </w:tcBorders>
          </w:tcPr>
          <w:p w:rsidR="005E6320" w:rsidRPr="00424A4B" w:rsidRDefault="005E6320">
            <w:pPr>
              <w:rPr>
                <w:sz w:val="22"/>
                <w:szCs w:val="22"/>
                <w:lang w:val="sr-Latn-ME"/>
              </w:rPr>
            </w:pPr>
            <w:r w:rsidRPr="00424A4B">
              <w:rPr>
                <w:sz w:val="22"/>
                <w:szCs w:val="22"/>
                <w:lang w:val="sr-Latn-ME"/>
              </w:rPr>
              <w:t>Sindrom lize tumora</w:t>
            </w:r>
            <w:r w:rsidR="003B41BC" w:rsidRPr="00424A4B">
              <w:rPr>
                <w:noProof/>
                <w:sz w:val="22"/>
                <w:szCs w:val="22"/>
                <w:lang w:val="sr-Latn-ME"/>
              </w:rPr>
              <w:t>†</w:t>
            </w:r>
          </w:p>
        </w:tc>
      </w:tr>
      <w:tr w:rsidR="005E6320" w:rsidRPr="00424A4B" w:rsidTr="00B30B91">
        <w:trPr>
          <w:cantSplit/>
          <w:trHeight w:val="311"/>
          <w:jc w:val="center"/>
        </w:trPr>
        <w:tc>
          <w:tcPr>
            <w:tcW w:w="1365"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5C33D8">
            <w:pPr>
              <w:rPr>
                <w:sz w:val="22"/>
                <w:szCs w:val="22"/>
                <w:lang w:val="sr-Latn-ME"/>
              </w:rPr>
            </w:pPr>
            <w:r w:rsidRPr="00424A4B">
              <w:rPr>
                <w:sz w:val="22"/>
                <w:szCs w:val="22"/>
                <w:lang w:val="sr-Latn-ME"/>
              </w:rPr>
              <w:t>Psihijatrijski poremećaji</w:t>
            </w:r>
          </w:p>
        </w:tc>
        <w:tc>
          <w:tcPr>
            <w:tcW w:w="1296"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CD41AC">
            <w:pPr>
              <w:rPr>
                <w:sz w:val="22"/>
                <w:szCs w:val="22"/>
                <w:lang w:val="sr-Latn-ME"/>
              </w:rPr>
            </w:pPr>
            <w:r w:rsidRPr="00424A4B">
              <w:rPr>
                <w:sz w:val="22"/>
                <w:szCs w:val="22"/>
                <w:lang w:val="sr-Latn-ME"/>
              </w:rPr>
              <w:t xml:space="preserve">nesanica </w:t>
            </w:r>
          </w:p>
        </w:tc>
        <w:tc>
          <w:tcPr>
            <w:tcW w:w="984"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p>
        </w:tc>
        <w:tc>
          <w:tcPr>
            <w:tcW w:w="678"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p>
        </w:tc>
        <w:tc>
          <w:tcPr>
            <w:tcW w:w="678" w:type="pct"/>
            <w:tcBorders>
              <w:top w:val="single" w:sz="12" w:space="0" w:color="auto"/>
              <w:left w:val="single" w:sz="12" w:space="0" w:color="auto"/>
              <w:bottom w:val="single" w:sz="12" w:space="0" w:color="auto"/>
              <w:right w:val="single" w:sz="12" w:space="0" w:color="auto"/>
            </w:tcBorders>
          </w:tcPr>
          <w:p w:rsidR="005E6320" w:rsidRPr="00424A4B" w:rsidRDefault="005E6320">
            <w:pPr>
              <w:rPr>
                <w:sz w:val="22"/>
                <w:szCs w:val="22"/>
                <w:lang w:val="sr-Latn-ME"/>
              </w:rPr>
            </w:pPr>
          </w:p>
        </w:tc>
      </w:tr>
      <w:tr w:rsidR="005E6320" w:rsidRPr="00424A4B" w:rsidTr="00B30B91">
        <w:trPr>
          <w:cantSplit/>
          <w:trHeight w:val="261"/>
          <w:jc w:val="center"/>
        </w:trPr>
        <w:tc>
          <w:tcPr>
            <w:tcW w:w="1365"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5C33D8">
            <w:pPr>
              <w:rPr>
                <w:sz w:val="22"/>
                <w:szCs w:val="22"/>
                <w:lang w:val="sr-Latn-ME"/>
              </w:rPr>
            </w:pPr>
            <w:r w:rsidRPr="00424A4B">
              <w:rPr>
                <w:sz w:val="22"/>
                <w:szCs w:val="22"/>
                <w:lang w:val="sr-Latn-ME"/>
              </w:rPr>
              <w:t xml:space="preserve">Poremećaji nervnog sistema </w:t>
            </w:r>
          </w:p>
        </w:tc>
        <w:tc>
          <w:tcPr>
            <w:tcW w:w="1296"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CD41AC">
            <w:pPr>
              <w:rPr>
                <w:sz w:val="22"/>
                <w:szCs w:val="22"/>
                <w:lang w:val="sr-Latn-ME"/>
              </w:rPr>
            </w:pPr>
            <w:r w:rsidRPr="00424A4B">
              <w:rPr>
                <w:sz w:val="22"/>
                <w:szCs w:val="22"/>
                <w:lang w:val="sr-Latn-ME"/>
              </w:rPr>
              <w:t>periferna neuropatija</w:t>
            </w:r>
          </w:p>
          <w:p w:rsidR="005E6320" w:rsidRPr="00424A4B" w:rsidRDefault="005E6320">
            <w:pPr>
              <w:rPr>
                <w:sz w:val="22"/>
                <w:szCs w:val="22"/>
                <w:lang w:val="sr-Latn-ME"/>
              </w:rPr>
            </w:pPr>
            <w:r w:rsidRPr="00424A4B">
              <w:rPr>
                <w:sz w:val="22"/>
                <w:szCs w:val="22"/>
                <w:lang w:val="sr-Latn-ME"/>
              </w:rPr>
              <w:t xml:space="preserve">glavobolja </w:t>
            </w:r>
          </w:p>
          <w:p w:rsidR="005E6320" w:rsidRPr="00424A4B" w:rsidRDefault="005E6320">
            <w:pPr>
              <w:rPr>
                <w:sz w:val="22"/>
                <w:szCs w:val="22"/>
                <w:lang w:val="sr-Latn-ME"/>
              </w:rPr>
            </w:pPr>
            <w:r w:rsidRPr="00424A4B">
              <w:rPr>
                <w:sz w:val="22"/>
                <w:szCs w:val="22"/>
                <w:lang w:val="sr-Latn-ME"/>
              </w:rPr>
              <w:t>disgeuzija</w:t>
            </w:r>
          </w:p>
          <w:p w:rsidR="005E6320" w:rsidRPr="00424A4B" w:rsidRDefault="005E6320">
            <w:pPr>
              <w:rPr>
                <w:sz w:val="22"/>
                <w:szCs w:val="22"/>
                <w:lang w:val="sr-Latn-ME"/>
              </w:rPr>
            </w:pPr>
            <w:r w:rsidRPr="00424A4B">
              <w:rPr>
                <w:sz w:val="22"/>
                <w:szCs w:val="22"/>
                <w:lang w:val="sr-Latn-ME"/>
              </w:rPr>
              <w:t>periferna senzorna neuropatija</w:t>
            </w:r>
          </w:p>
          <w:p w:rsidR="005E6320" w:rsidRPr="00424A4B" w:rsidRDefault="005E6320">
            <w:pPr>
              <w:rPr>
                <w:sz w:val="22"/>
                <w:szCs w:val="22"/>
                <w:lang w:val="sr-Latn-ME"/>
              </w:rPr>
            </w:pPr>
            <w:r w:rsidRPr="00424A4B">
              <w:rPr>
                <w:sz w:val="22"/>
                <w:szCs w:val="22"/>
                <w:lang w:val="sr-Latn-ME"/>
              </w:rPr>
              <w:t>vrtoglavica</w:t>
            </w:r>
          </w:p>
          <w:p w:rsidR="005E6320" w:rsidRPr="00424A4B" w:rsidRDefault="005E6320">
            <w:pPr>
              <w:rPr>
                <w:sz w:val="22"/>
                <w:szCs w:val="22"/>
                <w:lang w:val="sr-Latn-ME"/>
              </w:rPr>
            </w:pPr>
            <w:r w:rsidRPr="00424A4B">
              <w:rPr>
                <w:sz w:val="22"/>
                <w:szCs w:val="22"/>
                <w:lang w:val="sr-Latn-ME"/>
              </w:rPr>
              <w:t>parestezija</w:t>
            </w:r>
          </w:p>
        </w:tc>
        <w:tc>
          <w:tcPr>
            <w:tcW w:w="984"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p>
          <w:p w:rsidR="005E6320" w:rsidRPr="00424A4B" w:rsidRDefault="005E6320">
            <w:pPr>
              <w:rPr>
                <w:sz w:val="22"/>
                <w:szCs w:val="22"/>
                <w:lang w:val="sr-Latn-ME"/>
              </w:rPr>
            </w:pPr>
          </w:p>
        </w:tc>
        <w:tc>
          <w:tcPr>
            <w:tcW w:w="678"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r w:rsidRPr="00424A4B">
              <w:rPr>
                <w:sz w:val="22"/>
                <w:szCs w:val="22"/>
                <w:lang w:val="sr-Latn-ME"/>
              </w:rPr>
              <w:t xml:space="preserve"> </w:t>
            </w:r>
          </w:p>
        </w:tc>
        <w:tc>
          <w:tcPr>
            <w:tcW w:w="678" w:type="pct"/>
            <w:tcBorders>
              <w:top w:val="single" w:sz="12" w:space="0" w:color="auto"/>
              <w:left w:val="single" w:sz="12" w:space="0" w:color="auto"/>
              <w:bottom w:val="single" w:sz="12" w:space="0" w:color="auto"/>
              <w:right w:val="single" w:sz="12" w:space="0" w:color="auto"/>
            </w:tcBorders>
          </w:tcPr>
          <w:p w:rsidR="005E6320" w:rsidRPr="00424A4B" w:rsidRDefault="005E6320">
            <w:pPr>
              <w:rPr>
                <w:sz w:val="22"/>
                <w:szCs w:val="22"/>
                <w:lang w:val="sr-Latn-ME"/>
              </w:rPr>
            </w:pPr>
          </w:p>
        </w:tc>
      </w:tr>
      <w:tr w:rsidR="005E6320" w:rsidRPr="00424A4B" w:rsidTr="00B30B91">
        <w:trPr>
          <w:cantSplit/>
          <w:trHeight w:val="364"/>
          <w:jc w:val="center"/>
        </w:trPr>
        <w:tc>
          <w:tcPr>
            <w:tcW w:w="1365"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5C33D8">
            <w:pPr>
              <w:rPr>
                <w:sz w:val="22"/>
                <w:szCs w:val="22"/>
                <w:lang w:val="sr-Latn-ME"/>
              </w:rPr>
            </w:pPr>
            <w:r w:rsidRPr="00424A4B">
              <w:rPr>
                <w:sz w:val="22"/>
                <w:szCs w:val="22"/>
                <w:lang w:val="sr-Latn-ME"/>
              </w:rPr>
              <w:t>Poremećaji oka</w:t>
            </w:r>
          </w:p>
        </w:tc>
        <w:tc>
          <w:tcPr>
            <w:tcW w:w="1296"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CD41AC">
            <w:pPr>
              <w:rPr>
                <w:sz w:val="22"/>
                <w:szCs w:val="22"/>
                <w:lang w:val="sr-Latn-ME"/>
              </w:rPr>
            </w:pPr>
            <w:r w:rsidRPr="00424A4B">
              <w:rPr>
                <w:sz w:val="22"/>
                <w:szCs w:val="22"/>
                <w:lang w:val="sr-Latn-ME"/>
              </w:rPr>
              <w:t>pojačano suzenje</w:t>
            </w:r>
          </w:p>
        </w:tc>
        <w:tc>
          <w:tcPr>
            <w:tcW w:w="984"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p>
        </w:tc>
        <w:tc>
          <w:tcPr>
            <w:tcW w:w="678"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p>
        </w:tc>
        <w:tc>
          <w:tcPr>
            <w:tcW w:w="678" w:type="pct"/>
            <w:tcBorders>
              <w:top w:val="single" w:sz="12" w:space="0" w:color="auto"/>
              <w:left w:val="single" w:sz="12" w:space="0" w:color="auto"/>
              <w:bottom w:val="single" w:sz="12" w:space="0" w:color="auto"/>
              <w:right w:val="single" w:sz="12" w:space="0" w:color="auto"/>
            </w:tcBorders>
          </w:tcPr>
          <w:p w:rsidR="005E6320" w:rsidRPr="00424A4B" w:rsidRDefault="005E6320">
            <w:pPr>
              <w:rPr>
                <w:sz w:val="22"/>
                <w:szCs w:val="22"/>
                <w:lang w:val="sr-Latn-ME"/>
              </w:rPr>
            </w:pPr>
          </w:p>
        </w:tc>
      </w:tr>
      <w:tr w:rsidR="005E6320" w:rsidRPr="00424A4B" w:rsidTr="00B30B91">
        <w:trPr>
          <w:cantSplit/>
          <w:trHeight w:val="364"/>
          <w:jc w:val="center"/>
        </w:trPr>
        <w:tc>
          <w:tcPr>
            <w:tcW w:w="1365"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5C33D8">
            <w:pPr>
              <w:rPr>
                <w:sz w:val="22"/>
                <w:szCs w:val="22"/>
                <w:lang w:val="sr-Latn-ME"/>
              </w:rPr>
            </w:pPr>
            <w:r w:rsidRPr="00424A4B">
              <w:rPr>
                <w:sz w:val="22"/>
                <w:szCs w:val="22"/>
                <w:lang w:val="sr-Latn-ME"/>
              </w:rPr>
              <w:t>Srčani poremećaji</w:t>
            </w:r>
          </w:p>
          <w:p w:rsidR="005E6320" w:rsidRPr="00424A4B" w:rsidRDefault="005E6320" w:rsidP="00CD41AC">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tc>
        <w:tc>
          <w:tcPr>
            <w:tcW w:w="1296"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p>
        </w:tc>
        <w:tc>
          <w:tcPr>
            <w:tcW w:w="984"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r w:rsidRPr="00424A4B">
              <w:rPr>
                <w:sz w:val="22"/>
                <w:szCs w:val="22"/>
                <w:lang w:val="sr-Latn-ME"/>
              </w:rPr>
              <w:t xml:space="preserve">Disfunkcija lijeve komore** </w:t>
            </w:r>
          </w:p>
          <w:p w:rsidR="005E6320" w:rsidRPr="00424A4B" w:rsidRDefault="005E6320">
            <w:pPr>
              <w:rPr>
                <w:sz w:val="22"/>
                <w:szCs w:val="22"/>
                <w:lang w:val="sr-Latn-ME"/>
              </w:rPr>
            </w:pPr>
          </w:p>
        </w:tc>
        <w:tc>
          <w:tcPr>
            <w:tcW w:w="678"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r w:rsidRPr="00424A4B">
              <w:rPr>
                <w:sz w:val="22"/>
                <w:szCs w:val="22"/>
                <w:lang w:val="sr-Latn-ME"/>
              </w:rPr>
              <w:t>kongestivna srčana insuficijencija**</w:t>
            </w:r>
          </w:p>
        </w:tc>
        <w:tc>
          <w:tcPr>
            <w:tcW w:w="678" w:type="pct"/>
            <w:tcBorders>
              <w:top w:val="single" w:sz="12" w:space="0" w:color="auto"/>
              <w:left w:val="single" w:sz="12" w:space="0" w:color="auto"/>
              <w:bottom w:val="single" w:sz="12" w:space="0" w:color="auto"/>
              <w:right w:val="single" w:sz="12" w:space="0" w:color="auto"/>
            </w:tcBorders>
          </w:tcPr>
          <w:p w:rsidR="005E6320" w:rsidRPr="00424A4B" w:rsidRDefault="005E6320">
            <w:pPr>
              <w:rPr>
                <w:sz w:val="22"/>
                <w:szCs w:val="22"/>
                <w:lang w:val="sr-Latn-ME"/>
              </w:rPr>
            </w:pPr>
          </w:p>
        </w:tc>
      </w:tr>
      <w:tr w:rsidR="005E6320" w:rsidRPr="00424A4B" w:rsidTr="00B30B91">
        <w:trPr>
          <w:cantSplit/>
          <w:trHeight w:val="364"/>
          <w:jc w:val="center"/>
        </w:trPr>
        <w:tc>
          <w:tcPr>
            <w:tcW w:w="1365"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5C33D8">
            <w:pPr>
              <w:rPr>
                <w:sz w:val="22"/>
                <w:szCs w:val="22"/>
                <w:lang w:val="sr-Latn-ME"/>
              </w:rPr>
            </w:pPr>
            <w:r w:rsidRPr="00424A4B">
              <w:rPr>
                <w:sz w:val="22"/>
                <w:szCs w:val="22"/>
                <w:lang w:val="sr-Latn-ME"/>
              </w:rPr>
              <w:t>Poremećaji krvnih sudova</w:t>
            </w:r>
          </w:p>
        </w:tc>
        <w:tc>
          <w:tcPr>
            <w:tcW w:w="1296"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CD41AC">
            <w:pPr>
              <w:rPr>
                <w:sz w:val="22"/>
                <w:szCs w:val="22"/>
                <w:lang w:val="sr-Latn-ME"/>
              </w:rPr>
            </w:pPr>
            <w:r w:rsidRPr="00424A4B">
              <w:rPr>
                <w:sz w:val="22"/>
                <w:szCs w:val="22"/>
                <w:lang w:val="sr-Latn-ME"/>
              </w:rPr>
              <w:t>valunzi</w:t>
            </w:r>
          </w:p>
        </w:tc>
        <w:tc>
          <w:tcPr>
            <w:tcW w:w="984"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p>
        </w:tc>
        <w:tc>
          <w:tcPr>
            <w:tcW w:w="678"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p>
        </w:tc>
        <w:tc>
          <w:tcPr>
            <w:tcW w:w="678" w:type="pct"/>
            <w:tcBorders>
              <w:top w:val="single" w:sz="12" w:space="0" w:color="auto"/>
              <w:left w:val="single" w:sz="12" w:space="0" w:color="auto"/>
              <w:bottom w:val="single" w:sz="12" w:space="0" w:color="auto"/>
              <w:right w:val="single" w:sz="12" w:space="0" w:color="auto"/>
            </w:tcBorders>
          </w:tcPr>
          <w:p w:rsidR="005E6320" w:rsidRPr="00424A4B" w:rsidRDefault="005E6320">
            <w:pPr>
              <w:rPr>
                <w:sz w:val="22"/>
                <w:szCs w:val="22"/>
                <w:lang w:val="sr-Latn-ME"/>
              </w:rPr>
            </w:pPr>
          </w:p>
        </w:tc>
      </w:tr>
      <w:tr w:rsidR="005E6320" w:rsidRPr="00424A4B" w:rsidTr="00B30B91">
        <w:trPr>
          <w:cantSplit/>
          <w:trHeight w:val="364"/>
          <w:jc w:val="center"/>
        </w:trPr>
        <w:tc>
          <w:tcPr>
            <w:tcW w:w="1365"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5C33D8">
            <w:pPr>
              <w:rPr>
                <w:sz w:val="22"/>
                <w:szCs w:val="22"/>
                <w:lang w:val="sr-Latn-ME"/>
              </w:rPr>
            </w:pPr>
            <w:r w:rsidRPr="00424A4B">
              <w:rPr>
                <w:sz w:val="22"/>
                <w:szCs w:val="22"/>
                <w:lang w:val="sr-Latn-ME"/>
              </w:rPr>
              <w:t>Respiratorni, torakalni i medijastinalni poremećaji</w:t>
            </w:r>
          </w:p>
          <w:p w:rsidR="005E6320" w:rsidRPr="00424A4B" w:rsidRDefault="005E6320" w:rsidP="00CD41AC">
            <w:pPr>
              <w:rPr>
                <w:sz w:val="22"/>
                <w:szCs w:val="22"/>
                <w:lang w:val="sr-Latn-ME"/>
              </w:rPr>
            </w:pPr>
          </w:p>
        </w:tc>
        <w:tc>
          <w:tcPr>
            <w:tcW w:w="1296"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r w:rsidRPr="00424A4B">
              <w:rPr>
                <w:sz w:val="22"/>
                <w:szCs w:val="22"/>
                <w:lang w:val="sr-Latn-ME"/>
              </w:rPr>
              <w:t xml:space="preserve">kašalj </w:t>
            </w:r>
          </w:p>
          <w:p w:rsidR="005E6320" w:rsidRPr="00424A4B" w:rsidRDefault="005E6320">
            <w:pPr>
              <w:rPr>
                <w:sz w:val="22"/>
                <w:szCs w:val="22"/>
                <w:lang w:val="sr-Latn-ME"/>
              </w:rPr>
            </w:pPr>
            <w:r w:rsidRPr="00424A4B">
              <w:rPr>
                <w:sz w:val="22"/>
                <w:szCs w:val="22"/>
                <w:lang w:val="sr-Latn-ME"/>
              </w:rPr>
              <w:t>epistaksa</w:t>
            </w:r>
          </w:p>
          <w:p w:rsidR="005E6320" w:rsidRPr="00424A4B" w:rsidRDefault="005E6320">
            <w:pPr>
              <w:rPr>
                <w:sz w:val="22"/>
                <w:szCs w:val="22"/>
                <w:lang w:val="sr-Latn-ME"/>
              </w:rPr>
            </w:pPr>
            <w:r w:rsidRPr="00424A4B">
              <w:rPr>
                <w:sz w:val="22"/>
                <w:szCs w:val="22"/>
                <w:lang w:val="sr-Latn-ME"/>
              </w:rPr>
              <w:t>dispneja</w:t>
            </w:r>
          </w:p>
        </w:tc>
        <w:tc>
          <w:tcPr>
            <w:tcW w:w="984"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p>
          <w:p w:rsidR="005E6320" w:rsidRPr="00424A4B" w:rsidRDefault="005E6320">
            <w:pPr>
              <w:rPr>
                <w:sz w:val="22"/>
                <w:szCs w:val="22"/>
                <w:lang w:val="sr-Latn-ME"/>
              </w:rPr>
            </w:pPr>
          </w:p>
        </w:tc>
        <w:tc>
          <w:tcPr>
            <w:tcW w:w="678"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r w:rsidRPr="00424A4B">
              <w:rPr>
                <w:sz w:val="22"/>
                <w:szCs w:val="22"/>
                <w:lang w:val="sr-Latn-ME"/>
              </w:rPr>
              <w:t>interstici</w:t>
            </w:r>
            <w:r w:rsidR="003C6872" w:rsidRPr="00424A4B">
              <w:rPr>
                <w:sz w:val="22"/>
                <w:szCs w:val="22"/>
                <w:lang w:val="sr-Latn-ME"/>
              </w:rPr>
              <w:t>jalna</w:t>
            </w:r>
            <w:r w:rsidRPr="00424A4B">
              <w:rPr>
                <w:sz w:val="22"/>
                <w:szCs w:val="22"/>
                <w:lang w:val="sr-Latn-ME"/>
              </w:rPr>
              <w:t xml:space="preserve"> bolest pluća, pleuralni izliv</w:t>
            </w:r>
          </w:p>
        </w:tc>
        <w:tc>
          <w:tcPr>
            <w:tcW w:w="678" w:type="pct"/>
            <w:tcBorders>
              <w:top w:val="single" w:sz="12" w:space="0" w:color="auto"/>
              <w:left w:val="single" w:sz="12" w:space="0" w:color="auto"/>
              <w:bottom w:val="single" w:sz="12" w:space="0" w:color="auto"/>
              <w:right w:val="single" w:sz="12" w:space="0" w:color="auto"/>
            </w:tcBorders>
          </w:tcPr>
          <w:p w:rsidR="005E6320" w:rsidRPr="00424A4B" w:rsidRDefault="005E6320">
            <w:pPr>
              <w:rPr>
                <w:sz w:val="22"/>
                <w:szCs w:val="22"/>
                <w:lang w:val="sr-Latn-ME"/>
              </w:rPr>
            </w:pPr>
          </w:p>
        </w:tc>
      </w:tr>
      <w:tr w:rsidR="005E6320" w:rsidRPr="00424A4B" w:rsidTr="00B30B91">
        <w:trPr>
          <w:cantSplit/>
          <w:trHeight w:val="232"/>
          <w:jc w:val="center"/>
        </w:trPr>
        <w:tc>
          <w:tcPr>
            <w:tcW w:w="1365"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5C33D8">
            <w:pPr>
              <w:rPr>
                <w:sz w:val="22"/>
                <w:szCs w:val="22"/>
                <w:lang w:val="sr-Latn-ME"/>
              </w:rPr>
            </w:pPr>
            <w:r w:rsidRPr="00424A4B">
              <w:rPr>
                <w:sz w:val="22"/>
                <w:szCs w:val="22"/>
                <w:lang w:val="sr-Latn-ME"/>
              </w:rPr>
              <w:t>Gastrointestinalni poremećaji</w:t>
            </w:r>
          </w:p>
        </w:tc>
        <w:tc>
          <w:tcPr>
            <w:tcW w:w="1296" w:type="pct"/>
            <w:tcBorders>
              <w:top w:val="single" w:sz="12" w:space="0" w:color="auto"/>
              <w:left w:val="single" w:sz="12" w:space="0" w:color="auto"/>
              <w:bottom w:val="single" w:sz="12" w:space="0" w:color="auto"/>
              <w:right w:val="single" w:sz="12" w:space="0" w:color="auto"/>
            </w:tcBorders>
            <w:noWrap/>
          </w:tcPr>
          <w:p w:rsidR="005E6320" w:rsidRPr="00424A4B" w:rsidRDefault="003C6872" w:rsidP="00CD41AC">
            <w:pPr>
              <w:rPr>
                <w:sz w:val="22"/>
                <w:szCs w:val="22"/>
                <w:lang w:val="sr-Latn-ME"/>
              </w:rPr>
            </w:pPr>
            <w:r w:rsidRPr="00424A4B">
              <w:rPr>
                <w:sz w:val="22"/>
                <w:szCs w:val="22"/>
                <w:lang w:val="sr-Latn-ME"/>
              </w:rPr>
              <w:t>dijareja</w:t>
            </w:r>
            <w:r w:rsidR="005E6320" w:rsidRPr="00424A4B">
              <w:rPr>
                <w:sz w:val="22"/>
                <w:szCs w:val="22"/>
                <w:lang w:val="sr-Latn-ME"/>
              </w:rPr>
              <w:t xml:space="preserve"> </w:t>
            </w:r>
          </w:p>
          <w:p w:rsidR="005E6320" w:rsidRPr="00424A4B" w:rsidRDefault="005E6320">
            <w:pPr>
              <w:rPr>
                <w:sz w:val="22"/>
                <w:szCs w:val="22"/>
                <w:lang w:val="sr-Latn-ME"/>
              </w:rPr>
            </w:pPr>
            <w:r w:rsidRPr="00424A4B">
              <w:rPr>
                <w:sz w:val="22"/>
                <w:szCs w:val="22"/>
                <w:lang w:val="sr-Latn-ME"/>
              </w:rPr>
              <w:t xml:space="preserve">povraćanje </w:t>
            </w:r>
          </w:p>
          <w:p w:rsidR="005E6320" w:rsidRPr="00424A4B" w:rsidRDefault="005E6320">
            <w:pPr>
              <w:rPr>
                <w:sz w:val="22"/>
                <w:szCs w:val="22"/>
                <w:lang w:val="sr-Latn-ME"/>
              </w:rPr>
            </w:pPr>
            <w:r w:rsidRPr="00424A4B">
              <w:rPr>
                <w:sz w:val="22"/>
                <w:szCs w:val="22"/>
                <w:lang w:val="sr-Latn-ME"/>
              </w:rPr>
              <w:t xml:space="preserve">stomatitis </w:t>
            </w:r>
          </w:p>
          <w:p w:rsidR="005E6320" w:rsidRPr="00424A4B" w:rsidRDefault="005E6320">
            <w:pPr>
              <w:rPr>
                <w:sz w:val="22"/>
                <w:szCs w:val="22"/>
                <w:lang w:val="sr-Latn-ME"/>
              </w:rPr>
            </w:pPr>
            <w:r w:rsidRPr="00424A4B">
              <w:rPr>
                <w:sz w:val="22"/>
                <w:szCs w:val="22"/>
                <w:lang w:val="sr-Latn-ME"/>
              </w:rPr>
              <w:t xml:space="preserve">mučnina </w:t>
            </w:r>
          </w:p>
          <w:p w:rsidR="005E6320" w:rsidRPr="00424A4B" w:rsidRDefault="005E6320">
            <w:pPr>
              <w:rPr>
                <w:sz w:val="22"/>
                <w:szCs w:val="22"/>
                <w:lang w:val="sr-Latn-ME"/>
              </w:rPr>
            </w:pPr>
            <w:r w:rsidRPr="00424A4B">
              <w:rPr>
                <w:sz w:val="22"/>
                <w:szCs w:val="22"/>
                <w:lang w:val="sr-Latn-ME"/>
              </w:rPr>
              <w:t xml:space="preserve">konstipacija </w:t>
            </w:r>
          </w:p>
          <w:p w:rsidR="005E6320" w:rsidRPr="00424A4B" w:rsidRDefault="005E6320">
            <w:pPr>
              <w:rPr>
                <w:sz w:val="22"/>
                <w:szCs w:val="22"/>
                <w:lang w:val="sr-Latn-ME"/>
              </w:rPr>
            </w:pPr>
            <w:r w:rsidRPr="00424A4B">
              <w:rPr>
                <w:sz w:val="22"/>
                <w:szCs w:val="22"/>
                <w:lang w:val="sr-Latn-ME"/>
              </w:rPr>
              <w:t xml:space="preserve">dispepsija </w:t>
            </w:r>
          </w:p>
          <w:p w:rsidR="005E6320" w:rsidRPr="00424A4B" w:rsidRDefault="005E6320">
            <w:pPr>
              <w:rPr>
                <w:sz w:val="22"/>
                <w:szCs w:val="22"/>
                <w:lang w:val="sr-Latn-ME"/>
              </w:rPr>
            </w:pPr>
            <w:r w:rsidRPr="00424A4B">
              <w:rPr>
                <w:sz w:val="22"/>
                <w:szCs w:val="22"/>
                <w:lang w:val="sr-Latn-ME"/>
              </w:rPr>
              <w:t>bol u abdomenu</w:t>
            </w:r>
          </w:p>
        </w:tc>
        <w:tc>
          <w:tcPr>
            <w:tcW w:w="984"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p>
        </w:tc>
        <w:tc>
          <w:tcPr>
            <w:tcW w:w="678"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p>
        </w:tc>
        <w:tc>
          <w:tcPr>
            <w:tcW w:w="678" w:type="pct"/>
            <w:tcBorders>
              <w:top w:val="single" w:sz="12" w:space="0" w:color="auto"/>
              <w:left w:val="single" w:sz="12" w:space="0" w:color="auto"/>
              <w:bottom w:val="single" w:sz="12" w:space="0" w:color="auto"/>
              <w:right w:val="single" w:sz="12" w:space="0" w:color="auto"/>
            </w:tcBorders>
          </w:tcPr>
          <w:p w:rsidR="005E6320" w:rsidRPr="00424A4B" w:rsidRDefault="005E6320">
            <w:pPr>
              <w:rPr>
                <w:sz w:val="22"/>
                <w:szCs w:val="22"/>
                <w:lang w:val="sr-Latn-ME"/>
              </w:rPr>
            </w:pPr>
          </w:p>
        </w:tc>
      </w:tr>
      <w:tr w:rsidR="005E6320" w:rsidRPr="00424A4B" w:rsidTr="00B30B91">
        <w:trPr>
          <w:cantSplit/>
          <w:trHeight w:val="1131"/>
          <w:jc w:val="center"/>
        </w:trPr>
        <w:tc>
          <w:tcPr>
            <w:tcW w:w="1365"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5C33D8">
            <w:pPr>
              <w:rPr>
                <w:sz w:val="22"/>
                <w:szCs w:val="22"/>
                <w:lang w:val="sr-Latn-ME"/>
              </w:rPr>
            </w:pPr>
            <w:r w:rsidRPr="00424A4B">
              <w:rPr>
                <w:sz w:val="22"/>
                <w:szCs w:val="22"/>
                <w:lang w:val="sr-Latn-ME"/>
              </w:rPr>
              <w:lastRenderedPageBreak/>
              <w:t>Poremećaji kože i potkožnog tkiva</w:t>
            </w:r>
          </w:p>
        </w:tc>
        <w:tc>
          <w:tcPr>
            <w:tcW w:w="1296"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CD41AC">
            <w:pPr>
              <w:rPr>
                <w:sz w:val="22"/>
                <w:szCs w:val="22"/>
                <w:lang w:val="sr-Latn-ME"/>
              </w:rPr>
            </w:pPr>
            <w:r w:rsidRPr="00424A4B">
              <w:rPr>
                <w:sz w:val="22"/>
                <w:szCs w:val="22"/>
                <w:lang w:val="sr-Latn-ME"/>
              </w:rPr>
              <w:t xml:space="preserve">alopecija </w:t>
            </w:r>
          </w:p>
          <w:p w:rsidR="005E6320" w:rsidRPr="00424A4B" w:rsidRDefault="005E6320">
            <w:pPr>
              <w:rPr>
                <w:sz w:val="22"/>
                <w:szCs w:val="22"/>
                <w:lang w:val="sr-Latn-ME"/>
              </w:rPr>
            </w:pPr>
            <w:r w:rsidRPr="00424A4B">
              <w:rPr>
                <w:sz w:val="22"/>
                <w:szCs w:val="22"/>
                <w:lang w:val="sr-Latn-ME"/>
              </w:rPr>
              <w:t>os</w:t>
            </w:r>
            <w:r w:rsidR="003C6872" w:rsidRPr="00424A4B">
              <w:rPr>
                <w:sz w:val="22"/>
                <w:szCs w:val="22"/>
                <w:lang w:val="sr-Latn-ME"/>
              </w:rPr>
              <w:t>ip</w:t>
            </w:r>
            <w:r w:rsidRPr="00424A4B">
              <w:rPr>
                <w:sz w:val="22"/>
                <w:szCs w:val="22"/>
                <w:lang w:val="sr-Latn-ME"/>
              </w:rPr>
              <w:t xml:space="preserve"> </w:t>
            </w:r>
          </w:p>
          <w:p w:rsidR="005E6320" w:rsidRPr="00424A4B" w:rsidRDefault="005E6320">
            <w:pPr>
              <w:rPr>
                <w:sz w:val="22"/>
                <w:szCs w:val="22"/>
                <w:lang w:val="sr-Latn-ME"/>
              </w:rPr>
            </w:pPr>
            <w:r w:rsidRPr="00424A4B">
              <w:rPr>
                <w:sz w:val="22"/>
                <w:szCs w:val="22"/>
                <w:lang w:val="sr-Latn-ME"/>
              </w:rPr>
              <w:t xml:space="preserve">poremećaj noktiju </w:t>
            </w:r>
          </w:p>
          <w:p w:rsidR="005E6320" w:rsidRPr="00424A4B" w:rsidRDefault="005E6320">
            <w:pPr>
              <w:rPr>
                <w:sz w:val="22"/>
                <w:szCs w:val="22"/>
                <w:lang w:val="sr-Latn-ME"/>
              </w:rPr>
            </w:pPr>
            <w:r w:rsidRPr="00424A4B">
              <w:rPr>
                <w:sz w:val="22"/>
                <w:szCs w:val="22"/>
                <w:lang w:val="sr-Latn-ME"/>
              </w:rPr>
              <w:t>pruritus</w:t>
            </w:r>
          </w:p>
          <w:p w:rsidR="005E6320" w:rsidRPr="00424A4B" w:rsidRDefault="005E6320">
            <w:pPr>
              <w:rPr>
                <w:sz w:val="22"/>
                <w:szCs w:val="22"/>
                <w:lang w:val="sr-Latn-ME"/>
              </w:rPr>
            </w:pPr>
            <w:r w:rsidRPr="00424A4B">
              <w:rPr>
                <w:sz w:val="22"/>
                <w:szCs w:val="22"/>
                <w:lang w:val="sr-Latn-ME"/>
              </w:rPr>
              <w:t>suva koža</w:t>
            </w:r>
          </w:p>
          <w:p w:rsidR="005E6320" w:rsidRPr="00424A4B" w:rsidRDefault="005E6320">
            <w:pPr>
              <w:rPr>
                <w:sz w:val="22"/>
                <w:szCs w:val="22"/>
                <w:lang w:val="sr-Latn-ME"/>
              </w:rPr>
            </w:pPr>
            <w:r w:rsidRPr="00424A4B">
              <w:rPr>
                <w:sz w:val="22"/>
                <w:szCs w:val="22"/>
                <w:lang w:val="sr-Latn-ME"/>
              </w:rPr>
              <w:t xml:space="preserve"> </w:t>
            </w:r>
          </w:p>
        </w:tc>
        <w:tc>
          <w:tcPr>
            <w:tcW w:w="984"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p>
        </w:tc>
        <w:tc>
          <w:tcPr>
            <w:tcW w:w="678"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p>
        </w:tc>
        <w:tc>
          <w:tcPr>
            <w:tcW w:w="678" w:type="pct"/>
            <w:tcBorders>
              <w:top w:val="single" w:sz="12" w:space="0" w:color="auto"/>
              <w:left w:val="single" w:sz="12" w:space="0" w:color="auto"/>
              <w:bottom w:val="single" w:sz="12" w:space="0" w:color="auto"/>
              <w:right w:val="single" w:sz="12" w:space="0" w:color="auto"/>
            </w:tcBorders>
          </w:tcPr>
          <w:p w:rsidR="005E6320" w:rsidRPr="00424A4B" w:rsidRDefault="005E6320">
            <w:pPr>
              <w:rPr>
                <w:sz w:val="22"/>
                <w:szCs w:val="22"/>
                <w:lang w:val="sr-Latn-ME"/>
              </w:rPr>
            </w:pPr>
          </w:p>
        </w:tc>
      </w:tr>
      <w:tr w:rsidR="005E6320" w:rsidRPr="00424A4B" w:rsidTr="00B30B91">
        <w:trPr>
          <w:cantSplit/>
          <w:trHeight w:val="529"/>
          <w:jc w:val="center"/>
        </w:trPr>
        <w:tc>
          <w:tcPr>
            <w:tcW w:w="1365"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5C33D8">
            <w:pPr>
              <w:rPr>
                <w:sz w:val="22"/>
                <w:szCs w:val="22"/>
                <w:lang w:val="sr-Latn-ME"/>
              </w:rPr>
            </w:pPr>
            <w:r w:rsidRPr="00424A4B">
              <w:rPr>
                <w:sz w:val="22"/>
                <w:szCs w:val="22"/>
                <w:lang w:val="sr-Latn-ME"/>
              </w:rPr>
              <w:t>Poremećaji kostno-mišićnog i vezivnog tkiva</w:t>
            </w:r>
          </w:p>
        </w:tc>
        <w:tc>
          <w:tcPr>
            <w:tcW w:w="1296"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CD41AC">
            <w:pPr>
              <w:rPr>
                <w:sz w:val="22"/>
                <w:szCs w:val="22"/>
                <w:lang w:val="sr-Latn-ME"/>
              </w:rPr>
            </w:pPr>
            <w:r w:rsidRPr="00424A4B">
              <w:rPr>
                <w:sz w:val="22"/>
                <w:szCs w:val="22"/>
                <w:lang w:val="sr-Latn-ME"/>
              </w:rPr>
              <w:t xml:space="preserve">mialgija </w:t>
            </w:r>
          </w:p>
          <w:p w:rsidR="005E6320" w:rsidRPr="00424A4B" w:rsidRDefault="005E6320">
            <w:pPr>
              <w:rPr>
                <w:sz w:val="22"/>
                <w:szCs w:val="22"/>
                <w:lang w:val="sr-Latn-ME"/>
              </w:rPr>
            </w:pPr>
            <w:r w:rsidRPr="00424A4B">
              <w:rPr>
                <w:sz w:val="22"/>
                <w:szCs w:val="22"/>
                <w:lang w:val="sr-Latn-ME"/>
              </w:rPr>
              <w:t xml:space="preserve">artralgija </w:t>
            </w:r>
          </w:p>
          <w:p w:rsidR="005E6320" w:rsidRPr="00424A4B" w:rsidRDefault="005E6320">
            <w:pPr>
              <w:rPr>
                <w:sz w:val="22"/>
                <w:szCs w:val="22"/>
                <w:lang w:val="sr-Latn-ME"/>
              </w:rPr>
            </w:pPr>
            <w:r w:rsidRPr="00424A4B">
              <w:rPr>
                <w:sz w:val="22"/>
                <w:szCs w:val="22"/>
                <w:lang w:val="sr-Latn-ME"/>
              </w:rPr>
              <w:t>bol u ekstremitetima</w:t>
            </w:r>
          </w:p>
        </w:tc>
        <w:tc>
          <w:tcPr>
            <w:tcW w:w="984"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p>
        </w:tc>
        <w:tc>
          <w:tcPr>
            <w:tcW w:w="678"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p>
        </w:tc>
        <w:tc>
          <w:tcPr>
            <w:tcW w:w="678" w:type="pct"/>
            <w:tcBorders>
              <w:top w:val="single" w:sz="12" w:space="0" w:color="auto"/>
              <w:left w:val="single" w:sz="12" w:space="0" w:color="auto"/>
              <w:bottom w:val="single" w:sz="12" w:space="0" w:color="auto"/>
              <w:right w:val="single" w:sz="12" w:space="0" w:color="auto"/>
            </w:tcBorders>
          </w:tcPr>
          <w:p w:rsidR="005E6320" w:rsidRPr="00424A4B" w:rsidRDefault="005E6320">
            <w:pPr>
              <w:rPr>
                <w:sz w:val="22"/>
                <w:szCs w:val="22"/>
                <w:lang w:val="sr-Latn-ME"/>
              </w:rPr>
            </w:pPr>
          </w:p>
        </w:tc>
      </w:tr>
      <w:tr w:rsidR="005E6320" w:rsidRPr="00424A4B" w:rsidTr="00B30B91">
        <w:trPr>
          <w:cantSplit/>
          <w:trHeight w:val="251"/>
          <w:jc w:val="center"/>
        </w:trPr>
        <w:tc>
          <w:tcPr>
            <w:tcW w:w="1365"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5C33D8">
            <w:pPr>
              <w:rPr>
                <w:sz w:val="22"/>
                <w:szCs w:val="22"/>
                <w:lang w:val="sr-Latn-ME"/>
              </w:rPr>
            </w:pPr>
            <w:r w:rsidRPr="00424A4B">
              <w:rPr>
                <w:sz w:val="22"/>
                <w:szCs w:val="22"/>
                <w:lang w:val="sr-Latn-ME"/>
              </w:rPr>
              <w:t>Opšti poremećaji i reakcije na mjestu primjene</w:t>
            </w:r>
          </w:p>
        </w:tc>
        <w:tc>
          <w:tcPr>
            <w:tcW w:w="1296" w:type="pct"/>
            <w:tcBorders>
              <w:top w:val="single" w:sz="12" w:space="0" w:color="auto"/>
              <w:left w:val="single" w:sz="12" w:space="0" w:color="auto"/>
              <w:bottom w:val="single" w:sz="12" w:space="0" w:color="auto"/>
              <w:right w:val="single" w:sz="12" w:space="0" w:color="auto"/>
            </w:tcBorders>
            <w:noWrap/>
          </w:tcPr>
          <w:p w:rsidR="005E6320" w:rsidRPr="00424A4B" w:rsidRDefault="005E6320" w:rsidP="00CD41AC">
            <w:pPr>
              <w:rPr>
                <w:sz w:val="22"/>
                <w:szCs w:val="22"/>
                <w:lang w:val="sr-Latn-ME"/>
              </w:rPr>
            </w:pPr>
            <w:r w:rsidRPr="00424A4B">
              <w:rPr>
                <w:sz w:val="22"/>
                <w:szCs w:val="22"/>
                <w:lang w:val="sr-Latn-ME"/>
              </w:rPr>
              <w:t>upala sluznice</w:t>
            </w:r>
          </w:p>
          <w:p w:rsidR="005E6320" w:rsidRPr="00424A4B" w:rsidRDefault="005E6320">
            <w:pPr>
              <w:rPr>
                <w:sz w:val="22"/>
                <w:szCs w:val="22"/>
                <w:lang w:val="sr-Latn-ME"/>
              </w:rPr>
            </w:pPr>
            <w:r w:rsidRPr="00424A4B">
              <w:rPr>
                <w:sz w:val="22"/>
                <w:szCs w:val="22"/>
                <w:lang w:val="sr-Latn-ME"/>
              </w:rPr>
              <w:t>periferni edem</w:t>
            </w:r>
          </w:p>
          <w:p w:rsidR="005E6320" w:rsidRPr="00424A4B" w:rsidRDefault="005E6320">
            <w:pPr>
              <w:rPr>
                <w:sz w:val="22"/>
                <w:szCs w:val="22"/>
                <w:lang w:val="sr-Latn-ME"/>
              </w:rPr>
            </w:pPr>
            <w:r w:rsidRPr="00424A4B">
              <w:rPr>
                <w:sz w:val="22"/>
                <w:szCs w:val="22"/>
                <w:lang w:val="sr-Latn-ME"/>
              </w:rPr>
              <w:t xml:space="preserve">pireksija </w:t>
            </w:r>
          </w:p>
          <w:p w:rsidR="005E6320" w:rsidRPr="00424A4B" w:rsidRDefault="005E6320">
            <w:pPr>
              <w:rPr>
                <w:sz w:val="22"/>
                <w:szCs w:val="22"/>
                <w:lang w:val="sr-Latn-ME"/>
              </w:rPr>
            </w:pPr>
            <w:r w:rsidRPr="00424A4B">
              <w:rPr>
                <w:sz w:val="22"/>
                <w:szCs w:val="22"/>
                <w:lang w:val="sr-Latn-ME"/>
              </w:rPr>
              <w:t xml:space="preserve">umor </w:t>
            </w:r>
          </w:p>
          <w:p w:rsidR="005E6320" w:rsidRPr="00424A4B" w:rsidRDefault="005E6320">
            <w:pPr>
              <w:rPr>
                <w:sz w:val="22"/>
                <w:szCs w:val="22"/>
                <w:lang w:val="sr-Latn-ME"/>
              </w:rPr>
            </w:pPr>
            <w:r w:rsidRPr="00424A4B">
              <w:rPr>
                <w:sz w:val="22"/>
                <w:szCs w:val="22"/>
                <w:lang w:val="sr-Latn-ME"/>
              </w:rPr>
              <w:t xml:space="preserve">astenija </w:t>
            </w:r>
          </w:p>
        </w:tc>
        <w:tc>
          <w:tcPr>
            <w:tcW w:w="984"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r w:rsidRPr="00424A4B">
              <w:rPr>
                <w:sz w:val="22"/>
                <w:szCs w:val="22"/>
                <w:lang w:val="sr-Latn-ME"/>
              </w:rPr>
              <w:t>drhtavica</w:t>
            </w:r>
          </w:p>
          <w:p w:rsidR="005E6320" w:rsidRPr="00424A4B" w:rsidRDefault="005E6320">
            <w:pPr>
              <w:rPr>
                <w:sz w:val="22"/>
                <w:szCs w:val="22"/>
                <w:lang w:val="sr-Latn-ME"/>
              </w:rPr>
            </w:pPr>
            <w:r w:rsidRPr="00424A4B">
              <w:rPr>
                <w:sz w:val="22"/>
                <w:szCs w:val="22"/>
                <w:lang w:val="sr-Latn-ME"/>
              </w:rPr>
              <w:t>bol</w:t>
            </w:r>
          </w:p>
          <w:p w:rsidR="005E6320" w:rsidRPr="00424A4B" w:rsidRDefault="005E6320">
            <w:pPr>
              <w:rPr>
                <w:sz w:val="22"/>
                <w:szCs w:val="22"/>
                <w:lang w:val="sr-Latn-ME"/>
              </w:rPr>
            </w:pPr>
            <w:r w:rsidRPr="00424A4B">
              <w:rPr>
                <w:sz w:val="22"/>
                <w:szCs w:val="22"/>
                <w:lang w:val="sr-Latn-ME"/>
              </w:rPr>
              <w:t>edem</w:t>
            </w:r>
          </w:p>
        </w:tc>
        <w:tc>
          <w:tcPr>
            <w:tcW w:w="678" w:type="pct"/>
            <w:tcBorders>
              <w:top w:val="single" w:sz="12" w:space="0" w:color="auto"/>
              <w:left w:val="single" w:sz="12" w:space="0" w:color="auto"/>
              <w:bottom w:val="single" w:sz="12" w:space="0" w:color="auto"/>
              <w:right w:val="single" w:sz="12" w:space="0" w:color="auto"/>
            </w:tcBorders>
            <w:noWrap/>
          </w:tcPr>
          <w:p w:rsidR="005E6320" w:rsidRPr="00424A4B" w:rsidRDefault="005E6320">
            <w:pPr>
              <w:rPr>
                <w:sz w:val="22"/>
                <w:szCs w:val="22"/>
                <w:lang w:val="sr-Latn-ME"/>
              </w:rPr>
            </w:pPr>
          </w:p>
        </w:tc>
        <w:tc>
          <w:tcPr>
            <w:tcW w:w="678" w:type="pct"/>
            <w:tcBorders>
              <w:top w:val="single" w:sz="12" w:space="0" w:color="auto"/>
              <w:left w:val="single" w:sz="12" w:space="0" w:color="auto"/>
              <w:bottom w:val="single" w:sz="12" w:space="0" w:color="auto"/>
              <w:right w:val="single" w:sz="12" w:space="0" w:color="auto"/>
            </w:tcBorders>
          </w:tcPr>
          <w:p w:rsidR="005E6320" w:rsidRPr="00424A4B" w:rsidRDefault="005E6320">
            <w:pPr>
              <w:rPr>
                <w:sz w:val="22"/>
                <w:szCs w:val="22"/>
                <w:lang w:val="sr-Latn-ME"/>
              </w:rPr>
            </w:pPr>
          </w:p>
        </w:tc>
      </w:tr>
    </w:tbl>
    <w:p w:rsidR="005E6320" w:rsidRPr="00424A4B" w:rsidRDefault="005E6320" w:rsidP="005C33D8">
      <w:pPr>
        <w:keepNext/>
        <w:keepLines/>
        <w:tabs>
          <w:tab w:val="left" w:pos="567"/>
        </w:tabs>
        <w:autoSpaceDE w:val="0"/>
        <w:autoSpaceDN w:val="0"/>
        <w:adjustRightInd w:val="0"/>
        <w:ind w:left="142" w:hanging="142"/>
        <w:jc w:val="both"/>
        <w:rPr>
          <w:sz w:val="22"/>
          <w:szCs w:val="22"/>
          <w:lang w:val="sr-Latn-ME"/>
        </w:rPr>
      </w:pPr>
      <w:r w:rsidRPr="00424A4B">
        <w:rPr>
          <w:sz w:val="22"/>
          <w:szCs w:val="22"/>
          <w:lang w:val="sr-Latn-ME"/>
        </w:rPr>
        <w:t xml:space="preserve">^ Tabela 1 prikazuje objedinjene podatke prikupljene tokom cjelokupnog </w:t>
      </w:r>
      <w:r w:rsidR="003C6872" w:rsidRPr="00424A4B">
        <w:rPr>
          <w:sz w:val="22"/>
          <w:szCs w:val="22"/>
          <w:lang w:val="sr-Latn-ME"/>
        </w:rPr>
        <w:t>perioda</w:t>
      </w:r>
      <w:r w:rsidRPr="00424A4B">
        <w:rPr>
          <w:sz w:val="22"/>
          <w:szCs w:val="22"/>
          <w:lang w:val="sr-Latn-ME"/>
        </w:rPr>
        <w:t xml:space="preserve"> liječenja u ispitivanju CLEOPATRA (završni datum prikupljanja podataka: 11. februara 2014; medijana broja ciklusa liječenja lijekom </w:t>
      </w:r>
      <w:r w:rsidR="009C77FA" w:rsidRPr="00424A4B">
        <w:rPr>
          <w:sz w:val="22"/>
          <w:szCs w:val="22"/>
          <w:lang w:val="sr-Latn-ME"/>
        </w:rPr>
        <w:t>Perjeta</w:t>
      </w:r>
      <w:r w:rsidRPr="00424A4B">
        <w:rPr>
          <w:sz w:val="22"/>
          <w:szCs w:val="22"/>
          <w:lang w:val="sr-Latn-ME"/>
        </w:rPr>
        <w:t xml:space="preserve"> bi</w:t>
      </w:r>
      <w:r w:rsidR="003C6872" w:rsidRPr="00424A4B">
        <w:rPr>
          <w:sz w:val="22"/>
          <w:szCs w:val="22"/>
          <w:lang w:val="sr-Latn-ME"/>
        </w:rPr>
        <w:t>la</w:t>
      </w:r>
      <w:r w:rsidRPr="00424A4B">
        <w:rPr>
          <w:sz w:val="22"/>
          <w:szCs w:val="22"/>
          <w:lang w:val="sr-Latn-ME"/>
        </w:rPr>
        <w:t xml:space="preserve"> je 24) i tokom </w:t>
      </w:r>
      <w:r w:rsidR="003C6872" w:rsidRPr="00424A4B">
        <w:rPr>
          <w:sz w:val="22"/>
          <w:szCs w:val="22"/>
          <w:lang w:val="sr-Latn-ME"/>
        </w:rPr>
        <w:t>perioda</w:t>
      </w:r>
      <w:r w:rsidRPr="00424A4B">
        <w:rPr>
          <w:sz w:val="22"/>
          <w:szCs w:val="22"/>
          <w:lang w:val="sr-Latn-ME"/>
        </w:rPr>
        <w:t xml:space="preserve"> neoadjuvantnog liječenja u ispitivanjima NEOSPHERE (medijana broja ciklusa liječenja lijekom </w:t>
      </w:r>
      <w:r w:rsidR="009C77FA" w:rsidRPr="00424A4B">
        <w:rPr>
          <w:sz w:val="22"/>
          <w:szCs w:val="22"/>
          <w:lang w:val="sr-Latn-ME"/>
        </w:rPr>
        <w:t>Perjeta</w:t>
      </w:r>
      <w:r w:rsidRPr="00424A4B">
        <w:rPr>
          <w:sz w:val="22"/>
          <w:szCs w:val="22"/>
          <w:lang w:val="sr-Latn-ME"/>
        </w:rPr>
        <w:t xml:space="preserve"> bi</w:t>
      </w:r>
      <w:r w:rsidR="003C6872" w:rsidRPr="00424A4B">
        <w:rPr>
          <w:sz w:val="22"/>
          <w:szCs w:val="22"/>
          <w:lang w:val="sr-Latn-ME"/>
        </w:rPr>
        <w:t>la</w:t>
      </w:r>
      <w:r w:rsidRPr="00424A4B">
        <w:rPr>
          <w:sz w:val="22"/>
          <w:szCs w:val="22"/>
          <w:lang w:val="sr-Latn-ME"/>
        </w:rPr>
        <w:t xml:space="preserve"> je 4 u svim liječenim grupama)  i TRYPHAENA (medijan</w:t>
      </w:r>
      <w:r w:rsidR="003C6872" w:rsidRPr="00424A4B">
        <w:rPr>
          <w:sz w:val="22"/>
          <w:szCs w:val="22"/>
          <w:lang w:val="sr-Latn-ME"/>
        </w:rPr>
        <w:t>a</w:t>
      </w:r>
      <w:r w:rsidRPr="00424A4B">
        <w:rPr>
          <w:sz w:val="22"/>
          <w:szCs w:val="22"/>
          <w:lang w:val="sr-Latn-ME"/>
        </w:rPr>
        <w:t xml:space="preserve"> broja ciklusa liječenja lijekom </w:t>
      </w:r>
      <w:r w:rsidR="009C77FA" w:rsidRPr="00424A4B">
        <w:rPr>
          <w:sz w:val="22"/>
          <w:szCs w:val="22"/>
          <w:lang w:val="sr-Latn-ME"/>
        </w:rPr>
        <w:t>Perjeta</w:t>
      </w:r>
      <w:r w:rsidRPr="00424A4B">
        <w:rPr>
          <w:sz w:val="22"/>
          <w:szCs w:val="22"/>
          <w:lang w:val="sr-Latn-ME"/>
        </w:rPr>
        <w:t xml:space="preserve"> bi</w:t>
      </w:r>
      <w:r w:rsidR="003C6872" w:rsidRPr="00424A4B">
        <w:rPr>
          <w:sz w:val="22"/>
          <w:szCs w:val="22"/>
          <w:lang w:val="sr-Latn-ME"/>
        </w:rPr>
        <w:t>la</w:t>
      </w:r>
      <w:r w:rsidRPr="00424A4B">
        <w:rPr>
          <w:sz w:val="22"/>
          <w:szCs w:val="22"/>
          <w:lang w:val="sr-Latn-ME"/>
        </w:rPr>
        <w:t xml:space="preserve"> je 3</w:t>
      </w:r>
      <w:r w:rsidRPr="00424A4B">
        <w:rPr>
          <w:sz w:val="22"/>
          <w:szCs w:val="22"/>
          <w:lang w:val="sr-Latn-ME"/>
        </w:rPr>
        <w:noBreakHyphen/>
        <w:t xml:space="preserve">6 u svim liječenim grupama) i tokom perioda liječenja u ispitivanju APHINITY (medijana broja ciklusa liječenja lijekom </w:t>
      </w:r>
      <w:r w:rsidR="009C77FA" w:rsidRPr="00424A4B">
        <w:rPr>
          <w:sz w:val="22"/>
          <w:szCs w:val="22"/>
          <w:lang w:val="sr-Latn-ME"/>
        </w:rPr>
        <w:t>Perjeta</w:t>
      </w:r>
      <w:r w:rsidRPr="00424A4B">
        <w:rPr>
          <w:sz w:val="22"/>
          <w:szCs w:val="22"/>
          <w:lang w:val="sr-Latn-ME"/>
        </w:rPr>
        <w:t xml:space="preserve"> bi</w:t>
      </w:r>
      <w:r w:rsidR="003C6872" w:rsidRPr="00424A4B">
        <w:rPr>
          <w:sz w:val="22"/>
          <w:szCs w:val="22"/>
          <w:lang w:val="sr-Latn-ME"/>
        </w:rPr>
        <w:t>la</w:t>
      </w:r>
      <w:r w:rsidRPr="00424A4B">
        <w:rPr>
          <w:sz w:val="22"/>
          <w:szCs w:val="22"/>
          <w:lang w:val="sr-Latn-ME"/>
        </w:rPr>
        <w:t xml:space="preserve"> je 18)</w:t>
      </w:r>
    </w:p>
    <w:p w:rsidR="005E6320" w:rsidRPr="00424A4B" w:rsidRDefault="005E6320" w:rsidP="0055503A">
      <w:pPr>
        <w:jc w:val="both"/>
        <w:rPr>
          <w:sz w:val="22"/>
          <w:szCs w:val="22"/>
          <w:lang w:val="sr-Latn-ME"/>
        </w:rPr>
      </w:pPr>
      <w:r w:rsidRPr="00424A4B">
        <w:rPr>
          <w:sz w:val="22"/>
          <w:szCs w:val="22"/>
          <w:lang w:val="sr-Latn-ME"/>
        </w:rPr>
        <w:t xml:space="preserve">* </w:t>
      </w:r>
      <w:r w:rsidR="003B41BC" w:rsidRPr="00424A4B">
        <w:rPr>
          <w:sz w:val="22"/>
          <w:szCs w:val="22"/>
          <w:lang w:val="sr-Latn-ME"/>
        </w:rPr>
        <w:t xml:space="preserve">Prijavljene su </w:t>
      </w:r>
      <w:r w:rsidRPr="00424A4B">
        <w:rPr>
          <w:sz w:val="22"/>
          <w:szCs w:val="22"/>
          <w:lang w:val="sr-Latn-ME"/>
        </w:rPr>
        <w:t xml:space="preserve">neželjene reakcije sa smrtnim ishodom. </w:t>
      </w:r>
    </w:p>
    <w:p w:rsidR="005E6320" w:rsidRPr="00424A4B" w:rsidRDefault="005E6320" w:rsidP="0055503A">
      <w:pPr>
        <w:jc w:val="both"/>
        <w:rPr>
          <w:sz w:val="22"/>
          <w:szCs w:val="22"/>
          <w:lang w:val="sr-Latn-ME"/>
        </w:rPr>
      </w:pPr>
      <w:r w:rsidRPr="00424A4B">
        <w:rPr>
          <w:sz w:val="22"/>
          <w:szCs w:val="22"/>
          <w:lang w:val="sr-Latn-ME"/>
        </w:rPr>
        <w:t>** Za cjelokupn</w:t>
      </w:r>
      <w:r w:rsidR="003C6872" w:rsidRPr="00424A4B">
        <w:rPr>
          <w:sz w:val="22"/>
          <w:szCs w:val="22"/>
          <w:lang w:val="sr-Latn-ME"/>
        </w:rPr>
        <w:t>i perioid</w:t>
      </w:r>
      <w:r w:rsidRPr="00424A4B">
        <w:rPr>
          <w:sz w:val="22"/>
          <w:szCs w:val="22"/>
          <w:lang w:val="sr-Latn-ME"/>
        </w:rPr>
        <w:t xml:space="preserve"> liječenja u sva 4 ispitivanja. Incidenca disfunkcije lijeve komore i kongestivne srčane insuficijencije je u skladu sa MedDRA preporučenim terminima prijavljenim u pojedinačnim ispitivanjima. </w:t>
      </w:r>
    </w:p>
    <w:p w:rsidR="005E6320" w:rsidRPr="00424A4B" w:rsidRDefault="005E6320" w:rsidP="0055503A">
      <w:pPr>
        <w:jc w:val="both"/>
        <w:rPr>
          <w:sz w:val="22"/>
          <w:szCs w:val="22"/>
          <w:lang w:val="sr-Latn-ME"/>
        </w:rPr>
      </w:pPr>
      <w:r w:rsidRPr="00424A4B">
        <w:rPr>
          <w:sz w:val="22"/>
          <w:szCs w:val="22"/>
          <w:lang w:val="sr-Latn-ME"/>
        </w:rPr>
        <w:t xml:space="preserve">° Reakcija preosjetljivosti/anafilaktička reakcija </w:t>
      </w:r>
      <w:r w:rsidR="003C6872" w:rsidRPr="00424A4B">
        <w:rPr>
          <w:sz w:val="22"/>
          <w:szCs w:val="22"/>
          <w:lang w:val="sr-Latn-ME"/>
        </w:rPr>
        <w:t>zasniva</w:t>
      </w:r>
      <w:r w:rsidRPr="00424A4B">
        <w:rPr>
          <w:sz w:val="22"/>
          <w:szCs w:val="22"/>
          <w:lang w:val="sr-Latn-ME"/>
        </w:rPr>
        <w:t xml:space="preserve"> se na grupi termina.</w:t>
      </w:r>
    </w:p>
    <w:p w:rsidR="005E6320" w:rsidRPr="00424A4B" w:rsidRDefault="005E6320" w:rsidP="0055503A">
      <w:pPr>
        <w:jc w:val="both"/>
        <w:rPr>
          <w:sz w:val="22"/>
          <w:szCs w:val="22"/>
          <w:lang w:val="sr-Latn-ME"/>
        </w:rPr>
      </w:pPr>
      <w:r w:rsidRPr="00424A4B">
        <w:rPr>
          <w:sz w:val="22"/>
          <w:szCs w:val="22"/>
          <w:lang w:val="sr-Latn-ME"/>
        </w:rPr>
        <w:t>°° Reakcija na infuziju obuhvata niz različitih termina u</w:t>
      </w:r>
      <w:r w:rsidR="003C6872" w:rsidRPr="00424A4B">
        <w:rPr>
          <w:sz w:val="22"/>
          <w:szCs w:val="22"/>
          <w:lang w:val="sr-Latn-ME"/>
        </w:rPr>
        <w:t xml:space="preserve"> okviru</w:t>
      </w:r>
      <w:r w:rsidRPr="00424A4B">
        <w:rPr>
          <w:sz w:val="22"/>
          <w:szCs w:val="22"/>
          <w:lang w:val="sr-Latn-ME"/>
        </w:rPr>
        <w:t xml:space="preserve"> određenog perioda, vidjeti “Opis odabranih neželjenih dejstava” u nastavku.</w:t>
      </w:r>
    </w:p>
    <w:p w:rsidR="005E6320" w:rsidRPr="00424A4B" w:rsidRDefault="005E6320" w:rsidP="0055503A">
      <w:pPr>
        <w:jc w:val="both"/>
        <w:rPr>
          <w:sz w:val="22"/>
          <w:szCs w:val="22"/>
          <w:lang w:val="sr-Latn-ME"/>
        </w:rPr>
      </w:pPr>
      <w:r w:rsidRPr="00424A4B">
        <w:rPr>
          <w:rFonts w:eastAsia="SimSun"/>
          <w:color w:val="000000"/>
          <w:sz w:val="22"/>
          <w:szCs w:val="22"/>
          <w:lang w:val="sr-Latn-ME" w:eastAsia="hr-HR"/>
        </w:rPr>
        <w:t xml:space="preserve">† </w:t>
      </w:r>
      <w:r w:rsidRPr="00424A4B">
        <w:rPr>
          <w:sz w:val="22"/>
          <w:szCs w:val="22"/>
          <w:lang w:val="sr-Latn-ME"/>
        </w:rPr>
        <w:t>Neželjene reakcije prijavljene tokom post-marketinškog praćenja lijeka</w:t>
      </w:r>
    </w:p>
    <w:p w:rsidR="00445878" w:rsidRPr="00424A4B" w:rsidRDefault="00445878" w:rsidP="005C33D8">
      <w:pPr>
        <w:jc w:val="both"/>
        <w:rPr>
          <w:sz w:val="22"/>
          <w:szCs w:val="22"/>
          <w:lang w:val="sr-Latn-ME"/>
        </w:rPr>
      </w:pPr>
    </w:p>
    <w:p w:rsidR="005E6320" w:rsidRPr="00424A4B" w:rsidRDefault="005E6320" w:rsidP="0055503A">
      <w:pPr>
        <w:rPr>
          <w:sz w:val="22"/>
          <w:szCs w:val="22"/>
          <w:u w:val="single"/>
          <w:lang w:val="sr-Latn-ME"/>
        </w:rPr>
      </w:pPr>
      <w:r w:rsidRPr="00424A4B">
        <w:rPr>
          <w:sz w:val="22"/>
          <w:szCs w:val="22"/>
          <w:u w:val="single"/>
          <w:lang w:val="sr-Latn-ME"/>
        </w:rPr>
        <w:t xml:space="preserve">Opis odabranih neželjenih dejstava </w:t>
      </w:r>
    </w:p>
    <w:p w:rsidR="005E6320" w:rsidRPr="00424A4B" w:rsidRDefault="005E6320" w:rsidP="005C33D8">
      <w:pPr>
        <w:rPr>
          <w:sz w:val="22"/>
          <w:szCs w:val="22"/>
          <w:u w:val="single"/>
          <w:lang w:val="sr-Latn-ME"/>
        </w:rPr>
      </w:pPr>
    </w:p>
    <w:p w:rsidR="005E6320" w:rsidRPr="00424A4B" w:rsidRDefault="005E6320" w:rsidP="0055503A">
      <w:pPr>
        <w:rPr>
          <w:i/>
          <w:sz w:val="22"/>
          <w:szCs w:val="22"/>
          <w:lang w:val="sr-Latn-ME"/>
        </w:rPr>
      </w:pPr>
      <w:r w:rsidRPr="00424A4B">
        <w:rPr>
          <w:i/>
          <w:sz w:val="22"/>
          <w:szCs w:val="22"/>
          <w:lang w:val="sr-Latn-ME"/>
        </w:rPr>
        <w:t>Disfunkcija lijeve komore</w:t>
      </w:r>
    </w:p>
    <w:p w:rsidR="005E6320" w:rsidRPr="00424A4B" w:rsidRDefault="005E6320" w:rsidP="0055503A">
      <w:pPr>
        <w:jc w:val="both"/>
        <w:rPr>
          <w:sz w:val="22"/>
          <w:szCs w:val="22"/>
          <w:lang w:val="sr-Latn-ME"/>
        </w:rPr>
      </w:pPr>
      <w:r w:rsidRPr="00424A4B">
        <w:rPr>
          <w:sz w:val="22"/>
          <w:szCs w:val="22"/>
          <w:lang w:val="sr-Latn-ME"/>
        </w:rPr>
        <w:t xml:space="preserve">U pivotalnom kliničkom ispitivanju CLEOPATRA u metastatskom karcinomu dojke, učestalost disfunkcije lijeve komore tokom liječenja u ispitivanju bila je veća u grupi koja je primala placebo, nego u grupi liječenoj lijekom </w:t>
      </w:r>
      <w:r w:rsidR="009C77FA" w:rsidRPr="00424A4B">
        <w:rPr>
          <w:sz w:val="22"/>
          <w:szCs w:val="22"/>
          <w:lang w:val="sr-Latn-ME"/>
        </w:rPr>
        <w:t>Perjeta</w:t>
      </w:r>
      <w:r w:rsidRPr="00424A4B">
        <w:rPr>
          <w:sz w:val="22"/>
          <w:szCs w:val="22"/>
          <w:lang w:val="sr-Latn-ME"/>
        </w:rPr>
        <w:t xml:space="preserve"> (8.6% odnosno 6.6%).  Učestalost simptomatske disfunkcije lijeve komore takođe je bila niža u grupi liječenoj lijekom </w:t>
      </w:r>
      <w:r w:rsidR="009C77FA" w:rsidRPr="00424A4B">
        <w:rPr>
          <w:sz w:val="22"/>
          <w:szCs w:val="22"/>
          <w:lang w:val="sr-Latn-ME"/>
        </w:rPr>
        <w:t>Perjeta</w:t>
      </w:r>
      <w:r w:rsidRPr="00424A4B">
        <w:rPr>
          <w:sz w:val="22"/>
          <w:szCs w:val="22"/>
          <w:lang w:val="sr-Latn-ME"/>
        </w:rPr>
        <w:t xml:space="preserve"> (1,8% u grupi koja je primala placebo naspram 1,5% u grupi liječenoj lijekom </w:t>
      </w:r>
      <w:r w:rsidR="009C77FA" w:rsidRPr="00424A4B">
        <w:rPr>
          <w:sz w:val="22"/>
          <w:szCs w:val="22"/>
          <w:lang w:val="sr-Latn-ME"/>
        </w:rPr>
        <w:t>Perjeta</w:t>
      </w:r>
      <w:r w:rsidRPr="00424A4B">
        <w:rPr>
          <w:sz w:val="22"/>
          <w:szCs w:val="22"/>
          <w:lang w:val="sr-Latn-ME"/>
        </w:rPr>
        <w:t>) (vidjeti dio 4.4).</w:t>
      </w:r>
    </w:p>
    <w:p w:rsidR="002B03CF" w:rsidRPr="00424A4B" w:rsidRDefault="002B03CF"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U ispitivanju neoadjuvantnog liječenja NEOSPHERE, u kojem su pacijenti neoadjuvantno primili 4 ciklusa lijeka </w:t>
      </w:r>
      <w:r w:rsidR="009C77FA" w:rsidRPr="00424A4B">
        <w:rPr>
          <w:sz w:val="22"/>
          <w:szCs w:val="22"/>
          <w:lang w:val="sr-Latn-ME"/>
        </w:rPr>
        <w:t>Perjeta</w:t>
      </w:r>
      <w:r w:rsidRPr="00424A4B">
        <w:rPr>
          <w:sz w:val="22"/>
          <w:szCs w:val="22"/>
          <w:lang w:val="sr-Latn-ME"/>
        </w:rPr>
        <w:t xml:space="preserve">, incidencija disfunkcije lijeve komore (tokom cjelokupnog </w:t>
      </w:r>
      <w:r w:rsidR="003C6872" w:rsidRPr="00424A4B">
        <w:rPr>
          <w:sz w:val="22"/>
          <w:szCs w:val="22"/>
          <w:lang w:val="sr-Latn-ME"/>
        </w:rPr>
        <w:t>perioda</w:t>
      </w:r>
      <w:r w:rsidRPr="00424A4B">
        <w:rPr>
          <w:sz w:val="22"/>
          <w:szCs w:val="22"/>
          <w:lang w:val="sr-Latn-ME"/>
        </w:rPr>
        <w:t xml:space="preserve"> liječenja) bila je veća u grupi liječenoj lijekom </w:t>
      </w:r>
      <w:r w:rsidR="009C77FA" w:rsidRPr="00424A4B">
        <w:rPr>
          <w:sz w:val="22"/>
          <w:szCs w:val="22"/>
          <w:lang w:val="sr-Latn-ME"/>
        </w:rPr>
        <w:t>Perjeta</w:t>
      </w:r>
      <w:r w:rsidRPr="00424A4B">
        <w:rPr>
          <w:sz w:val="22"/>
          <w:szCs w:val="22"/>
          <w:lang w:val="sr-Latn-ME"/>
        </w:rPr>
        <w:t xml:space="preserve">, trastuzumabom i docetakselom (7,5%) nego u onoj liječenoj trastuzumabom i docetakselom (1,9%). Zabilježen je jedan slučaj simptomatske disfunkcije lijeve komore u grupi liječenoj lijekom </w:t>
      </w:r>
      <w:r w:rsidR="009C77FA" w:rsidRPr="00424A4B">
        <w:rPr>
          <w:sz w:val="22"/>
          <w:szCs w:val="22"/>
          <w:lang w:val="sr-Latn-ME"/>
        </w:rPr>
        <w:t>Perjeta</w:t>
      </w:r>
      <w:r w:rsidRPr="00424A4B">
        <w:rPr>
          <w:sz w:val="22"/>
          <w:szCs w:val="22"/>
          <w:lang w:val="sr-Latn-ME"/>
        </w:rPr>
        <w:t xml:space="preserve"> i trastuzumabom. </w:t>
      </w:r>
    </w:p>
    <w:p w:rsidR="002B03CF" w:rsidRPr="00424A4B" w:rsidRDefault="002B03CF"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U ispitivanju neoadjuvantnog liječenja TRYPHAENA, incidencija disfunkcije lijeve komore (tokom cjelokupnog </w:t>
      </w:r>
      <w:r w:rsidR="003C6872" w:rsidRPr="00424A4B">
        <w:rPr>
          <w:sz w:val="22"/>
          <w:szCs w:val="22"/>
          <w:lang w:val="sr-Latn-ME"/>
        </w:rPr>
        <w:t>perioda</w:t>
      </w:r>
      <w:r w:rsidRPr="00424A4B">
        <w:rPr>
          <w:sz w:val="22"/>
          <w:szCs w:val="22"/>
          <w:lang w:val="sr-Latn-ME"/>
        </w:rPr>
        <w:t xml:space="preserve"> liječenja) iznosila je 8,3% u grupi liječenoj lijekom </w:t>
      </w:r>
      <w:r w:rsidR="009C77FA" w:rsidRPr="00424A4B">
        <w:rPr>
          <w:sz w:val="22"/>
          <w:szCs w:val="22"/>
          <w:lang w:val="sr-Latn-ME"/>
        </w:rPr>
        <w:t>Perjeta</w:t>
      </w:r>
      <w:r w:rsidRPr="00424A4B">
        <w:rPr>
          <w:sz w:val="22"/>
          <w:szCs w:val="22"/>
          <w:lang w:val="sr-Latn-ME"/>
        </w:rPr>
        <w:t xml:space="preserve"> plus trastuzumabom i FEC</w:t>
      </w:r>
      <w:r w:rsidRPr="00424A4B">
        <w:rPr>
          <w:sz w:val="22"/>
          <w:szCs w:val="22"/>
          <w:lang w:val="sr-Latn-ME"/>
        </w:rPr>
        <w:noBreakHyphen/>
        <w:t xml:space="preserve">om (5-fluorouracil, epirubicin, ciklofosfamid), a nakon toga lijekom </w:t>
      </w:r>
      <w:r w:rsidR="009C77FA" w:rsidRPr="00424A4B">
        <w:rPr>
          <w:sz w:val="22"/>
          <w:szCs w:val="22"/>
          <w:lang w:val="sr-Latn-ME"/>
        </w:rPr>
        <w:t>Perjeta</w:t>
      </w:r>
      <w:r w:rsidRPr="00424A4B">
        <w:rPr>
          <w:sz w:val="22"/>
          <w:szCs w:val="22"/>
          <w:lang w:val="sr-Latn-ME"/>
        </w:rPr>
        <w:t xml:space="preserve"> plus trastuzumabom i docetakselom); 9,3% u grupi liječenoj lijekom </w:t>
      </w:r>
      <w:r w:rsidR="009C77FA" w:rsidRPr="00424A4B">
        <w:rPr>
          <w:sz w:val="22"/>
          <w:szCs w:val="22"/>
          <w:lang w:val="sr-Latn-ME"/>
        </w:rPr>
        <w:t>Perjeta</w:t>
      </w:r>
      <w:r w:rsidRPr="00424A4B">
        <w:rPr>
          <w:sz w:val="22"/>
          <w:szCs w:val="22"/>
          <w:lang w:val="sr-Latn-ME"/>
        </w:rPr>
        <w:t xml:space="preserve"> plus trastuzumabom i docetakselom nakon terapije FEC</w:t>
      </w:r>
      <w:r w:rsidRPr="00424A4B">
        <w:rPr>
          <w:sz w:val="22"/>
          <w:szCs w:val="22"/>
          <w:lang w:val="sr-Latn-ME"/>
        </w:rPr>
        <w:noBreakHyphen/>
        <w:t xml:space="preserve">om te 6,6% u </w:t>
      </w:r>
      <w:r w:rsidR="003C6872" w:rsidRPr="00424A4B">
        <w:rPr>
          <w:sz w:val="22"/>
          <w:szCs w:val="22"/>
          <w:lang w:val="sr-Latn-ME"/>
        </w:rPr>
        <w:t>grupi</w:t>
      </w:r>
      <w:r w:rsidRPr="00424A4B">
        <w:rPr>
          <w:sz w:val="22"/>
          <w:szCs w:val="22"/>
          <w:lang w:val="sr-Latn-ME"/>
        </w:rPr>
        <w:t xml:space="preserve"> liječenoj lijekom </w:t>
      </w:r>
      <w:r w:rsidR="009C77FA" w:rsidRPr="00424A4B">
        <w:rPr>
          <w:sz w:val="22"/>
          <w:szCs w:val="22"/>
          <w:lang w:val="sr-Latn-ME"/>
        </w:rPr>
        <w:t>Perjeta</w:t>
      </w:r>
      <w:r w:rsidRPr="00424A4B">
        <w:rPr>
          <w:sz w:val="22"/>
          <w:szCs w:val="22"/>
          <w:lang w:val="sr-Latn-ME"/>
        </w:rPr>
        <w:t xml:space="preserve"> u kombinaciji sa TCH</w:t>
      </w:r>
      <w:r w:rsidRPr="00424A4B">
        <w:rPr>
          <w:sz w:val="22"/>
          <w:szCs w:val="22"/>
          <w:lang w:val="sr-Latn-ME"/>
        </w:rPr>
        <w:noBreakHyphen/>
        <w:t xml:space="preserve">om (docetaksel, karboplatin, trastuzumab). Incidencija simptomatske disfunkcije lijeve komore (kongestivna srčana disfunkcija) iznosila je 1,3% u grupi liječenoj lijekom </w:t>
      </w:r>
      <w:r w:rsidR="009C77FA" w:rsidRPr="00424A4B">
        <w:rPr>
          <w:sz w:val="22"/>
          <w:szCs w:val="22"/>
          <w:lang w:val="sr-Latn-ME"/>
        </w:rPr>
        <w:t>Perjeta</w:t>
      </w:r>
      <w:r w:rsidRPr="00424A4B">
        <w:rPr>
          <w:sz w:val="22"/>
          <w:szCs w:val="22"/>
          <w:lang w:val="sr-Latn-ME"/>
        </w:rPr>
        <w:t xml:space="preserve"> plus trastuzumabom i docetakselom nakon terapije FEC</w:t>
      </w:r>
      <w:r w:rsidRPr="00424A4B">
        <w:rPr>
          <w:sz w:val="22"/>
          <w:szCs w:val="22"/>
          <w:lang w:val="sr-Latn-ME"/>
        </w:rPr>
        <w:noBreakHyphen/>
        <w:t>om (što ne uključuje pacijenta kod kojeg je nastupila disfunkcija lijeve komore tokom liječenja FEC</w:t>
      </w:r>
      <w:r w:rsidRPr="00424A4B">
        <w:rPr>
          <w:sz w:val="22"/>
          <w:szCs w:val="22"/>
          <w:lang w:val="sr-Latn-ME"/>
        </w:rPr>
        <w:noBreakHyphen/>
        <w:t xml:space="preserve">om prije nego što je primio lijek </w:t>
      </w:r>
      <w:r w:rsidR="009C77FA" w:rsidRPr="00424A4B">
        <w:rPr>
          <w:sz w:val="22"/>
          <w:szCs w:val="22"/>
          <w:lang w:val="sr-Latn-ME"/>
        </w:rPr>
        <w:t>Perjeta</w:t>
      </w:r>
      <w:r w:rsidRPr="00424A4B">
        <w:rPr>
          <w:sz w:val="22"/>
          <w:szCs w:val="22"/>
          <w:lang w:val="sr-Latn-ME"/>
        </w:rPr>
        <w:t xml:space="preserve"> plus trastuzumab i docetaksel) te takođe 1,3% u grupi  liječenoj lijekom </w:t>
      </w:r>
      <w:r w:rsidR="009C77FA" w:rsidRPr="00424A4B">
        <w:rPr>
          <w:sz w:val="22"/>
          <w:szCs w:val="22"/>
          <w:lang w:val="sr-Latn-ME"/>
        </w:rPr>
        <w:t>Perjeta</w:t>
      </w:r>
      <w:r w:rsidRPr="00424A4B">
        <w:rPr>
          <w:sz w:val="22"/>
          <w:szCs w:val="22"/>
          <w:lang w:val="sr-Latn-ME"/>
        </w:rPr>
        <w:t xml:space="preserve"> u kombinaciji sa TCH</w:t>
      </w:r>
      <w:r w:rsidRPr="00424A4B">
        <w:rPr>
          <w:sz w:val="22"/>
          <w:szCs w:val="22"/>
          <w:lang w:val="sr-Latn-ME"/>
        </w:rPr>
        <w:noBreakHyphen/>
        <w:t xml:space="preserve">om. Simptomatska disfunkcija lijeve komore nije nastupila ni kod jednog pacijenta liječenog lijekom </w:t>
      </w:r>
      <w:r w:rsidR="009C77FA" w:rsidRPr="00424A4B">
        <w:rPr>
          <w:sz w:val="22"/>
          <w:szCs w:val="22"/>
          <w:lang w:val="sr-Latn-ME"/>
        </w:rPr>
        <w:t>Perjeta</w:t>
      </w:r>
      <w:r w:rsidRPr="00424A4B">
        <w:rPr>
          <w:sz w:val="22"/>
          <w:szCs w:val="22"/>
          <w:lang w:val="sr-Latn-ME"/>
        </w:rPr>
        <w:t xml:space="preserve"> plus trastuzumabom i FEC</w:t>
      </w:r>
      <w:r w:rsidRPr="00424A4B">
        <w:rPr>
          <w:sz w:val="22"/>
          <w:szCs w:val="22"/>
          <w:lang w:val="sr-Latn-ME"/>
        </w:rPr>
        <w:noBreakHyphen/>
        <w:t xml:space="preserve">om, a nakon toga lijekom </w:t>
      </w:r>
      <w:r w:rsidR="009C77FA" w:rsidRPr="00424A4B">
        <w:rPr>
          <w:sz w:val="22"/>
          <w:szCs w:val="22"/>
          <w:lang w:val="sr-Latn-ME"/>
        </w:rPr>
        <w:t>Perjeta</w:t>
      </w:r>
      <w:r w:rsidRPr="00424A4B">
        <w:rPr>
          <w:sz w:val="22"/>
          <w:szCs w:val="22"/>
          <w:lang w:val="sr-Latn-ME"/>
        </w:rPr>
        <w:t xml:space="preserve"> plus trastuzumabom i docetakselom.</w:t>
      </w:r>
    </w:p>
    <w:p w:rsidR="005E6320" w:rsidRPr="00424A4B" w:rsidRDefault="005E6320" w:rsidP="0055503A">
      <w:pPr>
        <w:jc w:val="both"/>
        <w:rPr>
          <w:sz w:val="22"/>
          <w:szCs w:val="22"/>
          <w:lang w:val="sr-Latn-ME"/>
        </w:rPr>
      </w:pPr>
      <w:r w:rsidRPr="00424A4B">
        <w:rPr>
          <w:sz w:val="22"/>
          <w:szCs w:val="22"/>
          <w:lang w:val="sr-Latn-ME"/>
        </w:rPr>
        <w:lastRenderedPageBreak/>
        <w:t>U neoadjuvantnom periodu studije BERENICE učestalost simptomatske disfunkcije lijeve komore NYHA stepena III/IV (kongestivna srčana insuficijencija prema verziji 4 NCI- CTCA kriteriju</w:t>
      </w:r>
      <w:r w:rsidR="00704120" w:rsidRPr="00424A4B">
        <w:rPr>
          <w:sz w:val="22"/>
          <w:szCs w:val="22"/>
          <w:lang w:val="sr-Latn-ME"/>
        </w:rPr>
        <w:t>ma</w:t>
      </w:r>
      <w:r w:rsidRPr="00424A4B">
        <w:rPr>
          <w:sz w:val="22"/>
          <w:szCs w:val="22"/>
          <w:lang w:val="sr-Latn-ME"/>
        </w:rPr>
        <w:t xml:space="preserve">) iznosila je 1,5% u grupi liječenoj zgusnutim dozama (engl. dose dense) doksorubicina i ciklofosfamida (AC protokol) nakon čega je uslijedila primjena lijeka </w:t>
      </w:r>
      <w:r w:rsidR="009C77FA" w:rsidRPr="00424A4B">
        <w:rPr>
          <w:sz w:val="22"/>
          <w:szCs w:val="22"/>
          <w:lang w:val="sr-Latn-ME"/>
        </w:rPr>
        <w:t>Perjeta</w:t>
      </w:r>
      <w:r w:rsidRPr="00424A4B">
        <w:rPr>
          <w:sz w:val="22"/>
          <w:szCs w:val="22"/>
          <w:lang w:val="sr-Latn-ME"/>
        </w:rPr>
        <w:t xml:space="preserve"> plus trastuzumaba i paklitaksela te 0% (nije se javila ni kod jednog pacijenta) u grupi liječenoj FEC protokolom nakon kojega je uslijedila primjena lijeka </w:t>
      </w:r>
      <w:r w:rsidR="009C77FA" w:rsidRPr="00424A4B">
        <w:rPr>
          <w:sz w:val="22"/>
          <w:szCs w:val="22"/>
          <w:lang w:val="sr-Latn-ME"/>
        </w:rPr>
        <w:t>Perjeta</w:t>
      </w:r>
      <w:r w:rsidRPr="00424A4B">
        <w:rPr>
          <w:sz w:val="22"/>
          <w:szCs w:val="22"/>
          <w:lang w:val="sr-Latn-ME"/>
        </w:rPr>
        <w:t xml:space="preserve"> u kombinaciji sa trastuzumabom i docetakselom. Učestalost asimptomatske disfunkcije lijeve komore (smanjenje ejekcione frakcije prema verziji 4 NCI- CTCA kriterijuma) iznosila je 7% u grupi liječenoj zgusnutim AC protokolom nakon kojeg je uslijedila primjena lijeka </w:t>
      </w:r>
      <w:r w:rsidR="009C77FA" w:rsidRPr="00424A4B">
        <w:rPr>
          <w:sz w:val="22"/>
          <w:szCs w:val="22"/>
          <w:lang w:val="sr-Latn-ME"/>
        </w:rPr>
        <w:t>Perjeta</w:t>
      </w:r>
      <w:r w:rsidRPr="00424A4B">
        <w:rPr>
          <w:sz w:val="22"/>
          <w:szCs w:val="22"/>
          <w:lang w:val="sr-Latn-ME"/>
        </w:rPr>
        <w:t xml:space="preserve"> plus trastuzumab i paklitaksel te 3,5% u grupi liječenoj FEC protokolom nakon kojeg je uslijedila primjena lijeka </w:t>
      </w:r>
      <w:r w:rsidR="009C77FA" w:rsidRPr="00424A4B">
        <w:rPr>
          <w:sz w:val="22"/>
          <w:szCs w:val="22"/>
          <w:lang w:val="sr-Latn-ME"/>
        </w:rPr>
        <w:t>Perjeta</w:t>
      </w:r>
      <w:r w:rsidRPr="00424A4B">
        <w:rPr>
          <w:sz w:val="22"/>
          <w:szCs w:val="22"/>
          <w:lang w:val="sr-Latn-ME"/>
        </w:rPr>
        <w:t xml:space="preserve"> u kombinaciji sa trastuzumabom i docetakselom. </w:t>
      </w:r>
    </w:p>
    <w:p w:rsidR="002B03CF" w:rsidRPr="00424A4B" w:rsidRDefault="002B03CF"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U ispitivanju APHINITY incidenca simptomatske insuficijencije srca (NYHA stadijum III ili IV) uz smanjenje ejekcione frakcije lijeve komore za najmanje 10 procentnih bodova u odnosu na početnu vrijednost te do &lt; 50% iznosila je &lt; 1% (0, </w:t>
      </w:r>
      <w:r w:rsidR="00DA5717" w:rsidRPr="00424A4B">
        <w:rPr>
          <w:sz w:val="22"/>
          <w:szCs w:val="22"/>
          <w:lang w:val="sr-Latn-ME"/>
        </w:rPr>
        <w:t>8</w:t>
      </w:r>
      <w:r w:rsidRPr="00424A4B">
        <w:rPr>
          <w:sz w:val="22"/>
          <w:szCs w:val="22"/>
          <w:lang w:val="sr-Latn-ME"/>
        </w:rPr>
        <w:t xml:space="preserve">% u pacijenata liječenih lijekom </w:t>
      </w:r>
      <w:r w:rsidR="009C77FA" w:rsidRPr="00424A4B">
        <w:rPr>
          <w:sz w:val="22"/>
          <w:szCs w:val="22"/>
          <w:lang w:val="sr-Latn-ME"/>
        </w:rPr>
        <w:t>Perjeta</w:t>
      </w:r>
      <w:r w:rsidRPr="00424A4B">
        <w:rPr>
          <w:sz w:val="22"/>
          <w:szCs w:val="22"/>
          <w:lang w:val="sr-Latn-ME"/>
        </w:rPr>
        <w:t xml:space="preserve"> u odnosu na 0,</w:t>
      </w:r>
      <w:r w:rsidR="00DA5717" w:rsidRPr="00424A4B">
        <w:rPr>
          <w:sz w:val="22"/>
          <w:szCs w:val="22"/>
          <w:lang w:val="sr-Latn-ME"/>
        </w:rPr>
        <w:t>4</w:t>
      </w:r>
      <w:r w:rsidRPr="00424A4B">
        <w:rPr>
          <w:sz w:val="22"/>
          <w:szCs w:val="22"/>
          <w:lang w:val="sr-Latn-ME"/>
        </w:rPr>
        <w:t xml:space="preserve">% kod onih koji su primali placebo). Među pacijentima kod kojih je došlo do simptomatske insuficijencije srca, kod </w:t>
      </w:r>
      <w:r w:rsidR="00DA5717" w:rsidRPr="00424A4B">
        <w:rPr>
          <w:sz w:val="22"/>
          <w:szCs w:val="22"/>
          <w:lang w:val="sr-Latn-ME"/>
        </w:rPr>
        <w:t>62,5</w:t>
      </w:r>
      <w:r w:rsidRPr="00424A4B">
        <w:rPr>
          <w:sz w:val="22"/>
          <w:szCs w:val="22"/>
          <w:lang w:val="sr-Latn-ME"/>
        </w:rPr>
        <w:t xml:space="preserve">% pacijenata liječenih lijekom </w:t>
      </w:r>
      <w:r w:rsidR="009C77FA" w:rsidRPr="00424A4B">
        <w:rPr>
          <w:sz w:val="22"/>
          <w:szCs w:val="22"/>
          <w:lang w:val="sr-Latn-ME"/>
        </w:rPr>
        <w:t>Perjeta</w:t>
      </w:r>
      <w:r w:rsidRPr="00424A4B">
        <w:rPr>
          <w:sz w:val="22"/>
          <w:szCs w:val="22"/>
          <w:lang w:val="sr-Latn-ME"/>
        </w:rPr>
        <w:t xml:space="preserve"> i </w:t>
      </w:r>
      <w:r w:rsidR="00DA5717" w:rsidRPr="00424A4B">
        <w:rPr>
          <w:sz w:val="22"/>
          <w:szCs w:val="22"/>
          <w:lang w:val="sr-Latn-ME"/>
        </w:rPr>
        <w:t>66,7</w:t>
      </w:r>
      <w:r w:rsidRPr="00424A4B">
        <w:rPr>
          <w:sz w:val="22"/>
          <w:szCs w:val="22"/>
          <w:lang w:val="sr-Latn-ME"/>
        </w:rPr>
        <w:t>% onih koji su primali placebo zabilježen je oporavak (koji je definisan kao dvije uzastopno izmjerene vrijednosti ejekcione frakcije lijeve komore iznad 50%) na dan prestanka prikupljanja podataka. Većina događaja prijavljena je kod pacijenata liječenih antraciklinom. Asimptomatsko ili blago simptomatsko (NYHA stadijum II) smanjenje ejekcione frakcije lijeve komore za najmanje 10 procentnih bodova u odnosu na početnu vrijednost i do &lt; 50% prijavljen</w:t>
      </w:r>
      <w:r w:rsidR="00704120" w:rsidRPr="00424A4B">
        <w:rPr>
          <w:sz w:val="22"/>
          <w:szCs w:val="22"/>
          <w:lang w:val="sr-Latn-ME"/>
        </w:rPr>
        <w:t>o</w:t>
      </w:r>
      <w:r w:rsidRPr="00424A4B">
        <w:rPr>
          <w:sz w:val="22"/>
          <w:szCs w:val="22"/>
          <w:lang w:val="sr-Latn-ME"/>
        </w:rPr>
        <w:t xml:space="preserve"> </w:t>
      </w:r>
      <w:r w:rsidR="00704120" w:rsidRPr="00424A4B">
        <w:rPr>
          <w:sz w:val="22"/>
          <w:szCs w:val="22"/>
          <w:lang w:val="sr-Latn-ME"/>
        </w:rPr>
        <w:t>je</w:t>
      </w:r>
      <w:r w:rsidRPr="00424A4B">
        <w:rPr>
          <w:sz w:val="22"/>
          <w:szCs w:val="22"/>
          <w:lang w:val="sr-Latn-ME"/>
        </w:rPr>
        <w:t xml:space="preserve"> kod 2,7% pacijenata liječenih lijekom </w:t>
      </w:r>
      <w:r w:rsidR="009C77FA" w:rsidRPr="00424A4B">
        <w:rPr>
          <w:sz w:val="22"/>
          <w:szCs w:val="22"/>
          <w:lang w:val="sr-Latn-ME"/>
        </w:rPr>
        <w:t>Perjeta</w:t>
      </w:r>
      <w:r w:rsidRPr="00424A4B">
        <w:rPr>
          <w:sz w:val="22"/>
          <w:szCs w:val="22"/>
          <w:lang w:val="sr-Latn-ME"/>
        </w:rPr>
        <w:t xml:space="preserve"> i 2,</w:t>
      </w:r>
      <w:r w:rsidR="00DA5717" w:rsidRPr="00424A4B">
        <w:rPr>
          <w:sz w:val="22"/>
          <w:szCs w:val="22"/>
          <w:lang w:val="sr-Latn-ME"/>
        </w:rPr>
        <w:t>9</w:t>
      </w:r>
      <w:r w:rsidRPr="00424A4B">
        <w:rPr>
          <w:sz w:val="22"/>
          <w:szCs w:val="22"/>
          <w:lang w:val="sr-Latn-ME"/>
        </w:rPr>
        <w:t xml:space="preserve">% onih koji su primali placebo. Među njima je oporavak na dan prestanka prikupljanja podataka zabilježen kod </w:t>
      </w:r>
      <w:r w:rsidR="00DA5717" w:rsidRPr="00424A4B">
        <w:rPr>
          <w:sz w:val="22"/>
          <w:szCs w:val="22"/>
          <w:lang w:val="sr-Latn-ME"/>
        </w:rPr>
        <w:t>84,4</w:t>
      </w:r>
      <w:r w:rsidRPr="00424A4B">
        <w:rPr>
          <w:sz w:val="22"/>
          <w:szCs w:val="22"/>
          <w:lang w:val="sr-Latn-ME"/>
        </w:rPr>
        <w:t xml:space="preserve">% pacijenata liječenih lijekom </w:t>
      </w:r>
      <w:r w:rsidR="009C77FA" w:rsidRPr="00424A4B">
        <w:rPr>
          <w:sz w:val="22"/>
          <w:szCs w:val="22"/>
          <w:lang w:val="sr-Latn-ME"/>
        </w:rPr>
        <w:t>Perjeta</w:t>
      </w:r>
      <w:r w:rsidRPr="00424A4B">
        <w:rPr>
          <w:sz w:val="22"/>
          <w:szCs w:val="22"/>
          <w:lang w:val="sr-Latn-ME"/>
        </w:rPr>
        <w:t xml:space="preserve"> i </w:t>
      </w:r>
      <w:r w:rsidR="00DA5717" w:rsidRPr="00424A4B">
        <w:rPr>
          <w:sz w:val="22"/>
          <w:szCs w:val="22"/>
          <w:lang w:val="sr-Latn-ME"/>
        </w:rPr>
        <w:t>87,0</w:t>
      </w:r>
      <w:r w:rsidRPr="00424A4B">
        <w:rPr>
          <w:sz w:val="22"/>
          <w:szCs w:val="22"/>
          <w:lang w:val="sr-Latn-ME"/>
        </w:rPr>
        <w:t>% onih koji su primali placebo.</w:t>
      </w:r>
    </w:p>
    <w:p w:rsidR="002B03CF" w:rsidRPr="00424A4B" w:rsidRDefault="002B03CF" w:rsidP="0055503A">
      <w:pPr>
        <w:jc w:val="both"/>
        <w:rPr>
          <w:sz w:val="22"/>
          <w:szCs w:val="22"/>
          <w:u w:val="single"/>
          <w:lang w:val="sr-Latn-ME"/>
        </w:rPr>
      </w:pPr>
    </w:p>
    <w:p w:rsidR="005E6320" w:rsidRPr="00424A4B" w:rsidRDefault="005E6320" w:rsidP="0055503A">
      <w:pPr>
        <w:jc w:val="both"/>
        <w:rPr>
          <w:i/>
          <w:sz w:val="22"/>
          <w:szCs w:val="22"/>
          <w:lang w:val="sr-Latn-ME"/>
        </w:rPr>
      </w:pPr>
      <w:r w:rsidRPr="00424A4B">
        <w:rPr>
          <w:i/>
          <w:sz w:val="22"/>
          <w:szCs w:val="22"/>
          <w:lang w:val="sr-Latn-ME"/>
        </w:rPr>
        <w:t>Reakcije na infuziju</w:t>
      </w:r>
    </w:p>
    <w:p w:rsidR="005E6320" w:rsidRPr="00424A4B" w:rsidRDefault="005E6320" w:rsidP="0055503A">
      <w:pPr>
        <w:jc w:val="both"/>
        <w:rPr>
          <w:sz w:val="22"/>
          <w:szCs w:val="22"/>
          <w:lang w:val="sr-Latn-ME"/>
        </w:rPr>
      </w:pPr>
      <w:r w:rsidRPr="00424A4B">
        <w:rPr>
          <w:sz w:val="22"/>
          <w:szCs w:val="22"/>
          <w:lang w:val="sr-Latn-ME"/>
        </w:rPr>
        <w:t xml:space="preserve">U pivotalnim ispitivanjima,  reakcija na infuziju je definisana kao bilo koji događaj  prijavljen kao preosjetljivost, anafilaktička reakcija, akutna reakcija na infuziju ili sindrom oslobađanja citokina, koji se javio tokom infuzije ili na dan primjene infuzije. U pivotalnom ispitivanju CLEOPATRA početna doza lijeka </w:t>
      </w:r>
      <w:r w:rsidR="009C77FA" w:rsidRPr="00424A4B">
        <w:rPr>
          <w:sz w:val="22"/>
          <w:szCs w:val="22"/>
          <w:lang w:val="sr-Latn-ME"/>
        </w:rPr>
        <w:t>Perjeta</w:t>
      </w:r>
      <w:r w:rsidRPr="00424A4B">
        <w:rPr>
          <w:sz w:val="22"/>
          <w:szCs w:val="22"/>
          <w:lang w:val="sr-Latn-ME"/>
        </w:rPr>
        <w:t xml:space="preserve"> prim</w:t>
      </w:r>
      <w:r w:rsidR="00704120" w:rsidRPr="00424A4B">
        <w:rPr>
          <w:sz w:val="22"/>
          <w:szCs w:val="22"/>
          <w:lang w:val="sr-Latn-ME"/>
        </w:rPr>
        <w:t>i</w:t>
      </w:r>
      <w:r w:rsidRPr="00424A4B">
        <w:rPr>
          <w:sz w:val="22"/>
          <w:szCs w:val="22"/>
          <w:lang w:val="sr-Latn-ME"/>
        </w:rPr>
        <w:t xml:space="preserve">jenjena je dan prije trastuzumaba i docetaksela kako bi se mogle istražiti reakcije povezane sa lijekom </w:t>
      </w:r>
      <w:r w:rsidR="009C77FA" w:rsidRPr="00424A4B">
        <w:rPr>
          <w:sz w:val="22"/>
          <w:szCs w:val="22"/>
          <w:lang w:val="sr-Latn-ME"/>
        </w:rPr>
        <w:t>Perjeta</w:t>
      </w:r>
      <w:r w:rsidRPr="00424A4B">
        <w:rPr>
          <w:sz w:val="22"/>
          <w:szCs w:val="22"/>
          <w:lang w:val="sr-Latn-ME"/>
        </w:rPr>
        <w:t>. Prvoga dana, kada je prim</w:t>
      </w:r>
      <w:r w:rsidR="00704120" w:rsidRPr="00424A4B">
        <w:rPr>
          <w:sz w:val="22"/>
          <w:szCs w:val="22"/>
          <w:lang w:val="sr-Latn-ME"/>
        </w:rPr>
        <w:t>i</w:t>
      </w:r>
      <w:r w:rsidRPr="00424A4B">
        <w:rPr>
          <w:sz w:val="22"/>
          <w:szCs w:val="22"/>
          <w:lang w:val="sr-Latn-ME"/>
        </w:rPr>
        <w:t xml:space="preserve">jenjen samo </w:t>
      </w:r>
      <w:r w:rsidR="005E287E" w:rsidRPr="00424A4B">
        <w:rPr>
          <w:sz w:val="22"/>
          <w:szCs w:val="22"/>
          <w:lang w:val="sr-Latn-ME"/>
        </w:rPr>
        <w:t xml:space="preserve">lijek </w:t>
      </w:r>
      <w:r w:rsidR="009C77FA" w:rsidRPr="00424A4B">
        <w:rPr>
          <w:sz w:val="22"/>
          <w:szCs w:val="22"/>
          <w:lang w:val="sr-Latn-ME"/>
        </w:rPr>
        <w:t>Perjeta</w:t>
      </w:r>
      <w:r w:rsidRPr="00424A4B">
        <w:rPr>
          <w:sz w:val="22"/>
          <w:szCs w:val="22"/>
          <w:lang w:val="sr-Latn-ME"/>
        </w:rPr>
        <w:t xml:space="preserve">, ukupna učestalost reakcija na infuziju bila je 9,8% u grupi koja je primala placebo i 13,2% u grupi liječenoj lijekom </w:t>
      </w:r>
      <w:r w:rsidR="009C77FA" w:rsidRPr="00424A4B">
        <w:rPr>
          <w:sz w:val="22"/>
          <w:szCs w:val="22"/>
          <w:lang w:val="sr-Latn-ME"/>
        </w:rPr>
        <w:t>Perjeta</w:t>
      </w:r>
      <w:r w:rsidRPr="00424A4B">
        <w:rPr>
          <w:sz w:val="22"/>
          <w:szCs w:val="22"/>
          <w:lang w:val="sr-Latn-ME"/>
        </w:rPr>
        <w:t xml:space="preserve">, pri čemu je većina reakcija na infuziju bila blaga ili umjerena. Najčešće reakcije na infuziju (≥  1,0%) u grupi liječenoj lijekom </w:t>
      </w:r>
      <w:r w:rsidR="009C77FA" w:rsidRPr="00424A4B">
        <w:rPr>
          <w:sz w:val="22"/>
          <w:szCs w:val="22"/>
          <w:lang w:val="sr-Latn-ME"/>
        </w:rPr>
        <w:t>Perjeta</w:t>
      </w:r>
      <w:r w:rsidRPr="00424A4B">
        <w:rPr>
          <w:sz w:val="22"/>
          <w:szCs w:val="22"/>
          <w:lang w:val="sr-Latn-ME"/>
        </w:rPr>
        <w:t xml:space="preserve"> bile su pireksija, drhtavica, umor, glavobolja, astenija, preosjetljivost i povraćanje.</w:t>
      </w:r>
    </w:p>
    <w:p w:rsidR="002B03CF" w:rsidRPr="00424A4B" w:rsidRDefault="002B03CF"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Tokom drugog ciklusa liječenja, u kojem su svi ljekovi prim</w:t>
      </w:r>
      <w:r w:rsidR="00704120" w:rsidRPr="00424A4B">
        <w:rPr>
          <w:sz w:val="22"/>
          <w:szCs w:val="22"/>
          <w:lang w:val="sr-Latn-ME"/>
        </w:rPr>
        <w:t>i</w:t>
      </w:r>
      <w:r w:rsidRPr="00424A4B">
        <w:rPr>
          <w:sz w:val="22"/>
          <w:szCs w:val="22"/>
          <w:lang w:val="sr-Latn-ME"/>
        </w:rPr>
        <w:t xml:space="preserve">jenjeni istoga dana, najčešće reakcije na infuziju u grupi liječenoj lijekom </w:t>
      </w:r>
      <w:r w:rsidR="009C77FA" w:rsidRPr="00424A4B">
        <w:rPr>
          <w:sz w:val="22"/>
          <w:szCs w:val="22"/>
          <w:lang w:val="sr-Latn-ME"/>
        </w:rPr>
        <w:t>Perjeta</w:t>
      </w:r>
      <w:r w:rsidRPr="00424A4B">
        <w:rPr>
          <w:sz w:val="22"/>
          <w:szCs w:val="22"/>
          <w:lang w:val="sr-Latn-ME"/>
        </w:rPr>
        <w:t xml:space="preserve"> (≥  1,0%) bile su umor, disgeuzija, preosjetljivost na lijek, mialgija i povraćanje (vidjeti dio 4.4.).</w:t>
      </w:r>
    </w:p>
    <w:p w:rsidR="002B03CF" w:rsidRPr="00424A4B" w:rsidRDefault="002B03CF"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U ispitivanjima neoadjuvantnog i adjuvantnog liječenja</w:t>
      </w:r>
      <w:r w:rsidR="009514B9" w:rsidRPr="00424A4B">
        <w:rPr>
          <w:sz w:val="22"/>
          <w:szCs w:val="22"/>
          <w:lang w:val="sr-Latn-ME"/>
        </w:rPr>
        <w:t xml:space="preserve"> lijek</w:t>
      </w:r>
      <w:r w:rsidR="00D9641B" w:rsidRPr="00424A4B">
        <w:rPr>
          <w:sz w:val="22"/>
          <w:szCs w:val="22"/>
          <w:lang w:val="sr-Latn-ME"/>
        </w:rPr>
        <w:t xml:space="preserve"> </w:t>
      </w:r>
      <w:r w:rsidR="009C77FA" w:rsidRPr="00424A4B">
        <w:rPr>
          <w:sz w:val="22"/>
          <w:szCs w:val="22"/>
          <w:lang w:val="sr-Latn-ME"/>
        </w:rPr>
        <w:t>Perjeta</w:t>
      </w:r>
      <w:r w:rsidRPr="00424A4B">
        <w:rPr>
          <w:sz w:val="22"/>
          <w:szCs w:val="22"/>
          <w:lang w:val="sr-Latn-ME"/>
        </w:rPr>
        <w:t xml:space="preserve"> se u svim ciklusima </w:t>
      </w:r>
      <w:r w:rsidR="009514B9" w:rsidRPr="00424A4B">
        <w:rPr>
          <w:sz w:val="22"/>
          <w:szCs w:val="22"/>
          <w:lang w:val="sr-Latn-ME"/>
        </w:rPr>
        <w:t xml:space="preserve">primjenjivao </w:t>
      </w:r>
      <w:r w:rsidRPr="00424A4B">
        <w:rPr>
          <w:sz w:val="22"/>
          <w:szCs w:val="22"/>
          <w:lang w:val="sr-Latn-ME"/>
        </w:rPr>
        <w:t xml:space="preserve">istoga dana kad i druge ispitivane terapije. Reakcije na infuziju zabelježene su </w:t>
      </w:r>
      <w:r w:rsidR="00704120" w:rsidRPr="00424A4B">
        <w:rPr>
          <w:sz w:val="22"/>
          <w:szCs w:val="22"/>
          <w:lang w:val="sr-Latn-ME"/>
        </w:rPr>
        <w:t>kod</w:t>
      </w:r>
      <w:r w:rsidRPr="00424A4B">
        <w:rPr>
          <w:sz w:val="22"/>
          <w:szCs w:val="22"/>
          <w:lang w:val="sr-Latn-ME"/>
        </w:rPr>
        <w:t xml:space="preserve"> 18,6%-25,0% pacijenata prvog dana primjene lijeka </w:t>
      </w:r>
      <w:r w:rsidR="009C77FA" w:rsidRPr="00424A4B">
        <w:rPr>
          <w:sz w:val="22"/>
          <w:szCs w:val="22"/>
          <w:lang w:val="sr-Latn-ME"/>
        </w:rPr>
        <w:t>Perjeta</w:t>
      </w:r>
      <w:r w:rsidRPr="00424A4B">
        <w:rPr>
          <w:sz w:val="22"/>
          <w:szCs w:val="22"/>
          <w:lang w:val="sr-Latn-ME"/>
        </w:rPr>
        <w:t xml:space="preserve"> (u kombinaciji s</w:t>
      </w:r>
      <w:r w:rsidR="00704120" w:rsidRPr="00424A4B">
        <w:rPr>
          <w:sz w:val="22"/>
          <w:szCs w:val="22"/>
          <w:lang w:val="sr-Latn-ME"/>
        </w:rPr>
        <w:t>a</w:t>
      </w:r>
      <w:r w:rsidRPr="00424A4B">
        <w:rPr>
          <w:sz w:val="22"/>
          <w:szCs w:val="22"/>
          <w:lang w:val="sr-Latn-ME"/>
        </w:rPr>
        <w:t xml:space="preserve"> trastuzumabom i hemoterapijom). Vrsta i težina događaja bile su u skladu sa onima koje su </w:t>
      </w:r>
      <w:r w:rsidR="00704120" w:rsidRPr="00424A4B">
        <w:rPr>
          <w:sz w:val="22"/>
          <w:szCs w:val="22"/>
          <w:lang w:val="sr-Latn-ME"/>
        </w:rPr>
        <w:t>zabilježene</w:t>
      </w:r>
      <w:r w:rsidRPr="00424A4B">
        <w:rPr>
          <w:sz w:val="22"/>
          <w:szCs w:val="22"/>
          <w:lang w:val="sr-Latn-ME"/>
        </w:rPr>
        <w:t xml:space="preserve"> u ispitivanju CLEOPATRA u onim ciklusima u kojima se</w:t>
      </w:r>
      <w:r w:rsidR="009514B9" w:rsidRPr="00424A4B">
        <w:rPr>
          <w:sz w:val="22"/>
          <w:szCs w:val="22"/>
          <w:lang w:val="sr-Latn-ME"/>
        </w:rPr>
        <w:t xml:space="preserve"> lijek</w:t>
      </w:r>
      <w:r w:rsidRPr="00424A4B">
        <w:rPr>
          <w:sz w:val="22"/>
          <w:szCs w:val="22"/>
          <w:lang w:val="sr-Latn-ME"/>
        </w:rPr>
        <w:t xml:space="preserve"> </w:t>
      </w:r>
      <w:r w:rsidR="009C77FA" w:rsidRPr="00424A4B">
        <w:rPr>
          <w:sz w:val="22"/>
          <w:szCs w:val="22"/>
          <w:lang w:val="sr-Latn-ME"/>
        </w:rPr>
        <w:t>Perjeta</w:t>
      </w:r>
      <w:r w:rsidRPr="00424A4B">
        <w:rPr>
          <w:sz w:val="22"/>
          <w:szCs w:val="22"/>
          <w:lang w:val="sr-Latn-ME"/>
        </w:rPr>
        <w:t xml:space="preserve"> </w:t>
      </w:r>
      <w:r w:rsidR="009514B9" w:rsidRPr="00424A4B">
        <w:rPr>
          <w:sz w:val="22"/>
          <w:szCs w:val="22"/>
          <w:lang w:val="sr-Latn-ME"/>
        </w:rPr>
        <w:t xml:space="preserve">primjenjivao </w:t>
      </w:r>
      <w:r w:rsidRPr="00424A4B">
        <w:rPr>
          <w:sz w:val="22"/>
          <w:szCs w:val="22"/>
          <w:lang w:val="sr-Latn-ME"/>
        </w:rPr>
        <w:t>istoga dana kad i trastuzumab i docetaksel, a većina tih reakcija bila je blage do umjerene težine.</w:t>
      </w:r>
    </w:p>
    <w:p w:rsidR="002B03CF" w:rsidRPr="00424A4B" w:rsidRDefault="002B03CF" w:rsidP="0055503A">
      <w:pPr>
        <w:jc w:val="both"/>
        <w:rPr>
          <w:i/>
          <w:sz w:val="22"/>
          <w:szCs w:val="22"/>
          <w:lang w:val="sr-Latn-ME"/>
        </w:rPr>
      </w:pPr>
    </w:p>
    <w:p w:rsidR="005E6320" w:rsidRPr="00424A4B" w:rsidRDefault="005E6320" w:rsidP="0055503A">
      <w:pPr>
        <w:jc w:val="both"/>
        <w:rPr>
          <w:i/>
          <w:sz w:val="22"/>
          <w:szCs w:val="22"/>
          <w:lang w:val="sr-Latn-ME"/>
        </w:rPr>
      </w:pPr>
      <w:r w:rsidRPr="00424A4B">
        <w:rPr>
          <w:i/>
          <w:sz w:val="22"/>
          <w:szCs w:val="22"/>
          <w:lang w:val="sr-Latn-ME"/>
        </w:rPr>
        <w:t>Reakcije preosjetljivosti/anafilaksa</w:t>
      </w:r>
    </w:p>
    <w:p w:rsidR="005E6320" w:rsidRPr="00424A4B" w:rsidRDefault="005E6320" w:rsidP="0055503A">
      <w:pPr>
        <w:jc w:val="both"/>
        <w:rPr>
          <w:sz w:val="22"/>
          <w:szCs w:val="22"/>
          <w:lang w:val="sr-Latn-ME"/>
        </w:rPr>
      </w:pPr>
      <w:r w:rsidRPr="00424A4B">
        <w:rPr>
          <w:sz w:val="22"/>
          <w:szCs w:val="22"/>
          <w:lang w:val="sr-Latn-ME"/>
        </w:rPr>
        <w:t>U pivotalnom ispitivanju CLEOPATRA u metastatskom karcinomu dojke, ukupna učestalost slučajeva preosjetljivosti/anafilakse koje s</w:t>
      </w:r>
      <w:r w:rsidR="00704120" w:rsidRPr="00424A4B">
        <w:rPr>
          <w:sz w:val="22"/>
          <w:szCs w:val="22"/>
          <w:lang w:val="sr-Latn-ME"/>
        </w:rPr>
        <w:t>u</w:t>
      </w:r>
      <w:r w:rsidRPr="00424A4B">
        <w:rPr>
          <w:sz w:val="22"/>
          <w:szCs w:val="22"/>
          <w:lang w:val="sr-Latn-ME"/>
        </w:rPr>
        <w:t xml:space="preserve"> prijavili istraživači tokom cijelog perioda liječenja iznosila je 9,3% u grupi koja je primala placebo i 11,3% u grupi liječenoj lijekom </w:t>
      </w:r>
      <w:r w:rsidR="009C77FA" w:rsidRPr="00424A4B">
        <w:rPr>
          <w:sz w:val="22"/>
          <w:szCs w:val="22"/>
          <w:lang w:val="sr-Latn-ME"/>
        </w:rPr>
        <w:t>Perjeta</w:t>
      </w:r>
      <w:r w:rsidRPr="00424A4B">
        <w:rPr>
          <w:sz w:val="22"/>
          <w:szCs w:val="22"/>
          <w:lang w:val="sr-Latn-ME"/>
        </w:rPr>
        <w:t xml:space="preserve">, od kojih je njih 2,5% odnosno 2,0% bilo NCI-CTCAE stepena 3-4. Ukupno su kod 2 pacijenta koja su primala placebo i kod 4 pacijenta liječena lijekom </w:t>
      </w:r>
      <w:r w:rsidR="009C77FA" w:rsidRPr="00424A4B">
        <w:rPr>
          <w:sz w:val="22"/>
          <w:szCs w:val="22"/>
          <w:lang w:val="sr-Latn-ME"/>
        </w:rPr>
        <w:t>Perjeta</w:t>
      </w:r>
      <w:r w:rsidRPr="00424A4B">
        <w:rPr>
          <w:sz w:val="22"/>
          <w:szCs w:val="22"/>
          <w:lang w:val="sr-Latn-ME"/>
        </w:rPr>
        <w:t xml:space="preserve"> nastupili događaji koje je ispitivač opisao kao anafilaksu (vidjeti dio 4.4). </w:t>
      </w:r>
    </w:p>
    <w:p w:rsidR="002B03CF" w:rsidRPr="00424A4B" w:rsidRDefault="002B03CF"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Ukupno gledajući, reakcije preosjetljivosti većinom su bile blage do umjerene težine i povukle su se nakon liječenja. Na osnovu prilagođavanja ispitivanog liječenja za većinu reakcija </w:t>
      </w:r>
      <w:r w:rsidR="00704120" w:rsidRPr="00424A4B">
        <w:rPr>
          <w:sz w:val="22"/>
          <w:szCs w:val="22"/>
          <w:lang w:val="sr-Latn-ME"/>
        </w:rPr>
        <w:t>je pr</w:t>
      </w:r>
      <w:r w:rsidRPr="00424A4B">
        <w:rPr>
          <w:sz w:val="22"/>
          <w:szCs w:val="22"/>
          <w:lang w:val="sr-Latn-ME"/>
        </w:rPr>
        <w:t>ocijenjeno da su posljedica infuzija docetaksela.</w:t>
      </w:r>
    </w:p>
    <w:p w:rsidR="005E6320" w:rsidRPr="00424A4B" w:rsidRDefault="005E6320" w:rsidP="0055503A">
      <w:pPr>
        <w:jc w:val="both"/>
        <w:rPr>
          <w:sz w:val="22"/>
          <w:szCs w:val="22"/>
          <w:lang w:val="sr-Latn-ME"/>
        </w:rPr>
      </w:pPr>
      <w:r w:rsidRPr="00424A4B">
        <w:rPr>
          <w:sz w:val="22"/>
          <w:szCs w:val="22"/>
          <w:lang w:val="sr-Latn-ME"/>
        </w:rPr>
        <w:lastRenderedPageBreak/>
        <w:t xml:space="preserve">U ispitivanjima neodajuvantnog i adjuvantnog liječenja, događaji preosjetljivosti/anafilakse bili su u skladu sa onima primijećenim u ispitivanju CLEOPATRA. U ispitivanju NEOSPHERE, anafilaksa se javila kod dva pacijenta u grupi liječenoj lijekom </w:t>
      </w:r>
      <w:r w:rsidR="009C77FA" w:rsidRPr="00424A4B">
        <w:rPr>
          <w:sz w:val="22"/>
          <w:szCs w:val="22"/>
          <w:lang w:val="sr-Latn-ME"/>
        </w:rPr>
        <w:t>Perjeta</w:t>
      </w:r>
      <w:r w:rsidRPr="00424A4B">
        <w:rPr>
          <w:sz w:val="22"/>
          <w:szCs w:val="22"/>
          <w:lang w:val="sr-Latn-ME"/>
        </w:rPr>
        <w:t xml:space="preserve"> i docetakselom. U ispitivanju TRYPHAENA i u ispitivanju APHINITY, ukupna učestalost preosjetljivosti/anafilakse bila je najveća u grupi koja je primala lijek </w:t>
      </w:r>
      <w:r w:rsidR="009C77FA" w:rsidRPr="00424A4B">
        <w:rPr>
          <w:sz w:val="22"/>
          <w:szCs w:val="22"/>
          <w:lang w:val="sr-Latn-ME"/>
        </w:rPr>
        <w:t>Perjeta</w:t>
      </w:r>
      <w:r w:rsidRPr="00424A4B">
        <w:rPr>
          <w:sz w:val="22"/>
          <w:szCs w:val="22"/>
          <w:lang w:val="sr-Latn-ME"/>
        </w:rPr>
        <w:t xml:space="preserve"> i TCH (13,2% odnosno 7,6%), a 2,6% odnosno 1,3% događaja bilo je stepena 3</w:t>
      </w:r>
      <w:r w:rsidRPr="00424A4B">
        <w:rPr>
          <w:sz w:val="22"/>
          <w:szCs w:val="22"/>
          <w:lang w:val="sr-Latn-ME"/>
        </w:rPr>
        <w:noBreakHyphen/>
        <w:t>4 prema NCI</w:t>
      </w:r>
      <w:r w:rsidRPr="00424A4B">
        <w:rPr>
          <w:sz w:val="22"/>
          <w:szCs w:val="22"/>
          <w:lang w:val="sr-Latn-ME"/>
        </w:rPr>
        <w:noBreakHyphen/>
        <w:t>CTCAE kriterijuma.</w:t>
      </w:r>
    </w:p>
    <w:p w:rsidR="002B03CF" w:rsidRPr="00424A4B" w:rsidRDefault="002B03CF" w:rsidP="0055503A">
      <w:pPr>
        <w:jc w:val="both"/>
        <w:rPr>
          <w:sz w:val="22"/>
          <w:szCs w:val="22"/>
          <w:lang w:val="sr-Latn-ME"/>
        </w:rPr>
      </w:pPr>
    </w:p>
    <w:p w:rsidR="005E6320" w:rsidRPr="00424A4B" w:rsidRDefault="005E6320" w:rsidP="0055503A">
      <w:pPr>
        <w:rPr>
          <w:i/>
          <w:sz w:val="22"/>
          <w:szCs w:val="22"/>
          <w:lang w:val="sr-Latn-ME"/>
        </w:rPr>
      </w:pPr>
      <w:r w:rsidRPr="00424A4B">
        <w:rPr>
          <w:i/>
          <w:sz w:val="22"/>
          <w:szCs w:val="22"/>
          <w:lang w:val="sr-Latn-ME"/>
        </w:rPr>
        <w:t>Febrilna neutropenija</w:t>
      </w:r>
    </w:p>
    <w:p w:rsidR="005E6320" w:rsidRPr="00424A4B" w:rsidRDefault="005E6320" w:rsidP="0055503A">
      <w:pPr>
        <w:jc w:val="both"/>
        <w:rPr>
          <w:sz w:val="22"/>
          <w:szCs w:val="22"/>
          <w:lang w:val="sr-Latn-ME"/>
        </w:rPr>
      </w:pPr>
      <w:r w:rsidRPr="00424A4B">
        <w:rPr>
          <w:sz w:val="22"/>
          <w:szCs w:val="22"/>
          <w:lang w:val="sr-Latn-ME"/>
        </w:rPr>
        <w:t xml:space="preserve">U pivotalnom ispitivanju CLEOPATRA kod većine se pacijenata u obje ispitivane grupe javila najmanje jedna epizoda leukopenije (kod 63,0% pacijenata liječenih lijekom </w:t>
      </w:r>
      <w:r w:rsidR="009C77FA" w:rsidRPr="00424A4B">
        <w:rPr>
          <w:sz w:val="22"/>
          <w:szCs w:val="22"/>
          <w:lang w:val="sr-Latn-ME"/>
        </w:rPr>
        <w:t>Perjeta</w:t>
      </w:r>
      <w:r w:rsidRPr="00424A4B">
        <w:rPr>
          <w:sz w:val="22"/>
          <w:szCs w:val="22"/>
          <w:lang w:val="sr-Latn-ME"/>
        </w:rPr>
        <w:t xml:space="preserve"> i 58,</w:t>
      </w:r>
      <w:r w:rsidRPr="00424A4B" w:rsidDel="000C2616">
        <w:rPr>
          <w:sz w:val="22"/>
          <w:szCs w:val="22"/>
          <w:lang w:val="sr-Latn-ME"/>
        </w:rPr>
        <w:t xml:space="preserve"> </w:t>
      </w:r>
      <w:r w:rsidRPr="00424A4B">
        <w:rPr>
          <w:sz w:val="22"/>
          <w:szCs w:val="22"/>
          <w:lang w:val="sr-Latn-ME"/>
        </w:rPr>
        <w:t xml:space="preserve">3% pacijenata koji su primali placebo), od kojih je većina bila neutropenija (vidjeti dio 4.4.). Febrilna neutropenija javila se kod 13,7% pacijenata liječenih lijekom </w:t>
      </w:r>
      <w:r w:rsidR="009C77FA" w:rsidRPr="00424A4B">
        <w:rPr>
          <w:sz w:val="22"/>
          <w:szCs w:val="22"/>
          <w:lang w:val="sr-Latn-ME"/>
        </w:rPr>
        <w:t>Perjeta</w:t>
      </w:r>
      <w:r w:rsidRPr="00424A4B">
        <w:rPr>
          <w:sz w:val="22"/>
          <w:szCs w:val="22"/>
          <w:lang w:val="sr-Latn-ME"/>
        </w:rPr>
        <w:t xml:space="preserve"> i kod 7,6% pacijenata koji su primali placebo. U obje terapijske grupe je udio pacijenata </w:t>
      </w:r>
      <w:r w:rsidR="00704120" w:rsidRPr="00424A4B">
        <w:rPr>
          <w:sz w:val="22"/>
          <w:szCs w:val="22"/>
          <w:lang w:val="sr-Latn-ME"/>
        </w:rPr>
        <w:t>kod</w:t>
      </w:r>
      <w:r w:rsidRPr="00424A4B">
        <w:rPr>
          <w:sz w:val="22"/>
          <w:szCs w:val="22"/>
          <w:lang w:val="sr-Latn-ME"/>
        </w:rPr>
        <w:t xml:space="preserve"> kojih se javila febrilna neutropenija bio najveći tokom prvog ciklusa liječenja, nakon čega se stalno smanjivao. U obje terapijske grupe </w:t>
      </w:r>
      <w:r w:rsidR="00704120" w:rsidRPr="00424A4B">
        <w:rPr>
          <w:sz w:val="22"/>
          <w:szCs w:val="22"/>
          <w:lang w:val="sr-Latn-ME"/>
        </w:rPr>
        <w:t xml:space="preserve">je </w:t>
      </w:r>
      <w:r w:rsidRPr="00424A4B">
        <w:rPr>
          <w:sz w:val="22"/>
          <w:szCs w:val="22"/>
          <w:lang w:val="sr-Latn-ME"/>
        </w:rPr>
        <w:t xml:space="preserve">primijećena povećana incidenca febrilne neutropenije kod pacijenata azijskog porijekla u poređenju sa pacijentima drugih rasa ili iz drugih geografskih područja. Među ispitanicima azijskog porijekla, incidenca febrilne neutropenije bila je viša u grupi liječenoj lijekom </w:t>
      </w:r>
      <w:r w:rsidR="009C77FA" w:rsidRPr="00424A4B">
        <w:rPr>
          <w:sz w:val="22"/>
          <w:szCs w:val="22"/>
          <w:lang w:val="sr-Latn-ME"/>
        </w:rPr>
        <w:t>Perjeta</w:t>
      </w:r>
      <w:r w:rsidRPr="00424A4B">
        <w:rPr>
          <w:sz w:val="22"/>
          <w:szCs w:val="22"/>
          <w:lang w:val="sr-Latn-ME"/>
        </w:rPr>
        <w:t xml:space="preserve"> (25,8%) nego u grupi koja je primala placebo (11,3%).</w:t>
      </w:r>
    </w:p>
    <w:p w:rsidR="002B03CF" w:rsidRPr="00424A4B" w:rsidRDefault="002B03CF" w:rsidP="0055503A">
      <w:pPr>
        <w:jc w:val="both"/>
        <w:rPr>
          <w:sz w:val="22"/>
          <w:szCs w:val="22"/>
          <w:lang w:val="sr-Latn-ME"/>
        </w:rPr>
      </w:pPr>
    </w:p>
    <w:p w:rsidR="005E6320" w:rsidRPr="00424A4B" w:rsidRDefault="005E6320" w:rsidP="005C33D8">
      <w:pPr>
        <w:jc w:val="both"/>
        <w:rPr>
          <w:sz w:val="22"/>
          <w:szCs w:val="22"/>
          <w:lang w:val="sr-Latn-ME"/>
        </w:rPr>
      </w:pPr>
      <w:r w:rsidRPr="00424A4B">
        <w:rPr>
          <w:sz w:val="22"/>
          <w:szCs w:val="22"/>
          <w:lang w:val="sr-Latn-ME"/>
        </w:rPr>
        <w:t xml:space="preserve">U ispitivanju NEOSPHERE, febrilna neutropenija javila se kod 8,4% pacijenta neoadjuvantno liječenih lijekom </w:t>
      </w:r>
      <w:r w:rsidR="009C77FA" w:rsidRPr="00424A4B">
        <w:rPr>
          <w:sz w:val="22"/>
          <w:szCs w:val="22"/>
          <w:lang w:val="sr-Latn-ME"/>
        </w:rPr>
        <w:t>Perjeta</w:t>
      </w:r>
      <w:r w:rsidRPr="00424A4B">
        <w:rPr>
          <w:sz w:val="22"/>
          <w:szCs w:val="22"/>
          <w:lang w:val="sr-Latn-ME"/>
        </w:rPr>
        <w:t xml:space="preserve">, trastuzumabom i docetakselom, u odnosu na 7,5% onih liječenih trastuzumabom i docetakselom. U ispitivanju TRYPHAENA, febrilna neutropenija nastupila je kod 17,1% pacijenata neoadjuvantno liječenih lijekom </w:t>
      </w:r>
      <w:r w:rsidR="009C77FA" w:rsidRPr="00424A4B">
        <w:rPr>
          <w:sz w:val="22"/>
          <w:szCs w:val="22"/>
          <w:lang w:val="sr-Latn-ME"/>
        </w:rPr>
        <w:t>Perjeta</w:t>
      </w:r>
      <w:r w:rsidRPr="00424A4B">
        <w:rPr>
          <w:sz w:val="22"/>
          <w:szCs w:val="22"/>
          <w:lang w:val="sr-Latn-ME"/>
        </w:rPr>
        <w:t> + TCH</w:t>
      </w:r>
      <w:r w:rsidRPr="00424A4B">
        <w:rPr>
          <w:sz w:val="22"/>
          <w:szCs w:val="22"/>
          <w:lang w:val="sr-Latn-ME"/>
        </w:rPr>
        <w:noBreakHyphen/>
        <w:t xml:space="preserve">om kao i kod 9,3% onih neoadjuvantno liječenih lijekom </w:t>
      </w:r>
      <w:r w:rsidR="009C77FA" w:rsidRPr="00424A4B">
        <w:rPr>
          <w:sz w:val="22"/>
          <w:szCs w:val="22"/>
          <w:lang w:val="sr-Latn-ME"/>
        </w:rPr>
        <w:t>Perjeta</w:t>
      </w:r>
      <w:r w:rsidRPr="00424A4B">
        <w:rPr>
          <w:sz w:val="22"/>
          <w:szCs w:val="22"/>
          <w:lang w:val="sr-Latn-ME"/>
        </w:rPr>
        <w:t>, trastuzumabom i docetakselom nakon FEC</w:t>
      </w:r>
      <w:r w:rsidRPr="00424A4B">
        <w:rPr>
          <w:sz w:val="22"/>
          <w:szCs w:val="22"/>
          <w:lang w:val="sr-Latn-ME"/>
        </w:rPr>
        <w:noBreakHyphen/>
        <w:t xml:space="preserve">a. U ispitivanju TRYPHAENA, incidencija febrilne neutropenije bila je veća kod pacijenata koji su primili šest ciklusa lijeka </w:t>
      </w:r>
      <w:r w:rsidR="009C77FA" w:rsidRPr="00424A4B">
        <w:rPr>
          <w:sz w:val="22"/>
          <w:szCs w:val="22"/>
          <w:lang w:val="sr-Latn-ME"/>
        </w:rPr>
        <w:t>Perjeta</w:t>
      </w:r>
      <w:r w:rsidRPr="00424A4B">
        <w:rPr>
          <w:sz w:val="22"/>
          <w:szCs w:val="22"/>
          <w:lang w:val="sr-Latn-ME"/>
        </w:rPr>
        <w:t xml:space="preserve"> nego kod onih koji su primili tri ciklusa lijeka </w:t>
      </w:r>
      <w:r w:rsidR="009C77FA" w:rsidRPr="00424A4B">
        <w:rPr>
          <w:sz w:val="22"/>
          <w:szCs w:val="22"/>
          <w:lang w:val="sr-Latn-ME"/>
        </w:rPr>
        <w:t>Perjeta</w:t>
      </w:r>
      <w:r w:rsidRPr="00424A4B">
        <w:rPr>
          <w:sz w:val="22"/>
          <w:szCs w:val="22"/>
          <w:lang w:val="sr-Latn-ME"/>
        </w:rPr>
        <w:t>, nezavisno od prim</w:t>
      </w:r>
      <w:r w:rsidR="002B03CF" w:rsidRPr="00424A4B">
        <w:rPr>
          <w:sz w:val="22"/>
          <w:szCs w:val="22"/>
          <w:lang w:val="sr-Latn-ME"/>
        </w:rPr>
        <w:t>i</w:t>
      </w:r>
      <w:r w:rsidRPr="00424A4B">
        <w:rPr>
          <w:sz w:val="22"/>
          <w:szCs w:val="22"/>
          <w:lang w:val="sr-Latn-ME"/>
        </w:rPr>
        <w:t xml:space="preserve">jenjene hemoterapije. Kao i u ispitivanju CLEOPATRA, u oba neoadjuvantna ispitivanja je primijećena veća incidencija neutropenije i febrilne neutropenije među pacijentima azijskog porijekla u poređenju sa ostalim pacijentima. U ispitivanju NEOSPHERE, febrilna neutropenija javila se kod 8,3% pacijenata azijskog porijekla neoadjuvantno liječenih lijekom </w:t>
      </w:r>
      <w:r w:rsidR="009C77FA" w:rsidRPr="00424A4B">
        <w:rPr>
          <w:sz w:val="22"/>
          <w:szCs w:val="22"/>
          <w:lang w:val="sr-Latn-ME"/>
        </w:rPr>
        <w:t>Perjeta</w:t>
      </w:r>
      <w:r w:rsidRPr="00424A4B">
        <w:rPr>
          <w:sz w:val="22"/>
          <w:szCs w:val="22"/>
          <w:lang w:val="sr-Latn-ME"/>
        </w:rPr>
        <w:t>, trastuzumabom i docetakselom, u odnosu na 4,0% pacijenata azijskog porijekla neoadjuvantno liječenih trastuzumabom i docetakselom.</w:t>
      </w:r>
    </w:p>
    <w:p w:rsidR="002B03CF" w:rsidRPr="00424A4B" w:rsidRDefault="002B03CF" w:rsidP="005C33D8">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U ispitivanju APHINITY, febrilna neutropenija javila se u 12,1% pacijenata liječenih lijekom </w:t>
      </w:r>
      <w:r w:rsidR="009C77FA" w:rsidRPr="00424A4B">
        <w:rPr>
          <w:sz w:val="22"/>
          <w:szCs w:val="22"/>
          <w:lang w:val="sr-Latn-ME"/>
        </w:rPr>
        <w:t>Perjeta</w:t>
      </w:r>
      <w:r w:rsidRPr="00424A4B">
        <w:rPr>
          <w:sz w:val="22"/>
          <w:szCs w:val="22"/>
          <w:lang w:val="sr-Latn-ME"/>
        </w:rPr>
        <w:t xml:space="preserve"> te 11,1% onih koji su primali placebo. Kao i u ispitivanjima CLEOPATRA, TRYPHAENA i NEOSPHERE, veća incidenca febrilne neutropenije kod pacijenata azijskog porijekla liječenih lijekom </w:t>
      </w:r>
      <w:r w:rsidR="009C77FA" w:rsidRPr="00424A4B">
        <w:rPr>
          <w:sz w:val="22"/>
          <w:szCs w:val="22"/>
          <w:lang w:val="sr-Latn-ME"/>
        </w:rPr>
        <w:t>Perjeta</w:t>
      </w:r>
      <w:r w:rsidRPr="00424A4B">
        <w:rPr>
          <w:sz w:val="22"/>
          <w:szCs w:val="22"/>
          <w:lang w:val="sr-Latn-ME"/>
        </w:rPr>
        <w:t xml:space="preserve"> nego kod pacijenata drugih rasa primijećena je i u ispitivanju APHINITY (15,9% pacijenata liječenih lijekom </w:t>
      </w:r>
      <w:r w:rsidR="009C77FA" w:rsidRPr="00424A4B">
        <w:rPr>
          <w:sz w:val="22"/>
          <w:szCs w:val="22"/>
          <w:lang w:val="sr-Latn-ME"/>
        </w:rPr>
        <w:t>Perjeta</w:t>
      </w:r>
      <w:r w:rsidRPr="00424A4B">
        <w:rPr>
          <w:sz w:val="22"/>
          <w:szCs w:val="22"/>
          <w:lang w:val="sr-Latn-ME"/>
        </w:rPr>
        <w:t xml:space="preserve"> i 9,9% pacijenata koji su primali placebo).</w:t>
      </w:r>
    </w:p>
    <w:p w:rsidR="002B03CF" w:rsidRPr="00424A4B" w:rsidRDefault="002B03CF" w:rsidP="0055503A">
      <w:pPr>
        <w:jc w:val="both"/>
        <w:rPr>
          <w:sz w:val="22"/>
          <w:szCs w:val="22"/>
          <w:lang w:val="sr-Latn-ME"/>
        </w:rPr>
      </w:pPr>
    </w:p>
    <w:p w:rsidR="005E6320" w:rsidRPr="00424A4B" w:rsidRDefault="005E6320" w:rsidP="0055503A">
      <w:pPr>
        <w:jc w:val="both"/>
        <w:rPr>
          <w:i/>
          <w:sz w:val="22"/>
          <w:szCs w:val="22"/>
          <w:lang w:val="sr-Latn-ME"/>
        </w:rPr>
      </w:pPr>
      <w:r w:rsidRPr="00424A4B">
        <w:rPr>
          <w:i/>
          <w:sz w:val="22"/>
          <w:szCs w:val="22"/>
          <w:lang w:val="sr-Latn-ME"/>
        </w:rPr>
        <w:t>Dijareja</w:t>
      </w:r>
    </w:p>
    <w:p w:rsidR="005E6320" w:rsidRPr="00424A4B" w:rsidRDefault="005E6320" w:rsidP="0055503A">
      <w:pPr>
        <w:jc w:val="both"/>
        <w:rPr>
          <w:sz w:val="22"/>
          <w:szCs w:val="22"/>
          <w:lang w:val="sr-Latn-ME"/>
        </w:rPr>
      </w:pPr>
      <w:r w:rsidRPr="00424A4B">
        <w:rPr>
          <w:sz w:val="22"/>
          <w:szCs w:val="22"/>
          <w:lang w:val="sr-Latn-ME"/>
        </w:rPr>
        <w:t xml:space="preserve">U pivotalnom ispitivanju CLEOPATRA u metastatskom raku dojke, dijareja se javila kod 68,4% pacijenata liječenih lijekom </w:t>
      </w:r>
      <w:r w:rsidR="009C77FA" w:rsidRPr="00424A4B">
        <w:rPr>
          <w:sz w:val="22"/>
          <w:szCs w:val="22"/>
          <w:lang w:val="sr-Latn-ME"/>
        </w:rPr>
        <w:t>Perjeta</w:t>
      </w:r>
      <w:r w:rsidRPr="00424A4B">
        <w:rPr>
          <w:sz w:val="22"/>
          <w:szCs w:val="22"/>
          <w:lang w:val="sr-Latn-ME"/>
        </w:rPr>
        <w:t xml:space="preserve"> i kod 48,7% pacijenata koji su primali placebo (vidjeti dio 4.4.). Većina događaja bili su po težini blagi do umjereni, a javili su se tokom prvih nekoliko ciklusa liječenja. Incidenca dijareja NCI-CTCAE stepen 3-4 iznosila je 9,3% kod  pacijenata liječenih lijekom </w:t>
      </w:r>
      <w:r w:rsidR="009C77FA" w:rsidRPr="00424A4B">
        <w:rPr>
          <w:sz w:val="22"/>
          <w:szCs w:val="22"/>
          <w:lang w:val="sr-Latn-ME"/>
        </w:rPr>
        <w:t>Perjeta</w:t>
      </w:r>
      <w:r w:rsidRPr="00424A4B">
        <w:rPr>
          <w:sz w:val="22"/>
          <w:szCs w:val="22"/>
          <w:lang w:val="sr-Latn-ME"/>
        </w:rPr>
        <w:t xml:space="preserve"> i 5,1% kod pacijenata koji su primali placebo. Medijana trajanja najdužje epizode iznosila je 18 dana kod pacijenata liječenih lijekom </w:t>
      </w:r>
      <w:r w:rsidR="009C77FA" w:rsidRPr="00424A4B">
        <w:rPr>
          <w:sz w:val="22"/>
          <w:szCs w:val="22"/>
          <w:lang w:val="sr-Latn-ME"/>
        </w:rPr>
        <w:t>Perjeta</w:t>
      </w:r>
      <w:r w:rsidRPr="00424A4B">
        <w:rPr>
          <w:sz w:val="22"/>
          <w:szCs w:val="22"/>
          <w:lang w:val="sr-Latn-ME"/>
        </w:rPr>
        <w:t xml:space="preserve"> i 8 dana kod pacijenata koji su primali placebo. Kod slučajeva dijareja zabilježen je dobar odgovor na proaktivno liječenje antidijaroicima.</w:t>
      </w:r>
    </w:p>
    <w:p w:rsidR="00CD41AC" w:rsidRPr="00424A4B" w:rsidRDefault="00CD41AC"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U ispitivanju NEOSPHERE, dijareja se javila kod 45,8% pacijenata neoadjuvantno liječenih lijekom </w:t>
      </w:r>
      <w:r w:rsidR="009C77FA" w:rsidRPr="00424A4B">
        <w:rPr>
          <w:sz w:val="22"/>
          <w:szCs w:val="22"/>
          <w:lang w:val="sr-Latn-ME"/>
        </w:rPr>
        <w:t>Perjeta</w:t>
      </w:r>
      <w:r w:rsidRPr="00424A4B">
        <w:rPr>
          <w:sz w:val="22"/>
          <w:szCs w:val="22"/>
          <w:lang w:val="sr-Latn-ME"/>
        </w:rPr>
        <w:t xml:space="preserve">, trastuzumabom i docetakselom u odnosu na 33,6% pacijenata liječenih trastuzumabom i docetakselom. U ispitivanju TRYPHAENA, dijareja se javila kod 72,3% pacijenata neoadjuvantno liječenih lijekom </w:t>
      </w:r>
      <w:r w:rsidR="009C77FA" w:rsidRPr="00424A4B">
        <w:rPr>
          <w:sz w:val="22"/>
          <w:szCs w:val="22"/>
          <w:lang w:val="sr-Latn-ME"/>
        </w:rPr>
        <w:t>Perjeta</w:t>
      </w:r>
      <w:r w:rsidRPr="00424A4B">
        <w:rPr>
          <w:sz w:val="22"/>
          <w:szCs w:val="22"/>
          <w:lang w:val="sr-Latn-ME"/>
        </w:rPr>
        <w:t> + TCH</w:t>
      </w:r>
      <w:r w:rsidRPr="00424A4B">
        <w:rPr>
          <w:sz w:val="22"/>
          <w:szCs w:val="22"/>
          <w:lang w:val="sr-Latn-ME"/>
        </w:rPr>
        <w:noBreakHyphen/>
        <w:t xml:space="preserve">om kao i kod 61,4% onih koji su neoadjuvantno primali lijek </w:t>
      </w:r>
      <w:r w:rsidR="009C77FA" w:rsidRPr="00424A4B">
        <w:rPr>
          <w:sz w:val="22"/>
          <w:szCs w:val="22"/>
          <w:lang w:val="sr-Latn-ME"/>
        </w:rPr>
        <w:t>Perjeta</w:t>
      </w:r>
      <w:r w:rsidRPr="00424A4B">
        <w:rPr>
          <w:sz w:val="22"/>
          <w:szCs w:val="22"/>
          <w:lang w:val="sr-Latn-ME"/>
        </w:rPr>
        <w:t>, trastuzumab i docetaksel nakon FEC</w:t>
      </w:r>
      <w:r w:rsidRPr="00424A4B">
        <w:rPr>
          <w:sz w:val="22"/>
          <w:szCs w:val="22"/>
          <w:lang w:val="sr-Latn-ME"/>
        </w:rPr>
        <w:noBreakHyphen/>
        <w:t>a. U oba  ispitivanja je većina događaja bila blage do umjerene težine.</w:t>
      </w:r>
    </w:p>
    <w:p w:rsidR="00CD41AC" w:rsidRPr="00424A4B" w:rsidRDefault="00CD41AC"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U ispitivanju APHINITY, veća incidenca dijareje prijavljena je u grupi liječenoj lijekom </w:t>
      </w:r>
      <w:r w:rsidR="009C77FA" w:rsidRPr="00424A4B">
        <w:rPr>
          <w:sz w:val="22"/>
          <w:szCs w:val="22"/>
          <w:lang w:val="sr-Latn-ME"/>
        </w:rPr>
        <w:t>Perjeta</w:t>
      </w:r>
      <w:r w:rsidRPr="00424A4B">
        <w:rPr>
          <w:sz w:val="22"/>
          <w:szCs w:val="22"/>
          <w:lang w:val="sr-Latn-ME"/>
        </w:rPr>
        <w:t xml:space="preserve"> (71,2%)  nego u grupi koja je primala placebo (45,2%). Dijareja stepena ≥ 3 prijavljena je kod 9,8%  pacijenata liječenih lijekom </w:t>
      </w:r>
      <w:r w:rsidR="009C77FA" w:rsidRPr="00424A4B">
        <w:rPr>
          <w:sz w:val="22"/>
          <w:szCs w:val="22"/>
          <w:lang w:val="sr-Latn-ME"/>
        </w:rPr>
        <w:t>Perjeta</w:t>
      </w:r>
      <w:r w:rsidRPr="00424A4B">
        <w:rPr>
          <w:sz w:val="22"/>
          <w:szCs w:val="22"/>
          <w:lang w:val="sr-Latn-ME"/>
        </w:rPr>
        <w:t xml:space="preserve"> u odnosu na 3,7% onih koji su primali placebo. Većina prijavljenih događaja bila je stepena težine 1 ili 2. Najviša incidenca dijareje (bilo kojeg stepena) prijavljena je tokom perioda </w:t>
      </w:r>
      <w:r w:rsidRPr="00424A4B">
        <w:rPr>
          <w:sz w:val="22"/>
          <w:szCs w:val="22"/>
          <w:lang w:val="sr-Latn-ME"/>
        </w:rPr>
        <w:lastRenderedPageBreak/>
        <w:t xml:space="preserve">primjene ciljane terapije + hemoterapije taksanom (61,4% pacijenata u grupi liječenoj lijekom </w:t>
      </w:r>
      <w:r w:rsidR="009C77FA" w:rsidRPr="00424A4B">
        <w:rPr>
          <w:sz w:val="22"/>
          <w:szCs w:val="22"/>
          <w:lang w:val="sr-Latn-ME"/>
        </w:rPr>
        <w:t>Perjeta</w:t>
      </w:r>
      <w:r w:rsidRPr="00424A4B">
        <w:rPr>
          <w:sz w:val="22"/>
          <w:szCs w:val="22"/>
          <w:lang w:val="sr-Latn-ME"/>
        </w:rPr>
        <w:t xml:space="preserve"> u odnosu na 33,8% pacijenata u grupi koja je primala placebo). Incidenca dijareja bila je znatno niža nakon prestanka primjene hemoterapije – javila se </w:t>
      </w:r>
      <w:r w:rsidR="00201DBF" w:rsidRPr="00424A4B">
        <w:rPr>
          <w:sz w:val="22"/>
          <w:szCs w:val="22"/>
          <w:lang w:val="sr-Latn-ME"/>
        </w:rPr>
        <w:t>kod</w:t>
      </w:r>
      <w:r w:rsidRPr="00424A4B">
        <w:rPr>
          <w:sz w:val="22"/>
          <w:szCs w:val="22"/>
          <w:lang w:val="sr-Latn-ME"/>
        </w:rPr>
        <w:t xml:space="preserve"> 18,1% pacijenata u grupi liječenoj lijekom </w:t>
      </w:r>
      <w:r w:rsidR="009C77FA" w:rsidRPr="00424A4B">
        <w:rPr>
          <w:sz w:val="22"/>
          <w:szCs w:val="22"/>
          <w:lang w:val="sr-Latn-ME"/>
        </w:rPr>
        <w:t>Perjeta</w:t>
      </w:r>
      <w:r w:rsidRPr="00424A4B">
        <w:rPr>
          <w:sz w:val="22"/>
          <w:szCs w:val="22"/>
          <w:lang w:val="sr-Latn-ME"/>
        </w:rPr>
        <w:t xml:space="preserve"> u odnosu na 9,2% pacijenata u grupi koja je primala placebo u periodu primjene ciljane terapije nakon hemoterapije.</w:t>
      </w:r>
    </w:p>
    <w:p w:rsidR="00CD41AC" w:rsidRPr="00424A4B" w:rsidRDefault="00CD41AC" w:rsidP="0055503A">
      <w:pPr>
        <w:jc w:val="both"/>
        <w:rPr>
          <w:i/>
          <w:sz w:val="22"/>
          <w:szCs w:val="22"/>
          <w:lang w:val="sr-Latn-ME"/>
        </w:rPr>
      </w:pPr>
    </w:p>
    <w:p w:rsidR="005E6320" w:rsidRPr="00424A4B" w:rsidRDefault="005E6320" w:rsidP="0055503A">
      <w:pPr>
        <w:jc w:val="both"/>
        <w:rPr>
          <w:i/>
          <w:sz w:val="22"/>
          <w:szCs w:val="22"/>
          <w:lang w:val="sr-Latn-ME"/>
        </w:rPr>
      </w:pPr>
      <w:r w:rsidRPr="00424A4B">
        <w:rPr>
          <w:i/>
          <w:sz w:val="22"/>
          <w:szCs w:val="22"/>
          <w:lang w:val="sr-Latn-ME"/>
        </w:rPr>
        <w:t>Osip</w:t>
      </w:r>
    </w:p>
    <w:p w:rsidR="005E6320" w:rsidRPr="00424A4B" w:rsidRDefault="005E6320" w:rsidP="0055503A">
      <w:pPr>
        <w:jc w:val="both"/>
        <w:rPr>
          <w:sz w:val="22"/>
          <w:szCs w:val="22"/>
          <w:lang w:val="sr-Latn-ME"/>
        </w:rPr>
      </w:pPr>
      <w:r w:rsidRPr="00424A4B">
        <w:rPr>
          <w:sz w:val="22"/>
          <w:szCs w:val="22"/>
          <w:lang w:val="sr-Latn-ME"/>
        </w:rPr>
        <w:t>U pivotalnom  ispitivanju CLEOPATRA u metastatskom  karcinomu dojke,</w:t>
      </w:r>
      <w:r w:rsidR="00201DBF" w:rsidRPr="00424A4B">
        <w:rPr>
          <w:sz w:val="22"/>
          <w:szCs w:val="22"/>
          <w:lang w:val="sr-Latn-ME"/>
        </w:rPr>
        <w:t xml:space="preserve"> </w:t>
      </w:r>
      <w:r w:rsidRPr="00424A4B">
        <w:rPr>
          <w:sz w:val="22"/>
          <w:szCs w:val="22"/>
          <w:lang w:val="sr-Latn-ME"/>
        </w:rPr>
        <w:t>osip se javi</w:t>
      </w:r>
      <w:r w:rsidR="00201DBF" w:rsidRPr="00424A4B">
        <w:rPr>
          <w:sz w:val="22"/>
          <w:szCs w:val="22"/>
          <w:lang w:val="sr-Latn-ME"/>
        </w:rPr>
        <w:t>o</w:t>
      </w:r>
      <w:r w:rsidRPr="00424A4B">
        <w:rPr>
          <w:sz w:val="22"/>
          <w:szCs w:val="22"/>
          <w:lang w:val="sr-Latn-ME"/>
        </w:rPr>
        <w:t xml:space="preserve"> kod 51,7% pacijenata liječenih lijekom </w:t>
      </w:r>
      <w:r w:rsidR="009C77FA" w:rsidRPr="00424A4B">
        <w:rPr>
          <w:sz w:val="22"/>
          <w:szCs w:val="22"/>
          <w:lang w:val="sr-Latn-ME"/>
        </w:rPr>
        <w:t>Perjeta</w:t>
      </w:r>
      <w:r w:rsidRPr="00424A4B">
        <w:rPr>
          <w:sz w:val="22"/>
          <w:szCs w:val="22"/>
          <w:lang w:val="sr-Latn-ME"/>
        </w:rPr>
        <w:t xml:space="preserve">, u poređenju sa 38,9% pacijenata koji su primali placebo. Ti su događaji većinom bili stepena težine 1 ili 2, javljali su se tokom prva 2 ciklusa i odgovarali su na standardno liječenje poput topikalne ili peroralne terapije za liječenje akni. </w:t>
      </w:r>
    </w:p>
    <w:p w:rsidR="00CD41AC" w:rsidRPr="00424A4B" w:rsidRDefault="00CD41AC"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U ispitivanju NEOSPHERE, osip se javio kod 40,2% pacijenata neoadjuvantno liječenih lijekom </w:t>
      </w:r>
      <w:r w:rsidR="009C77FA" w:rsidRPr="00424A4B">
        <w:rPr>
          <w:sz w:val="22"/>
          <w:szCs w:val="22"/>
          <w:lang w:val="sr-Latn-ME"/>
        </w:rPr>
        <w:t>Perjeta</w:t>
      </w:r>
      <w:r w:rsidRPr="00424A4B">
        <w:rPr>
          <w:sz w:val="22"/>
          <w:szCs w:val="22"/>
          <w:lang w:val="sr-Latn-ME"/>
        </w:rPr>
        <w:t xml:space="preserve">, trastuzumabom i docetakselom u odnosu na 29,0% pacijenata liječenih trastuzumabom i docetakselom. U ispitivanju TRYPHAENA, osip se javio u 36,8% pacijenata neoadjuvantno liječenih lijekom </w:t>
      </w:r>
      <w:r w:rsidR="009C77FA" w:rsidRPr="00424A4B">
        <w:rPr>
          <w:sz w:val="22"/>
          <w:szCs w:val="22"/>
          <w:lang w:val="sr-Latn-ME"/>
        </w:rPr>
        <w:t>Perjeta</w:t>
      </w:r>
      <w:r w:rsidRPr="00424A4B">
        <w:rPr>
          <w:sz w:val="22"/>
          <w:szCs w:val="22"/>
          <w:lang w:val="sr-Latn-ME"/>
        </w:rPr>
        <w:t> + TCH</w:t>
      </w:r>
      <w:r w:rsidRPr="00424A4B">
        <w:rPr>
          <w:sz w:val="22"/>
          <w:szCs w:val="22"/>
          <w:lang w:val="sr-Latn-ME"/>
        </w:rPr>
        <w:noBreakHyphen/>
        <w:t xml:space="preserve">om te u 20,0% onih koji su neoadjuvantno primali lijek </w:t>
      </w:r>
      <w:r w:rsidR="009C77FA" w:rsidRPr="00424A4B">
        <w:rPr>
          <w:sz w:val="22"/>
          <w:szCs w:val="22"/>
          <w:lang w:val="sr-Latn-ME"/>
        </w:rPr>
        <w:t>Perjeta</w:t>
      </w:r>
      <w:r w:rsidRPr="00424A4B">
        <w:rPr>
          <w:sz w:val="22"/>
          <w:szCs w:val="22"/>
          <w:lang w:val="sr-Latn-ME"/>
        </w:rPr>
        <w:t>, trastuzumab i docetaksel nakon FEC</w:t>
      </w:r>
      <w:r w:rsidRPr="00424A4B">
        <w:rPr>
          <w:sz w:val="22"/>
          <w:szCs w:val="22"/>
          <w:lang w:val="sr-Latn-ME"/>
        </w:rPr>
        <w:noBreakHyphen/>
        <w:t xml:space="preserve">a. Incidencija osipa bila je veća kod pacijenata koji su primili šest ciklusa lijeka </w:t>
      </w:r>
      <w:r w:rsidR="009C77FA" w:rsidRPr="00424A4B">
        <w:rPr>
          <w:sz w:val="22"/>
          <w:szCs w:val="22"/>
          <w:lang w:val="sr-Latn-ME"/>
        </w:rPr>
        <w:t>Perjeta</w:t>
      </w:r>
      <w:r w:rsidRPr="00424A4B">
        <w:rPr>
          <w:sz w:val="22"/>
          <w:szCs w:val="22"/>
          <w:lang w:val="sr-Latn-ME"/>
        </w:rPr>
        <w:t xml:space="preserve"> nego kod onih koji su primili tri ciklusa lijeka </w:t>
      </w:r>
      <w:r w:rsidR="009C77FA" w:rsidRPr="00424A4B">
        <w:rPr>
          <w:sz w:val="22"/>
          <w:szCs w:val="22"/>
          <w:lang w:val="sr-Latn-ME"/>
        </w:rPr>
        <w:t>Perjeta</w:t>
      </w:r>
      <w:r w:rsidRPr="00424A4B">
        <w:rPr>
          <w:sz w:val="22"/>
          <w:szCs w:val="22"/>
          <w:lang w:val="sr-Latn-ME"/>
        </w:rPr>
        <w:t>, nezavisno o</w:t>
      </w:r>
      <w:r w:rsidR="00201DBF" w:rsidRPr="00424A4B">
        <w:rPr>
          <w:sz w:val="22"/>
          <w:szCs w:val="22"/>
          <w:lang w:val="sr-Latn-ME"/>
        </w:rPr>
        <w:t>d</w:t>
      </w:r>
      <w:r w:rsidRPr="00424A4B">
        <w:rPr>
          <w:sz w:val="22"/>
          <w:szCs w:val="22"/>
          <w:lang w:val="sr-Latn-ME"/>
        </w:rPr>
        <w:t xml:space="preserve"> primijenjen</w:t>
      </w:r>
      <w:r w:rsidR="00201DBF" w:rsidRPr="00424A4B">
        <w:rPr>
          <w:sz w:val="22"/>
          <w:szCs w:val="22"/>
          <w:lang w:val="sr-Latn-ME"/>
        </w:rPr>
        <w:t>e</w:t>
      </w:r>
      <w:r w:rsidRPr="00424A4B">
        <w:rPr>
          <w:sz w:val="22"/>
          <w:szCs w:val="22"/>
          <w:lang w:val="sr-Latn-ME"/>
        </w:rPr>
        <w:t xml:space="preserve"> hemoterapij</w:t>
      </w:r>
      <w:r w:rsidR="00201DBF" w:rsidRPr="00424A4B">
        <w:rPr>
          <w:sz w:val="22"/>
          <w:szCs w:val="22"/>
          <w:lang w:val="sr-Latn-ME"/>
        </w:rPr>
        <w:t>e</w:t>
      </w:r>
      <w:r w:rsidRPr="00424A4B">
        <w:rPr>
          <w:sz w:val="22"/>
          <w:szCs w:val="22"/>
          <w:lang w:val="sr-Latn-ME"/>
        </w:rPr>
        <w:t>.</w:t>
      </w:r>
    </w:p>
    <w:p w:rsidR="005E6320" w:rsidRPr="00424A4B" w:rsidRDefault="005E6320" w:rsidP="0055503A">
      <w:pPr>
        <w:jc w:val="both"/>
        <w:rPr>
          <w:sz w:val="22"/>
          <w:szCs w:val="22"/>
          <w:lang w:val="sr-Latn-ME"/>
        </w:rPr>
      </w:pPr>
      <w:r w:rsidRPr="00424A4B">
        <w:rPr>
          <w:sz w:val="22"/>
          <w:szCs w:val="22"/>
          <w:lang w:val="sr-Latn-ME"/>
        </w:rPr>
        <w:t>U ispitivanju APHINITY, neželjeni događaj</w:t>
      </w:r>
      <w:r w:rsidR="00201DBF" w:rsidRPr="00424A4B">
        <w:rPr>
          <w:sz w:val="22"/>
          <w:szCs w:val="22"/>
          <w:lang w:val="sr-Latn-ME"/>
        </w:rPr>
        <w:t>,</w:t>
      </w:r>
      <w:r w:rsidRPr="00424A4B">
        <w:rPr>
          <w:sz w:val="22"/>
          <w:szCs w:val="22"/>
          <w:lang w:val="sr-Latn-ME"/>
        </w:rPr>
        <w:t xml:space="preserve"> osip javio se </w:t>
      </w:r>
      <w:r w:rsidR="00201DBF" w:rsidRPr="00424A4B">
        <w:rPr>
          <w:sz w:val="22"/>
          <w:szCs w:val="22"/>
          <w:lang w:val="sr-Latn-ME"/>
        </w:rPr>
        <w:t xml:space="preserve">kod </w:t>
      </w:r>
      <w:r w:rsidRPr="00424A4B">
        <w:rPr>
          <w:sz w:val="22"/>
          <w:szCs w:val="22"/>
          <w:lang w:val="sr-Latn-ME"/>
        </w:rPr>
        <w:t xml:space="preserve">25,8% pacijenata u grupi liječenoj lijekom </w:t>
      </w:r>
      <w:r w:rsidR="009C77FA" w:rsidRPr="00424A4B">
        <w:rPr>
          <w:sz w:val="22"/>
          <w:szCs w:val="22"/>
          <w:lang w:val="sr-Latn-ME"/>
        </w:rPr>
        <w:t>Perjeta</w:t>
      </w:r>
      <w:r w:rsidRPr="00424A4B">
        <w:rPr>
          <w:sz w:val="22"/>
          <w:szCs w:val="22"/>
          <w:lang w:val="sr-Latn-ME"/>
        </w:rPr>
        <w:t xml:space="preserve"> u odnosu na 20,3% pacijenata u grupi koja je primala placebo. Većina događaja osipa bila je stepena težine 1 ili 2.</w:t>
      </w:r>
    </w:p>
    <w:p w:rsidR="00CD41AC" w:rsidRPr="00424A4B" w:rsidRDefault="00CD41AC" w:rsidP="0055503A">
      <w:pPr>
        <w:jc w:val="both"/>
        <w:rPr>
          <w:sz w:val="22"/>
          <w:szCs w:val="22"/>
          <w:lang w:val="sr-Latn-ME"/>
        </w:rPr>
      </w:pPr>
    </w:p>
    <w:p w:rsidR="005E6320" w:rsidRPr="00424A4B" w:rsidRDefault="005E6320" w:rsidP="0055503A">
      <w:pPr>
        <w:rPr>
          <w:i/>
          <w:sz w:val="22"/>
          <w:szCs w:val="22"/>
          <w:lang w:val="sr-Latn-ME"/>
        </w:rPr>
      </w:pPr>
      <w:r w:rsidRPr="00424A4B">
        <w:rPr>
          <w:i/>
          <w:sz w:val="22"/>
          <w:szCs w:val="22"/>
          <w:lang w:val="sr-Latn-ME"/>
        </w:rPr>
        <w:t>Laboratorijska odstupanja</w:t>
      </w:r>
    </w:p>
    <w:p w:rsidR="005E6320" w:rsidRPr="00424A4B" w:rsidRDefault="005E6320" w:rsidP="0055503A">
      <w:pPr>
        <w:jc w:val="both"/>
        <w:rPr>
          <w:sz w:val="22"/>
          <w:szCs w:val="22"/>
          <w:lang w:val="sr-Latn-ME"/>
        </w:rPr>
      </w:pPr>
      <w:r w:rsidRPr="00424A4B">
        <w:rPr>
          <w:sz w:val="22"/>
          <w:szCs w:val="22"/>
          <w:lang w:val="sr-Latn-ME"/>
        </w:rPr>
        <w:t xml:space="preserve">U pivotalnom ispitivanju CLEOPATRA u metastatskom karcinomu dojke, incidenca neutropenije stepena 3-4 prema NCI-CTCAE v.3 bila je podjednaka u obje terapijske grupe (kod 86,3% pacijenata liječenih lijekom </w:t>
      </w:r>
      <w:r w:rsidR="009C77FA" w:rsidRPr="00424A4B">
        <w:rPr>
          <w:sz w:val="22"/>
          <w:szCs w:val="22"/>
          <w:lang w:val="sr-Latn-ME"/>
        </w:rPr>
        <w:t>Perjeta</w:t>
      </w:r>
      <w:r w:rsidRPr="00424A4B">
        <w:rPr>
          <w:sz w:val="22"/>
          <w:szCs w:val="22"/>
          <w:lang w:val="sr-Latn-ME"/>
        </w:rPr>
        <w:t xml:space="preserve"> i 86,6% pacijenata koji su primali placebo, uključujući neutropeniju stepena 4 kod 60,7% pacijenata liječenih lijekom </w:t>
      </w:r>
      <w:r w:rsidR="009C77FA" w:rsidRPr="00424A4B">
        <w:rPr>
          <w:sz w:val="22"/>
          <w:szCs w:val="22"/>
          <w:lang w:val="sr-Latn-ME"/>
        </w:rPr>
        <w:t>Perjeta</w:t>
      </w:r>
      <w:r w:rsidRPr="00424A4B">
        <w:rPr>
          <w:sz w:val="22"/>
          <w:szCs w:val="22"/>
          <w:lang w:val="sr-Latn-ME"/>
        </w:rPr>
        <w:t xml:space="preserve"> i kod 64,8% pacijenata koji su primali placebo).</w:t>
      </w:r>
    </w:p>
    <w:p w:rsidR="00CD41AC" w:rsidRPr="00424A4B" w:rsidRDefault="00CD41AC" w:rsidP="0055503A">
      <w:pPr>
        <w:jc w:val="both"/>
        <w:rPr>
          <w:sz w:val="22"/>
          <w:szCs w:val="22"/>
          <w:lang w:val="sr-Latn-ME"/>
        </w:rPr>
      </w:pPr>
    </w:p>
    <w:p w:rsidR="005E6320" w:rsidRPr="00424A4B" w:rsidRDefault="005E6320" w:rsidP="005C33D8">
      <w:pPr>
        <w:tabs>
          <w:tab w:val="left" w:pos="567"/>
        </w:tabs>
        <w:jc w:val="both"/>
        <w:rPr>
          <w:sz w:val="22"/>
          <w:szCs w:val="22"/>
          <w:lang w:val="sr-Latn-ME"/>
        </w:rPr>
      </w:pPr>
      <w:r w:rsidRPr="00424A4B">
        <w:rPr>
          <w:sz w:val="22"/>
          <w:szCs w:val="22"/>
          <w:lang w:val="sr-Latn-ME"/>
        </w:rPr>
        <w:t>U ispitivanju NEOSPHERE, incidencija neutropenije stepena 3</w:t>
      </w:r>
      <w:r w:rsidRPr="00424A4B">
        <w:rPr>
          <w:sz w:val="22"/>
          <w:szCs w:val="22"/>
          <w:lang w:val="sr-Latn-ME"/>
        </w:rPr>
        <w:noBreakHyphen/>
        <w:t>4 prema verziji 3</w:t>
      </w:r>
      <w:r w:rsidR="00201DBF" w:rsidRPr="00424A4B">
        <w:rPr>
          <w:sz w:val="22"/>
          <w:szCs w:val="22"/>
          <w:lang w:val="sr-Latn-ME"/>
        </w:rPr>
        <w:t xml:space="preserve"> </w:t>
      </w:r>
      <w:r w:rsidRPr="00424A4B">
        <w:rPr>
          <w:sz w:val="22"/>
          <w:szCs w:val="22"/>
          <w:lang w:val="sr-Latn-ME"/>
        </w:rPr>
        <w:t>NCI</w:t>
      </w:r>
      <w:r w:rsidRPr="00424A4B">
        <w:rPr>
          <w:sz w:val="22"/>
          <w:szCs w:val="22"/>
          <w:lang w:val="sr-Latn-ME"/>
        </w:rPr>
        <w:noBreakHyphen/>
        <w:t xml:space="preserve">CTCAE kriterijuma iznosila je 74,5% kod pacijenata neoadjuvantno liječenih lijekom </w:t>
      </w:r>
      <w:r w:rsidR="009C77FA" w:rsidRPr="00424A4B">
        <w:rPr>
          <w:sz w:val="22"/>
          <w:szCs w:val="22"/>
          <w:lang w:val="sr-Latn-ME"/>
        </w:rPr>
        <w:t>Perjeta</w:t>
      </w:r>
      <w:r w:rsidRPr="00424A4B">
        <w:rPr>
          <w:sz w:val="22"/>
          <w:szCs w:val="22"/>
          <w:lang w:val="sr-Latn-ME"/>
        </w:rPr>
        <w:t xml:space="preserve">, trastuzumabom i docetakselom u odnosu na 84,5% kod pacijenata liječenih trastuzumabom i docetakselom, uključujući neutropeniju stepena 4 </w:t>
      </w:r>
      <w:r w:rsidR="00201DBF" w:rsidRPr="00424A4B">
        <w:rPr>
          <w:sz w:val="22"/>
          <w:szCs w:val="22"/>
          <w:lang w:val="sr-Latn-ME"/>
        </w:rPr>
        <w:t>kod</w:t>
      </w:r>
      <w:r w:rsidRPr="00424A4B">
        <w:rPr>
          <w:sz w:val="22"/>
          <w:szCs w:val="22"/>
          <w:lang w:val="sr-Latn-ME"/>
        </w:rPr>
        <w:t xml:space="preserve"> 50,9% odnosno 60,2% slučajeva. U ispitivanju TRYPHAENA, incidencija neutropenije stepena 3</w:t>
      </w:r>
      <w:r w:rsidRPr="00424A4B">
        <w:rPr>
          <w:sz w:val="22"/>
          <w:szCs w:val="22"/>
          <w:lang w:val="sr-Latn-ME"/>
        </w:rPr>
        <w:noBreakHyphen/>
        <w:t>4 prema verziji 3 NCI</w:t>
      </w:r>
      <w:r w:rsidRPr="00424A4B">
        <w:rPr>
          <w:sz w:val="22"/>
          <w:szCs w:val="22"/>
          <w:lang w:val="sr-Latn-ME"/>
        </w:rPr>
        <w:noBreakHyphen/>
        <w:t xml:space="preserve">CTCAE kriterijuma iznosila je 85,3% kod pacijenata neoadjuvantno liječenih lijekom </w:t>
      </w:r>
      <w:r w:rsidR="009C77FA" w:rsidRPr="00424A4B">
        <w:rPr>
          <w:sz w:val="22"/>
          <w:szCs w:val="22"/>
          <w:lang w:val="sr-Latn-ME"/>
        </w:rPr>
        <w:t>Perjeta</w:t>
      </w:r>
      <w:r w:rsidRPr="00424A4B">
        <w:rPr>
          <w:sz w:val="22"/>
          <w:szCs w:val="22"/>
          <w:lang w:val="sr-Latn-ME"/>
        </w:rPr>
        <w:t> + TCH</w:t>
      </w:r>
      <w:r w:rsidRPr="00424A4B">
        <w:rPr>
          <w:sz w:val="22"/>
          <w:szCs w:val="22"/>
          <w:lang w:val="sr-Latn-ME"/>
        </w:rPr>
        <w:noBreakHyphen/>
        <w:t xml:space="preserve">om kao i  77,0% kod onih koji su neoadjuvantno primali lijek </w:t>
      </w:r>
      <w:r w:rsidR="009C77FA" w:rsidRPr="00424A4B">
        <w:rPr>
          <w:sz w:val="22"/>
          <w:szCs w:val="22"/>
          <w:lang w:val="sr-Latn-ME"/>
        </w:rPr>
        <w:t>Perjeta</w:t>
      </w:r>
      <w:r w:rsidRPr="00424A4B">
        <w:rPr>
          <w:sz w:val="22"/>
          <w:szCs w:val="22"/>
          <w:lang w:val="sr-Latn-ME"/>
        </w:rPr>
        <w:t>, trastuzumab i docetaksel nakon FEC</w:t>
      </w:r>
      <w:r w:rsidRPr="00424A4B">
        <w:rPr>
          <w:sz w:val="22"/>
          <w:szCs w:val="22"/>
          <w:lang w:val="sr-Latn-ME"/>
        </w:rPr>
        <w:noBreakHyphen/>
        <w:t>a, uključujući neutropeniju stepena 4 u 66,7% odnosno 59,5% slučajeva.</w:t>
      </w:r>
    </w:p>
    <w:p w:rsidR="00CD41AC" w:rsidRPr="00424A4B" w:rsidRDefault="00CD41AC" w:rsidP="005C33D8">
      <w:pPr>
        <w:tabs>
          <w:tab w:val="left" w:pos="567"/>
        </w:tabs>
        <w:jc w:val="both"/>
        <w:rPr>
          <w:sz w:val="22"/>
          <w:szCs w:val="22"/>
          <w:lang w:val="sr-Latn-ME"/>
        </w:rPr>
      </w:pPr>
    </w:p>
    <w:p w:rsidR="00D36707" w:rsidRPr="00424A4B" w:rsidRDefault="005E6320" w:rsidP="0055503A">
      <w:pPr>
        <w:jc w:val="both"/>
        <w:rPr>
          <w:sz w:val="22"/>
          <w:szCs w:val="22"/>
          <w:lang w:val="sr-Latn-ME"/>
        </w:rPr>
      </w:pPr>
      <w:r w:rsidRPr="00424A4B">
        <w:rPr>
          <w:sz w:val="22"/>
          <w:szCs w:val="22"/>
          <w:lang w:val="sr-Latn-ME"/>
        </w:rPr>
        <w:t xml:space="preserve">U ispitivanju APHINITY, incidenca neutropenije stepena 3-4 prema verziji 4 NCI-CTCAE kriterijuma iznosila je 40,6% </w:t>
      </w:r>
      <w:r w:rsidR="00201DBF" w:rsidRPr="00424A4B">
        <w:rPr>
          <w:sz w:val="22"/>
          <w:szCs w:val="22"/>
          <w:lang w:val="sr-Latn-ME"/>
        </w:rPr>
        <w:t>kod</w:t>
      </w:r>
      <w:r w:rsidRPr="00424A4B">
        <w:rPr>
          <w:sz w:val="22"/>
          <w:szCs w:val="22"/>
          <w:lang w:val="sr-Latn-ME"/>
        </w:rPr>
        <w:t xml:space="preserve"> pacijenata liječenih lijekom </w:t>
      </w:r>
      <w:r w:rsidR="009C77FA" w:rsidRPr="00424A4B">
        <w:rPr>
          <w:sz w:val="22"/>
          <w:szCs w:val="22"/>
          <w:lang w:val="sr-Latn-ME"/>
        </w:rPr>
        <w:t>Perjeta</w:t>
      </w:r>
      <w:r w:rsidRPr="00424A4B">
        <w:rPr>
          <w:sz w:val="22"/>
          <w:szCs w:val="22"/>
          <w:lang w:val="sr-Latn-ME"/>
        </w:rPr>
        <w:t>, trastuzumabom i hemoterapijom u odnosu na 39,1% kod pacijenata koji su primali placebo, trastuzumab i hemoterapiju, uključujući neutropeniju stepena 4 u 28,3% odnosno 26,5% slučajeva.</w:t>
      </w:r>
    </w:p>
    <w:p w:rsidR="005E6320" w:rsidRPr="00424A4B" w:rsidRDefault="005E6320" w:rsidP="0055503A">
      <w:pPr>
        <w:jc w:val="both"/>
        <w:rPr>
          <w:b/>
          <w:bCs/>
          <w:sz w:val="22"/>
          <w:szCs w:val="22"/>
          <w:lang w:val="sr-Latn-ME"/>
        </w:rPr>
      </w:pPr>
    </w:p>
    <w:p w:rsidR="00463C21" w:rsidRPr="00424A4B" w:rsidRDefault="00463C21" w:rsidP="005C33D8">
      <w:pPr>
        <w:tabs>
          <w:tab w:val="left" w:pos="540"/>
          <w:tab w:val="left" w:pos="569"/>
        </w:tabs>
        <w:rPr>
          <w:bCs/>
          <w:sz w:val="22"/>
          <w:szCs w:val="22"/>
          <w:u w:val="single"/>
          <w:lang w:val="sr-Latn-ME"/>
        </w:rPr>
      </w:pPr>
      <w:r w:rsidRPr="00424A4B">
        <w:rPr>
          <w:bCs/>
          <w:sz w:val="22"/>
          <w:szCs w:val="22"/>
          <w:u w:val="single"/>
          <w:lang w:val="sr-Latn-ME"/>
        </w:rPr>
        <w:t>Stariji pacijenti</w:t>
      </w:r>
    </w:p>
    <w:p w:rsidR="00CD41AC" w:rsidRPr="00424A4B" w:rsidRDefault="00CD41AC" w:rsidP="005C33D8">
      <w:pPr>
        <w:tabs>
          <w:tab w:val="left" w:pos="540"/>
          <w:tab w:val="left" w:pos="569"/>
        </w:tabs>
        <w:rPr>
          <w:bCs/>
          <w:sz w:val="22"/>
          <w:szCs w:val="22"/>
          <w:u w:val="single"/>
          <w:lang w:val="sr-Latn-ME"/>
        </w:rPr>
      </w:pPr>
    </w:p>
    <w:p w:rsidR="00463C21" w:rsidRPr="00424A4B" w:rsidRDefault="00463C21" w:rsidP="0055503A">
      <w:pPr>
        <w:tabs>
          <w:tab w:val="left" w:pos="540"/>
          <w:tab w:val="left" w:pos="569"/>
        </w:tabs>
        <w:jc w:val="both"/>
        <w:rPr>
          <w:b/>
          <w:bCs/>
          <w:sz w:val="22"/>
          <w:szCs w:val="22"/>
          <w:lang w:val="sr-Latn-ME"/>
        </w:rPr>
      </w:pPr>
      <w:r w:rsidRPr="00424A4B">
        <w:rPr>
          <w:bCs/>
          <w:sz w:val="22"/>
          <w:szCs w:val="22"/>
          <w:lang w:val="sr-Latn-ME"/>
        </w:rPr>
        <w:t>Incidenca sljedećih neželjenih događaja svih gradusa bila je najmanje 5% viša kod pacijenata starosti ≥ 65 godina, u odnosu na pacijente starosti &lt; 65 godina: smanjen apetit, anemija, smanjenje tjelesne</w:t>
      </w:r>
      <w:r w:rsidR="00CD41AC" w:rsidRPr="00424A4B">
        <w:rPr>
          <w:bCs/>
          <w:sz w:val="22"/>
          <w:szCs w:val="22"/>
          <w:lang w:val="sr-Latn-ME"/>
        </w:rPr>
        <w:t xml:space="preserve"> </w:t>
      </w:r>
      <w:r w:rsidRPr="00424A4B">
        <w:rPr>
          <w:bCs/>
          <w:sz w:val="22"/>
          <w:szCs w:val="22"/>
          <w:lang w:val="sr-Latn-ME"/>
        </w:rPr>
        <w:t>težine, astenija, disgeuzija, periferna neuropatija, hipomagnezijemija i dijareja. Dostupni su ograničeni podaci za pacijente starosti &gt; 75 godina.</w:t>
      </w:r>
    </w:p>
    <w:p w:rsidR="008342CF" w:rsidRPr="00424A4B" w:rsidRDefault="008342CF" w:rsidP="00CD41AC">
      <w:pPr>
        <w:tabs>
          <w:tab w:val="left" w:pos="540"/>
          <w:tab w:val="left" w:pos="569"/>
        </w:tabs>
        <w:rPr>
          <w:b/>
          <w:bCs/>
          <w:sz w:val="22"/>
          <w:szCs w:val="22"/>
          <w:lang w:val="sr-Latn-ME"/>
        </w:rPr>
      </w:pPr>
    </w:p>
    <w:p w:rsidR="005A23D2" w:rsidRPr="00424A4B" w:rsidRDefault="005A23D2" w:rsidP="0055503A">
      <w:pPr>
        <w:spacing w:line="276" w:lineRule="auto"/>
        <w:rPr>
          <w:rFonts w:eastAsia="Calibri"/>
          <w:sz w:val="22"/>
          <w:szCs w:val="22"/>
          <w:u w:val="single"/>
          <w:lang w:val="sr-Latn-ME"/>
        </w:rPr>
      </w:pPr>
      <w:r w:rsidRPr="00424A4B">
        <w:rPr>
          <w:rFonts w:eastAsia="Calibri"/>
          <w:sz w:val="22"/>
          <w:szCs w:val="22"/>
          <w:u w:val="single"/>
          <w:lang w:val="sr-Latn-ME"/>
        </w:rPr>
        <w:t>Prijavljivanje sumnji na neželjena dejstva</w:t>
      </w:r>
    </w:p>
    <w:p w:rsidR="00445878" w:rsidRPr="00424A4B" w:rsidRDefault="00445878" w:rsidP="0055503A">
      <w:pPr>
        <w:jc w:val="both"/>
        <w:rPr>
          <w:rFonts w:eastAsia="Calibri"/>
          <w:sz w:val="22"/>
          <w:szCs w:val="22"/>
          <w:lang w:val="sr-Latn-ME"/>
        </w:rPr>
      </w:pPr>
      <w:r w:rsidRPr="00424A4B">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CD41AC" w:rsidRPr="00424A4B" w:rsidRDefault="00CD41AC" w:rsidP="0055503A">
      <w:pPr>
        <w:jc w:val="both"/>
        <w:rPr>
          <w:rFonts w:eastAsia="Calibri"/>
          <w:sz w:val="22"/>
          <w:szCs w:val="22"/>
          <w:lang w:val="sr-Latn-ME"/>
        </w:rPr>
      </w:pPr>
    </w:p>
    <w:p w:rsidR="00445878" w:rsidRPr="00424A4B" w:rsidRDefault="00445878" w:rsidP="005C33D8">
      <w:pPr>
        <w:pStyle w:val="NoSpacing"/>
        <w:jc w:val="both"/>
        <w:rPr>
          <w:rFonts w:eastAsia="Calibri"/>
          <w:sz w:val="22"/>
          <w:szCs w:val="22"/>
          <w:lang w:val="sr-Latn-ME"/>
        </w:rPr>
      </w:pPr>
      <w:r w:rsidRPr="00424A4B">
        <w:rPr>
          <w:rFonts w:eastAsia="Calibri"/>
          <w:sz w:val="22"/>
          <w:szCs w:val="22"/>
          <w:lang w:val="sr-Latn-ME"/>
        </w:rPr>
        <w:t xml:space="preserve">Institut za ljekove i medicinska sredstva </w:t>
      </w:r>
    </w:p>
    <w:p w:rsidR="00445878" w:rsidRPr="00424A4B" w:rsidRDefault="00445878" w:rsidP="00CD41AC">
      <w:pPr>
        <w:pStyle w:val="NoSpacing"/>
        <w:jc w:val="both"/>
        <w:rPr>
          <w:rFonts w:eastAsia="Calibri"/>
          <w:sz w:val="22"/>
          <w:szCs w:val="22"/>
          <w:lang w:val="sr-Latn-ME"/>
        </w:rPr>
      </w:pPr>
      <w:r w:rsidRPr="00424A4B">
        <w:rPr>
          <w:rFonts w:eastAsia="Calibri"/>
          <w:sz w:val="22"/>
          <w:szCs w:val="22"/>
          <w:lang w:val="sr-Latn-ME"/>
        </w:rPr>
        <w:t>Odjeljenje za farmakovigilancu</w:t>
      </w:r>
    </w:p>
    <w:p w:rsidR="00445878" w:rsidRPr="00424A4B" w:rsidRDefault="00445878" w:rsidP="00CD41AC">
      <w:pPr>
        <w:pStyle w:val="NoSpacing"/>
        <w:jc w:val="both"/>
        <w:rPr>
          <w:rFonts w:eastAsia="Calibri"/>
          <w:sz w:val="22"/>
          <w:szCs w:val="22"/>
          <w:lang w:val="sr-Latn-ME"/>
        </w:rPr>
      </w:pPr>
      <w:r w:rsidRPr="00424A4B">
        <w:rPr>
          <w:rFonts w:eastAsia="Calibri"/>
          <w:sz w:val="22"/>
          <w:szCs w:val="22"/>
          <w:lang w:val="sr-Latn-ME"/>
        </w:rPr>
        <w:t>Bulevar Ivana Crnojevića 64a, 81000 Podgorica</w:t>
      </w:r>
    </w:p>
    <w:p w:rsidR="00445878" w:rsidRPr="00424A4B" w:rsidRDefault="00445878">
      <w:pPr>
        <w:pStyle w:val="NoSpacing"/>
        <w:rPr>
          <w:rFonts w:eastAsia="Calibri"/>
          <w:sz w:val="22"/>
          <w:szCs w:val="22"/>
          <w:lang w:val="sr-Latn-ME"/>
        </w:rPr>
      </w:pPr>
    </w:p>
    <w:p w:rsidR="00445878" w:rsidRPr="00424A4B" w:rsidRDefault="00445878">
      <w:pPr>
        <w:pStyle w:val="NoSpacing"/>
        <w:jc w:val="both"/>
        <w:rPr>
          <w:rFonts w:eastAsia="Calibri"/>
          <w:sz w:val="22"/>
          <w:szCs w:val="22"/>
          <w:lang w:val="sr-Latn-ME"/>
        </w:rPr>
      </w:pPr>
      <w:r w:rsidRPr="00424A4B">
        <w:rPr>
          <w:rFonts w:eastAsia="Calibri"/>
          <w:sz w:val="22"/>
          <w:szCs w:val="22"/>
          <w:lang w:val="sr-Latn-ME"/>
        </w:rPr>
        <w:t>tel: +382 (0) 20 310 280</w:t>
      </w:r>
    </w:p>
    <w:p w:rsidR="00445878" w:rsidRPr="00424A4B" w:rsidRDefault="00445878">
      <w:pPr>
        <w:pStyle w:val="NoSpacing"/>
        <w:jc w:val="both"/>
        <w:rPr>
          <w:rFonts w:eastAsia="Calibri"/>
          <w:sz w:val="22"/>
          <w:szCs w:val="22"/>
          <w:lang w:val="sr-Latn-ME"/>
        </w:rPr>
      </w:pPr>
      <w:r w:rsidRPr="00424A4B">
        <w:rPr>
          <w:rFonts w:eastAsia="Calibri"/>
          <w:sz w:val="22"/>
          <w:szCs w:val="22"/>
          <w:lang w:val="sr-Latn-ME"/>
        </w:rPr>
        <w:t>fax: +382 (0) 20 310 581</w:t>
      </w:r>
    </w:p>
    <w:p w:rsidR="00445878" w:rsidRPr="00424A4B" w:rsidRDefault="00CD208C">
      <w:pPr>
        <w:pStyle w:val="NoSpacing"/>
        <w:jc w:val="both"/>
        <w:rPr>
          <w:rFonts w:eastAsia="Calibri"/>
          <w:sz w:val="22"/>
          <w:szCs w:val="22"/>
          <w:lang w:val="sr-Latn-ME"/>
        </w:rPr>
      </w:pPr>
      <w:hyperlink r:id="rId11" w:history="1">
        <w:r w:rsidR="00445878" w:rsidRPr="00424A4B">
          <w:rPr>
            <w:rStyle w:val="Hyperlink"/>
            <w:rFonts w:eastAsia="Calibri"/>
            <w:sz w:val="22"/>
            <w:szCs w:val="22"/>
            <w:lang w:val="sr-Latn-ME"/>
          </w:rPr>
          <w:t>www.cinmed.me</w:t>
        </w:r>
      </w:hyperlink>
    </w:p>
    <w:p w:rsidR="00445878" w:rsidRPr="00424A4B" w:rsidRDefault="00CD208C">
      <w:pPr>
        <w:pStyle w:val="NoSpacing"/>
        <w:jc w:val="both"/>
        <w:rPr>
          <w:rFonts w:eastAsia="Calibri"/>
          <w:color w:val="0000FF"/>
          <w:sz w:val="22"/>
          <w:szCs w:val="22"/>
          <w:u w:val="single"/>
          <w:lang w:val="sr-Latn-ME"/>
        </w:rPr>
      </w:pPr>
      <w:hyperlink r:id="rId12" w:history="1">
        <w:r w:rsidR="00445878" w:rsidRPr="00424A4B">
          <w:rPr>
            <w:rStyle w:val="Hyperlink"/>
            <w:rFonts w:eastAsia="Calibri"/>
            <w:sz w:val="22"/>
            <w:szCs w:val="22"/>
            <w:lang w:val="sr-Latn-ME"/>
          </w:rPr>
          <w:t>nezeljenadejstva@cinmed.me</w:t>
        </w:r>
      </w:hyperlink>
    </w:p>
    <w:p w:rsidR="00836B35" w:rsidRPr="00424A4B" w:rsidRDefault="00445878">
      <w:pPr>
        <w:tabs>
          <w:tab w:val="left" w:pos="540"/>
          <w:tab w:val="left" w:pos="569"/>
        </w:tabs>
        <w:rPr>
          <w:rFonts w:eastAsia="Calibri"/>
          <w:sz w:val="22"/>
          <w:szCs w:val="22"/>
          <w:lang w:val="sr-Latn-ME"/>
        </w:rPr>
      </w:pPr>
      <w:r w:rsidRPr="00424A4B">
        <w:rPr>
          <w:rFonts w:eastAsia="Calibri"/>
          <w:sz w:val="22"/>
          <w:szCs w:val="22"/>
          <w:lang w:val="sr-Latn-ME"/>
        </w:rPr>
        <w:t>putem IS zdravstvene zaštite</w:t>
      </w:r>
    </w:p>
    <w:p w:rsidR="00DA5717" w:rsidRPr="00424A4B" w:rsidRDefault="00DA5717">
      <w:pPr>
        <w:pStyle w:val="NoSpacing"/>
        <w:jc w:val="both"/>
        <w:rPr>
          <w:rFonts w:eastAsia="Calibri"/>
          <w:sz w:val="22"/>
          <w:szCs w:val="22"/>
          <w:lang w:val="sr-Latn-ME"/>
        </w:rPr>
      </w:pPr>
      <w:r w:rsidRPr="00424A4B">
        <w:rPr>
          <w:rFonts w:eastAsia="Calibri"/>
          <w:sz w:val="22"/>
          <w:szCs w:val="22"/>
          <w:lang w:val="sr-Latn-ME"/>
        </w:rPr>
        <w:t>QR kod za online prijavu sumnje na neželjeno dejstvo lijeka:</w:t>
      </w:r>
    </w:p>
    <w:p w:rsidR="00DA5717" w:rsidRPr="00424A4B" w:rsidRDefault="00DA5717">
      <w:pPr>
        <w:pStyle w:val="NoSpacing"/>
        <w:jc w:val="both"/>
        <w:rPr>
          <w:rFonts w:eastAsia="Calibri"/>
          <w:sz w:val="22"/>
          <w:szCs w:val="22"/>
          <w:lang w:val="sr-Latn-ME"/>
        </w:rPr>
      </w:pPr>
    </w:p>
    <w:p w:rsidR="00DA5717" w:rsidRPr="00424A4B" w:rsidRDefault="00DA5717">
      <w:pPr>
        <w:pStyle w:val="NoSpacing"/>
        <w:rPr>
          <w:rFonts w:eastAsia="Calibri"/>
          <w:sz w:val="22"/>
          <w:szCs w:val="22"/>
          <w:lang w:val="sr-Latn-ME"/>
        </w:rPr>
      </w:pPr>
      <w:r w:rsidRPr="00424A4B">
        <w:rPr>
          <w:noProof/>
          <w:sz w:val="22"/>
          <w:szCs w:val="22"/>
          <w:lang w:val="sr-Latn-ME" w:eastAsia="sr-Latn-ME"/>
        </w:rPr>
        <w:drawing>
          <wp:inline distT="0" distB="0" distL="0" distR="0" wp14:anchorId="72862F7D" wp14:editId="20D8C3D3">
            <wp:extent cx="971550" cy="971550"/>
            <wp:effectExtent l="0" t="0" r="0" b="0"/>
            <wp:docPr id="1" name="Picture 1"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DA5717" w:rsidRPr="00424A4B" w:rsidRDefault="00DA5717">
      <w:pPr>
        <w:tabs>
          <w:tab w:val="left" w:pos="540"/>
          <w:tab w:val="left" w:pos="569"/>
        </w:tabs>
        <w:rPr>
          <w:rFonts w:eastAsia="Calibri"/>
          <w:sz w:val="22"/>
          <w:szCs w:val="22"/>
          <w:lang w:val="sr-Latn-ME"/>
        </w:rPr>
      </w:pPr>
    </w:p>
    <w:p w:rsidR="00CD6F02" w:rsidRPr="00424A4B" w:rsidRDefault="0072020E">
      <w:pPr>
        <w:tabs>
          <w:tab w:val="left" w:pos="540"/>
          <w:tab w:val="left" w:pos="569"/>
        </w:tabs>
        <w:rPr>
          <w:b/>
          <w:bCs/>
          <w:sz w:val="22"/>
          <w:szCs w:val="22"/>
          <w:lang w:val="sr-Latn-ME"/>
        </w:rPr>
      </w:pPr>
      <w:r w:rsidRPr="00424A4B">
        <w:rPr>
          <w:b/>
          <w:bCs/>
          <w:sz w:val="22"/>
          <w:szCs w:val="22"/>
          <w:lang w:val="sr-Latn-ME"/>
        </w:rPr>
        <w:t xml:space="preserve">4.9. </w:t>
      </w:r>
      <w:r w:rsidR="00480FB1" w:rsidRPr="00424A4B">
        <w:rPr>
          <w:b/>
          <w:bCs/>
          <w:sz w:val="22"/>
          <w:szCs w:val="22"/>
          <w:lang w:val="sr-Latn-ME"/>
        </w:rPr>
        <w:tab/>
      </w:r>
      <w:r w:rsidRPr="00424A4B">
        <w:rPr>
          <w:b/>
          <w:bCs/>
          <w:sz w:val="22"/>
          <w:szCs w:val="22"/>
          <w:lang w:val="sr-Latn-ME"/>
        </w:rPr>
        <w:t>Predoziranje</w:t>
      </w:r>
      <w:r w:rsidR="002846DB" w:rsidRPr="00424A4B">
        <w:rPr>
          <w:b/>
          <w:bCs/>
          <w:sz w:val="22"/>
          <w:szCs w:val="22"/>
          <w:lang w:val="sr-Latn-ME"/>
        </w:rPr>
        <w:t xml:space="preserve"> </w:t>
      </w:r>
    </w:p>
    <w:p w:rsidR="00EC72BD" w:rsidRPr="00424A4B" w:rsidRDefault="00EC72BD">
      <w:pPr>
        <w:tabs>
          <w:tab w:val="left" w:pos="540"/>
          <w:tab w:val="left" w:pos="569"/>
        </w:tabs>
        <w:rPr>
          <w:b/>
          <w:bCs/>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Maksimalna podnošljiva doza pertuzumaba nije utvrđena. U kliničkim ispitivanjima ni</w:t>
      </w:r>
      <w:r w:rsidR="00201DBF" w:rsidRPr="00424A4B">
        <w:rPr>
          <w:sz w:val="22"/>
          <w:szCs w:val="22"/>
          <w:lang w:val="sr-Latn-ME"/>
        </w:rPr>
        <w:t>je</w:t>
      </w:r>
      <w:r w:rsidRPr="00424A4B">
        <w:rPr>
          <w:sz w:val="22"/>
          <w:szCs w:val="22"/>
          <w:lang w:val="sr-Latn-ME"/>
        </w:rPr>
        <w:t>su ispitivane pojedinačne doze veće od 25 mg/kg (1727 mg).</w:t>
      </w:r>
    </w:p>
    <w:p w:rsidR="005E6320" w:rsidRPr="00424A4B" w:rsidRDefault="005E6320" w:rsidP="0055503A">
      <w:pPr>
        <w:jc w:val="both"/>
        <w:rPr>
          <w:sz w:val="22"/>
          <w:szCs w:val="22"/>
          <w:lang w:val="sr-Latn-ME"/>
        </w:rPr>
      </w:pPr>
      <w:r w:rsidRPr="00424A4B">
        <w:rPr>
          <w:sz w:val="22"/>
          <w:szCs w:val="22"/>
          <w:lang w:val="sr-Latn-ME"/>
        </w:rPr>
        <w:t>U slučaju predoziranja pacijent se mora p</w:t>
      </w:r>
      <w:r w:rsidR="00201DBF" w:rsidRPr="00424A4B">
        <w:rPr>
          <w:sz w:val="22"/>
          <w:szCs w:val="22"/>
          <w:lang w:val="sr-Latn-ME"/>
        </w:rPr>
        <w:t>ažljivo</w:t>
      </w:r>
      <w:r w:rsidRPr="00424A4B">
        <w:rPr>
          <w:sz w:val="22"/>
          <w:szCs w:val="22"/>
          <w:lang w:val="sr-Latn-ME"/>
        </w:rPr>
        <w:t xml:space="preserve"> nadzirati kako bi se uočili znakovi ili simptomi neželjenih reakcija te treba uvesti odgovarajuće simptomatsko liječenje.</w:t>
      </w:r>
    </w:p>
    <w:p w:rsidR="00CD6F02" w:rsidRPr="00424A4B" w:rsidRDefault="00CD6F02" w:rsidP="005C33D8">
      <w:pPr>
        <w:tabs>
          <w:tab w:val="left" w:pos="540"/>
          <w:tab w:val="left" w:pos="569"/>
        </w:tabs>
        <w:rPr>
          <w:b/>
          <w:bCs/>
          <w:sz w:val="22"/>
          <w:szCs w:val="22"/>
          <w:lang w:val="sr-Latn-ME"/>
        </w:rPr>
      </w:pPr>
    </w:p>
    <w:p w:rsidR="00227BDB" w:rsidRPr="00424A4B" w:rsidRDefault="00227BDB" w:rsidP="00CD41AC">
      <w:pPr>
        <w:tabs>
          <w:tab w:val="left" w:pos="540"/>
          <w:tab w:val="left" w:pos="569"/>
        </w:tabs>
        <w:rPr>
          <w:b/>
          <w:bCs/>
          <w:sz w:val="22"/>
          <w:szCs w:val="22"/>
          <w:lang w:val="sr-Latn-ME"/>
        </w:rPr>
      </w:pPr>
    </w:p>
    <w:p w:rsidR="0072020E" w:rsidRPr="00424A4B" w:rsidRDefault="0072020E">
      <w:pPr>
        <w:tabs>
          <w:tab w:val="left" w:pos="540"/>
          <w:tab w:val="left" w:pos="569"/>
        </w:tabs>
        <w:rPr>
          <w:b/>
          <w:bCs/>
          <w:sz w:val="22"/>
          <w:szCs w:val="22"/>
          <w:lang w:val="sr-Latn-ME"/>
        </w:rPr>
      </w:pPr>
      <w:r w:rsidRPr="00424A4B">
        <w:rPr>
          <w:b/>
          <w:bCs/>
          <w:sz w:val="22"/>
          <w:szCs w:val="22"/>
          <w:lang w:val="sr-Latn-ME"/>
        </w:rPr>
        <w:t xml:space="preserve">5. </w:t>
      </w:r>
      <w:r w:rsidR="00480FB1" w:rsidRPr="00424A4B">
        <w:rPr>
          <w:b/>
          <w:bCs/>
          <w:sz w:val="22"/>
          <w:szCs w:val="22"/>
          <w:lang w:val="sr-Latn-ME"/>
        </w:rPr>
        <w:tab/>
      </w:r>
      <w:r w:rsidRPr="00424A4B">
        <w:rPr>
          <w:b/>
          <w:bCs/>
          <w:sz w:val="22"/>
          <w:szCs w:val="22"/>
          <w:lang w:val="sr-Latn-ME"/>
        </w:rPr>
        <w:t>FARMAKOLOŠK</w:t>
      </w:r>
      <w:r w:rsidR="000D425A" w:rsidRPr="00424A4B">
        <w:rPr>
          <w:b/>
          <w:bCs/>
          <w:sz w:val="22"/>
          <w:szCs w:val="22"/>
          <w:lang w:val="sr-Latn-ME"/>
        </w:rPr>
        <w:t>I</w:t>
      </w:r>
      <w:r w:rsidRPr="00424A4B">
        <w:rPr>
          <w:b/>
          <w:bCs/>
          <w:sz w:val="22"/>
          <w:szCs w:val="22"/>
          <w:lang w:val="sr-Latn-ME"/>
        </w:rPr>
        <w:t xml:space="preserve"> PODACI</w:t>
      </w:r>
    </w:p>
    <w:p w:rsidR="0072020E" w:rsidRPr="00424A4B" w:rsidRDefault="0072020E">
      <w:pPr>
        <w:tabs>
          <w:tab w:val="left" w:pos="540"/>
          <w:tab w:val="left" w:pos="569"/>
        </w:tabs>
        <w:rPr>
          <w:b/>
          <w:bCs/>
          <w:sz w:val="22"/>
          <w:szCs w:val="22"/>
          <w:lang w:val="sr-Latn-ME"/>
        </w:rPr>
      </w:pPr>
    </w:p>
    <w:p w:rsidR="0072020E" w:rsidRPr="00424A4B" w:rsidRDefault="0072020E">
      <w:pPr>
        <w:tabs>
          <w:tab w:val="left" w:pos="540"/>
          <w:tab w:val="left" w:pos="569"/>
        </w:tabs>
        <w:rPr>
          <w:b/>
          <w:bCs/>
          <w:sz w:val="22"/>
          <w:szCs w:val="22"/>
          <w:lang w:val="sr-Latn-ME"/>
        </w:rPr>
      </w:pPr>
      <w:r w:rsidRPr="00424A4B">
        <w:rPr>
          <w:b/>
          <w:bCs/>
          <w:sz w:val="22"/>
          <w:szCs w:val="22"/>
          <w:lang w:val="sr-Latn-ME"/>
        </w:rPr>
        <w:t xml:space="preserve">5.1. </w:t>
      </w:r>
      <w:r w:rsidR="00480FB1" w:rsidRPr="00424A4B">
        <w:rPr>
          <w:b/>
          <w:bCs/>
          <w:sz w:val="22"/>
          <w:szCs w:val="22"/>
          <w:lang w:val="sr-Latn-ME"/>
        </w:rPr>
        <w:tab/>
      </w:r>
      <w:r w:rsidRPr="00424A4B">
        <w:rPr>
          <w:b/>
          <w:bCs/>
          <w:sz w:val="22"/>
          <w:szCs w:val="22"/>
          <w:lang w:val="sr-Latn-ME"/>
        </w:rPr>
        <w:t>Farmakodinamski podaci</w:t>
      </w:r>
      <w:r w:rsidR="003A7059" w:rsidRPr="00424A4B">
        <w:rPr>
          <w:b/>
          <w:bCs/>
          <w:sz w:val="22"/>
          <w:szCs w:val="22"/>
          <w:lang w:val="sr-Latn-ME"/>
        </w:rPr>
        <w:t xml:space="preserve"> </w:t>
      </w:r>
    </w:p>
    <w:p w:rsidR="00F45F77" w:rsidRPr="00424A4B" w:rsidRDefault="00F45F77">
      <w:pPr>
        <w:tabs>
          <w:tab w:val="left" w:pos="540"/>
          <w:tab w:val="left" w:pos="569"/>
        </w:tabs>
        <w:rPr>
          <w:b/>
          <w:bCs/>
          <w:sz w:val="22"/>
          <w:szCs w:val="22"/>
          <w:lang w:val="sr-Latn-ME"/>
        </w:rPr>
      </w:pPr>
    </w:p>
    <w:p w:rsidR="0072020E" w:rsidRPr="00424A4B" w:rsidRDefault="0072020E" w:rsidP="0055503A">
      <w:pPr>
        <w:rPr>
          <w:sz w:val="22"/>
          <w:szCs w:val="22"/>
          <w:lang w:val="sr-Latn-ME"/>
        </w:rPr>
      </w:pPr>
      <w:r w:rsidRPr="00424A4B">
        <w:rPr>
          <w:bCs/>
          <w:sz w:val="22"/>
          <w:szCs w:val="22"/>
          <w:lang w:val="sr-Latn-ME"/>
        </w:rPr>
        <w:t>Farmakoterapijska grupa:</w:t>
      </w:r>
      <w:r w:rsidR="005E6320" w:rsidRPr="00424A4B">
        <w:rPr>
          <w:sz w:val="22"/>
          <w:szCs w:val="22"/>
          <w:lang w:val="sr-Latn-ME"/>
        </w:rPr>
        <w:t xml:space="preserve"> Antineoplastični agens</w:t>
      </w:r>
      <w:r w:rsidR="00201DBF" w:rsidRPr="00424A4B">
        <w:rPr>
          <w:sz w:val="22"/>
          <w:szCs w:val="22"/>
          <w:lang w:val="sr-Latn-ME"/>
        </w:rPr>
        <w:t>i</w:t>
      </w:r>
      <w:r w:rsidR="005E6320" w:rsidRPr="00424A4B">
        <w:rPr>
          <w:sz w:val="22"/>
          <w:szCs w:val="22"/>
          <w:lang w:val="sr-Latn-ME"/>
        </w:rPr>
        <w:t>, monoklonska antitijela</w:t>
      </w:r>
    </w:p>
    <w:p w:rsidR="0072020E" w:rsidRPr="00424A4B" w:rsidRDefault="0072020E" w:rsidP="005C33D8">
      <w:pPr>
        <w:tabs>
          <w:tab w:val="left" w:pos="540"/>
          <w:tab w:val="left" w:pos="569"/>
        </w:tabs>
        <w:rPr>
          <w:bCs/>
          <w:sz w:val="22"/>
          <w:szCs w:val="22"/>
          <w:lang w:val="sr-Latn-ME"/>
        </w:rPr>
      </w:pPr>
    </w:p>
    <w:p w:rsidR="0072020E" w:rsidRPr="00424A4B" w:rsidRDefault="0072020E" w:rsidP="00CD41AC">
      <w:pPr>
        <w:tabs>
          <w:tab w:val="left" w:pos="540"/>
          <w:tab w:val="left" w:pos="569"/>
        </w:tabs>
        <w:rPr>
          <w:bCs/>
          <w:sz w:val="22"/>
          <w:szCs w:val="22"/>
          <w:lang w:val="sr-Latn-ME"/>
        </w:rPr>
      </w:pPr>
      <w:r w:rsidRPr="00424A4B">
        <w:rPr>
          <w:bCs/>
          <w:sz w:val="22"/>
          <w:szCs w:val="22"/>
          <w:lang w:val="sr-Latn-ME"/>
        </w:rPr>
        <w:t>ATC kod:</w:t>
      </w:r>
      <w:r w:rsidR="005E6320" w:rsidRPr="00424A4B">
        <w:rPr>
          <w:sz w:val="22"/>
          <w:szCs w:val="22"/>
          <w:lang w:val="sr-Latn-ME"/>
        </w:rPr>
        <w:t xml:space="preserve"> </w:t>
      </w:r>
      <w:r w:rsidR="00DA5717" w:rsidRPr="00424A4B">
        <w:rPr>
          <w:bCs/>
          <w:sz w:val="22"/>
          <w:szCs w:val="22"/>
          <w:lang w:val="sr-Latn-ME"/>
        </w:rPr>
        <w:t>L01FD02</w:t>
      </w:r>
    </w:p>
    <w:p w:rsidR="00264D7C" w:rsidRPr="00424A4B" w:rsidRDefault="00264D7C" w:rsidP="005C33D8">
      <w:pPr>
        <w:tabs>
          <w:tab w:val="left" w:pos="540"/>
          <w:tab w:val="left" w:pos="569"/>
        </w:tabs>
        <w:rPr>
          <w:bCs/>
          <w:sz w:val="22"/>
          <w:szCs w:val="22"/>
          <w:lang w:val="sr-Latn-ME"/>
        </w:rPr>
      </w:pPr>
    </w:p>
    <w:p w:rsidR="005E6320" w:rsidRPr="00424A4B" w:rsidRDefault="005E6320" w:rsidP="0055503A">
      <w:pPr>
        <w:rPr>
          <w:sz w:val="22"/>
          <w:szCs w:val="22"/>
          <w:u w:val="single"/>
          <w:lang w:val="sr-Latn-ME"/>
        </w:rPr>
      </w:pPr>
      <w:r w:rsidRPr="00424A4B">
        <w:rPr>
          <w:sz w:val="22"/>
          <w:szCs w:val="22"/>
          <w:u w:val="single"/>
          <w:lang w:val="sr-Latn-ME"/>
        </w:rPr>
        <w:t xml:space="preserve">Mehanizam dejstva </w:t>
      </w:r>
    </w:p>
    <w:p w:rsidR="00CD41AC" w:rsidRPr="00424A4B" w:rsidRDefault="00CD41AC" w:rsidP="0055503A">
      <w:pPr>
        <w:rPr>
          <w:sz w:val="22"/>
          <w:szCs w:val="22"/>
          <w:u w:val="single"/>
          <w:lang w:val="sr-Latn-ME"/>
        </w:rPr>
      </w:pPr>
    </w:p>
    <w:p w:rsidR="005E6320" w:rsidRPr="00424A4B" w:rsidRDefault="005E6320" w:rsidP="0055503A">
      <w:pPr>
        <w:jc w:val="both"/>
        <w:rPr>
          <w:sz w:val="22"/>
          <w:szCs w:val="22"/>
          <w:lang w:val="sr-Latn-ME"/>
        </w:rPr>
      </w:pPr>
      <w:r w:rsidRPr="00424A4B">
        <w:rPr>
          <w:sz w:val="22"/>
          <w:szCs w:val="22"/>
          <w:lang w:val="sr-Latn-ME"/>
        </w:rPr>
        <w:t>Pertuzumab je rekombinantno humanizovano monoklonsko antitijelo koje ciljano djeluje na vanćelijski dimerizacijski domen (po</w:t>
      </w:r>
      <w:r w:rsidR="00B22C9E" w:rsidRPr="00424A4B">
        <w:rPr>
          <w:sz w:val="22"/>
          <w:szCs w:val="22"/>
          <w:lang w:val="sr-Latn-ME"/>
        </w:rPr>
        <w:t>d</w:t>
      </w:r>
      <w:r w:rsidRPr="00424A4B">
        <w:rPr>
          <w:sz w:val="22"/>
          <w:szCs w:val="22"/>
          <w:lang w:val="sr-Latn-ME"/>
        </w:rPr>
        <w:t>domen II) proteina receptora humanog epidermalnog faktora rasta 2 (HER2) i tako blokira ligand-zavisnu heterodimerizaciju receptora HER2 sa drugim članovima porodice HER receptora, uključujući EGFR, HER3 i HER4. Time pertuzumab inhibira ligandom podstaknutu intracelularnu signalizaciju pomoću dva glavna signalna puta: putem mitogenom-aktivirane proteinske (MAP) kinaze i putem fosfoinozitid-3-kinaze (PI3K). Inhibicija puta MAP kinaze može dovesti do zaustavljanja rasta ćelije, a inhibicija puta PI3K do apoptoze. Osim toga, pertuzumab posreduje u ćelijskoj citotoksičnosti zavisnoj od antitijela.</w:t>
      </w:r>
    </w:p>
    <w:p w:rsidR="00CD41AC" w:rsidRPr="00424A4B" w:rsidRDefault="00CD41AC"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Iako je pertuzumab primijenjen samostalno inhibirao proliferaciju tumorskih ćelija kod ljudi, kombinacija pertuzumaba i trastuzumaba značajno je pojačala antikancerogeno djelovanje u ksenotransplantac</w:t>
      </w:r>
      <w:r w:rsidR="00B22C9E" w:rsidRPr="00424A4B">
        <w:rPr>
          <w:sz w:val="22"/>
          <w:szCs w:val="22"/>
          <w:lang w:val="sr-Latn-ME"/>
        </w:rPr>
        <w:t>ionim</w:t>
      </w:r>
      <w:r w:rsidRPr="00424A4B">
        <w:rPr>
          <w:sz w:val="22"/>
          <w:szCs w:val="22"/>
          <w:lang w:val="sr-Latn-ME"/>
        </w:rPr>
        <w:t xml:space="preserve"> modelima sa povećanom ekspresijom HER2.</w:t>
      </w:r>
    </w:p>
    <w:p w:rsidR="00CD41AC" w:rsidRPr="00424A4B" w:rsidRDefault="00CD41AC" w:rsidP="0055503A">
      <w:pPr>
        <w:jc w:val="both"/>
        <w:rPr>
          <w:sz w:val="22"/>
          <w:szCs w:val="22"/>
          <w:lang w:val="sr-Latn-ME"/>
        </w:rPr>
      </w:pPr>
    </w:p>
    <w:p w:rsidR="005E6320" w:rsidRPr="00424A4B" w:rsidRDefault="005E6320" w:rsidP="0055503A">
      <w:pPr>
        <w:jc w:val="both"/>
        <w:rPr>
          <w:sz w:val="22"/>
          <w:szCs w:val="22"/>
          <w:u w:val="single"/>
          <w:lang w:val="sr-Latn-ME"/>
        </w:rPr>
      </w:pPr>
      <w:r w:rsidRPr="00424A4B">
        <w:rPr>
          <w:sz w:val="22"/>
          <w:szCs w:val="22"/>
          <w:u w:val="single"/>
          <w:lang w:val="sr-Latn-ME"/>
        </w:rPr>
        <w:t>Klinička efikasnost i bezbjednost</w:t>
      </w:r>
    </w:p>
    <w:p w:rsidR="00CD41AC" w:rsidRPr="00424A4B" w:rsidRDefault="00CD41AC" w:rsidP="0055503A">
      <w:pPr>
        <w:jc w:val="both"/>
        <w:rPr>
          <w:sz w:val="22"/>
          <w:szCs w:val="22"/>
          <w:u w:val="single"/>
          <w:lang w:val="sr-Latn-ME"/>
        </w:rPr>
      </w:pPr>
    </w:p>
    <w:p w:rsidR="005E6320" w:rsidRPr="00424A4B" w:rsidRDefault="005E6320" w:rsidP="0055503A">
      <w:pPr>
        <w:jc w:val="both"/>
        <w:rPr>
          <w:sz w:val="22"/>
          <w:szCs w:val="22"/>
          <w:lang w:val="sr-Latn-ME"/>
        </w:rPr>
      </w:pPr>
      <w:r w:rsidRPr="00424A4B">
        <w:rPr>
          <w:sz w:val="22"/>
          <w:szCs w:val="22"/>
          <w:lang w:val="sr-Latn-ME"/>
        </w:rPr>
        <w:t xml:space="preserve">Efikasnost lijeka </w:t>
      </w:r>
      <w:r w:rsidR="009C77FA" w:rsidRPr="00424A4B">
        <w:rPr>
          <w:sz w:val="22"/>
          <w:szCs w:val="22"/>
          <w:lang w:val="sr-Latn-ME"/>
        </w:rPr>
        <w:t>Perjeta</w:t>
      </w:r>
      <w:r w:rsidRPr="00424A4B">
        <w:rPr>
          <w:sz w:val="22"/>
          <w:szCs w:val="22"/>
          <w:lang w:val="sr-Latn-ME"/>
        </w:rPr>
        <w:t xml:space="preserve"> u HER2 pozitivnom karcinomu dojke potvrđena je u randomizovanom ispitivanju faze III i ispitivanju faze II s jednom grupom, u kojem su učestvovali pacijenti sa metastatskim karcinomom dojke dva randomizovana ispitivanja faze II za neoadjuvantno liječenje ranog karcinoma dojke  (jedno ispitivanje bilo je kontrolisano), nerandomizovanom ispitivanju faze II za neoadjuvantno liječenje i randomizovano</w:t>
      </w:r>
      <w:r w:rsidR="00B22C9E" w:rsidRPr="00424A4B">
        <w:rPr>
          <w:sz w:val="22"/>
          <w:szCs w:val="22"/>
          <w:lang w:val="sr-Latn-ME"/>
        </w:rPr>
        <w:t>m</w:t>
      </w:r>
      <w:r w:rsidRPr="00424A4B">
        <w:rPr>
          <w:sz w:val="22"/>
          <w:szCs w:val="22"/>
          <w:lang w:val="sr-Latn-ME"/>
        </w:rPr>
        <w:t xml:space="preserve"> ispitivanj</w:t>
      </w:r>
      <w:r w:rsidR="00B22C9E" w:rsidRPr="00424A4B">
        <w:rPr>
          <w:sz w:val="22"/>
          <w:szCs w:val="22"/>
          <w:lang w:val="sr-Latn-ME"/>
        </w:rPr>
        <w:t>u</w:t>
      </w:r>
      <w:r w:rsidRPr="00424A4B">
        <w:rPr>
          <w:sz w:val="22"/>
          <w:szCs w:val="22"/>
          <w:lang w:val="sr-Latn-ME"/>
        </w:rPr>
        <w:t xml:space="preserve"> faze III za adjuvantno liječenje. </w:t>
      </w:r>
    </w:p>
    <w:p w:rsidR="00CD41AC" w:rsidRPr="00424A4B" w:rsidRDefault="00CD41AC"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Prekomjerna ekspresija HER2 određivala se u centralnoj laboratoriji, a definisana je kao imunohistohemijski nalaz (IHC) 3+ ili amplifikovani odnos od ≥ 2,0 dobijen </w:t>
      </w:r>
      <w:r w:rsidRPr="00424A4B">
        <w:rPr>
          <w:i/>
          <w:sz w:val="22"/>
          <w:szCs w:val="22"/>
          <w:lang w:val="sr-Latn-ME"/>
        </w:rPr>
        <w:t>in situ</w:t>
      </w:r>
      <w:r w:rsidRPr="00424A4B">
        <w:rPr>
          <w:sz w:val="22"/>
          <w:szCs w:val="22"/>
          <w:lang w:val="sr-Latn-ME"/>
        </w:rPr>
        <w:t xml:space="preserve"> hibridizacijom (ISH) u ispitivanjima koja se opisuju u nastavku.</w:t>
      </w:r>
    </w:p>
    <w:p w:rsidR="005E6320" w:rsidRPr="00424A4B" w:rsidRDefault="005E6320" w:rsidP="0055503A">
      <w:pPr>
        <w:jc w:val="both"/>
        <w:rPr>
          <w:i/>
          <w:sz w:val="22"/>
          <w:szCs w:val="22"/>
          <w:u w:val="single"/>
          <w:lang w:val="sr-Latn-ME"/>
        </w:rPr>
      </w:pPr>
      <w:r w:rsidRPr="00424A4B">
        <w:rPr>
          <w:i/>
          <w:sz w:val="22"/>
          <w:szCs w:val="22"/>
          <w:u w:val="single"/>
          <w:lang w:val="sr-Latn-ME"/>
        </w:rPr>
        <w:lastRenderedPageBreak/>
        <w:t>Metastatski karcinom dojke</w:t>
      </w:r>
    </w:p>
    <w:p w:rsidR="00CD41AC" w:rsidRPr="00424A4B" w:rsidRDefault="00CD41AC" w:rsidP="0055503A">
      <w:pPr>
        <w:jc w:val="both"/>
        <w:rPr>
          <w:i/>
          <w:sz w:val="22"/>
          <w:szCs w:val="22"/>
          <w:u w:val="single"/>
          <w:lang w:val="sr-Latn-ME"/>
        </w:rPr>
      </w:pPr>
    </w:p>
    <w:p w:rsidR="005E6320" w:rsidRPr="00424A4B" w:rsidRDefault="005E6320" w:rsidP="0055503A">
      <w:pPr>
        <w:jc w:val="both"/>
        <w:rPr>
          <w:i/>
          <w:sz w:val="22"/>
          <w:szCs w:val="22"/>
          <w:lang w:val="sr-Latn-ME"/>
        </w:rPr>
      </w:pPr>
      <w:r w:rsidRPr="00424A4B">
        <w:rPr>
          <w:i/>
          <w:sz w:val="22"/>
          <w:szCs w:val="22"/>
          <w:lang w:val="sr-Latn-ME"/>
        </w:rPr>
        <w:t xml:space="preserve">Lijek </w:t>
      </w:r>
      <w:r w:rsidR="009C77FA" w:rsidRPr="00424A4B">
        <w:rPr>
          <w:i/>
          <w:sz w:val="22"/>
          <w:szCs w:val="22"/>
          <w:lang w:val="sr-Latn-ME"/>
        </w:rPr>
        <w:t>Perjeta</w:t>
      </w:r>
      <w:r w:rsidRPr="00424A4B">
        <w:rPr>
          <w:i/>
          <w:sz w:val="22"/>
          <w:szCs w:val="22"/>
          <w:lang w:val="sr-Latn-ME"/>
        </w:rPr>
        <w:t xml:space="preserve"> u kombinaciji s</w:t>
      </w:r>
      <w:r w:rsidR="00B22C9E" w:rsidRPr="00424A4B">
        <w:rPr>
          <w:i/>
          <w:sz w:val="22"/>
          <w:szCs w:val="22"/>
          <w:lang w:val="sr-Latn-ME"/>
        </w:rPr>
        <w:t>a</w:t>
      </w:r>
      <w:r w:rsidRPr="00424A4B">
        <w:rPr>
          <w:i/>
          <w:sz w:val="22"/>
          <w:szCs w:val="22"/>
          <w:lang w:val="sr-Latn-ME"/>
        </w:rPr>
        <w:t xml:space="preserve"> trastuzumabom i docetakselom</w:t>
      </w:r>
    </w:p>
    <w:p w:rsidR="00CD41AC" w:rsidRPr="00424A4B" w:rsidRDefault="005E6320" w:rsidP="0055503A">
      <w:pPr>
        <w:jc w:val="both"/>
        <w:rPr>
          <w:sz w:val="22"/>
          <w:szCs w:val="22"/>
          <w:lang w:val="sr-Latn-ME"/>
        </w:rPr>
      </w:pPr>
      <w:r w:rsidRPr="00424A4B">
        <w:rPr>
          <w:sz w:val="22"/>
          <w:szCs w:val="22"/>
          <w:lang w:val="sr-Latn-ME"/>
        </w:rPr>
        <w:t xml:space="preserve">CLEOPATRA (WO20698) je multicentrično, randomizovano, dvostruko slijepo, placebom kontrolisano kliničko ispitivanje faze III, sprovedeno </w:t>
      </w:r>
      <w:r w:rsidR="00B22C9E" w:rsidRPr="00424A4B">
        <w:rPr>
          <w:sz w:val="22"/>
          <w:szCs w:val="22"/>
          <w:lang w:val="sr-Latn-ME"/>
        </w:rPr>
        <w:t>kod</w:t>
      </w:r>
      <w:r w:rsidRPr="00424A4B">
        <w:rPr>
          <w:sz w:val="22"/>
          <w:szCs w:val="22"/>
          <w:lang w:val="sr-Latn-ME"/>
        </w:rPr>
        <w:t xml:space="preserve"> 808 pacijenata sa HER2 pozitivnim metastatskim ili lokalno recidivirajućim neresektabilnim karcinomom dojke. Pacijenti sa klinički značajnim faktorima srčanog rizika ni</w:t>
      </w:r>
      <w:r w:rsidR="00B22C9E" w:rsidRPr="00424A4B">
        <w:rPr>
          <w:sz w:val="22"/>
          <w:szCs w:val="22"/>
          <w:lang w:val="sr-Latn-ME"/>
        </w:rPr>
        <w:t>je</w:t>
      </w:r>
      <w:r w:rsidRPr="00424A4B">
        <w:rPr>
          <w:sz w:val="22"/>
          <w:szCs w:val="22"/>
          <w:lang w:val="sr-Latn-ME"/>
        </w:rPr>
        <w:t>su bili uključeni u ispitivanje (vidjeti dio 4.4). S obzirom da u ispitivanje ni</w:t>
      </w:r>
      <w:r w:rsidR="00B22C9E" w:rsidRPr="00424A4B">
        <w:rPr>
          <w:sz w:val="22"/>
          <w:szCs w:val="22"/>
          <w:lang w:val="sr-Latn-ME"/>
        </w:rPr>
        <w:t>je</w:t>
      </w:r>
      <w:r w:rsidRPr="00424A4B">
        <w:rPr>
          <w:sz w:val="22"/>
          <w:szCs w:val="22"/>
          <w:lang w:val="sr-Latn-ME"/>
        </w:rPr>
        <w:t xml:space="preserve">su uključivani pacijenti sa metastazama u mozgu, nema podataka o djelovanju lijeka </w:t>
      </w:r>
      <w:r w:rsidR="009C77FA" w:rsidRPr="00424A4B">
        <w:rPr>
          <w:sz w:val="22"/>
          <w:szCs w:val="22"/>
          <w:lang w:val="sr-Latn-ME"/>
        </w:rPr>
        <w:t>Perjeta</w:t>
      </w:r>
      <w:r w:rsidRPr="00424A4B">
        <w:rPr>
          <w:sz w:val="22"/>
          <w:szCs w:val="22"/>
          <w:lang w:val="sr-Latn-ME"/>
        </w:rPr>
        <w:t xml:space="preserve"> na moždane metastaze. Dostupno je vrlo malo podataka o pacijentima sa neresektabilnom lokalno recidivirajućom bolešću. Pacijenti su randomizovani u odnosu 1:1 – u grupu koja je primala placebo + trastuzumab + docetaksel ili u grupu koja je primala lijek </w:t>
      </w:r>
      <w:r w:rsidR="009C77FA" w:rsidRPr="00424A4B">
        <w:rPr>
          <w:sz w:val="22"/>
          <w:szCs w:val="22"/>
          <w:lang w:val="sr-Latn-ME"/>
        </w:rPr>
        <w:t>Perjeta</w:t>
      </w:r>
      <w:r w:rsidRPr="00424A4B">
        <w:rPr>
          <w:sz w:val="22"/>
          <w:szCs w:val="22"/>
          <w:lang w:val="sr-Latn-ME"/>
        </w:rPr>
        <w:t xml:space="preserve"> + trastuzumab + docetaksel.</w:t>
      </w:r>
    </w:p>
    <w:p w:rsidR="005E6320" w:rsidRPr="00424A4B" w:rsidRDefault="005E6320" w:rsidP="0055503A">
      <w:pPr>
        <w:jc w:val="both"/>
        <w:rPr>
          <w:sz w:val="22"/>
          <w:szCs w:val="22"/>
          <w:lang w:val="sr-Latn-ME"/>
        </w:rPr>
      </w:pPr>
      <w:r w:rsidRPr="00424A4B">
        <w:rPr>
          <w:sz w:val="22"/>
          <w:szCs w:val="22"/>
          <w:lang w:val="sr-Latn-ME"/>
        </w:rPr>
        <w:t xml:space="preserve"> </w:t>
      </w:r>
    </w:p>
    <w:p w:rsidR="005E6320" w:rsidRPr="00424A4B" w:rsidRDefault="005E6320" w:rsidP="0055503A">
      <w:pPr>
        <w:jc w:val="both"/>
        <w:rPr>
          <w:sz w:val="22"/>
          <w:szCs w:val="22"/>
          <w:lang w:val="sr-Latn-ME"/>
        </w:rPr>
      </w:pPr>
      <w:r w:rsidRPr="00424A4B">
        <w:rPr>
          <w:sz w:val="22"/>
          <w:szCs w:val="22"/>
          <w:lang w:val="sr-Latn-ME"/>
        </w:rPr>
        <w:t xml:space="preserve">Lijek </w:t>
      </w:r>
      <w:r w:rsidR="009C77FA" w:rsidRPr="00424A4B">
        <w:rPr>
          <w:sz w:val="22"/>
          <w:szCs w:val="22"/>
          <w:lang w:val="sr-Latn-ME"/>
        </w:rPr>
        <w:t>Perjeta</w:t>
      </w:r>
      <w:r w:rsidRPr="00424A4B">
        <w:rPr>
          <w:sz w:val="22"/>
          <w:szCs w:val="22"/>
          <w:lang w:val="sr-Latn-ME"/>
        </w:rPr>
        <w:t xml:space="preserve"> i trastuzumab primjenjivani su u standardnim dozama svake 3 nedjelje. Pacijenti su liječeni lijekom </w:t>
      </w:r>
      <w:r w:rsidR="009C77FA" w:rsidRPr="00424A4B">
        <w:rPr>
          <w:sz w:val="22"/>
          <w:szCs w:val="22"/>
          <w:lang w:val="sr-Latn-ME"/>
        </w:rPr>
        <w:t>Perjeta</w:t>
      </w:r>
      <w:r w:rsidRPr="00424A4B">
        <w:rPr>
          <w:sz w:val="22"/>
          <w:szCs w:val="22"/>
          <w:lang w:val="sr-Latn-ME"/>
        </w:rPr>
        <w:t xml:space="preserve"> i trastuzumabom do progresije bolesti, povlačenja pristanka za učestvovanje u ispitivanju ili razvoja neprihvatljive toksičnosti. Docetaksel je primijenjen u početnoj dozi od 75 mg/m</w:t>
      </w:r>
      <w:r w:rsidRPr="00424A4B">
        <w:rPr>
          <w:sz w:val="22"/>
          <w:szCs w:val="22"/>
          <w:vertAlign w:val="superscript"/>
          <w:lang w:val="sr-Latn-ME"/>
        </w:rPr>
        <w:t xml:space="preserve">2 </w:t>
      </w:r>
      <w:r w:rsidRPr="00424A4B">
        <w:rPr>
          <w:sz w:val="22"/>
          <w:szCs w:val="22"/>
          <w:lang w:val="sr-Latn-ME"/>
        </w:rPr>
        <w:t>u obliku intravenske infuzije svake 3 nedjelje tokom najmanje 6 ciklusa liječenja. Ako je pacijent dobro podnio početnu dozu, doza docetaksela mogla se prema odluci ispitivača povećati na 100 mg/m</w:t>
      </w:r>
      <w:r w:rsidRPr="00424A4B">
        <w:rPr>
          <w:sz w:val="22"/>
          <w:szCs w:val="22"/>
          <w:vertAlign w:val="superscript"/>
          <w:lang w:val="sr-Latn-ME"/>
        </w:rPr>
        <w:t>2</w:t>
      </w:r>
      <w:r w:rsidRPr="00424A4B">
        <w:rPr>
          <w:sz w:val="22"/>
          <w:szCs w:val="22"/>
          <w:lang w:val="sr-Latn-ME"/>
        </w:rPr>
        <w:t xml:space="preserve">. </w:t>
      </w:r>
    </w:p>
    <w:p w:rsidR="00CD41AC" w:rsidRPr="00424A4B" w:rsidRDefault="00CD41AC" w:rsidP="0055503A">
      <w:pPr>
        <w:jc w:val="both"/>
        <w:rPr>
          <w:sz w:val="22"/>
          <w:szCs w:val="22"/>
          <w:lang w:val="sr-Latn-ME"/>
        </w:rPr>
      </w:pPr>
    </w:p>
    <w:p w:rsidR="005E6320" w:rsidRPr="00424A4B" w:rsidRDefault="005E6320" w:rsidP="005C33D8">
      <w:pPr>
        <w:jc w:val="both"/>
        <w:rPr>
          <w:sz w:val="22"/>
          <w:szCs w:val="22"/>
          <w:lang w:val="sr-Latn-ME"/>
        </w:rPr>
      </w:pPr>
      <w:r w:rsidRPr="00424A4B">
        <w:rPr>
          <w:sz w:val="22"/>
          <w:szCs w:val="22"/>
          <w:lang w:val="sr-Latn-ME"/>
        </w:rPr>
        <w:t>Primarn</w:t>
      </w:r>
      <w:r w:rsidR="00B22C9E" w:rsidRPr="00424A4B">
        <w:rPr>
          <w:sz w:val="22"/>
          <w:szCs w:val="22"/>
          <w:lang w:val="sr-Latn-ME"/>
        </w:rPr>
        <w:t>i parametar praćenja</w:t>
      </w:r>
      <w:r w:rsidRPr="00424A4B">
        <w:rPr>
          <w:sz w:val="22"/>
          <w:szCs w:val="22"/>
          <w:lang w:val="sr-Latn-ME"/>
        </w:rPr>
        <w:t xml:space="preserve"> ispitivanja bilo je preživljavanje bez progresije bolesti prema procjeni nezavisnog ocjenjivačkog tijela, a definisan je kao period od datuma randomizacije do datuma progresije bolesti ili smrti (zbog bilo kojeg uzroka), ako je smrt nastupila </w:t>
      </w:r>
      <w:r w:rsidR="00B22C9E" w:rsidRPr="00424A4B">
        <w:rPr>
          <w:sz w:val="22"/>
          <w:szCs w:val="22"/>
          <w:lang w:val="sr-Latn-ME"/>
        </w:rPr>
        <w:t xml:space="preserve">u toku </w:t>
      </w:r>
      <w:r w:rsidRPr="00424A4B">
        <w:rPr>
          <w:sz w:val="22"/>
          <w:szCs w:val="22"/>
          <w:lang w:val="sr-Latn-ME"/>
        </w:rPr>
        <w:t>18 nedjelja od posljednje procjene tumora. Sekundarn</w:t>
      </w:r>
      <w:r w:rsidR="00B22C9E" w:rsidRPr="00424A4B">
        <w:rPr>
          <w:sz w:val="22"/>
          <w:szCs w:val="22"/>
          <w:lang w:val="sr-Latn-ME"/>
        </w:rPr>
        <w:t>i parametri praćenja</w:t>
      </w:r>
      <w:r w:rsidRPr="00424A4B">
        <w:rPr>
          <w:sz w:val="22"/>
          <w:szCs w:val="22"/>
          <w:lang w:val="sr-Latn-ME"/>
        </w:rPr>
        <w:t xml:space="preserve"> za efikasnost su bil</w:t>
      </w:r>
      <w:r w:rsidR="00B22C9E" w:rsidRPr="00424A4B">
        <w:rPr>
          <w:sz w:val="22"/>
          <w:szCs w:val="22"/>
          <w:lang w:val="sr-Latn-ME"/>
        </w:rPr>
        <w:t>i</w:t>
      </w:r>
      <w:r w:rsidRPr="00424A4B">
        <w:rPr>
          <w:sz w:val="22"/>
          <w:szCs w:val="22"/>
          <w:lang w:val="sr-Latn-ME"/>
        </w:rPr>
        <w:t xml:space="preserve"> ukupno preživljavanje, preživljavanje bez progresije bolesti (prema procjeni istraživača), stepen objektivnog odgovora, trajanje odgovora i vrijeme do progresije simptoma prema upitniku o kvalitet</w:t>
      </w:r>
      <w:r w:rsidR="00B22C9E" w:rsidRPr="00424A4B">
        <w:rPr>
          <w:sz w:val="22"/>
          <w:szCs w:val="22"/>
          <w:lang w:val="sr-Latn-ME"/>
        </w:rPr>
        <w:t>u</w:t>
      </w:r>
      <w:r w:rsidRPr="00424A4B">
        <w:rPr>
          <w:sz w:val="22"/>
          <w:szCs w:val="22"/>
          <w:lang w:val="sr-Latn-ME"/>
        </w:rPr>
        <w:t xml:space="preserve"> života</w:t>
      </w:r>
      <w:r w:rsidR="00B22C9E" w:rsidRPr="00424A4B">
        <w:rPr>
          <w:sz w:val="22"/>
          <w:szCs w:val="22"/>
          <w:lang w:val="sr-Latn-ME"/>
        </w:rPr>
        <w:t>,</w:t>
      </w:r>
      <w:r w:rsidRPr="00424A4B">
        <w:rPr>
          <w:sz w:val="22"/>
          <w:szCs w:val="22"/>
          <w:lang w:val="sr-Latn-ME"/>
        </w:rPr>
        <w:t xml:space="preserve"> FACT B.</w:t>
      </w:r>
    </w:p>
    <w:p w:rsidR="00CD41AC" w:rsidRPr="00424A4B" w:rsidRDefault="00CD41AC" w:rsidP="005C33D8">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Približno je polovina pacijenata u svakoj terapijskoj grupi imala bolest pozitivnu na hormonske receptore (definisano kao bolest pozitivna na estrogenske receptore (ER-pozitivna) i/ili na progesteronske receptore (PgR-pozitivna)) i približno je polovina pacijenata u svakoj terapijskoj grupi prethodno primala adjuvantno ili neoadjuvantno liječenje. Većina tih pacijenata prethodno je bila liječena antraciklinima, a 11% svih pacijenata prethodno je primalo trastuzumab. Ukupno je 43% pacijenata u obje terapijske grupe prethodno bilo liječeno radioterapijom. Medijana ejekcione frakcije lijeve komore pacijenata na početku liječenja iznosi</w:t>
      </w:r>
      <w:r w:rsidR="00B22C9E" w:rsidRPr="00424A4B">
        <w:rPr>
          <w:sz w:val="22"/>
          <w:szCs w:val="22"/>
          <w:lang w:val="sr-Latn-ME"/>
        </w:rPr>
        <w:t>la</w:t>
      </w:r>
      <w:r w:rsidRPr="00424A4B">
        <w:rPr>
          <w:sz w:val="22"/>
          <w:szCs w:val="22"/>
          <w:lang w:val="sr-Latn-ME"/>
        </w:rPr>
        <w:t xml:space="preserve"> je 65,0% (raspon 50% </w:t>
      </w:r>
      <w:r w:rsidR="00B22C9E" w:rsidRPr="00424A4B">
        <w:rPr>
          <w:sz w:val="22"/>
          <w:szCs w:val="22"/>
          <w:lang w:val="sr-Latn-ME"/>
        </w:rPr>
        <w:t>-</w:t>
      </w:r>
      <w:r w:rsidRPr="00424A4B">
        <w:rPr>
          <w:sz w:val="22"/>
          <w:szCs w:val="22"/>
          <w:lang w:val="sr-Latn-ME"/>
        </w:rPr>
        <w:t xml:space="preserve"> 88%) u obje grupe. </w:t>
      </w:r>
    </w:p>
    <w:p w:rsidR="00CD41AC" w:rsidRPr="00424A4B" w:rsidRDefault="00CD41AC"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Rezultati efikasnosti iz ispitivanja CLEOPATRA sažeti su u Tabeli 2. U grupi liječenoj lijekom </w:t>
      </w:r>
      <w:r w:rsidR="009C77FA" w:rsidRPr="00424A4B">
        <w:rPr>
          <w:sz w:val="22"/>
          <w:szCs w:val="22"/>
          <w:lang w:val="sr-Latn-ME"/>
        </w:rPr>
        <w:t>Perjeta</w:t>
      </w:r>
      <w:r w:rsidRPr="00424A4B">
        <w:rPr>
          <w:sz w:val="22"/>
          <w:szCs w:val="22"/>
          <w:lang w:val="sr-Latn-ME"/>
        </w:rPr>
        <w:t xml:space="preserve"> zabilježeno je statistički značajno poboljšanje preživljavanja bez progresije bolesti prema procjeni nezavisnog ocjenjivačkog tijela, u poređenju sa grupom koja je primala placebo. Rezultati preživljavanja bez progresije bolesti prema procjeni ispitivača bili su slični onima prema procjeni nezavisnog ocjenjivačkog tijela. </w:t>
      </w:r>
    </w:p>
    <w:p w:rsidR="00CD41AC" w:rsidRPr="00424A4B" w:rsidRDefault="00CD41AC" w:rsidP="0055503A">
      <w:pPr>
        <w:jc w:val="both"/>
        <w:rPr>
          <w:sz w:val="22"/>
          <w:szCs w:val="22"/>
          <w:lang w:val="sr-Latn-ME"/>
        </w:rPr>
      </w:pPr>
    </w:p>
    <w:p w:rsidR="005E6320" w:rsidRPr="00424A4B" w:rsidRDefault="005E6320" w:rsidP="0055503A">
      <w:pPr>
        <w:rPr>
          <w:b/>
          <w:sz w:val="22"/>
          <w:szCs w:val="22"/>
          <w:lang w:val="sr-Latn-ME"/>
        </w:rPr>
      </w:pPr>
      <w:r w:rsidRPr="00424A4B">
        <w:rPr>
          <w:b/>
          <w:sz w:val="22"/>
          <w:szCs w:val="22"/>
          <w:lang w:val="sr-Latn-ME"/>
        </w:rPr>
        <w:t xml:space="preserve">Tabela </w:t>
      </w:r>
      <w:r w:rsidR="00A061E3" w:rsidRPr="00424A4B">
        <w:rPr>
          <w:b/>
          <w:sz w:val="22"/>
          <w:szCs w:val="22"/>
          <w:lang w:val="sr-Latn-ME"/>
        </w:rPr>
        <w:t>3</w:t>
      </w:r>
      <w:r w:rsidRPr="00424A4B">
        <w:rPr>
          <w:b/>
          <w:sz w:val="22"/>
          <w:szCs w:val="22"/>
          <w:lang w:val="sr-Latn-ME"/>
        </w:rPr>
        <w:tab/>
        <w:t>Sažetak rezultata efikasnosti iz ispitivanja CLEOPATRA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1846"/>
        <w:gridCol w:w="1561"/>
        <w:gridCol w:w="1278"/>
        <w:gridCol w:w="1272"/>
      </w:tblGrid>
      <w:tr w:rsidR="005E6320" w:rsidRPr="00424A4B" w:rsidTr="00B30B91">
        <w:trPr>
          <w:cantSplit/>
        </w:trPr>
        <w:tc>
          <w:tcPr>
            <w:tcW w:w="1718" w:type="pct"/>
            <w:vAlign w:val="center"/>
          </w:tcPr>
          <w:p w:rsidR="005E6320" w:rsidRPr="00424A4B" w:rsidRDefault="005E6320" w:rsidP="005C33D8">
            <w:pPr>
              <w:jc w:val="center"/>
              <w:rPr>
                <w:b/>
                <w:sz w:val="22"/>
                <w:szCs w:val="22"/>
                <w:lang w:val="sr-Latn-ME"/>
              </w:rPr>
            </w:pPr>
            <w:r w:rsidRPr="00424A4B">
              <w:rPr>
                <w:b/>
                <w:sz w:val="22"/>
                <w:szCs w:val="22"/>
                <w:lang w:val="sr-Latn-ME"/>
              </w:rPr>
              <w:t>Parametar</w:t>
            </w:r>
          </w:p>
        </w:tc>
        <w:tc>
          <w:tcPr>
            <w:tcW w:w="1017" w:type="pct"/>
          </w:tcPr>
          <w:p w:rsidR="005E6320" w:rsidRPr="00424A4B" w:rsidRDefault="005E6320" w:rsidP="00CD41AC">
            <w:pPr>
              <w:jc w:val="center"/>
              <w:rPr>
                <w:b/>
                <w:sz w:val="22"/>
                <w:szCs w:val="22"/>
                <w:lang w:val="sr-Latn-ME"/>
              </w:rPr>
            </w:pPr>
            <w:r w:rsidRPr="00424A4B">
              <w:rPr>
                <w:b/>
                <w:sz w:val="22"/>
                <w:szCs w:val="22"/>
                <w:lang w:val="sr-Latn-ME"/>
              </w:rPr>
              <w:t>Placebo+</w:t>
            </w:r>
          </w:p>
          <w:p w:rsidR="005E6320" w:rsidRPr="00424A4B" w:rsidRDefault="005E6320">
            <w:pPr>
              <w:jc w:val="center"/>
              <w:rPr>
                <w:b/>
                <w:sz w:val="22"/>
                <w:szCs w:val="22"/>
                <w:lang w:val="sr-Latn-ME"/>
              </w:rPr>
            </w:pPr>
            <w:r w:rsidRPr="00424A4B">
              <w:rPr>
                <w:b/>
                <w:sz w:val="22"/>
                <w:szCs w:val="22"/>
                <w:lang w:val="sr-Latn-ME"/>
              </w:rPr>
              <w:t>trastuzumab</w:t>
            </w:r>
          </w:p>
          <w:p w:rsidR="005E6320" w:rsidRPr="00424A4B" w:rsidRDefault="005E6320">
            <w:pPr>
              <w:jc w:val="center"/>
              <w:rPr>
                <w:b/>
                <w:sz w:val="22"/>
                <w:szCs w:val="22"/>
                <w:lang w:val="sr-Latn-ME"/>
              </w:rPr>
            </w:pPr>
            <w:r w:rsidRPr="00424A4B">
              <w:rPr>
                <w:b/>
                <w:sz w:val="22"/>
                <w:szCs w:val="22"/>
                <w:lang w:val="sr-Latn-ME"/>
              </w:rPr>
              <w:t>+ docetaksel</w:t>
            </w:r>
          </w:p>
          <w:p w:rsidR="005E6320" w:rsidRPr="00424A4B" w:rsidRDefault="005E6320">
            <w:pPr>
              <w:jc w:val="center"/>
              <w:rPr>
                <w:sz w:val="22"/>
                <w:szCs w:val="22"/>
                <w:lang w:val="sr-Latn-ME"/>
              </w:rPr>
            </w:pPr>
            <w:r w:rsidRPr="00424A4B">
              <w:rPr>
                <w:b/>
                <w:sz w:val="22"/>
                <w:szCs w:val="22"/>
                <w:lang w:val="sr-Latn-ME"/>
              </w:rPr>
              <w:t>n=406</w:t>
            </w:r>
          </w:p>
        </w:tc>
        <w:tc>
          <w:tcPr>
            <w:tcW w:w="860" w:type="pct"/>
          </w:tcPr>
          <w:p w:rsidR="005E6320" w:rsidRPr="00424A4B" w:rsidRDefault="009C77FA">
            <w:pPr>
              <w:jc w:val="center"/>
              <w:rPr>
                <w:b/>
                <w:sz w:val="22"/>
                <w:szCs w:val="22"/>
                <w:lang w:val="sr-Latn-ME"/>
              </w:rPr>
            </w:pPr>
            <w:r w:rsidRPr="00424A4B">
              <w:rPr>
                <w:b/>
                <w:sz w:val="22"/>
                <w:szCs w:val="22"/>
                <w:lang w:val="sr-Latn-ME"/>
              </w:rPr>
              <w:t>Perjeta</w:t>
            </w:r>
            <w:r w:rsidR="005E6320" w:rsidRPr="00424A4B">
              <w:rPr>
                <w:b/>
                <w:sz w:val="22"/>
                <w:szCs w:val="22"/>
                <w:lang w:val="sr-Latn-ME"/>
              </w:rPr>
              <w:t>+</w:t>
            </w:r>
          </w:p>
          <w:p w:rsidR="005E6320" w:rsidRPr="00424A4B" w:rsidRDefault="005E6320">
            <w:pPr>
              <w:jc w:val="center"/>
              <w:rPr>
                <w:b/>
                <w:sz w:val="22"/>
                <w:szCs w:val="22"/>
                <w:lang w:val="sr-Latn-ME"/>
              </w:rPr>
            </w:pPr>
            <w:r w:rsidRPr="00424A4B">
              <w:rPr>
                <w:b/>
                <w:sz w:val="22"/>
                <w:szCs w:val="22"/>
                <w:lang w:val="sr-Latn-ME"/>
              </w:rPr>
              <w:t>trastuzumab</w:t>
            </w:r>
          </w:p>
          <w:p w:rsidR="005E6320" w:rsidRPr="00424A4B" w:rsidRDefault="005E6320">
            <w:pPr>
              <w:jc w:val="center"/>
              <w:rPr>
                <w:b/>
                <w:sz w:val="22"/>
                <w:szCs w:val="22"/>
                <w:lang w:val="sr-Latn-ME"/>
              </w:rPr>
            </w:pPr>
            <w:r w:rsidRPr="00424A4B">
              <w:rPr>
                <w:b/>
                <w:sz w:val="22"/>
                <w:szCs w:val="22"/>
                <w:lang w:val="sr-Latn-ME"/>
              </w:rPr>
              <w:t>+ docetaksel</w:t>
            </w:r>
          </w:p>
          <w:p w:rsidR="005E6320" w:rsidRPr="00424A4B" w:rsidRDefault="005E6320">
            <w:pPr>
              <w:jc w:val="center"/>
              <w:rPr>
                <w:sz w:val="22"/>
                <w:szCs w:val="22"/>
                <w:lang w:val="sr-Latn-ME"/>
              </w:rPr>
            </w:pPr>
            <w:r w:rsidRPr="00424A4B">
              <w:rPr>
                <w:b/>
                <w:sz w:val="22"/>
                <w:szCs w:val="22"/>
                <w:lang w:val="sr-Latn-ME"/>
              </w:rPr>
              <w:t>n=402</w:t>
            </w:r>
          </w:p>
        </w:tc>
        <w:tc>
          <w:tcPr>
            <w:tcW w:w="704" w:type="pct"/>
            <w:vAlign w:val="center"/>
          </w:tcPr>
          <w:p w:rsidR="005E6320" w:rsidRPr="00424A4B" w:rsidRDefault="005E6320">
            <w:pPr>
              <w:jc w:val="center"/>
              <w:rPr>
                <w:b/>
                <w:sz w:val="22"/>
                <w:szCs w:val="22"/>
                <w:lang w:val="sr-Latn-ME"/>
              </w:rPr>
            </w:pPr>
            <w:r w:rsidRPr="00424A4B">
              <w:rPr>
                <w:b/>
                <w:sz w:val="22"/>
                <w:szCs w:val="22"/>
                <w:lang w:val="sr-Latn-ME"/>
              </w:rPr>
              <w:t>HR</w:t>
            </w:r>
          </w:p>
          <w:p w:rsidR="005E6320" w:rsidRPr="00424A4B" w:rsidRDefault="005E6320">
            <w:pPr>
              <w:jc w:val="center"/>
              <w:rPr>
                <w:b/>
                <w:sz w:val="22"/>
                <w:szCs w:val="22"/>
                <w:lang w:val="sr-Latn-ME"/>
              </w:rPr>
            </w:pPr>
            <w:r w:rsidRPr="00424A4B">
              <w:rPr>
                <w:b/>
                <w:sz w:val="22"/>
                <w:szCs w:val="22"/>
                <w:lang w:val="sr-Latn-ME"/>
              </w:rPr>
              <w:t>(95% CI)</w:t>
            </w:r>
          </w:p>
          <w:p w:rsidR="005E6320" w:rsidRPr="00424A4B" w:rsidRDefault="005E6320">
            <w:pPr>
              <w:jc w:val="center"/>
              <w:rPr>
                <w:sz w:val="22"/>
                <w:szCs w:val="22"/>
                <w:lang w:val="sr-Latn-ME"/>
              </w:rPr>
            </w:pPr>
          </w:p>
        </w:tc>
        <w:tc>
          <w:tcPr>
            <w:tcW w:w="701" w:type="pct"/>
            <w:vAlign w:val="center"/>
          </w:tcPr>
          <w:p w:rsidR="005E6320" w:rsidRPr="00424A4B" w:rsidRDefault="005E6320">
            <w:pPr>
              <w:jc w:val="center"/>
              <w:rPr>
                <w:b/>
                <w:sz w:val="22"/>
                <w:szCs w:val="22"/>
                <w:lang w:val="sr-Latn-ME"/>
              </w:rPr>
            </w:pPr>
            <w:r w:rsidRPr="00424A4B">
              <w:rPr>
                <w:b/>
                <w:sz w:val="22"/>
                <w:szCs w:val="22"/>
                <w:lang w:val="sr-Latn-ME"/>
              </w:rPr>
              <w:t>p-vrijednost</w:t>
            </w:r>
          </w:p>
        </w:tc>
      </w:tr>
      <w:tr w:rsidR="005E6320" w:rsidRPr="00424A4B" w:rsidTr="00B30B91">
        <w:trPr>
          <w:cantSplit/>
        </w:trPr>
        <w:tc>
          <w:tcPr>
            <w:tcW w:w="1718" w:type="pct"/>
          </w:tcPr>
          <w:p w:rsidR="005E6320" w:rsidRPr="00424A4B" w:rsidRDefault="005E6320" w:rsidP="005C33D8">
            <w:pPr>
              <w:rPr>
                <w:b/>
                <w:sz w:val="22"/>
                <w:szCs w:val="22"/>
                <w:lang w:val="sr-Latn-ME"/>
              </w:rPr>
            </w:pPr>
            <w:r w:rsidRPr="00424A4B">
              <w:rPr>
                <w:b/>
                <w:sz w:val="22"/>
                <w:szCs w:val="22"/>
                <w:lang w:val="sr-Latn-ME"/>
              </w:rPr>
              <w:t xml:space="preserve">Preživljavanje bez progresije bolesti </w:t>
            </w:r>
          </w:p>
          <w:p w:rsidR="005E6320" w:rsidRPr="00424A4B" w:rsidRDefault="005E6320" w:rsidP="00CD41AC">
            <w:pPr>
              <w:rPr>
                <w:b/>
                <w:sz w:val="22"/>
                <w:szCs w:val="22"/>
                <w:lang w:val="sr-Latn-ME"/>
              </w:rPr>
            </w:pPr>
            <w:r w:rsidRPr="00424A4B">
              <w:rPr>
                <w:b/>
                <w:sz w:val="22"/>
                <w:szCs w:val="22"/>
                <w:lang w:val="sr-Latn-ME"/>
              </w:rPr>
              <w:t>(nezavisna ocjena) – primarn</w:t>
            </w:r>
            <w:r w:rsidR="00B22C9E" w:rsidRPr="00424A4B">
              <w:rPr>
                <w:b/>
                <w:sz w:val="22"/>
                <w:szCs w:val="22"/>
                <w:lang w:val="sr-Latn-ME"/>
              </w:rPr>
              <w:t>i parametar praćenja</w:t>
            </w:r>
            <w:r w:rsidR="009353EB" w:rsidRPr="00424A4B">
              <w:rPr>
                <w:b/>
                <w:sz w:val="22"/>
                <w:szCs w:val="22"/>
                <w:lang w:val="sr-Latn-ME"/>
              </w:rPr>
              <w:t>*</w:t>
            </w:r>
          </w:p>
          <w:p w:rsidR="005E6320" w:rsidRPr="00424A4B" w:rsidRDefault="005E6320">
            <w:pPr>
              <w:rPr>
                <w:sz w:val="22"/>
                <w:szCs w:val="22"/>
                <w:lang w:val="sr-Latn-ME"/>
              </w:rPr>
            </w:pPr>
          </w:p>
          <w:p w:rsidR="005E6320" w:rsidRPr="00424A4B" w:rsidRDefault="005E6320">
            <w:pPr>
              <w:rPr>
                <w:sz w:val="22"/>
                <w:szCs w:val="22"/>
                <w:lang w:val="sr-Latn-ME"/>
              </w:rPr>
            </w:pPr>
            <w:r w:rsidRPr="00424A4B">
              <w:rPr>
                <w:sz w:val="22"/>
                <w:szCs w:val="22"/>
                <w:lang w:val="sr-Latn-ME"/>
              </w:rPr>
              <w:t>broj pacijenata s</w:t>
            </w:r>
            <w:r w:rsidR="00CD41AC" w:rsidRPr="00424A4B">
              <w:rPr>
                <w:sz w:val="22"/>
                <w:szCs w:val="22"/>
                <w:lang w:val="sr-Latn-ME"/>
              </w:rPr>
              <w:t>a</w:t>
            </w:r>
            <w:r w:rsidRPr="00424A4B">
              <w:rPr>
                <w:sz w:val="22"/>
                <w:szCs w:val="22"/>
                <w:lang w:val="sr-Latn-ME"/>
              </w:rPr>
              <w:t xml:space="preserve"> događajem</w:t>
            </w:r>
          </w:p>
          <w:p w:rsidR="005E6320" w:rsidRPr="00424A4B" w:rsidRDefault="005E6320">
            <w:pPr>
              <w:rPr>
                <w:sz w:val="22"/>
                <w:szCs w:val="22"/>
                <w:lang w:val="sr-Latn-ME"/>
              </w:rPr>
            </w:pPr>
            <w:r w:rsidRPr="00424A4B">
              <w:rPr>
                <w:sz w:val="22"/>
                <w:szCs w:val="22"/>
                <w:lang w:val="sr-Latn-ME"/>
              </w:rPr>
              <w:t>medijana mjeseci</w:t>
            </w:r>
          </w:p>
        </w:tc>
        <w:tc>
          <w:tcPr>
            <w:tcW w:w="1017" w:type="pct"/>
          </w:tcPr>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r w:rsidRPr="00424A4B">
              <w:rPr>
                <w:sz w:val="22"/>
                <w:szCs w:val="22"/>
                <w:lang w:val="sr-Latn-ME"/>
              </w:rPr>
              <w:t>242 (59%)</w:t>
            </w:r>
          </w:p>
          <w:p w:rsidR="005E6320" w:rsidRPr="00424A4B" w:rsidRDefault="005E6320">
            <w:pPr>
              <w:rPr>
                <w:sz w:val="22"/>
                <w:szCs w:val="22"/>
                <w:lang w:val="sr-Latn-ME"/>
              </w:rPr>
            </w:pPr>
            <w:r w:rsidRPr="00424A4B">
              <w:rPr>
                <w:sz w:val="22"/>
                <w:szCs w:val="22"/>
                <w:lang w:val="sr-Latn-ME"/>
              </w:rPr>
              <w:t>12,4</w:t>
            </w:r>
          </w:p>
        </w:tc>
        <w:tc>
          <w:tcPr>
            <w:tcW w:w="860" w:type="pct"/>
          </w:tcPr>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r w:rsidRPr="00424A4B">
              <w:rPr>
                <w:sz w:val="22"/>
                <w:szCs w:val="22"/>
                <w:lang w:val="sr-Latn-ME"/>
              </w:rPr>
              <w:t>191 (47,5%)</w:t>
            </w:r>
          </w:p>
          <w:p w:rsidR="005E6320" w:rsidRPr="00424A4B" w:rsidRDefault="005E6320">
            <w:pPr>
              <w:rPr>
                <w:sz w:val="22"/>
                <w:szCs w:val="22"/>
                <w:lang w:val="sr-Latn-ME"/>
              </w:rPr>
            </w:pPr>
            <w:r w:rsidRPr="00424A4B">
              <w:rPr>
                <w:sz w:val="22"/>
                <w:szCs w:val="22"/>
                <w:lang w:val="sr-Latn-ME"/>
              </w:rPr>
              <w:t>18,5</w:t>
            </w:r>
          </w:p>
        </w:tc>
        <w:tc>
          <w:tcPr>
            <w:tcW w:w="704" w:type="pct"/>
          </w:tcPr>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r w:rsidRPr="00424A4B">
              <w:rPr>
                <w:sz w:val="22"/>
                <w:szCs w:val="22"/>
                <w:lang w:val="sr-Latn-ME"/>
              </w:rPr>
              <w:t>0,62</w:t>
            </w:r>
          </w:p>
          <w:p w:rsidR="005E6320" w:rsidRPr="00424A4B" w:rsidRDefault="005E6320">
            <w:pPr>
              <w:rPr>
                <w:sz w:val="22"/>
                <w:szCs w:val="22"/>
                <w:lang w:val="sr-Latn-ME"/>
              </w:rPr>
            </w:pPr>
            <w:r w:rsidRPr="00424A4B">
              <w:rPr>
                <w:sz w:val="22"/>
                <w:szCs w:val="22"/>
                <w:lang w:val="sr-Latn-ME"/>
              </w:rPr>
              <w:t>[0,51; 0,75]</w:t>
            </w:r>
          </w:p>
        </w:tc>
        <w:tc>
          <w:tcPr>
            <w:tcW w:w="701" w:type="pct"/>
          </w:tcPr>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r w:rsidRPr="00424A4B">
              <w:rPr>
                <w:sz w:val="22"/>
                <w:szCs w:val="22"/>
                <w:lang w:val="sr-Latn-ME"/>
              </w:rPr>
              <w:t>&lt; 0,0001</w:t>
            </w:r>
          </w:p>
        </w:tc>
      </w:tr>
      <w:tr w:rsidR="005E6320" w:rsidRPr="00424A4B" w:rsidTr="00B30B91">
        <w:trPr>
          <w:cantSplit/>
        </w:trPr>
        <w:tc>
          <w:tcPr>
            <w:tcW w:w="1718" w:type="pct"/>
          </w:tcPr>
          <w:p w:rsidR="005E6320" w:rsidRPr="00424A4B" w:rsidRDefault="005E6320" w:rsidP="005C33D8">
            <w:pPr>
              <w:rPr>
                <w:b/>
                <w:sz w:val="22"/>
                <w:szCs w:val="22"/>
                <w:lang w:val="sr-Latn-ME"/>
              </w:rPr>
            </w:pPr>
            <w:r w:rsidRPr="00424A4B">
              <w:rPr>
                <w:b/>
                <w:sz w:val="22"/>
                <w:szCs w:val="22"/>
                <w:lang w:val="sr-Latn-ME"/>
              </w:rPr>
              <w:t>Ukupno preživljavanje-sekundarn</w:t>
            </w:r>
            <w:r w:rsidR="009353EB" w:rsidRPr="00424A4B">
              <w:rPr>
                <w:b/>
                <w:sz w:val="22"/>
                <w:szCs w:val="22"/>
                <w:lang w:val="sr-Latn-ME"/>
              </w:rPr>
              <w:t>i parametar praćenja</w:t>
            </w:r>
            <w:r w:rsidRPr="00424A4B">
              <w:rPr>
                <w:b/>
                <w:sz w:val="22"/>
                <w:szCs w:val="22"/>
                <w:lang w:val="sr-Latn-ME"/>
              </w:rPr>
              <w:t>**</w:t>
            </w:r>
          </w:p>
          <w:p w:rsidR="005E6320" w:rsidRPr="00424A4B" w:rsidRDefault="005E6320" w:rsidP="00CD41AC">
            <w:pPr>
              <w:rPr>
                <w:sz w:val="22"/>
                <w:szCs w:val="22"/>
                <w:lang w:val="sr-Latn-ME"/>
              </w:rPr>
            </w:pPr>
          </w:p>
          <w:p w:rsidR="005E6320" w:rsidRPr="00424A4B" w:rsidRDefault="005E6320">
            <w:pPr>
              <w:rPr>
                <w:sz w:val="22"/>
                <w:szCs w:val="22"/>
                <w:lang w:val="sr-Latn-ME"/>
              </w:rPr>
            </w:pPr>
            <w:r w:rsidRPr="00424A4B">
              <w:rPr>
                <w:sz w:val="22"/>
                <w:szCs w:val="22"/>
                <w:lang w:val="sr-Latn-ME"/>
              </w:rPr>
              <w:t>broj pacijenata s</w:t>
            </w:r>
            <w:r w:rsidR="00CD41AC" w:rsidRPr="00424A4B">
              <w:rPr>
                <w:sz w:val="22"/>
                <w:szCs w:val="22"/>
                <w:lang w:val="sr-Latn-ME"/>
              </w:rPr>
              <w:t>a</w:t>
            </w:r>
            <w:r w:rsidRPr="00424A4B">
              <w:rPr>
                <w:sz w:val="22"/>
                <w:szCs w:val="22"/>
                <w:lang w:val="sr-Latn-ME"/>
              </w:rPr>
              <w:t xml:space="preserve"> događajem</w:t>
            </w:r>
          </w:p>
          <w:p w:rsidR="005E6320" w:rsidRPr="00424A4B" w:rsidRDefault="005E6320">
            <w:pPr>
              <w:rPr>
                <w:sz w:val="22"/>
                <w:szCs w:val="22"/>
                <w:lang w:val="sr-Latn-ME"/>
              </w:rPr>
            </w:pPr>
            <w:r w:rsidRPr="00424A4B">
              <w:rPr>
                <w:sz w:val="22"/>
                <w:szCs w:val="22"/>
                <w:lang w:val="sr-Latn-ME"/>
              </w:rPr>
              <w:t>medijana mjeseci</w:t>
            </w:r>
          </w:p>
        </w:tc>
        <w:tc>
          <w:tcPr>
            <w:tcW w:w="1017" w:type="pct"/>
          </w:tcPr>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r w:rsidRPr="00424A4B">
              <w:rPr>
                <w:sz w:val="22"/>
                <w:szCs w:val="22"/>
                <w:lang w:val="sr-Latn-ME"/>
              </w:rPr>
              <w:t>221 (54,4%)</w:t>
            </w:r>
          </w:p>
          <w:p w:rsidR="005E6320" w:rsidRPr="00424A4B" w:rsidRDefault="005E6320">
            <w:pPr>
              <w:rPr>
                <w:sz w:val="22"/>
                <w:szCs w:val="22"/>
                <w:lang w:val="sr-Latn-ME"/>
              </w:rPr>
            </w:pPr>
            <w:r w:rsidRPr="00424A4B">
              <w:rPr>
                <w:sz w:val="22"/>
                <w:szCs w:val="22"/>
                <w:lang w:val="sr-Latn-ME"/>
              </w:rPr>
              <w:t>40,8</w:t>
            </w:r>
          </w:p>
        </w:tc>
        <w:tc>
          <w:tcPr>
            <w:tcW w:w="860" w:type="pct"/>
          </w:tcPr>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r w:rsidRPr="00424A4B">
              <w:rPr>
                <w:sz w:val="22"/>
                <w:szCs w:val="22"/>
                <w:lang w:val="sr-Latn-ME"/>
              </w:rPr>
              <w:t>168 (41,8%)</w:t>
            </w:r>
            <w:r w:rsidR="009353EB" w:rsidRPr="00424A4B">
              <w:rPr>
                <w:sz w:val="22"/>
                <w:szCs w:val="22"/>
                <w:lang w:val="sr-Latn-ME"/>
              </w:rPr>
              <w:t xml:space="preserve"> </w:t>
            </w:r>
            <w:r w:rsidRPr="00424A4B">
              <w:rPr>
                <w:sz w:val="22"/>
                <w:szCs w:val="22"/>
                <w:lang w:val="sr-Latn-ME"/>
              </w:rPr>
              <w:t>56,5</w:t>
            </w:r>
          </w:p>
          <w:p w:rsidR="005E6320" w:rsidRPr="00424A4B" w:rsidRDefault="005E6320">
            <w:pPr>
              <w:rPr>
                <w:sz w:val="22"/>
                <w:szCs w:val="22"/>
                <w:lang w:val="sr-Latn-ME"/>
              </w:rPr>
            </w:pPr>
          </w:p>
        </w:tc>
        <w:tc>
          <w:tcPr>
            <w:tcW w:w="704" w:type="pct"/>
          </w:tcPr>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r w:rsidRPr="00424A4B">
              <w:rPr>
                <w:sz w:val="22"/>
                <w:szCs w:val="22"/>
                <w:lang w:val="sr-Latn-ME"/>
              </w:rPr>
              <w:t>0,68</w:t>
            </w:r>
          </w:p>
          <w:p w:rsidR="005E6320" w:rsidRPr="00424A4B" w:rsidRDefault="005E6320">
            <w:pPr>
              <w:rPr>
                <w:sz w:val="22"/>
                <w:szCs w:val="22"/>
                <w:lang w:val="sr-Latn-ME"/>
              </w:rPr>
            </w:pPr>
            <w:r w:rsidRPr="00424A4B">
              <w:rPr>
                <w:sz w:val="22"/>
                <w:szCs w:val="22"/>
                <w:lang w:val="sr-Latn-ME"/>
              </w:rPr>
              <w:t>[0,56; 0,84]</w:t>
            </w:r>
          </w:p>
        </w:tc>
        <w:tc>
          <w:tcPr>
            <w:tcW w:w="701" w:type="pct"/>
          </w:tcPr>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r w:rsidRPr="00424A4B">
              <w:rPr>
                <w:sz w:val="22"/>
                <w:szCs w:val="22"/>
                <w:lang w:val="sr-Latn-ME"/>
              </w:rPr>
              <w:t>0,0002</w:t>
            </w:r>
          </w:p>
        </w:tc>
      </w:tr>
      <w:tr w:rsidR="005E6320" w:rsidRPr="00424A4B" w:rsidTr="00B30B91">
        <w:trPr>
          <w:cantSplit/>
          <w:trHeight w:val="420"/>
        </w:trPr>
        <w:tc>
          <w:tcPr>
            <w:tcW w:w="1718" w:type="pct"/>
          </w:tcPr>
          <w:p w:rsidR="005E6320" w:rsidRPr="00424A4B" w:rsidRDefault="005E6320" w:rsidP="005C33D8">
            <w:pPr>
              <w:rPr>
                <w:b/>
                <w:sz w:val="22"/>
                <w:szCs w:val="22"/>
                <w:lang w:val="sr-Latn-ME"/>
              </w:rPr>
            </w:pPr>
            <w:r w:rsidRPr="00424A4B">
              <w:rPr>
                <w:b/>
                <w:sz w:val="22"/>
                <w:szCs w:val="22"/>
                <w:lang w:val="sr-Latn-ME"/>
              </w:rPr>
              <w:lastRenderedPageBreak/>
              <w:t>Stopa objektivnog odgovora –sekundarn</w:t>
            </w:r>
            <w:r w:rsidR="009353EB" w:rsidRPr="00424A4B">
              <w:rPr>
                <w:b/>
                <w:sz w:val="22"/>
                <w:szCs w:val="22"/>
                <w:lang w:val="sr-Latn-ME"/>
              </w:rPr>
              <w:t xml:space="preserve">i parametar praćenja </w:t>
            </w:r>
            <w:r w:rsidRPr="00424A4B">
              <w:rPr>
                <w:b/>
                <w:sz w:val="22"/>
                <w:szCs w:val="22"/>
                <w:lang w:val="sr-Latn-ME"/>
              </w:rPr>
              <w:t>(ORR)^</w:t>
            </w:r>
          </w:p>
          <w:p w:rsidR="005E6320" w:rsidRPr="00424A4B" w:rsidRDefault="005E6320" w:rsidP="00CD41AC">
            <w:pPr>
              <w:rPr>
                <w:sz w:val="22"/>
                <w:szCs w:val="22"/>
                <w:lang w:val="sr-Latn-ME"/>
              </w:rPr>
            </w:pPr>
            <w:r w:rsidRPr="00424A4B">
              <w:rPr>
                <w:sz w:val="22"/>
                <w:szCs w:val="22"/>
                <w:lang w:val="sr-Latn-ME"/>
              </w:rPr>
              <w:t>broj pacijenata s mjerljivom bolešću</w:t>
            </w:r>
          </w:p>
          <w:p w:rsidR="005E6320" w:rsidRPr="00424A4B" w:rsidRDefault="005E6320">
            <w:pPr>
              <w:rPr>
                <w:sz w:val="22"/>
                <w:szCs w:val="22"/>
                <w:lang w:val="sr-Latn-ME"/>
              </w:rPr>
            </w:pPr>
            <w:r w:rsidRPr="00424A4B">
              <w:rPr>
                <w:sz w:val="22"/>
                <w:szCs w:val="22"/>
                <w:lang w:val="sr-Latn-ME"/>
              </w:rPr>
              <w:t>pacijenti koji su ostvarili odgovor na liječenje***</w:t>
            </w:r>
          </w:p>
          <w:p w:rsidR="005E6320" w:rsidRPr="00424A4B" w:rsidRDefault="005E6320">
            <w:pPr>
              <w:rPr>
                <w:sz w:val="22"/>
                <w:szCs w:val="22"/>
                <w:lang w:val="sr-Latn-ME"/>
              </w:rPr>
            </w:pPr>
            <w:r w:rsidRPr="00424A4B">
              <w:rPr>
                <w:sz w:val="22"/>
                <w:szCs w:val="22"/>
                <w:lang w:val="sr-Latn-ME"/>
              </w:rPr>
              <w:t>95% CI za ORR</w:t>
            </w:r>
          </w:p>
          <w:p w:rsidR="005E6320" w:rsidRPr="00424A4B" w:rsidRDefault="005E6320">
            <w:pPr>
              <w:rPr>
                <w:sz w:val="22"/>
                <w:szCs w:val="22"/>
                <w:lang w:val="sr-Latn-ME"/>
              </w:rPr>
            </w:pPr>
            <w:r w:rsidRPr="00424A4B">
              <w:rPr>
                <w:sz w:val="22"/>
                <w:szCs w:val="22"/>
                <w:lang w:val="sr-Latn-ME"/>
              </w:rPr>
              <w:t>potpun odgovor (CR)</w:t>
            </w:r>
          </w:p>
          <w:p w:rsidR="005E6320" w:rsidRPr="00424A4B" w:rsidRDefault="005E6320">
            <w:pPr>
              <w:rPr>
                <w:sz w:val="22"/>
                <w:szCs w:val="22"/>
                <w:lang w:val="sr-Latn-ME"/>
              </w:rPr>
            </w:pPr>
            <w:r w:rsidRPr="00424A4B">
              <w:rPr>
                <w:sz w:val="22"/>
                <w:szCs w:val="22"/>
                <w:lang w:val="sr-Latn-ME"/>
              </w:rPr>
              <w:t>djelimičan odgovor (PR)</w:t>
            </w:r>
          </w:p>
          <w:p w:rsidR="005E6320" w:rsidRPr="00424A4B" w:rsidRDefault="005E6320">
            <w:pPr>
              <w:rPr>
                <w:sz w:val="22"/>
                <w:szCs w:val="22"/>
                <w:lang w:val="sr-Latn-ME"/>
              </w:rPr>
            </w:pPr>
            <w:r w:rsidRPr="00424A4B">
              <w:rPr>
                <w:sz w:val="22"/>
                <w:szCs w:val="22"/>
                <w:lang w:val="sr-Latn-ME"/>
              </w:rPr>
              <w:t>stabilna bolest (SD)</w:t>
            </w:r>
          </w:p>
          <w:p w:rsidR="005E6320" w:rsidRPr="00424A4B" w:rsidRDefault="005E6320">
            <w:pPr>
              <w:rPr>
                <w:sz w:val="22"/>
                <w:szCs w:val="22"/>
                <w:lang w:val="sr-Latn-ME"/>
              </w:rPr>
            </w:pPr>
            <w:r w:rsidRPr="00424A4B">
              <w:rPr>
                <w:sz w:val="22"/>
                <w:szCs w:val="22"/>
                <w:lang w:val="sr-Latn-ME"/>
              </w:rPr>
              <w:t>progresivna bolest (PD)</w:t>
            </w:r>
          </w:p>
        </w:tc>
        <w:tc>
          <w:tcPr>
            <w:tcW w:w="1017" w:type="pct"/>
          </w:tcPr>
          <w:p w:rsidR="005E6320" w:rsidRPr="00424A4B" w:rsidRDefault="005E6320">
            <w:pPr>
              <w:jc w:val="cente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r w:rsidRPr="00424A4B">
              <w:rPr>
                <w:sz w:val="22"/>
                <w:szCs w:val="22"/>
                <w:lang w:val="sr-Latn-ME"/>
              </w:rPr>
              <w:t>336</w:t>
            </w:r>
          </w:p>
          <w:p w:rsidR="005E6320" w:rsidRPr="00424A4B" w:rsidRDefault="005E6320">
            <w:pPr>
              <w:rPr>
                <w:sz w:val="22"/>
                <w:szCs w:val="22"/>
                <w:lang w:val="sr-Latn-ME"/>
              </w:rPr>
            </w:pPr>
            <w:r w:rsidRPr="00424A4B">
              <w:rPr>
                <w:sz w:val="22"/>
                <w:szCs w:val="22"/>
                <w:lang w:val="sr-Latn-ME"/>
              </w:rPr>
              <w:t>233 (69,3%)</w:t>
            </w:r>
          </w:p>
          <w:p w:rsidR="009353EB" w:rsidRPr="00424A4B" w:rsidRDefault="009353EB">
            <w:pPr>
              <w:rPr>
                <w:sz w:val="22"/>
                <w:szCs w:val="22"/>
                <w:lang w:val="sr-Latn-ME"/>
              </w:rPr>
            </w:pPr>
          </w:p>
          <w:p w:rsidR="005E6320" w:rsidRPr="00424A4B" w:rsidRDefault="005E6320">
            <w:pPr>
              <w:rPr>
                <w:sz w:val="22"/>
                <w:szCs w:val="22"/>
                <w:lang w:val="sr-Latn-ME"/>
              </w:rPr>
            </w:pPr>
            <w:r w:rsidRPr="00424A4B">
              <w:rPr>
                <w:sz w:val="22"/>
                <w:szCs w:val="22"/>
                <w:lang w:val="sr-Latn-ME"/>
              </w:rPr>
              <w:t>[64,1; 74,2]</w:t>
            </w:r>
          </w:p>
          <w:p w:rsidR="005E6320" w:rsidRPr="00424A4B" w:rsidRDefault="005E6320">
            <w:pPr>
              <w:rPr>
                <w:sz w:val="22"/>
                <w:szCs w:val="22"/>
                <w:lang w:val="sr-Latn-ME"/>
              </w:rPr>
            </w:pPr>
            <w:r w:rsidRPr="00424A4B">
              <w:rPr>
                <w:sz w:val="22"/>
                <w:szCs w:val="22"/>
                <w:lang w:val="sr-Latn-ME"/>
              </w:rPr>
              <w:t>14 (4,2%)</w:t>
            </w:r>
          </w:p>
          <w:p w:rsidR="005E6320" w:rsidRPr="00424A4B" w:rsidRDefault="005E6320">
            <w:pPr>
              <w:rPr>
                <w:sz w:val="22"/>
                <w:szCs w:val="22"/>
                <w:lang w:val="sr-Latn-ME"/>
              </w:rPr>
            </w:pPr>
            <w:r w:rsidRPr="00424A4B">
              <w:rPr>
                <w:sz w:val="22"/>
                <w:szCs w:val="22"/>
                <w:lang w:val="sr-Latn-ME"/>
              </w:rPr>
              <w:t>219 (65,2%)</w:t>
            </w:r>
          </w:p>
          <w:p w:rsidR="005E6320" w:rsidRPr="00424A4B" w:rsidRDefault="005E6320">
            <w:pPr>
              <w:rPr>
                <w:sz w:val="22"/>
                <w:szCs w:val="22"/>
                <w:lang w:val="sr-Latn-ME"/>
              </w:rPr>
            </w:pPr>
            <w:r w:rsidRPr="00424A4B">
              <w:rPr>
                <w:sz w:val="22"/>
                <w:szCs w:val="22"/>
                <w:lang w:val="sr-Latn-ME"/>
              </w:rPr>
              <w:t>70 (20,8%)</w:t>
            </w:r>
          </w:p>
          <w:p w:rsidR="005E6320" w:rsidRPr="00424A4B" w:rsidRDefault="005E6320">
            <w:pPr>
              <w:rPr>
                <w:sz w:val="22"/>
                <w:szCs w:val="22"/>
                <w:lang w:val="sr-Latn-ME"/>
              </w:rPr>
            </w:pPr>
            <w:r w:rsidRPr="00424A4B">
              <w:rPr>
                <w:sz w:val="22"/>
                <w:szCs w:val="22"/>
                <w:lang w:val="sr-Latn-ME"/>
              </w:rPr>
              <w:t>28 (8,3%)</w:t>
            </w:r>
          </w:p>
        </w:tc>
        <w:tc>
          <w:tcPr>
            <w:tcW w:w="860" w:type="pct"/>
          </w:tcPr>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r w:rsidRPr="00424A4B">
              <w:rPr>
                <w:sz w:val="22"/>
                <w:szCs w:val="22"/>
                <w:lang w:val="sr-Latn-ME"/>
              </w:rPr>
              <w:t>343</w:t>
            </w:r>
          </w:p>
          <w:p w:rsidR="005E6320" w:rsidRPr="00424A4B" w:rsidRDefault="005E6320">
            <w:pPr>
              <w:rPr>
                <w:sz w:val="22"/>
                <w:szCs w:val="22"/>
                <w:lang w:val="sr-Latn-ME"/>
              </w:rPr>
            </w:pPr>
            <w:r w:rsidRPr="00424A4B">
              <w:rPr>
                <w:sz w:val="22"/>
                <w:szCs w:val="22"/>
                <w:lang w:val="sr-Latn-ME"/>
              </w:rPr>
              <w:t>275 (80,2%)</w:t>
            </w:r>
          </w:p>
          <w:p w:rsidR="009353EB" w:rsidRPr="00424A4B" w:rsidRDefault="009353EB">
            <w:pPr>
              <w:rPr>
                <w:sz w:val="22"/>
                <w:szCs w:val="22"/>
                <w:lang w:val="sr-Latn-ME"/>
              </w:rPr>
            </w:pPr>
          </w:p>
          <w:p w:rsidR="005E6320" w:rsidRPr="00424A4B" w:rsidRDefault="005E6320">
            <w:pPr>
              <w:rPr>
                <w:sz w:val="22"/>
                <w:szCs w:val="22"/>
                <w:lang w:val="sr-Latn-ME"/>
              </w:rPr>
            </w:pPr>
            <w:r w:rsidRPr="00424A4B">
              <w:rPr>
                <w:sz w:val="22"/>
                <w:szCs w:val="22"/>
                <w:lang w:val="sr-Latn-ME"/>
              </w:rPr>
              <w:t>[75,6; 84,3]</w:t>
            </w:r>
          </w:p>
          <w:p w:rsidR="005E6320" w:rsidRPr="00424A4B" w:rsidRDefault="005E6320">
            <w:pPr>
              <w:rPr>
                <w:sz w:val="22"/>
                <w:szCs w:val="22"/>
                <w:lang w:val="sr-Latn-ME"/>
              </w:rPr>
            </w:pPr>
            <w:r w:rsidRPr="00424A4B">
              <w:rPr>
                <w:sz w:val="22"/>
                <w:szCs w:val="22"/>
                <w:lang w:val="sr-Latn-ME"/>
              </w:rPr>
              <w:t>19 (5,5%)</w:t>
            </w:r>
          </w:p>
          <w:p w:rsidR="005E6320" w:rsidRPr="00424A4B" w:rsidRDefault="005E6320">
            <w:pPr>
              <w:rPr>
                <w:sz w:val="22"/>
                <w:szCs w:val="22"/>
                <w:lang w:val="sr-Latn-ME"/>
              </w:rPr>
            </w:pPr>
            <w:r w:rsidRPr="00424A4B">
              <w:rPr>
                <w:sz w:val="22"/>
                <w:szCs w:val="22"/>
                <w:lang w:val="sr-Latn-ME"/>
              </w:rPr>
              <w:t>256 (74,6%)</w:t>
            </w:r>
          </w:p>
          <w:p w:rsidR="005E6320" w:rsidRPr="00424A4B" w:rsidRDefault="005E6320">
            <w:pPr>
              <w:rPr>
                <w:sz w:val="22"/>
                <w:szCs w:val="22"/>
                <w:lang w:val="sr-Latn-ME"/>
              </w:rPr>
            </w:pPr>
            <w:r w:rsidRPr="00424A4B">
              <w:rPr>
                <w:sz w:val="22"/>
                <w:szCs w:val="22"/>
                <w:lang w:val="sr-Latn-ME"/>
              </w:rPr>
              <w:t>50 (14,6%)</w:t>
            </w:r>
          </w:p>
          <w:p w:rsidR="005E6320" w:rsidRPr="00424A4B" w:rsidRDefault="005E6320">
            <w:pPr>
              <w:rPr>
                <w:sz w:val="22"/>
                <w:szCs w:val="22"/>
                <w:lang w:val="sr-Latn-ME"/>
              </w:rPr>
            </w:pPr>
            <w:r w:rsidRPr="00424A4B">
              <w:rPr>
                <w:sz w:val="22"/>
                <w:szCs w:val="22"/>
                <w:lang w:val="sr-Latn-ME"/>
              </w:rPr>
              <w:t>13 (3,8 %)</w:t>
            </w:r>
          </w:p>
        </w:tc>
        <w:tc>
          <w:tcPr>
            <w:tcW w:w="704" w:type="pct"/>
          </w:tcPr>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r w:rsidRPr="00424A4B">
              <w:rPr>
                <w:sz w:val="22"/>
                <w:szCs w:val="22"/>
                <w:lang w:val="sr-Latn-ME"/>
              </w:rPr>
              <w:t>razlika u ORR-u:</w:t>
            </w:r>
          </w:p>
          <w:p w:rsidR="005E6320" w:rsidRPr="00424A4B" w:rsidRDefault="005E6320">
            <w:pPr>
              <w:rPr>
                <w:sz w:val="22"/>
                <w:szCs w:val="22"/>
                <w:lang w:val="sr-Latn-ME"/>
              </w:rPr>
            </w:pPr>
            <w:r w:rsidRPr="00424A4B">
              <w:rPr>
                <w:sz w:val="22"/>
                <w:szCs w:val="22"/>
                <w:lang w:val="sr-Latn-ME"/>
              </w:rPr>
              <w:t>10,8%</w:t>
            </w:r>
          </w:p>
          <w:p w:rsidR="005E6320" w:rsidRPr="00424A4B" w:rsidRDefault="005E6320">
            <w:pPr>
              <w:rPr>
                <w:sz w:val="22"/>
                <w:szCs w:val="22"/>
                <w:lang w:val="sr-Latn-ME"/>
              </w:rPr>
            </w:pPr>
            <w:r w:rsidRPr="00424A4B">
              <w:rPr>
                <w:sz w:val="22"/>
                <w:szCs w:val="22"/>
                <w:lang w:val="sr-Latn-ME"/>
              </w:rPr>
              <w:t>[4,2; 17,5]</w:t>
            </w:r>
          </w:p>
          <w:p w:rsidR="005E6320" w:rsidRPr="00424A4B" w:rsidRDefault="005E6320">
            <w:pPr>
              <w:rPr>
                <w:sz w:val="22"/>
                <w:szCs w:val="22"/>
                <w:lang w:val="sr-Latn-ME"/>
              </w:rPr>
            </w:pPr>
          </w:p>
        </w:tc>
        <w:tc>
          <w:tcPr>
            <w:tcW w:w="701" w:type="pct"/>
          </w:tcPr>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p>
          <w:p w:rsidR="005E6320" w:rsidRPr="00424A4B" w:rsidRDefault="005E6320">
            <w:pPr>
              <w:rPr>
                <w:sz w:val="22"/>
                <w:szCs w:val="22"/>
                <w:lang w:val="sr-Latn-ME"/>
              </w:rPr>
            </w:pPr>
            <w:r w:rsidRPr="00424A4B">
              <w:rPr>
                <w:sz w:val="22"/>
                <w:szCs w:val="22"/>
                <w:lang w:val="sr-Latn-ME"/>
              </w:rPr>
              <w:t>0,0011</w:t>
            </w:r>
          </w:p>
        </w:tc>
      </w:tr>
      <w:tr w:rsidR="005E6320" w:rsidRPr="00424A4B" w:rsidTr="00B30B91">
        <w:trPr>
          <w:cantSplit/>
        </w:trPr>
        <w:tc>
          <w:tcPr>
            <w:tcW w:w="1718" w:type="pct"/>
          </w:tcPr>
          <w:p w:rsidR="005E6320" w:rsidRPr="00424A4B" w:rsidRDefault="005E6320" w:rsidP="005C33D8">
            <w:pPr>
              <w:rPr>
                <w:b/>
                <w:sz w:val="22"/>
                <w:szCs w:val="22"/>
                <w:lang w:val="sr-Latn-ME"/>
              </w:rPr>
            </w:pPr>
            <w:r w:rsidRPr="00424A4B">
              <w:rPr>
                <w:b/>
                <w:sz w:val="22"/>
                <w:szCs w:val="22"/>
                <w:lang w:val="sr-Latn-ME"/>
              </w:rPr>
              <w:t>Trajanje odgovora †^</w:t>
            </w:r>
          </w:p>
          <w:p w:rsidR="005E6320" w:rsidRPr="00424A4B" w:rsidRDefault="005E6320" w:rsidP="00CD41AC">
            <w:pPr>
              <w:rPr>
                <w:sz w:val="22"/>
                <w:szCs w:val="22"/>
                <w:lang w:val="sr-Latn-ME"/>
              </w:rPr>
            </w:pPr>
            <w:r w:rsidRPr="00424A4B">
              <w:rPr>
                <w:sz w:val="22"/>
                <w:szCs w:val="22"/>
                <w:lang w:val="sr-Latn-ME"/>
              </w:rPr>
              <w:t>n=</w:t>
            </w:r>
          </w:p>
          <w:p w:rsidR="005E6320" w:rsidRPr="00424A4B" w:rsidRDefault="005E6320">
            <w:pPr>
              <w:rPr>
                <w:sz w:val="22"/>
                <w:szCs w:val="22"/>
                <w:lang w:val="sr-Latn-ME"/>
              </w:rPr>
            </w:pPr>
            <w:r w:rsidRPr="00424A4B">
              <w:rPr>
                <w:sz w:val="22"/>
                <w:szCs w:val="22"/>
                <w:lang w:val="sr-Latn-ME"/>
              </w:rPr>
              <w:t xml:space="preserve">medijana nedjelja </w:t>
            </w:r>
          </w:p>
          <w:p w:rsidR="005E6320" w:rsidRPr="00424A4B" w:rsidRDefault="005E6320">
            <w:pPr>
              <w:rPr>
                <w:sz w:val="22"/>
                <w:szCs w:val="22"/>
                <w:lang w:val="sr-Latn-ME"/>
              </w:rPr>
            </w:pPr>
            <w:r w:rsidRPr="00424A4B">
              <w:rPr>
                <w:sz w:val="22"/>
                <w:szCs w:val="22"/>
                <w:lang w:val="sr-Latn-ME"/>
              </w:rPr>
              <w:t>95% CI za medijana</w:t>
            </w:r>
          </w:p>
        </w:tc>
        <w:tc>
          <w:tcPr>
            <w:tcW w:w="1017" w:type="pct"/>
          </w:tcPr>
          <w:p w:rsidR="005E6320" w:rsidRPr="00424A4B" w:rsidRDefault="005E6320">
            <w:pPr>
              <w:rPr>
                <w:sz w:val="22"/>
                <w:szCs w:val="22"/>
                <w:lang w:val="sr-Latn-ME"/>
              </w:rPr>
            </w:pPr>
          </w:p>
          <w:p w:rsidR="005E6320" w:rsidRPr="00424A4B" w:rsidRDefault="005E6320">
            <w:pPr>
              <w:rPr>
                <w:sz w:val="22"/>
                <w:szCs w:val="22"/>
                <w:lang w:val="sr-Latn-ME"/>
              </w:rPr>
            </w:pPr>
            <w:r w:rsidRPr="00424A4B">
              <w:rPr>
                <w:sz w:val="22"/>
                <w:szCs w:val="22"/>
                <w:lang w:val="sr-Latn-ME"/>
              </w:rPr>
              <w:t>233</w:t>
            </w:r>
          </w:p>
          <w:p w:rsidR="005E6320" w:rsidRPr="00424A4B" w:rsidRDefault="005E6320">
            <w:pPr>
              <w:rPr>
                <w:sz w:val="22"/>
                <w:szCs w:val="22"/>
                <w:lang w:val="sr-Latn-ME"/>
              </w:rPr>
            </w:pPr>
            <w:r w:rsidRPr="00424A4B">
              <w:rPr>
                <w:sz w:val="22"/>
                <w:szCs w:val="22"/>
                <w:lang w:val="sr-Latn-ME"/>
              </w:rPr>
              <w:t>54,1</w:t>
            </w:r>
          </w:p>
          <w:p w:rsidR="005E6320" w:rsidRPr="00424A4B" w:rsidRDefault="005E6320">
            <w:pPr>
              <w:rPr>
                <w:sz w:val="22"/>
                <w:szCs w:val="22"/>
                <w:lang w:val="sr-Latn-ME"/>
              </w:rPr>
            </w:pPr>
            <w:r w:rsidRPr="00424A4B">
              <w:rPr>
                <w:sz w:val="22"/>
                <w:szCs w:val="22"/>
                <w:lang w:val="sr-Latn-ME"/>
              </w:rPr>
              <w:t>[46; 64]</w:t>
            </w:r>
          </w:p>
        </w:tc>
        <w:tc>
          <w:tcPr>
            <w:tcW w:w="860" w:type="pct"/>
          </w:tcPr>
          <w:p w:rsidR="005E6320" w:rsidRPr="00424A4B" w:rsidRDefault="005E6320">
            <w:pPr>
              <w:rPr>
                <w:sz w:val="22"/>
                <w:szCs w:val="22"/>
                <w:lang w:val="sr-Latn-ME"/>
              </w:rPr>
            </w:pPr>
          </w:p>
          <w:p w:rsidR="005E6320" w:rsidRPr="00424A4B" w:rsidRDefault="005E6320">
            <w:pPr>
              <w:rPr>
                <w:sz w:val="22"/>
                <w:szCs w:val="22"/>
                <w:lang w:val="sr-Latn-ME"/>
              </w:rPr>
            </w:pPr>
            <w:r w:rsidRPr="00424A4B">
              <w:rPr>
                <w:sz w:val="22"/>
                <w:szCs w:val="22"/>
                <w:lang w:val="sr-Latn-ME"/>
              </w:rPr>
              <w:t>275</w:t>
            </w:r>
          </w:p>
          <w:p w:rsidR="005E6320" w:rsidRPr="00424A4B" w:rsidRDefault="005E6320">
            <w:pPr>
              <w:rPr>
                <w:sz w:val="22"/>
                <w:szCs w:val="22"/>
                <w:lang w:val="sr-Latn-ME"/>
              </w:rPr>
            </w:pPr>
            <w:r w:rsidRPr="00424A4B">
              <w:rPr>
                <w:sz w:val="22"/>
                <w:szCs w:val="22"/>
                <w:lang w:val="sr-Latn-ME"/>
              </w:rPr>
              <w:t>87,6</w:t>
            </w:r>
          </w:p>
          <w:p w:rsidR="005E6320" w:rsidRPr="00424A4B" w:rsidRDefault="005E6320">
            <w:pPr>
              <w:rPr>
                <w:sz w:val="22"/>
                <w:szCs w:val="22"/>
                <w:lang w:val="sr-Latn-ME"/>
              </w:rPr>
            </w:pPr>
            <w:r w:rsidRPr="00424A4B">
              <w:rPr>
                <w:sz w:val="22"/>
                <w:szCs w:val="22"/>
                <w:lang w:val="sr-Latn-ME"/>
              </w:rPr>
              <w:t>[71; 106]</w:t>
            </w:r>
          </w:p>
        </w:tc>
        <w:tc>
          <w:tcPr>
            <w:tcW w:w="704" w:type="pct"/>
          </w:tcPr>
          <w:p w:rsidR="005E6320" w:rsidRPr="00424A4B" w:rsidRDefault="005E6320">
            <w:pPr>
              <w:rPr>
                <w:sz w:val="22"/>
                <w:szCs w:val="22"/>
                <w:lang w:val="sr-Latn-ME"/>
              </w:rPr>
            </w:pPr>
          </w:p>
        </w:tc>
        <w:tc>
          <w:tcPr>
            <w:tcW w:w="701" w:type="pct"/>
          </w:tcPr>
          <w:p w:rsidR="005E6320" w:rsidRPr="00424A4B" w:rsidRDefault="005E6320">
            <w:pPr>
              <w:rPr>
                <w:sz w:val="22"/>
                <w:szCs w:val="22"/>
                <w:lang w:val="sr-Latn-ME"/>
              </w:rPr>
            </w:pPr>
          </w:p>
        </w:tc>
      </w:tr>
    </w:tbl>
    <w:p w:rsidR="005E6320" w:rsidRPr="00424A4B" w:rsidRDefault="005E6320" w:rsidP="005C33D8">
      <w:pPr>
        <w:jc w:val="both"/>
        <w:rPr>
          <w:sz w:val="22"/>
          <w:szCs w:val="22"/>
          <w:lang w:val="sr-Latn-ME"/>
        </w:rPr>
      </w:pPr>
      <w:r w:rsidRPr="00424A4B">
        <w:rPr>
          <w:sz w:val="22"/>
          <w:szCs w:val="22"/>
          <w:lang w:val="sr-Latn-ME"/>
        </w:rPr>
        <w:t>* Primarna analiza preživljavanja bez progresije bolesti, završni datum prikupljanja podataka 13. maja 2011.</w:t>
      </w:r>
    </w:p>
    <w:p w:rsidR="005E6320" w:rsidRPr="00424A4B" w:rsidRDefault="005E6320" w:rsidP="00CD41AC">
      <w:pPr>
        <w:ind w:left="180" w:hanging="180"/>
        <w:jc w:val="both"/>
        <w:rPr>
          <w:sz w:val="22"/>
          <w:szCs w:val="22"/>
          <w:lang w:val="sr-Latn-ME"/>
        </w:rPr>
      </w:pPr>
      <w:r w:rsidRPr="00424A4B">
        <w:rPr>
          <w:sz w:val="22"/>
          <w:szCs w:val="22"/>
          <w:lang w:val="sr-Latn-ME"/>
        </w:rPr>
        <w:t>** Završna analiza ukupnog preživljavanja</w:t>
      </w:r>
      <w:r w:rsidR="00463C21" w:rsidRPr="00424A4B">
        <w:rPr>
          <w:sz w:val="22"/>
          <w:szCs w:val="22"/>
          <w:lang w:val="sr-Latn-ME"/>
        </w:rPr>
        <w:t xml:space="preserve"> vođena događajima</w:t>
      </w:r>
      <w:r w:rsidRPr="00424A4B">
        <w:rPr>
          <w:sz w:val="22"/>
          <w:szCs w:val="22"/>
          <w:lang w:val="sr-Latn-ME"/>
        </w:rPr>
        <w:t>, završni datum prikupljanja podataka 11. februara 2014.</w:t>
      </w:r>
    </w:p>
    <w:p w:rsidR="005E6320" w:rsidRPr="00424A4B" w:rsidRDefault="005E6320">
      <w:pPr>
        <w:jc w:val="both"/>
        <w:rPr>
          <w:sz w:val="22"/>
          <w:szCs w:val="22"/>
          <w:lang w:val="sr-Latn-ME"/>
        </w:rPr>
      </w:pPr>
      <w:r w:rsidRPr="00424A4B">
        <w:rPr>
          <w:sz w:val="22"/>
          <w:szCs w:val="22"/>
          <w:lang w:val="sr-Latn-ME"/>
        </w:rPr>
        <w:t>*** Pacijenti sa najboljim ukupnim odgovorom, tj. potvrđenim potpunim ili djelimičnim odgovorom prema RECIST-u.</w:t>
      </w:r>
    </w:p>
    <w:p w:rsidR="005E6320" w:rsidRPr="00424A4B" w:rsidRDefault="005E6320">
      <w:pPr>
        <w:jc w:val="both"/>
        <w:rPr>
          <w:sz w:val="22"/>
          <w:szCs w:val="22"/>
          <w:lang w:val="sr-Latn-ME"/>
        </w:rPr>
      </w:pPr>
      <w:r w:rsidRPr="00424A4B">
        <w:rPr>
          <w:sz w:val="22"/>
          <w:szCs w:val="22"/>
          <w:lang w:val="sr-Latn-ME"/>
        </w:rPr>
        <w:t>† Ocijenjeno kod pacijenata sa najboljim ukupnim odgovorom, tj. potvrđenim potpunim ili djelimičnim odgovorom.</w:t>
      </w:r>
    </w:p>
    <w:p w:rsidR="005E6320" w:rsidRPr="00424A4B" w:rsidRDefault="005E6320">
      <w:pPr>
        <w:jc w:val="both"/>
        <w:rPr>
          <w:sz w:val="22"/>
          <w:szCs w:val="22"/>
          <w:lang w:val="sr-Latn-ME"/>
        </w:rPr>
      </w:pPr>
      <w:r w:rsidRPr="00424A4B">
        <w:rPr>
          <w:sz w:val="22"/>
          <w:szCs w:val="22"/>
          <w:lang w:val="sr-Latn-ME"/>
        </w:rPr>
        <w:t>^ Stopa objektivnog odgovora i trajanje odgovora bazira se na ocjenama tumora prema procjeni nezavisnog ocjenjivačkog tijela.</w:t>
      </w:r>
    </w:p>
    <w:p w:rsidR="005E6320" w:rsidRPr="00424A4B" w:rsidRDefault="005E6320">
      <w:pPr>
        <w:jc w:val="both"/>
        <w:rPr>
          <w:sz w:val="22"/>
          <w:szCs w:val="22"/>
          <w:lang w:val="sr-Latn-ME"/>
        </w:rPr>
      </w:pPr>
    </w:p>
    <w:p w:rsidR="009353EB" w:rsidRPr="00424A4B" w:rsidRDefault="005E6320">
      <w:pPr>
        <w:jc w:val="both"/>
        <w:rPr>
          <w:b/>
          <w:sz w:val="22"/>
          <w:szCs w:val="22"/>
          <w:lang w:val="sr-Latn-ME"/>
        </w:rPr>
      </w:pPr>
      <w:r w:rsidRPr="00424A4B">
        <w:rPr>
          <w:sz w:val="22"/>
          <w:szCs w:val="22"/>
          <w:lang w:val="sr-Latn-ME"/>
        </w:rPr>
        <w:t xml:space="preserve">Zabilježeni su dosljedni rezultati u svim unaprijed određenim podgrupama pacijenata, uključujući podgrupe bazirane na stratifikaciji prema geografskim područjima, te prema prethodnom adjuvantnom/neoadjuvantnom liječenju ili </w:t>
      </w:r>
      <w:r w:rsidRPr="00424A4B">
        <w:rPr>
          <w:i/>
          <w:sz w:val="22"/>
          <w:szCs w:val="22"/>
          <w:lang w:val="sr-Latn-ME"/>
        </w:rPr>
        <w:t>de novo</w:t>
      </w:r>
      <w:r w:rsidRPr="00424A4B">
        <w:rPr>
          <w:sz w:val="22"/>
          <w:szCs w:val="22"/>
          <w:lang w:val="sr-Latn-ME"/>
        </w:rPr>
        <w:t xml:space="preserve"> metastatskom karcinomu dojke (vidjeti Sliku 1). </w:t>
      </w:r>
      <w:r w:rsidRPr="00424A4B">
        <w:rPr>
          <w:i/>
          <w:sz w:val="22"/>
          <w:szCs w:val="22"/>
          <w:lang w:val="sr-Latn-ME"/>
        </w:rPr>
        <w:t>Post hoc</w:t>
      </w:r>
      <w:r w:rsidRPr="00424A4B">
        <w:rPr>
          <w:sz w:val="22"/>
          <w:szCs w:val="22"/>
          <w:lang w:val="sr-Latn-ME"/>
        </w:rPr>
        <w:t xml:space="preserve"> eksplora</w:t>
      </w:r>
      <w:r w:rsidR="009353EB" w:rsidRPr="00424A4B">
        <w:rPr>
          <w:sz w:val="22"/>
          <w:szCs w:val="22"/>
          <w:lang w:val="sr-Latn-ME"/>
        </w:rPr>
        <w:t>tivna</w:t>
      </w:r>
      <w:r w:rsidRPr="00424A4B">
        <w:rPr>
          <w:sz w:val="22"/>
          <w:szCs w:val="22"/>
          <w:lang w:val="sr-Latn-ME"/>
        </w:rPr>
        <w:t xml:space="preserve"> analiza pokazala je da je kod pacijenata koji su prethodno primali trastuzumab (n = 88) odnos </w:t>
      </w:r>
      <w:r w:rsidR="009353EB" w:rsidRPr="00424A4B">
        <w:rPr>
          <w:sz w:val="22"/>
          <w:szCs w:val="22"/>
          <w:lang w:val="sr-Latn-ME"/>
        </w:rPr>
        <w:t>rizika</w:t>
      </w:r>
      <w:r w:rsidRPr="00424A4B">
        <w:rPr>
          <w:sz w:val="22"/>
          <w:szCs w:val="22"/>
          <w:lang w:val="sr-Latn-ME"/>
        </w:rPr>
        <w:t xml:space="preserve"> za preživljavanje bez progresije bolesti prema procjeni nezavisnog ocjenjivačkog tijela iznosio 0,62 (95% CI 0,35; 1,07), dok je kod pacijenata koji su prethodno primali terapiju koja nije uključivala trastuzumab (n=288) taj odnos hazarda bio 0,60 (95% CI 0,43; 0,83).</w:t>
      </w:r>
    </w:p>
    <w:p w:rsidR="009353EB" w:rsidRPr="00424A4B" w:rsidRDefault="009353EB">
      <w:pPr>
        <w:jc w:val="both"/>
        <w:rPr>
          <w:sz w:val="22"/>
          <w:szCs w:val="22"/>
          <w:lang w:val="sr-Latn-ME"/>
        </w:rPr>
      </w:pPr>
    </w:p>
    <w:p w:rsidR="005E6320" w:rsidRPr="00424A4B" w:rsidRDefault="005E6320" w:rsidP="005C33D8">
      <w:pPr>
        <w:jc w:val="both"/>
        <w:rPr>
          <w:b/>
          <w:sz w:val="22"/>
          <w:szCs w:val="22"/>
          <w:lang w:val="sr-Latn-ME"/>
        </w:rPr>
      </w:pPr>
      <w:r w:rsidRPr="00424A4B">
        <w:rPr>
          <w:b/>
          <w:sz w:val="22"/>
          <w:szCs w:val="22"/>
          <w:lang w:val="sr-Latn-ME"/>
        </w:rPr>
        <w:t>Slika 1</w:t>
      </w:r>
      <w:r w:rsidRPr="00424A4B">
        <w:rPr>
          <w:b/>
          <w:sz w:val="22"/>
          <w:szCs w:val="22"/>
          <w:lang w:val="sr-Latn-ME"/>
        </w:rPr>
        <w:tab/>
        <w:t>Analiza preživljavanja bez progresije bolesti prema procjeni nezavisne ocjenjivačke komisije po podgrupama pacijenata</w:t>
      </w:r>
    </w:p>
    <w:p w:rsidR="009353EB" w:rsidRPr="00424A4B" w:rsidRDefault="005E6320" w:rsidP="005C33D8">
      <w:pPr>
        <w:rPr>
          <w:sz w:val="22"/>
          <w:szCs w:val="22"/>
          <w:lang w:val="sr-Latn-ME"/>
        </w:rPr>
      </w:pPr>
      <w:r w:rsidRPr="00424A4B">
        <w:rPr>
          <w:noProof/>
          <w:sz w:val="22"/>
          <w:szCs w:val="22"/>
          <w:lang w:val="sr-Latn-ME" w:eastAsia="sr-Latn-ME"/>
        </w:rPr>
        <w:lastRenderedPageBreak/>
        <w:drawing>
          <wp:inline distT="0" distB="0" distL="0" distR="0">
            <wp:extent cx="6019800" cy="3571875"/>
            <wp:effectExtent l="0" t="0" r="0" b="9525"/>
            <wp:docPr id="5" name="Picture 5" descr="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9800" cy="3571875"/>
                    </a:xfrm>
                    <a:prstGeom prst="rect">
                      <a:avLst/>
                    </a:prstGeom>
                    <a:noFill/>
                    <a:ln>
                      <a:noFill/>
                    </a:ln>
                  </pic:spPr>
                </pic:pic>
              </a:graphicData>
            </a:graphic>
          </wp:inline>
        </w:drawing>
      </w:r>
    </w:p>
    <w:p w:rsidR="005E6320" w:rsidRPr="00424A4B" w:rsidRDefault="005E6320" w:rsidP="00CD41AC">
      <w:pPr>
        <w:jc w:val="both"/>
        <w:rPr>
          <w:sz w:val="22"/>
          <w:szCs w:val="22"/>
          <w:lang w:val="sr-Latn-ME"/>
        </w:rPr>
      </w:pPr>
      <w:r w:rsidRPr="00424A4B">
        <w:rPr>
          <w:sz w:val="22"/>
          <w:szCs w:val="22"/>
          <w:lang w:val="sr-Latn-ME"/>
        </w:rPr>
        <w:t xml:space="preserve">Završna analiza ukupnog preživljavanja </w:t>
      </w:r>
      <w:r w:rsidR="00A32C08" w:rsidRPr="00424A4B">
        <w:rPr>
          <w:sz w:val="22"/>
          <w:szCs w:val="22"/>
          <w:lang w:val="sr-Latn-ME"/>
        </w:rPr>
        <w:t xml:space="preserve">vođena događajima </w:t>
      </w:r>
      <w:r w:rsidRPr="00424A4B">
        <w:rPr>
          <w:sz w:val="22"/>
          <w:szCs w:val="22"/>
          <w:lang w:val="sr-Latn-ME"/>
        </w:rPr>
        <w:t xml:space="preserve">sprovedena je kada je umrlo 389 pacijenata (221 u grupi koja je primala placebo i 168 u grupi liječenoj lijekom </w:t>
      </w:r>
      <w:r w:rsidR="009C77FA" w:rsidRPr="00424A4B">
        <w:rPr>
          <w:sz w:val="22"/>
          <w:szCs w:val="22"/>
          <w:lang w:val="sr-Latn-ME"/>
        </w:rPr>
        <w:t>Perjeta</w:t>
      </w:r>
      <w:r w:rsidRPr="00424A4B">
        <w:rPr>
          <w:sz w:val="22"/>
          <w:szCs w:val="22"/>
          <w:lang w:val="sr-Latn-ME"/>
        </w:rPr>
        <w:t xml:space="preserve">). Statistički značajan koristan efekat na ukupno preživljavanje u grupi liječenoj lijekom </w:t>
      </w:r>
      <w:r w:rsidR="009C77FA" w:rsidRPr="00424A4B">
        <w:rPr>
          <w:sz w:val="22"/>
          <w:szCs w:val="22"/>
          <w:lang w:val="sr-Latn-ME"/>
        </w:rPr>
        <w:t>Perjeta</w:t>
      </w:r>
      <w:r w:rsidRPr="00424A4B">
        <w:rPr>
          <w:sz w:val="22"/>
          <w:szCs w:val="22"/>
          <w:lang w:val="sr-Latn-ME"/>
        </w:rPr>
        <w:t xml:space="preserve">, prethodno zapažen prilikom privremene analize ukupnog preživljavanja (sproveden godinu dana nakon primarne analize), bio je održan (HR 0,68; p = 0,0002 log-rang test). Medijana vremena do smrti bila je 40,8 mjeseci u grupi koja je primala placebo, a 56,5 mjeseci u grupi liječenoj lijekom </w:t>
      </w:r>
      <w:r w:rsidR="009C77FA" w:rsidRPr="00424A4B">
        <w:rPr>
          <w:sz w:val="22"/>
          <w:szCs w:val="22"/>
          <w:lang w:val="sr-Latn-ME"/>
        </w:rPr>
        <w:t>Perjeta</w:t>
      </w:r>
      <w:r w:rsidR="00933506" w:rsidRPr="00424A4B">
        <w:rPr>
          <w:sz w:val="22"/>
          <w:szCs w:val="22"/>
          <w:lang w:val="sr-Latn-ME"/>
        </w:rPr>
        <w:t xml:space="preserve"> (vidjeti Tabelu 3</w:t>
      </w:r>
      <w:r w:rsidRPr="00424A4B">
        <w:rPr>
          <w:sz w:val="22"/>
          <w:szCs w:val="22"/>
          <w:lang w:val="sr-Latn-ME"/>
        </w:rPr>
        <w:t xml:space="preserve">, Sliku 2). </w:t>
      </w:r>
    </w:p>
    <w:p w:rsidR="00CD41AC" w:rsidRPr="00424A4B" w:rsidRDefault="00CD41AC">
      <w:pPr>
        <w:jc w:val="both"/>
        <w:rPr>
          <w:sz w:val="22"/>
          <w:szCs w:val="22"/>
          <w:lang w:val="sr-Latn-ME"/>
        </w:rPr>
      </w:pPr>
    </w:p>
    <w:p w:rsidR="009353EB" w:rsidRPr="00424A4B" w:rsidRDefault="00A32C08" w:rsidP="0055503A">
      <w:pPr>
        <w:jc w:val="both"/>
        <w:rPr>
          <w:sz w:val="22"/>
          <w:szCs w:val="22"/>
          <w:lang w:val="sr-Latn-ME"/>
        </w:rPr>
      </w:pPr>
      <w:r w:rsidRPr="00424A4B">
        <w:rPr>
          <w:sz w:val="22"/>
          <w:szCs w:val="22"/>
          <w:lang w:val="sr-Latn-ME"/>
        </w:rPr>
        <w:t>Opisna analiza ukupnog preživljavanja sprovedena na kraju ispitivanja kada je preminulo 515 pacijenata (280 u grupi koja je primala placebo i 235 u grupi koja je primala lijek Perjeta) pokazala je da se statistički značajan koristan učinak na sveukupno preživljavanje u grupi liječenoj lijekom Perjeta održao tokom medijane praćenja od 99 mjeseci (HR: 0,69; p &lt; 0,0001 log rang test; medijana vremena do smrti: 40,8 mjeseci [grupa koja je primala placebo] naspram 57,1 mjeseci [grupa koja je primala lijek Perjeta]. Procijenjeno preživljavanje nakon 8 godina, kao ključna vremenska tačka, iznosilo je 37% u grupi liječenoj lijekom Perjeta i 23% u grupi koja je primala placeb</w:t>
      </w:r>
      <w:r w:rsidR="009353EB" w:rsidRPr="00424A4B">
        <w:rPr>
          <w:sz w:val="22"/>
          <w:szCs w:val="22"/>
          <w:lang w:val="sr-Latn-ME"/>
        </w:rPr>
        <w:t>o.</w:t>
      </w:r>
    </w:p>
    <w:p w:rsidR="009353EB" w:rsidRPr="00424A4B" w:rsidRDefault="009353EB" w:rsidP="0055503A">
      <w:pPr>
        <w:jc w:val="both"/>
        <w:rPr>
          <w:sz w:val="22"/>
          <w:szCs w:val="22"/>
          <w:lang w:val="sr-Latn-ME"/>
        </w:rPr>
      </w:pPr>
    </w:p>
    <w:p w:rsidR="005E6320" w:rsidRPr="00424A4B" w:rsidRDefault="005E6320" w:rsidP="0055503A">
      <w:pPr>
        <w:rPr>
          <w:b/>
          <w:sz w:val="22"/>
          <w:szCs w:val="22"/>
          <w:lang w:val="sr-Latn-ME"/>
        </w:rPr>
      </w:pPr>
      <w:r w:rsidRPr="00424A4B">
        <w:rPr>
          <w:b/>
          <w:sz w:val="22"/>
          <w:szCs w:val="22"/>
          <w:lang w:val="sr-Latn-ME"/>
        </w:rPr>
        <w:t>Slika 2</w:t>
      </w:r>
      <w:r w:rsidRPr="00424A4B">
        <w:rPr>
          <w:b/>
          <w:sz w:val="22"/>
          <w:szCs w:val="22"/>
          <w:lang w:val="sr-Latn-ME"/>
        </w:rPr>
        <w:tab/>
        <w:t>Kaplan-Meierova kriva ukupnog preživljavanja</w:t>
      </w:r>
      <w:r w:rsidR="00A32C08" w:rsidRPr="00424A4B">
        <w:rPr>
          <w:b/>
          <w:sz w:val="22"/>
          <w:szCs w:val="22"/>
          <w:lang w:val="sr-Latn-ME"/>
        </w:rPr>
        <w:t xml:space="preserve"> na osnovu analize vođene događajima</w:t>
      </w:r>
    </w:p>
    <w:p w:rsidR="005E6320" w:rsidRPr="00424A4B" w:rsidRDefault="005E6320" w:rsidP="0055503A">
      <w:pPr>
        <w:rPr>
          <w:noProof/>
          <w:sz w:val="22"/>
          <w:szCs w:val="22"/>
          <w:lang w:val="sr-Latn-ME" w:eastAsia="zh-TW"/>
        </w:rPr>
      </w:pPr>
      <w:r w:rsidRPr="00424A4B">
        <w:rPr>
          <w:noProof/>
          <w:sz w:val="22"/>
          <w:szCs w:val="22"/>
          <w:lang w:val="sr-Latn-ME" w:eastAsia="sr-Latn-ME"/>
        </w:rPr>
        <w:lastRenderedPageBreak/>
        <w:drawing>
          <wp:inline distT="0" distB="0" distL="0" distR="0">
            <wp:extent cx="5943600" cy="38576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857625"/>
                    </a:xfrm>
                    <a:prstGeom prst="rect">
                      <a:avLst/>
                    </a:prstGeom>
                    <a:noFill/>
                    <a:ln>
                      <a:noFill/>
                    </a:ln>
                  </pic:spPr>
                </pic:pic>
              </a:graphicData>
            </a:graphic>
          </wp:inline>
        </w:drawing>
      </w:r>
    </w:p>
    <w:p w:rsidR="005E6320" w:rsidRPr="00424A4B" w:rsidRDefault="005E6320" w:rsidP="0055503A">
      <w:pPr>
        <w:spacing w:line="276" w:lineRule="auto"/>
        <w:jc w:val="both"/>
        <w:rPr>
          <w:rFonts w:eastAsia="PMingLiU"/>
          <w:sz w:val="22"/>
          <w:szCs w:val="22"/>
          <w:lang w:val="sr-Latn-ME" w:eastAsia="zh-TW"/>
        </w:rPr>
      </w:pPr>
      <w:r w:rsidRPr="00424A4B">
        <w:rPr>
          <w:noProof/>
          <w:sz w:val="22"/>
          <w:szCs w:val="22"/>
          <w:lang w:val="sr-Latn-ME" w:eastAsia="zh-TW"/>
        </w:rPr>
        <w:t>HR= odnos ; CI= interval pouzdanosti; Pla= placebo; Ptz= pertuzumab (</w:t>
      </w:r>
      <w:r w:rsidR="009C77FA" w:rsidRPr="00424A4B">
        <w:rPr>
          <w:noProof/>
          <w:sz w:val="22"/>
          <w:szCs w:val="22"/>
          <w:lang w:val="sr-Latn-ME" w:eastAsia="zh-TW"/>
        </w:rPr>
        <w:t>Perjeta</w:t>
      </w:r>
      <w:r w:rsidRPr="00424A4B">
        <w:rPr>
          <w:noProof/>
          <w:sz w:val="22"/>
          <w:szCs w:val="22"/>
          <w:lang w:val="sr-Latn-ME" w:eastAsia="zh-TW"/>
        </w:rPr>
        <w:t>); T= trastuzumab (Herceptin); D= docetaksel</w:t>
      </w:r>
      <w:r w:rsidRPr="00424A4B">
        <w:rPr>
          <w:rFonts w:eastAsia="PMingLiU"/>
          <w:sz w:val="22"/>
          <w:szCs w:val="22"/>
          <w:lang w:val="sr-Latn-ME" w:eastAsia="zh-TW"/>
        </w:rPr>
        <w:t>.</w:t>
      </w:r>
    </w:p>
    <w:p w:rsidR="005E6320" w:rsidRPr="00424A4B" w:rsidRDefault="005E6320" w:rsidP="0055503A">
      <w:pPr>
        <w:jc w:val="both"/>
        <w:rPr>
          <w:sz w:val="22"/>
          <w:szCs w:val="22"/>
          <w:lang w:val="sr-Latn-ME"/>
        </w:rPr>
      </w:pPr>
      <w:r w:rsidRPr="00424A4B">
        <w:rPr>
          <w:sz w:val="22"/>
          <w:szCs w:val="22"/>
          <w:lang w:val="sr-Latn-ME"/>
        </w:rPr>
        <w:t xml:space="preserve">Nije ustanovljena statistički značajna razlika između dvije ispitivane grupe s obzirom na kvalitet života vezan za zdravlje, procijenjenog na osnovu rezultata upitnika FACT-B TOI-PFB. </w:t>
      </w:r>
    </w:p>
    <w:p w:rsidR="00CD41AC" w:rsidRPr="00424A4B" w:rsidRDefault="00CD41AC" w:rsidP="0055503A">
      <w:pPr>
        <w:jc w:val="both"/>
        <w:rPr>
          <w:sz w:val="22"/>
          <w:szCs w:val="22"/>
          <w:lang w:val="sr-Latn-ME"/>
        </w:rPr>
      </w:pPr>
    </w:p>
    <w:p w:rsidR="005E6320" w:rsidRPr="00424A4B" w:rsidRDefault="005E6320" w:rsidP="0055503A">
      <w:pPr>
        <w:jc w:val="both"/>
        <w:rPr>
          <w:i/>
          <w:sz w:val="22"/>
          <w:szCs w:val="22"/>
          <w:lang w:val="sr-Latn-ME"/>
        </w:rPr>
      </w:pPr>
      <w:r w:rsidRPr="00424A4B">
        <w:rPr>
          <w:i/>
          <w:sz w:val="22"/>
          <w:szCs w:val="22"/>
          <w:lang w:val="sr-Latn-ME"/>
        </w:rPr>
        <w:t>Dodatne informacije o suportivnim kliničkim ispitivanjima</w:t>
      </w:r>
    </w:p>
    <w:p w:rsidR="00CD41AC" w:rsidRPr="00424A4B" w:rsidRDefault="00CD41AC" w:rsidP="0055503A">
      <w:pPr>
        <w:jc w:val="both"/>
        <w:rPr>
          <w:i/>
          <w:sz w:val="22"/>
          <w:szCs w:val="22"/>
          <w:lang w:val="sr-Latn-ME"/>
        </w:rPr>
      </w:pPr>
    </w:p>
    <w:p w:rsidR="005E6320" w:rsidRPr="00424A4B" w:rsidRDefault="005E6320" w:rsidP="0055503A">
      <w:pPr>
        <w:jc w:val="both"/>
        <w:rPr>
          <w:sz w:val="22"/>
          <w:szCs w:val="22"/>
          <w:lang w:val="sr-Latn-ME"/>
        </w:rPr>
      </w:pPr>
      <w:r w:rsidRPr="00424A4B">
        <w:rPr>
          <w:b/>
          <w:sz w:val="22"/>
          <w:szCs w:val="22"/>
          <w:lang w:val="sr-Latn-ME"/>
        </w:rPr>
        <w:t xml:space="preserve">BO17929 </w:t>
      </w:r>
      <w:r w:rsidRPr="00424A4B">
        <w:rPr>
          <w:sz w:val="22"/>
          <w:szCs w:val="22"/>
          <w:lang w:val="sr-Latn-ME"/>
        </w:rPr>
        <w:t>- ispitivanje metastatskog karcinoma dojke s jednom grupom</w:t>
      </w:r>
    </w:p>
    <w:p w:rsidR="00CD41AC" w:rsidRPr="00424A4B" w:rsidRDefault="00CD41AC" w:rsidP="0055503A">
      <w:pPr>
        <w:jc w:val="both"/>
        <w:rPr>
          <w:sz w:val="22"/>
          <w:szCs w:val="22"/>
          <w:lang w:val="sr-Latn-ME"/>
        </w:rPr>
      </w:pPr>
    </w:p>
    <w:p w:rsidR="00EC3468" w:rsidRPr="00424A4B" w:rsidRDefault="005E6320" w:rsidP="005C33D8">
      <w:pPr>
        <w:jc w:val="both"/>
        <w:rPr>
          <w:sz w:val="22"/>
          <w:szCs w:val="22"/>
          <w:lang w:val="sr-Latn-ME"/>
        </w:rPr>
      </w:pPr>
      <w:r w:rsidRPr="00424A4B">
        <w:rPr>
          <w:sz w:val="22"/>
          <w:szCs w:val="22"/>
          <w:lang w:val="sr-Latn-ME"/>
        </w:rPr>
        <w:t xml:space="preserve">BO17929 je bilo nerandomizovano ispitivanje faze II kod pacijenata sa metastatskim karcinomom dojke kod kojih je došlo do progresije tumora tokom liječenja trastuzumabom. Liječenje lijekom </w:t>
      </w:r>
      <w:r w:rsidR="009C77FA" w:rsidRPr="00424A4B">
        <w:rPr>
          <w:sz w:val="22"/>
          <w:szCs w:val="22"/>
          <w:lang w:val="sr-Latn-ME"/>
        </w:rPr>
        <w:t>Perjeta</w:t>
      </w:r>
      <w:r w:rsidRPr="00424A4B">
        <w:rPr>
          <w:sz w:val="22"/>
          <w:szCs w:val="22"/>
          <w:lang w:val="sr-Latn-ME"/>
        </w:rPr>
        <w:t xml:space="preserve"> i trastuzumabom rezultovalo je stopom odgovora od 24,2%, a kod dodatnih 25,8% pacijenata došlo je do stabilizacije bolesti koja je potrajala najmanje 6 mjeseci, što ukazuje na to da lijek </w:t>
      </w:r>
      <w:r w:rsidR="009C77FA" w:rsidRPr="00424A4B">
        <w:rPr>
          <w:sz w:val="22"/>
          <w:szCs w:val="22"/>
          <w:lang w:val="sr-Latn-ME"/>
        </w:rPr>
        <w:t>Perjeta</w:t>
      </w:r>
      <w:r w:rsidRPr="00424A4B">
        <w:rPr>
          <w:sz w:val="22"/>
          <w:szCs w:val="22"/>
          <w:lang w:val="sr-Latn-ME"/>
        </w:rPr>
        <w:t xml:space="preserve"> djeluje i nakon progresije bolesti na trastuzumab.</w:t>
      </w:r>
    </w:p>
    <w:p w:rsidR="00EC3468" w:rsidRPr="00424A4B" w:rsidRDefault="00EC3468" w:rsidP="00CD41AC">
      <w:pPr>
        <w:jc w:val="both"/>
        <w:rPr>
          <w:sz w:val="22"/>
          <w:szCs w:val="22"/>
          <w:lang w:val="sr-Latn-ME"/>
        </w:rPr>
      </w:pPr>
    </w:p>
    <w:p w:rsidR="005E6320" w:rsidRPr="00424A4B" w:rsidRDefault="005E6320">
      <w:pPr>
        <w:jc w:val="both"/>
        <w:rPr>
          <w:i/>
          <w:sz w:val="22"/>
          <w:szCs w:val="22"/>
          <w:lang w:val="sr-Latn-ME"/>
        </w:rPr>
      </w:pPr>
      <w:r w:rsidRPr="00424A4B">
        <w:rPr>
          <w:i/>
          <w:sz w:val="22"/>
          <w:szCs w:val="22"/>
          <w:lang w:val="sr-Latn-ME"/>
        </w:rPr>
        <w:t>Rani karcinom dojke</w:t>
      </w:r>
    </w:p>
    <w:p w:rsidR="005E6320" w:rsidRPr="00424A4B" w:rsidRDefault="005E6320">
      <w:pPr>
        <w:jc w:val="both"/>
        <w:rPr>
          <w:i/>
          <w:sz w:val="22"/>
          <w:szCs w:val="22"/>
          <w:lang w:val="sr-Latn-ME"/>
        </w:rPr>
      </w:pPr>
    </w:p>
    <w:p w:rsidR="005E6320" w:rsidRPr="00424A4B" w:rsidRDefault="005E6320">
      <w:pPr>
        <w:jc w:val="both"/>
        <w:rPr>
          <w:i/>
          <w:sz w:val="22"/>
          <w:szCs w:val="22"/>
          <w:lang w:val="sr-Latn-ME"/>
        </w:rPr>
      </w:pPr>
      <w:r w:rsidRPr="00424A4B">
        <w:rPr>
          <w:i/>
          <w:sz w:val="22"/>
          <w:szCs w:val="22"/>
          <w:lang w:val="sr-Latn-ME"/>
        </w:rPr>
        <w:t>Neoadjuvantno liječenje</w:t>
      </w:r>
    </w:p>
    <w:p w:rsidR="005E6320" w:rsidRPr="00424A4B" w:rsidRDefault="005E6320">
      <w:pPr>
        <w:jc w:val="both"/>
        <w:rPr>
          <w:sz w:val="22"/>
          <w:szCs w:val="22"/>
          <w:lang w:val="sr-Latn-ME"/>
        </w:rPr>
      </w:pPr>
    </w:p>
    <w:p w:rsidR="005E6320" w:rsidRPr="00424A4B" w:rsidRDefault="005E6320">
      <w:pPr>
        <w:jc w:val="both"/>
        <w:rPr>
          <w:sz w:val="22"/>
          <w:szCs w:val="22"/>
          <w:lang w:val="sr-Latn-ME"/>
        </w:rPr>
      </w:pPr>
      <w:r w:rsidRPr="00424A4B">
        <w:rPr>
          <w:sz w:val="22"/>
          <w:szCs w:val="22"/>
          <w:lang w:val="sr-Latn-ME"/>
        </w:rPr>
        <w:t>U neoadjuvantnim uslovima se lokalno uznapredovali i upalni karcinom dojke smatraju visokorizičnim nezavisno od statusa hormonskih receptora. Pri ocjeni rizika kod karcinoma dojke u ranom stadijumu, u obzir treba uzeti veličinu tumora, stepen tumora, status hormonskih receptora i metastaze u limfnim čvorovima.</w:t>
      </w:r>
    </w:p>
    <w:p w:rsidR="00CD41AC" w:rsidRPr="00424A4B" w:rsidRDefault="00CD41AC">
      <w:pPr>
        <w:jc w:val="both"/>
        <w:rPr>
          <w:sz w:val="22"/>
          <w:szCs w:val="22"/>
          <w:lang w:val="sr-Latn-ME"/>
        </w:rPr>
      </w:pPr>
    </w:p>
    <w:p w:rsidR="008342CF" w:rsidRPr="00424A4B" w:rsidRDefault="005E6320" w:rsidP="0055503A">
      <w:pPr>
        <w:jc w:val="both"/>
        <w:rPr>
          <w:sz w:val="22"/>
          <w:szCs w:val="22"/>
          <w:lang w:val="sr-Latn-ME"/>
        </w:rPr>
      </w:pPr>
      <w:r w:rsidRPr="00424A4B">
        <w:rPr>
          <w:sz w:val="22"/>
          <w:szCs w:val="22"/>
          <w:lang w:val="sr-Latn-ME"/>
        </w:rPr>
        <w:t>Indikacija za primjenu u neoadjuvantnom liječenju karcinoma dojke zasniva se na dokazanom poboljšanju stepena patološkog potpunog odgovora i trendovima prema poboljšanju preživljenja bez simptoma bolesti, koji ipak ne potvrđuju ili ne omogućavaju precizno određivanje koristi s obzirom na dugoročne ishode kao što su ukupno preživljavanje ili preživljavanje bez simptoma bolesti.</w:t>
      </w:r>
    </w:p>
    <w:p w:rsidR="008342CF" w:rsidRPr="00424A4B" w:rsidRDefault="008342CF"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NEOSPHERE (WO20697)</w:t>
      </w:r>
    </w:p>
    <w:p w:rsidR="00CD41AC" w:rsidRPr="00424A4B" w:rsidRDefault="00CD41AC" w:rsidP="0055503A">
      <w:pPr>
        <w:jc w:val="both"/>
        <w:rPr>
          <w:sz w:val="22"/>
          <w:szCs w:val="22"/>
          <w:lang w:val="sr-Latn-ME"/>
        </w:rPr>
      </w:pPr>
    </w:p>
    <w:p w:rsidR="005E6320" w:rsidRPr="00424A4B" w:rsidRDefault="005E6320" w:rsidP="005C33D8">
      <w:pPr>
        <w:tabs>
          <w:tab w:val="left" w:pos="567"/>
        </w:tabs>
        <w:jc w:val="both"/>
        <w:rPr>
          <w:sz w:val="22"/>
          <w:szCs w:val="22"/>
          <w:lang w:val="sr-Latn-ME"/>
        </w:rPr>
      </w:pPr>
      <w:r w:rsidRPr="00424A4B">
        <w:rPr>
          <w:sz w:val="22"/>
          <w:szCs w:val="22"/>
          <w:lang w:val="sr-Latn-ME"/>
        </w:rPr>
        <w:t xml:space="preserve">NEOSPHERE je multicentrično, multinacionalno randomizovano, kontrolisano ispitivanje lijeka </w:t>
      </w:r>
      <w:r w:rsidR="009C77FA" w:rsidRPr="00424A4B">
        <w:rPr>
          <w:sz w:val="22"/>
          <w:szCs w:val="22"/>
          <w:lang w:val="sr-Latn-ME"/>
        </w:rPr>
        <w:t>Perjeta</w:t>
      </w:r>
      <w:r w:rsidRPr="00424A4B">
        <w:rPr>
          <w:sz w:val="22"/>
          <w:szCs w:val="22"/>
          <w:lang w:val="sr-Latn-ME"/>
        </w:rPr>
        <w:t xml:space="preserve"> faze II u kojem je učestvovalo 417 odraslih  pacijentkinja sa novodijagnostikovanim, ranim, upalnim ili </w:t>
      </w:r>
      <w:r w:rsidRPr="00424A4B">
        <w:rPr>
          <w:sz w:val="22"/>
          <w:szCs w:val="22"/>
          <w:lang w:val="sr-Latn-ME"/>
        </w:rPr>
        <w:lastRenderedPageBreak/>
        <w:t>lokalno uznapredovalim HER2 pozitivnim karcinomom dojke (T2-4d: prečnik primarnog tumora &gt; 2 cm) koje prethodno ni</w:t>
      </w:r>
      <w:r w:rsidR="00EC3468" w:rsidRPr="00424A4B">
        <w:rPr>
          <w:sz w:val="22"/>
          <w:szCs w:val="22"/>
          <w:lang w:val="sr-Latn-ME"/>
        </w:rPr>
        <w:t>je</w:t>
      </w:r>
      <w:r w:rsidRPr="00424A4B">
        <w:rPr>
          <w:sz w:val="22"/>
          <w:szCs w:val="22"/>
          <w:lang w:val="sr-Latn-ME"/>
        </w:rPr>
        <w:t>su bile liječene trastuzumabom, hemoterapijom ni radioterapijom. U ispitivanje ni</w:t>
      </w:r>
      <w:r w:rsidR="00EC3468" w:rsidRPr="00424A4B">
        <w:rPr>
          <w:sz w:val="22"/>
          <w:szCs w:val="22"/>
          <w:lang w:val="sr-Latn-ME"/>
        </w:rPr>
        <w:t>je</w:t>
      </w:r>
      <w:r w:rsidRPr="00424A4B">
        <w:rPr>
          <w:sz w:val="22"/>
          <w:szCs w:val="22"/>
          <w:lang w:val="sr-Latn-ME"/>
        </w:rPr>
        <w:t>su bile uključene pacijentkinje sa metastazama, obostranim karcinomom dojke, klinički važnim faktorima rizika za srčane bolesti (vidjeti dio 4.4) ili ejekcionom frakcijom lijeve komore &lt;</w:t>
      </w:r>
      <w:r w:rsidR="00EC3468" w:rsidRPr="00424A4B">
        <w:rPr>
          <w:sz w:val="22"/>
          <w:szCs w:val="22"/>
          <w:lang w:val="sr-Latn-ME"/>
        </w:rPr>
        <w:t xml:space="preserve"> </w:t>
      </w:r>
      <w:r w:rsidRPr="00424A4B">
        <w:rPr>
          <w:sz w:val="22"/>
          <w:szCs w:val="22"/>
          <w:lang w:val="sr-Latn-ME"/>
        </w:rPr>
        <w:t>55%. Većina pacijentkinja bila je mlađa od 65 godina.</w:t>
      </w:r>
    </w:p>
    <w:p w:rsidR="005E6320" w:rsidRPr="00424A4B" w:rsidRDefault="005E6320" w:rsidP="005C33D8">
      <w:pPr>
        <w:tabs>
          <w:tab w:val="left" w:pos="567"/>
        </w:tabs>
        <w:jc w:val="both"/>
        <w:rPr>
          <w:sz w:val="22"/>
          <w:szCs w:val="22"/>
          <w:lang w:val="sr-Latn-ME"/>
        </w:rPr>
      </w:pPr>
    </w:p>
    <w:p w:rsidR="005E6320" w:rsidRPr="00424A4B" w:rsidRDefault="005E6320" w:rsidP="00CD41AC">
      <w:pPr>
        <w:keepNext/>
        <w:keepLines/>
        <w:tabs>
          <w:tab w:val="left" w:pos="567"/>
        </w:tabs>
        <w:jc w:val="both"/>
        <w:rPr>
          <w:sz w:val="22"/>
          <w:szCs w:val="22"/>
          <w:lang w:val="sr-Latn-ME"/>
        </w:rPr>
      </w:pPr>
      <w:r w:rsidRPr="00424A4B">
        <w:rPr>
          <w:sz w:val="22"/>
          <w:szCs w:val="22"/>
          <w:lang w:val="sr-Latn-ME"/>
        </w:rPr>
        <w:t>Pacijentkinje su bile randomizovane za liječenje jednim od sljedećih neoadjuvantnih protokola tokom 4 ciklusa prije hirurškog zahvata:</w:t>
      </w:r>
      <w:r w:rsidRPr="00424A4B" w:rsidDel="00AF0CA2">
        <w:rPr>
          <w:sz w:val="22"/>
          <w:szCs w:val="22"/>
          <w:lang w:val="sr-Latn-ME"/>
        </w:rPr>
        <w:t xml:space="preserve"> </w:t>
      </w:r>
    </w:p>
    <w:p w:rsidR="005E6320" w:rsidRPr="00424A4B" w:rsidRDefault="005E6320">
      <w:pPr>
        <w:keepNext/>
        <w:keepLines/>
        <w:rPr>
          <w:sz w:val="22"/>
          <w:szCs w:val="22"/>
          <w:lang w:val="sr-Latn-ME"/>
        </w:rPr>
      </w:pPr>
    </w:p>
    <w:p w:rsidR="005E6320" w:rsidRPr="00424A4B" w:rsidRDefault="005E6320">
      <w:pPr>
        <w:keepNext/>
        <w:keepLines/>
        <w:ind w:left="360"/>
        <w:rPr>
          <w:sz w:val="22"/>
          <w:szCs w:val="22"/>
          <w:lang w:val="sr-Latn-ME"/>
        </w:rPr>
      </w:pPr>
      <w:r w:rsidRPr="00424A4B">
        <w:rPr>
          <w:sz w:val="22"/>
          <w:szCs w:val="22"/>
          <w:lang w:val="sr-Latn-ME"/>
        </w:rPr>
        <w:sym w:font="Symbol" w:char="F0B7"/>
      </w:r>
      <w:r w:rsidRPr="00424A4B">
        <w:rPr>
          <w:sz w:val="22"/>
          <w:szCs w:val="22"/>
          <w:lang w:val="sr-Latn-ME"/>
        </w:rPr>
        <w:tab/>
        <w:t xml:space="preserve">trastuzumab plus docetaksel </w:t>
      </w:r>
    </w:p>
    <w:p w:rsidR="005E6320" w:rsidRPr="00424A4B" w:rsidRDefault="005E6320">
      <w:pPr>
        <w:keepNext/>
        <w:keepLines/>
        <w:ind w:left="360"/>
        <w:rPr>
          <w:sz w:val="22"/>
          <w:szCs w:val="22"/>
          <w:lang w:val="sr-Latn-ME"/>
        </w:rPr>
      </w:pPr>
      <w:r w:rsidRPr="00424A4B">
        <w:rPr>
          <w:sz w:val="22"/>
          <w:szCs w:val="22"/>
          <w:lang w:val="sr-Latn-ME"/>
        </w:rPr>
        <w:sym w:font="Symbol" w:char="F0B7"/>
      </w:r>
      <w:r w:rsidRPr="00424A4B">
        <w:rPr>
          <w:sz w:val="22"/>
          <w:szCs w:val="22"/>
          <w:lang w:val="sr-Latn-ME"/>
        </w:rPr>
        <w:tab/>
      </w:r>
      <w:r w:rsidR="009C77FA" w:rsidRPr="00424A4B">
        <w:rPr>
          <w:sz w:val="22"/>
          <w:szCs w:val="22"/>
          <w:lang w:val="sr-Latn-ME"/>
        </w:rPr>
        <w:t>Perjeta</w:t>
      </w:r>
      <w:r w:rsidRPr="00424A4B">
        <w:rPr>
          <w:sz w:val="22"/>
          <w:szCs w:val="22"/>
          <w:lang w:val="sr-Latn-ME"/>
        </w:rPr>
        <w:t xml:space="preserve"> plus trastuzumab i docetaksel</w:t>
      </w:r>
    </w:p>
    <w:p w:rsidR="005E6320" w:rsidRPr="00424A4B" w:rsidRDefault="005E6320">
      <w:pPr>
        <w:keepNext/>
        <w:keepLines/>
        <w:ind w:left="360"/>
        <w:rPr>
          <w:sz w:val="22"/>
          <w:szCs w:val="22"/>
          <w:lang w:val="sr-Latn-ME"/>
        </w:rPr>
      </w:pPr>
      <w:r w:rsidRPr="00424A4B">
        <w:rPr>
          <w:sz w:val="22"/>
          <w:szCs w:val="22"/>
          <w:lang w:val="sr-Latn-ME"/>
        </w:rPr>
        <w:sym w:font="Symbol" w:char="F0B7"/>
      </w:r>
      <w:r w:rsidRPr="00424A4B">
        <w:rPr>
          <w:sz w:val="22"/>
          <w:szCs w:val="22"/>
          <w:lang w:val="sr-Latn-ME"/>
        </w:rPr>
        <w:tab/>
      </w:r>
      <w:r w:rsidR="009C77FA" w:rsidRPr="00424A4B">
        <w:rPr>
          <w:sz w:val="22"/>
          <w:szCs w:val="22"/>
          <w:lang w:val="sr-Latn-ME"/>
        </w:rPr>
        <w:t>Perjeta</w:t>
      </w:r>
      <w:r w:rsidRPr="00424A4B">
        <w:rPr>
          <w:sz w:val="22"/>
          <w:szCs w:val="22"/>
          <w:lang w:val="sr-Latn-ME"/>
        </w:rPr>
        <w:t xml:space="preserve"> plus trastuzumab</w:t>
      </w:r>
    </w:p>
    <w:p w:rsidR="005E6320" w:rsidRPr="00424A4B" w:rsidRDefault="005E6320">
      <w:pPr>
        <w:keepNext/>
        <w:keepLines/>
        <w:ind w:left="360"/>
        <w:rPr>
          <w:sz w:val="22"/>
          <w:szCs w:val="22"/>
          <w:lang w:val="sr-Latn-ME"/>
        </w:rPr>
      </w:pPr>
      <w:r w:rsidRPr="00424A4B">
        <w:rPr>
          <w:sz w:val="22"/>
          <w:szCs w:val="22"/>
          <w:lang w:val="sr-Latn-ME"/>
        </w:rPr>
        <w:sym w:font="Symbol" w:char="F0B7"/>
      </w:r>
      <w:r w:rsidRPr="00424A4B">
        <w:rPr>
          <w:sz w:val="22"/>
          <w:szCs w:val="22"/>
          <w:lang w:val="sr-Latn-ME"/>
        </w:rPr>
        <w:tab/>
      </w:r>
      <w:r w:rsidR="009C77FA" w:rsidRPr="00424A4B">
        <w:rPr>
          <w:sz w:val="22"/>
          <w:szCs w:val="22"/>
          <w:lang w:val="sr-Latn-ME"/>
        </w:rPr>
        <w:t>Perjeta</w:t>
      </w:r>
      <w:r w:rsidRPr="00424A4B">
        <w:rPr>
          <w:sz w:val="22"/>
          <w:szCs w:val="22"/>
          <w:lang w:val="sr-Latn-ME"/>
        </w:rPr>
        <w:t xml:space="preserve"> plus docetaksel </w:t>
      </w:r>
    </w:p>
    <w:p w:rsidR="005E6320" w:rsidRPr="00424A4B" w:rsidRDefault="005E6320">
      <w:pPr>
        <w:ind w:left="720"/>
        <w:jc w:val="both"/>
        <w:rPr>
          <w:sz w:val="22"/>
          <w:szCs w:val="22"/>
          <w:lang w:val="sr-Latn-ME"/>
        </w:rPr>
      </w:pPr>
    </w:p>
    <w:p w:rsidR="005E6320" w:rsidRPr="00424A4B" w:rsidRDefault="005E6320">
      <w:pPr>
        <w:jc w:val="both"/>
        <w:rPr>
          <w:sz w:val="22"/>
          <w:szCs w:val="22"/>
          <w:lang w:val="sr-Latn-ME"/>
        </w:rPr>
      </w:pPr>
      <w:r w:rsidRPr="00424A4B">
        <w:rPr>
          <w:sz w:val="22"/>
          <w:szCs w:val="22"/>
          <w:lang w:val="sr-Latn-ME"/>
        </w:rPr>
        <w:t>Randomizacija je bila stratifi</w:t>
      </w:r>
      <w:r w:rsidR="00EC3468" w:rsidRPr="00424A4B">
        <w:rPr>
          <w:sz w:val="22"/>
          <w:szCs w:val="22"/>
          <w:lang w:val="sr-Latn-ME"/>
        </w:rPr>
        <w:t>kovana</w:t>
      </w:r>
      <w:r w:rsidRPr="00424A4B">
        <w:rPr>
          <w:sz w:val="22"/>
          <w:szCs w:val="22"/>
          <w:lang w:val="sr-Latn-ME"/>
        </w:rPr>
        <w:t xml:space="preserve"> prema vrsti karcinoma dojke (operabilan, lokalno uznapredovao ili upalni) te prema tome jesu li pacijentkinje imale pozitivan ER ili PgR status.</w:t>
      </w:r>
    </w:p>
    <w:p w:rsidR="00EC3468" w:rsidRPr="00424A4B" w:rsidRDefault="00EC3468">
      <w:pPr>
        <w:jc w:val="both"/>
        <w:rPr>
          <w:sz w:val="22"/>
          <w:szCs w:val="22"/>
          <w:lang w:val="sr-Latn-ME"/>
        </w:rPr>
      </w:pPr>
    </w:p>
    <w:p w:rsidR="005E6320" w:rsidRPr="00424A4B" w:rsidRDefault="005E6320">
      <w:pPr>
        <w:jc w:val="both"/>
        <w:rPr>
          <w:sz w:val="22"/>
          <w:szCs w:val="22"/>
          <w:lang w:val="sr-Latn-ME"/>
        </w:rPr>
      </w:pPr>
      <w:r w:rsidRPr="00424A4B">
        <w:rPr>
          <w:sz w:val="22"/>
          <w:szCs w:val="22"/>
          <w:lang w:val="sr-Latn-ME"/>
        </w:rPr>
        <w:t>Pertuzumab se primjenjivao intravenski u početnoj dozi od 840 mg, a zatim u dozi od 420 mg svake tri nedjelje. Trastuzumab se primjenjivao intravenski u početnoj dozi od 8 mg/kg, a zatim u dozi od 6 mg/kg svake tri nedjelje. Docetaksel se primjenjivao intravenski u početnoj dozi od 75 mg/m</w:t>
      </w:r>
      <w:r w:rsidRPr="00424A4B">
        <w:rPr>
          <w:sz w:val="22"/>
          <w:szCs w:val="22"/>
          <w:vertAlign w:val="superscript"/>
          <w:lang w:val="sr-Latn-ME"/>
        </w:rPr>
        <w:t>2</w:t>
      </w:r>
      <w:r w:rsidRPr="00424A4B">
        <w:rPr>
          <w:sz w:val="22"/>
          <w:szCs w:val="22"/>
          <w:lang w:val="sr-Latn-ME"/>
        </w:rPr>
        <w:t>, nakon koje se primjenjivala doza od 75 mg/m</w:t>
      </w:r>
      <w:r w:rsidRPr="00424A4B">
        <w:rPr>
          <w:sz w:val="22"/>
          <w:szCs w:val="22"/>
          <w:vertAlign w:val="superscript"/>
          <w:lang w:val="sr-Latn-ME"/>
        </w:rPr>
        <w:t xml:space="preserve">2 </w:t>
      </w:r>
      <w:r w:rsidRPr="00424A4B">
        <w:rPr>
          <w:sz w:val="22"/>
          <w:szCs w:val="22"/>
          <w:lang w:val="sr-Latn-ME"/>
        </w:rPr>
        <w:t>ili 100 mg/m</w:t>
      </w:r>
      <w:r w:rsidRPr="00424A4B">
        <w:rPr>
          <w:sz w:val="22"/>
          <w:szCs w:val="22"/>
          <w:vertAlign w:val="superscript"/>
          <w:lang w:val="sr-Latn-ME"/>
        </w:rPr>
        <w:t>2</w:t>
      </w:r>
      <w:r w:rsidRPr="00424A4B">
        <w:rPr>
          <w:sz w:val="22"/>
          <w:szCs w:val="22"/>
          <w:lang w:val="sr-Latn-ME"/>
        </w:rPr>
        <w:t xml:space="preserve"> (ako su pacijentkinje podnosile tu dozu) svake 3 nedjelje. Nakon hirurškog zahvata, sve su pacijentkinje primile 3 ciklusa 5</w:t>
      </w:r>
      <w:r w:rsidRPr="00424A4B">
        <w:rPr>
          <w:sz w:val="22"/>
          <w:szCs w:val="22"/>
          <w:lang w:val="sr-Latn-ME"/>
        </w:rPr>
        <w:noBreakHyphen/>
        <w:t>fluorouracila (600 mg/m</w:t>
      </w:r>
      <w:r w:rsidRPr="00424A4B">
        <w:rPr>
          <w:sz w:val="22"/>
          <w:szCs w:val="22"/>
          <w:vertAlign w:val="superscript"/>
          <w:lang w:val="sr-Latn-ME"/>
        </w:rPr>
        <w:t>2</w:t>
      </w:r>
      <w:r w:rsidRPr="00424A4B">
        <w:rPr>
          <w:sz w:val="22"/>
          <w:szCs w:val="22"/>
          <w:lang w:val="sr-Latn-ME"/>
        </w:rPr>
        <w:t>), epirubicina (90 mg/m</w:t>
      </w:r>
      <w:r w:rsidRPr="00424A4B">
        <w:rPr>
          <w:sz w:val="22"/>
          <w:szCs w:val="22"/>
          <w:vertAlign w:val="superscript"/>
          <w:lang w:val="sr-Latn-ME"/>
        </w:rPr>
        <w:t>2</w:t>
      </w:r>
      <w:r w:rsidRPr="00424A4B">
        <w:rPr>
          <w:sz w:val="22"/>
          <w:szCs w:val="22"/>
          <w:lang w:val="sr-Latn-ME"/>
        </w:rPr>
        <w:t>) i ciklofosfamida (600 mg/m</w:t>
      </w:r>
      <w:r w:rsidRPr="00424A4B">
        <w:rPr>
          <w:sz w:val="22"/>
          <w:szCs w:val="22"/>
          <w:vertAlign w:val="superscript"/>
          <w:lang w:val="sr-Latn-ME"/>
        </w:rPr>
        <w:t>2</w:t>
      </w:r>
      <w:r w:rsidRPr="00424A4B">
        <w:rPr>
          <w:sz w:val="22"/>
          <w:szCs w:val="22"/>
          <w:lang w:val="sr-Latn-ME"/>
        </w:rPr>
        <w:t>) (FEC), koji su se primjenjivali intravenski svake tri nedjelje, kao i trastuzumab primijenjen intravenski svake tri nedjelje do završetka 1</w:t>
      </w:r>
      <w:r w:rsidRPr="00424A4B">
        <w:rPr>
          <w:sz w:val="22"/>
          <w:szCs w:val="22"/>
          <w:lang w:val="sr-Latn-ME"/>
        </w:rPr>
        <w:noBreakHyphen/>
        <w:t xml:space="preserve">godišnjeg razdoblja liječenja. Pacijentkinje koje su prije hirurškog zahvata primale samo lijek </w:t>
      </w:r>
      <w:r w:rsidR="009C77FA" w:rsidRPr="00424A4B">
        <w:rPr>
          <w:sz w:val="22"/>
          <w:szCs w:val="22"/>
          <w:lang w:val="sr-Latn-ME"/>
        </w:rPr>
        <w:t>Perjeta</w:t>
      </w:r>
      <w:r w:rsidRPr="00424A4B">
        <w:rPr>
          <w:sz w:val="22"/>
          <w:szCs w:val="22"/>
          <w:lang w:val="sr-Latn-ME"/>
        </w:rPr>
        <w:t xml:space="preserve"> plus trastuzumab naknadno su primale i FEC i docetaksel nakon hirurškog zahvata. </w:t>
      </w:r>
    </w:p>
    <w:p w:rsidR="005E6320" w:rsidRPr="00424A4B" w:rsidRDefault="005E6320">
      <w:pPr>
        <w:jc w:val="both"/>
        <w:rPr>
          <w:sz w:val="22"/>
          <w:szCs w:val="22"/>
          <w:lang w:val="sr-Latn-ME"/>
        </w:rPr>
      </w:pPr>
    </w:p>
    <w:p w:rsidR="005E6320" w:rsidRPr="00424A4B" w:rsidRDefault="005E6320">
      <w:pPr>
        <w:jc w:val="both"/>
        <w:rPr>
          <w:sz w:val="22"/>
          <w:szCs w:val="22"/>
          <w:lang w:val="sr-Latn-ME"/>
        </w:rPr>
      </w:pPr>
      <w:r w:rsidRPr="00424A4B">
        <w:rPr>
          <w:sz w:val="22"/>
          <w:szCs w:val="22"/>
          <w:lang w:val="sr-Latn-ME"/>
        </w:rPr>
        <w:t>Primarn</w:t>
      </w:r>
      <w:r w:rsidR="00EC3468" w:rsidRPr="00424A4B">
        <w:rPr>
          <w:sz w:val="22"/>
          <w:szCs w:val="22"/>
          <w:lang w:val="sr-Latn-ME"/>
        </w:rPr>
        <w:t xml:space="preserve">i parametar praćenja </w:t>
      </w:r>
      <w:r w:rsidRPr="00424A4B">
        <w:rPr>
          <w:sz w:val="22"/>
          <w:szCs w:val="22"/>
          <w:lang w:val="sr-Latn-ME"/>
        </w:rPr>
        <w:t>ispitivanja bi</w:t>
      </w:r>
      <w:r w:rsidR="00EC3468" w:rsidRPr="00424A4B">
        <w:rPr>
          <w:sz w:val="22"/>
          <w:szCs w:val="22"/>
          <w:lang w:val="sr-Latn-ME"/>
        </w:rPr>
        <w:t>o</w:t>
      </w:r>
      <w:r w:rsidRPr="00424A4B">
        <w:rPr>
          <w:sz w:val="22"/>
          <w:szCs w:val="22"/>
          <w:lang w:val="sr-Latn-ME"/>
        </w:rPr>
        <w:t xml:space="preserve"> je stopa patološkog potpunog odgovora (pCR)  u dojci (yp TO/is). Sekundarn</w:t>
      </w:r>
      <w:r w:rsidR="00EC3468" w:rsidRPr="00424A4B">
        <w:rPr>
          <w:sz w:val="22"/>
          <w:szCs w:val="22"/>
          <w:lang w:val="sr-Latn-ME"/>
        </w:rPr>
        <w:t>i parametri praćenja</w:t>
      </w:r>
      <w:r w:rsidRPr="00424A4B">
        <w:rPr>
          <w:sz w:val="22"/>
          <w:szCs w:val="22"/>
          <w:lang w:val="sr-Latn-ME"/>
        </w:rPr>
        <w:t xml:space="preserve"> za efikanost bil</w:t>
      </w:r>
      <w:r w:rsidR="00EC3468" w:rsidRPr="00424A4B">
        <w:rPr>
          <w:sz w:val="22"/>
          <w:szCs w:val="22"/>
          <w:lang w:val="sr-Latn-ME"/>
        </w:rPr>
        <w:t>i</w:t>
      </w:r>
      <w:r w:rsidRPr="00424A4B">
        <w:rPr>
          <w:sz w:val="22"/>
          <w:szCs w:val="22"/>
          <w:lang w:val="sr-Latn-ME"/>
        </w:rPr>
        <w:t xml:space="preserve"> su stepen kliničkog odgovora, stepen poštednog hirurškog zahvata na dojci (samo za tumore veličine T2</w:t>
      </w:r>
      <w:r w:rsidRPr="00424A4B">
        <w:rPr>
          <w:sz w:val="22"/>
          <w:szCs w:val="22"/>
          <w:lang w:val="sr-Latn-ME"/>
        </w:rPr>
        <w:noBreakHyphen/>
        <w:t>3), preživljavanje bez simptoma bolesti i preživljavanje bez progresije bolesti. Dodatne eksplora</w:t>
      </w:r>
      <w:r w:rsidR="00EC3468" w:rsidRPr="00424A4B">
        <w:rPr>
          <w:sz w:val="22"/>
          <w:szCs w:val="22"/>
          <w:lang w:val="sr-Latn-ME"/>
        </w:rPr>
        <w:t>tivne</w:t>
      </w:r>
      <w:r w:rsidRPr="00424A4B">
        <w:rPr>
          <w:sz w:val="22"/>
          <w:szCs w:val="22"/>
          <w:lang w:val="sr-Latn-ME"/>
        </w:rPr>
        <w:t xml:space="preserve"> stope pCR-a uključivale su status zahvaćenosti limfnih čvorova (ypT0/isN0 i ypT0N0).</w:t>
      </w:r>
    </w:p>
    <w:p w:rsidR="005E6320" w:rsidRPr="00424A4B" w:rsidRDefault="005E6320">
      <w:pPr>
        <w:jc w:val="both"/>
        <w:rPr>
          <w:sz w:val="22"/>
          <w:szCs w:val="22"/>
          <w:lang w:val="sr-Latn-ME"/>
        </w:rPr>
      </w:pPr>
    </w:p>
    <w:p w:rsidR="005E6320" w:rsidRPr="00424A4B" w:rsidRDefault="005E6320">
      <w:pPr>
        <w:tabs>
          <w:tab w:val="left" w:pos="567"/>
        </w:tabs>
        <w:jc w:val="both"/>
        <w:rPr>
          <w:sz w:val="22"/>
          <w:szCs w:val="22"/>
          <w:lang w:val="sr-Latn-ME"/>
        </w:rPr>
      </w:pPr>
      <w:r w:rsidRPr="00424A4B">
        <w:rPr>
          <w:sz w:val="22"/>
          <w:szCs w:val="22"/>
          <w:lang w:val="sr-Latn-ME"/>
        </w:rPr>
        <w:t>Demografske karakteristike su bile ujednačene (medijana starosti iznosila je 49</w:t>
      </w:r>
      <w:r w:rsidRPr="00424A4B">
        <w:rPr>
          <w:sz w:val="22"/>
          <w:szCs w:val="22"/>
          <w:lang w:val="sr-Latn-ME"/>
        </w:rPr>
        <w:noBreakHyphen/>
        <w:t>50 godina, a većina ispitanica bile su bjelkinje [71%]) i sve pacijentkinje su bile ženskog pola. Ukupno 7% pacijentkinja je  imalo upalni karcinom dojke, 32% imalo je lokalno uznapredovali karcinom dojke, a njih 61% imalo je operabilni karcinom dojke. Približno polovina pacijentkinja u svakoj liječenoj grupi  imala je bolest pozitivnu na hormonske receptore (koja se definisala kao ER</w:t>
      </w:r>
      <w:r w:rsidRPr="00424A4B">
        <w:rPr>
          <w:sz w:val="22"/>
          <w:szCs w:val="22"/>
          <w:lang w:val="sr-Latn-ME"/>
        </w:rPr>
        <w:noBreakHyphen/>
        <w:t>pozitivna i/ili PgR</w:t>
      </w:r>
      <w:r w:rsidRPr="00424A4B">
        <w:rPr>
          <w:sz w:val="22"/>
          <w:szCs w:val="22"/>
          <w:lang w:val="sr-Latn-ME"/>
        </w:rPr>
        <w:noBreakHyphen/>
        <w:t>pozitivna).</w:t>
      </w:r>
    </w:p>
    <w:p w:rsidR="005E6320" w:rsidRPr="00424A4B" w:rsidRDefault="005E6320">
      <w:pPr>
        <w:jc w:val="both"/>
        <w:rPr>
          <w:color w:val="000000"/>
          <w:sz w:val="22"/>
          <w:szCs w:val="22"/>
          <w:lang w:val="sr-Latn-ME" w:eastAsia="hr-HR"/>
        </w:rPr>
      </w:pPr>
    </w:p>
    <w:p w:rsidR="005E6320" w:rsidRPr="00424A4B" w:rsidRDefault="005E6320">
      <w:pPr>
        <w:tabs>
          <w:tab w:val="left" w:pos="567"/>
        </w:tabs>
        <w:jc w:val="both"/>
        <w:rPr>
          <w:sz w:val="22"/>
          <w:szCs w:val="22"/>
          <w:lang w:val="sr-Latn-ME"/>
        </w:rPr>
      </w:pPr>
      <w:r w:rsidRPr="00424A4B">
        <w:rPr>
          <w:sz w:val="22"/>
          <w:szCs w:val="22"/>
          <w:lang w:val="sr-Latn-ME"/>
        </w:rPr>
        <w:t>Rezultati efikasnosti prikazani su u Tabeli </w:t>
      </w:r>
      <w:r w:rsidR="00EC3468" w:rsidRPr="00424A4B">
        <w:rPr>
          <w:sz w:val="22"/>
          <w:szCs w:val="22"/>
          <w:lang w:val="sr-Latn-ME"/>
        </w:rPr>
        <w:t>4</w:t>
      </w:r>
      <w:r w:rsidRPr="00424A4B">
        <w:rPr>
          <w:sz w:val="22"/>
          <w:szCs w:val="22"/>
          <w:lang w:val="sr-Latn-ME"/>
        </w:rPr>
        <w:t>. Primijećeno je statistički značajno poboljšanje stope pCR</w:t>
      </w:r>
      <w:r w:rsidRPr="00424A4B">
        <w:rPr>
          <w:sz w:val="22"/>
          <w:szCs w:val="22"/>
          <w:lang w:val="sr-Latn-ME"/>
        </w:rPr>
        <w:noBreakHyphen/>
        <w:t xml:space="preserve">a (ypT0/is) </w:t>
      </w:r>
      <w:r w:rsidR="00EC3468" w:rsidRPr="00424A4B">
        <w:rPr>
          <w:sz w:val="22"/>
          <w:szCs w:val="22"/>
          <w:lang w:val="sr-Latn-ME"/>
        </w:rPr>
        <w:t>kod</w:t>
      </w:r>
      <w:r w:rsidRPr="00424A4B">
        <w:rPr>
          <w:sz w:val="22"/>
          <w:szCs w:val="22"/>
          <w:lang w:val="sr-Latn-ME"/>
        </w:rPr>
        <w:t xml:space="preserve"> pacijentkinja liječenih lijekom </w:t>
      </w:r>
      <w:r w:rsidR="009C77FA" w:rsidRPr="00424A4B">
        <w:rPr>
          <w:sz w:val="22"/>
          <w:szCs w:val="22"/>
          <w:lang w:val="sr-Latn-ME"/>
        </w:rPr>
        <w:t>Perjeta</w:t>
      </w:r>
      <w:r w:rsidRPr="00424A4B">
        <w:rPr>
          <w:sz w:val="22"/>
          <w:szCs w:val="22"/>
          <w:lang w:val="sr-Latn-ME"/>
        </w:rPr>
        <w:t xml:space="preserve"> plus trastuzumabom i docetakselom u odnosu na one koje su primale trastuzumab i docetaksel (45,8% naspram 29,0%, p</w:t>
      </w:r>
      <w:r w:rsidRPr="00424A4B">
        <w:rPr>
          <w:sz w:val="22"/>
          <w:szCs w:val="22"/>
          <w:lang w:val="sr-Latn-ME"/>
        </w:rPr>
        <w:noBreakHyphen/>
        <w:t>vrijednost = 0,0141). Primijećen je dosljedan obrazac rezultata, nezavisno o</w:t>
      </w:r>
      <w:r w:rsidR="00EC3468" w:rsidRPr="00424A4B">
        <w:rPr>
          <w:sz w:val="22"/>
          <w:szCs w:val="22"/>
          <w:lang w:val="sr-Latn-ME"/>
        </w:rPr>
        <w:t>d</w:t>
      </w:r>
      <w:r w:rsidRPr="00424A4B">
        <w:rPr>
          <w:sz w:val="22"/>
          <w:szCs w:val="22"/>
          <w:lang w:val="sr-Latn-ME"/>
        </w:rPr>
        <w:t xml:space="preserve"> definicij</w:t>
      </w:r>
      <w:r w:rsidR="00EC3468" w:rsidRPr="00424A4B">
        <w:rPr>
          <w:sz w:val="22"/>
          <w:szCs w:val="22"/>
          <w:lang w:val="sr-Latn-ME"/>
        </w:rPr>
        <w:t>e</w:t>
      </w:r>
      <w:r w:rsidRPr="00424A4B">
        <w:rPr>
          <w:sz w:val="22"/>
          <w:szCs w:val="22"/>
          <w:lang w:val="sr-Latn-ME"/>
        </w:rPr>
        <w:t xml:space="preserve"> pCR</w:t>
      </w:r>
      <w:r w:rsidRPr="00424A4B">
        <w:rPr>
          <w:sz w:val="22"/>
          <w:szCs w:val="22"/>
          <w:lang w:val="sr-Latn-ME"/>
        </w:rPr>
        <w:noBreakHyphen/>
        <w:t>a. Smatra se da će se razlika u stopi pCR</w:t>
      </w:r>
      <w:r w:rsidRPr="00424A4B">
        <w:rPr>
          <w:sz w:val="22"/>
          <w:szCs w:val="22"/>
          <w:lang w:val="sr-Latn-ME"/>
        </w:rPr>
        <w:noBreakHyphen/>
        <w:t>a vjero</w:t>
      </w:r>
      <w:r w:rsidR="00911283" w:rsidRPr="00424A4B">
        <w:rPr>
          <w:sz w:val="22"/>
          <w:szCs w:val="22"/>
          <w:lang w:val="sr-Latn-ME"/>
        </w:rPr>
        <w:t>v</w:t>
      </w:r>
      <w:r w:rsidRPr="00424A4B">
        <w:rPr>
          <w:sz w:val="22"/>
          <w:szCs w:val="22"/>
          <w:lang w:val="sr-Latn-ME"/>
        </w:rPr>
        <w:t>atno preslikati u klinički značajnu razliku kod dugoročnih ishoda, a tu pretpostavku pod</w:t>
      </w:r>
      <w:r w:rsidR="00911283" w:rsidRPr="00424A4B">
        <w:rPr>
          <w:sz w:val="22"/>
          <w:szCs w:val="22"/>
          <w:lang w:val="sr-Latn-ME"/>
        </w:rPr>
        <w:t>ržavaju</w:t>
      </w:r>
      <w:r w:rsidRPr="00424A4B">
        <w:rPr>
          <w:sz w:val="22"/>
          <w:szCs w:val="22"/>
          <w:lang w:val="sr-Latn-ME"/>
        </w:rPr>
        <w:t xml:space="preserve"> pozitivni trendovi preživljavanja bez progresije bolesti (HR: 0,69; 95% CI: 0,34; 1,40) i preživljavanja bez znakova bolesti (HR: 0,60; 95% CI: 0,28; 1,27).</w:t>
      </w:r>
    </w:p>
    <w:p w:rsidR="005E6320" w:rsidRPr="00424A4B" w:rsidRDefault="005E6320">
      <w:pPr>
        <w:tabs>
          <w:tab w:val="left" w:pos="567"/>
        </w:tabs>
        <w:jc w:val="both"/>
        <w:rPr>
          <w:sz w:val="22"/>
          <w:szCs w:val="22"/>
          <w:lang w:val="sr-Latn-ME"/>
        </w:rPr>
      </w:pPr>
    </w:p>
    <w:p w:rsidR="00911283" w:rsidRPr="00424A4B" w:rsidRDefault="005E6320">
      <w:pPr>
        <w:jc w:val="both"/>
        <w:rPr>
          <w:sz w:val="22"/>
          <w:szCs w:val="22"/>
          <w:lang w:val="sr-Latn-ME"/>
        </w:rPr>
      </w:pPr>
      <w:r w:rsidRPr="00424A4B">
        <w:rPr>
          <w:sz w:val="22"/>
          <w:szCs w:val="22"/>
          <w:lang w:val="sr-Latn-ME"/>
        </w:rPr>
        <w:t>Stope pCR</w:t>
      </w:r>
      <w:r w:rsidRPr="00424A4B">
        <w:rPr>
          <w:sz w:val="22"/>
          <w:szCs w:val="22"/>
          <w:lang w:val="sr-Latn-ME"/>
        </w:rPr>
        <w:noBreakHyphen/>
        <w:t xml:space="preserve">a i opseg korisnih efekata ostvarenih primjenom lijeka </w:t>
      </w:r>
      <w:r w:rsidR="009C77FA" w:rsidRPr="00424A4B">
        <w:rPr>
          <w:sz w:val="22"/>
          <w:szCs w:val="22"/>
          <w:lang w:val="sr-Latn-ME"/>
        </w:rPr>
        <w:t>Perjeta</w:t>
      </w:r>
      <w:r w:rsidRPr="00424A4B">
        <w:rPr>
          <w:sz w:val="22"/>
          <w:szCs w:val="22"/>
          <w:lang w:val="sr-Latn-ME"/>
        </w:rPr>
        <w:t xml:space="preserve"> (</w:t>
      </w:r>
      <w:r w:rsidR="009C77FA" w:rsidRPr="00424A4B">
        <w:rPr>
          <w:sz w:val="22"/>
          <w:szCs w:val="22"/>
          <w:lang w:val="sr-Latn-ME"/>
        </w:rPr>
        <w:t>Perjeta</w:t>
      </w:r>
      <w:r w:rsidRPr="00424A4B">
        <w:rPr>
          <w:sz w:val="22"/>
          <w:szCs w:val="22"/>
          <w:lang w:val="sr-Latn-ME"/>
        </w:rPr>
        <w:t xml:space="preserve"> plus trastuzumab i docetaksel u poređenju sa pacijentkinjama koje su primale trastuzumab i docetaksel) bili su manji u podgrupi pacijentkinja sa tumorima pozitivnim na hormonske receptore (razlika pCR-a u dojci od 6%) nego </w:t>
      </w:r>
      <w:r w:rsidR="00911283" w:rsidRPr="00424A4B">
        <w:rPr>
          <w:sz w:val="22"/>
          <w:szCs w:val="22"/>
          <w:lang w:val="sr-Latn-ME"/>
        </w:rPr>
        <w:t>kod</w:t>
      </w:r>
      <w:r w:rsidRPr="00424A4B">
        <w:rPr>
          <w:sz w:val="22"/>
          <w:szCs w:val="22"/>
          <w:lang w:val="sr-Latn-ME"/>
        </w:rPr>
        <w:t xml:space="preserve"> pacijentkinja sa tumorima negativnim na hormonske receptore (razlika pCR-a u dojci od 26,4%). </w:t>
      </w:r>
    </w:p>
    <w:p w:rsidR="00CD41AC" w:rsidRPr="00424A4B" w:rsidRDefault="00CD41AC">
      <w:pPr>
        <w:jc w:val="both"/>
        <w:rPr>
          <w:sz w:val="22"/>
          <w:szCs w:val="22"/>
          <w:lang w:val="sr-Latn-ME"/>
        </w:rPr>
      </w:pPr>
    </w:p>
    <w:p w:rsidR="00911283" w:rsidRPr="00424A4B" w:rsidRDefault="005E6320">
      <w:pPr>
        <w:jc w:val="both"/>
        <w:rPr>
          <w:sz w:val="22"/>
          <w:szCs w:val="22"/>
          <w:lang w:val="sr-Latn-ME"/>
        </w:rPr>
      </w:pPr>
      <w:r w:rsidRPr="00424A4B">
        <w:rPr>
          <w:sz w:val="22"/>
          <w:szCs w:val="22"/>
          <w:lang w:val="sr-Latn-ME"/>
        </w:rPr>
        <w:t>Stope pCR</w:t>
      </w:r>
      <w:r w:rsidRPr="00424A4B">
        <w:rPr>
          <w:sz w:val="22"/>
          <w:szCs w:val="22"/>
          <w:lang w:val="sr-Latn-ME"/>
        </w:rPr>
        <w:noBreakHyphen/>
        <w:t xml:space="preserve">a bile su slične </w:t>
      </w:r>
      <w:r w:rsidR="00911283" w:rsidRPr="00424A4B">
        <w:rPr>
          <w:sz w:val="22"/>
          <w:szCs w:val="22"/>
          <w:lang w:val="sr-Latn-ME"/>
        </w:rPr>
        <w:t>kod</w:t>
      </w:r>
      <w:r w:rsidRPr="00424A4B">
        <w:rPr>
          <w:sz w:val="22"/>
          <w:szCs w:val="22"/>
          <w:lang w:val="sr-Latn-ME"/>
        </w:rPr>
        <w:t xml:space="preserve"> pacijent</w:t>
      </w:r>
      <w:r w:rsidR="00911283" w:rsidRPr="00424A4B">
        <w:rPr>
          <w:sz w:val="22"/>
          <w:szCs w:val="22"/>
          <w:lang w:val="sr-Latn-ME"/>
        </w:rPr>
        <w:t>kinja</w:t>
      </w:r>
      <w:r w:rsidRPr="00424A4B">
        <w:rPr>
          <w:sz w:val="22"/>
          <w:szCs w:val="22"/>
          <w:lang w:val="sr-Latn-ME"/>
        </w:rPr>
        <w:t xml:space="preserve"> sa operabilnom i onih sa lokalno uznapredovalom bolešću. Bilo je premalo pacijentkinja sa upalnim karcinomom dojke da bi se mogli donijeti bilo kakvi</w:t>
      </w:r>
      <w:r w:rsidR="00EC3468" w:rsidRPr="00424A4B">
        <w:rPr>
          <w:sz w:val="22"/>
          <w:szCs w:val="22"/>
          <w:lang w:val="sr-Latn-ME"/>
        </w:rPr>
        <w:t xml:space="preserve"> </w:t>
      </w:r>
      <w:r w:rsidRPr="00424A4B">
        <w:rPr>
          <w:sz w:val="22"/>
          <w:szCs w:val="22"/>
          <w:lang w:val="sr-Latn-ME"/>
        </w:rPr>
        <w:t>čvrsti zaključci, ali je stopa pCR</w:t>
      </w:r>
      <w:r w:rsidRPr="00424A4B">
        <w:rPr>
          <w:sz w:val="22"/>
          <w:szCs w:val="22"/>
          <w:lang w:val="sr-Latn-ME"/>
        </w:rPr>
        <w:noBreakHyphen/>
        <w:t xml:space="preserve">a bila viša </w:t>
      </w:r>
      <w:r w:rsidR="00911283" w:rsidRPr="00424A4B">
        <w:rPr>
          <w:sz w:val="22"/>
          <w:szCs w:val="22"/>
          <w:lang w:val="sr-Latn-ME"/>
        </w:rPr>
        <w:t>kod</w:t>
      </w:r>
      <w:r w:rsidRPr="00424A4B">
        <w:rPr>
          <w:sz w:val="22"/>
          <w:szCs w:val="22"/>
          <w:lang w:val="sr-Latn-ME"/>
        </w:rPr>
        <w:t xml:space="preserve"> pacijentkinja koje su primale lijek </w:t>
      </w:r>
      <w:r w:rsidR="009C77FA" w:rsidRPr="00424A4B">
        <w:rPr>
          <w:sz w:val="22"/>
          <w:szCs w:val="22"/>
          <w:lang w:val="sr-Latn-ME"/>
        </w:rPr>
        <w:t>Perjeta</w:t>
      </w:r>
      <w:r w:rsidRPr="00424A4B">
        <w:rPr>
          <w:sz w:val="22"/>
          <w:szCs w:val="22"/>
          <w:lang w:val="sr-Latn-ME"/>
        </w:rPr>
        <w:t xml:space="preserve"> plus trastuzumab i docetaksel.</w:t>
      </w:r>
    </w:p>
    <w:p w:rsidR="005E6320" w:rsidRPr="00424A4B" w:rsidRDefault="005E6320">
      <w:pPr>
        <w:keepNext/>
        <w:keepLines/>
        <w:rPr>
          <w:b/>
          <w:sz w:val="22"/>
          <w:szCs w:val="22"/>
          <w:lang w:val="sr-Latn-ME"/>
        </w:rPr>
      </w:pPr>
      <w:r w:rsidRPr="00424A4B">
        <w:rPr>
          <w:b/>
          <w:sz w:val="22"/>
          <w:szCs w:val="22"/>
          <w:lang w:val="sr-Latn-ME"/>
        </w:rPr>
        <w:lastRenderedPageBreak/>
        <w:t>TRYPHAENA (BO22280)</w:t>
      </w:r>
    </w:p>
    <w:p w:rsidR="005E6320" w:rsidRPr="00424A4B" w:rsidRDefault="005E6320">
      <w:pPr>
        <w:keepNext/>
        <w:keepLines/>
        <w:rPr>
          <w:b/>
          <w:sz w:val="22"/>
          <w:szCs w:val="22"/>
          <w:lang w:val="sr-Latn-ME"/>
        </w:rPr>
      </w:pPr>
    </w:p>
    <w:p w:rsidR="005E6320" w:rsidRPr="00424A4B" w:rsidRDefault="005E6320">
      <w:pPr>
        <w:keepNext/>
        <w:keepLines/>
        <w:jc w:val="both"/>
        <w:rPr>
          <w:sz w:val="22"/>
          <w:szCs w:val="22"/>
          <w:lang w:val="sr-Latn-ME"/>
        </w:rPr>
      </w:pPr>
      <w:r w:rsidRPr="00424A4B">
        <w:rPr>
          <w:sz w:val="22"/>
          <w:szCs w:val="22"/>
          <w:lang w:val="sr-Latn-ME"/>
        </w:rPr>
        <w:t xml:space="preserve">TRYPHAENA je multicentrična randomizovana klinička Studija faze II sprovedena </w:t>
      </w:r>
      <w:r w:rsidR="00911283" w:rsidRPr="00424A4B">
        <w:rPr>
          <w:sz w:val="22"/>
          <w:szCs w:val="22"/>
          <w:lang w:val="sr-Latn-ME"/>
        </w:rPr>
        <w:t>kod</w:t>
      </w:r>
      <w:r w:rsidRPr="00424A4B">
        <w:rPr>
          <w:sz w:val="22"/>
          <w:szCs w:val="22"/>
          <w:lang w:val="sr-Latn-ME"/>
        </w:rPr>
        <w:t xml:space="preserve"> 225 odraslih pacijentkinja sa HER2 pozitivnim lokalno uznapredovalim, operabilnim ili upalnim karcinomom dojke (T2</w:t>
      </w:r>
      <w:r w:rsidRPr="00424A4B">
        <w:rPr>
          <w:sz w:val="22"/>
          <w:szCs w:val="22"/>
          <w:lang w:val="sr-Latn-ME"/>
        </w:rPr>
        <w:noBreakHyphen/>
        <w:t xml:space="preserve">4d; primarni tumor </w:t>
      </w:r>
      <w:r w:rsidR="00911283" w:rsidRPr="00424A4B">
        <w:rPr>
          <w:sz w:val="22"/>
          <w:szCs w:val="22"/>
          <w:lang w:val="sr-Latn-ME"/>
        </w:rPr>
        <w:t>prečnika</w:t>
      </w:r>
      <w:r w:rsidRPr="00424A4B">
        <w:rPr>
          <w:sz w:val="22"/>
          <w:szCs w:val="22"/>
          <w:lang w:val="sr-Latn-ME"/>
        </w:rPr>
        <w:t> &gt;2 cm) koje prethodno ni</w:t>
      </w:r>
      <w:r w:rsidR="00911283" w:rsidRPr="00424A4B">
        <w:rPr>
          <w:sz w:val="22"/>
          <w:szCs w:val="22"/>
          <w:lang w:val="sr-Latn-ME"/>
        </w:rPr>
        <w:t>je</w:t>
      </w:r>
      <w:r w:rsidRPr="00424A4B">
        <w:rPr>
          <w:sz w:val="22"/>
          <w:szCs w:val="22"/>
          <w:lang w:val="sr-Latn-ME"/>
        </w:rPr>
        <w:t>su primale trastuzumab, hemoterapiju ni radioterapiju. U Studiji ni</w:t>
      </w:r>
      <w:r w:rsidR="00911283" w:rsidRPr="00424A4B">
        <w:rPr>
          <w:sz w:val="22"/>
          <w:szCs w:val="22"/>
          <w:lang w:val="sr-Latn-ME"/>
        </w:rPr>
        <w:t>je</w:t>
      </w:r>
      <w:r w:rsidRPr="00424A4B">
        <w:rPr>
          <w:sz w:val="22"/>
          <w:szCs w:val="22"/>
          <w:lang w:val="sr-Latn-ME"/>
        </w:rPr>
        <w:t>su bile uključene pacijentkinje s</w:t>
      </w:r>
      <w:r w:rsidR="00911283" w:rsidRPr="00424A4B">
        <w:rPr>
          <w:sz w:val="22"/>
          <w:szCs w:val="22"/>
          <w:lang w:val="sr-Latn-ME"/>
        </w:rPr>
        <w:t>a</w:t>
      </w:r>
      <w:r w:rsidRPr="00424A4B">
        <w:rPr>
          <w:sz w:val="22"/>
          <w:szCs w:val="22"/>
          <w:lang w:val="sr-Latn-ME"/>
        </w:rPr>
        <w:t xml:space="preserve"> metastazama, obostranim karcinomom dojke, klinički važnim faktorima rizika za srčane bolesti (vidjeti dio 4.4) ili ejekci</w:t>
      </w:r>
      <w:r w:rsidR="00911283" w:rsidRPr="00424A4B">
        <w:rPr>
          <w:sz w:val="22"/>
          <w:szCs w:val="22"/>
          <w:lang w:val="sr-Latn-ME"/>
        </w:rPr>
        <w:t>onom</w:t>
      </w:r>
      <w:r w:rsidRPr="00424A4B">
        <w:rPr>
          <w:sz w:val="22"/>
          <w:szCs w:val="22"/>
          <w:lang w:val="sr-Latn-ME"/>
        </w:rPr>
        <w:t xml:space="preserve"> frakcijom lijeve komore od &lt;55%. Većina pacijentkinja bila je mlađa od 65 godina.</w:t>
      </w:r>
      <w:r w:rsidRPr="00424A4B">
        <w:rPr>
          <w:color w:val="000000"/>
          <w:sz w:val="22"/>
          <w:szCs w:val="22"/>
          <w:lang w:val="sr-Latn-ME"/>
        </w:rPr>
        <w:t xml:space="preserve"> </w:t>
      </w:r>
      <w:r w:rsidRPr="00424A4B">
        <w:rPr>
          <w:sz w:val="22"/>
          <w:szCs w:val="22"/>
          <w:lang w:val="sr-Latn-ME"/>
        </w:rPr>
        <w:t>Pacijentkinje su bile randomizovane za liječenje jednim od sljedeća tri neoadjuvantna protokola prije hirurškog zahvata:</w:t>
      </w:r>
      <w:r w:rsidRPr="00424A4B" w:rsidDel="00AF0CA2">
        <w:rPr>
          <w:sz w:val="22"/>
          <w:szCs w:val="22"/>
          <w:lang w:val="sr-Latn-ME"/>
        </w:rPr>
        <w:t xml:space="preserve"> </w:t>
      </w:r>
    </w:p>
    <w:p w:rsidR="00911283" w:rsidRPr="00424A4B" w:rsidRDefault="00911283">
      <w:pPr>
        <w:keepNext/>
        <w:keepLines/>
        <w:jc w:val="both"/>
        <w:rPr>
          <w:sz w:val="22"/>
          <w:szCs w:val="22"/>
          <w:lang w:val="sr-Latn-ME"/>
        </w:rPr>
      </w:pPr>
    </w:p>
    <w:p w:rsidR="005E6320" w:rsidRPr="00424A4B" w:rsidRDefault="005E6320">
      <w:pPr>
        <w:keepNext/>
        <w:keepLines/>
        <w:ind w:left="1260" w:hanging="705"/>
        <w:jc w:val="both"/>
        <w:rPr>
          <w:sz w:val="22"/>
          <w:szCs w:val="22"/>
          <w:lang w:val="sr-Latn-ME"/>
        </w:rPr>
      </w:pPr>
      <w:r w:rsidRPr="00424A4B">
        <w:rPr>
          <w:sz w:val="22"/>
          <w:szCs w:val="22"/>
          <w:lang w:val="sr-Latn-ME"/>
        </w:rPr>
        <w:sym w:font="Symbol" w:char="F0B7"/>
      </w:r>
      <w:r w:rsidRPr="00424A4B">
        <w:rPr>
          <w:sz w:val="22"/>
          <w:szCs w:val="22"/>
          <w:lang w:val="sr-Latn-ME"/>
        </w:rPr>
        <w:tab/>
        <w:t>3 ciklusa FEC</w:t>
      </w:r>
      <w:r w:rsidRPr="00424A4B">
        <w:rPr>
          <w:sz w:val="22"/>
          <w:szCs w:val="22"/>
          <w:lang w:val="sr-Latn-ME"/>
        </w:rPr>
        <w:noBreakHyphen/>
        <w:t xml:space="preserve">a, nakon kojih su primjenjena 3 ciklusa docetaksela, svi istovremeno sa lijekom </w:t>
      </w:r>
      <w:r w:rsidR="009C77FA" w:rsidRPr="00424A4B">
        <w:rPr>
          <w:sz w:val="22"/>
          <w:szCs w:val="22"/>
          <w:lang w:val="sr-Latn-ME"/>
        </w:rPr>
        <w:t>Perjeta</w:t>
      </w:r>
      <w:r w:rsidRPr="00424A4B">
        <w:rPr>
          <w:sz w:val="22"/>
          <w:szCs w:val="22"/>
          <w:lang w:val="sr-Latn-ME"/>
        </w:rPr>
        <w:t xml:space="preserve"> i trastuzumabom </w:t>
      </w:r>
    </w:p>
    <w:p w:rsidR="005E6320" w:rsidRPr="00424A4B" w:rsidRDefault="005E6320">
      <w:pPr>
        <w:keepNext/>
        <w:keepLines/>
        <w:ind w:left="1260" w:hanging="705"/>
        <w:jc w:val="both"/>
        <w:rPr>
          <w:sz w:val="22"/>
          <w:szCs w:val="22"/>
          <w:lang w:val="sr-Latn-ME"/>
        </w:rPr>
      </w:pPr>
      <w:r w:rsidRPr="00424A4B">
        <w:rPr>
          <w:sz w:val="22"/>
          <w:szCs w:val="22"/>
          <w:lang w:val="sr-Latn-ME"/>
        </w:rPr>
        <w:sym w:font="Symbol" w:char="F0B7"/>
      </w:r>
      <w:r w:rsidRPr="00424A4B">
        <w:rPr>
          <w:sz w:val="22"/>
          <w:szCs w:val="22"/>
          <w:lang w:val="sr-Latn-ME"/>
        </w:rPr>
        <w:tab/>
        <w:t>3 ciklusa samo FEC</w:t>
      </w:r>
      <w:r w:rsidRPr="00424A4B">
        <w:rPr>
          <w:sz w:val="22"/>
          <w:szCs w:val="22"/>
          <w:lang w:val="sr-Latn-ME"/>
        </w:rPr>
        <w:noBreakHyphen/>
        <w:t xml:space="preserve">a, nakon kojih su primjenjena 3 ciklusa docetaksela istovremeno sa trastuzumabom i lijekom </w:t>
      </w:r>
      <w:r w:rsidR="009C77FA" w:rsidRPr="00424A4B">
        <w:rPr>
          <w:sz w:val="22"/>
          <w:szCs w:val="22"/>
          <w:lang w:val="sr-Latn-ME"/>
        </w:rPr>
        <w:t>Perjeta</w:t>
      </w:r>
    </w:p>
    <w:p w:rsidR="005E6320" w:rsidRPr="00424A4B" w:rsidRDefault="005E6320">
      <w:pPr>
        <w:keepNext/>
        <w:keepLines/>
        <w:ind w:left="450" w:firstLine="90"/>
        <w:jc w:val="both"/>
        <w:rPr>
          <w:sz w:val="22"/>
          <w:szCs w:val="22"/>
          <w:lang w:val="sr-Latn-ME"/>
        </w:rPr>
      </w:pPr>
      <w:r w:rsidRPr="00424A4B">
        <w:rPr>
          <w:sz w:val="22"/>
          <w:szCs w:val="22"/>
          <w:lang w:val="sr-Latn-ME"/>
        </w:rPr>
        <w:sym w:font="Symbol" w:char="F0B7"/>
      </w:r>
      <w:r w:rsidRPr="00424A4B">
        <w:rPr>
          <w:sz w:val="22"/>
          <w:szCs w:val="22"/>
          <w:lang w:val="sr-Latn-ME"/>
        </w:rPr>
        <w:tab/>
        <w:t xml:space="preserve">          6 ciklusa TCH</w:t>
      </w:r>
      <w:r w:rsidRPr="00424A4B">
        <w:rPr>
          <w:sz w:val="22"/>
          <w:szCs w:val="22"/>
          <w:lang w:val="sr-Latn-ME"/>
        </w:rPr>
        <w:noBreakHyphen/>
        <w:t xml:space="preserve">a u kombinaciji sa lijekom </w:t>
      </w:r>
      <w:r w:rsidR="009C77FA" w:rsidRPr="00424A4B">
        <w:rPr>
          <w:sz w:val="22"/>
          <w:szCs w:val="22"/>
          <w:lang w:val="sr-Latn-ME"/>
        </w:rPr>
        <w:t>Perjeta</w:t>
      </w:r>
    </w:p>
    <w:p w:rsidR="005E6320" w:rsidRPr="00424A4B" w:rsidRDefault="005E6320">
      <w:pPr>
        <w:keepNext/>
        <w:keepLines/>
        <w:ind w:left="1260"/>
        <w:jc w:val="both"/>
        <w:rPr>
          <w:sz w:val="22"/>
          <w:szCs w:val="22"/>
          <w:lang w:val="sr-Latn-ME"/>
        </w:rPr>
      </w:pPr>
    </w:p>
    <w:p w:rsidR="005E6320" w:rsidRPr="00424A4B" w:rsidRDefault="005E6320">
      <w:pPr>
        <w:keepNext/>
        <w:keepLines/>
        <w:jc w:val="both"/>
        <w:rPr>
          <w:sz w:val="22"/>
          <w:szCs w:val="22"/>
          <w:lang w:val="sr-Latn-ME"/>
        </w:rPr>
      </w:pPr>
      <w:r w:rsidRPr="00424A4B">
        <w:rPr>
          <w:sz w:val="22"/>
          <w:szCs w:val="22"/>
          <w:lang w:val="sr-Latn-ME"/>
        </w:rPr>
        <w:t>Randomizacija je bila stratifi</w:t>
      </w:r>
      <w:r w:rsidR="00911283" w:rsidRPr="00424A4B">
        <w:rPr>
          <w:sz w:val="22"/>
          <w:szCs w:val="22"/>
          <w:lang w:val="sr-Latn-ME"/>
        </w:rPr>
        <w:t>kovana</w:t>
      </w:r>
      <w:r w:rsidRPr="00424A4B">
        <w:rPr>
          <w:sz w:val="22"/>
          <w:szCs w:val="22"/>
          <w:lang w:val="sr-Latn-ME"/>
        </w:rPr>
        <w:t xml:space="preserve"> prema vrsti karcinoma dojke (operabilan, lokalno uznapredovao ili upalni) te prema tome jesu li pacijentkinje imale pozitivan ER i/ili PgR status.</w:t>
      </w:r>
    </w:p>
    <w:p w:rsidR="005E6320" w:rsidRPr="00424A4B" w:rsidRDefault="005E6320">
      <w:pPr>
        <w:keepNext/>
        <w:keepLines/>
        <w:jc w:val="both"/>
        <w:rPr>
          <w:sz w:val="22"/>
          <w:szCs w:val="22"/>
          <w:lang w:val="sr-Latn-ME"/>
        </w:rPr>
      </w:pPr>
    </w:p>
    <w:p w:rsidR="005E6320" w:rsidRPr="00424A4B" w:rsidRDefault="005E6320">
      <w:pPr>
        <w:keepNext/>
        <w:keepLines/>
        <w:jc w:val="both"/>
        <w:rPr>
          <w:sz w:val="22"/>
          <w:szCs w:val="22"/>
          <w:lang w:val="sr-Latn-ME"/>
        </w:rPr>
      </w:pPr>
      <w:r w:rsidRPr="00424A4B">
        <w:rPr>
          <w:color w:val="000000"/>
          <w:sz w:val="22"/>
          <w:szCs w:val="22"/>
          <w:lang w:val="sr-Latn-ME"/>
        </w:rPr>
        <w:t>Pertuzumab se primjenjivao intravenski u početnoj dozi od 840 mg, a zatim u dozi od 420 mg svake tri nedjelje. Trastuzumab se primjenjivao intravenski u početnoj dozi od 8 mg/kg, a zatim u dozi od 6 mg/kg svake tri nedjelje. FEC (5</w:t>
      </w:r>
      <w:r w:rsidRPr="00424A4B">
        <w:rPr>
          <w:color w:val="000000"/>
          <w:sz w:val="22"/>
          <w:szCs w:val="22"/>
          <w:lang w:val="sr-Latn-ME"/>
        </w:rPr>
        <w:noBreakHyphen/>
        <w:t>fluorouracil [500 mg/m</w:t>
      </w:r>
      <w:r w:rsidRPr="00424A4B">
        <w:rPr>
          <w:color w:val="000000"/>
          <w:sz w:val="22"/>
          <w:szCs w:val="22"/>
          <w:vertAlign w:val="superscript"/>
          <w:lang w:val="sr-Latn-ME"/>
        </w:rPr>
        <w:t>2</w:t>
      </w:r>
      <w:r w:rsidRPr="00424A4B">
        <w:rPr>
          <w:color w:val="000000"/>
          <w:sz w:val="22"/>
          <w:szCs w:val="22"/>
          <w:lang w:val="sr-Latn-ME"/>
        </w:rPr>
        <w:t>], epirubicin [100 mg/m</w:t>
      </w:r>
      <w:r w:rsidRPr="00424A4B">
        <w:rPr>
          <w:color w:val="000000"/>
          <w:sz w:val="22"/>
          <w:szCs w:val="22"/>
          <w:vertAlign w:val="superscript"/>
          <w:lang w:val="sr-Latn-ME"/>
        </w:rPr>
        <w:t>2</w:t>
      </w:r>
      <w:r w:rsidRPr="00424A4B">
        <w:rPr>
          <w:color w:val="000000"/>
          <w:sz w:val="22"/>
          <w:szCs w:val="22"/>
          <w:lang w:val="sr-Latn-ME"/>
        </w:rPr>
        <w:t>] i ciklofosfamid [600 mg/m</w:t>
      </w:r>
      <w:r w:rsidRPr="00424A4B">
        <w:rPr>
          <w:color w:val="000000"/>
          <w:sz w:val="22"/>
          <w:szCs w:val="22"/>
          <w:vertAlign w:val="superscript"/>
          <w:lang w:val="sr-Latn-ME"/>
        </w:rPr>
        <w:t>2</w:t>
      </w:r>
      <w:r w:rsidRPr="00424A4B">
        <w:rPr>
          <w:color w:val="000000"/>
          <w:sz w:val="22"/>
          <w:szCs w:val="22"/>
          <w:lang w:val="sr-Latn-ME"/>
        </w:rPr>
        <w:t>]) su primjenjivani intravenski svake tri nedjelje tokom 3 ciklusa. Docetaksel se primjenjivao intravenskom infuzijom u početnoj dozi od 75 mg/m</w:t>
      </w:r>
      <w:r w:rsidRPr="00424A4B">
        <w:rPr>
          <w:color w:val="000000"/>
          <w:sz w:val="22"/>
          <w:szCs w:val="22"/>
          <w:vertAlign w:val="superscript"/>
          <w:lang w:val="sr-Latn-ME"/>
        </w:rPr>
        <w:t>2</w:t>
      </w:r>
      <w:r w:rsidRPr="00424A4B">
        <w:rPr>
          <w:color w:val="000000"/>
          <w:sz w:val="22"/>
          <w:szCs w:val="22"/>
          <w:lang w:val="sr-Latn-ME"/>
        </w:rPr>
        <w:t xml:space="preserve"> svake tri nedjelje, koja se prema odluci ispitivača mogla povećati do 100 mg/m</w:t>
      </w:r>
      <w:r w:rsidRPr="00424A4B">
        <w:rPr>
          <w:color w:val="000000"/>
          <w:sz w:val="22"/>
          <w:szCs w:val="22"/>
          <w:vertAlign w:val="superscript"/>
          <w:lang w:val="sr-Latn-ME"/>
        </w:rPr>
        <w:t>2</w:t>
      </w:r>
      <w:r w:rsidRPr="00424A4B">
        <w:rPr>
          <w:color w:val="000000"/>
          <w:sz w:val="22"/>
          <w:szCs w:val="22"/>
          <w:lang w:val="sr-Latn-ME"/>
        </w:rPr>
        <w:t xml:space="preserve"> ako je pacijentkinja dobro podnijela početnu dozu. Međutim, u grupi liječenoj lijekom Perjeta u kombinaciji sa TCH</w:t>
      </w:r>
      <w:r w:rsidRPr="00424A4B">
        <w:rPr>
          <w:color w:val="000000"/>
          <w:sz w:val="22"/>
          <w:szCs w:val="22"/>
          <w:lang w:val="sr-Latn-ME"/>
        </w:rPr>
        <w:noBreakHyphen/>
        <w:t>om, docetaksel se primjenjivao intravenski u dozi od 75 mg/m</w:t>
      </w:r>
      <w:r w:rsidRPr="00424A4B">
        <w:rPr>
          <w:color w:val="000000"/>
          <w:sz w:val="22"/>
          <w:szCs w:val="22"/>
          <w:vertAlign w:val="superscript"/>
          <w:lang w:val="sr-Latn-ME"/>
        </w:rPr>
        <w:t>2</w:t>
      </w:r>
      <w:r w:rsidRPr="00424A4B">
        <w:rPr>
          <w:color w:val="000000"/>
          <w:sz w:val="22"/>
          <w:szCs w:val="22"/>
          <w:lang w:val="sr-Latn-ME"/>
        </w:rPr>
        <w:t xml:space="preserve"> (nije bilo dopušteno povećanje doze), a karboplatin (AUC 6) se primjenjivao intravenski svake tri nedjelje. Nakon hirurškog zahvata, sve su pacijentkinje primale trastuzumab do završetka 1</w:t>
      </w:r>
      <w:r w:rsidRPr="00424A4B">
        <w:rPr>
          <w:color w:val="000000"/>
          <w:sz w:val="22"/>
          <w:szCs w:val="22"/>
          <w:lang w:val="sr-Latn-ME"/>
        </w:rPr>
        <w:noBreakHyphen/>
        <w:t xml:space="preserve">godišnjeg </w:t>
      </w:r>
      <w:r w:rsidR="00911283" w:rsidRPr="00424A4B">
        <w:rPr>
          <w:color w:val="000000"/>
          <w:sz w:val="22"/>
          <w:szCs w:val="22"/>
          <w:lang w:val="sr-Latn-ME"/>
        </w:rPr>
        <w:t>perioda</w:t>
      </w:r>
      <w:r w:rsidRPr="00424A4B">
        <w:rPr>
          <w:color w:val="000000"/>
          <w:sz w:val="22"/>
          <w:szCs w:val="22"/>
          <w:lang w:val="sr-Latn-ME"/>
        </w:rPr>
        <w:t xml:space="preserve"> liječenja.</w:t>
      </w:r>
    </w:p>
    <w:p w:rsidR="005E6320" w:rsidRPr="00424A4B" w:rsidRDefault="005E6320">
      <w:pPr>
        <w:keepNext/>
        <w:keepLines/>
        <w:jc w:val="both"/>
        <w:rPr>
          <w:sz w:val="22"/>
          <w:szCs w:val="22"/>
          <w:lang w:val="sr-Latn-ME"/>
        </w:rPr>
      </w:pPr>
    </w:p>
    <w:p w:rsidR="005E6320" w:rsidRPr="00424A4B" w:rsidRDefault="005E6320">
      <w:pPr>
        <w:jc w:val="both"/>
        <w:rPr>
          <w:color w:val="000000"/>
          <w:sz w:val="22"/>
          <w:szCs w:val="22"/>
          <w:lang w:val="sr-Latn-ME"/>
        </w:rPr>
      </w:pPr>
      <w:r w:rsidRPr="00424A4B">
        <w:rPr>
          <w:sz w:val="22"/>
          <w:szCs w:val="22"/>
          <w:lang w:val="sr-Latn-ME" w:eastAsia="hr-HR"/>
        </w:rPr>
        <w:t>Primarn</w:t>
      </w:r>
      <w:r w:rsidR="00911283" w:rsidRPr="00424A4B">
        <w:rPr>
          <w:sz w:val="22"/>
          <w:szCs w:val="22"/>
          <w:lang w:val="sr-Latn-ME" w:eastAsia="hr-HR"/>
        </w:rPr>
        <w:t>i parametar praćenja</w:t>
      </w:r>
      <w:r w:rsidRPr="00424A4B">
        <w:rPr>
          <w:sz w:val="22"/>
          <w:szCs w:val="22"/>
          <w:lang w:val="sr-Latn-ME" w:eastAsia="hr-HR"/>
        </w:rPr>
        <w:t xml:space="preserve"> ovog ispitivanja bila je bezbjednost za srce tokom </w:t>
      </w:r>
      <w:r w:rsidR="00911283" w:rsidRPr="00424A4B">
        <w:rPr>
          <w:sz w:val="22"/>
          <w:szCs w:val="22"/>
          <w:lang w:val="sr-Latn-ME" w:eastAsia="hr-HR"/>
        </w:rPr>
        <w:t>perioda</w:t>
      </w:r>
      <w:r w:rsidRPr="00424A4B">
        <w:rPr>
          <w:sz w:val="22"/>
          <w:szCs w:val="22"/>
          <w:lang w:val="sr-Latn-ME" w:eastAsia="hr-HR"/>
        </w:rPr>
        <w:t xml:space="preserve"> neoadjuvantnog liječenja u sklopu ispitivanja. Sekundarn</w:t>
      </w:r>
      <w:r w:rsidR="00911283" w:rsidRPr="00424A4B">
        <w:rPr>
          <w:sz w:val="22"/>
          <w:szCs w:val="22"/>
          <w:lang w:val="sr-Latn-ME" w:eastAsia="hr-HR"/>
        </w:rPr>
        <w:t>i</w:t>
      </w:r>
      <w:r w:rsidRPr="00424A4B">
        <w:rPr>
          <w:sz w:val="22"/>
          <w:szCs w:val="22"/>
          <w:lang w:val="sr-Latn-ME" w:eastAsia="hr-HR"/>
        </w:rPr>
        <w:t xml:space="preserve"> </w:t>
      </w:r>
      <w:r w:rsidR="00911283" w:rsidRPr="00424A4B">
        <w:rPr>
          <w:sz w:val="22"/>
          <w:szCs w:val="22"/>
          <w:lang w:val="sr-Latn-ME" w:eastAsia="hr-HR"/>
        </w:rPr>
        <w:t>parametri praćenja</w:t>
      </w:r>
      <w:r w:rsidRPr="00424A4B">
        <w:rPr>
          <w:sz w:val="22"/>
          <w:szCs w:val="22"/>
          <w:lang w:val="sr-Latn-ME" w:eastAsia="hr-HR"/>
        </w:rPr>
        <w:t xml:space="preserve"> za efikasnost bil</w:t>
      </w:r>
      <w:r w:rsidR="00911283" w:rsidRPr="00424A4B">
        <w:rPr>
          <w:sz w:val="22"/>
          <w:szCs w:val="22"/>
          <w:lang w:val="sr-Latn-ME" w:eastAsia="hr-HR"/>
        </w:rPr>
        <w:t>i</w:t>
      </w:r>
      <w:r w:rsidRPr="00424A4B">
        <w:rPr>
          <w:sz w:val="22"/>
          <w:szCs w:val="22"/>
          <w:lang w:val="sr-Latn-ME" w:eastAsia="hr-HR"/>
        </w:rPr>
        <w:t xml:space="preserve"> su stopa pCR</w:t>
      </w:r>
      <w:r w:rsidRPr="00424A4B">
        <w:rPr>
          <w:sz w:val="22"/>
          <w:szCs w:val="22"/>
          <w:lang w:val="sr-Latn-ME" w:eastAsia="hr-HR"/>
        </w:rPr>
        <w:noBreakHyphen/>
        <w:t xml:space="preserve">a u dojci </w:t>
      </w:r>
      <w:r w:rsidRPr="00424A4B">
        <w:rPr>
          <w:color w:val="000000"/>
          <w:sz w:val="22"/>
          <w:szCs w:val="22"/>
          <w:lang w:val="sr-Latn-ME"/>
        </w:rPr>
        <w:t>(ypT0/is). preživljavanje bez simptoma bolesti, preživljavanje bez progresije bolesti i ukupno preživljavanje.</w:t>
      </w:r>
    </w:p>
    <w:p w:rsidR="005E6320" w:rsidRPr="00424A4B" w:rsidRDefault="005E6320">
      <w:pPr>
        <w:rPr>
          <w:sz w:val="22"/>
          <w:szCs w:val="22"/>
          <w:lang w:val="sr-Latn-ME"/>
        </w:rPr>
      </w:pPr>
    </w:p>
    <w:p w:rsidR="005E6320" w:rsidRPr="00424A4B" w:rsidRDefault="005E6320">
      <w:pPr>
        <w:jc w:val="both"/>
        <w:rPr>
          <w:color w:val="000000"/>
          <w:sz w:val="22"/>
          <w:szCs w:val="22"/>
          <w:lang w:val="sr-Latn-ME"/>
        </w:rPr>
      </w:pPr>
      <w:r w:rsidRPr="00424A4B">
        <w:rPr>
          <w:color w:val="000000"/>
          <w:sz w:val="22"/>
          <w:szCs w:val="22"/>
          <w:lang w:val="sr-Latn-ME"/>
        </w:rPr>
        <w:t>Demografske karakteristike su bile ujednačene među grupama (medijana starosti iznosila je 49</w:t>
      </w:r>
      <w:r w:rsidRPr="00424A4B">
        <w:rPr>
          <w:color w:val="000000"/>
          <w:sz w:val="22"/>
          <w:szCs w:val="22"/>
          <w:lang w:val="sr-Latn-ME"/>
        </w:rPr>
        <w:noBreakHyphen/>
        <w:t>50 godina, a većina ispitanica bile su bjelkinje [77%]) i sv</w:t>
      </w:r>
      <w:r w:rsidR="00374E0C" w:rsidRPr="00424A4B">
        <w:rPr>
          <w:color w:val="000000"/>
          <w:sz w:val="22"/>
          <w:szCs w:val="22"/>
          <w:lang w:val="sr-Latn-ME"/>
        </w:rPr>
        <w:t>i su pacijenti</w:t>
      </w:r>
      <w:r w:rsidRPr="00424A4B">
        <w:rPr>
          <w:color w:val="000000"/>
          <w:sz w:val="22"/>
          <w:szCs w:val="22"/>
          <w:lang w:val="sr-Latn-ME"/>
        </w:rPr>
        <w:t xml:space="preserve"> bil</w:t>
      </w:r>
      <w:r w:rsidR="00374E0C" w:rsidRPr="00424A4B">
        <w:rPr>
          <w:color w:val="000000"/>
          <w:sz w:val="22"/>
          <w:szCs w:val="22"/>
          <w:lang w:val="sr-Latn-ME"/>
        </w:rPr>
        <w:t>i</w:t>
      </w:r>
      <w:r w:rsidRPr="00424A4B">
        <w:rPr>
          <w:color w:val="000000"/>
          <w:sz w:val="22"/>
          <w:szCs w:val="22"/>
          <w:lang w:val="sr-Latn-ME"/>
        </w:rPr>
        <w:t xml:space="preserve"> ženskog pola. Ukupno je 6% pacijentkinja imalo upalni karcinom dojke, 25% imalo je lokalno uznapredovali karcinom dojke, a njih 69% imalo je operabilni karcinom dojke. Približno polovina pacijentkinja u svakoj liječenoj grupi imala je ER</w:t>
      </w:r>
      <w:r w:rsidRPr="00424A4B">
        <w:rPr>
          <w:color w:val="000000"/>
          <w:sz w:val="22"/>
          <w:szCs w:val="22"/>
          <w:lang w:val="sr-Latn-ME"/>
        </w:rPr>
        <w:noBreakHyphen/>
        <w:t>pozitivnu i/ili PgR</w:t>
      </w:r>
      <w:r w:rsidRPr="00424A4B">
        <w:rPr>
          <w:color w:val="000000"/>
          <w:sz w:val="22"/>
          <w:szCs w:val="22"/>
          <w:lang w:val="sr-Latn-ME"/>
        </w:rPr>
        <w:noBreakHyphen/>
        <w:t>pozitivnu bolest.</w:t>
      </w:r>
    </w:p>
    <w:p w:rsidR="005E6320" w:rsidRPr="00424A4B" w:rsidRDefault="005E6320">
      <w:pPr>
        <w:jc w:val="both"/>
        <w:rPr>
          <w:color w:val="000000"/>
          <w:sz w:val="22"/>
          <w:szCs w:val="22"/>
          <w:lang w:val="sr-Latn-ME"/>
        </w:rPr>
      </w:pPr>
    </w:p>
    <w:p w:rsidR="005E6320" w:rsidRPr="00424A4B" w:rsidRDefault="005E6320">
      <w:pPr>
        <w:jc w:val="both"/>
        <w:rPr>
          <w:color w:val="000000"/>
          <w:sz w:val="22"/>
          <w:szCs w:val="22"/>
          <w:lang w:val="sr-Latn-ME"/>
        </w:rPr>
      </w:pPr>
      <w:r w:rsidRPr="00424A4B">
        <w:rPr>
          <w:color w:val="000000"/>
          <w:sz w:val="22"/>
          <w:szCs w:val="22"/>
          <w:lang w:val="sr-Latn-ME"/>
        </w:rPr>
        <w:t>U poređenju sa podacima objavljenim za slične protokole bez pertuzumaba, u sve 3 liječene grupe su prim</w:t>
      </w:r>
      <w:r w:rsidR="00374E0C" w:rsidRPr="00424A4B">
        <w:rPr>
          <w:color w:val="000000"/>
          <w:sz w:val="22"/>
          <w:szCs w:val="22"/>
          <w:lang w:val="sr-Latn-ME"/>
        </w:rPr>
        <w:t>i</w:t>
      </w:r>
      <w:r w:rsidRPr="00424A4B">
        <w:rPr>
          <w:color w:val="000000"/>
          <w:sz w:val="22"/>
          <w:szCs w:val="22"/>
          <w:lang w:val="sr-Latn-ME"/>
        </w:rPr>
        <w:t>jećene visoke stope pCR</w:t>
      </w:r>
      <w:r w:rsidRPr="00424A4B">
        <w:rPr>
          <w:color w:val="000000"/>
          <w:sz w:val="22"/>
          <w:szCs w:val="22"/>
          <w:lang w:val="sr-Latn-ME"/>
        </w:rPr>
        <w:noBreakHyphen/>
        <w:t>a (vidjeti Tabelu </w:t>
      </w:r>
      <w:r w:rsidR="00374E0C" w:rsidRPr="00424A4B">
        <w:rPr>
          <w:color w:val="000000"/>
          <w:sz w:val="22"/>
          <w:szCs w:val="22"/>
          <w:lang w:val="sr-Latn-ME"/>
        </w:rPr>
        <w:t>4</w:t>
      </w:r>
      <w:r w:rsidRPr="00424A4B">
        <w:rPr>
          <w:color w:val="000000"/>
          <w:sz w:val="22"/>
          <w:szCs w:val="22"/>
          <w:lang w:val="sr-Latn-ME"/>
        </w:rPr>
        <w:t>). Prim</w:t>
      </w:r>
      <w:r w:rsidR="00374E0C" w:rsidRPr="00424A4B">
        <w:rPr>
          <w:color w:val="000000"/>
          <w:sz w:val="22"/>
          <w:szCs w:val="22"/>
          <w:lang w:val="sr-Latn-ME"/>
        </w:rPr>
        <w:t>i</w:t>
      </w:r>
      <w:r w:rsidRPr="00424A4B">
        <w:rPr>
          <w:color w:val="000000"/>
          <w:sz w:val="22"/>
          <w:szCs w:val="22"/>
          <w:lang w:val="sr-Latn-ME"/>
        </w:rPr>
        <w:t>jećen je dosljedan obrazac rezultata, nezavisno od definicije pCR</w:t>
      </w:r>
      <w:r w:rsidRPr="00424A4B">
        <w:rPr>
          <w:color w:val="000000"/>
          <w:sz w:val="22"/>
          <w:szCs w:val="22"/>
          <w:lang w:val="sr-Latn-ME"/>
        </w:rPr>
        <w:noBreakHyphen/>
        <w:t>a. Stope pCR</w:t>
      </w:r>
      <w:r w:rsidRPr="00424A4B">
        <w:rPr>
          <w:color w:val="000000"/>
          <w:sz w:val="22"/>
          <w:szCs w:val="22"/>
          <w:lang w:val="sr-Latn-ME"/>
        </w:rPr>
        <w:noBreakHyphen/>
        <w:t>a bile su niže u podgrupi pacijentkinja sa tumorima pozitivnim na hormonske receptore (raspon: 46,2</w:t>
      </w:r>
      <w:r w:rsidRPr="00424A4B">
        <w:rPr>
          <w:color w:val="000000"/>
          <w:sz w:val="22"/>
          <w:szCs w:val="22"/>
          <w:lang w:val="sr-Latn-ME"/>
        </w:rPr>
        <w:noBreakHyphen/>
        <w:t xml:space="preserve">50,0%) nego </w:t>
      </w:r>
      <w:r w:rsidR="00374E0C" w:rsidRPr="00424A4B">
        <w:rPr>
          <w:color w:val="000000"/>
          <w:sz w:val="22"/>
          <w:szCs w:val="22"/>
          <w:lang w:val="sr-Latn-ME"/>
        </w:rPr>
        <w:t>kod</w:t>
      </w:r>
      <w:r w:rsidRPr="00424A4B">
        <w:rPr>
          <w:color w:val="000000"/>
          <w:sz w:val="22"/>
          <w:szCs w:val="22"/>
          <w:lang w:val="sr-Latn-ME"/>
        </w:rPr>
        <w:t xml:space="preserve"> pacijentkinja sa tumorima negativnim na hormonske receptore (raspon: 65,0</w:t>
      </w:r>
      <w:r w:rsidRPr="00424A4B">
        <w:rPr>
          <w:color w:val="000000"/>
          <w:sz w:val="22"/>
          <w:szCs w:val="22"/>
          <w:lang w:val="sr-Latn-ME"/>
        </w:rPr>
        <w:noBreakHyphen/>
        <w:t>83,8%).</w:t>
      </w:r>
    </w:p>
    <w:p w:rsidR="005E6320" w:rsidRPr="00424A4B" w:rsidRDefault="005E6320">
      <w:pPr>
        <w:jc w:val="both"/>
        <w:rPr>
          <w:color w:val="000000"/>
          <w:sz w:val="22"/>
          <w:szCs w:val="22"/>
          <w:lang w:val="sr-Latn-ME"/>
        </w:rPr>
      </w:pPr>
    </w:p>
    <w:p w:rsidR="00B30B91" w:rsidRPr="00424A4B" w:rsidRDefault="005E6320">
      <w:pPr>
        <w:tabs>
          <w:tab w:val="left" w:pos="567"/>
        </w:tabs>
        <w:jc w:val="both"/>
        <w:rPr>
          <w:color w:val="000000"/>
          <w:sz w:val="22"/>
          <w:szCs w:val="22"/>
          <w:lang w:val="sr-Latn-ME"/>
        </w:rPr>
      </w:pPr>
      <w:r w:rsidRPr="00424A4B">
        <w:rPr>
          <w:color w:val="000000"/>
          <w:sz w:val="22"/>
          <w:szCs w:val="22"/>
          <w:lang w:val="sr-Latn-ME"/>
        </w:rPr>
        <w:t>Stope pCR</w:t>
      </w:r>
      <w:r w:rsidRPr="00424A4B">
        <w:rPr>
          <w:color w:val="000000"/>
          <w:sz w:val="22"/>
          <w:szCs w:val="22"/>
          <w:lang w:val="sr-Latn-ME"/>
        </w:rPr>
        <w:noBreakHyphen/>
        <w:t xml:space="preserve">a bile su slične </w:t>
      </w:r>
      <w:r w:rsidR="00374E0C" w:rsidRPr="00424A4B">
        <w:rPr>
          <w:color w:val="000000"/>
          <w:sz w:val="22"/>
          <w:szCs w:val="22"/>
          <w:lang w:val="sr-Latn-ME"/>
        </w:rPr>
        <w:t>kod</w:t>
      </w:r>
      <w:r w:rsidRPr="00424A4B">
        <w:rPr>
          <w:color w:val="000000"/>
          <w:sz w:val="22"/>
          <w:szCs w:val="22"/>
          <w:lang w:val="sr-Latn-ME"/>
        </w:rPr>
        <w:t xml:space="preserve"> pacijentkinja sa operabilnom i onih sa lokalno uznapredovalom bolešću. Bilo je premalo pacijentkinja s</w:t>
      </w:r>
      <w:r w:rsidR="00374E0C" w:rsidRPr="00424A4B">
        <w:rPr>
          <w:color w:val="000000"/>
          <w:sz w:val="22"/>
          <w:szCs w:val="22"/>
          <w:lang w:val="sr-Latn-ME"/>
        </w:rPr>
        <w:t>a</w:t>
      </w:r>
      <w:r w:rsidRPr="00424A4B">
        <w:rPr>
          <w:color w:val="000000"/>
          <w:sz w:val="22"/>
          <w:szCs w:val="22"/>
          <w:lang w:val="sr-Latn-ME"/>
        </w:rPr>
        <w:t xml:space="preserve"> upalnim karcinomom dojke da bi se mogli donijeti bilo kakvi čvrsti zaključci.</w:t>
      </w:r>
    </w:p>
    <w:p w:rsidR="00B30B91" w:rsidRPr="00424A4B" w:rsidRDefault="00B30B91">
      <w:pPr>
        <w:tabs>
          <w:tab w:val="left" w:pos="567"/>
        </w:tabs>
        <w:jc w:val="both"/>
        <w:rPr>
          <w:color w:val="000000"/>
          <w:sz w:val="22"/>
          <w:szCs w:val="22"/>
          <w:lang w:val="sr-Latn-ME"/>
        </w:rPr>
      </w:pPr>
    </w:p>
    <w:p w:rsidR="008342CF" w:rsidRPr="00424A4B" w:rsidRDefault="008342CF">
      <w:pPr>
        <w:tabs>
          <w:tab w:val="left" w:pos="567"/>
        </w:tabs>
        <w:jc w:val="both"/>
        <w:rPr>
          <w:color w:val="000000"/>
          <w:sz w:val="22"/>
          <w:szCs w:val="22"/>
          <w:lang w:val="sr-Latn-ME"/>
        </w:rPr>
      </w:pPr>
    </w:p>
    <w:p w:rsidR="005E6320" w:rsidRPr="00424A4B" w:rsidRDefault="005E6320">
      <w:pPr>
        <w:tabs>
          <w:tab w:val="left" w:pos="567"/>
        </w:tabs>
        <w:jc w:val="both"/>
        <w:rPr>
          <w:color w:val="000000"/>
          <w:sz w:val="22"/>
          <w:szCs w:val="22"/>
          <w:lang w:val="sr-Latn-ME"/>
        </w:rPr>
      </w:pPr>
      <w:r w:rsidRPr="00424A4B">
        <w:rPr>
          <w:b/>
          <w:sz w:val="22"/>
          <w:szCs w:val="22"/>
          <w:lang w:val="sr-Latn-ME"/>
        </w:rPr>
        <w:t xml:space="preserve">Tabela </w:t>
      </w:r>
      <w:r w:rsidR="00911283" w:rsidRPr="00424A4B">
        <w:rPr>
          <w:b/>
          <w:sz w:val="22"/>
          <w:szCs w:val="22"/>
          <w:lang w:val="sr-Latn-ME"/>
        </w:rPr>
        <w:t xml:space="preserve">4 </w:t>
      </w:r>
      <w:r w:rsidRPr="00424A4B">
        <w:rPr>
          <w:b/>
          <w:sz w:val="22"/>
          <w:szCs w:val="22"/>
          <w:lang w:val="sr-Latn-ME"/>
        </w:rPr>
        <w:t>Ispitivanje NEOSPHERE (WO20697) i TRYPHAENA (BO22280): Pregled  efikasnosti – (populacija koja se namjeravala liječiti)</w:t>
      </w:r>
    </w:p>
    <w:tbl>
      <w:tblPr>
        <w:tblW w:w="54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26"/>
        <w:gridCol w:w="1260"/>
        <w:gridCol w:w="1390"/>
        <w:gridCol w:w="1261"/>
        <w:gridCol w:w="1265"/>
        <w:gridCol w:w="8"/>
        <w:gridCol w:w="1249"/>
        <w:gridCol w:w="1259"/>
        <w:gridCol w:w="1133"/>
        <w:gridCol w:w="6"/>
      </w:tblGrid>
      <w:tr w:rsidR="005E6320" w:rsidRPr="00424A4B" w:rsidTr="00B30B91">
        <w:trPr>
          <w:cantSplit/>
          <w:jc w:val="center"/>
        </w:trPr>
        <w:tc>
          <w:tcPr>
            <w:tcW w:w="566" w:type="pct"/>
            <w:vAlign w:val="center"/>
          </w:tcPr>
          <w:p w:rsidR="005E6320" w:rsidRPr="00424A4B" w:rsidRDefault="005E6320" w:rsidP="0055503A">
            <w:pPr>
              <w:keepNext/>
              <w:keepLines/>
              <w:spacing w:line="240" w:lineRule="exact"/>
              <w:rPr>
                <w:b/>
                <w:color w:val="000000"/>
                <w:sz w:val="22"/>
                <w:szCs w:val="22"/>
                <w:lang w:val="sr-Latn-ME"/>
              </w:rPr>
            </w:pPr>
          </w:p>
        </w:tc>
        <w:tc>
          <w:tcPr>
            <w:tcW w:w="2603" w:type="pct"/>
            <w:gridSpan w:val="5"/>
            <w:vAlign w:val="center"/>
          </w:tcPr>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NEOSPHERE (WO20697)</w:t>
            </w:r>
          </w:p>
        </w:tc>
        <w:tc>
          <w:tcPr>
            <w:tcW w:w="1831" w:type="pct"/>
            <w:gridSpan w:val="4"/>
            <w:vAlign w:val="center"/>
          </w:tcPr>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TRYPHAENA (BO22280)</w:t>
            </w:r>
          </w:p>
        </w:tc>
      </w:tr>
      <w:tr w:rsidR="005E6320" w:rsidRPr="00424A4B" w:rsidTr="00B30B91">
        <w:trPr>
          <w:gridAfter w:val="1"/>
          <w:wAfter w:w="5" w:type="pct"/>
          <w:cantSplit/>
          <w:jc w:val="center"/>
        </w:trPr>
        <w:tc>
          <w:tcPr>
            <w:tcW w:w="566" w:type="pct"/>
            <w:vAlign w:val="center"/>
          </w:tcPr>
          <w:p w:rsidR="005E6320" w:rsidRPr="00424A4B" w:rsidRDefault="005E6320" w:rsidP="0055503A">
            <w:pPr>
              <w:keepNext/>
              <w:keepLines/>
              <w:spacing w:line="240" w:lineRule="exact"/>
              <w:rPr>
                <w:b/>
                <w:color w:val="000000"/>
                <w:sz w:val="22"/>
                <w:szCs w:val="22"/>
                <w:lang w:val="sr-Latn-ME"/>
              </w:rPr>
            </w:pPr>
            <w:r w:rsidRPr="00424A4B">
              <w:rPr>
                <w:b/>
                <w:color w:val="000000"/>
                <w:sz w:val="22"/>
                <w:szCs w:val="22"/>
                <w:lang w:val="sr-Latn-ME"/>
              </w:rPr>
              <w:t>Parametar</w:t>
            </w:r>
          </w:p>
        </w:tc>
        <w:tc>
          <w:tcPr>
            <w:tcW w:w="633" w:type="pct"/>
            <w:vAlign w:val="center"/>
          </w:tcPr>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Trastuzumab + docetaksel</w:t>
            </w:r>
          </w:p>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N=107</w:t>
            </w:r>
          </w:p>
        </w:tc>
        <w:tc>
          <w:tcPr>
            <w:tcW w:w="698" w:type="pct"/>
            <w:vAlign w:val="center"/>
          </w:tcPr>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Perjeta+</w:t>
            </w:r>
          </w:p>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trastuzumab+</w:t>
            </w:r>
          </w:p>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docetaksel</w:t>
            </w:r>
          </w:p>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N=107</w:t>
            </w:r>
          </w:p>
        </w:tc>
        <w:tc>
          <w:tcPr>
            <w:tcW w:w="633" w:type="pct"/>
            <w:vAlign w:val="center"/>
          </w:tcPr>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Perjeta +</w:t>
            </w:r>
          </w:p>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trastuzumab</w:t>
            </w:r>
          </w:p>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N=107</w:t>
            </w:r>
          </w:p>
        </w:tc>
        <w:tc>
          <w:tcPr>
            <w:tcW w:w="635" w:type="pct"/>
            <w:vAlign w:val="center"/>
          </w:tcPr>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Perjeta</w:t>
            </w:r>
          </w:p>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 docetaksel</w:t>
            </w:r>
          </w:p>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N=96</w:t>
            </w:r>
          </w:p>
        </w:tc>
        <w:tc>
          <w:tcPr>
            <w:tcW w:w="631" w:type="pct"/>
            <w:gridSpan w:val="2"/>
            <w:vAlign w:val="center"/>
          </w:tcPr>
          <w:p w:rsidR="005E6320" w:rsidRPr="00424A4B" w:rsidRDefault="005E6320" w:rsidP="0055503A">
            <w:pPr>
              <w:keepNext/>
              <w:keepLines/>
              <w:spacing w:line="240" w:lineRule="exact"/>
              <w:ind w:left="-24" w:right="-29"/>
              <w:jc w:val="center"/>
              <w:rPr>
                <w:b/>
                <w:color w:val="000000"/>
                <w:sz w:val="22"/>
                <w:szCs w:val="22"/>
                <w:lang w:val="sr-Latn-ME"/>
              </w:rPr>
            </w:pPr>
            <w:r w:rsidRPr="00424A4B">
              <w:rPr>
                <w:b/>
                <w:color w:val="000000"/>
                <w:sz w:val="22"/>
                <w:szCs w:val="22"/>
                <w:lang w:val="sr-Latn-ME"/>
              </w:rPr>
              <w:t>Perjeta +</w:t>
            </w:r>
          </w:p>
          <w:p w:rsidR="005E6320" w:rsidRPr="00424A4B" w:rsidRDefault="005E6320" w:rsidP="0055503A">
            <w:pPr>
              <w:keepNext/>
              <w:keepLines/>
              <w:spacing w:line="240" w:lineRule="exact"/>
              <w:ind w:left="-24" w:right="-29"/>
              <w:jc w:val="center"/>
              <w:rPr>
                <w:b/>
                <w:color w:val="000000"/>
                <w:sz w:val="22"/>
                <w:szCs w:val="22"/>
                <w:lang w:val="sr-Latn-ME"/>
              </w:rPr>
            </w:pPr>
            <w:r w:rsidRPr="00424A4B">
              <w:rPr>
                <w:b/>
                <w:color w:val="000000"/>
                <w:sz w:val="22"/>
                <w:szCs w:val="22"/>
                <w:lang w:val="sr-Latn-ME"/>
              </w:rPr>
              <w:t>trastuzumab +</w:t>
            </w:r>
          </w:p>
          <w:p w:rsidR="005E6320" w:rsidRPr="00424A4B" w:rsidRDefault="005E6320" w:rsidP="0055503A">
            <w:pPr>
              <w:keepNext/>
              <w:keepLines/>
              <w:spacing w:line="240" w:lineRule="exact"/>
              <w:ind w:left="-24" w:right="-29"/>
              <w:jc w:val="center"/>
              <w:rPr>
                <w:b/>
                <w:color w:val="000000"/>
                <w:sz w:val="22"/>
                <w:szCs w:val="22"/>
                <w:lang w:val="sr-Latn-ME"/>
              </w:rPr>
            </w:pPr>
            <w:r w:rsidRPr="00424A4B">
              <w:rPr>
                <w:b/>
                <w:color w:val="000000"/>
                <w:sz w:val="22"/>
                <w:szCs w:val="22"/>
                <w:lang w:val="sr-Latn-ME"/>
              </w:rPr>
              <w:t>FEC</w:t>
            </w:r>
            <w:r w:rsidRPr="00424A4B">
              <w:rPr>
                <w:b/>
                <w:color w:val="000000"/>
                <w:sz w:val="22"/>
                <w:szCs w:val="22"/>
                <w:lang w:val="sr-Latn-ME"/>
              </w:rPr>
              <w:sym w:font="Wingdings" w:char="F0E0"/>
            </w:r>
          </w:p>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Perjeta +</w:t>
            </w:r>
          </w:p>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trastuzumab +</w:t>
            </w:r>
          </w:p>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docetaksel</w:t>
            </w:r>
          </w:p>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N=73</w:t>
            </w:r>
          </w:p>
        </w:tc>
        <w:tc>
          <w:tcPr>
            <w:tcW w:w="632" w:type="pct"/>
            <w:vAlign w:val="center"/>
          </w:tcPr>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FEC</w:t>
            </w:r>
            <w:r w:rsidRPr="00424A4B">
              <w:rPr>
                <w:b/>
                <w:color w:val="000000"/>
                <w:sz w:val="22"/>
                <w:szCs w:val="22"/>
                <w:lang w:val="sr-Latn-ME"/>
              </w:rPr>
              <w:sym w:font="Wingdings" w:char="F0E0"/>
            </w:r>
          </w:p>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Perjeta +</w:t>
            </w:r>
          </w:p>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trastuzumab+</w:t>
            </w:r>
          </w:p>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docetaksel</w:t>
            </w:r>
          </w:p>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N=75</w:t>
            </w:r>
          </w:p>
        </w:tc>
        <w:tc>
          <w:tcPr>
            <w:tcW w:w="569" w:type="pct"/>
            <w:vAlign w:val="center"/>
          </w:tcPr>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Perjeta</w:t>
            </w:r>
          </w:p>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 TCH</w:t>
            </w:r>
          </w:p>
          <w:p w:rsidR="005E6320" w:rsidRPr="00424A4B" w:rsidRDefault="005E6320" w:rsidP="0055503A">
            <w:pPr>
              <w:keepNext/>
              <w:keepLines/>
              <w:spacing w:line="240" w:lineRule="exact"/>
              <w:jc w:val="center"/>
              <w:rPr>
                <w:b/>
                <w:color w:val="000000"/>
                <w:sz w:val="22"/>
                <w:szCs w:val="22"/>
                <w:lang w:val="sr-Latn-ME"/>
              </w:rPr>
            </w:pPr>
            <w:r w:rsidRPr="00424A4B">
              <w:rPr>
                <w:b/>
                <w:color w:val="000000"/>
                <w:sz w:val="22"/>
                <w:szCs w:val="22"/>
                <w:lang w:val="sr-Latn-ME"/>
              </w:rPr>
              <w:t>N=77</w:t>
            </w:r>
          </w:p>
        </w:tc>
      </w:tr>
      <w:tr w:rsidR="005E6320" w:rsidRPr="00424A4B" w:rsidTr="00B30B91">
        <w:trPr>
          <w:gridAfter w:val="1"/>
          <w:wAfter w:w="5" w:type="pct"/>
          <w:cantSplit/>
          <w:trHeight w:val="964"/>
          <w:jc w:val="center"/>
        </w:trPr>
        <w:tc>
          <w:tcPr>
            <w:tcW w:w="566" w:type="pct"/>
          </w:tcPr>
          <w:p w:rsidR="005E6320" w:rsidRPr="00424A4B" w:rsidRDefault="005E6320" w:rsidP="0055503A">
            <w:pPr>
              <w:keepNext/>
              <w:keepLines/>
              <w:spacing w:line="280" w:lineRule="exact"/>
              <w:rPr>
                <w:color w:val="000000"/>
                <w:sz w:val="22"/>
                <w:szCs w:val="22"/>
                <w:lang w:val="sr-Latn-ME"/>
              </w:rPr>
            </w:pPr>
            <w:r w:rsidRPr="00424A4B">
              <w:rPr>
                <w:color w:val="000000"/>
                <w:sz w:val="22"/>
                <w:szCs w:val="22"/>
                <w:lang w:val="sr-Latn-ME"/>
              </w:rPr>
              <w:t>Stopa pCR</w:t>
            </w:r>
            <w:r w:rsidRPr="00424A4B">
              <w:rPr>
                <w:color w:val="000000"/>
                <w:sz w:val="22"/>
                <w:szCs w:val="22"/>
                <w:lang w:val="sr-Latn-ME"/>
              </w:rPr>
              <w:noBreakHyphen/>
              <w:t>a u dojci (ypT0/is)</w:t>
            </w:r>
          </w:p>
          <w:p w:rsidR="005E6320" w:rsidRPr="00424A4B" w:rsidRDefault="005E6320" w:rsidP="0055503A">
            <w:pPr>
              <w:keepNext/>
              <w:keepLines/>
              <w:spacing w:line="280" w:lineRule="exact"/>
              <w:rPr>
                <w:color w:val="000000"/>
                <w:sz w:val="22"/>
                <w:szCs w:val="22"/>
                <w:lang w:val="sr-Latn-ME"/>
              </w:rPr>
            </w:pPr>
            <w:r w:rsidRPr="00424A4B">
              <w:rPr>
                <w:color w:val="000000"/>
                <w:sz w:val="22"/>
                <w:szCs w:val="22"/>
                <w:lang w:val="sr-Latn-ME"/>
              </w:rPr>
              <w:t>n (%)</w:t>
            </w:r>
          </w:p>
          <w:p w:rsidR="005E6320" w:rsidRPr="00424A4B" w:rsidRDefault="005E6320" w:rsidP="0055503A">
            <w:pPr>
              <w:keepNext/>
              <w:keepLines/>
              <w:spacing w:line="280" w:lineRule="exact"/>
              <w:rPr>
                <w:color w:val="000000"/>
                <w:sz w:val="22"/>
                <w:szCs w:val="22"/>
                <w:lang w:val="sr-Latn-ME"/>
              </w:rPr>
            </w:pPr>
            <w:r w:rsidRPr="00424A4B">
              <w:rPr>
                <w:color w:val="000000"/>
                <w:sz w:val="22"/>
                <w:szCs w:val="22"/>
                <w:lang w:val="sr-Latn-ME"/>
              </w:rPr>
              <w:t>[95% CI]</w:t>
            </w:r>
            <w:r w:rsidRPr="00424A4B">
              <w:rPr>
                <w:color w:val="000000"/>
                <w:sz w:val="22"/>
                <w:szCs w:val="22"/>
                <w:vertAlign w:val="superscript"/>
                <w:lang w:val="sr-Latn-ME"/>
              </w:rPr>
              <w:t>1</w:t>
            </w:r>
          </w:p>
        </w:tc>
        <w:tc>
          <w:tcPr>
            <w:tcW w:w="633" w:type="pct"/>
            <w:vAlign w:val="center"/>
          </w:tcPr>
          <w:p w:rsidR="005E6320" w:rsidRPr="00424A4B" w:rsidRDefault="005E6320" w:rsidP="0055503A">
            <w:pPr>
              <w:keepNext/>
              <w:keepLines/>
              <w:spacing w:line="280" w:lineRule="exact"/>
              <w:jc w:val="center"/>
              <w:rPr>
                <w:color w:val="000000"/>
                <w:sz w:val="22"/>
                <w:szCs w:val="22"/>
                <w:lang w:val="sr-Latn-ME"/>
              </w:rPr>
            </w:pPr>
            <w:r w:rsidRPr="00424A4B">
              <w:rPr>
                <w:color w:val="000000"/>
                <w:sz w:val="22"/>
                <w:szCs w:val="22"/>
                <w:lang w:val="sr-Latn-ME"/>
              </w:rPr>
              <w:t>31 (29,0%)</w:t>
            </w:r>
          </w:p>
          <w:p w:rsidR="005E6320" w:rsidRPr="00424A4B" w:rsidRDefault="005E6320" w:rsidP="0055503A">
            <w:pPr>
              <w:keepNext/>
              <w:keepLines/>
              <w:spacing w:line="280" w:lineRule="exact"/>
              <w:jc w:val="center"/>
              <w:rPr>
                <w:color w:val="000000"/>
                <w:sz w:val="22"/>
                <w:szCs w:val="22"/>
                <w:lang w:val="sr-Latn-ME"/>
              </w:rPr>
            </w:pPr>
            <w:r w:rsidRPr="00424A4B">
              <w:rPr>
                <w:color w:val="000000"/>
                <w:sz w:val="22"/>
                <w:szCs w:val="22"/>
                <w:lang w:val="sr-Latn-ME"/>
              </w:rPr>
              <w:t>[20,6; 38,5]</w:t>
            </w:r>
          </w:p>
        </w:tc>
        <w:tc>
          <w:tcPr>
            <w:tcW w:w="698" w:type="pct"/>
            <w:vAlign w:val="center"/>
          </w:tcPr>
          <w:p w:rsidR="005E6320" w:rsidRPr="00424A4B" w:rsidRDefault="005E6320" w:rsidP="0055503A">
            <w:pPr>
              <w:keepNext/>
              <w:keepLines/>
              <w:spacing w:line="280" w:lineRule="exact"/>
              <w:jc w:val="center"/>
              <w:rPr>
                <w:color w:val="000000"/>
                <w:sz w:val="22"/>
                <w:szCs w:val="22"/>
                <w:lang w:val="sr-Latn-ME"/>
              </w:rPr>
            </w:pPr>
            <w:r w:rsidRPr="00424A4B">
              <w:rPr>
                <w:color w:val="000000"/>
                <w:sz w:val="22"/>
                <w:szCs w:val="22"/>
                <w:lang w:val="sr-Latn-ME"/>
              </w:rPr>
              <w:t>49 (45,8%)</w:t>
            </w:r>
          </w:p>
          <w:p w:rsidR="005E6320" w:rsidRPr="00424A4B" w:rsidRDefault="005E6320" w:rsidP="0055503A">
            <w:pPr>
              <w:keepNext/>
              <w:keepLines/>
              <w:spacing w:line="280" w:lineRule="exact"/>
              <w:jc w:val="center"/>
              <w:rPr>
                <w:color w:val="000000"/>
                <w:sz w:val="22"/>
                <w:szCs w:val="22"/>
                <w:lang w:val="sr-Latn-ME"/>
              </w:rPr>
            </w:pPr>
            <w:r w:rsidRPr="00424A4B">
              <w:rPr>
                <w:color w:val="000000"/>
                <w:sz w:val="22"/>
                <w:szCs w:val="22"/>
                <w:lang w:val="sr-Latn-ME"/>
              </w:rPr>
              <w:t>[36,1; 55,7]</w:t>
            </w:r>
          </w:p>
        </w:tc>
        <w:tc>
          <w:tcPr>
            <w:tcW w:w="633" w:type="pct"/>
            <w:vAlign w:val="center"/>
          </w:tcPr>
          <w:p w:rsidR="005E6320" w:rsidRPr="00424A4B" w:rsidRDefault="005E6320" w:rsidP="0055503A">
            <w:pPr>
              <w:keepNext/>
              <w:keepLines/>
              <w:spacing w:line="280" w:lineRule="exact"/>
              <w:jc w:val="center"/>
              <w:rPr>
                <w:color w:val="000000"/>
                <w:sz w:val="22"/>
                <w:szCs w:val="22"/>
                <w:lang w:val="sr-Latn-ME"/>
              </w:rPr>
            </w:pPr>
            <w:r w:rsidRPr="00424A4B">
              <w:rPr>
                <w:color w:val="000000"/>
                <w:sz w:val="22"/>
                <w:szCs w:val="22"/>
                <w:lang w:val="sr-Latn-ME"/>
              </w:rPr>
              <w:t>18 (16,8%)</w:t>
            </w:r>
          </w:p>
          <w:p w:rsidR="005E6320" w:rsidRPr="00424A4B" w:rsidRDefault="005E6320" w:rsidP="0055503A">
            <w:pPr>
              <w:keepNext/>
              <w:keepLines/>
              <w:spacing w:line="280" w:lineRule="exact"/>
              <w:jc w:val="center"/>
              <w:rPr>
                <w:color w:val="000000"/>
                <w:sz w:val="22"/>
                <w:szCs w:val="22"/>
                <w:lang w:val="sr-Latn-ME"/>
              </w:rPr>
            </w:pPr>
            <w:r w:rsidRPr="00424A4B">
              <w:rPr>
                <w:color w:val="000000"/>
                <w:sz w:val="22"/>
                <w:szCs w:val="22"/>
                <w:lang w:val="sr-Latn-ME"/>
              </w:rPr>
              <w:t>[10,3; 25,3]</w:t>
            </w:r>
          </w:p>
        </w:tc>
        <w:tc>
          <w:tcPr>
            <w:tcW w:w="635" w:type="pct"/>
            <w:vAlign w:val="center"/>
          </w:tcPr>
          <w:p w:rsidR="005E6320" w:rsidRPr="00424A4B" w:rsidRDefault="005E6320" w:rsidP="0055503A">
            <w:pPr>
              <w:keepNext/>
              <w:keepLines/>
              <w:spacing w:line="280" w:lineRule="exact"/>
              <w:jc w:val="center"/>
              <w:rPr>
                <w:color w:val="000000"/>
                <w:sz w:val="22"/>
                <w:szCs w:val="22"/>
                <w:lang w:val="sr-Latn-ME"/>
              </w:rPr>
            </w:pPr>
            <w:r w:rsidRPr="00424A4B">
              <w:rPr>
                <w:color w:val="000000"/>
                <w:sz w:val="22"/>
                <w:szCs w:val="22"/>
                <w:lang w:val="sr-Latn-ME"/>
              </w:rPr>
              <w:t>23 (24,0%)</w:t>
            </w:r>
          </w:p>
          <w:p w:rsidR="005E6320" w:rsidRPr="00424A4B" w:rsidRDefault="005E6320" w:rsidP="0055503A">
            <w:pPr>
              <w:keepNext/>
              <w:keepLines/>
              <w:spacing w:line="280" w:lineRule="exact"/>
              <w:jc w:val="center"/>
              <w:rPr>
                <w:color w:val="000000"/>
                <w:sz w:val="22"/>
                <w:szCs w:val="22"/>
                <w:lang w:val="sr-Latn-ME"/>
              </w:rPr>
            </w:pPr>
            <w:r w:rsidRPr="00424A4B">
              <w:rPr>
                <w:color w:val="000000"/>
                <w:sz w:val="22"/>
                <w:szCs w:val="22"/>
                <w:lang w:val="sr-Latn-ME"/>
              </w:rPr>
              <w:t>[15,8; 33,7]</w:t>
            </w:r>
          </w:p>
        </w:tc>
        <w:tc>
          <w:tcPr>
            <w:tcW w:w="631" w:type="pct"/>
            <w:gridSpan w:val="2"/>
            <w:vAlign w:val="center"/>
          </w:tcPr>
          <w:p w:rsidR="005E6320" w:rsidRPr="00424A4B" w:rsidRDefault="005E6320" w:rsidP="0055503A">
            <w:pPr>
              <w:keepNext/>
              <w:keepLines/>
              <w:spacing w:line="280" w:lineRule="exact"/>
              <w:jc w:val="center"/>
              <w:rPr>
                <w:color w:val="000000"/>
                <w:sz w:val="22"/>
                <w:szCs w:val="22"/>
                <w:lang w:val="sr-Latn-ME" w:eastAsia="zh-TW"/>
              </w:rPr>
            </w:pPr>
            <w:r w:rsidRPr="00424A4B">
              <w:rPr>
                <w:color w:val="000000"/>
                <w:sz w:val="22"/>
                <w:szCs w:val="22"/>
                <w:lang w:val="sr-Latn-ME" w:eastAsia="zh-TW"/>
              </w:rPr>
              <w:t>45 (61,6%)</w:t>
            </w:r>
          </w:p>
          <w:p w:rsidR="005E6320" w:rsidRPr="00424A4B" w:rsidRDefault="005E6320" w:rsidP="0055503A">
            <w:pPr>
              <w:keepNext/>
              <w:keepLines/>
              <w:spacing w:line="280" w:lineRule="exact"/>
              <w:jc w:val="center"/>
              <w:rPr>
                <w:color w:val="000000"/>
                <w:sz w:val="22"/>
                <w:szCs w:val="22"/>
                <w:lang w:val="sr-Latn-ME"/>
              </w:rPr>
            </w:pPr>
            <w:r w:rsidRPr="00424A4B">
              <w:rPr>
                <w:color w:val="000000"/>
                <w:sz w:val="22"/>
                <w:szCs w:val="22"/>
                <w:lang w:val="sr-Latn-ME" w:eastAsia="zh-TW"/>
              </w:rPr>
              <w:t>[49,5; 72,8]</w:t>
            </w:r>
          </w:p>
        </w:tc>
        <w:tc>
          <w:tcPr>
            <w:tcW w:w="632" w:type="pct"/>
            <w:vAlign w:val="center"/>
          </w:tcPr>
          <w:p w:rsidR="005E6320" w:rsidRPr="00424A4B" w:rsidRDefault="005E6320" w:rsidP="0055503A">
            <w:pPr>
              <w:keepNext/>
              <w:keepLines/>
              <w:spacing w:line="280" w:lineRule="exact"/>
              <w:jc w:val="center"/>
              <w:rPr>
                <w:color w:val="000000"/>
                <w:sz w:val="22"/>
                <w:szCs w:val="22"/>
                <w:lang w:val="sr-Latn-ME" w:eastAsia="zh-TW"/>
              </w:rPr>
            </w:pPr>
            <w:r w:rsidRPr="00424A4B">
              <w:rPr>
                <w:color w:val="000000"/>
                <w:sz w:val="22"/>
                <w:szCs w:val="22"/>
                <w:lang w:val="sr-Latn-ME" w:eastAsia="zh-TW"/>
              </w:rPr>
              <w:t>43 (57,3%)</w:t>
            </w:r>
          </w:p>
          <w:p w:rsidR="005E6320" w:rsidRPr="00424A4B" w:rsidRDefault="005E6320" w:rsidP="0055503A">
            <w:pPr>
              <w:keepNext/>
              <w:keepLines/>
              <w:spacing w:line="280" w:lineRule="exact"/>
              <w:jc w:val="center"/>
              <w:rPr>
                <w:color w:val="000000"/>
                <w:sz w:val="22"/>
                <w:szCs w:val="22"/>
                <w:lang w:val="sr-Latn-ME"/>
              </w:rPr>
            </w:pPr>
            <w:r w:rsidRPr="00424A4B">
              <w:rPr>
                <w:color w:val="000000"/>
                <w:sz w:val="22"/>
                <w:szCs w:val="22"/>
                <w:lang w:val="sr-Latn-ME" w:eastAsia="zh-TW"/>
              </w:rPr>
              <w:t>[45,4; 68,7]</w:t>
            </w:r>
          </w:p>
        </w:tc>
        <w:tc>
          <w:tcPr>
            <w:tcW w:w="569" w:type="pct"/>
            <w:vAlign w:val="center"/>
          </w:tcPr>
          <w:p w:rsidR="005E6320" w:rsidRPr="00424A4B" w:rsidRDefault="005E6320" w:rsidP="0055503A">
            <w:pPr>
              <w:keepNext/>
              <w:keepLines/>
              <w:spacing w:line="280" w:lineRule="exact"/>
              <w:jc w:val="center"/>
              <w:rPr>
                <w:color w:val="000000"/>
                <w:sz w:val="22"/>
                <w:szCs w:val="22"/>
                <w:lang w:val="sr-Latn-ME" w:eastAsia="zh-TW"/>
              </w:rPr>
            </w:pPr>
            <w:r w:rsidRPr="00424A4B">
              <w:rPr>
                <w:color w:val="000000"/>
                <w:sz w:val="22"/>
                <w:szCs w:val="22"/>
                <w:lang w:val="sr-Latn-ME" w:eastAsia="zh-TW"/>
              </w:rPr>
              <w:t>51 (66,2%)</w:t>
            </w:r>
          </w:p>
          <w:p w:rsidR="005E6320" w:rsidRPr="00424A4B" w:rsidRDefault="005E6320" w:rsidP="0055503A">
            <w:pPr>
              <w:keepNext/>
              <w:keepLines/>
              <w:spacing w:line="280" w:lineRule="exact"/>
              <w:jc w:val="center"/>
              <w:rPr>
                <w:color w:val="000000"/>
                <w:sz w:val="22"/>
                <w:szCs w:val="22"/>
                <w:lang w:val="sr-Latn-ME"/>
              </w:rPr>
            </w:pPr>
            <w:r w:rsidRPr="00424A4B">
              <w:rPr>
                <w:color w:val="000000"/>
                <w:sz w:val="22"/>
                <w:szCs w:val="22"/>
                <w:lang w:val="sr-Latn-ME" w:eastAsia="zh-TW"/>
              </w:rPr>
              <w:t>[54,6; 76,6]</w:t>
            </w:r>
          </w:p>
        </w:tc>
      </w:tr>
      <w:tr w:rsidR="005E6320" w:rsidRPr="00424A4B" w:rsidTr="00B30B91">
        <w:trPr>
          <w:gridAfter w:val="1"/>
          <w:wAfter w:w="5" w:type="pct"/>
          <w:cantSplit/>
          <w:jc w:val="center"/>
        </w:trPr>
        <w:tc>
          <w:tcPr>
            <w:tcW w:w="566" w:type="pct"/>
          </w:tcPr>
          <w:p w:rsidR="005E6320" w:rsidRPr="00424A4B" w:rsidRDefault="005E6320" w:rsidP="005C33D8">
            <w:pPr>
              <w:keepNext/>
              <w:keepLines/>
              <w:autoSpaceDE w:val="0"/>
              <w:autoSpaceDN w:val="0"/>
              <w:adjustRightInd w:val="0"/>
              <w:rPr>
                <w:color w:val="000000"/>
                <w:sz w:val="22"/>
                <w:szCs w:val="22"/>
                <w:vertAlign w:val="superscript"/>
                <w:lang w:val="sr-Latn-ME"/>
              </w:rPr>
            </w:pPr>
            <w:r w:rsidRPr="00424A4B">
              <w:rPr>
                <w:color w:val="000000"/>
                <w:sz w:val="22"/>
                <w:szCs w:val="22"/>
                <w:lang w:val="sr-Latn-ME"/>
              </w:rPr>
              <w:t>Razlika u stopama pCR</w:t>
            </w:r>
            <w:r w:rsidRPr="00424A4B">
              <w:rPr>
                <w:color w:val="000000"/>
                <w:sz w:val="22"/>
                <w:szCs w:val="22"/>
                <w:lang w:val="sr-Latn-ME"/>
              </w:rPr>
              <w:noBreakHyphen/>
              <w:t>a</w:t>
            </w:r>
            <w:r w:rsidRPr="00424A4B">
              <w:rPr>
                <w:color w:val="000000"/>
                <w:sz w:val="22"/>
                <w:szCs w:val="22"/>
                <w:vertAlign w:val="superscript"/>
                <w:lang w:val="sr-Latn-ME"/>
              </w:rPr>
              <w:t>2</w:t>
            </w:r>
          </w:p>
          <w:p w:rsidR="005E6320" w:rsidRPr="00424A4B" w:rsidRDefault="005E6320" w:rsidP="0055503A">
            <w:pPr>
              <w:keepNext/>
              <w:keepLines/>
              <w:spacing w:line="280" w:lineRule="exact"/>
              <w:rPr>
                <w:b/>
                <w:caps/>
                <w:color w:val="000000"/>
                <w:sz w:val="22"/>
                <w:szCs w:val="22"/>
                <w:lang w:val="sr-Latn-ME"/>
              </w:rPr>
            </w:pPr>
            <w:r w:rsidRPr="00424A4B">
              <w:rPr>
                <w:color w:val="000000"/>
                <w:sz w:val="22"/>
                <w:szCs w:val="22"/>
                <w:lang w:val="sr-Latn-ME"/>
              </w:rPr>
              <w:t>[95% CI]</w:t>
            </w:r>
            <w:r w:rsidRPr="00424A4B">
              <w:rPr>
                <w:color w:val="000000"/>
                <w:sz w:val="22"/>
                <w:szCs w:val="22"/>
                <w:vertAlign w:val="superscript"/>
                <w:lang w:val="sr-Latn-ME"/>
              </w:rPr>
              <w:t>3</w:t>
            </w:r>
          </w:p>
        </w:tc>
        <w:tc>
          <w:tcPr>
            <w:tcW w:w="633" w:type="pct"/>
            <w:vAlign w:val="center"/>
          </w:tcPr>
          <w:p w:rsidR="005E6320" w:rsidRPr="00424A4B" w:rsidRDefault="005E6320" w:rsidP="0055503A">
            <w:pPr>
              <w:keepNext/>
              <w:keepLines/>
              <w:spacing w:line="280" w:lineRule="exact"/>
              <w:jc w:val="center"/>
              <w:rPr>
                <w:color w:val="000000"/>
                <w:sz w:val="22"/>
                <w:szCs w:val="22"/>
                <w:lang w:val="sr-Latn-ME"/>
              </w:rPr>
            </w:pPr>
          </w:p>
        </w:tc>
        <w:tc>
          <w:tcPr>
            <w:tcW w:w="698" w:type="pct"/>
            <w:vAlign w:val="center"/>
          </w:tcPr>
          <w:p w:rsidR="005E6320" w:rsidRPr="00424A4B" w:rsidRDefault="005E6320" w:rsidP="0055503A">
            <w:pPr>
              <w:keepNext/>
              <w:keepLines/>
              <w:autoSpaceDE w:val="0"/>
              <w:autoSpaceDN w:val="0"/>
              <w:adjustRightInd w:val="0"/>
              <w:spacing w:line="280" w:lineRule="exact"/>
              <w:jc w:val="center"/>
              <w:rPr>
                <w:b/>
                <w:caps/>
                <w:color w:val="000000"/>
                <w:sz w:val="22"/>
                <w:szCs w:val="22"/>
                <w:lang w:val="sr-Latn-ME"/>
              </w:rPr>
            </w:pPr>
            <w:r w:rsidRPr="00424A4B">
              <w:rPr>
                <w:color w:val="000000"/>
                <w:sz w:val="22"/>
                <w:szCs w:val="22"/>
                <w:lang w:val="sr-Latn-ME"/>
              </w:rPr>
              <w:t>+16,8 %</w:t>
            </w:r>
          </w:p>
          <w:p w:rsidR="005E6320" w:rsidRPr="00424A4B" w:rsidRDefault="005E6320" w:rsidP="0055503A">
            <w:pPr>
              <w:keepNext/>
              <w:keepLines/>
              <w:autoSpaceDE w:val="0"/>
              <w:autoSpaceDN w:val="0"/>
              <w:adjustRightInd w:val="0"/>
              <w:spacing w:line="280" w:lineRule="exact"/>
              <w:jc w:val="center"/>
              <w:rPr>
                <w:color w:val="000000"/>
                <w:sz w:val="22"/>
                <w:szCs w:val="22"/>
                <w:lang w:val="sr-Latn-ME"/>
              </w:rPr>
            </w:pPr>
            <w:r w:rsidRPr="00424A4B">
              <w:rPr>
                <w:color w:val="000000"/>
                <w:sz w:val="22"/>
                <w:szCs w:val="22"/>
                <w:lang w:val="sr-Latn-ME"/>
              </w:rPr>
              <w:t>[3,5; 30,1]</w:t>
            </w:r>
          </w:p>
        </w:tc>
        <w:tc>
          <w:tcPr>
            <w:tcW w:w="633" w:type="pct"/>
            <w:vAlign w:val="center"/>
          </w:tcPr>
          <w:p w:rsidR="005E6320" w:rsidRPr="00424A4B" w:rsidRDefault="005E6320" w:rsidP="0055503A">
            <w:pPr>
              <w:keepNext/>
              <w:keepLines/>
              <w:autoSpaceDE w:val="0"/>
              <w:autoSpaceDN w:val="0"/>
              <w:adjustRightInd w:val="0"/>
              <w:spacing w:line="280" w:lineRule="exact"/>
              <w:jc w:val="center"/>
              <w:rPr>
                <w:b/>
                <w:caps/>
                <w:color w:val="000000"/>
                <w:sz w:val="22"/>
                <w:szCs w:val="22"/>
                <w:lang w:val="sr-Latn-ME"/>
              </w:rPr>
            </w:pPr>
            <w:r w:rsidRPr="00424A4B">
              <w:rPr>
                <w:color w:val="000000"/>
                <w:sz w:val="22"/>
                <w:szCs w:val="22"/>
                <w:lang w:val="sr-Latn-ME"/>
              </w:rPr>
              <w:t>-12,2 %</w:t>
            </w:r>
          </w:p>
          <w:p w:rsidR="005E6320" w:rsidRPr="00424A4B" w:rsidRDefault="005E6320" w:rsidP="0055503A">
            <w:pPr>
              <w:keepNext/>
              <w:keepLines/>
              <w:autoSpaceDE w:val="0"/>
              <w:autoSpaceDN w:val="0"/>
              <w:adjustRightInd w:val="0"/>
              <w:spacing w:line="280" w:lineRule="exact"/>
              <w:ind w:right="-81" w:hanging="82"/>
              <w:jc w:val="center"/>
              <w:rPr>
                <w:b/>
                <w:caps/>
                <w:color w:val="000000"/>
                <w:sz w:val="22"/>
                <w:szCs w:val="22"/>
                <w:lang w:val="sr-Latn-ME"/>
              </w:rPr>
            </w:pPr>
            <w:r w:rsidRPr="00424A4B">
              <w:rPr>
                <w:color w:val="000000"/>
                <w:sz w:val="22"/>
                <w:szCs w:val="22"/>
                <w:lang w:val="sr-Latn-ME"/>
              </w:rPr>
              <w:t>[-23,8; -0,5]</w:t>
            </w:r>
          </w:p>
        </w:tc>
        <w:tc>
          <w:tcPr>
            <w:tcW w:w="635" w:type="pct"/>
            <w:vAlign w:val="center"/>
          </w:tcPr>
          <w:p w:rsidR="005E6320" w:rsidRPr="00424A4B" w:rsidRDefault="005E6320" w:rsidP="0055503A">
            <w:pPr>
              <w:keepNext/>
              <w:keepLines/>
              <w:autoSpaceDE w:val="0"/>
              <w:autoSpaceDN w:val="0"/>
              <w:adjustRightInd w:val="0"/>
              <w:spacing w:line="280" w:lineRule="exact"/>
              <w:jc w:val="center"/>
              <w:rPr>
                <w:b/>
                <w:caps/>
                <w:color w:val="000000"/>
                <w:sz w:val="22"/>
                <w:szCs w:val="22"/>
                <w:lang w:val="sr-Latn-ME"/>
              </w:rPr>
            </w:pPr>
            <w:r w:rsidRPr="00424A4B">
              <w:rPr>
                <w:color w:val="000000"/>
                <w:sz w:val="22"/>
                <w:szCs w:val="22"/>
                <w:lang w:val="sr-Latn-ME"/>
              </w:rPr>
              <w:t>-21,8 %</w:t>
            </w:r>
          </w:p>
          <w:p w:rsidR="005E6320" w:rsidRPr="00424A4B" w:rsidRDefault="005E6320" w:rsidP="0055503A">
            <w:pPr>
              <w:keepNext/>
              <w:keepLines/>
              <w:autoSpaceDE w:val="0"/>
              <w:autoSpaceDN w:val="0"/>
              <w:adjustRightInd w:val="0"/>
              <w:spacing w:line="280" w:lineRule="exact"/>
              <w:ind w:right="-56" w:hanging="33"/>
              <w:jc w:val="center"/>
              <w:rPr>
                <w:b/>
                <w:caps/>
                <w:color w:val="000000"/>
                <w:sz w:val="22"/>
                <w:szCs w:val="22"/>
                <w:lang w:val="sr-Latn-ME"/>
              </w:rPr>
            </w:pPr>
            <w:r w:rsidRPr="00424A4B">
              <w:rPr>
                <w:color w:val="000000"/>
                <w:sz w:val="22"/>
                <w:szCs w:val="22"/>
                <w:lang w:val="sr-Latn-ME"/>
              </w:rPr>
              <w:t>[-35,1; -8,5]</w:t>
            </w:r>
          </w:p>
        </w:tc>
        <w:tc>
          <w:tcPr>
            <w:tcW w:w="631" w:type="pct"/>
            <w:gridSpan w:val="2"/>
            <w:vAlign w:val="center"/>
          </w:tcPr>
          <w:p w:rsidR="005E6320" w:rsidRPr="00424A4B" w:rsidRDefault="005E6320" w:rsidP="0055503A">
            <w:pPr>
              <w:keepNext/>
              <w:keepLines/>
              <w:spacing w:line="280" w:lineRule="exact"/>
              <w:jc w:val="center"/>
              <w:rPr>
                <w:color w:val="000000"/>
                <w:sz w:val="22"/>
                <w:szCs w:val="22"/>
                <w:lang w:val="sr-Latn-ME"/>
              </w:rPr>
            </w:pPr>
            <w:r w:rsidRPr="00424A4B">
              <w:rPr>
                <w:color w:val="000000"/>
                <w:sz w:val="22"/>
                <w:szCs w:val="22"/>
                <w:lang w:val="sr-Latn-ME"/>
              </w:rPr>
              <w:t>NP</w:t>
            </w:r>
          </w:p>
        </w:tc>
        <w:tc>
          <w:tcPr>
            <w:tcW w:w="632" w:type="pct"/>
            <w:vAlign w:val="center"/>
          </w:tcPr>
          <w:p w:rsidR="005E6320" w:rsidRPr="00424A4B" w:rsidRDefault="005E6320" w:rsidP="0055503A">
            <w:pPr>
              <w:keepNext/>
              <w:keepLines/>
              <w:spacing w:line="280" w:lineRule="exact"/>
              <w:jc w:val="center"/>
              <w:rPr>
                <w:color w:val="000000"/>
                <w:sz w:val="22"/>
                <w:szCs w:val="22"/>
                <w:lang w:val="sr-Latn-ME"/>
              </w:rPr>
            </w:pPr>
            <w:r w:rsidRPr="00424A4B">
              <w:rPr>
                <w:color w:val="000000"/>
                <w:sz w:val="22"/>
                <w:szCs w:val="22"/>
                <w:lang w:val="sr-Latn-ME"/>
              </w:rPr>
              <w:t>NP</w:t>
            </w:r>
          </w:p>
        </w:tc>
        <w:tc>
          <w:tcPr>
            <w:tcW w:w="569" w:type="pct"/>
            <w:vAlign w:val="center"/>
          </w:tcPr>
          <w:p w:rsidR="005E6320" w:rsidRPr="00424A4B" w:rsidRDefault="005E6320" w:rsidP="0055503A">
            <w:pPr>
              <w:keepNext/>
              <w:keepLines/>
              <w:spacing w:line="280" w:lineRule="exact"/>
              <w:jc w:val="center"/>
              <w:rPr>
                <w:color w:val="000000"/>
                <w:sz w:val="22"/>
                <w:szCs w:val="22"/>
                <w:lang w:val="sr-Latn-ME"/>
              </w:rPr>
            </w:pPr>
            <w:r w:rsidRPr="00424A4B">
              <w:rPr>
                <w:color w:val="000000"/>
                <w:sz w:val="22"/>
                <w:szCs w:val="22"/>
                <w:lang w:val="sr-Latn-ME"/>
              </w:rPr>
              <w:t>NP</w:t>
            </w:r>
          </w:p>
        </w:tc>
      </w:tr>
      <w:tr w:rsidR="005E6320" w:rsidRPr="00424A4B" w:rsidTr="00B30B91">
        <w:trPr>
          <w:gridAfter w:val="1"/>
          <w:wAfter w:w="5" w:type="pct"/>
          <w:cantSplit/>
          <w:jc w:val="center"/>
        </w:trPr>
        <w:tc>
          <w:tcPr>
            <w:tcW w:w="566" w:type="pct"/>
          </w:tcPr>
          <w:p w:rsidR="005E6320" w:rsidRPr="00424A4B" w:rsidRDefault="005E6320" w:rsidP="0055503A">
            <w:pPr>
              <w:spacing w:line="280" w:lineRule="exact"/>
              <w:rPr>
                <w:color w:val="000000"/>
                <w:sz w:val="22"/>
                <w:szCs w:val="22"/>
                <w:lang w:val="sr-Latn-ME"/>
              </w:rPr>
            </w:pPr>
            <w:r w:rsidRPr="00424A4B">
              <w:rPr>
                <w:color w:val="000000"/>
                <w:sz w:val="22"/>
                <w:szCs w:val="22"/>
                <w:lang w:val="sr-Latn-ME"/>
              </w:rPr>
              <w:t>p-vrijednost (uz Simesovu korekciju za CMH test)</w:t>
            </w:r>
            <w:r w:rsidRPr="00424A4B">
              <w:rPr>
                <w:color w:val="000000"/>
                <w:sz w:val="22"/>
                <w:szCs w:val="22"/>
                <w:vertAlign w:val="superscript"/>
                <w:lang w:val="sr-Latn-ME"/>
              </w:rPr>
              <w:t>4</w:t>
            </w:r>
          </w:p>
        </w:tc>
        <w:tc>
          <w:tcPr>
            <w:tcW w:w="633" w:type="pct"/>
            <w:vAlign w:val="center"/>
          </w:tcPr>
          <w:p w:rsidR="005E6320" w:rsidRPr="00424A4B" w:rsidRDefault="005E6320" w:rsidP="0055503A">
            <w:pPr>
              <w:spacing w:line="280" w:lineRule="exact"/>
              <w:jc w:val="center"/>
              <w:rPr>
                <w:color w:val="000000"/>
                <w:sz w:val="22"/>
                <w:szCs w:val="22"/>
                <w:lang w:val="sr-Latn-ME"/>
              </w:rPr>
            </w:pPr>
          </w:p>
        </w:tc>
        <w:tc>
          <w:tcPr>
            <w:tcW w:w="698" w:type="pct"/>
            <w:vAlign w:val="center"/>
          </w:tcPr>
          <w:p w:rsidR="005E6320" w:rsidRPr="00424A4B" w:rsidRDefault="005E6320" w:rsidP="0055503A">
            <w:pPr>
              <w:spacing w:line="280" w:lineRule="exact"/>
              <w:jc w:val="center"/>
              <w:rPr>
                <w:color w:val="000000"/>
                <w:sz w:val="22"/>
                <w:szCs w:val="22"/>
                <w:lang w:val="sr-Latn-ME"/>
              </w:rPr>
            </w:pPr>
            <w:r w:rsidRPr="00424A4B">
              <w:rPr>
                <w:color w:val="000000"/>
                <w:sz w:val="22"/>
                <w:szCs w:val="22"/>
                <w:lang w:val="sr-Latn-ME"/>
              </w:rPr>
              <w:t>0,0141</w:t>
            </w:r>
          </w:p>
          <w:p w:rsidR="005E6320" w:rsidRPr="00424A4B" w:rsidRDefault="005E6320" w:rsidP="0055503A">
            <w:pPr>
              <w:spacing w:line="280" w:lineRule="exact"/>
              <w:jc w:val="center"/>
              <w:rPr>
                <w:color w:val="000000"/>
                <w:sz w:val="22"/>
                <w:szCs w:val="22"/>
                <w:lang w:val="sr-Latn-ME"/>
              </w:rPr>
            </w:pPr>
            <w:r w:rsidRPr="00424A4B">
              <w:rPr>
                <w:color w:val="000000"/>
                <w:sz w:val="22"/>
                <w:szCs w:val="22"/>
                <w:lang w:val="sr-Latn-ME"/>
              </w:rPr>
              <w:t>(naspram trastuzumab  + docetaksel)</w:t>
            </w:r>
          </w:p>
        </w:tc>
        <w:tc>
          <w:tcPr>
            <w:tcW w:w="633" w:type="pct"/>
            <w:vAlign w:val="center"/>
          </w:tcPr>
          <w:p w:rsidR="005E6320" w:rsidRPr="00424A4B" w:rsidRDefault="005E6320" w:rsidP="0055503A">
            <w:pPr>
              <w:spacing w:line="280" w:lineRule="exact"/>
              <w:jc w:val="center"/>
              <w:rPr>
                <w:color w:val="000000"/>
                <w:sz w:val="22"/>
                <w:szCs w:val="22"/>
                <w:lang w:val="sr-Latn-ME"/>
              </w:rPr>
            </w:pPr>
            <w:r w:rsidRPr="00424A4B">
              <w:rPr>
                <w:color w:val="000000"/>
                <w:sz w:val="22"/>
                <w:szCs w:val="22"/>
                <w:lang w:val="sr-Latn-ME"/>
              </w:rPr>
              <w:t>0,0198</w:t>
            </w:r>
          </w:p>
          <w:p w:rsidR="005E6320" w:rsidRPr="00424A4B" w:rsidRDefault="005E6320" w:rsidP="0055503A">
            <w:pPr>
              <w:spacing w:line="280" w:lineRule="exact"/>
              <w:jc w:val="center"/>
              <w:rPr>
                <w:color w:val="000000"/>
                <w:sz w:val="22"/>
                <w:szCs w:val="22"/>
                <w:lang w:val="sr-Latn-ME"/>
              </w:rPr>
            </w:pPr>
            <w:r w:rsidRPr="00424A4B">
              <w:rPr>
                <w:color w:val="000000"/>
                <w:sz w:val="22"/>
                <w:szCs w:val="22"/>
                <w:lang w:val="sr-Latn-ME"/>
              </w:rPr>
              <w:t>(naspram trastuzumab  + docetaksel)</w:t>
            </w:r>
          </w:p>
        </w:tc>
        <w:tc>
          <w:tcPr>
            <w:tcW w:w="635" w:type="pct"/>
            <w:vAlign w:val="center"/>
          </w:tcPr>
          <w:p w:rsidR="005E6320" w:rsidRPr="00424A4B" w:rsidRDefault="005E6320" w:rsidP="0055503A">
            <w:pPr>
              <w:spacing w:line="280" w:lineRule="exact"/>
              <w:jc w:val="center"/>
              <w:rPr>
                <w:color w:val="000000"/>
                <w:sz w:val="22"/>
                <w:szCs w:val="22"/>
                <w:lang w:val="sr-Latn-ME"/>
              </w:rPr>
            </w:pPr>
            <w:r w:rsidRPr="00424A4B">
              <w:rPr>
                <w:color w:val="000000"/>
                <w:sz w:val="22"/>
                <w:szCs w:val="22"/>
                <w:lang w:val="sr-Latn-ME"/>
              </w:rPr>
              <w:t>0,0030</w:t>
            </w:r>
          </w:p>
          <w:p w:rsidR="005E6320" w:rsidRPr="00424A4B" w:rsidRDefault="005E6320" w:rsidP="0055503A">
            <w:pPr>
              <w:spacing w:line="280" w:lineRule="exact"/>
              <w:jc w:val="center"/>
              <w:rPr>
                <w:color w:val="000000"/>
                <w:sz w:val="22"/>
                <w:szCs w:val="22"/>
                <w:lang w:val="sr-Latn-ME"/>
              </w:rPr>
            </w:pPr>
            <w:r w:rsidRPr="00424A4B">
              <w:rPr>
                <w:color w:val="000000"/>
                <w:sz w:val="22"/>
                <w:szCs w:val="22"/>
                <w:lang w:val="sr-Latn-ME"/>
              </w:rPr>
              <w:t>(naspram Perjeta +</w:t>
            </w:r>
          </w:p>
          <w:p w:rsidR="005E6320" w:rsidRPr="00424A4B" w:rsidRDefault="005E6320" w:rsidP="0055503A">
            <w:pPr>
              <w:spacing w:line="280" w:lineRule="exact"/>
              <w:jc w:val="center"/>
              <w:rPr>
                <w:b/>
                <w:caps/>
                <w:color w:val="000000"/>
                <w:sz w:val="22"/>
                <w:szCs w:val="22"/>
                <w:lang w:val="sr-Latn-ME"/>
              </w:rPr>
            </w:pPr>
            <w:r w:rsidRPr="00424A4B">
              <w:rPr>
                <w:color w:val="000000"/>
                <w:sz w:val="22"/>
                <w:szCs w:val="22"/>
                <w:lang w:val="sr-Latn-ME"/>
              </w:rPr>
              <w:t>trastuzumab + docetaksel)</w:t>
            </w:r>
          </w:p>
        </w:tc>
        <w:tc>
          <w:tcPr>
            <w:tcW w:w="631" w:type="pct"/>
            <w:gridSpan w:val="2"/>
            <w:vAlign w:val="center"/>
          </w:tcPr>
          <w:p w:rsidR="005E6320" w:rsidRPr="00424A4B" w:rsidRDefault="005E6320" w:rsidP="0055503A">
            <w:pPr>
              <w:spacing w:line="280" w:lineRule="exact"/>
              <w:jc w:val="center"/>
              <w:rPr>
                <w:color w:val="000000"/>
                <w:sz w:val="22"/>
                <w:szCs w:val="22"/>
                <w:lang w:val="sr-Latn-ME"/>
              </w:rPr>
            </w:pPr>
            <w:r w:rsidRPr="00424A4B">
              <w:rPr>
                <w:color w:val="000000"/>
                <w:sz w:val="22"/>
                <w:szCs w:val="22"/>
                <w:lang w:val="sr-Latn-ME"/>
              </w:rPr>
              <w:t>NP</w:t>
            </w:r>
          </w:p>
        </w:tc>
        <w:tc>
          <w:tcPr>
            <w:tcW w:w="632" w:type="pct"/>
            <w:vAlign w:val="center"/>
          </w:tcPr>
          <w:p w:rsidR="005E6320" w:rsidRPr="00424A4B" w:rsidRDefault="005E6320" w:rsidP="0055503A">
            <w:pPr>
              <w:spacing w:line="280" w:lineRule="exact"/>
              <w:jc w:val="center"/>
              <w:rPr>
                <w:color w:val="000000"/>
                <w:sz w:val="22"/>
                <w:szCs w:val="22"/>
                <w:lang w:val="sr-Latn-ME"/>
              </w:rPr>
            </w:pPr>
            <w:r w:rsidRPr="00424A4B">
              <w:rPr>
                <w:color w:val="000000"/>
                <w:sz w:val="22"/>
                <w:szCs w:val="22"/>
                <w:lang w:val="sr-Latn-ME"/>
              </w:rPr>
              <w:t>NP</w:t>
            </w:r>
          </w:p>
        </w:tc>
        <w:tc>
          <w:tcPr>
            <w:tcW w:w="569" w:type="pct"/>
            <w:vAlign w:val="center"/>
          </w:tcPr>
          <w:p w:rsidR="005E6320" w:rsidRPr="00424A4B" w:rsidRDefault="005E6320" w:rsidP="0055503A">
            <w:pPr>
              <w:spacing w:line="280" w:lineRule="exact"/>
              <w:jc w:val="center"/>
              <w:rPr>
                <w:color w:val="000000"/>
                <w:sz w:val="22"/>
                <w:szCs w:val="22"/>
                <w:lang w:val="sr-Latn-ME"/>
              </w:rPr>
            </w:pPr>
            <w:r w:rsidRPr="00424A4B">
              <w:rPr>
                <w:color w:val="000000"/>
                <w:sz w:val="22"/>
                <w:szCs w:val="22"/>
                <w:lang w:val="sr-Latn-ME"/>
              </w:rPr>
              <w:t>NP</w:t>
            </w:r>
          </w:p>
        </w:tc>
      </w:tr>
      <w:tr w:rsidR="005E6320" w:rsidRPr="00424A4B" w:rsidTr="00B30B91">
        <w:trPr>
          <w:gridAfter w:val="1"/>
          <w:wAfter w:w="5" w:type="pct"/>
          <w:cantSplit/>
          <w:jc w:val="center"/>
        </w:trPr>
        <w:tc>
          <w:tcPr>
            <w:tcW w:w="566" w:type="pct"/>
          </w:tcPr>
          <w:p w:rsidR="005E6320" w:rsidRPr="00424A4B" w:rsidRDefault="005E6320" w:rsidP="005C33D8">
            <w:pPr>
              <w:spacing w:line="280" w:lineRule="exact"/>
              <w:rPr>
                <w:color w:val="000000"/>
                <w:sz w:val="22"/>
                <w:szCs w:val="22"/>
                <w:lang w:val="sr-Latn-ME"/>
              </w:rPr>
            </w:pPr>
            <w:r w:rsidRPr="00424A4B">
              <w:rPr>
                <w:color w:val="000000"/>
                <w:sz w:val="22"/>
                <w:szCs w:val="22"/>
                <w:lang w:val="sr-Latn-ME"/>
              </w:rPr>
              <w:t>Stopa pCR</w:t>
            </w:r>
            <w:r w:rsidRPr="00424A4B">
              <w:rPr>
                <w:color w:val="000000"/>
                <w:sz w:val="22"/>
                <w:szCs w:val="22"/>
                <w:lang w:val="sr-Latn-ME"/>
              </w:rPr>
              <w:noBreakHyphen/>
              <w:t>a u dojci i limfnom čvoru (ypT0/is N0)</w:t>
            </w:r>
          </w:p>
          <w:p w:rsidR="005E6320" w:rsidRPr="00424A4B" w:rsidRDefault="005E6320" w:rsidP="0055503A">
            <w:pPr>
              <w:spacing w:line="280" w:lineRule="exact"/>
              <w:rPr>
                <w:b/>
                <w:caps/>
                <w:color w:val="000000"/>
                <w:sz w:val="22"/>
                <w:szCs w:val="22"/>
                <w:lang w:val="sr-Latn-ME"/>
              </w:rPr>
            </w:pPr>
            <w:r w:rsidRPr="00424A4B">
              <w:rPr>
                <w:color w:val="000000"/>
                <w:sz w:val="22"/>
                <w:szCs w:val="22"/>
                <w:lang w:val="sr-Latn-ME"/>
              </w:rPr>
              <w:t>n (%)</w:t>
            </w:r>
          </w:p>
          <w:p w:rsidR="005E6320" w:rsidRPr="00424A4B" w:rsidRDefault="005E6320" w:rsidP="0055503A">
            <w:pPr>
              <w:spacing w:line="280" w:lineRule="exact"/>
              <w:rPr>
                <w:color w:val="000000"/>
                <w:sz w:val="22"/>
                <w:szCs w:val="22"/>
                <w:lang w:val="sr-Latn-ME"/>
              </w:rPr>
            </w:pPr>
            <w:r w:rsidRPr="00424A4B">
              <w:rPr>
                <w:color w:val="000000"/>
                <w:sz w:val="22"/>
                <w:szCs w:val="22"/>
                <w:lang w:val="sr-Latn-ME"/>
              </w:rPr>
              <w:t>[95% CI]</w:t>
            </w:r>
          </w:p>
        </w:tc>
        <w:tc>
          <w:tcPr>
            <w:tcW w:w="633" w:type="pct"/>
            <w:vAlign w:val="center"/>
          </w:tcPr>
          <w:p w:rsidR="005E6320" w:rsidRPr="00424A4B" w:rsidRDefault="005E6320" w:rsidP="0055503A">
            <w:pPr>
              <w:spacing w:line="280" w:lineRule="exact"/>
              <w:jc w:val="center"/>
              <w:rPr>
                <w:color w:val="000000"/>
                <w:sz w:val="22"/>
                <w:szCs w:val="22"/>
                <w:lang w:val="sr-Latn-ME" w:eastAsia="zh-TW"/>
              </w:rPr>
            </w:pPr>
            <w:r w:rsidRPr="00424A4B">
              <w:rPr>
                <w:color w:val="000000"/>
                <w:sz w:val="22"/>
                <w:szCs w:val="22"/>
                <w:lang w:val="sr-Latn-ME" w:eastAsia="zh-TW"/>
              </w:rPr>
              <w:t>23 (21,5%)</w:t>
            </w:r>
          </w:p>
          <w:p w:rsidR="005E6320" w:rsidRPr="00424A4B" w:rsidRDefault="005E6320" w:rsidP="0055503A">
            <w:pPr>
              <w:spacing w:line="240" w:lineRule="exact"/>
              <w:jc w:val="center"/>
              <w:rPr>
                <w:color w:val="000000"/>
                <w:sz w:val="22"/>
                <w:szCs w:val="22"/>
                <w:lang w:val="sr-Latn-ME"/>
              </w:rPr>
            </w:pPr>
            <w:r w:rsidRPr="00424A4B">
              <w:rPr>
                <w:color w:val="000000"/>
                <w:sz w:val="22"/>
                <w:szCs w:val="22"/>
                <w:lang w:val="sr-Latn-ME"/>
              </w:rPr>
              <w:t>[14,1; 30,5]</w:t>
            </w:r>
          </w:p>
        </w:tc>
        <w:tc>
          <w:tcPr>
            <w:tcW w:w="698" w:type="pct"/>
            <w:vAlign w:val="center"/>
          </w:tcPr>
          <w:p w:rsidR="005E6320" w:rsidRPr="00424A4B" w:rsidRDefault="005E6320" w:rsidP="0055503A">
            <w:pPr>
              <w:spacing w:line="280" w:lineRule="exact"/>
              <w:jc w:val="center"/>
              <w:rPr>
                <w:color w:val="000000"/>
                <w:sz w:val="22"/>
                <w:szCs w:val="22"/>
                <w:lang w:val="sr-Latn-ME" w:eastAsia="zh-TW"/>
              </w:rPr>
            </w:pPr>
            <w:r w:rsidRPr="00424A4B">
              <w:rPr>
                <w:color w:val="000000"/>
                <w:sz w:val="22"/>
                <w:szCs w:val="22"/>
                <w:lang w:val="sr-Latn-ME" w:eastAsia="zh-TW"/>
              </w:rPr>
              <w:t>42 (39,3%)</w:t>
            </w:r>
          </w:p>
          <w:p w:rsidR="005E6320" w:rsidRPr="00424A4B" w:rsidRDefault="005E6320" w:rsidP="0055503A">
            <w:pPr>
              <w:spacing w:line="240" w:lineRule="exact"/>
              <w:jc w:val="center"/>
              <w:rPr>
                <w:color w:val="000000"/>
                <w:sz w:val="22"/>
                <w:szCs w:val="22"/>
                <w:lang w:val="sr-Latn-ME"/>
              </w:rPr>
            </w:pPr>
            <w:r w:rsidRPr="00424A4B">
              <w:rPr>
                <w:color w:val="000000"/>
                <w:sz w:val="22"/>
                <w:szCs w:val="22"/>
                <w:lang w:val="sr-Latn-ME"/>
              </w:rPr>
              <w:t>[30,3; 49,2]</w:t>
            </w:r>
          </w:p>
        </w:tc>
        <w:tc>
          <w:tcPr>
            <w:tcW w:w="633" w:type="pct"/>
            <w:vAlign w:val="center"/>
          </w:tcPr>
          <w:p w:rsidR="005E6320" w:rsidRPr="00424A4B" w:rsidRDefault="005E6320" w:rsidP="0055503A">
            <w:pPr>
              <w:spacing w:line="280" w:lineRule="exact"/>
              <w:jc w:val="center"/>
              <w:rPr>
                <w:color w:val="000000"/>
                <w:sz w:val="22"/>
                <w:szCs w:val="22"/>
                <w:lang w:val="sr-Latn-ME" w:eastAsia="zh-TW"/>
              </w:rPr>
            </w:pPr>
            <w:r w:rsidRPr="00424A4B">
              <w:rPr>
                <w:color w:val="000000"/>
                <w:sz w:val="22"/>
                <w:szCs w:val="22"/>
                <w:lang w:val="sr-Latn-ME" w:eastAsia="zh-TW"/>
              </w:rPr>
              <w:t>12 (11,2%)</w:t>
            </w:r>
          </w:p>
          <w:p w:rsidR="005E6320" w:rsidRPr="00424A4B" w:rsidRDefault="005E6320" w:rsidP="0055503A">
            <w:pPr>
              <w:spacing w:line="240" w:lineRule="exact"/>
              <w:jc w:val="center"/>
              <w:rPr>
                <w:color w:val="000000"/>
                <w:sz w:val="22"/>
                <w:szCs w:val="22"/>
                <w:lang w:val="sr-Latn-ME"/>
              </w:rPr>
            </w:pPr>
            <w:r w:rsidRPr="00424A4B">
              <w:rPr>
                <w:color w:val="000000"/>
                <w:sz w:val="22"/>
                <w:szCs w:val="22"/>
                <w:lang w:val="sr-Latn-ME"/>
              </w:rPr>
              <w:t>[5,9; 18,8]</w:t>
            </w:r>
          </w:p>
        </w:tc>
        <w:tc>
          <w:tcPr>
            <w:tcW w:w="635" w:type="pct"/>
            <w:vAlign w:val="center"/>
          </w:tcPr>
          <w:p w:rsidR="005E6320" w:rsidRPr="00424A4B" w:rsidRDefault="005E6320" w:rsidP="0055503A">
            <w:pPr>
              <w:spacing w:line="280" w:lineRule="exact"/>
              <w:jc w:val="center"/>
              <w:rPr>
                <w:color w:val="000000"/>
                <w:sz w:val="22"/>
                <w:szCs w:val="22"/>
                <w:lang w:val="sr-Latn-ME" w:eastAsia="zh-TW"/>
              </w:rPr>
            </w:pPr>
            <w:r w:rsidRPr="00424A4B">
              <w:rPr>
                <w:color w:val="000000"/>
                <w:sz w:val="22"/>
                <w:szCs w:val="22"/>
                <w:lang w:val="sr-Latn-ME" w:eastAsia="zh-TW"/>
              </w:rPr>
              <w:t>17 (17,7%)</w:t>
            </w:r>
          </w:p>
          <w:p w:rsidR="005E6320" w:rsidRPr="00424A4B" w:rsidRDefault="005E6320" w:rsidP="0055503A">
            <w:pPr>
              <w:spacing w:line="240" w:lineRule="exact"/>
              <w:jc w:val="center"/>
              <w:rPr>
                <w:color w:val="000000"/>
                <w:sz w:val="22"/>
                <w:szCs w:val="22"/>
                <w:lang w:val="sr-Latn-ME"/>
              </w:rPr>
            </w:pPr>
            <w:r w:rsidRPr="00424A4B">
              <w:rPr>
                <w:color w:val="000000"/>
                <w:sz w:val="22"/>
                <w:szCs w:val="22"/>
                <w:lang w:val="sr-Latn-ME"/>
              </w:rPr>
              <w:t>[10,7; 26,8]</w:t>
            </w:r>
          </w:p>
        </w:tc>
        <w:tc>
          <w:tcPr>
            <w:tcW w:w="631" w:type="pct"/>
            <w:gridSpan w:val="2"/>
            <w:vAlign w:val="center"/>
          </w:tcPr>
          <w:p w:rsidR="005E6320" w:rsidRPr="00424A4B" w:rsidRDefault="005E6320" w:rsidP="0055503A">
            <w:pPr>
              <w:spacing w:line="280" w:lineRule="exact"/>
              <w:jc w:val="center"/>
              <w:rPr>
                <w:color w:val="000000"/>
                <w:sz w:val="22"/>
                <w:szCs w:val="22"/>
                <w:lang w:val="sr-Latn-ME" w:eastAsia="zh-TW"/>
              </w:rPr>
            </w:pPr>
            <w:r w:rsidRPr="00424A4B">
              <w:rPr>
                <w:color w:val="000000"/>
                <w:sz w:val="22"/>
                <w:szCs w:val="22"/>
                <w:lang w:val="sr-Latn-ME" w:eastAsia="zh-TW"/>
              </w:rPr>
              <w:t>41 (56,2%)</w:t>
            </w:r>
          </w:p>
          <w:p w:rsidR="005E6320" w:rsidRPr="00424A4B" w:rsidRDefault="005E6320" w:rsidP="0055503A">
            <w:pPr>
              <w:spacing w:line="280" w:lineRule="exact"/>
              <w:jc w:val="center"/>
              <w:rPr>
                <w:color w:val="000000"/>
                <w:sz w:val="22"/>
                <w:szCs w:val="22"/>
                <w:lang w:val="sr-Latn-ME"/>
              </w:rPr>
            </w:pPr>
            <w:r w:rsidRPr="00424A4B">
              <w:rPr>
                <w:color w:val="000000"/>
                <w:sz w:val="22"/>
                <w:szCs w:val="22"/>
                <w:lang w:val="sr-Latn-ME" w:eastAsia="zh-TW"/>
              </w:rPr>
              <w:t>[44,1; 67,8]</w:t>
            </w:r>
          </w:p>
        </w:tc>
        <w:tc>
          <w:tcPr>
            <w:tcW w:w="632" w:type="pct"/>
            <w:vAlign w:val="center"/>
          </w:tcPr>
          <w:p w:rsidR="005E6320" w:rsidRPr="00424A4B" w:rsidRDefault="005E6320" w:rsidP="0055503A">
            <w:pPr>
              <w:spacing w:line="280" w:lineRule="exact"/>
              <w:jc w:val="center"/>
              <w:rPr>
                <w:color w:val="000000"/>
                <w:sz w:val="22"/>
                <w:szCs w:val="22"/>
                <w:lang w:val="sr-Latn-ME" w:eastAsia="zh-TW"/>
              </w:rPr>
            </w:pPr>
            <w:r w:rsidRPr="00424A4B">
              <w:rPr>
                <w:color w:val="000000"/>
                <w:sz w:val="22"/>
                <w:szCs w:val="22"/>
                <w:lang w:val="sr-Latn-ME" w:eastAsia="zh-TW"/>
              </w:rPr>
              <w:t>41 (54,7%)</w:t>
            </w:r>
          </w:p>
          <w:p w:rsidR="005E6320" w:rsidRPr="00424A4B" w:rsidRDefault="005E6320" w:rsidP="0055503A">
            <w:pPr>
              <w:spacing w:line="280" w:lineRule="exact"/>
              <w:jc w:val="center"/>
              <w:rPr>
                <w:color w:val="000000"/>
                <w:sz w:val="22"/>
                <w:szCs w:val="22"/>
                <w:lang w:val="sr-Latn-ME"/>
              </w:rPr>
            </w:pPr>
            <w:r w:rsidRPr="00424A4B">
              <w:rPr>
                <w:color w:val="000000"/>
                <w:sz w:val="22"/>
                <w:szCs w:val="22"/>
                <w:lang w:val="sr-Latn-ME" w:eastAsia="zh-TW"/>
              </w:rPr>
              <w:t>[42,7; 66,2]</w:t>
            </w:r>
          </w:p>
        </w:tc>
        <w:tc>
          <w:tcPr>
            <w:tcW w:w="569" w:type="pct"/>
            <w:vAlign w:val="center"/>
          </w:tcPr>
          <w:p w:rsidR="005E6320" w:rsidRPr="00424A4B" w:rsidRDefault="005E6320" w:rsidP="0055503A">
            <w:pPr>
              <w:spacing w:line="280" w:lineRule="exact"/>
              <w:jc w:val="center"/>
              <w:rPr>
                <w:color w:val="000000"/>
                <w:sz w:val="22"/>
                <w:szCs w:val="22"/>
                <w:lang w:val="sr-Latn-ME" w:eastAsia="zh-TW"/>
              </w:rPr>
            </w:pPr>
            <w:r w:rsidRPr="00424A4B">
              <w:rPr>
                <w:color w:val="000000"/>
                <w:sz w:val="22"/>
                <w:szCs w:val="22"/>
                <w:lang w:val="sr-Latn-ME" w:eastAsia="zh-TW"/>
              </w:rPr>
              <w:t>49 (63,6%)</w:t>
            </w:r>
          </w:p>
          <w:p w:rsidR="005E6320" w:rsidRPr="00424A4B" w:rsidRDefault="005E6320" w:rsidP="0055503A">
            <w:pPr>
              <w:spacing w:line="280" w:lineRule="exact"/>
              <w:jc w:val="center"/>
              <w:rPr>
                <w:color w:val="000000"/>
                <w:sz w:val="22"/>
                <w:szCs w:val="22"/>
                <w:lang w:val="sr-Latn-ME"/>
              </w:rPr>
            </w:pPr>
            <w:r w:rsidRPr="00424A4B">
              <w:rPr>
                <w:color w:val="000000"/>
                <w:sz w:val="22"/>
                <w:szCs w:val="22"/>
                <w:lang w:val="sr-Latn-ME" w:eastAsia="zh-TW"/>
              </w:rPr>
              <w:t>[51,9; 74,3]</w:t>
            </w:r>
          </w:p>
        </w:tc>
      </w:tr>
      <w:tr w:rsidR="005E6320" w:rsidRPr="00424A4B" w:rsidTr="00B30B91">
        <w:trPr>
          <w:gridAfter w:val="1"/>
          <w:wAfter w:w="5" w:type="pct"/>
          <w:cantSplit/>
          <w:jc w:val="center"/>
        </w:trPr>
        <w:tc>
          <w:tcPr>
            <w:tcW w:w="566" w:type="pct"/>
          </w:tcPr>
          <w:p w:rsidR="005E6320" w:rsidRPr="00424A4B" w:rsidRDefault="005E6320" w:rsidP="0055503A">
            <w:pPr>
              <w:spacing w:line="280" w:lineRule="exact"/>
              <w:rPr>
                <w:color w:val="000000"/>
                <w:sz w:val="22"/>
                <w:szCs w:val="22"/>
                <w:lang w:val="sr-Latn-ME"/>
              </w:rPr>
            </w:pPr>
            <w:r w:rsidRPr="00424A4B">
              <w:rPr>
                <w:color w:val="000000"/>
                <w:sz w:val="22"/>
                <w:szCs w:val="22"/>
                <w:lang w:val="sr-Latn-ME"/>
              </w:rPr>
              <w:t xml:space="preserve">ypT0 N0 </w:t>
            </w:r>
          </w:p>
          <w:p w:rsidR="005E6320" w:rsidRPr="00424A4B" w:rsidRDefault="005E6320" w:rsidP="0055503A">
            <w:pPr>
              <w:spacing w:line="280" w:lineRule="exact"/>
              <w:rPr>
                <w:b/>
                <w:caps/>
                <w:color w:val="000000"/>
                <w:sz w:val="22"/>
                <w:szCs w:val="22"/>
                <w:lang w:val="sr-Latn-ME"/>
              </w:rPr>
            </w:pPr>
            <w:r w:rsidRPr="00424A4B">
              <w:rPr>
                <w:color w:val="000000"/>
                <w:sz w:val="22"/>
                <w:szCs w:val="22"/>
                <w:lang w:val="sr-Latn-ME"/>
              </w:rPr>
              <w:t>n (%)</w:t>
            </w:r>
          </w:p>
          <w:p w:rsidR="005E6320" w:rsidRPr="00424A4B" w:rsidRDefault="005E6320" w:rsidP="0055503A">
            <w:pPr>
              <w:spacing w:line="280" w:lineRule="exact"/>
              <w:rPr>
                <w:color w:val="000000"/>
                <w:sz w:val="22"/>
                <w:szCs w:val="22"/>
                <w:lang w:val="sr-Latn-ME"/>
              </w:rPr>
            </w:pPr>
            <w:r w:rsidRPr="00424A4B">
              <w:rPr>
                <w:color w:val="000000"/>
                <w:sz w:val="22"/>
                <w:szCs w:val="22"/>
                <w:lang w:val="sr-Latn-ME"/>
              </w:rPr>
              <w:t>[95% CI]</w:t>
            </w:r>
          </w:p>
        </w:tc>
        <w:tc>
          <w:tcPr>
            <w:tcW w:w="633" w:type="pct"/>
            <w:vAlign w:val="center"/>
          </w:tcPr>
          <w:p w:rsidR="005E6320" w:rsidRPr="00424A4B" w:rsidRDefault="005E6320" w:rsidP="0055503A">
            <w:pPr>
              <w:spacing w:line="280" w:lineRule="exact"/>
              <w:jc w:val="center"/>
              <w:rPr>
                <w:b/>
                <w:caps/>
                <w:color w:val="000000"/>
                <w:kern w:val="24"/>
                <w:sz w:val="22"/>
                <w:szCs w:val="22"/>
                <w:lang w:val="sr-Latn-ME"/>
              </w:rPr>
            </w:pPr>
            <w:r w:rsidRPr="00424A4B">
              <w:rPr>
                <w:color w:val="000000"/>
                <w:kern w:val="24"/>
                <w:sz w:val="22"/>
                <w:szCs w:val="22"/>
                <w:lang w:val="sr-Latn-ME"/>
              </w:rPr>
              <w:t>13 (12,1%)</w:t>
            </w:r>
          </w:p>
          <w:p w:rsidR="005E6320" w:rsidRPr="00424A4B" w:rsidRDefault="005E6320" w:rsidP="0055503A">
            <w:pPr>
              <w:spacing w:line="280" w:lineRule="exact"/>
              <w:jc w:val="center"/>
              <w:rPr>
                <w:b/>
                <w:caps/>
                <w:color w:val="000000"/>
                <w:sz w:val="22"/>
                <w:szCs w:val="22"/>
                <w:lang w:val="sr-Latn-ME"/>
              </w:rPr>
            </w:pPr>
            <w:r w:rsidRPr="00424A4B">
              <w:rPr>
                <w:color w:val="000000"/>
                <w:sz w:val="22"/>
                <w:szCs w:val="22"/>
                <w:lang w:val="sr-Latn-ME"/>
              </w:rPr>
              <w:t>[6,6; 19,9]</w:t>
            </w:r>
          </w:p>
        </w:tc>
        <w:tc>
          <w:tcPr>
            <w:tcW w:w="698" w:type="pct"/>
            <w:vAlign w:val="center"/>
          </w:tcPr>
          <w:p w:rsidR="005E6320" w:rsidRPr="00424A4B" w:rsidRDefault="005E6320" w:rsidP="0055503A">
            <w:pPr>
              <w:spacing w:line="280" w:lineRule="exact"/>
              <w:jc w:val="center"/>
              <w:rPr>
                <w:b/>
                <w:caps/>
                <w:color w:val="000000"/>
                <w:kern w:val="24"/>
                <w:sz w:val="22"/>
                <w:szCs w:val="22"/>
                <w:lang w:val="sr-Latn-ME"/>
              </w:rPr>
            </w:pPr>
            <w:r w:rsidRPr="00424A4B">
              <w:rPr>
                <w:color w:val="000000"/>
                <w:kern w:val="24"/>
                <w:sz w:val="22"/>
                <w:szCs w:val="22"/>
                <w:lang w:val="sr-Latn-ME"/>
              </w:rPr>
              <w:t>35 (32,7%)</w:t>
            </w:r>
          </w:p>
          <w:p w:rsidR="005E6320" w:rsidRPr="00424A4B" w:rsidRDefault="005E6320" w:rsidP="0055503A">
            <w:pPr>
              <w:spacing w:line="280" w:lineRule="exact"/>
              <w:jc w:val="center"/>
              <w:rPr>
                <w:b/>
                <w:caps/>
                <w:color w:val="000000"/>
                <w:sz w:val="22"/>
                <w:szCs w:val="22"/>
                <w:lang w:val="sr-Latn-ME"/>
              </w:rPr>
            </w:pPr>
            <w:r w:rsidRPr="00424A4B">
              <w:rPr>
                <w:color w:val="000000"/>
                <w:kern w:val="24"/>
                <w:sz w:val="22"/>
                <w:szCs w:val="22"/>
                <w:lang w:val="sr-Latn-ME"/>
              </w:rPr>
              <w:t>[24,0; 42,5]</w:t>
            </w:r>
          </w:p>
        </w:tc>
        <w:tc>
          <w:tcPr>
            <w:tcW w:w="633" w:type="pct"/>
            <w:vAlign w:val="center"/>
          </w:tcPr>
          <w:p w:rsidR="005E6320" w:rsidRPr="00424A4B" w:rsidRDefault="005E6320" w:rsidP="0055503A">
            <w:pPr>
              <w:spacing w:line="280" w:lineRule="exact"/>
              <w:jc w:val="center"/>
              <w:rPr>
                <w:b/>
                <w:caps/>
                <w:color w:val="000000"/>
                <w:kern w:val="24"/>
                <w:sz w:val="22"/>
                <w:szCs w:val="22"/>
                <w:lang w:val="sr-Latn-ME"/>
              </w:rPr>
            </w:pPr>
            <w:r w:rsidRPr="00424A4B">
              <w:rPr>
                <w:color w:val="000000"/>
                <w:kern w:val="24"/>
                <w:sz w:val="22"/>
                <w:szCs w:val="22"/>
                <w:lang w:val="sr-Latn-ME"/>
              </w:rPr>
              <w:t>6 (5,6%)</w:t>
            </w:r>
          </w:p>
          <w:p w:rsidR="005E6320" w:rsidRPr="00424A4B" w:rsidRDefault="005E6320" w:rsidP="0055503A">
            <w:pPr>
              <w:spacing w:line="280" w:lineRule="exact"/>
              <w:jc w:val="center"/>
              <w:rPr>
                <w:b/>
                <w:caps/>
                <w:color w:val="000000"/>
                <w:sz w:val="22"/>
                <w:szCs w:val="22"/>
                <w:lang w:val="sr-Latn-ME"/>
              </w:rPr>
            </w:pPr>
            <w:r w:rsidRPr="00424A4B">
              <w:rPr>
                <w:color w:val="000000"/>
                <w:kern w:val="24"/>
                <w:sz w:val="22"/>
                <w:szCs w:val="22"/>
                <w:lang w:val="sr-Latn-ME"/>
              </w:rPr>
              <w:t>[2,1; 11,8]</w:t>
            </w:r>
          </w:p>
        </w:tc>
        <w:tc>
          <w:tcPr>
            <w:tcW w:w="635" w:type="pct"/>
            <w:vAlign w:val="center"/>
          </w:tcPr>
          <w:p w:rsidR="005E6320" w:rsidRPr="00424A4B" w:rsidRDefault="005E6320" w:rsidP="0055503A">
            <w:pPr>
              <w:spacing w:line="280" w:lineRule="exact"/>
              <w:jc w:val="center"/>
              <w:rPr>
                <w:b/>
                <w:caps/>
                <w:color w:val="000000"/>
                <w:kern w:val="24"/>
                <w:sz w:val="22"/>
                <w:szCs w:val="22"/>
                <w:lang w:val="sr-Latn-ME"/>
              </w:rPr>
            </w:pPr>
            <w:r w:rsidRPr="00424A4B">
              <w:rPr>
                <w:color w:val="000000"/>
                <w:kern w:val="24"/>
                <w:sz w:val="22"/>
                <w:szCs w:val="22"/>
                <w:lang w:val="sr-Latn-ME"/>
              </w:rPr>
              <w:t>13 (13,2%)</w:t>
            </w:r>
          </w:p>
          <w:p w:rsidR="005E6320" w:rsidRPr="00424A4B" w:rsidRDefault="005E6320" w:rsidP="0055503A">
            <w:pPr>
              <w:spacing w:line="280" w:lineRule="exact"/>
              <w:jc w:val="center"/>
              <w:rPr>
                <w:b/>
                <w:caps/>
                <w:color w:val="000000"/>
                <w:sz w:val="22"/>
                <w:szCs w:val="22"/>
                <w:lang w:val="sr-Latn-ME"/>
              </w:rPr>
            </w:pPr>
            <w:r w:rsidRPr="00424A4B">
              <w:rPr>
                <w:color w:val="000000"/>
                <w:kern w:val="24"/>
                <w:sz w:val="22"/>
                <w:szCs w:val="22"/>
                <w:lang w:val="sr-Latn-ME"/>
              </w:rPr>
              <w:t>[7,4; 22,0]</w:t>
            </w:r>
          </w:p>
        </w:tc>
        <w:tc>
          <w:tcPr>
            <w:tcW w:w="631" w:type="pct"/>
            <w:gridSpan w:val="2"/>
            <w:vAlign w:val="center"/>
          </w:tcPr>
          <w:p w:rsidR="005E6320" w:rsidRPr="00424A4B" w:rsidRDefault="005E6320" w:rsidP="0055503A">
            <w:pPr>
              <w:spacing w:line="280" w:lineRule="exact"/>
              <w:jc w:val="center"/>
              <w:rPr>
                <w:color w:val="000000"/>
                <w:sz w:val="22"/>
                <w:szCs w:val="22"/>
                <w:lang w:val="sr-Latn-ME" w:eastAsia="zh-TW"/>
              </w:rPr>
            </w:pPr>
            <w:r w:rsidRPr="00424A4B">
              <w:rPr>
                <w:color w:val="000000"/>
                <w:sz w:val="22"/>
                <w:szCs w:val="22"/>
                <w:lang w:val="sr-Latn-ME" w:eastAsia="zh-TW"/>
              </w:rPr>
              <w:t>37 (50,7%)</w:t>
            </w:r>
          </w:p>
          <w:p w:rsidR="005E6320" w:rsidRPr="00424A4B" w:rsidRDefault="005E6320" w:rsidP="0055503A">
            <w:pPr>
              <w:spacing w:line="280" w:lineRule="exact"/>
              <w:jc w:val="center"/>
              <w:rPr>
                <w:color w:val="000000"/>
                <w:sz w:val="22"/>
                <w:szCs w:val="22"/>
                <w:lang w:val="sr-Latn-ME"/>
              </w:rPr>
            </w:pPr>
            <w:r w:rsidRPr="00424A4B">
              <w:rPr>
                <w:color w:val="000000"/>
                <w:sz w:val="22"/>
                <w:szCs w:val="22"/>
                <w:lang w:val="sr-Latn-ME" w:eastAsia="zh-TW"/>
              </w:rPr>
              <w:t>[38,7; 62,6]</w:t>
            </w:r>
          </w:p>
        </w:tc>
        <w:tc>
          <w:tcPr>
            <w:tcW w:w="632" w:type="pct"/>
            <w:vAlign w:val="center"/>
          </w:tcPr>
          <w:p w:rsidR="005E6320" w:rsidRPr="00424A4B" w:rsidRDefault="005E6320" w:rsidP="0055503A">
            <w:pPr>
              <w:spacing w:line="280" w:lineRule="exact"/>
              <w:jc w:val="center"/>
              <w:rPr>
                <w:color w:val="000000"/>
                <w:sz w:val="22"/>
                <w:szCs w:val="22"/>
                <w:lang w:val="sr-Latn-ME" w:eastAsia="zh-TW"/>
              </w:rPr>
            </w:pPr>
            <w:r w:rsidRPr="00424A4B">
              <w:rPr>
                <w:color w:val="000000"/>
                <w:sz w:val="22"/>
                <w:szCs w:val="22"/>
                <w:lang w:val="sr-Latn-ME" w:eastAsia="zh-TW"/>
              </w:rPr>
              <w:t>34 (45,3%)</w:t>
            </w:r>
          </w:p>
          <w:p w:rsidR="005E6320" w:rsidRPr="00424A4B" w:rsidRDefault="005E6320" w:rsidP="0055503A">
            <w:pPr>
              <w:spacing w:line="280" w:lineRule="exact"/>
              <w:jc w:val="center"/>
              <w:rPr>
                <w:color w:val="000000"/>
                <w:sz w:val="22"/>
                <w:szCs w:val="22"/>
                <w:lang w:val="sr-Latn-ME"/>
              </w:rPr>
            </w:pPr>
            <w:r w:rsidRPr="00424A4B">
              <w:rPr>
                <w:color w:val="000000"/>
                <w:sz w:val="22"/>
                <w:szCs w:val="22"/>
                <w:lang w:val="sr-Latn-ME" w:eastAsia="zh-TW"/>
              </w:rPr>
              <w:t>[33,8; 57,3]</w:t>
            </w:r>
          </w:p>
        </w:tc>
        <w:tc>
          <w:tcPr>
            <w:tcW w:w="569" w:type="pct"/>
            <w:vAlign w:val="center"/>
          </w:tcPr>
          <w:p w:rsidR="005E6320" w:rsidRPr="00424A4B" w:rsidRDefault="005E6320" w:rsidP="0055503A">
            <w:pPr>
              <w:spacing w:line="280" w:lineRule="exact"/>
              <w:jc w:val="center"/>
              <w:rPr>
                <w:color w:val="000000"/>
                <w:sz w:val="22"/>
                <w:szCs w:val="22"/>
                <w:lang w:val="sr-Latn-ME" w:eastAsia="zh-TW"/>
              </w:rPr>
            </w:pPr>
            <w:r w:rsidRPr="00424A4B">
              <w:rPr>
                <w:color w:val="000000"/>
                <w:sz w:val="22"/>
                <w:szCs w:val="22"/>
                <w:lang w:val="sr-Latn-ME" w:eastAsia="zh-TW"/>
              </w:rPr>
              <w:t>40 (51,9%)</w:t>
            </w:r>
          </w:p>
          <w:p w:rsidR="005E6320" w:rsidRPr="00424A4B" w:rsidRDefault="005E6320" w:rsidP="0055503A">
            <w:pPr>
              <w:spacing w:line="280" w:lineRule="exact"/>
              <w:jc w:val="center"/>
              <w:rPr>
                <w:color w:val="000000"/>
                <w:sz w:val="22"/>
                <w:szCs w:val="22"/>
                <w:lang w:val="sr-Latn-ME"/>
              </w:rPr>
            </w:pPr>
            <w:r w:rsidRPr="00424A4B">
              <w:rPr>
                <w:color w:val="000000"/>
                <w:sz w:val="22"/>
                <w:szCs w:val="22"/>
                <w:lang w:val="sr-Latn-ME" w:eastAsia="zh-TW"/>
              </w:rPr>
              <w:t>[40,3; 63,5]</w:t>
            </w:r>
          </w:p>
        </w:tc>
      </w:tr>
      <w:tr w:rsidR="005E6320" w:rsidRPr="00424A4B" w:rsidTr="00B30B91">
        <w:trPr>
          <w:gridAfter w:val="1"/>
          <w:wAfter w:w="5" w:type="pct"/>
          <w:cantSplit/>
          <w:jc w:val="center"/>
        </w:trPr>
        <w:tc>
          <w:tcPr>
            <w:tcW w:w="566" w:type="pct"/>
          </w:tcPr>
          <w:p w:rsidR="005E6320" w:rsidRPr="00424A4B" w:rsidRDefault="005E6320" w:rsidP="0055503A">
            <w:pPr>
              <w:keepNext/>
              <w:keepLines/>
              <w:spacing w:line="280" w:lineRule="exact"/>
              <w:rPr>
                <w:color w:val="000000"/>
                <w:sz w:val="22"/>
                <w:szCs w:val="22"/>
                <w:lang w:val="sr-Latn-ME"/>
              </w:rPr>
            </w:pPr>
            <w:r w:rsidRPr="00424A4B">
              <w:rPr>
                <w:color w:val="000000"/>
                <w:sz w:val="22"/>
                <w:szCs w:val="22"/>
                <w:lang w:val="sr-Latn-ME"/>
              </w:rPr>
              <w:t>Klinički odgovor</w:t>
            </w:r>
            <w:r w:rsidRPr="00424A4B">
              <w:rPr>
                <w:color w:val="000000"/>
                <w:sz w:val="22"/>
                <w:szCs w:val="22"/>
                <w:vertAlign w:val="superscript"/>
                <w:lang w:val="sr-Latn-ME"/>
              </w:rPr>
              <w:t>5</w:t>
            </w:r>
          </w:p>
        </w:tc>
        <w:tc>
          <w:tcPr>
            <w:tcW w:w="633" w:type="pct"/>
            <w:vAlign w:val="center"/>
          </w:tcPr>
          <w:p w:rsidR="005E6320" w:rsidRPr="00424A4B" w:rsidRDefault="005E6320" w:rsidP="0055503A">
            <w:pPr>
              <w:keepNext/>
              <w:keepLines/>
              <w:spacing w:line="280" w:lineRule="exact"/>
              <w:jc w:val="center"/>
              <w:rPr>
                <w:color w:val="000000"/>
                <w:sz w:val="22"/>
                <w:szCs w:val="22"/>
                <w:lang w:val="sr-Latn-ME"/>
              </w:rPr>
            </w:pPr>
            <w:r w:rsidRPr="00424A4B">
              <w:rPr>
                <w:color w:val="000000"/>
                <w:sz w:val="22"/>
                <w:szCs w:val="22"/>
                <w:lang w:val="sr-Latn-ME"/>
              </w:rPr>
              <w:t>79 (79,8%)</w:t>
            </w:r>
          </w:p>
        </w:tc>
        <w:tc>
          <w:tcPr>
            <w:tcW w:w="698" w:type="pct"/>
            <w:vAlign w:val="center"/>
          </w:tcPr>
          <w:p w:rsidR="005E6320" w:rsidRPr="00424A4B" w:rsidRDefault="005E6320" w:rsidP="0055503A">
            <w:pPr>
              <w:keepNext/>
              <w:keepLines/>
              <w:spacing w:line="280" w:lineRule="exact"/>
              <w:jc w:val="center"/>
              <w:rPr>
                <w:color w:val="000000"/>
                <w:sz w:val="22"/>
                <w:szCs w:val="22"/>
                <w:lang w:val="sr-Latn-ME"/>
              </w:rPr>
            </w:pPr>
            <w:r w:rsidRPr="00424A4B">
              <w:rPr>
                <w:color w:val="000000"/>
                <w:sz w:val="22"/>
                <w:szCs w:val="22"/>
                <w:lang w:val="sr-Latn-ME"/>
              </w:rPr>
              <w:t>89 (88,1%)</w:t>
            </w:r>
          </w:p>
        </w:tc>
        <w:tc>
          <w:tcPr>
            <w:tcW w:w="633" w:type="pct"/>
            <w:vAlign w:val="center"/>
          </w:tcPr>
          <w:p w:rsidR="005E6320" w:rsidRPr="00424A4B" w:rsidRDefault="005E6320" w:rsidP="0055503A">
            <w:pPr>
              <w:keepNext/>
              <w:keepLines/>
              <w:spacing w:line="280" w:lineRule="exact"/>
              <w:jc w:val="center"/>
              <w:rPr>
                <w:color w:val="000000"/>
                <w:sz w:val="22"/>
                <w:szCs w:val="22"/>
                <w:lang w:val="sr-Latn-ME"/>
              </w:rPr>
            </w:pPr>
            <w:r w:rsidRPr="00424A4B">
              <w:rPr>
                <w:color w:val="000000"/>
                <w:sz w:val="22"/>
                <w:szCs w:val="22"/>
                <w:lang w:val="sr-Latn-ME"/>
              </w:rPr>
              <w:t>69 (67,6%)</w:t>
            </w:r>
          </w:p>
        </w:tc>
        <w:tc>
          <w:tcPr>
            <w:tcW w:w="635" w:type="pct"/>
            <w:vAlign w:val="center"/>
          </w:tcPr>
          <w:p w:rsidR="005E6320" w:rsidRPr="00424A4B" w:rsidRDefault="005E6320" w:rsidP="0055503A">
            <w:pPr>
              <w:keepNext/>
              <w:keepLines/>
              <w:spacing w:line="280" w:lineRule="exact"/>
              <w:jc w:val="center"/>
              <w:rPr>
                <w:color w:val="000000"/>
                <w:sz w:val="22"/>
                <w:szCs w:val="22"/>
                <w:lang w:val="sr-Latn-ME"/>
              </w:rPr>
            </w:pPr>
            <w:r w:rsidRPr="00424A4B">
              <w:rPr>
                <w:color w:val="000000"/>
                <w:sz w:val="22"/>
                <w:szCs w:val="22"/>
                <w:lang w:val="sr-Latn-ME"/>
              </w:rPr>
              <w:t>65 (71,4%)</w:t>
            </w:r>
          </w:p>
        </w:tc>
        <w:tc>
          <w:tcPr>
            <w:tcW w:w="631" w:type="pct"/>
            <w:gridSpan w:val="2"/>
            <w:vAlign w:val="center"/>
          </w:tcPr>
          <w:p w:rsidR="005E6320" w:rsidRPr="00424A4B" w:rsidRDefault="005E6320" w:rsidP="0055503A">
            <w:pPr>
              <w:keepNext/>
              <w:keepLines/>
              <w:spacing w:line="280" w:lineRule="exact"/>
              <w:jc w:val="center"/>
              <w:rPr>
                <w:color w:val="000000"/>
                <w:sz w:val="22"/>
                <w:szCs w:val="22"/>
                <w:lang w:val="sr-Latn-ME"/>
              </w:rPr>
            </w:pPr>
            <w:r w:rsidRPr="00424A4B">
              <w:rPr>
                <w:color w:val="000000"/>
                <w:sz w:val="22"/>
                <w:szCs w:val="22"/>
                <w:lang w:val="sr-Latn-ME"/>
              </w:rPr>
              <w:t>67 (91,8%)</w:t>
            </w:r>
          </w:p>
        </w:tc>
        <w:tc>
          <w:tcPr>
            <w:tcW w:w="632" w:type="pct"/>
            <w:vAlign w:val="center"/>
          </w:tcPr>
          <w:p w:rsidR="005E6320" w:rsidRPr="00424A4B" w:rsidRDefault="005E6320" w:rsidP="0055503A">
            <w:pPr>
              <w:keepNext/>
              <w:keepLines/>
              <w:spacing w:line="280" w:lineRule="exact"/>
              <w:jc w:val="center"/>
              <w:rPr>
                <w:color w:val="000000"/>
                <w:sz w:val="22"/>
                <w:szCs w:val="22"/>
                <w:lang w:val="sr-Latn-ME"/>
              </w:rPr>
            </w:pPr>
            <w:r w:rsidRPr="00424A4B">
              <w:rPr>
                <w:color w:val="000000"/>
                <w:sz w:val="22"/>
                <w:szCs w:val="22"/>
                <w:lang w:val="sr-Latn-ME"/>
              </w:rPr>
              <w:t>71 (94,7%)</w:t>
            </w:r>
          </w:p>
        </w:tc>
        <w:tc>
          <w:tcPr>
            <w:tcW w:w="569" w:type="pct"/>
            <w:vAlign w:val="center"/>
          </w:tcPr>
          <w:p w:rsidR="005E6320" w:rsidRPr="00424A4B" w:rsidRDefault="005E6320" w:rsidP="0055503A">
            <w:pPr>
              <w:keepNext/>
              <w:keepLines/>
              <w:spacing w:line="280" w:lineRule="exact"/>
              <w:jc w:val="center"/>
              <w:rPr>
                <w:color w:val="000000"/>
                <w:sz w:val="22"/>
                <w:szCs w:val="22"/>
                <w:lang w:val="sr-Latn-ME"/>
              </w:rPr>
            </w:pPr>
            <w:r w:rsidRPr="00424A4B">
              <w:rPr>
                <w:color w:val="000000"/>
                <w:sz w:val="22"/>
                <w:szCs w:val="22"/>
                <w:lang w:val="sr-Latn-ME"/>
              </w:rPr>
              <w:t>69 (89,6%)</w:t>
            </w:r>
          </w:p>
        </w:tc>
      </w:tr>
    </w:tbl>
    <w:p w:rsidR="005E6320" w:rsidRPr="00424A4B" w:rsidRDefault="005E6320" w:rsidP="005C33D8">
      <w:pPr>
        <w:keepNext/>
        <w:keepLines/>
        <w:autoSpaceDE w:val="0"/>
        <w:autoSpaceDN w:val="0"/>
        <w:adjustRightInd w:val="0"/>
        <w:rPr>
          <w:color w:val="000000"/>
          <w:sz w:val="22"/>
          <w:szCs w:val="22"/>
          <w:lang w:val="sr-Latn-ME" w:eastAsia="zh-TW"/>
        </w:rPr>
      </w:pPr>
      <w:r w:rsidRPr="00424A4B">
        <w:rPr>
          <w:color w:val="000000"/>
          <w:sz w:val="22"/>
          <w:szCs w:val="22"/>
          <w:lang w:val="sr-Latn-ME" w:eastAsia="zh-TW"/>
        </w:rPr>
        <w:t>FEC: 5-fluorouracil, epirubicin, ciklofosfamid;</w:t>
      </w:r>
      <w:r w:rsidRPr="00424A4B" w:rsidDel="00E86EB3">
        <w:rPr>
          <w:color w:val="000000"/>
          <w:sz w:val="22"/>
          <w:szCs w:val="22"/>
          <w:lang w:val="sr-Latn-ME" w:eastAsia="zh-TW"/>
        </w:rPr>
        <w:t xml:space="preserve"> </w:t>
      </w:r>
      <w:r w:rsidRPr="00424A4B">
        <w:rPr>
          <w:color w:val="000000"/>
          <w:sz w:val="22"/>
          <w:szCs w:val="22"/>
          <w:lang w:val="sr-Latn-ME" w:eastAsia="zh-TW"/>
        </w:rPr>
        <w:t>TCH: docetaksel, karboplatin i trastuzumab, CMH: Cochran–Mantel–Haenszel</w:t>
      </w:r>
    </w:p>
    <w:p w:rsidR="005E6320" w:rsidRPr="00424A4B" w:rsidRDefault="005E6320" w:rsidP="00CD41AC">
      <w:pPr>
        <w:keepNext/>
        <w:keepLines/>
        <w:autoSpaceDE w:val="0"/>
        <w:autoSpaceDN w:val="0"/>
        <w:adjustRightInd w:val="0"/>
        <w:rPr>
          <w:color w:val="000000"/>
          <w:sz w:val="22"/>
          <w:szCs w:val="22"/>
          <w:lang w:val="sr-Latn-ME"/>
        </w:rPr>
      </w:pPr>
      <w:r w:rsidRPr="00424A4B">
        <w:rPr>
          <w:color w:val="000000"/>
          <w:sz w:val="22"/>
          <w:szCs w:val="22"/>
          <w:lang w:val="sr-Latn-ME"/>
        </w:rPr>
        <w:t>1. 95% CI za binomni test na jednom uzorku primjenom Pearson-Clopperove metode.</w:t>
      </w:r>
    </w:p>
    <w:p w:rsidR="005E6320" w:rsidRPr="00424A4B" w:rsidRDefault="005E6320">
      <w:pPr>
        <w:keepNext/>
        <w:keepLines/>
        <w:autoSpaceDE w:val="0"/>
        <w:autoSpaceDN w:val="0"/>
        <w:adjustRightInd w:val="0"/>
        <w:rPr>
          <w:color w:val="000000"/>
          <w:sz w:val="22"/>
          <w:szCs w:val="22"/>
          <w:lang w:val="sr-Latn-ME"/>
        </w:rPr>
      </w:pPr>
      <w:r w:rsidRPr="00424A4B">
        <w:rPr>
          <w:color w:val="000000"/>
          <w:sz w:val="22"/>
          <w:szCs w:val="22"/>
          <w:lang w:val="sr-Latn-ME"/>
        </w:rPr>
        <w:t xml:space="preserve">2. Liječenje lijekom </w:t>
      </w:r>
      <w:r w:rsidR="009C77FA" w:rsidRPr="00424A4B">
        <w:rPr>
          <w:color w:val="000000"/>
          <w:sz w:val="22"/>
          <w:szCs w:val="22"/>
          <w:lang w:val="sr-Latn-ME"/>
        </w:rPr>
        <w:t>Perjeta</w:t>
      </w:r>
      <w:r w:rsidRPr="00424A4B">
        <w:rPr>
          <w:color w:val="000000"/>
          <w:sz w:val="22"/>
          <w:szCs w:val="22"/>
          <w:lang w:val="sr-Latn-ME"/>
        </w:rPr>
        <w:t xml:space="preserve">+trastuzumabom+docetakselom i liječenje lijekom </w:t>
      </w:r>
      <w:r w:rsidR="009C77FA" w:rsidRPr="00424A4B">
        <w:rPr>
          <w:color w:val="000000"/>
          <w:sz w:val="22"/>
          <w:szCs w:val="22"/>
          <w:lang w:val="sr-Latn-ME"/>
        </w:rPr>
        <w:t>Perjeta</w:t>
      </w:r>
      <w:r w:rsidRPr="00424A4B">
        <w:rPr>
          <w:color w:val="000000"/>
          <w:sz w:val="22"/>
          <w:szCs w:val="22"/>
          <w:lang w:val="sr-Latn-ME"/>
        </w:rPr>
        <w:t xml:space="preserve">+trastuzumabom upoređuju se sa trastuzumabom+docetakselom, dok se kombinacija </w:t>
      </w:r>
      <w:r w:rsidR="009C77FA" w:rsidRPr="00424A4B">
        <w:rPr>
          <w:color w:val="000000"/>
          <w:sz w:val="22"/>
          <w:szCs w:val="22"/>
          <w:lang w:val="sr-Latn-ME"/>
        </w:rPr>
        <w:t>Perjeta</w:t>
      </w:r>
      <w:r w:rsidRPr="00424A4B">
        <w:rPr>
          <w:color w:val="000000"/>
          <w:sz w:val="22"/>
          <w:szCs w:val="22"/>
          <w:lang w:val="sr-Latn-ME"/>
        </w:rPr>
        <w:t xml:space="preserve">+docetaksel  upoređuje sa kombinacijom </w:t>
      </w:r>
      <w:r w:rsidR="009C77FA" w:rsidRPr="00424A4B">
        <w:rPr>
          <w:color w:val="000000"/>
          <w:sz w:val="22"/>
          <w:szCs w:val="22"/>
          <w:lang w:val="sr-Latn-ME"/>
        </w:rPr>
        <w:t>Perjeta</w:t>
      </w:r>
      <w:r w:rsidRPr="00424A4B">
        <w:rPr>
          <w:color w:val="000000"/>
          <w:sz w:val="22"/>
          <w:szCs w:val="22"/>
          <w:lang w:val="sr-Latn-ME"/>
        </w:rPr>
        <w:t>+trastuzumab+docetaksel.</w:t>
      </w:r>
    </w:p>
    <w:p w:rsidR="005E6320" w:rsidRPr="00424A4B" w:rsidRDefault="005E6320">
      <w:pPr>
        <w:keepNext/>
        <w:keepLines/>
        <w:autoSpaceDE w:val="0"/>
        <w:autoSpaceDN w:val="0"/>
        <w:adjustRightInd w:val="0"/>
        <w:rPr>
          <w:color w:val="000000"/>
          <w:sz w:val="22"/>
          <w:szCs w:val="22"/>
          <w:lang w:val="sr-Latn-ME"/>
        </w:rPr>
      </w:pPr>
      <w:r w:rsidRPr="00424A4B">
        <w:rPr>
          <w:color w:val="000000"/>
          <w:sz w:val="22"/>
          <w:szCs w:val="22"/>
          <w:lang w:val="sr-Latn-ME"/>
        </w:rPr>
        <w:t>3. Približno 95% CI za razliku između dvije stope odgovora primjenom Hauck-Andersonove metode.</w:t>
      </w:r>
    </w:p>
    <w:p w:rsidR="005E6320" w:rsidRPr="00424A4B" w:rsidRDefault="005E6320">
      <w:pPr>
        <w:keepNext/>
        <w:keepLines/>
        <w:rPr>
          <w:strike/>
          <w:color w:val="000000"/>
          <w:sz w:val="22"/>
          <w:szCs w:val="22"/>
          <w:lang w:val="sr-Latn-ME"/>
        </w:rPr>
      </w:pPr>
      <w:r w:rsidRPr="00424A4B">
        <w:rPr>
          <w:color w:val="000000"/>
          <w:sz w:val="22"/>
          <w:szCs w:val="22"/>
          <w:lang w:val="sr-Latn-ME"/>
        </w:rPr>
        <w:t xml:space="preserve">4. </w:t>
      </w:r>
      <w:r w:rsidRPr="00424A4B">
        <w:rPr>
          <w:sz w:val="22"/>
          <w:szCs w:val="22"/>
          <w:lang w:val="sr-Latn-ME" w:eastAsia="hr-HR"/>
        </w:rPr>
        <w:t>p-vrijednost iz Cochran-Mantel-Haenszelovog testa, sa Simesovom korekcijom multipliciteta.</w:t>
      </w:r>
    </w:p>
    <w:p w:rsidR="00E54C5C" w:rsidRPr="00424A4B" w:rsidRDefault="005E6320" w:rsidP="0055503A">
      <w:pPr>
        <w:rPr>
          <w:color w:val="000000"/>
          <w:sz w:val="22"/>
          <w:szCs w:val="22"/>
          <w:lang w:val="sr-Latn-ME"/>
        </w:rPr>
      </w:pPr>
      <w:r w:rsidRPr="00424A4B">
        <w:rPr>
          <w:color w:val="000000"/>
          <w:sz w:val="22"/>
          <w:szCs w:val="22"/>
          <w:lang w:val="sr-Latn-ME"/>
        </w:rPr>
        <w:t>5. Klinički odgovor predstavlja pacijentkinje sa najboljim ukupnim odgovorom, tj. potpunim ili djel</w:t>
      </w:r>
      <w:r w:rsidR="00374E0C" w:rsidRPr="00424A4B">
        <w:rPr>
          <w:color w:val="000000"/>
          <w:sz w:val="22"/>
          <w:szCs w:val="22"/>
          <w:lang w:val="sr-Latn-ME"/>
        </w:rPr>
        <w:t>i</w:t>
      </w:r>
      <w:r w:rsidRPr="00424A4B">
        <w:rPr>
          <w:color w:val="000000"/>
          <w:sz w:val="22"/>
          <w:szCs w:val="22"/>
          <w:lang w:val="sr-Latn-ME"/>
        </w:rPr>
        <w:t>mičnim odgovorom tokom neoadjuvantnog razdoblja (u primarnoj leziji u dojci).</w:t>
      </w:r>
    </w:p>
    <w:p w:rsidR="00B30B91" w:rsidRPr="00424A4B" w:rsidRDefault="00B30B91" w:rsidP="0055503A">
      <w:pPr>
        <w:rPr>
          <w:b/>
          <w:sz w:val="22"/>
          <w:szCs w:val="22"/>
          <w:lang w:val="sr-Latn-ME"/>
        </w:rPr>
      </w:pPr>
    </w:p>
    <w:p w:rsidR="00A06870" w:rsidRPr="00424A4B" w:rsidRDefault="00A06870" w:rsidP="0055503A">
      <w:pPr>
        <w:rPr>
          <w:b/>
          <w:sz w:val="22"/>
          <w:szCs w:val="22"/>
          <w:lang w:val="sr-Latn-ME"/>
        </w:rPr>
      </w:pPr>
    </w:p>
    <w:p w:rsidR="00A06870" w:rsidRPr="00424A4B" w:rsidRDefault="00A06870" w:rsidP="0055503A">
      <w:pPr>
        <w:rPr>
          <w:b/>
          <w:sz w:val="22"/>
          <w:szCs w:val="22"/>
          <w:lang w:val="sr-Latn-ME"/>
        </w:rPr>
      </w:pPr>
    </w:p>
    <w:p w:rsidR="005E6320" w:rsidRPr="00424A4B" w:rsidRDefault="005E6320" w:rsidP="0055503A">
      <w:pPr>
        <w:rPr>
          <w:b/>
          <w:sz w:val="22"/>
          <w:szCs w:val="22"/>
          <w:lang w:val="sr-Latn-ME"/>
        </w:rPr>
      </w:pPr>
      <w:r w:rsidRPr="00424A4B">
        <w:rPr>
          <w:b/>
          <w:sz w:val="22"/>
          <w:szCs w:val="22"/>
          <w:lang w:val="sr-Latn-ME"/>
        </w:rPr>
        <w:lastRenderedPageBreak/>
        <w:t>BERENICE (WO29217)</w:t>
      </w:r>
    </w:p>
    <w:p w:rsidR="005E6320" w:rsidRPr="00424A4B" w:rsidRDefault="005E6320"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BERENICE je nerandomizirana, otvorena, multicentrična, multinacionalna studija faze II sprovedena kod 401 pacijenta sa HER2 pozitivnim lokalno uznapredovalim, upalnim ili rakom dojke u ranom </w:t>
      </w:r>
      <w:r w:rsidR="00E54C5C" w:rsidRPr="00424A4B">
        <w:rPr>
          <w:sz w:val="22"/>
          <w:szCs w:val="22"/>
          <w:lang w:val="sr-Latn-ME"/>
        </w:rPr>
        <w:t>s</w:t>
      </w:r>
      <w:r w:rsidRPr="00424A4B">
        <w:rPr>
          <w:sz w:val="22"/>
          <w:szCs w:val="22"/>
          <w:lang w:val="sr-Latn-ME"/>
        </w:rPr>
        <w:t>tadiju</w:t>
      </w:r>
      <w:r w:rsidR="00E54C5C" w:rsidRPr="00424A4B">
        <w:rPr>
          <w:sz w:val="22"/>
          <w:szCs w:val="22"/>
          <w:lang w:val="sr-Latn-ME"/>
        </w:rPr>
        <w:t>mu</w:t>
      </w:r>
      <w:r w:rsidRPr="00424A4B">
        <w:rPr>
          <w:sz w:val="22"/>
          <w:szCs w:val="22"/>
          <w:lang w:val="sr-Latn-ME"/>
        </w:rPr>
        <w:t xml:space="preserve"> (sa primarnim tumorom </w:t>
      </w:r>
      <w:r w:rsidR="00E54C5C" w:rsidRPr="00424A4B">
        <w:rPr>
          <w:sz w:val="22"/>
          <w:szCs w:val="22"/>
          <w:lang w:val="sr-Latn-ME"/>
        </w:rPr>
        <w:t>prečnika</w:t>
      </w:r>
      <w:r w:rsidRPr="00424A4B">
        <w:rPr>
          <w:sz w:val="22"/>
          <w:szCs w:val="22"/>
          <w:lang w:val="sr-Latn-ME"/>
        </w:rPr>
        <w:t xml:space="preserve"> &gt; 2 cm ili bolešću koja zahvata limfne čvorove). </w:t>
      </w:r>
    </w:p>
    <w:p w:rsidR="005E6320" w:rsidRPr="00424A4B" w:rsidRDefault="005E6320" w:rsidP="0055503A">
      <w:pPr>
        <w:jc w:val="both"/>
        <w:rPr>
          <w:sz w:val="22"/>
          <w:szCs w:val="22"/>
          <w:lang w:val="sr-Latn-ME"/>
        </w:rPr>
      </w:pPr>
      <w:r w:rsidRPr="00424A4B">
        <w:rPr>
          <w:sz w:val="22"/>
          <w:szCs w:val="22"/>
          <w:lang w:val="sr-Latn-ME"/>
        </w:rPr>
        <w:t>Studija BERENICE uključivala je dvije paralelne grupe pacijenata. Pacijenti koji su se smatrali pogodnim za neoadjuvantno liječenje trastuzumabom plus hemoterapijom zasnovanoj na antraciklinu/taksanu bili su raspoređeni za primanje jednog od dva sljedeća protokola prije hirurškog zahvata:</w:t>
      </w:r>
    </w:p>
    <w:p w:rsidR="005E6320" w:rsidRPr="00424A4B" w:rsidRDefault="005E6320" w:rsidP="0055503A">
      <w:pPr>
        <w:numPr>
          <w:ilvl w:val="0"/>
          <w:numId w:val="38"/>
        </w:numPr>
        <w:jc w:val="both"/>
        <w:rPr>
          <w:sz w:val="22"/>
          <w:szCs w:val="22"/>
          <w:lang w:val="sr-Latn-ME"/>
        </w:rPr>
      </w:pPr>
      <w:r w:rsidRPr="00424A4B">
        <w:rPr>
          <w:sz w:val="22"/>
          <w:szCs w:val="22"/>
          <w:lang w:val="sr-Latn-ME"/>
        </w:rPr>
        <w:t xml:space="preserve">kohorta A – 4 ciklusa zgusnutih doza (engl. </w:t>
      </w:r>
      <w:r w:rsidRPr="00424A4B">
        <w:rPr>
          <w:i/>
          <w:sz w:val="22"/>
          <w:szCs w:val="22"/>
          <w:lang w:val="sr-Latn-ME"/>
        </w:rPr>
        <w:t>dose dense</w:t>
      </w:r>
      <w:r w:rsidRPr="00424A4B">
        <w:rPr>
          <w:sz w:val="22"/>
          <w:szCs w:val="22"/>
          <w:lang w:val="sr-Latn-ME"/>
        </w:rPr>
        <w:t xml:space="preserve">) doksorubicina i ciklofosfamida svake dvije nedjelje, (zgusnut [engl. </w:t>
      </w:r>
      <w:r w:rsidRPr="00424A4B">
        <w:rPr>
          <w:i/>
          <w:sz w:val="22"/>
          <w:szCs w:val="22"/>
          <w:lang w:val="sr-Latn-ME"/>
        </w:rPr>
        <w:t>dose dense</w:t>
      </w:r>
      <w:r w:rsidRPr="00424A4B">
        <w:rPr>
          <w:sz w:val="22"/>
          <w:szCs w:val="22"/>
          <w:lang w:val="sr-Latn-ME"/>
        </w:rPr>
        <w:t xml:space="preserve">] AC protokol) nakon čega su uslijedila 4 ciklusa lijeka </w:t>
      </w:r>
      <w:r w:rsidR="009C77FA" w:rsidRPr="00424A4B">
        <w:rPr>
          <w:sz w:val="22"/>
          <w:szCs w:val="22"/>
          <w:lang w:val="sr-Latn-ME"/>
        </w:rPr>
        <w:t>Perjeta</w:t>
      </w:r>
      <w:r w:rsidRPr="00424A4B">
        <w:rPr>
          <w:sz w:val="22"/>
          <w:szCs w:val="22"/>
          <w:lang w:val="sr-Latn-ME"/>
        </w:rPr>
        <w:t xml:space="preserve"> u kombinaciji sa trastuzumabom i paklitakselom</w:t>
      </w:r>
    </w:p>
    <w:p w:rsidR="005E6320" w:rsidRPr="00424A4B" w:rsidRDefault="005E6320" w:rsidP="0055503A">
      <w:pPr>
        <w:numPr>
          <w:ilvl w:val="0"/>
          <w:numId w:val="38"/>
        </w:numPr>
        <w:jc w:val="both"/>
        <w:rPr>
          <w:sz w:val="22"/>
          <w:szCs w:val="22"/>
          <w:lang w:val="sr-Latn-ME"/>
        </w:rPr>
      </w:pPr>
      <w:r w:rsidRPr="00424A4B">
        <w:rPr>
          <w:sz w:val="22"/>
          <w:szCs w:val="22"/>
          <w:lang w:val="sr-Latn-ME"/>
        </w:rPr>
        <w:t xml:space="preserve">kohorta B – 4 ciklusa FEC protokola nakon čega su uslijedila 4 ciklusa lijeka </w:t>
      </w:r>
      <w:r w:rsidR="009C77FA" w:rsidRPr="00424A4B">
        <w:rPr>
          <w:sz w:val="22"/>
          <w:szCs w:val="22"/>
          <w:lang w:val="sr-Latn-ME"/>
        </w:rPr>
        <w:t>Perjeta</w:t>
      </w:r>
      <w:r w:rsidRPr="00424A4B">
        <w:rPr>
          <w:sz w:val="22"/>
          <w:szCs w:val="22"/>
          <w:lang w:val="sr-Latn-ME"/>
        </w:rPr>
        <w:t xml:space="preserve"> u kombinaciji sa trastuzumabom i docetakselom.</w:t>
      </w:r>
    </w:p>
    <w:p w:rsidR="00CD41AC" w:rsidRPr="00424A4B" w:rsidRDefault="00CD41AC"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Nakon hirurškog zahvata svi paijenti su intravenski primali lijek </w:t>
      </w:r>
      <w:r w:rsidR="009C77FA" w:rsidRPr="00424A4B">
        <w:rPr>
          <w:sz w:val="22"/>
          <w:szCs w:val="22"/>
          <w:lang w:val="sr-Latn-ME"/>
        </w:rPr>
        <w:t>Perjeta</w:t>
      </w:r>
      <w:r w:rsidRPr="00424A4B">
        <w:rPr>
          <w:sz w:val="22"/>
          <w:szCs w:val="22"/>
          <w:lang w:val="sr-Latn-ME"/>
        </w:rPr>
        <w:t xml:space="preserve"> i trastuzumab svake 3 nedjelje do završetka 1 godišnjeg perioda liječenja.</w:t>
      </w:r>
    </w:p>
    <w:p w:rsidR="00CD41AC" w:rsidRPr="00424A4B" w:rsidRDefault="00CD41AC"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Primarn</w:t>
      </w:r>
      <w:r w:rsidR="00E54C5C" w:rsidRPr="00424A4B">
        <w:rPr>
          <w:sz w:val="22"/>
          <w:szCs w:val="22"/>
          <w:lang w:val="sr-Latn-ME"/>
        </w:rPr>
        <w:t>i parametar praćenja</w:t>
      </w:r>
      <w:r w:rsidRPr="00424A4B">
        <w:rPr>
          <w:sz w:val="22"/>
          <w:szCs w:val="22"/>
          <w:lang w:val="sr-Latn-ME"/>
        </w:rPr>
        <w:t xml:space="preserve"> ispitivanja BERENICE bi</w:t>
      </w:r>
      <w:r w:rsidR="00E54C5C" w:rsidRPr="00424A4B">
        <w:rPr>
          <w:sz w:val="22"/>
          <w:szCs w:val="22"/>
          <w:lang w:val="sr-Latn-ME"/>
        </w:rPr>
        <w:t>o</w:t>
      </w:r>
      <w:r w:rsidRPr="00424A4B">
        <w:rPr>
          <w:sz w:val="22"/>
          <w:szCs w:val="22"/>
          <w:lang w:val="sr-Latn-ME"/>
        </w:rPr>
        <w:t xml:space="preserve"> je </w:t>
      </w:r>
      <w:r w:rsidR="00E54C5C" w:rsidRPr="00424A4B">
        <w:rPr>
          <w:sz w:val="22"/>
          <w:szCs w:val="22"/>
          <w:lang w:val="sr-Latn-ME"/>
        </w:rPr>
        <w:t>bezbjednost</w:t>
      </w:r>
      <w:r w:rsidRPr="00424A4B">
        <w:rPr>
          <w:sz w:val="22"/>
          <w:szCs w:val="22"/>
          <w:lang w:val="sr-Latn-ME"/>
        </w:rPr>
        <w:t xml:space="preserve"> za srce u periodu  neoadjuvantnog liječenja u studiji. Primarn</w:t>
      </w:r>
      <w:r w:rsidR="00E54C5C" w:rsidRPr="00424A4B">
        <w:rPr>
          <w:sz w:val="22"/>
          <w:szCs w:val="22"/>
          <w:lang w:val="sr-Latn-ME"/>
        </w:rPr>
        <w:t>i parametar praćenja</w:t>
      </w:r>
      <w:r w:rsidRPr="00424A4B">
        <w:rPr>
          <w:sz w:val="22"/>
          <w:szCs w:val="22"/>
          <w:lang w:val="sr-Latn-ME"/>
        </w:rPr>
        <w:t xml:space="preserve"> bezbjednosti za srce, tj. učestalost disfunkcije lijeve komore NYHA stepena III/IV i smanjenja ejekcijske frakcije lijeve komore, bi</w:t>
      </w:r>
      <w:r w:rsidR="00E54C5C" w:rsidRPr="00424A4B">
        <w:rPr>
          <w:sz w:val="22"/>
          <w:szCs w:val="22"/>
          <w:lang w:val="sr-Latn-ME"/>
        </w:rPr>
        <w:t>o</w:t>
      </w:r>
      <w:r w:rsidRPr="00424A4B">
        <w:rPr>
          <w:sz w:val="22"/>
          <w:szCs w:val="22"/>
          <w:lang w:val="sr-Latn-ME"/>
        </w:rPr>
        <w:t xml:space="preserve"> je u skladu sa prethodnim podacima prikupljenim u neoadjuvantnim uslovima (vidjeti dijelove 4.4 i 4.8).</w:t>
      </w:r>
    </w:p>
    <w:p w:rsidR="00CD41AC" w:rsidRPr="00424A4B" w:rsidRDefault="00CD41AC" w:rsidP="0055503A">
      <w:pPr>
        <w:jc w:val="both"/>
        <w:rPr>
          <w:sz w:val="22"/>
          <w:szCs w:val="22"/>
          <w:lang w:val="sr-Latn-ME"/>
        </w:rPr>
      </w:pPr>
    </w:p>
    <w:p w:rsidR="005E6320" w:rsidRPr="00424A4B" w:rsidRDefault="005E6320" w:rsidP="0055503A">
      <w:pPr>
        <w:rPr>
          <w:i/>
          <w:sz w:val="22"/>
          <w:szCs w:val="22"/>
          <w:lang w:val="sr-Latn-ME"/>
        </w:rPr>
      </w:pPr>
      <w:r w:rsidRPr="00424A4B">
        <w:rPr>
          <w:i/>
          <w:sz w:val="22"/>
          <w:szCs w:val="22"/>
          <w:lang w:val="sr-Latn-ME"/>
        </w:rPr>
        <w:t xml:space="preserve">Adjuvantno liječenje </w:t>
      </w:r>
    </w:p>
    <w:p w:rsidR="00CD41AC" w:rsidRPr="00424A4B" w:rsidRDefault="00CD41AC" w:rsidP="0055503A">
      <w:pPr>
        <w:rPr>
          <w:i/>
          <w:sz w:val="22"/>
          <w:szCs w:val="22"/>
          <w:lang w:val="sr-Latn-ME"/>
        </w:rPr>
      </w:pPr>
    </w:p>
    <w:p w:rsidR="00E54C5C" w:rsidRPr="00424A4B" w:rsidRDefault="005E6320" w:rsidP="0055503A">
      <w:pPr>
        <w:jc w:val="both"/>
        <w:rPr>
          <w:sz w:val="22"/>
          <w:szCs w:val="22"/>
          <w:lang w:val="sr-Latn-ME"/>
        </w:rPr>
      </w:pPr>
      <w:r w:rsidRPr="00424A4B">
        <w:rPr>
          <w:sz w:val="22"/>
          <w:szCs w:val="22"/>
          <w:lang w:val="sr-Latn-ME"/>
        </w:rPr>
        <w:t>Kod  adjuvantnog liječenja, na osnovu podataka iz ispitivanja APHINITY, pacijenti koji imaju  HER2 pozitivni rani karcinom dojke sa velikim rizikom od recidiva definišu se kao oni kod kojih bolest zahvata limfne čvorove ili imaju tumor negativan na hormonske receptore.</w:t>
      </w:r>
    </w:p>
    <w:p w:rsidR="005E6320" w:rsidRPr="00424A4B" w:rsidRDefault="005E6320" w:rsidP="005C33D8">
      <w:pPr>
        <w:jc w:val="both"/>
        <w:rPr>
          <w:sz w:val="22"/>
          <w:szCs w:val="22"/>
          <w:lang w:val="sr-Latn-ME"/>
        </w:rPr>
      </w:pPr>
    </w:p>
    <w:p w:rsidR="00E54C5C" w:rsidRPr="00424A4B" w:rsidRDefault="005E6320" w:rsidP="00CD41AC">
      <w:pPr>
        <w:jc w:val="both"/>
        <w:rPr>
          <w:b/>
          <w:noProof/>
          <w:sz w:val="22"/>
          <w:szCs w:val="22"/>
          <w:lang w:val="sr-Latn-ME" w:eastAsia="ja-JP"/>
        </w:rPr>
      </w:pPr>
      <w:r w:rsidRPr="00424A4B">
        <w:rPr>
          <w:b/>
          <w:noProof/>
          <w:sz w:val="22"/>
          <w:szCs w:val="22"/>
          <w:lang w:val="sr-Latn-ME" w:eastAsia="ja-JP"/>
        </w:rPr>
        <w:t>APHINITY (BO25126)</w:t>
      </w:r>
    </w:p>
    <w:p w:rsidR="00DA5717" w:rsidRPr="00424A4B" w:rsidRDefault="00DA5717">
      <w:pPr>
        <w:jc w:val="both"/>
        <w:rPr>
          <w:b/>
          <w:noProof/>
          <w:sz w:val="22"/>
          <w:szCs w:val="22"/>
          <w:lang w:val="sr-Latn-ME" w:eastAsia="ja-JP"/>
        </w:rPr>
      </w:pPr>
    </w:p>
    <w:p w:rsidR="005E6320" w:rsidRPr="00424A4B" w:rsidRDefault="005E6320">
      <w:pPr>
        <w:jc w:val="both"/>
        <w:rPr>
          <w:sz w:val="22"/>
          <w:szCs w:val="22"/>
          <w:lang w:val="sr-Latn-ME" w:eastAsia="ja-JP"/>
        </w:rPr>
      </w:pPr>
      <w:r w:rsidRPr="00424A4B">
        <w:rPr>
          <w:sz w:val="22"/>
          <w:szCs w:val="22"/>
          <w:lang w:val="sr-Latn-ME" w:eastAsia="ja-JP"/>
        </w:rPr>
        <w:t>APHINITY je multicentrično, randomizovano, dvostruko slijepo, placebo</w:t>
      </w:r>
      <w:r w:rsidR="00E54C5C" w:rsidRPr="00424A4B">
        <w:rPr>
          <w:sz w:val="22"/>
          <w:szCs w:val="22"/>
          <w:lang w:val="sr-Latn-ME" w:eastAsia="ja-JP"/>
        </w:rPr>
        <w:t>m</w:t>
      </w:r>
      <w:r w:rsidRPr="00424A4B">
        <w:rPr>
          <w:sz w:val="22"/>
          <w:szCs w:val="22"/>
          <w:lang w:val="sr-Latn-ME" w:eastAsia="ja-JP"/>
        </w:rPr>
        <w:t xml:space="preserve"> kontrolisano ispitivanje faze III, sprovedeno </w:t>
      </w:r>
      <w:r w:rsidR="00E54C5C" w:rsidRPr="00424A4B">
        <w:rPr>
          <w:sz w:val="22"/>
          <w:szCs w:val="22"/>
          <w:lang w:val="sr-Latn-ME" w:eastAsia="ja-JP"/>
        </w:rPr>
        <w:t>kod</w:t>
      </w:r>
      <w:r w:rsidRPr="00424A4B">
        <w:rPr>
          <w:sz w:val="22"/>
          <w:szCs w:val="22"/>
          <w:lang w:val="sr-Latn-ME" w:eastAsia="ja-JP"/>
        </w:rPr>
        <w:t xml:space="preserve"> 4804 pacijenata s</w:t>
      </w:r>
      <w:r w:rsidR="00E54C5C" w:rsidRPr="00424A4B">
        <w:rPr>
          <w:sz w:val="22"/>
          <w:szCs w:val="22"/>
          <w:lang w:val="sr-Latn-ME" w:eastAsia="ja-JP"/>
        </w:rPr>
        <w:t>a</w:t>
      </w:r>
      <w:r w:rsidRPr="00424A4B">
        <w:rPr>
          <w:sz w:val="22"/>
          <w:szCs w:val="22"/>
          <w:lang w:val="sr-Latn-ME" w:eastAsia="ja-JP"/>
        </w:rPr>
        <w:t xml:space="preserve"> HER2 pozitivnim ranim karcinomom dojke kojima je primarni tumor uklonjen ekscizijom prije randomizacije. </w:t>
      </w:r>
      <w:r w:rsidR="00E54C5C" w:rsidRPr="00424A4B">
        <w:rPr>
          <w:sz w:val="22"/>
          <w:szCs w:val="22"/>
          <w:lang w:val="sr-Latn-ME" w:eastAsia="ja-JP"/>
        </w:rPr>
        <w:t>Pacijenati</w:t>
      </w:r>
      <w:r w:rsidRPr="00424A4B">
        <w:rPr>
          <w:sz w:val="22"/>
          <w:szCs w:val="22"/>
          <w:lang w:val="sr-Latn-ME" w:eastAsia="ja-JP"/>
        </w:rPr>
        <w:t xml:space="preserve"> su zatim bili randomiz</w:t>
      </w:r>
      <w:r w:rsidR="00E54C5C" w:rsidRPr="00424A4B">
        <w:rPr>
          <w:sz w:val="22"/>
          <w:szCs w:val="22"/>
          <w:lang w:val="sr-Latn-ME" w:eastAsia="ja-JP"/>
        </w:rPr>
        <w:t>ovani</w:t>
      </w:r>
      <w:r w:rsidRPr="00424A4B">
        <w:rPr>
          <w:sz w:val="22"/>
          <w:szCs w:val="22"/>
          <w:lang w:val="sr-Latn-ME" w:eastAsia="ja-JP"/>
        </w:rPr>
        <w:t xml:space="preserve"> za primanje lijeka </w:t>
      </w:r>
      <w:r w:rsidR="009C77FA" w:rsidRPr="00424A4B">
        <w:rPr>
          <w:sz w:val="22"/>
          <w:szCs w:val="22"/>
          <w:lang w:val="sr-Latn-ME" w:eastAsia="ja-JP"/>
        </w:rPr>
        <w:t>Perjeta</w:t>
      </w:r>
      <w:r w:rsidRPr="00424A4B">
        <w:rPr>
          <w:sz w:val="22"/>
          <w:szCs w:val="22"/>
          <w:lang w:val="sr-Latn-ME" w:eastAsia="ja-JP"/>
        </w:rPr>
        <w:t> ili placeba u kombinaciji s</w:t>
      </w:r>
      <w:r w:rsidR="00E54C5C" w:rsidRPr="00424A4B">
        <w:rPr>
          <w:sz w:val="22"/>
          <w:szCs w:val="22"/>
          <w:lang w:val="sr-Latn-ME" w:eastAsia="ja-JP"/>
        </w:rPr>
        <w:t>a</w:t>
      </w:r>
      <w:r w:rsidRPr="00424A4B">
        <w:rPr>
          <w:sz w:val="22"/>
          <w:szCs w:val="22"/>
          <w:lang w:val="sr-Latn-ME" w:eastAsia="ja-JP"/>
        </w:rPr>
        <w:t xml:space="preserve"> adjuvantnim trastuzumabom i hemoterapijom. Ispitivači su za svakog pacijenta pojedinačno odabrali jedan od sljedećih hemoterapijskih protokola baziranih na antraciklinu ili </w:t>
      </w:r>
      <w:r w:rsidR="00E54C5C" w:rsidRPr="00424A4B">
        <w:rPr>
          <w:sz w:val="22"/>
          <w:szCs w:val="22"/>
          <w:lang w:val="sr-Latn-ME" w:eastAsia="ja-JP"/>
        </w:rPr>
        <w:t xml:space="preserve">na </w:t>
      </w:r>
      <w:r w:rsidRPr="00424A4B">
        <w:rPr>
          <w:sz w:val="22"/>
          <w:szCs w:val="22"/>
          <w:lang w:val="sr-Latn-ME" w:eastAsia="ja-JP"/>
        </w:rPr>
        <w:t>nekom drugom lijeku:</w:t>
      </w:r>
    </w:p>
    <w:p w:rsidR="00E54C5C" w:rsidRPr="00424A4B" w:rsidRDefault="00E54C5C">
      <w:pPr>
        <w:jc w:val="both"/>
        <w:rPr>
          <w:sz w:val="22"/>
          <w:szCs w:val="22"/>
          <w:lang w:val="sr-Latn-ME"/>
        </w:rPr>
      </w:pPr>
    </w:p>
    <w:p w:rsidR="005E6320" w:rsidRPr="00424A4B" w:rsidRDefault="005E6320" w:rsidP="0055503A">
      <w:pPr>
        <w:numPr>
          <w:ilvl w:val="0"/>
          <w:numId w:val="37"/>
        </w:numPr>
        <w:jc w:val="both"/>
        <w:rPr>
          <w:sz w:val="22"/>
          <w:szCs w:val="22"/>
          <w:lang w:val="sr-Latn-ME"/>
        </w:rPr>
      </w:pPr>
      <w:r w:rsidRPr="00424A4B">
        <w:rPr>
          <w:sz w:val="22"/>
          <w:szCs w:val="22"/>
          <w:lang w:val="sr-Latn-ME" w:eastAsia="ja-JP"/>
        </w:rPr>
        <w:t>3 ili 4 ciklusa protokola FEC ili 5</w:t>
      </w:r>
      <w:r w:rsidRPr="00424A4B">
        <w:rPr>
          <w:sz w:val="22"/>
          <w:szCs w:val="22"/>
          <w:lang w:val="sr-Latn-ME" w:eastAsia="ja-JP"/>
        </w:rPr>
        <w:noBreakHyphen/>
        <w:t>fluorouracila, doksorubicina i ciklofosfamida (FAC), nakon čega su uslijedila 3 ili 4 ciklusa docetaksela ili 12 ciklusa paklitaksela koji se primjenjivao svake nedjelje</w:t>
      </w:r>
    </w:p>
    <w:p w:rsidR="005E6320" w:rsidRPr="00424A4B" w:rsidRDefault="005E6320" w:rsidP="0055503A">
      <w:pPr>
        <w:numPr>
          <w:ilvl w:val="0"/>
          <w:numId w:val="37"/>
        </w:numPr>
        <w:jc w:val="both"/>
        <w:rPr>
          <w:sz w:val="22"/>
          <w:szCs w:val="22"/>
          <w:lang w:val="sr-Latn-ME"/>
        </w:rPr>
      </w:pPr>
      <w:r w:rsidRPr="00424A4B">
        <w:rPr>
          <w:sz w:val="22"/>
          <w:szCs w:val="22"/>
          <w:lang w:val="sr-Latn-ME" w:eastAsia="ja-JP"/>
        </w:rPr>
        <w:t>4 ciklusa protokola AC ili epirubicina i ciklofosfamida (EC), nakon čega su uslijedila 3 ili 4 ciklusa docetaksela ili 12 ciklusa paklitaksela koji se primjenjivao svake nedjelje</w:t>
      </w:r>
    </w:p>
    <w:p w:rsidR="005E6320" w:rsidRPr="00424A4B" w:rsidRDefault="005E6320" w:rsidP="0055503A">
      <w:pPr>
        <w:numPr>
          <w:ilvl w:val="0"/>
          <w:numId w:val="37"/>
        </w:numPr>
        <w:rPr>
          <w:sz w:val="22"/>
          <w:szCs w:val="22"/>
          <w:lang w:val="sr-Latn-ME"/>
        </w:rPr>
      </w:pPr>
      <w:r w:rsidRPr="00424A4B">
        <w:rPr>
          <w:sz w:val="22"/>
          <w:szCs w:val="22"/>
          <w:lang w:val="sr-Latn-ME" w:eastAsia="ja-JP"/>
        </w:rPr>
        <w:t>6 ciklusa docetaksela u kombinaciji s</w:t>
      </w:r>
      <w:r w:rsidR="00E54C5C" w:rsidRPr="00424A4B">
        <w:rPr>
          <w:sz w:val="22"/>
          <w:szCs w:val="22"/>
          <w:lang w:val="sr-Latn-ME" w:eastAsia="ja-JP"/>
        </w:rPr>
        <w:t>a</w:t>
      </w:r>
      <w:r w:rsidRPr="00424A4B">
        <w:rPr>
          <w:sz w:val="22"/>
          <w:szCs w:val="22"/>
          <w:lang w:val="sr-Latn-ME" w:eastAsia="ja-JP"/>
        </w:rPr>
        <w:t xml:space="preserve"> karboplatinom </w:t>
      </w:r>
    </w:p>
    <w:p w:rsidR="00CD41AC" w:rsidRPr="00424A4B" w:rsidRDefault="00CD41AC" w:rsidP="0055503A">
      <w:pPr>
        <w:jc w:val="both"/>
        <w:rPr>
          <w:sz w:val="22"/>
          <w:szCs w:val="22"/>
          <w:lang w:val="sr-Latn-ME" w:eastAsia="ja-JP"/>
        </w:rPr>
      </w:pPr>
    </w:p>
    <w:p w:rsidR="005E6320" w:rsidRPr="00424A4B" w:rsidRDefault="00E27A7A" w:rsidP="0055503A">
      <w:pPr>
        <w:jc w:val="both"/>
        <w:rPr>
          <w:sz w:val="22"/>
          <w:szCs w:val="22"/>
          <w:lang w:val="sr-Latn-ME" w:eastAsia="ja-JP"/>
        </w:rPr>
      </w:pPr>
      <w:r w:rsidRPr="00424A4B">
        <w:rPr>
          <w:sz w:val="22"/>
          <w:szCs w:val="22"/>
          <w:lang w:val="sr-Latn-ME" w:eastAsia="ja-JP"/>
        </w:rPr>
        <w:t xml:space="preserve">Lijek </w:t>
      </w:r>
      <w:r w:rsidR="009C77FA" w:rsidRPr="00424A4B">
        <w:rPr>
          <w:sz w:val="22"/>
          <w:szCs w:val="22"/>
          <w:lang w:val="sr-Latn-ME" w:eastAsia="ja-JP"/>
        </w:rPr>
        <w:t>Perjeta</w:t>
      </w:r>
      <w:r w:rsidR="005E6320" w:rsidRPr="00424A4B">
        <w:rPr>
          <w:sz w:val="22"/>
          <w:szCs w:val="22"/>
          <w:lang w:val="sr-Latn-ME" w:eastAsia="ja-JP"/>
        </w:rPr>
        <w:t xml:space="preserve"> i trastuzumab primjenjivali su se intravenski (vidjeti dio 4.2) svake 3 nedjelje, počevši od 1. dana prvog ciklusa koji je uključivao taksan, tokom ukupno 52 nedjelje (do 18 ciklusa) ili do recidiva bolesti, povlačenja pristanka ili </w:t>
      </w:r>
      <w:r w:rsidR="00E54C5C" w:rsidRPr="00424A4B">
        <w:rPr>
          <w:sz w:val="22"/>
          <w:szCs w:val="22"/>
          <w:lang w:val="sr-Latn-ME" w:eastAsia="ja-JP"/>
        </w:rPr>
        <w:t>pojave</w:t>
      </w:r>
      <w:r w:rsidR="005E6320" w:rsidRPr="00424A4B">
        <w:rPr>
          <w:sz w:val="22"/>
          <w:szCs w:val="22"/>
          <w:lang w:val="sr-Latn-ME" w:eastAsia="ja-JP"/>
        </w:rPr>
        <w:t xml:space="preserve"> toksičnosti koja se nije mogla zbrinuti. Primjenjivale su se standardne doze 5</w:t>
      </w:r>
      <w:r w:rsidR="005E6320" w:rsidRPr="00424A4B">
        <w:rPr>
          <w:sz w:val="22"/>
          <w:szCs w:val="22"/>
          <w:lang w:val="sr-Latn-ME" w:eastAsia="ja-JP"/>
        </w:rPr>
        <w:noBreakHyphen/>
        <w:t>fluorouracila, epirubicina, doksorubicina, ciklofosfamida, docetaksela, paklitaksela i karboplatina. Nakon završetka hemoterapije pacijenti su primili radioterapiju i/ili hormonsku terapiju, u skladu s</w:t>
      </w:r>
      <w:r w:rsidR="00E54C5C" w:rsidRPr="00424A4B">
        <w:rPr>
          <w:sz w:val="22"/>
          <w:szCs w:val="22"/>
          <w:lang w:val="sr-Latn-ME" w:eastAsia="ja-JP"/>
        </w:rPr>
        <w:t>a</w:t>
      </w:r>
      <w:r w:rsidR="005E6320" w:rsidRPr="00424A4B">
        <w:rPr>
          <w:sz w:val="22"/>
          <w:szCs w:val="22"/>
          <w:lang w:val="sr-Latn-ME" w:eastAsia="ja-JP"/>
        </w:rPr>
        <w:t xml:space="preserve"> lokalnim kliničkim standardom.</w:t>
      </w:r>
    </w:p>
    <w:p w:rsidR="00CD41AC" w:rsidRPr="00424A4B" w:rsidRDefault="00CD41AC" w:rsidP="0055503A">
      <w:pPr>
        <w:jc w:val="both"/>
        <w:rPr>
          <w:sz w:val="22"/>
          <w:szCs w:val="22"/>
          <w:lang w:val="sr-Latn-ME"/>
        </w:rPr>
      </w:pPr>
    </w:p>
    <w:p w:rsidR="005E6320" w:rsidRPr="00424A4B" w:rsidRDefault="005E6320" w:rsidP="0055503A">
      <w:pPr>
        <w:jc w:val="both"/>
        <w:rPr>
          <w:sz w:val="22"/>
          <w:szCs w:val="22"/>
          <w:lang w:val="sr-Latn-ME" w:eastAsia="ja-JP"/>
        </w:rPr>
      </w:pPr>
      <w:r w:rsidRPr="00424A4B">
        <w:rPr>
          <w:sz w:val="22"/>
          <w:szCs w:val="22"/>
          <w:lang w:val="sr-Latn-ME" w:eastAsia="ja-JP"/>
        </w:rPr>
        <w:t xml:space="preserve">Primarni </w:t>
      </w:r>
      <w:r w:rsidR="00E54C5C" w:rsidRPr="00424A4B">
        <w:rPr>
          <w:sz w:val="22"/>
          <w:szCs w:val="22"/>
          <w:lang w:val="sr-Latn-ME" w:eastAsia="ja-JP"/>
        </w:rPr>
        <w:t>parametar praćenja</w:t>
      </w:r>
      <w:r w:rsidRPr="00424A4B">
        <w:rPr>
          <w:sz w:val="22"/>
          <w:szCs w:val="22"/>
          <w:lang w:val="sr-Latn-ME" w:eastAsia="ja-JP"/>
        </w:rPr>
        <w:t xml:space="preserve"> ispitivanja bio je preživljavanje bez invazivne bolesti (engl. </w:t>
      </w:r>
      <w:r w:rsidRPr="00424A4B">
        <w:rPr>
          <w:i/>
          <w:sz w:val="22"/>
          <w:szCs w:val="22"/>
          <w:lang w:val="sr-Latn-ME" w:eastAsia="ja-JP"/>
        </w:rPr>
        <w:t>invasive disease</w:t>
      </w:r>
      <w:r w:rsidRPr="00424A4B">
        <w:rPr>
          <w:i/>
          <w:sz w:val="22"/>
          <w:szCs w:val="22"/>
          <w:lang w:val="sr-Latn-ME" w:eastAsia="ja-JP"/>
        </w:rPr>
        <w:noBreakHyphen/>
        <w:t>free survival</w:t>
      </w:r>
      <w:r w:rsidRPr="00424A4B">
        <w:rPr>
          <w:sz w:val="22"/>
          <w:szCs w:val="22"/>
          <w:lang w:val="sr-Latn-ME" w:eastAsia="ja-JP"/>
        </w:rPr>
        <w:t>, IDFS), koj</w:t>
      </w:r>
      <w:r w:rsidR="00E54C5C" w:rsidRPr="00424A4B">
        <w:rPr>
          <w:sz w:val="22"/>
          <w:szCs w:val="22"/>
          <w:lang w:val="sr-Latn-ME" w:eastAsia="ja-JP"/>
        </w:rPr>
        <w:t>i</w:t>
      </w:r>
      <w:r w:rsidRPr="00424A4B">
        <w:rPr>
          <w:sz w:val="22"/>
          <w:szCs w:val="22"/>
          <w:lang w:val="sr-Latn-ME" w:eastAsia="ja-JP"/>
        </w:rPr>
        <w:t xml:space="preserve"> je definisan kao vrijeme od randomizacije do prv</w:t>
      </w:r>
      <w:r w:rsidR="00E54C5C" w:rsidRPr="00424A4B">
        <w:rPr>
          <w:sz w:val="22"/>
          <w:szCs w:val="22"/>
          <w:lang w:val="sr-Latn-ME" w:eastAsia="ja-JP"/>
        </w:rPr>
        <w:t xml:space="preserve">e pojave </w:t>
      </w:r>
      <w:r w:rsidRPr="00424A4B">
        <w:rPr>
          <w:sz w:val="22"/>
          <w:szCs w:val="22"/>
          <w:lang w:val="sr-Latn-ME" w:eastAsia="ja-JP"/>
        </w:rPr>
        <w:t xml:space="preserve"> ipsilateralnog lokalnog ili regionalnog recidiva invazivnog karcinoma dojke, recidiva bolesti na udaljenom mjestu, kontralateralnog invazivnog karcinoma dojke ili smrti zbog bilo kojeg uzroka. Sekundarn</w:t>
      </w:r>
      <w:r w:rsidR="00E54C5C" w:rsidRPr="00424A4B">
        <w:rPr>
          <w:sz w:val="22"/>
          <w:szCs w:val="22"/>
          <w:lang w:val="sr-Latn-ME" w:eastAsia="ja-JP"/>
        </w:rPr>
        <w:t xml:space="preserve">i parametri praćenja </w:t>
      </w:r>
      <w:r w:rsidRPr="00424A4B">
        <w:rPr>
          <w:sz w:val="22"/>
          <w:szCs w:val="22"/>
          <w:lang w:val="sr-Latn-ME" w:eastAsia="ja-JP"/>
        </w:rPr>
        <w:t>za efikasnost bil</w:t>
      </w:r>
      <w:r w:rsidR="00E54C5C" w:rsidRPr="00424A4B">
        <w:rPr>
          <w:sz w:val="22"/>
          <w:szCs w:val="22"/>
          <w:lang w:val="sr-Latn-ME" w:eastAsia="ja-JP"/>
        </w:rPr>
        <w:t>i</w:t>
      </w:r>
      <w:r w:rsidRPr="00424A4B">
        <w:rPr>
          <w:sz w:val="22"/>
          <w:szCs w:val="22"/>
          <w:lang w:val="sr-Latn-ME" w:eastAsia="ja-JP"/>
        </w:rPr>
        <w:t xml:space="preserve"> su IDFS uključujući drugi primarni karcinom osim </w:t>
      </w:r>
      <w:r w:rsidRPr="00424A4B">
        <w:rPr>
          <w:sz w:val="22"/>
          <w:szCs w:val="22"/>
          <w:lang w:val="sr-Latn-ME" w:eastAsia="ja-JP"/>
        </w:rPr>
        <w:lastRenderedPageBreak/>
        <w:t xml:space="preserve">karcinoma dojke, ukupno preživljavanje (engl. </w:t>
      </w:r>
      <w:r w:rsidRPr="00424A4B">
        <w:rPr>
          <w:i/>
          <w:sz w:val="22"/>
          <w:szCs w:val="22"/>
          <w:lang w:val="sr-Latn-ME" w:eastAsia="ja-JP"/>
        </w:rPr>
        <w:t>overall survival</w:t>
      </w:r>
      <w:r w:rsidRPr="00424A4B">
        <w:rPr>
          <w:sz w:val="22"/>
          <w:szCs w:val="22"/>
          <w:lang w:val="sr-Latn-ME" w:eastAsia="ja-JP"/>
        </w:rPr>
        <w:t xml:space="preserve">, OS), preživljavanje bez simptoma bolesti (engl. </w:t>
      </w:r>
      <w:r w:rsidRPr="00424A4B">
        <w:rPr>
          <w:i/>
          <w:sz w:val="22"/>
          <w:szCs w:val="22"/>
          <w:lang w:val="sr-Latn-ME" w:eastAsia="ja-JP"/>
        </w:rPr>
        <w:t>disease</w:t>
      </w:r>
      <w:r w:rsidRPr="00424A4B">
        <w:rPr>
          <w:i/>
          <w:sz w:val="22"/>
          <w:szCs w:val="22"/>
          <w:lang w:val="sr-Latn-ME" w:eastAsia="ja-JP"/>
        </w:rPr>
        <w:noBreakHyphen/>
        <w:t>free survival</w:t>
      </w:r>
      <w:r w:rsidRPr="00424A4B">
        <w:rPr>
          <w:sz w:val="22"/>
          <w:szCs w:val="22"/>
          <w:lang w:val="sr-Latn-ME" w:eastAsia="ja-JP"/>
        </w:rPr>
        <w:t xml:space="preserve">, DFS), </w:t>
      </w:r>
      <w:r w:rsidR="00E54C5C" w:rsidRPr="00424A4B">
        <w:rPr>
          <w:sz w:val="22"/>
          <w:szCs w:val="22"/>
          <w:lang w:val="sr-Latn-ME" w:eastAsia="ja-JP"/>
        </w:rPr>
        <w:t>period</w:t>
      </w:r>
      <w:r w:rsidRPr="00424A4B">
        <w:rPr>
          <w:sz w:val="22"/>
          <w:szCs w:val="22"/>
          <w:lang w:val="sr-Latn-ME" w:eastAsia="ja-JP"/>
        </w:rPr>
        <w:t xml:space="preserve"> bez recidiva (engl. </w:t>
      </w:r>
      <w:r w:rsidRPr="00424A4B">
        <w:rPr>
          <w:i/>
          <w:sz w:val="22"/>
          <w:szCs w:val="22"/>
          <w:lang w:val="sr-Latn-ME" w:eastAsia="ja-JP"/>
        </w:rPr>
        <w:t>recurrence</w:t>
      </w:r>
      <w:r w:rsidRPr="00424A4B">
        <w:rPr>
          <w:i/>
          <w:sz w:val="22"/>
          <w:szCs w:val="22"/>
          <w:lang w:val="sr-Latn-ME" w:eastAsia="ja-JP"/>
        </w:rPr>
        <w:noBreakHyphen/>
        <w:t>free interval</w:t>
      </w:r>
      <w:r w:rsidRPr="00424A4B">
        <w:rPr>
          <w:sz w:val="22"/>
          <w:szCs w:val="22"/>
          <w:lang w:val="sr-Latn-ME" w:eastAsia="ja-JP"/>
        </w:rPr>
        <w:t xml:space="preserve">, RFI) te </w:t>
      </w:r>
      <w:r w:rsidR="00E54C5C" w:rsidRPr="00424A4B">
        <w:rPr>
          <w:sz w:val="22"/>
          <w:szCs w:val="22"/>
          <w:lang w:val="sr-Latn-ME" w:eastAsia="ja-JP"/>
        </w:rPr>
        <w:t>period</w:t>
      </w:r>
      <w:r w:rsidRPr="00424A4B">
        <w:rPr>
          <w:sz w:val="22"/>
          <w:szCs w:val="22"/>
          <w:lang w:val="sr-Latn-ME" w:eastAsia="ja-JP"/>
        </w:rPr>
        <w:t xml:space="preserve"> bez recidiva bolesti na udaljenom mjestu (engl. </w:t>
      </w:r>
      <w:r w:rsidRPr="00424A4B">
        <w:rPr>
          <w:i/>
          <w:sz w:val="22"/>
          <w:szCs w:val="22"/>
          <w:lang w:val="sr-Latn-ME" w:eastAsia="ja-JP"/>
        </w:rPr>
        <w:t>distant recurrence</w:t>
      </w:r>
      <w:r w:rsidRPr="00424A4B">
        <w:rPr>
          <w:i/>
          <w:sz w:val="22"/>
          <w:szCs w:val="22"/>
          <w:lang w:val="sr-Latn-ME" w:eastAsia="ja-JP"/>
        </w:rPr>
        <w:noBreakHyphen/>
        <w:t>free interval</w:t>
      </w:r>
      <w:r w:rsidRPr="00424A4B">
        <w:rPr>
          <w:sz w:val="22"/>
          <w:szCs w:val="22"/>
          <w:lang w:val="sr-Latn-ME" w:eastAsia="ja-JP"/>
        </w:rPr>
        <w:t>, DRFI).</w:t>
      </w:r>
    </w:p>
    <w:p w:rsidR="00CD41AC" w:rsidRPr="00424A4B" w:rsidRDefault="00CD41AC" w:rsidP="0055503A">
      <w:pPr>
        <w:jc w:val="both"/>
        <w:rPr>
          <w:sz w:val="22"/>
          <w:szCs w:val="22"/>
          <w:lang w:val="sr-Latn-ME"/>
        </w:rPr>
      </w:pPr>
    </w:p>
    <w:p w:rsidR="005E6320" w:rsidRPr="00424A4B" w:rsidRDefault="005E6320" w:rsidP="0055503A">
      <w:pPr>
        <w:jc w:val="both"/>
        <w:rPr>
          <w:sz w:val="22"/>
          <w:szCs w:val="22"/>
          <w:lang w:val="sr-Latn-ME" w:eastAsia="ja-JP"/>
        </w:rPr>
      </w:pPr>
      <w:r w:rsidRPr="00424A4B">
        <w:rPr>
          <w:sz w:val="22"/>
          <w:szCs w:val="22"/>
          <w:lang w:val="sr-Latn-ME" w:eastAsia="ja-JP"/>
        </w:rPr>
        <w:t>Demografske karakteristike su bile dobro ujednačene između dv</w:t>
      </w:r>
      <w:r w:rsidR="00E54C5C" w:rsidRPr="00424A4B">
        <w:rPr>
          <w:sz w:val="22"/>
          <w:szCs w:val="22"/>
          <w:lang w:val="sr-Latn-ME" w:eastAsia="ja-JP"/>
        </w:rPr>
        <w:t>ij</w:t>
      </w:r>
      <w:r w:rsidRPr="00424A4B">
        <w:rPr>
          <w:sz w:val="22"/>
          <w:szCs w:val="22"/>
          <w:lang w:val="sr-Latn-ME" w:eastAsia="ja-JP"/>
        </w:rPr>
        <w:t>e grupe. Starosna medijana je iznosila 51 godinu, a više od 99% pacijenata bilo je ženskog pola. Većina pacijenata imala je pozitivan nalaz zahvaćenosti limfnih čvorova (63%) i/ili tumor pozitivan na hormonske receptore (64%)   i  bila je bijele rase (71%).</w:t>
      </w:r>
    </w:p>
    <w:p w:rsidR="00CD41AC" w:rsidRPr="00424A4B" w:rsidRDefault="00CD41AC" w:rsidP="0055503A">
      <w:pPr>
        <w:jc w:val="both"/>
        <w:rPr>
          <w:sz w:val="22"/>
          <w:szCs w:val="22"/>
          <w:lang w:val="sr-Latn-ME"/>
        </w:rPr>
      </w:pPr>
    </w:p>
    <w:p w:rsidR="00DA5717" w:rsidRPr="00424A4B" w:rsidRDefault="005E6320" w:rsidP="0055503A">
      <w:pPr>
        <w:jc w:val="both"/>
        <w:rPr>
          <w:sz w:val="22"/>
          <w:szCs w:val="22"/>
          <w:lang w:val="sr-Latn-ME" w:eastAsia="ja-JP"/>
        </w:rPr>
      </w:pPr>
      <w:r w:rsidRPr="00424A4B">
        <w:rPr>
          <w:sz w:val="22"/>
          <w:szCs w:val="22"/>
          <w:lang w:val="sr-Latn-ME" w:eastAsia="ja-JP"/>
        </w:rPr>
        <w:t>Nakon medijan</w:t>
      </w:r>
      <w:r w:rsidR="00E54C5C" w:rsidRPr="00424A4B">
        <w:rPr>
          <w:sz w:val="22"/>
          <w:szCs w:val="22"/>
          <w:lang w:val="sr-Latn-ME" w:eastAsia="ja-JP"/>
        </w:rPr>
        <w:t>e</w:t>
      </w:r>
      <w:r w:rsidRPr="00424A4B">
        <w:rPr>
          <w:sz w:val="22"/>
          <w:szCs w:val="22"/>
          <w:lang w:val="sr-Latn-ME" w:eastAsia="ja-JP"/>
        </w:rPr>
        <w:t xml:space="preserve"> praćenja od 45,4 mjeseci, ispitivanje APHINITY pokazalo je smanjenje rizika od recidiva ili smrti za 19% </w:t>
      </w:r>
      <w:r w:rsidR="00E54C5C" w:rsidRPr="00424A4B">
        <w:rPr>
          <w:sz w:val="22"/>
          <w:szCs w:val="22"/>
          <w:lang w:val="sr-Latn-ME" w:eastAsia="ja-JP"/>
        </w:rPr>
        <w:t>(</w:t>
      </w:r>
      <w:r w:rsidRPr="00424A4B">
        <w:rPr>
          <w:sz w:val="22"/>
          <w:szCs w:val="22"/>
          <w:lang w:val="sr-Latn-ME" w:eastAsia="ja-JP"/>
        </w:rPr>
        <w:t>odnos</w:t>
      </w:r>
      <w:r w:rsidR="00E54C5C" w:rsidRPr="00424A4B">
        <w:rPr>
          <w:sz w:val="22"/>
          <w:szCs w:val="22"/>
          <w:lang w:val="sr-Latn-ME" w:eastAsia="ja-JP"/>
        </w:rPr>
        <w:t xml:space="preserve"> rizika</w:t>
      </w:r>
      <w:r w:rsidRPr="00424A4B">
        <w:rPr>
          <w:sz w:val="22"/>
          <w:szCs w:val="22"/>
          <w:lang w:val="sr-Latn-ME" w:eastAsia="ja-JP"/>
        </w:rPr>
        <w:t xml:space="preserve"> [engl. </w:t>
      </w:r>
      <w:r w:rsidRPr="00424A4B">
        <w:rPr>
          <w:i/>
          <w:sz w:val="22"/>
          <w:szCs w:val="22"/>
          <w:lang w:val="sr-Latn-ME" w:eastAsia="ja-JP"/>
        </w:rPr>
        <w:t>hazard ratio</w:t>
      </w:r>
      <w:r w:rsidRPr="00424A4B">
        <w:rPr>
          <w:sz w:val="22"/>
          <w:szCs w:val="22"/>
          <w:lang w:val="sr-Latn-ME" w:eastAsia="ja-JP"/>
        </w:rPr>
        <w:t>, HR] = 0,81; 95% CI: 0,66; 1,00; p</w:t>
      </w:r>
      <w:r w:rsidRPr="00424A4B">
        <w:rPr>
          <w:sz w:val="22"/>
          <w:szCs w:val="22"/>
          <w:lang w:val="sr-Latn-ME" w:eastAsia="ja-JP"/>
        </w:rPr>
        <w:noBreakHyphen/>
        <w:t xml:space="preserve">vrijednost: 0,0446) među pacijentima randomizovanim za liječenje lijekom </w:t>
      </w:r>
      <w:r w:rsidR="009C77FA" w:rsidRPr="00424A4B">
        <w:rPr>
          <w:sz w:val="22"/>
          <w:szCs w:val="22"/>
          <w:lang w:val="sr-Latn-ME" w:eastAsia="ja-JP"/>
        </w:rPr>
        <w:t>Perjeta</w:t>
      </w:r>
      <w:r w:rsidRPr="00424A4B">
        <w:rPr>
          <w:sz w:val="22"/>
          <w:szCs w:val="22"/>
          <w:lang w:val="sr-Latn-ME" w:eastAsia="ja-JP"/>
        </w:rPr>
        <w:t xml:space="preserve"> u odnosu na one randomizovane za primanje placeba.</w:t>
      </w:r>
    </w:p>
    <w:p w:rsidR="00CD41AC" w:rsidRPr="00424A4B" w:rsidRDefault="00CD41AC" w:rsidP="0055503A">
      <w:pPr>
        <w:jc w:val="both"/>
        <w:rPr>
          <w:sz w:val="22"/>
          <w:szCs w:val="22"/>
          <w:lang w:val="sr-Latn-ME" w:eastAsia="ja-JP"/>
        </w:rPr>
      </w:pPr>
    </w:p>
    <w:p w:rsidR="005E6320" w:rsidRPr="00424A4B" w:rsidRDefault="00DA5717" w:rsidP="0055503A">
      <w:pPr>
        <w:jc w:val="both"/>
        <w:rPr>
          <w:sz w:val="22"/>
          <w:szCs w:val="22"/>
          <w:lang w:val="sr-Latn-ME"/>
        </w:rPr>
      </w:pPr>
      <w:r w:rsidRPr="00424A4B">
        <w:rPr>
          <w:sz w:val="22"/>
          <w:szCs w:val="22"/>
          <w:lang w:val="sr-Latn-ME"/>
        </w:rPr>
        <w:t>Nakon medijane praćenja od 101,2 mjeseca (8,4 godine), u 3. interim analizi ukupnog preživljavanja, broj smrtnih ishoda kod pacijenata randomizovanih za liječenje lijekom Perjeta iznosio je 168 [7,0%] naspram 202 smrtna ishoda kod pacijenata koji su primali placebo [8,4%]; HR=0.83, 95% CI [0,68; 1,02].</w:t>
      </w:r>
    </w:p>
    <w:p w:rsidR="00CD41AC" w:rsidRPr="00424A4B" w:rsidRDefault="00CD41AC" w:rsidP="0055503A">
      <w:pPr>
        <w:jc w:val="both"/>
        <w:rPr>
          <w:sz w:val="22"/>
          <w:szCs w:val="22"/>
          <w:lang w:val="sr-Latn-ME"/>
        </w:rPr>
      </w:pPr>
    </w:p>
    <w:p w:rsidR="00692DB8" w:rsidRPr="00424A4B" w:rsidRDefault="005E6320" w:rsidP="0055503A">
      <w:pPr>
        <w:rPr>
          <w:b/>
          <w:sz w:val="22"/>
          <w:szCs w:val="22"/>
          <w:lang w:val="sr-Latn-ME" w:eastAsia="ja-JP"/>
        </w:rPr>
      </w:pPr>
      <w:r w:rsidRPr="00424A4B">
        <w:rPr>
          <w:sz w:val="22"/>
          <w:szCs w:val="22"/>
          <w:lang w:val="sr-Latn-ME"/>
        </w:rPr>
        <w:t>Rezultati efikasnosti iz ispitivanja APHINITY sažeto su prikazani u Tabeli 5 i na Slici 3.</w:t>
      </w:r>
    </w:p>
    <w:p w:rsidR="00692DB8" w:rsidRPr="00424A4B" w:rsidRDefault="00692DB8" w:rsidP="0055503A">
      <w:pPr>
        <w:rPr>
          <w:sz w:val="22"/>
          <w:szCs w:val="22"/>
          <w:lang w:val="sr-Latn-ME"/>
        </w:rPr>
      </w:pPr>
    </w:p>
    <w:p w:rsidR="00445878" w:rsidRPr="00424A4B" w:rsidRDefault="00445878" w:rsidP="0055503A">
      <w:pPr>
        <w:rPr>
          <w:sz w:val="22"/>
          <w:szCs w:val="22"/>
          <w:lang w:val="sr-Latn-ME"/>
        </w:rPr>
      </w:pPr>
      <w:r w:rsidRPr="00424A4B">
        <w:rPr>
          <w:b/>
          <w:sz w:val="22"/>
          <w:szCs w:val="22"/>
          <w:lang w:val="sr-Latn-ME" w:eastAsia="ja-JP"/>
        </w:rPr>
        <w:t xml:space="preserve">Tabela 5 </w:t>
      </w:r>
      <w:r w:rsidRPr="00424A4B">
        <w:rPr>
          <w:b/>
          <w:sz w:val="22"/>
          <w:szCs w:val="22"/>
          <w:lang w:val="sr-Latn-ME" w:eastAsia="ja-JP"/>
        </w:rPr>
        <w:tab/>
        <w:t xml:space="preserve">Ukupna efikasnost: populacija predviđena za liječenje (engl. </w:t>
      </w:r>
      <w:r w:rsidRPr="00424A4B">
        <w:rPr>
          <w:b/>
          <w:i/>
          <w:sz w:val="22"/>
          <w:szCs w:val="22"/>
          <w:lang w:val="sr-Latn-ME" w:eastAsia="ja-JP"/>
        </w:rPr>
        <w:t>intent-to-treat</w:t>
      </w:r>
      <w:r w:rsidRPr="00424A4B">
        <w:rPr>
          <w:b/>
          <w:sz w:val="22"/>
          <w:szCs w:val="22"/>
          <w:lang w:val="sr-Latn-ME" w:eastAsia="ja-JP"/>
        </w:rPr>
        <w:t>, ITT)</w:t>
      </w:r>
    </w:p>
    <w:p w:rsidR="000D6CDA" w:rsidRPr="00424A4B" w:rsidRDefault="000D6CDA" w:rsidP="0055503A">
      <w:pPr>
        <w:rPr>
          <w:b/>
          <w:sz w:val="22"/>
          <w:szCs w:val="22"/>
          <w:lang w:val="sr-Latn-ME" w:eastAsia="ja-JP"/>
        </w:rPr>
      </w:pPr>
    </w:p>
    <w:tbl>
      <w:tblPr>
        <w:tblpPr w:leftFromText="180" w:rightFromText="180" w:vertAnchor="text" w:horzAnchor="margin" w:tblpY="8"/>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770"/>
        <w:gridCol w:w="2250"/>
        <w:gridCol w:w="2127"/>
      </w:tblGrid>
      <w:tr w:rsidR="00AE1118" w:rsidRPr="00424A4B" w:rsidTr="00B30B91">
        <w:trPr>
          <w:cantSplit/>
          <w:tblHeader/>
        </w:trPr>
        <w:tc>
          <w:tcPr>
            <w:tcW w:w="4770" w:type="dxa"/>
            <w:vAlign w:val="bottom"/>
          </w:tcPr>
          <w:p w:rsidR="00AE1118" w:rsidRPr="00424A4B" w:rsidRDefault="00AE1118" w:rsidP="005C33D8">
            <w:pPr>
              <w:keepNext/>
              <w:keepLines/>
              <w:rPr>
                <w:sz w:val="22"/>
                <w:szCs w:val="22"/>
                <w:lang w:val="sr-Latn-ME" w:eastAsia="ja-JP"/>
              </w:rPr>
            </w:pPr>
          </w:p>
        </w:tc>
        <w:tc>
          <w:tcPr>
            <w:tcW w:w="2250" w:type="dxa"/>
            <w:vAlign w:val="center"/>
          </w:tcPr>
          <w:p w:rsidR="00AE1118" w:rsidRPr="00424A4B" w:rsidRDefault="00AE1118" w:rsidP="00CD41AC">
            <w:pPr>
              <w:keepNext/>
              <w:keepLines/>
              <w:jc w:val="center"/>
              <w:rPr>
                <w:b/>
                <w:sz w:val="22"/>
                <w:szCs w:val="22"/>
                <w:lang w:val="sr-Latn-ME" w:eastAsia="ja-JP"/>
              </w:rPr>
            </w:pPr>
            <w:r w:rsidRPr="00424A4B">
              <w:rPr>
                <w:b/>
                <w:sz w:val="22"/>
                <w:szCs w:val="22"/>
                <w:lang w:val="sr-Latn-ME" w:eastAsia="ja-JP"/>
              </w:rPr>
              <w:t>Perjeta + trastuzumab + hemoterapija</w:t>
            </w:r>
          </w:p>
          <w:p w:rsidR="00AE1118" w:rsidRPr="00424A4B" w:rsidRDefault="00AE1118" w:rsidP="00744600">
            <w:pPr>
              <w:keepNext/>
              <w:keepLines/>
              <w:jc w:val="center"/>
              <w:rPr>
                <w:b/>
                <w:sz w:val="22"/>
                <w:szCs w:val="22"/>
                <w:lang w:val="sr-Latn-ME" w:eastAsia="ja-JP"/>
              </w:rPr>
            </w:pPr>
            <w:r w:rsidRPr="00424A4B">
              <w:rPr>
                <w:b/>
                <w:sz w:val="22"/>
                <w:szCs w:val="22"/>
                <w:lang w:val="sr-Latn-ME" w:eastAsia="ja-JP"/>
              </w:rPr>
              <w:t>N=2400</w:t>
            </w:r>
          </w:p>
        </w:tc>
        <w:tc>
          <w:tcPr>
            <w:tcW w:w="2127" w:type="dxa"/>
            <w:vAlign w:val="bottom"/>
          </w:tcPr>
          <w:p w:rsidR="00AE1118" w:rsidRPr="00424A4B" w:rsidRDefault="00AE1118" w:rsidP="0055503A">
            <w:pPr>
              <w:keepNext/>
              <w:keepLines/>
              <w:jc w:val="center"/>
              <w:rPr>
                <w:b/>
                <w:sz w:val="22"/>
                <w:szCs w:val="22"/>
                <w:lang w:val="sr-Latn-ME" w:eastAsia="ja-JP"/>
              </w:rPr>
            </w:pPr>
            <w:r w:rsidRPr="00424A4B">
              <w:rPr>
                <w:b/>
                <w:sz w:val="22"/>
                <w:szCs w:val="22"/>
                <w:lang w:val="sr-Latn-ME" w:eastAsia="ja-JP"/>
              </w:rPr>
              <w:t>Placebo + trastuzumab + hemoterapija</w:t>
            </w:r>
          </w:p>
          <w:p w:rsidR="00AE1118" w:rsidRPr="00424A4B" w:rsidRDefault="00AE1118" w:rsidP="0055503A">
            <w:pPr>
              <w:keepNext/>
              <w:keepLines/>
              <w:jc w:val="center"/>
              <w:rPr>
                <w:b/>
                <w:sz w:val="22"/>
                <w:szCs w:val="22"/>
                <w:lang w:val="sr-Latn-ME" w:eastAsia="ja-JP"/>
              </w:rPr>
            </w:pPr>
            <w:r w:rsidRPr="00424A4B">
              <w:rPr>
                <w:b/>
                <w:sz w:val="22"/>
                <w:szCs w:val="22"/>
                <w:lang w:val="sr-Latn-ME" w:eastAsia="ja-JP"/>
              </w:rPr>
              <w:t>N=2404</w:t>
            </w:r>
          </w:p>
        </w:tc>
      </w:tr>
      <w:tr w:rsidR="00AE1118" w:rsidRPr="00424A4B" w:rsidTr="00B30B91">
        <w:trPr>
          <w:cantSplit/>
        </w:trPr>
        <w:tc>
          <w:tcPr>
            <w:tcW w:w="4770" w:type="dxa"/>
            <w:tcBorders>
              <w:bottom w:val="single" w:sz="4" w:space="0" w:color="auto"/>
            </w:tcBorders>
            <w:vAlign w:val="bottom"/>
          </w:tcPr>
          <w:p w:rsidR="00AE1118" w:rsidRPr="00424A4B" w:rsidRDefault="00AE1118" w:rsidP="005C33D8">
            <w:pPr>
              <w:keepNext/>
              <w:keepLines/>
              <w:rPr>
                <w:b/>
                <w:i/>
                <w:sz w:val="22"/>
                <w:szCs w:val="22"/>
                <w:lang w:val="sr-Latn-ME" w:eastAsia="ja-JP"/>
              </w:rPr>
            </w:pPr>
            <w:r w:rsidRPr="00424A4B">
              <w:rPr>
                <w:b/>
                <w:i/>
                <w:sz w:val="22"/>
                <w:szCs w:val="22"/>
                <w:lang w:val="sr-Latn-ME" w:eastAsia="ja-JP"/>
              </w:rPr>
              <w:t>Primarni parametar praćenja kliničke studije</w:t>
            </w:r>
          </w:p>
        </w:tc>
        <w:tc>
          <w:tcPr>
            <w:tcW w:w="4377" w:type="dxa"/>
            <w:gridSpan w:val="2"/>
            <w:tcBorders>
              <w:bottom w:val="single" w:sz="4" w:space="0" w:color="auto"/>
            </w:tcBorders>
            <w:vAlign w:val="bottom"/>
          </w:tcPr>
          <w:p w:rsidR="00AE1118" w:rsidRPr="00424A4B" w:rsidRDefault="00AE1118" w:rsidP="00CD41AC">
            <w:pPr>
              <w:keepNext/>
              <w:keepLines/>
              <w:rPr>
                <w:b/>
                <w:i/>
                <w:sz w:val="22"/>
                <w:szCs w:val="22"/>
                <w:lang w:val="sr-Latn-ME" w:eastAsia="ja-JP"/>
              </w:rPr>
            </w:pPr>
          </w:p>
        </w:tc>
      </w:tr>
      <w:tr w:rsidR="00AE1118" w:rsidRPr="00424A4B" w:rsidTr="00B30B91">
        <w:trPr>
          <w:cantSplit/>
        </w:trPr>
        <w:tc>
          <w:tcPr>
            <w:tcW w:w="4770" w:type="dxa"/>
            <w:tcBorders>
              <w:top w:val="single" w:sz="4" w:space="0" w:color="auto"/>
              <w:left w:val="single" w:sz="4" w:space="0" w:color="auto"/>
              <w:bottom w:val="nil"/>
              <w:right w:val="single" w:sz="4" w:space="0" w:color="auto"/>
            </w:tcBorders>
            <w:vAlign w:val="bottom"/>
          </w:tcPr>
          <w:p w:rsidR="00AE1118" w:rsidRPr="00424A4B" w:rsidRDefault="00AE1118" w:rsidP="005C33D8">
            <w:pPr>
              <w:keepNext/>
              <w:keepLines/>
              <w:rPr>
                <w:b/>
                <w:sz w:val="22"/>
                <w:szCs w:val="22"/>
                <w:vertAlign w:val="superscript"/>
                <w:lang w:val="sr-Latn-ME" w:eastAsia="ja-JP"/>
              </w:rPr>
            </w:pPr>
            <w:r w:rsidRPr="00424A4B">
              <w:rPr>
                <w:b/>
                <w:sz w:val="22"/>
                <w:szCs w:val="22"/>
                <w:lang w:val="sr-Latn-ME" w:eastAsia="ja-JP"/>
              </w:rPr>
              <w:t>Preživljavanje bez invazivne bolesti (IDFS)*</w:t>
            </w:r>
            <w:r w:rsidRPr="00424A4B">
              <w:rPr>
                <w:b/>
                <w:sz w:val="22"/>
                <w:szCs w:val="22"/>
                <w:vertAlign w:val="superscript"/>
                <w:lang w:val="sr-Latn-ME" w:eastAsia="ja-JP"/>
              </w:rPr>
              <w:t xml:space="preserve"> </w:t>
            </w:r>
          </w:p>
        </w:tc>
        <w:tc>
          <w:tcPr>
            <w:tcW w:w="4377" w:type="dxa"/>
            <w:gridSpan w:val="2"/>
            <w:tcBorders>
              <w:top w:val="single" w:sz="4" w:space="0" w:color="auto"/>
              <w:left w:val="single" w:sz="4" w:space="0" w:color="auto"/>
              <w:bottom w:val="nil"/>
              <w:right w:val="single" w:sz="4" w:space="0" w:color="auto"/>
            </w:tcBorders>
            <w:vAlign w:val="bottom"/>
          </w:tcPr>
          <w:p w:rsidR="00AE1118" w:rsidRPr="00424A4B" w:rsidRDefault="00AE1118" w:rsidP="00CD41AC">
            <w:pPr>
              <w:keepNext/>
              <w:keepLines/>
              <w:rPr>
                <w:sz w:val="22"/>
                <w:szCs w:val="22"/>
                <w:lang w:val="sr-Latn-ME" w:eastAsia="ja-JP"/>
              </w:rPr>
            </w:pPr>
          </w:p>
        </w:tc>
      </w:tr>
      <w:tr w:rsidR="00AE1118" w:rsidRPr="00424A4B" w:rsidTr="00B30B91">
        <w:trPr>
          <w:cantSplit/>
        </w:trPr>
        <w:tc>
          <w:tcPr>
            <w:tcW w:w="4770" w:type="dxa"/>
            <w:tcBorders>
              <w:top w:val="nil"/>
              <w:left w:val="single" w:sz="4" w:space="0" w:color="auto"/>
              <w:bottom w:val="nil"/>
              <w:right w:val="single" w:sz="4" w:space="0" w:color="auto"/>
            </w:tcBorders>
            <w:vAlign w:val="bottom"/>
          </w:tcPr>
          <w:p w:rsidR="00AE1118" w:rsidRPr="00424A4B" w:rsidRDefault="00AE1118" w:rsidP="005C33D8">
            <w:pPr>
              <w:keepNext/>
              <w:keepLines/>
              <w:rPr>
                <w:sz w:val="22"/>
                <w:szCs w:val="22"/>
                <w:lang w:val="sr-Latn-ME" w:eastAsia="ja-JP"/>
              </w:rPr>
            </w:pPr>
            <w:r w:rsidRPr="00424A4B">
              <w:rPr>
                <w:sz w:val="22"/>
                <w:szCs w:val="22"/>
                <w:lang w:val="sr-Latn-ME" w:eastAsia="ja-JP"/>
              </w:rPr>
              <w:t xml:space="preserve">Broj (%) pacijenata s događajem </w:t>
            </w:r>
          </w:p>
        </w:tc>
        <w:tc>
          <w:tcPr>
            <w:tcW w:w="2250" w:type="dxa"/>
            <w:tcBorders>
              <w:top w:val="nil"/>
              <w:left w:val="single" w:sz="4" w:space="0" w:color="auto"/>
              <w:bottom w:val="nil"/>
              <w:right w:val="nil"/>
            </w:tcBorders>
            <w:vAlign w:val="bottom"/>
          </w:tcPr>
          <w:p w:rsidR="00AE1118" w:rsidRPr="00424A4B" w:rsidRDefault="00AE1118" w:rsidP="00CD41AC">
            <w:pPr>
              <w:keepNext/>
              <w:keepLines/>
              <w:rPr>
                <w:sz w:val="22"/>
                <w:szCs w:val="22"/>
                <w:lang w:val="sr-Latn-ME" w:eastAsia="ja-JP"/>
              </w:rPr>
            </w:pPr>
            <w:r w:rsidRPr="00424A4B">
              <w:rPr>
                <w:sz w:val="22"/>
                <w:szCs w:val="22"/>
                <w:lang w:val="sr-Latn-ME" w:eastAsia="ja-JP"/>
              </w:rPr>
              <w:t>171 (7,1%)</w:t>
            </w:r>
          </w:p>
        </w:tc>
        <w:tc>
          <w:tcPr>
            <w:tcW w:w="2127" w:type="dxa"/>
            <w:tcBorders>
              <w:top w:val="nil"/>
              <w:left w:val="nil"/>
              <w:bottom w:val="nil"/>
              <w:right w:val="single" w:sz="4" w:space="0" w:color="auto"/>
            </w:tcBorders>
            <w:vAlign w:val="bottom"/>
          </w:tcPr>
          <w:p w:rsidR="00AE1118" w:rsidRPr="00424A4B" w:rsidRDefault="00AE1118" w:rsidP="00744600">
            <w:pPr>
              <w:keepNext/>
              <w:keepLines/>
              <w:jc w:val="right"/>
              <w:rPr>
                <w:sz w:val="22"/>
                <w:szCs w:val="22"/>
                <w:lang w:val="sr-Latn-ME" w:eastAsia="ja-JP"/>
              </w:rPr>
            </w:pPr>
            <w:r w:rsidRPr="00424A4B">
              <w:rPr>
                <w:sz w:val="22"/>
                <w:szCs w:val="22"/>
                <w:lang w:val="sr-Latn-ME" w:eastAsia="ja-JP"/>
              </w:rPr>
              <w:t>210 (8,7%)</w:t>
            </w:r>
          </w:p>
        </w:tc>
      </w:tr>
      <w:tr w:rsidR="00AE1118" w:rsidRPr="00424A4B" w:rsidTr="00B30B91">
        <w:trPr>
          <w:cantSplit/>
        </w:trPr>
        <w:tc>
          <w:tcPr>
            <w:tcW w:w="4770" w:type="dxa"/>
            <w:tcBorders>
              <w:top w:val="nil"/>
              <w:left w:val="single" w:sz="4" w:space="0" w:color="auto"/>
              <w:bottom w:val="nil"/>
              <w:right w:val="single" w:sz="4" w:space="0" w:color="auto"/>
            </w:tcBorders>
            <w:vAlign w:val="bottom"/>
          </w:tcPr>
          <w:p w:rsidR="00AE1118" w:rsidRPr="00424A4B" w:rsidRDefault="00AE1118" w:rsidP="005C33D8">
            <w:pPr>
              <w:keepNext/>
              <w:keepLines/>
              <w:rPr>
                <w:sz w:val="22"/>
                <w:szCs w:val="22"/>
                <w:lang w:val="sr-Latn-ME" w:eastAsia="ja-JP"/>
              </w:rPr>
            </w:pPr>
            <w:r w:rsidRPr="00424A4B">
              <w:rPr>
                <w:sz w:val="22"/>
                <w:szCs w:val="22"/>
                <w:lang w:val="sr-Latn-ME" w:eastAsia="ja-JP"/>
              </w:rPr>
              <w:t>HR [95% CI]</w:t>
            </w:r>
          </w:p>
        </w:tc>
        <w:tc>
          <w:tcPr>
            <w:tcW w:w="4377" w:type="dxa"/>
            <w:gridSpan w:val="2"/>
            <w:tcBorders>
              <w:top w:val="nil"/>
              <w:left w:val="single" w:sz="4" w:space="0" w:color="auto"/>
              <w:bottom w:val="nil"/>
              <w:right w:val="single" w:sz="4" w:space="0" w:color="auto"/>
            </w:tcBorders>
            <w:vAlign w:val="bottom"/>
          </w:tcPr>
          <w:p w:rsidR="00AE1118" w:rsidRPr="00424A4B" w:rsidRDefault="00AE1118" w:rsidP="00CD41AC">
            <w:pPr>
              <w:keepNext/>
              <w:keepLines/>
              <w:jc w:val="center"/>
              <w:rPr>
                <w:sz w:val="22"/>
                <w:szCs w:val="22"/>
                <w:lang w:val="sr-Latn-ME" w:eastAsia="ja-JP"/>
              </w:rPr>
            </w:pPr>
            <w:r w:rsidRPr="00424A4B">
              <w:rPr>
                <w:sz w:val="22"/>
                <w:szCs w:val="22"/>
                <w:lang w:val="sr-Latn-ME" w:eastAsia="ja-JP"/>
              </w:rPr>
              <w:t>0,81 [0,66; 1,00]</w:t>
            </w:r>
          </w:p>
        </w:tc>
      </w:tr>
      <w:tr w:rsidR="00AE1118" w:rsidRPr="00424A4B" w:rsidTr="00B30B91">
        <w:trPr>
          <w:cantSplit/>
        </w:trPr>
        <w:tc>
          <w:tcPr>
            <w:tcW w:w="4770" w:type="dxa"/>
            <w:tcBorders>
              <w:top w:val="nil"/>
              <w:left w:val="single" w:sz="4" w:space="0" w:color="auto"/>
              <w:bottom w:val="nil"/>
              <w:right w:val="single" w:sz="4" w:space="0" w:color="auto"/>
            </w:tcBorders>
            <w:vAlign w:val="bottom"/>
          </w:tcPr>
          <w:p w:rsidR="00AE1118" w:rsidRPr="00424A4B" w:rsidRDefault="00AE1118" w:rsidP="005C33D8">
            <w:pPr>
              <w:keepNext/>
              <w:keepLines/>
              <w:rPr>
                <w:sz w:val="22"/>
                <w:szCs w:val="22"/>
                <w:lang w:val="sr-Latn-ME" w:eastAsia="ja-JP"/>
              </w:rPr>
            </w:pPr>
            <w:r w:rsidRPr="00424A4B">
              <w:rPr>
                <w:sz w:val="22"/>
                <w:szCs w:val="22"/>
                <w:lang w:val="sr-Latn-ME" w:eastAsia="ja-JP"/>
              </w:rPr>
              <w:t>p</w:t>
            </w:r>
            <w:r w:rsidRPr="00424A4B">
              <w:rPr>
                <w:sz w:val="22"/>
                <w:szCs w:val="22"/>
                <w:lang w:val="sr-Latn-ME" w:eastAsia="ja-JP"/>
              </w:rPr>
              <w:noBreakHyphen/>
              <w:t>vrijednost (log-rang test, stratifikovan</w:t>
            </w:r>
            <w:r w:rsidRPr="00424A4B">
              <w:rPr>
                <w:sz w:val="22"/>
                <w:szCs w:val="22"/>
                <w:vertAlign w:val="superscript"/>
                <w:lang w:val="sr-Latn-ME" w:eastAsia="ja-JP"/>
              </w:rPr>
              <w:t>1</w:t>
            </w:r>
            <w:r w:rsidRPr="00424A4B">
              <w:rPr>
                <w:sz w:val="22"/>
                <w:szCs w:val="22"/>
                <w:lang w:val="sr-Latn-ME" w:eastAsia="ja-JP"/>
              </w:rPr>
              <w:t>)</w:t>
            </w:r>
          </w:p>
        </w:tc>
        <w:tc>
          <w:tcPr>
            <w:tcW w:w="4377" w:type="dxa"/>
            <w:gridSpan w:val="2"/>
            <w:tcBorders>
              <w:top w:val="nil"/>
              <w:left w:val="single" w:sz="4" w:space="0" w:color="auto"/>
              <w:bottom w:val="nil"/>
              <w:right w:val="single" w:sz="4" w:space="0" w:color="auto"/>
            </w:tcBorders>
            <w:vAlign w:val="bottom"/>
          </w:tcPr>
          <w:p w:rsidR="00AE1118" w:rsidRPr="00424A4B" w:rsidRDefault="00AE1118" w:rsidP="00CD41AC">
            <w:pPr>
              <w:keepNext/>
              <w:keepLines/>
              <w:jc w:val="center"/>
              <w:rPr>
                <w:sz w:val="22"/>
                <w:szCs w:val="22"/>
                <w:lang w:val="sr-Latn-ME" w:eastAsia="ja-JP"/>
              </w:rPr>
            </w:pPr>
            <w:r w:rsidRPr="00424A4B">
              <w:rPr>
                <w:sz w:val="22"/>
                <w:szCs w:val="22"/>
                <w:lang w:val="sr-Latn-ME" w:eastAsia="ja-JP"/>
              </w:rPr>
              <w:t>0,0446</w:t>
            </w:r>
          </w:p>
        </w:tc>
      </w:tr>
      <w:tr w:rsidR="00AE1118" w:rsidRPr="00424A4B" w:rsidTr="00B30B91">
        <w:trPr>
          <w:cantSplit/>
        </w:trPr>
        <w:tc>
          <w:tcPr>
            <w:tcW w:w="4770" w:type="dxa"/>
            <w:tcBorders>
              <w:top w:val="nil"/>
              <w:left w:val="single" w:sz="4" w:space="0" w:color="auto"/>
              <w:bottom w:val="single" w:sz="4" w:space="0" w:color="auto"/>
              <w:right w:val="single" w:sz="4" w:space="0" w:color="auto"/>
            </w:tcBorders>
            <w:vAlign w:val="bottom"/>
          </w:tcPr>
          <w:p w:rsidR="00AE1118" w:rsidRPr="00424A4B" w:rsidRDefault="00AE1118" w:rsidP="005C33D8">
            <w:pPr>
              <w:keepNext/>
              <w:keepLines/>
              <w:rPr>
                <w:sz w:val="22"/>
                <w:szCs w:val="22"/>
                <w:lang w:val="sr-Latn-ME" w:eastAsia="ja-JP"/>
              </w:rPr>
            </w:pPr>
            <w:r w:rsidRPr="00424A4B">
              <w:rPr>
                <w:sz w:val="22"/>
                <w:szCs w:val="22"/>
                <w:lang w:val="sr-Latn-ME" w:eastAsia="ja-JP"/>
              </w:rPr>
              <w:t>3</w:t>
            </w:r>
            <w:r w:rsidRPr="00424A4B">
              <w:rPr>
                <w:sz w:val="22"/>
                <w:szCs w:val="22"/>
                <w:lang w:val="sr-Latn-ME" w:eastAsia="ja-JP"/>
              </w:rPr>
              <w:noBreakHyphen/>
              <w:t>godišnja stopa bez događaja</w:t>
            </w:r>
            <w:r w:rsidRPr="00424A4B">
              <w:rPr>
                <w:sz w:val="22"/>
                <w:szCs w:val="22"/>
                <w:vertAlign w:val="superscript"/>
                <w:lang w:val="sr-Latn-ME" w:eastAsia="ja-JP"/>
              </w:rPr>
              <w:t>3</w:t>
            </w:r>
            <w:r w:rsidRPr="00424A4B">
              <w:rPr>
                <w:sz w:val="22"/>
                <w:szCs w:val="22"/>
                <w:lang w:val="sr-Latn-ME" w:eastAsia="ja-JP"/>
              </w:rPr>
              <w:t xml:space="preserve"> [95% CI] </w:t>
            </w:r>
          </w:p>
        </w:tc>
        <w:tc>
          <w:tcPr>
            <w:tcW w:w="2250" w:type="dxa"/>
            <w:tcBorders>
              <w:top w:val="nil"/>
              <w:left w:val="single" w:sz="4" w:space="0" w:color="auto"/>
              <w:bottom w:val="single" w:sz="4" w:space="0" w:color="auto"/>
              <w:right w:val="nil"/>
            </w:tcBorders>
            <w:vAlign w:val="bottom"/>
          </w:tcPr>
          <w:p w:rsidR="00AE1118" w:rsidRPr="00424A4B" w:rsidRDefault="00AE1118" w:rsidP="00CD41AC">
            <w:pPr>
              <w:keepNext/>
              <w:keepLines/>
              <w:rPr>
                <w:sz w:val="22"/>
                <w:szCs w:val="22"/>
                <w:lang w:val="sr-Latn-ME" w:eastAsia="ja-JP"/>
              </w:rPr>
            </w:pPr>
            <w:r w:rsidRPr="00424A4B">
              <w:rPr>
                <w:sz w:val="22"/>
                <w:szCs w:val="22"/>
                <w:lang w:val="sr-Latn-ME" w:eastAsia="ja-JP"/>
              </w:rPr>
              <w:t>94,</w:t>
            </w:r>
            <w:r w:rsidRPr="00424A4B">
              <w:rPr>
                <w:noProof/>
                <w:sz w:val="22"/>
                <w:szCs w:val="22"/>
                <w:lang w:val="sr-Latn-ME" w:eastAsia="ja-JP"/>
              </w:rPr>
              <w:t>1</w:t>
            </w:r>
            <w:r w:rsidRPr="00424A4B">
              <w:rPr>
                <w:sz w:val="22"/>
                <w:szCs w:val="22"/>
                <w:lang w:val="sr-Latn-ME" w:eastAsia="ja-JP"/>
              </w:rPr>
              <w:t xml:space="preserve"> [93,1; 95,0]</w:t>
            </w:r>
          </w:p>
        </w:tc>
        <w:tc>
          <w:tcPr>
            <w:tcW w:w="2127" w:type="dxa"/>
            <w:tcBorders>
              <w:top w:val="nil"/>
              <w:left w:val="nil"/>
              <w:bottom w:val="single" w:sz="4" w:space="0" w:color="auto"/>
              <w:right w:val="single" w:sz="4" w:space="0" w:color="auto"/>
            </w:tcBorders>
            <w:vAlign w:val="bottom"/>
          </w:tcPr>
          <w:p w:rsidR="00AE1118" w:rsidRPr="00424A4B" w:rsidRDefault="00AE1118" w:rsidP="00744600">
            <w:pPr>
              <w:keepNext/>
              <w:keepLines/>
              <w:jc w:val="right"/>
              <w:rPr>
                <w:sz w:val="22"/>
                <w:szCs w:val="22"/>
                <w:lang w:val="sr-Latn-ME" w:eastAsia="ja-JP"/>
              </w:rPr>
            </w:pPr>
            <w:r w:rsidRPr="00424A4B">
              <w:rPr>
                <w:sz w:val="22"/>
                <w:szCs w:val="22"/>
                <w:lang w:val="sr-Latn-ME" w:eastAsia="ja-JP"/>
              </w:rPr>
              <w:t>93,2 [92,2; 94,3]</w:t>
            </w:r>
          </w:p>
        </w:tc>
      </w:tr>
      <w:tr w:rsidR="00AE1118" w:rsidRPr="00424A4B" w:rsidTr="00B30B91">
        <w:trPr>
          <w:cantSplit/>
        </w:trPr>
        <w:tc>
          <w:tcPr>
            <w:tcW w:w="4770" w:type="dxa"/>
            <w:tcBorders>
              <w:top w:val="single" w:sz="4" w:space="0" w:color="auto"/>
              <w:bottom w:val="single" w:sz="4" w:space="0" w:color="auto"/>
            </w:tcBorders>
            <w:vAlign w:val="bottom"/>
          </w:tcPr>
          <w:p w:rsidR="00AE1118" w:rsidRPr="00424A4B" w:rsidRDefault="00AE1118" w:rsidP="005C33D8">
            <w:pPr>
              <w:keepNext/>
              <w:keepLines/>
              <w:rPr>
                <w:b/>
                <w:i/>
                <w:sz w:val="22"/>
                <w:szCs w:val="22"/>
                <w:vertAlign w:val="superscript"/>
                <w:lang w:val="sr-Latn-ME" w:eastAsia="ja-JP"/>
              </w:rPr>
            </w:pPr>
            <w:r w:rsidRPr="00424A4B">
              <w:rPr>
                <w:b/>
                <w:i/>
                <w:sz w:val="22"/>
                <w:szCs w:val="22"/>
                <w:lang w:val="sr-Latn-ME" w:eastAsia="ja-JP"/>
              </w:rPr>
              <w:t>Sekundarni parametar praćenja kliničke studijea</w:t>
            </w:r>
            <w:r w:rsidRPr="00424A4B">
              <w:rPr>
                <w:b/>
                <w:i/>
                <w:sz w:val="22"/>
                <w:szCs w:val="22"/>
                <w:vertAlign w:val="superscript"/>
                <w:lang w:val="sr-Latn-ME" w:eastAsia="ja-JP"/>
              </w:rPr>
              <w:t>1</w:t>
            </w:r>
          </w:p>
        </w:tc>
        <w:tc>
          <w:tcPr>
            <w:tcW w:w="4377" w:type="dxa"/>
            <w:gridSpan w:val="2"/>
            <w:tcBorders>
              <w:top w:val="single" w:sz="4" w:space="0" w:color="auto"/>
              <w:bottom w:val="single" w:sz="4" w:space="0" w:color="auto"/>
            </w:tcBorders>
            <w:vAlign w:val="bottom"/>
          </w:tcPr>
          <w:p w:rsidR="00AE1118" w:rsidRPr="00424A4B" w:rsidRDefault="00AE1118" w:rsidP="00CD41AC">
            <w:pPr>
              <w:keepNext/>
              <w:keepLines/>
              <w:rPr>
                <w:b/>
                <w:i/>
                <w:sz w:val="22"/>
                <w:szCs w:val="22"/>
                <w:lang w:val="sr-Latn-ME" w:eastAsia="ja-JP"/>
              </w:rPr>
            </w:pPr>
          </w:p>
        </w:tc>
      </w:tr>
      <w:tr w:rsidR="00AE1118" w:rsidRPr="00424A4B" w:rsidTr="00B30B91">
        <w:trPr>
          <w:cantSplit/>
        </w:trPr>
        <w:tc>
          <w:tcPr>
            <w:tcW w:w="4770" w:type="dxa"/>
            <w:tcBorders>
              <w:bottom w:val="nil"/>
            </w:tcBorders>
            <w:vAlign w:val="bottom"/>
          </w:tcPr>
          <w:p w:rsidR="00AE1118" w:rsidRPr="00424A4B" w:rsidRDefault="00AE1118" w:rsidP="005C33D8">
            <w:pPr>
              <w:keepNext/>
              <w:keepLines/>
              <w:rPr>
                <w:b/>
                <w:sz w:val="22"/>
                <w:szCs w:val="22"/>
                <w:vertAlign w:val="superscript"/>
                <w:lang w:val="sr-Latn-ME" w:eastAsia="ja-JP"/>
              </w:rPr>
            </w:pPr>
            <w:r w:rsidRPr="00424A4B">
              <w:rPr>
                <w:b/>
                <w:sz w:val="22"/>
                <w:szCs w:val="22"/>
                <w:lang w:val="sr-Latn-ME" w:eastAsia="ja-JP"/>
              </w:rPr>
              <w:t>IDFS</w:t>
            </w:r>
            <w:r w:rsidRPr="00424A4B">
              <w:rPr>
                <w:sz w:val="22"/>
                <w:szCs w:val="22"/>
                <w:lang w:val="sr-Latn-ME" w:eastAsia="ja-JP"/>
              </w:rPr>
              <w:t xml:space="preserve"> </w:t>
            </w:r>
            <w:r w:rsidRPr="00424A4B">
              <w:rPr>
                <w:b/>
                <w:sz w:val="22"/>
                <w:szCs w:val="22"/>
                <w:lang w:val="sr-Latn-ME" w:eastAsia="ja-JP"/>
              </w:rPr>
              <w:t>uključujući drugi primarni karcinom izvan dojke*</w:t>
            </w:r>
          </w:p>
        </w:tc>
        <w:tc>
          <w:tcPr>
            <w:tcW w:w="4377" w:type="dxa"/>
            <w:gridSpan w:val="2"/>
            <w:tcBorders>
              <w:bottom w:val="nil"/>
            </w:tcBorders>
            <w:vAlign w:val="bottom"/>
          </w:tcPr>
          <w:p w:rsidR="00AE1118" w:rsidRPr="00424A4B" w:rsidRDefault="00AE1118" w:rsidP="00CD41AC">
            <w:pPr>
              <w:keepNext/>
              <w:keepLines/>
              <w:rPr>
                <w:sz w:val="22"/>
                <w:szCs w:val="22"/>
                <w:lang w:val="sr-Latn-ME" w:eastAsia="ja-JP"/>
              </w:rPr>
            </w:pPr>
          </w:p>
        </w:tc>
      </w:tr>
      <w:tr w:rsidR="00AE1118" w:rsidRPr="00424A4B" w:rsidTr="00B30B91">
        <w:trPr>
          <w:cantSplit/>
        </w:trPr>
        <w:tc>
          <w:tcPr>
            <w:tcW w:w="4770" w:type="dxa"/>
            <w:tcBorders>
              <w:top w:val="nil"/>
              <w:bottom w:val="nil"/>
            </w:tcBorders>
            <w:vAlign w:val="bottom"/>
          </w:tcPr>
          <w:p w:rsidR="00AE1118" w:rsidRPr="00424A4B" w:rsidRDefault="00AE1118" w:rsidP="005C33D8">
            <w:pPr>
              <w:keepNext/>
              <w:keepLines/>
              <w:rPr>
                <w:sz w:val="22"/>
                <w:szCs w:val="22"/>
                <w:lang w:val="sr-Latn-ME" w:eastAsia="ja-JP"/>
              </w:rPr>
            </w:pPr>
            <w:r w:rsidRPr="00424A4B">
              <w:rPr>
                <w:sz w:val="22"/>
                <w:szCs w:val="22"/>
                <w:lang w:val="sr-Latn-ME" w:eastAsia="ja-JP"/>
              </w:rPr>
              <w:t xml:space="preserve">Broj (%) pacijenata s događajem </w:t>
            </w:r>
          </w:p>
        </w:tc>
        <w:tc>
          <w:tcPr>
            <w:tcW w:w="2250" w:type="dxa"/>
            <w:tcBorders>
              <w:top w:val="nil"/>
              <w:bottom w:val="nil"/>
              <w:right w:val="nil"/>
            </w:tcBorders>
            <w:vAlign w:val="bottom"/>
          </w:tcPr>
          <w:p w:rsidR="00AE1118" w:rsidRPr="00424A4B" w:rsidRDefault="00AE1118" w:rsidP="00CD41AC">
            <w:pPr>
              <w:keepNext/>
              <w:keepLines/>
              <w:rPr>
                <w:sz w:val="22"/>
                <w:szCs w:val="22"/>
                <w:lang w:val="sr-Latn-ME" w:eastAsia="ja-JP"/>
              </w:rPr>
            </w:pPr>
            <w:r w:rsidRPr="00424A4B">
              <w:rPr>
                <w:sz w:val="22"/>
                <w:szCs w:val="22"/>
                <w:lang w:val="sr-Latn-ME" w:eastAsia="ja-JP"/>
              </w:rPr>
              <w:t>189 (7,9%)</w:t>
            </w:r>
          </w:p>
        </w:tc>
        <w:tc>
          <w:tcPr>
            <w:tcW w:w="2127" w:type="dxa"/>
            <w:tcBorders>
              <w:top w:val="nil"/>
              <w:left w:val="nil"/>
              <w:bottom w:val="nil"/>
            </w:tcBorders>
            <w:vAlign w:val="bottom"/>
          </w:tcPr>
          <w:p w:rsidR="00AE1118" w:rsidRPr="00424A4B" w:rsidRDefault="00AE1118" w:rsidP="00744600">
            <w:pPr>
              <w:keepNext/>
              <w:keepLines/>
              <w:jc w:val="right"/>
              <w:rPr>
                <w:sz w:val="22"/>
                <w:szCs w:val="22"/>
                <w:lang w:val="sr-Latn-ME" w:eastAsia="ja-JP"/>
              </w:rPr>
            </w:pPr>
            <w:r w:rsidRPr="00424A4B">
              <w:rPr>
                <w:sz w:val="22"/>
                <w:szCs w:val="22"/>
                <w:lang w:val="sr-Latn-ME" w:eastAsia="ja-JP"/>
              </w:rPr>
              <w:t>230 (9,6%)</w:t>
            </w:r>
          </w:p>
        </w:tc>
      </w:tr>
      <w:tr w:rsidR="00AE1118" w:rsidRPr="00424A4B" w:rsidTr="00B30B91">
        <w:trPr>
          <w:cantSplit/>
        </w:trPr>
        <w:tc>
          <w:tcPr>
            <w:tcW w:w="4770" w:type="dxa"/>
            <w:tcBorders>
              <w:top w:val="nil"/>
              <w:bottom w:val="nil"/>
            </w:tcBorders>
            <w:vAlign w:val="bottom"/>
          </w:tcPr>
          <w:p w:rsidR="00AE1118" w:rsidRPr="00424A4B" w:rsidRDefault="00AE1118" w:rsidP="005C33D8">
            <w:pPr>
              <w:keepNext/>
              <w:keepLines/>
              <w:rPr>
                <w:sz w:val="22"/>
                <w:szCs w:val="22"/>
                <w:lang w:val="sr-Latn-ME" w:eastAsia="ja-JP"/>
              </w:rPr>
            </w:pPr>
            <w:r w:rsidRPr="00424A4B">
              <w:rPr>
                <w:sz w:val="22"/>
                <w:szCs w:val="22"/>
                <w:lang w:val="sr-Latn-ME" w:eastAsia="ja-JP"/>
              </w:rPr>
              <w:t>HR [95% CI]</w:t>
            </w:r>
          </w:p>
        </w:tc>
        <w:tc>
          <w:tcPr>
            <w:tcW w:w="4377" w:type="dxa"/>
            <w:gridSpan w:val="2"/>
            <w:tcBorders>
              <w:top w:val="nil"/>
              <w:bottom w:val="nil"/>
            </w:tcBorders>
          </w:tcPr>
          <w:p w:rsidR="00AE1118" w:rsidRPr="00424A4B" w:rsidRDefault="00AE1118" w:rsidP="00CD41AC">
            <w:pPr>
              <w:keepNext/>
              <w:keepLines/>
              <w:jc w:val="center"/>
              <w:rPr>
                <w:sz w:val="22"/>
                <w:szCs w:val="22"/>
                <w:lang w:val="sr-Latn-ME" w:eastAsia="ja-JP"/>
              </w:rPr>
            </w:pPr>
            <w:r w:rsidRPr="00424A4B">
              <w:rPr>
                <w:sz w:val="22"/>
                <w:szCs w:val="22"/>
                <w:lang w:val="sr-Latn-ME" w:eastAsia="ja-JP"/>
              </w:rPr>
              <w:t>0,82 [0,68; 0,99]</w:t>
            </w:r>
          </w:p>
        </w:tc>
      </w:tr>
      <w:tr w:rsidR="00AE1118" w:rsidRPr="00424A4B" w:rsidTr="00B30B91">
        <w:trPr>
          <w:cantSplit/>
        </w:trPr>
        <w:tc>
          <w:tcPr>
            <w:tcW w:w="4770" w:type="dxa"/>
            <w:tcBorders>
              <w:top w:val="nil"/>
              <w:bottom w:val="nil"/>
            </w:tcBorders>
            <w:vAlign w:val="bottom"/>
          </w:tcPr>
          <w:p w:rsidR="00AE1118" w:rsidRPr="00424A4B" w:rsidRDefault="00AE1118" w:rsidP="005C33D8">
            <w:pPr>
              <w:keepNext/>
              <w:keepLines/>
              <w:rPr>
                <w:sz w:val="22"/>
                <w:szCs w:val="22"/>
                <w:lang w:val="sr-Latn-ME" w:eastAsia="ja-JP"/>
              </w:rPr>
            </w:pPr>
            <w:r w:rsidRPr="00424A4B">
              <w:rPr>
                <w:sz w:val="22"/>
                <w:szCs w:val="22"/>
                <w:lang w:val="sr-Latn-ME" w:eastAsia="ja-JP"/>
              </w:rPr>
              <w:t>p</w:t>
            </w:r>
            <w:r w:rsidRPr="00424A4B">
              <w:rPr>
                <w:sz w:val="22"/>
                <w:szCs w:val="22"/>
                <w:lang w:val="sr-Latn-ME" w:eastAsia="ja-JP"/>
              </w:rPr>
              <w:noBreakHyphen/>
              <w:t>vrijednost (log-rang test, stratifikovan</w:t>
            </w:r>
            <w:r w:rsidRPr="00424A4B">
              <w:rPr>
                <w:sz w:val="22"/>
                <w:szCs w:val="22"/>
                <w:vertAlign w:val="superscript"/>
                <w:lang w:val="sr-Latn-ME" w:eastAsia="ja-JP"/>
              </w:rPr>
              <w:t>1</w:t>
            </w:r>
            <w:r w:rsidRPr="00424A4B">
              <w:rPr>
                <w:sz w:val="22"/>
                <w:szCs w:val="22"/>
                <w:lang w:val="sr-Latn-ME" w:eastAsia="ja-JP"/>
              </w:rPr>
              <w:t>)</w:t>
            </w:r>
          </w:p>
        </w:tc>
        <w:tc>
          <w:tcPr>
            <w:tcW w:w="4377" w:type="dxa"/>
            <w:gridSpan w:val="2"/>
            <w:tcBorders>
              <w:top w:val="nil"/>
              <w:bottom w:val="nil"/>
            </w:tcBorders>
            <w:vAlign w:val="bottom"/>
          </w:tcPr>
          <w:p w:rsidR="00AE1118" w:rsidRPr="00424A4B" w:rsidRDefault="00AE1118" w:rsidP="00CD41AC">
            <w:pPr>
              <w:keepNext/>
              <w:keepLines/>
              <w:jc w:val="center"/>
              <w:rPr>
                <w:sz w:val="22"/>
                <w:szCs w:val="22"/>
                <w:lang w:val="sr-Latn-ME" w:eastAsia="ja-JP"/>
              </w:rPr>
            </w:pPr>
            <w:r w:rsidRPr="00424A4B">
              <w:rPr>
                <w:sz w:val="22"/>
                <w:szCs w:val="22"/>
                <w:lang w:val="sr-Latn-ME" w:eastAsia="ja-JP"/>
              </w:rPr>
              <w:t>0,0430</w:t>
            </w:r>
          </w:p>
        </w:tc>
      </w:tr>
      <w:tr w:rsidR="00AE1118" w:rsidRPr="00424A4B" w:rsidTr="00B30B91">
        <w:trPr>
          <w:cantSplit/>
        </w:trPr>
        <w:tc>
          <w:tcPr>
            <w:tcW w:w="4770" w:type="dxa"/>
            <w:tcBorders>
              <w:top w:val="nil"/>
              <w:bottom w:val="single" w:sz="4" w:space="0" w:color="auto"/>
            </w:tcBorders>
            <w:vAlign w:val="bottom"/>
          </w:tcPr>
          <w:p w:rsidR="00AE1118" w:rsidRPr="00424A4B" w:rsidRDefault="00AE1118" w:rsidP="005C33D8">
            <w:pPr>
              <w:keepNext/>
              <w:keepLines/>
              <w:rPr>
                <w:sz w:val="22"/>
                <w:szCs w:val="22"/>
                <w:lang w:val="sr-Latn-ME" w:eastAsia="ja-JP"/>
              </w:rPr>
            </w:pPr>
            <w:r w:rsidRPr="00424A4B">
              <w:rPr>
                <w:sz w:val="22"/>
                <w:szCs w:val="22"/>
                <w:lang w:val="sr-Latn-ME" w:eastAsia="ja-JP"/>
              </w:rPr>
              <w:t>3</w:t>
            </w:r>
            <w:r w:rsidRPr="00424A4B">
              <w:rPr>
                <w:sz w:val="22"/>
                <w:szCs w:val="22"/>
                <w:lang w:val="sr-Latn-ME" w:eastAsia="ja-JP"/>
              </w:rPr>
              <w:noBreakHyphen/>
              <w:t>godišnja stopa bez događaja</w:t>
            </w:r>
            <w:r w:rsidRPr="00424A4B">
              <w:rPr>
                <w:sz w:val="22"/>
                <w:szCs w:val="22"/>
                <w:vertAlign w:val="superscript"/>
                <w:lang w:val="sr-Latn-ME" w:eastAsia="ja-JP"/>
              </w:rPr>
              <w:t>2</w:t>
            </w:r>
            <w:r w:rsidRPr="00424A4B">
              <w:rPr>
                <w:sz w:val="22"/>
                <w:szCs w:val="22"/>
                <w:lang w:val="sr-Latn-ME" w:eastAsia="ja-JP"/>
              </w:rPr>
              <w:t xml:space="preserve"> [95% CI] </w:t>
            </w:r>
          </w:p>
        </w:tc>
        <w:tc>
          <w:tcPr>
            <w:tcW w:w="2250" w:type="dxa"/>
            <w:tcBorders>
              <w:top w:val="nil"/>
              <w:bottom w:val="single" w:sz="4" w:space="0" w:color="auto"/>
              <w:right w:val="nil"/>
            </w:tcBorders>
            <w:vAlign w:val="bottom"/>
          </w:tcPr>
          <w:p w:rsidR="00AE1118" w:rsidRPr="00424A4B" w:rsidRDefault="00AE1118" w:rsidP="00CD41AC">
            <w:pPr>
              <w:keepNext/>
              <w:keepLines/>
              <w:rPr>
                <w:sz w:val="22"/>
                <w:szCs w:val="22"/>
                <w:lang w:val="sr-Latn-ME" w:eastAsia="ja-JP"/>
              </w:rPr>
            </w:pPr>
            <w:r w:rsidRPr="00424A4B">
              <w:rPr>
                <w:sz w:val="22"/>
                <w:szCs w:val="22"/>
                <w:lang w:val="sr-Latn-ME" w:eastAsia="ja-JP"/>
              </w:rPr>
              <w:t>93,5 [92,5; 94,5]</w:t>
            </w:r>
          </w:p>
        </w:tc>
        <w:tc>
          <w:tcPr>
            <w:tcW w:w="2127" w:type="dxa"/>
            <w:tcBorders>
              <w:top w:val="nil"/>
              <w:left w:val="nil"/>
              <w:bottom w:val="single" w:sz="4" w:space="0" w:color="auto"/>
            </w:tcBorders>
            <w:vAlign w:val="bottom"/>
          </w:tcPr>
          <w:p w:rsidR="00AE1118" w:rsidRPr="00424A4B" w:rsidRDefault="00AE1118" w:rsidP="00744600">
            <w:pPr>
              <w:keepNext/>
              <w:keepLines/>
              <w:jc w:val="right"/>
              <w:rPr>
                <w:sz w:val="22"/>
                <w:szCs w:val="22"/>
                <w:lang w:val="sr-Latn-ME" w:eastAsia="ja-JP"/>
              </w:rPr>
            </w:pPr>
            <w:r w:rsidRPr="00424A4B">
              <w:rPr>
                <w:sz w:val="22"/>
                <w:szCs w:val="22"/>
                <w:lang w:val="sr-Latn-ME" w:eastAsia="ja-JP"/>
              </w:rPr>
              <w:t>92,5 [91,4; 93,6]</w:t>
            </w:r>
          </w:p>
        </w:tc>
      </w:tr>
      <w:tr w:rsidR="00AE1118" w:rsidRPr="00424A4B" w:rsidTr="00B30B91">
        <w:trPr>
          <w:cantSplit/>
        </w:trPr>
        <w:tc>
          <w:tcPr>
            <w:tcW w:w="4770" w:type="dxa"/>
            <w:tcBorders>
              <w:bottom w:val="nil"/>
            </w:tcBorders>
            <w:vAlign w:val="bottom"/>
          </w:tcPr>
          <w:p w:rsidR="00AE1118" w:rsidRPr="00424A4B" w:rsidRDefault="00AE1118" w:rsidP="005C33D8">
            <w:pPr>
              <w:keepNext/>
              <w:keepLines/>
              <w:rPr>
                <w:b/>
                <w:sz w:val="22"/>
                <w:szCs w:val="22"/>
                <w:vertAlign w:val="superscript"/>
                <w:lang w:val="sr-Latn-ME" w:eastAsia="ja-JP"/>
              </w:rPr>
            </w:pPr>
            <w:r w:rsidRPr="00424A4B">
              <w:rPr>
                <w:b/>
                <w:sz w:val="22"/>
                <w:szCs w:val="22"/>
                <w:lang w:val="sr-Latn-ME" w:eastAsia="ja-JP"/>
              </w:rPr>
              <w:t xml:space="preserve">Preživljavanje bez simptoma bolesti (DFS)* </w:t>
            </w:r>
          </w:p>
        </w:tc>
        <w:tc>
          <w:tcPr>
            <w:tcW w:w="4377" w:type="dxa"/>
            <w:gridSpan w:val="2"/>
            <w:tcBorders>
              <w:bottom w:val="nil"/>
            </w:tcBorders>
            <w:vAlign w:val="bottom"/>
          </w:tcPr>
          <w:p w:rsidR="00AE1118" w:rsidRPr="00424A4B" w:rsidRDefault="00AE1118" w:rsidP="00CD41AC">
            <w:pPr>
              <w:keepNext/>
              <w:keepLines/>
              <w:rPr>
                <w:b/>
                <w:sz w:val="22"/>
                <w:szCs w:val="22"/>
                <w:lang w:val="sr-Latn-ME" w:eastAsia="ja-JP"/>
              </w:rPr>
            </w:pPr>
          </w:p>
        </w:tc>
      </w:tr>
      <w:tr w:rsidR="00AE1118" w:rsidRPr="00424A4B" w:rsidTr="00B30B91">
        <w:trPr>
          <w:cantSplit/>
        </w:trPr>
        <w:tc>
          <w:tcPr>
            <w:tcW w:w="4770" w:type="dxa"/>
            <w:tcBorders>
              <w:top w:val="nil"/>
              <w:bottom w:val="nil"/>
            </w:tcBorders>
            <w:vAlign w:val="bottom"/>
          </w:tcPr>
          <w:p w:rsidR="00AE1118" w:rsidRPr="00424A4B" w:rsidRDefault="00AE1118" w:rsidP="005C33D8">
            <w:pPr>
              <w:keepNext/>
              <w:keepLines/>
              <w:rPr>
                <w:sz w:val="22"/>
                <w:szCs w:val="22"/>
                <w:lang w:val="sr-Latn-ME" w:eastAsia="ja-JP"/>
              </w:rPr>
            </w:pPr>
            <w:r w:rsidRPr="00424A4B">
              <w:rPr>
                <w:sz w:val="22"/>
                <w:szCs w:val="22"/>
                <w:lang w:val="sr-Latn-ME" w:eastAsia="ja-JP"/>
              </w:rPr>
              <w:t xml:space="preserve">Broj (%) pacijenata s događajem </w:t>
            </w:r>
          </w:p>
        </w:tc>
        <w:tc>
          <w:tcPr>
            <w:tcW w:w="2250" w:type="dxa"/>
            <w:tcBorders>
              <w:top w:val="nil"/>
              <w:bottom w:val="nil"/>
              <w:right w:val="nil"/>
            </w:tcBorders>
            <w:vAlign w:val="bottom"/>
          </w:tcPr>
          <w:p w:rsidR="00AE1118" w:rsidRPr="00424A4B" w:rsidRDefault="00AE1118" w:rsidP="00CD41AC">
            <w:pPr>
              <w:keepNext/>
              <w:keepLines/>
              <w:rPr>
                <w:sz w:val="22"/>
                <w:szCs w:val="22"/>
                <w:lang w:val="sr-Latn-ME" w:eastAsia="ja-JP"/>
              </w:rPr>
            </w:pPr>
            <w:r w:rsidRPr="00424A4B">
              <w:rPr>
                <w:sz w:val="22"/>
                <w:szCs w:val="22"/>
                <w:lang w:val="sr-Latn-ME" w:eastAsia="ja-JP"/>
              </w:rPr>
              <w:t>192 (8,0%)</w:t>
            </w:r>
          </w:p>
        </w:tc>
        <w:tc>
          <w:tcPr>
            <w:tcW w:w="2127" w:type="dxa"/>
            <w:tcBorders>
              <w:top w:val="nil"/>
              <w:left w:val="nil"/>
              <w:bottom w:val="nil"/>
            </w:tcBorders>
            <w:vAlign w:val="bottom"/>
          </w:tcPr>
          <w:p w:rsidR="00AE1118" w:rsidRPr="00424A4B" w:rsidRDefault="00AE1118" w:rsidP="00744600">
            <w:pPr>
              <w:keepNext/>
              <w:keepLines/>
              <w:jc w:val="right"/>
              <w:rPr>
                <w:sz w:val="22"/>
                <w:szCs w:val="22"/>
                <w:lang w:val="sr-Latn-ME" w:eastAsia="ja-JP"/>
              </w:rPr>
            </w:pPr>
            <w:r w:rsidRPr="00424A4B">
              <w:rPr>
                <w:sz w:val="22"/>
                <w:szCs w:val="22"/>
                <w:lang w:val="sr-Latn-ME" w:eastAsia="ja-JP"/>
              </w:rPr>
              <w:t>236 (9,8%)</w:t>
            </w:r>
          </w:p>
        </w:tc>
      </w:tr>
      <w:tr w:rsidR="00AE1118" w:rsidRPr="00424A4B" w:rsidTr="00B30B91">
        <w:trPr>
          <w:cantSplit/>
        </w:trPr>
        <w:tc>
          <w:tcPr>
            <w:tcW w:w="4770" w:type="dxa"/>
            <w:tcBorders>
              <w:top w:val="nil"/>
              <w:bottom w:val="nil"/>
            </w:tcBorders>
            <w:vAlign w:val="bottom"/>
          </w:tcPr>
          <w:p w:rsidR="00AE1118" w:rsidRPr="00424A4B" w:rsidRDefault="00AE1118" w:rsidP="005C33D8">
            <w:pPr>
              <w:keepNext/>
              <w:keepLines/>
              <w:rPr>
                <w:sz w:val="22"/>
                <w:szCs w:val="22"/>
                <w:lang w:val="sr-Latn-ME" w:eastAsia="ja-JP"/>
              </w:rPr>
            </w:pPr>
            <w:r w:rsidRPr="00424A4B">
              <w:rPr>
                <w:sz w:val="22"/>
                <w:szCs w:val="22"/>
                <w:lang w:val="sr-Latn-ME" w:eastAsia="ja-JP"/>
              </w:rPr>
              <w:t>HR [95% CI]</w:t>
            </w:r>
          </w:p>
        </w:tc>
        <w:tc>
          <w:tcPr>
            <w:tcW w:w="4377" w:type="dxa"/>
            <w:gridSpan w:val="2"/>
            <w:tcBorders>
              <w:top w:val="nil"/>
              <w:bottom w:val="nil"/>
            </w:tcBorders>
            <w:vAlign w:val="bottom"/>
          </w:tcPr>
          <w:p w:rsidR="00AE1118" w:rsidRPr="00424A4B" w:rsidRDefault="00AE1118" w:rsidP="00CD41AC">
            <w:pPr>
              <w:keepNext/>
              <w:keepLines/>
              <w:jc w:val="center"/>
              <w:rPr>
                <w:sz w:val="22"/>
                <w:szCs w:val="22"/>
                <w:lang w:val="sr-Latn-ME" w:eastAsia="ja-JP"/>
              </w:rPr>
            </w:pPr>
            <w:r w:rsidRPr="00424A4B">
              <w:rPr>
                <w:sz w:val="22"/>
                <w:szCs w:val="22"/>
                <w:lang w:val="sr-Latn-ME" w:eastAsia="ja-JP"/>
              </w:rPr>
              <w:t>0,81 [0,67; 0,98]</w:t>
            </w:r>
          </w:p>
        </w:tc>
      </w:tr>
      <w:tr w:rsidR="00AE1118" w:rsidRPr="00424A4B" w:rsidTr="00B30B91">
        <w:trPr>
          <w:cantSplit/>
        </w:trPr>
        <w:tc>
          <w:tcPr>
            <w:tcW w:w="4770" w:type="dxa"/>
            <w:tcBorders>
              <w:top w:val="nil"/>
              <w:bottom w:val="nil"/>
            </w:tcBorders>
            <w:vAlign w:val="bottom"/>
          </w:tcPr>
          <w:p w:rsidR="00AE1118" w:rsidRPr="00424A4B" w:rsidRDefault="00AE1118" w:rsidP="005C33D8">
            <w:pPr>
              <w:keepNext/>
              <w:keepLines/>
              <w:rPr>
                <w:sz w:val="22"/>
                <w:szCs w:val="22"/>
                <w:lang w:val="sr-Latn-ME" w:eastAsia="ja-JP"/>
              </w:rPr>
            </w:pPr>
            <w:r w:rsidRPr="00424A4B">
              <w:rPr>
                <w:sz w:val="22"/>
                <w:szCs w:val="22"/>
                <w:lang w:val="sr-Latn-ME" w:eastAsia="ja-JP"/>
              </w:rPr>
              <w:t>p</w:t>
            </w:r>
            <w:r w:rsidRPr="00424A4B">
              <w:rPr>
                <w:sz w:val="22"/>
                <w:szCs w:val="22"/>
                <w:lang w:val="sr-Latn-ME" w:eastAsia="ja-JP"/>
              </w:rPr>
              <w:noBreakHyphen/>
              <w:t>vrijednost (log-rang test, stratifikovan</w:t>
            </w:r>
            <w:r w:rsidRPr="00424A4B">
              <w:rPr>
                <w:sz w:val="22"/>
                <w:szCs w:val="22"/>
                <w:vertAlign w:val="superscript"/>
                <w:lang w:val="sr-Latn-ME" w:eastAsia="ja-JP"/>
              </w:rPr>
              <w:t>1</w:t>
            </w:r>
            <w:r w:rsidRPr="00424A4B">
              <w:rPr>
                <w:sz w:val="22"/>
                <w:szCs w:val="22"/>
                <w:lang w:val="sr-Latn-ME" w:eastAsia="ja-JP"/>
              </w:rPr>
              <w:t>)</w:t>
            </w:r>
          </w:p>
        </w:tc>
        <w:tc>
          <w:tcPr>
            <w:tcW w:w="4377" w:type="dxa"/>
            <w:gridSpan w:val="2"/>
            <w:tcBorders>
              <w:top w:val="nil"/>
              <w:bottom w:val="nil"/>
            </w:tcBorders>
            <w:vAlign w:val="bottom"/>
          </w:tcPr>
          <w:p w:rsidR="00AE1118" w:rsidRPr="00424A4B" w:rsidRDefault="00AE1118" w:rsidP="00CD41AC">
            <w:pPr>
              <w:keepNext/>
              <w:keepLines/>
              <w:jc w:val="center"/>
              <w:rPr>
                <w:sz w:val="22"/>
                <w:szCs w:val="22"/>
                <w:lang w:val="sr-Latn-ME" w:eastAsia="ja-JP"/>
              </w:rPr>
            </w:pPr>
            <w:r w:rsidRPr="00424A4B">
              <w:rPr>
                <w:sz w:val="22"/>
                <w:szCs w:val="22"/>
                <w:lang w:val="sr-Latn-ME" w:eastAsia="ja-JP"/>
              </w:rPr>
              <w:t>0,0327</w:t>
            </w:r>
          </w:p>
        </w:tc>
      </w:tr>
      <w:tr w:rsidR="00AE1118" w:rsidRPr="00424A4B" w:rsidTr="00B30B91">
        <w:trPr>
          <w:cantSplit/>
        </w:trPr>
        <w:tc>
          <w:tcPr>
            <w:tcW w:w="4770" w:type="dxa"/>
            <w:tcBorders>
              <w:top w:val="nil"/>
              <w:bottom w:val="single" w:sz="4" w:space="0" w:color="auto"/>
            </w:tcBorders>
            <w:vAlign w:val="bottom"/>
          </w:tcPr>
          <w:p w:rsidR="00AE1118" w:rsidRPr="00424A4B" w:rsidRDefault="00AE1118" w:rsidP="005C33D8">
            <w:pPr>
              <w:keepNext/>
              <w:keepLines/>
              <w:rPr>
                <w:sz w:val="22"/>
                <w:szCs w:val="22"/>
                <w:lang w:val="sr-Latn-ME" w:eastAsia="ja-JP"/>
              </w:rPr>
            </w:pPr>
            <w:r w:rsidRPr="00424A4B">
              <w:rPr>
                <w:sz w:val="22"/>
                <w:szCs w:val="22"/>
                <w:lang w:val="sr-Latn-ME" w:eastAsia="ja-JP"/>
              </w:rPr>
              <w:t>3</w:t>
            </w:r>
            <w:r w:rsidRPr="00424A4B">
              <w:rPr>
                <w:sz w:val="22"/>
                <w:szCs w:val="22"/>
                <w:lang w:val="sr-Latn-ME" w:eastAsia="ja-JP"/>
              </w:rPr>
              <w:noBreakHyphen/>
              <w:t>godišnja stopa bez događaja</w:t>
            </w:r>
            <w:r w:rsidRPr="00424A4B">
              <w:rPr>
                <w:sz w:val="22"/>
                <w:szCs w:val="22"/>
                <w:vertAlign w:val="superscript"/>
                <w:lang w:val="sr-Latn-ME" w:eastAsia="ja-JP"/>
              </w:rPr>
              <w:t>2</w:t>
            </w:r>
            <w:r w:rsidRPr="00424A4B">
              <w:rPr>
                <w:sz w:val="22"/>
                <w:szCs w:val="22"/>
                <w:lang w:val="sr-Latn-ME" w:eastAsia="ja-JP"/>
              </w:rPr>
              <w:t xml:space="preserve"> [95% CI] </w:t>
            </w:r>
          </w:p>
        </w:tc>
        <w:tc>
          <w:tcPr>
            <w:tcW w:w="2250" w:type="dxa"/>
            <w:tcBorders>
              <w:top w:val="nil"/>
              <w:bottom w:val="single" w:sz="4" w:space="0" w:color="auto"/>
              <w:right w:val="nil"/>
            </w:tcBorders>
            <w:vAlign w:val="bottom"/>
          </w:tcPr>
          <w:p w:rsidR="00AE1118" w:rsidRPr="00424A4B" w:rsidRDefault="00AE1118" w:rsidP="00CD41AC">
            <w:pPr>
              <w:keepNext/>
              <w:keepLines/>
              <w:rPr>
                <w:sz w:val="22"/>
                <w:szCs w:val="22"/>
                <w:lang w:val="sr-Latn-ME" w:eastAsia="ja-JP"/>
              </w:rPr>
            </w:pPr>
            <w:r w:rsidRPr="00424A4B">
              <w:rPr>
                <w:sz w:val="22"/>
                <w:szCs w:val="22"/>
                <w:lang w:val="sr-Latn-ME" w:eastAsia="ja-JP"/>
              </w:rPr>
              <w:t>93,4 [92,4; 94,4]</w:t>
            </w:r>
          </w:p>
        </w:tc>
        <w:tc>
          <w:tcPr>
            <w:tcW w:w="2127" w:type="dxa"/>
            <w:tcBorders>
              <w:top w:val="nil"/>
              <w:left w:val="nil"/>
              <w:bottom w:val="single" w:sz="4" w:space="0" w:color="auto"/>
            </w:tcBorders>
            <w:vAlign w:val="bottom"/>
          </w:tcPr>
          <w:p w:rsidR="00AE1118" w:rsidRPr="00424A4B" w:rsidRDefault="00AE1118" w:rsidP="00744600">
            <w:pPr>
              <w:keepNext/>
              <w:keepLines/>
              <w:jc w:val="right"/>
              <w:rPr>
                <w:sz w:val="22"/>
                <w:szCs w:val="22"/>
                <w:lang w:val="sr-Latn-ME" w:eastAsia="ja-JP"/>
              </w:rPr>
            </w:pPr>
            <w:r w:rsidRPr="00424A4B">
              <w:rPr>
                <w:sz w:val="22"/>
                <w:szCs w:val="22"/>
                <w:lang w:val="sr-Latn-ME" w:eastAsia="ja-JP"/>
              </w:rPr>
              <w:t>92,3 [91,2; 93,4]</w:t>
            </w:r>
          </w:p>
        </w:tc>
      </w:tr>
      <w:tr w:rsidR="00AE1118" w:rsidRPr="00424A4B" w:rsidTr="00B30B91">
        <w:trPr>
          <w:cantSplit/>
          <w:trHeight w:val="122"/>
        </w:trPr>
        <w:tc>
          <w:tcPr>
            <w:tcW w:w="4770" w:type="dxa"/>
            <w:tcBorders>
              <w:bottom w:val="nil"/>
            </w:tcBorders>
            <w:vAlign w:val="bottom"/>
          </w:tcPr>
          <w:p w:rsidR="00AE1118" w:rsidRPr="00424A4B" w:rsidRDefault="00AE1118" w:rsidP="005C33D8">
            <w:pPr>
              <w:keepNext/>
              <w:keepLines/>
              <w:rPr>
                <w:b/>
                <w:sz w:val="22"/>
                <w:szCs w:val="22"/>
                <w:vertAlign w:val="superscript"/>
                <w:lang w:val="sr-Latn-ME" w:eastAsia="ja-JP"/>
              </w:rPr>
            </w:pPr>
            <w:r w:rsidRPr="00424A4B">
              <w:rPr>
                <w:b/>
                <w:sz w:val="22"/>
                <w:szCs w:val="22"/>
                <w:lang w:val="sr-Latn-ME" w:eastAsia="ja-JP"/>
              </w:rPr>
              <w:t>Ukupno preživljavanje (OS)**</w:t>
            </w:r>
          </w:p>
        </w:tc>
        <w:tc>
          <w:tcPr>
            <w:tcW w:w="4377" w:type="dxa"/>
            <w:gridSpan w:val="2"/>
            <w:tcBorders>
              <w:bottom w:val="nil"/>
            </w:tcBorders>
            <w:vAlign w:val="bottom"/>
          </w:tcPr>
          <w:p w:rsidR="00AE1118" w:rsidRPr="00424A4B" w:rsidRDefault="00AE1118" w:rsidP="00CD41AC">
            <w:pPr>
              <w:keepNext/>
              <w:keepLines/>
              <w:rPr>
                <w:sz w:val="22"/>
                <w:szCs w:val="22"/>
                <w:lang w:val="sr-Latn-ME" w:eastAsia="ja-JP"/>
              </w:rPr>
            </w:pPr>
          </w:p>
        </w:tc>
      </w:tr>
      <w:tr w:rsidR="00AE1118" w:rsidRPr="00424A4B" w:rsidTr="00B30B91">
        <w:trPr>
          <w:cantSplit/>
          <w:trHeight w:val="218"/>
        </w:trPr>
        <w:tc>
          <w:tcPr>
            <w:tcW w:w="4770" w:type="dxa"/>
            <w:tcBorders>
              <w:top w:val="nil"/>
              <w:bottom w:val="nil"/>
            </w:tcBorders>
            <w:vAlign w:val="bottom"/>
          </w:tcPr>
          <w:p w:rsidR="00AE1118" w:rsidRPr="00424A4B" w:rsidRDefault="00AE1118" w:rsidP="005C33D8">
            <w:pPr>
              <w:keepNext/>
              <w:keepLines/>
              <w:rPr>
                <w:sz w:val="22"/>
                <w:szCs w:val="22"/>
                <w:lang w:val="sr-Latn-ME" w:eastAsia="ja-JP"/>
              </w:rPr>
            </w:pPr>
            <w:r w:rsidRPr="00424A4B">
              <w:rPr>
                <w:sz w:val="22"/>
                <w:szCs w:val="22"/>
                <w:lang w:val="sr-Latn-ME" w:eastAsia="ja-JP"/>
              </w:rPr>
              <w:t xml:space="preserve">Broj (%) pacijenata s događajem </w:t>
            </w:r>
          </w:p>
        </w:tc>
        <w:tc>
          <w:tcPr>
            <w:tcW w:w="2250" w:type="dxa"/>
            <w:tcBorders>
              <w:top w:val="nil"/>
              <w:bottom w:val="nil"/>
              <w:right w:val="nil"/>
            </w:tcBorders>
            <w:vAlign w:val="bottom"/>
          </w:tcPr>
          <w:p w:rsidR="00AE1118" w:rsidRPr="00424A4B" w:rsidRDefault="00AE1118" w:rsidP="00CD41AC">
            <w:pPr>
              <w:keepNext/>
              <w:keepLines/>
              <w:rPr>
                <w:sz w:val="22"/>
                <w:szCs w:val="22"/>
                <w:lang w:val="sr-Latn-ME" w:eastAsia="ja-JP"/>
              </w:rPr>
            </w:pPr>
            <w:r w:rsidRPr="00424A4B">
              <w:rPr>
                <w:sz w:val="22"/>
                <w:szCs w:val="22"/>
                <w:lang w:val="sr-Latn-ME" w:eastAsia="ja-JP"/>
              </w:rPr>
              <w:t>168 (7,0%)</w:t>
            </w:r>
          </w:p>
        </w:tc>
        <w:tc>
          <w:tcPr>
            <w:tcW w:w="2127" w:type="dxa"/>
            <w:tcBorders>
              <w:top w:val="nil"/>
              <w:left w:val="nil"/>
              <w:bottom w:val="nil"/>
            </w:tcBorders>
            <w:vAlign w:val="bottom"/>
          </w:tcPr>
          <w:p w:rsidR="00AE1118" w:rsidRPr="00424A4B" w:rsidRDefault="00AE1118" w:rsidP="00744600">
            <w:pPr>
              <w:keepNext/>
              <w:keepLines/>
              <w:jc w:val="right"/>
              <w:rPr>
                <w:sz w:val="22"/>
                <w:szCs w:val="22"/>
                <w:lang w:val="sr-Latn-ME" w:eastAsia="ja-JP"/>
              </w:rPr>
            </w:pPr>
            <w:r w:rsidRPr="00424A4B">
              <w:rPr>
                <w:sz w:val="22"/>
                <w:szCs w:val="22"/>
                <w:lang w:val="sr-Latn-ME" w:eastAsia="ja-JP"/>
              </w:rPr>
              <w:t>202 (8,4%)</w:t>
            </w:r>
          </w:p>
        </w:tc>
      </w:tr>
      <w:tr w:rsidR="00AE1118" w:rsidRPr="00424A4B" w:rsidTr="00B30B91">
        <w:trPr>
          <w:cantSplit/>
          <w:trHeight w:val="218"/>
        </w:trPr>
        <w:tc>
          <w:tcPr>
            <w:tcW w:w="4770" w:type="dxa"/>
            <w:tcBorders>
              <w:top w:val="nil"/>
              <w:bottom w:val="nil"/>
            </w:tcBorders>
            <w:vAlign w:val="bottom"/>
          </w:tcPr>
          <w:p w:rsidR="00AE1118" w:rsidRPr="00424A4B" w:rsidRDefault="00AE1118" w:rsidP="005C33D8">
            <w:pPr>
              <w:keepNext/>
              <w:keepLines/>
              <w:rPr>
                <w:sz w:val="22"/>
                <w:szCs w:val="22"/>
                <w:lang w:val="sr-Latn-ME" w:eastAsia="ja-JP"/>
              </w:rPr>
            </w:pPr>
            <w:r w:rsidRPr="00424A4B">
              <w:rPr>
                <w:sz w:val="22"/>
                <w:szCs w:val="22"/>
                <w:lang w:val="sr-Latn-ME" w:eastAsia="ja-JP"/>
              </w:rPr>
              <w:t>HR [95% CI]</w:t>
            </w:r>
          </w:p>
        </w:tc>
        <w:tc>
          <w:tcPr>
            <w:tcW w:w="4377" w:type="dxa"/>
            <w:gridSpan w:val="2"/>
            <w:tcBorders>
              <w:top w:val="nil"/>
              <w:bottom w:val="nil"/>
            </w:tcBorders>
            <w:vAlign w:val="bottom"/>
          </w:tcPr>
          <w:p w:rsidR="00AE1118" w:rsidRPr="00424A4B" w:rsidRDefault="00AE1118" w:rsidP="00CD41AC">
            <w:pPr>
              <w:keepNext/>
              <w:keepLines/>
              <w:jc w:val="center"/>
              <w:rPr>
                <w:sz w:val="22"/>
                <w:szCs w:val="22"/>
                <w:lang w:val="sr-Latn-ME" w:eastAsia="ja-JP"/>
              </w:rPr>
            </w:pPr>
            <w:r w:rsidRPr="00424A4B">
              <w:rPr>
                <w:sz w:val="22"/>
                <w:szCs w:val="22"/>
                <w:lang w:val="sr-Latn-ME" w:eastAsia="ja-JP"/>
              </w:rPr>
              <w:t>0,83 [0,68; 1,02]</w:t>
            </w:r>
          </w:p>
        </w:tc>
      </w:tr>
      <w:tr w:rsidR="00AE1118" w:rsidRPr="00424A4B" w:rsidTr="00B30B91">
        <w:trPr>
          <w:cantSplit/>
          <w:trHeight w:val="218"/>
        </w:trPr>
        <w:tc>
          <w:tcPr>
            <w:tcW w:w="4770" w:type="dxa"/>
            <w:tcBorders>
              <w:top w:val="nil"/>
              <w:bottom w:val="nil"/>
            </w:tcBorders>
            <w:vAlign w:val="bottom"/>
          </w:tcPr>
          <w:p w:rsidR="00AE1118" w:rsidRPr="00424A4B" w:rsidRDefault="00AE1118" w:rsidP="005C33D8">
            <w:pPr>
              <w:keepNext/>
              <w:keepLines/>
              <w:rPr>
                <w:sz w:val="22"/>
                <w:szCs w:val="22"/>
                <w:lang w:val="sr-Latn-ME" w:eastAsia="ja-JP"/>
              </w:rPr>
            </w:pPr>
          </w:p>
        </w:tc>
        <w:tc>
          <w:tcPr>
            <w:tcW w:w="4377" w:type="dxa"/>
            <w:gridSpan w:val="2"/>
            <w:tcBorders>
              <w:top w:val="nil"/>
              <w:bottom w:val="nil"/>
            </w:tcBorders>
            <w:vAlign w:val="bottom"/>
          </w:tcPr>
          <w:p w:rsidR="00AE1118" w:rsidRPr="00424A4B" w:rsidRDefault="00AE1118" w:rsidP="00CD41AC">
            <w:pPr>
              <w:keepNext/>
              <w:keepLines/>
              <w:jc w:val="center"/>
              <w:rPr>
                <w:sz w:val="22"/>
                <w:szCs w:val="22"/>
                <w:lang w:val="sr-Latn-ME" w:eastAsia="ja-JP"/>
              </w:rPr>
            </w:pPr>
          </w:p>
        </w:tc>
      </w:tr>
      <w:tr w:rsidR="00AE1118" w:rsidRPr="00424A4B" w:rsidTr="00B30B91">
        <w:trPr>
          <w:cantSplit/>
          <w:trHeight w:val="80"/>
        </w:trPr>
        <w:tc>
          <w:tcPr>
            <w:tcW w:w="4770" w:type="dxa"/>
            <w:tcBorders>
              <w:top w:val="nil"/>
              <w:bottom w:val="single" w:sz="4" w:space="0" w:color="auto"/>
            </w:tcBorders>
            <w:vAlign w:val="bottom"/>
          </w:tcPr>
          <w:p w:rsidR="00AE1118" w:rsidRPr="00424A4B" w:rsidRDefault="00AE1118" w:rsidP="005C33D8">
            <w:pPr>
              <w:keepNext/>
              <w:keepLines/>
              <w:rPr>
                <w:sz w:val="22"/>
                <w:szCs w:val="22"/>
                <w:lang w:val="sr-Latn-ME" w:eastAsia="ja-JP"/>
              </w:rPr>
            </w:pPr>
          </w:p>
        </w:tc>
        <w:tc>
          <w:tcPr>
            <w:tcW w:w="2250" w:type="dxa"/>
            <w:tcBorders>
              <w:top w:val="nil"/>
              <w:bottom w:val="single" w:sz="4" w:space="0" w:color="auto"/>
              <w:right w:val="nil"/>
            </w:tcBorders>
            <w:vAlign w:val="bottom"/>
          </w:tcPr>
          <w:p w:rsidR="00AE1118" w:rsidRPr="00424A4B" w:rsidRDefault="00AE1118" w:rsidP="00CD41AC">
            <w:pPr>
              <w:keepNext/>
              <w:keepLines/>
              <w:rPr>
                <w:sz w:val="22"/>
                <w:szCs w:val="22"/>
                <w:lang w:val="sr-Latn-ME" w:eastAsia="ja-JP"/>
              </w:rPr>
            </w:pPr>
          </w:p>
        </w:tc>
        <w:tc>
          <w:tcPr>
            <w:tcW w:w="2127" w:type="dxa"/>
            <w:tcBorders>
              <w:top w:val="nil"/>
              <w:left w:val="nil"/>
              <w:bottom w:val="single" w:sz="4" w:space="0" w:color="auto"/>
            </w:tcBorders>
            <w:vAlign w:val="bottom"/>
          </w:tcPr>
          <w:p w:rsidR="00AE1118" w:rsidRPr="00424A4B" w:rsidRDefault="00AE1118" w:rsidP="00744600">
            <w:pPr>
              <w:keepNext/>
              <w:keepLines/>
              <w:jc w:val="right"/>
              <w:rPr>
                <w:sz w:val="22"/>
                <w:szCs w:val="22"/>
                <w:lang w:val="sr-Latn-ME" w:eastAsia="ja-JP"/>
              </w:rPr>
            </w:pPr>
          </w:p>
        </w:tc>
      </w:tr>
    </w:tbl>
    <w:p w:rsidR="00AE1118" w:rsidRPr="00424A4B" w:rsidRDefault="00AE1118" w:rsidP="0055503A">
      <w:pPr>
        <w:rPr>
          <w:b/>
          <w:sz w:val="22"/>
          <w:szCs w:val="22"/>
          <w:lang w:val="sr-Latn-ME" w:eastAsia="ja-JP"/>
        </w:rPr>
      </w:pPr>
    </w:p>
    <w:p w:rsidR="005E6320" w:rsidRPr="00424A4B" w:rsidRDefault="005E6320" w:rsidP="0055503A">
      <w:pPr>
        <w:rPr>
          <w:b/>
          <w:sz w:val="22"/>
          <w:szCs w:val="22"/>
          <w:lang w:val="sr-Latn-ME" w:eastAsia="ja-JP"/>
        </w:rPr>
      </w:pPr>
      <w:r w:rsidRPr="00424A4B">
        <w:rPr>
          <w:b/>
          <w:sz w:val="22"/>
          <w:szCs w:val="22"/>
          <w:lang w:val="sr-Latn-ME"/>
        </w:rPr>
        <w:t xml:space="preserve">Objašnjenje skraćenica (Tabela 5): </w:t>
      </w:r>
      <w:r w:rsidRPr="00424A4B">
        <w:rPr>
          <w:sz w:val="22"/>
          <w:szCs w:val="22"/>
          <w:lang w:val="sr-Latn-ME"/>
        </w:rPr>
        <w:t xml:space="preserve">HR: </w:t>
      </w:r>
      <w:r w:rsidR="00E54C5C" w:rsidRPr="00424A4B">
        <w:rPr>
          <w:sz w:val="22"/>
          <w:szCs w:val="22"/>
          <w:lang w:val="sr-Latn-ME"/>
        </w:rPr>
        <w:t>odnos rizika</w:t>
      </w:r>
      <w:r w:rsidRPr="00424A4B">
        <w:rPr>
          <w:sz w:val="22"/>
          <w:szCs w:val="22"/>
          <w:lang w:val="sr-Latn-ME"/>
        </w:rPr>
        <w:t>; CI: interval pouzdanosti</w:t>
      </w:r>
    </w:p>
    <w:p w:rsidR="00DA5717" w:rsidRPr="00424A4B" w:rsidRDefault="00DA5717" w:rsidP="0055503A">
      <w:pPr>
        <w:rPr>
          <w:sz w:val="22"/>
          <w:szCs w:val="22"/>
          <w:lang w:val="sr-Latn-ME"/>
        </w:rPr>
      </w:pPr>
      <w:r w:rsidRPr="00424A4B">
        <w:rPr>
          <w:sz w:val="22"/>
          <w:szCs w:val="22"/>
          <w:lang w:val="sr-Latn-ME"/>
        </w:rPr>
        <w:t>* Primarna analiza preživljavanja bez invazivne bolesti, završni datum prikupljanja podataka 19. decembar 2016.</w:t>
      </w:r>
    </w:p>
    <w:p w:rsidR="00DA5717" w:rsidRPr="00424A4B" w:rsidRDefault="00DA5717" w:rsidP="0055503A">
      <w:pPr>
        <w:rPr>
          <w:sz w:val="22"/>
          <w:szCs w:val="22"/>
          <w:lang w:val="sr-Latn-ME"/>
        </w:rPr>
      </w:pPr>
      <w:r w:rsidRPr="00424A4B">
        <w:rPr>
          <w:sz w:val="22"/>
          <w:szCs w:val="22"/>
          <w:lang w:val="sr-Latn-ME"/>
        </w:rPr>
        <w:t>** Podaci iz 3. interim analize ukupnog preživljavanja, završni datum prikupljanja podataka: 10. januar 2022.</w:t>
      </w:r>
    </w:p>
    <w:p w:rsidR="00E27A7A" w:rsidRPr="00424A4B" w:rsidRDefault="005E6320" w:rsidP="005C33D8">
      <w:pPr>
        <w:tabs>
          <w:tab w:val="left" w:pos="1010"/>
        </w:tabs>
        <w:jc w:val="both"/>
        <w:rPr>
          <w:sz w:val="22"/>
          <w:szCs w:val="22"/>
          <w:lang w:val="sr-Latn-ME"/>
        </w:rPr>
      </w:pPr>
      <w:r w:rsidRPr="00424A4B">
        <w:rPr>
          <w:sz w:val="22"/>
          <w:szCs w:val="22"/>
          <w:lang w:val="sr-Latn-ME"/>
        </w:rPr>
        <w:lastRenderedPageBreak/>
        <w:t>1. Sve analize</w:t>
      </w:r>
      <w:r w:rsidR="00336304" w:rsidRPr="00424A4B">
        <w:rPr>
          <w:sz w:val="22"/>
          <w:szCs w:val="22"/>
          <w:lang w:val="sr-Latn-ME"/>
        </w:rPr>
        <w:t xml:space="preserve"> su</w:t>
      </w:r>
      <w:r w:rsidRPr="00424A4B">
        <w:rPr>
          <w:sz w:val="22"/>
          <w:szCs w:val="22"/>
          <w:lang w:val="sr-Latn-ME"/>
        </w:rPr>
        <w:t xml:space="preserve"> stratifikovane prema statusu zahvaćenosti limfnih čvorova, verziji p</w:t>
      </w:r>
      <w:r w:rsidR="00336304" w:rsidRPr="00424A4B">
        <w:rPr>
          <w:sz w:val="22"/>
          <w:szCs w:val="22"/>
          <w:lang w:val="sr-Latn-ME"/>
        </w:rPr>
        <w:t>rotokola</w:t>
      </w:r>
      <w:r w:rsidRPr="00424A4B">
        <w:rPr>
          <w:sz w:val="22"/>
          <w:szCs w:val="22"/>
          <w:lang w:val="sr-Latn-ME"/>
        </w:rPr>
        <w:t xml:space="preserve"> ispitivanja, statusu hormonskih receptora prema ocjeni centralne laboratorije i adjuvantnom hemoterapijskom protokolu.                                                         </w:t>
      </w:r>
    </w:p>
    <w:p w:rsidR="005E6320" w:rsidRPr="00424A4B" w:rsidRDefault="005E6320" w:rsidP="00CD41AC">
      <w:pPr>
        <w:tabs>
          <w:tab w:val="left" w:pos="1010"/>
        </w:tabs>
        <w:jc w:val="both"/>
        <w:rPr>
          <w:sz w:val="22"/>
          <w:szCs w:val="22"/>
          <w:lang w:val="sr-Latn-ME"/>
        </w:rPr>
      </w:pPr>
      <w:r w:rsidRPr="00424A4B">
        <w:rPr>
          <w:sz w:val="22"/>
          <w:szCs w:val="22"/>
          <w:lang w:val="sr-Latn-ME"/>
        </w:rPr>
        <w:t>2. 3-godišnja stopa bez događaja bazira se na procjenama prema Kaplan</w:t>
      </w:r>
      <w:r w:rsidRPr="00424A4B">
        <w:rPr>
          <w:sz w:val="22"/>
          <w:szCs w:val="22"/>
          <w:lang w:val="sr-Latn-ME"/>
        </w:rPr>
        <w:noBreakHyphen/>
        <w:t>Meierovoj metodi.</w:t>
      </w:r>
    </w:p>
    <w:p w:rsidR="007F6E8E" w:rsidRPr="00424A4B" w:rsidRDefault="007F6E8E">
      <w:pPr>
        <w:tabs>
          <w:tab w:val="left" w:pos="1010"/>
        </w:tabs>
        <w:jc w:val="both"/>
        <w:rPr>
          <w:sz w:val="22"/>
          <w:szCs w:val="22"/>
          <w:lang w:val="sr-Latn-ME"/>
        </w:rPr>
      </w:pPr>
      <w:r w:rsidRPr="00424A4B">
        <w:rPr>
          <w:sz w:val="22"/>
          <w:szCs w:val="22"/>
          <w:lang w:val="sr-Latn-ME"/>
        </w:rPr>
        <w:t>3. 8-godišnja stopa bez događaja bazira se na procjenama prema Kaplan Meierovoj metodi.</w:t>
      </w:r>
    </w:p>
    <w:p w:rsidR="005E6320" w:rsidRPr="00424A4B" w:rsidRDefault="005E6320">
      <w:pPr>
        <w:rPr>
          <w:sz w:val="22"/>
          <w:szCs w:val="22"/>
          <w:lang w:val="sr-Latn-ME"/>
        </w:rPr>
      </w:pPr>
    </w:p>
    <w:p w:rsidR="005E6320" w:rsidRPr="00424A4B" w:rsidRDefault="005E6320">
      <w:pPr>
        <w:keepNext/>
        <w:keepLines/>
        <w:rPr>
          <w:b/>
          <w:noProof/>
          <w:sz w:val="22"/>
          <w:szCs w:val="22"/>
          <w:lang w:val="sr-Latn-ME" w:eastAsia="ja-JP"/>
        </w:rPr>
      </w:pPr>
      <w:r w:rsidRPr="00424A4B">
        <w:rPr>
          <w:b/>
          <w:noProof/>
          <w:sz w:val="22"/>
          <w:szCs w:val="22"/>
          <w:lang w:val="sr-Latn-ME" w:eastAsia="ja-JP"/>
        </w:rPr>
        <w:t>Slika 3</w:t>
      </w:r>
      <w:r w:rsidRPr="00424A4B">
        <w:rPr>
          <w:b/>
          <w:noProof/>
          <w:sz w:val="22"/>
          <w:szCs w:val="22"/>
          <w:lang w:val="sr-Latn-ME" w:eastAsia="ja-JP"/>
        </w:rPr>
        <w:tab/>
        <w:t>Kaplan</w:t>
      </w:r>
      <w:r w:rsidRPr="00424A4B">
        <w:rPr>
          <w:b/>
          <w:noProof/>
          <w:sz w:val="22"/>
          <w:szCs w:val="22"/>
          <w:lang w:val="sr-Latn-ME" w:eastAsia="ja-JP"/>
        </w:rPr>
        <w:noBreakHyphen/>
        <w:t>Meierova kriva preživljenja bez invazivne bolesti</w:t>
      </w:r>
    </w:p>
    <w:p w:rsidR="005E6320" w:rsidRPr="00424A4B" w:rsidRDefault="005E6320">
      <w:pPr>
        <w:keepNext/>
        <w:keepLines/>
        <w:rPr>
          <w:sz w:val="22"/>
          <w:szCs w:val="22"/>
          <w:lang w:val="sr-Latn-ME" w:eastAsia="ja-JP"/>
        </w:rPr>
      </w:pPr>
    </w:p>
    <w:p w:rsidR="005E6320" w:rsidRPr="00424A4B" w:rsidRDefault="005E6320" w:rsidP="0055503A">
      <w:pPr>
        <w:rPr>
          <w:noProof/>
          <w:sz w:val="22"/>
          <w:szCs w:val="22"/>
          <w:lang w:val="sr-Latn-ME" w:eastAsia="zh-TW"/>
        </w:rPr>
      </w:pPr>
      <w:r w:rsidRPr="00424A4B">
        <w:rPr>
          <w:noProof/>
          <w:sz w:val="22"/>
          <w:szCs w:val="22"/>
          <w:lang w:val="sr-Latn-ME" w:eastAsia="sr-Latn-ME"/>
        </w:rPr>
        <w:drawing>
          <wp:inline distT="0" distB="0" distL="0" distR="0">
            <wp:extent cx="5762625" cy="3686175"/>
            <wp:effectExtent l="0" t="0" r="9525" b="9525"/>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2625" cy="3686175"/>
                    </a:xfrm>
                    <a:prstGeom prst="rect">
                      <a:avLst/>
                    </a:prstGeom>
                    <a:noFill/>
                    <a:ln>
                      <a:noFill/>
                    </a:ln>
                  </pic:spPr>
                </pic:pic>
              </a:graphicData>
            </a:graphic>
          </wp:inline>
        </w:drawing>
      </w:r>
      <w:r w:rsidRPr="00424A4B">
        <w:rPr>
          <w:noProof/>
          <w:sz w:val="22"/>
          <w:szCs w:val="22"/>
          <w:lang w:val="sr-Latn-ME" w:eastAsia="zh-TW"/>
        </w:rPr>
        <w:t xml:space="preserve"> </w:t>
      </w:r>
    </w:p>
    <w:p w:rsidR="005E6320" w:rsidRPr="00424A4B" w:rsidRDefault="005E6320" w:rsidP="0055503A">
      <w:pPr>
        <w:jc w:val="both"/>
        <w:rPr>
          <w:noProof/>
          <w:sz w:val="22"/>
          <w:szCs w:val="22"/>
          <w:lang w:val="sr-Latn-ME"/>
        </w:rPr>
      </w:pPr>
      <w:r w:rsidRPr="00424A4B">
        <w:rPr>
          <w:noProof/>
          <w:sz w:val="22"/>
          <w:szCs w:val="22"/>
          <w:lang w:val="sr-Latn-ME"/>
        </w:rPr>
        <w:t>IDFS = preživljenje bez simptoma invazivne bolesti; CI = interval pouzdanosti; Pla = placebo; Ptz = pertuzumab (</w:t>
      </w:r>
      <w:r w:rsidR="009C77FA" w:rsidRPr="00424A4B">
        <w:rPr>
          <w:noProof/>
          <w:sz w:val="22"/>
          <w:szCs w:val="22"/>
          <w:lang w:val="sr-Latn-ME"/>
        </w:rPr>
        <w:t>Perjeta</w:t>
      </w:r>
      <w:r w:rsidRPr="00424A4B">
        <w:rPr>
          <w:noProof/>
          <w:sz w:val="22"/>
          <w:szCs w:val="22"/>
          <w:lang w:val="sr-Latn-ME"/>
        </w:rPr>
        <w:t>); T = trastuzumab.</w:t>
      </w:r>
    </w:p>
    <w:p w:rsidR="00CD41AC" w:rsidRPr="00424A4B" w:rsidRDefault="00CD41AC" w:rsidP="0055503A">
      <w:pPr>
        <w:rPr>
          <w:sz w:val="22"/>
          <w:szCs w:val="22"/>
          <w:lang w:val="sr-Latn-ME"/>
        </w:rPr>
      </w:pPr>
    </w:p>
    <w:p w:rsidR="00336304" w:rsidRPr="00424A4B" w:rsidRDefault="005E6320" w:rsidP="0055503A">
      <w:pPr>
        <w:rPr>
          <w:sz w:val="22"/>
          <w:szCs w:val="22"/>
          <w:lang w:val="sr-Latn-ME"/>
        </w:rPr>
      </w:pPr>
      <w:r w:rsidRPr="00424A4B">
        <w:rPr>
          <w:sz w:val="22"/>
          <w:szCs w:val="22"/>
          <w:lang w:val="sr-Latn-ME"/>
        </w:rPr>
        <w:t xml:space="preserve">Procijenjeni IDFS nakon 4 godine iznosio je 92,3% u grupi liječenoj lijekom </w:t>
      </w:r>
      <w:r w:rsidR="009C77FA" w:rsidRPr="00424A4B">
        <w:rPr>
          <w:sz w:val="22"/>
          <w:szCs w:val="22"/>
          <w:lang w:val="sr-Latn-ME"/>
        </w:rPr>
        <w:t>Perjeta</w:t>
      </w:r>
      <w:r w:rsidRPr="00424A4B">
        <w:rPr>
          <w:sz w:val="22"/>
          <w:szCs w:val="22"/>
          <w:lang w:val="sr-Latn-ME"/>
        </w:rPr>
        <w:t xml:space="preserve"> te 90,6% u grupi koja je primala placebo. Medijana praćenja u trenutku procjene iznosila je 45,4 mjeseca.</w:t>
      </w:r>
    </w:p>
    <w:p w:rsidR="005E6320" w:rsidRPr="00424A4B" w:rsidRDefault="005E6320" w:rsidP="0055503A">
      <w:pPr>
        <w:rPr>
          <w:sz w:val="22"/>
          <w:szCs w:val="22"/>
          <w:u w:val="single"/>
          <w:lang w:val="sr-Latn-ME"/>
        </w:rPr>
      </w:pPr>
    </w:p>
    <w:p w:rsidR="005E6320" w:rsidRPr="00424A4B" w:rsidRDefault="005E6320" w:rsidP="0055503A">
      <w:pPr>
        <w:rPr>
          <w:sz w:val="22"/>
          <w:szCs w:val="22"/>
          <w:u w:val="single"/>
          <w:lang w:val="sr-Latn-ME"/>
        </w:rPr>
      </w:pPr>
      <w:r w:rsidRPr="00424A4B">
        <w:rPr>
          <w:sz w:val="22"/>
          <w:szCs w:val="22"/>
          <w:u w:val="single"/>
          <w:lang w:val="sr-Latn-ME"/>
        </w:rPr>
        <w:t>Rezultati analize podgrupa</w:t>
      </w:r>
    </w:p>
    <w:p w:rsidR="00CD41AC" w:rsidRPr="00424A4B" w:rsidRDefault="00CD41AC" w:rsidP="0055503A">
      <w:pPr>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U trenutku sprovođenja primarne analize koristi lijeka </w:t>
      </w:r>
      <w:r w:rsidR="009C77FA" w:rsidRPr="00424A4B">
        <w:rPr>
          <w:sz w:val="22"/>
          <w:szCs w:val="22"/>
          <w:lang w:val="sr-Latn-ME"/>
        </w:rPr>
        <w:t>Perjeta</w:t>
      </w:r>
      <w:r w:rsidRPr="00424A4B">
        <w:rPr>
          <w:sz w:val="22"/>
          <w:szCs w:val="22"/>
          <w:lang w:val="sr-Latn-ME"/>
        </w:rPr>
        <w:t xml:space="preserve"> bile su izraženije kod pacijenata iz određenih visokorizičnih grupa, posebno pacijenata s pozitivnim nalazom zahvaćenosti limfnih čvorova ili bolešću negativnom na hormonske receptore (vidjeti Tabelu 6).</w:t>
      </w:r>
    </w:p>
    <w:p w:rsidR="008342CF" w:rsidRPr="00424A4B" w:rsidRDefault="008342CF" w:rsidP="0055503A">
      <w:pPr>
        <w:jc w:val="both"/>
        <w:rPr>
          <w:sz w:val="22"/>
          <w:szCs w:val="22"/>
          <w:lang w:val="sr-Latn-ME"/>
        </w:rPr>
      </w:pPr>
    </w:p>
    <w:p w:rsidR="005E6320" w:rsidRPr="00424A4B" w:rsidRDefault="005E6320" w:rsidP="0055503A">
      <w:pPr>
        <w:rPr>
          <w:b/>
          <w:sz w:val="22"/>
          <w:szCs w:val="22"/>
          <w:u w:val="single"/>
          <w:vertAlign w:val="superscript"/>
          <w:lang w:val="sr-Latn-ME"/>
        </w:rPr>
      </w:pPr>
      <w:r w:rsidRPr="00424A4B">
        <w:rPr>
          <w:b/>
          <w:sz w:val="22"/>
          <w:szCs w:val="22"/>
          <w:u w:val="single"/>
          <w:lang w:val="sr-Latn-ME"/>
        </w:rPr>
        <w:t xml:space="preserve">Tabela 6  </w:t>
      </w:r>
      <w:r w:rsidRPr="00424A4B">
        <w:rPr>
          <w:b/>
          <w:bCs/>
          <w:sz w:val="22"/>
          <w:szCs w:val="22"/>
          <w:u w:val="single"/>
          <w:lang w:val="sr-Latn-ME"/>
        </w:rPr>
        <w:t>Rezultati efikasnosti u podgrupama prema statusu zahvaćenosti limfnih čvorova</w:t>
      </w:r>
      <w:r w:rsidRPr="00424A4B">
        <w:rPr>
          <w:b/>
          <w:sz w:val="22"/>
          <w:szCs w:val="22"/>
          <w:u w:val="single"/>
          <w:lang w:val="sr-Latn-ME"/>
        </w:rPr>
        <w:t xml:space="preserve"> </w:t>
      </w:r>
      <w:r w:rsidRPr="00424A4B">
        <w:rPr>
          <w:b/>
          <w:bCs/>
          <w:sz w:val="22"/>
          <w:szCs w:val="22"/>
          <w:u w:val="single"/>
          <w:lang w:val="sr-Latn-ME"/>
        </w:rPr>
        <w:t>i statusu hormonskih receptora</w:t>
      </w:r>
      <w:r w:rsidRPr="00424A4B">
        <w:rPr>
          <w:b/>
          <w:sz w:val="22"/>
          <w:szCs w:val="22"/>
          <w:u w:val="single"/>
          <w:vertAlign w:val="superscript"/>
          <w:lang w:val="sr-Latn-ME"/>
        </w:rPr>
        <w:t>1</w:t>
      </w:r>
    </w:p>
    <w:p w:rsidR="00CD41AC" w:rsidRPr="00424A4B" w:rsidRDefault="00CD41AC" w:rsidP="0055503A">
      <w:pPr>
        <w:rPr>
          <w:b/>
          <w:sz w:val="22"/>
          <w:szCs w:val="22"/>
          <w:u w:val="single"/>
          <w:lang w:val="sr-Latn-ME"/>
        </w:rPr>
      </w:pPr>
    </w:p>
    <w:p w:rsidR="00424A4B" w:rsidRPr="00424A4B" w:rsidRDefault="00424A4B" w:rsidP="0055503A">
      <w:pPr>
        <w:rPr>
          <w:b/>
          <w:sz w:val="22"/>
          <w:szCs w:val="22"/>
          <w:u w:val="single"/>
          <w:lang w:val="sr-Latn-ME"/>
        </w:rPr>
      </w:pPr>
    </w:p>
    <w:tbl>
      <w:tblPr>
        <w:tblW w:w="9205" w:type="dxa"/>
        <w:tblCellMar>
          <w:left w:w="0" w:type="dxa"/>
          <w:right w:w="0" w:type="dxa"/>
        </w:tblCellMar>
        <w:tblLook w:val="04A0" w:firstRow="1" w:lastRow="0" w:firstColumn="1" w:lastColumn="0" w:noHBand="0" w:noVBand="1"/>
      </w:tblPr>
      <w:tblGrid>
        <w:gridCol w:w="2538"/>
        <w:gridCol w:w="2272"/>
        <w:gridCol w:w="2386"/>
        <w:gridCol w:w="2009"/>
      </w:tblGrid>
      <w:tr w:rsidR="005E6320" w:rsidRPr="00424A4B" w:rsidTr="00E27A7A">
        <w:trPr>
          <w:trHeight w:val="222"/>
        </w:trPr>
        <w:tc>
          <w:tcPr>
            <w:tcW w:w="253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E6320" w:rsidRPr="00424A4B" w:rsidRDefault="005E6320" w:rsidP="0055503A">
            <w:pPr>
              <w:rPr>
                <w:b/>
                <w:sz w:val="22"/>
                <w:szCs w:val="22"/>
                <w:lang w:val="sr-Latn-ME"/>
              </w:rPr>
            </w:pPr>
          </w:p>
          <w:p w:rsidR="005E6320" w:rsidRPr="00424A4B" w:rsidRDefault="005E6320" w:rsidP="0055503A">
            <w:pPr>
              <w:rPr>
                <w:b/>
                <w:sz w:val="22"/>
                <w:szCs w:val="22"/>
                <w:lang w:val="sr-Latn-ME"/>
              </w:rPr>
            </w:pPr>
          </w:p>
          <w:p w:rsidR="005E6320" w:rsidRPr="00424A4B" w:rsidRDefault="005E6320" w:rsidP="0055503A">
            <w:pPr>
              <w:rPr>
                <w:b/>
                <w:sz w:val="22"/>
                <w:szCs w:val="22"/>
                <w:lang w:val="sr-Latn-ME"/>
              </w:rPr>
            </w:pPr>
            <w:r w:rsidRPr="00424A4B">
              <w:rPr>
                <w:b/>
                <w:bCs/>
                <w:sz w:val="22"/>
                <w:szCs w:val="22"/>
                <w:lang w:val="sr-Latn-ME"/>
              </w:rPr>
              <w:t>Populacija</w:t>
            </w:r>
          </w:p>
        </w:tc>
        <w:tc>
          <w:tcPr>
            <w:tcW w:w="465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6320" w:rsidRPr="00424A4B" w:rsidRDefault="005E6320" w:rsidP="0055503A">
            <w:pPr>
              <w:rPr>
                <w:b/>
                <w:sz w:val="22"/>
                <w:szCs w:val="22"/>
                <w:lang w:val="sr-Latn-ME"/>
              </w:rPr>
            </w:pPr>
            <w:r w:rsidRPr="00424A4B">
              <w:rPr>
                <w:b/>
                <w:bCs/>
                <w:sz w:val="22"/>
                <w:szCs w:val="22"/>
                <w:lang w:val="sr-Latn-ME"/>
              </w:rPr>
              <w:t>Broj</w:t>
            </w:r>
            <w:r w:rsidRPr="00424A4B">
              <w:rPr>
                <w:b/>
                <w:sz w:val="22"/>
                <w:szCs w:val="22"/>
                <w:lang w:val="sr-Latn-ME"/>
              </w:rPr>
              <w:t xml:space="preserve"> IDFS </w:t>
            </w:r>
            <w:r w:rsidRPr="00424A4B">
              <w:rPr>
                <w:b/>
                <w:bCs/>
                <w:sz w:val="22"/>
                <w:szCs w:val="22"/>
                <w:lang w:val="sr-Latn-ME"/>
              </w:rPr>
              <w:t>događaja</w:t>
            </w:r>
            <w:r w:rsidRPr="00424A4B">
              <w:rPr>
                <w:b/>
                <w:sz w:val="22"/>
                <w:szCs w:val="22"/>
                <w:lang w:val="sr-Latn-ME"/>
              </w:rPr>
              <w:t>/</w:t>
            </w:r>
            <w:r w:rsidRPr="00424A4B">
              <w:rPr>
                <w:b/>
                <w:bCs/>
                <w:sz w:val="22"/>
                <w:szCs w:val="22"/>
                <w:lang w:val="sr-Latn-ME"/>
              </w:rPr>
              <w:t>Ukupan</w:t>
            </w:r>
            <w:r w:rsidRPr="00424A4B">
              <w:rPr>
                <w:b/>
                <w:sz w:val="22"/>
                <w:szCs w:val="22"/>
                <w:lang w:val="sr-Latn-ME"/>
              </w:rPr>
              <w:t xml:space="preserve"> N (%)</w:t>
            </w:r>
          </w:p>
        </w:tc>
        <w:tc>
          <w:tcPr>
            <w:tcW w:w="200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6320" w:rsidRPr="00424A4B" w:rsidRDefault="005E6320" w:rsidP="0055503A">
            <w:pPr>
              <w:rPr>
                <w:b/>
                <w:sz w:val="22"/>
                <w:szCs w:val="22"/>
                <w:lang w:val="sr-Latn-ME"/>
              </w:rPr>
            </w:pPr>
            <w:r w:rsidRPr="00424A4B">
              <w:rPr>
                <w:b/>
                <w:bCs/>
                <w:sz w:val="22"/>
                <w:szCs w:val="22"/>
                <w:lang w:val="sr-Latn-ME"/>
              </w:rPr>
              <w:t>Nestratfikovan</w:t>
            </w:r>
            <w:r w:rsidRPr="00424A4B">
              <w:rPr>
                <w:b/>
                <w:sz w:val="22"/>
                <w:szCs w:val="22"/>
                <w:lang w:val="sr-Latn-ME"/>
              </w:rPr>
              <w:t xml:space="preserve"> HR (95% CI)</w:t>
            </w:r>
          </w:p>
        </w:tc>
      </w:tr>
      <w:tr w:rsidR="005E6320" w:rsidRPr="00424A4B" w:rsidTr="00E27A7A">
        <w:trPr>
          <w:trHeight w:val="899"/>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5E6320" w:rsidRPr="00424A4B" w:rsidRDefault="005E6320" w:rsidP="0055503A">
            <w:pPr>
              <w:rPr>
                <w:b/>
                <w:sz w:val="22"/>
                <w:szCs w:val="22"/>
                <w:lang w:val="sr-Latn-ME"/>
              </w:rPr>
            </w:pPr>
          </w:p>
        </w:tc>
        <w:tc>
          <w:tcPr>
            <w:tcW w:w="2272" w:type="dxa"/>
            <w:tcBorders>
              <w:top w:val="nil"/>
              <w:left w:val="nil"/>
              <w:bottom w:val="single" w:sz="8" w:space="0" w:color="auto"/>
              <w:right w:val="single" w:sz="8" w:space="0" w:color="auto"/>
            </w:tcBorders>
            <w:tcMar>
              <w:top w:w="0" w:type="dxa"/>
              <w:left w:w="108" w:type="dxa"/>
              <w:bottom w:w="0" w:type="dxa"/>
              <w:right w:w="108" w:type="dxa"/>
            </w:tcMar>
            <w:hideMark/>
          </w:tcPr>
          <w:p w:rsidR="005E6320" w:rsidRPr="00424A4B" w:rsidRDefault="005E6320" w:rsidP="0055503A">
            <w:pPr>
              <w:jc w:val="center"/>
              <w:rPr>
                <w:b/>
                <w:sz w:val="22"/>
                <w:szCs w:val="22"/>
                <w:lang w:val="sr-Latn-ME"/>
              </w:rPr>
            </w:pPr>
            <w:r w:rsidRPr="00424A4B">
              <w:rPr>
                <w:b/>
                <w:sz w:val="22"/>
                <w:szCs w:val="22"/>
                <w:lang w:val="sr-Latn-ME"/>
              </w:rPr>
              <w:t xml:space="preserve">Perjeta + trastuzumab + </w:t>
            </w:r>
            <w:r w:rsidRPr="00424A4B">
              <w:rPr>
                <w:b/>
                <w:bCs/>
                <w:sz w:val="22"/>
                <w:szCs w:val="22"/>
                <w:lang w:val="sr-Latn-ME"/>
              </w:rPr>
              <w:t>hemoterapija</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5E6320" w:rsidRPr="00424A4B" w:rsidRDefault="005E6320" w:rsidP="0055503A">
            <w:pPr>
              <w:jc w:val="center"/>
              <w:rPr>
                <w:b/>
                <w:sz w:val="22"/>
                <w:szCs w:val="22"/>
                <w:lang w:val="sr-Latn-ME"/>
              </w:rPr>
            </w:pPr>
            <w:r w:rsidRPr="00424A4B">
              <w:rPr>
                <w:b/>
                <w:sz w:val="22"/>
                <w:szCs w:val="22"/>
                <w:lang w:val="sr-Latn-ME"/>
              </w:rPr>
              <w:t xml:space="preserve">Placebo + </w:t>
            </w:r>
            <w:r w:rsidRPr="00424A4B">
              <w:rPr>
                <w:b/>
                <w:bCs/>
                <w:sz w:val="22"/>
                <w:szCs w:val="22"/>
                <w:lang w:val="sr-Latn-ME"/>
              </w:rPr>
              <w:br/>
            </w:r>
            <w:r w:rsidRPr="00424A4B">
              <w:rPr>
                <w:b/>
                <w:sz w:val="22"/>
                <w:szCs w:val="22"/>
                <w:lang w:val="sr-Latn-ME"/>
              </w:rPr>
              <w:t xml:space="preserve">trastuzumab + </w:t>
            </w:r>
            <w:r w:rsidRPr="00424A4B">
              <w:rPr>
                <w:b/>
                <w:bCs/>
                <w:sz w:val="22"/>
                <w:szCs w:val="22"/>
                <w:lang w:val="sr-Latn-ME"/>
              </w:rPr>
              <w:t>hemoterapija</w:t>
            </w:r>
          </w:p>
        </w:tc>
        <w:tc>
          <w:tcPr>
            <w:tcW w:w="0" w:type="auto"/>
            <w:vMerge/>
            <w:tcBorders>
              <w:top w:val="single" w:sz="8" w:space="0" w:color="auto"/>
              <w:left w:val="nil"/>
              <w:bottom w:val="single" w:sz="8" w:space="0" w:color="auto"/>
              <w:right w:val="single" w:sz="8" w:space="0" w:color="auto"/>
            </w:tcBorders>
            <w:vAlign w:val="center"/>
            <w:hideMark/>
          </w:tcPr>
          <w:p w:rsidR="005E6320" w:rsidRPr="00424A4B" w:rsidRDefault="005E6320" w:rsidP="0055503A">
            <w:pPr>
              <w:rPr>
                <w:b/>
                <w:sz w:val="22"/>
                <w:szCs w:val="22"/>
                <w:lang w:val="sr-Latn-ME"/>
              </w:rPr>
            </w:pPr>
          </w:p>
        </w:tc>
      </w:tr>
      <w:tr w:rsidR="005E6320" w:rsidRPr="00424A4B" w:rsidTr="00E27A7A">
        <w:trPr>
          <w:trHeight w:val="233"/>
        </w:trPr>
        <w:tc>
          <w:tcPr>
            <w:tcW w:w="9205"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E6320" w:rsidRPr="00424A4B" w:rsidRDefault="005E6320" w:rsidP="0055503A">
            <w:pPr>
              <w:rPr>
                <w:sz w:val="22"/>
                <w:szCs w:val="22"/>
                <w:lang w:val="sr-Latn-ME"/>
              </w:rPr>
            </w:pPr>
            <w:r w:rsidRPr="00424A4B">
              <w:rPr>
                <w:b/>
                <w:bCs/>
                <w:sz w:val="22"/>
                <w:szCs w:val="22"/>
                <w:lang w:val="sr-Latn-ME"/>
              </w:rPr>
              <w:t>Status zahvaćenosti limfnih čvorova</w:t>
            </w:r>
          </w:p>
        </w:tc>
      </w:tr>
      <w:tr w:rsidR="005E6320" w:rsidRPr="00424A4B" w:rsidTr="00E27A7A">
        <w:trPr>
          <w:trHeight w:val="535"/>
        </w:trPr>
        <w:tc>
          <w:tcPr>
            <w:tcW w:w="25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E6320" w:rsidRPr="00424A4B" w:rsidRDefault="005E6320" w:rsidP="0055503A">
            <w:pPr>
              <w:rPr>
                <w:sz w:val="22"/>
                <w:szCs w:val="22"/>
                <w:lang w:val="sr-Latn-ME"/>
              </w:rPr>
            </w:pPr>
            <w:r w:rsidRPr="00424A4B">
              <w:rPr>
                <w:sz w:val="22"/>
                <w:szCs w:val="22"/>
                <w:lang w:val="sr-Latn-ME"/>
              </w:rPr>
              <w:t>   Pozitivan</w:t>
            </w:r>
          </w:p>
        </w:tc>
        <w:tc>
          <w:tcPr>
            <w:tcW w:w="2272" w:type="dxa"/>
            <w:tcBorders>
              <w:top w:val="nil"/>
              <w:left w:val="nil"/>
              <w:bottom w:val="single" w:sz="8" w:space="0" w:color="auto"/>
              <w:right w:val="single" w:sz="8" w:space="0" w:color="auto"/>
            </w:tcBorders>
            <w:tcMar>
              <w:top w:w="0" w:type="dxa"/>
              <w:left w:w="108" w:type="dxa"/>
              <w:bottom w:w="0" w:type="dxa"/>
              <w:right w:w="108" w:type="dxa"/>
            </w:tcMar>
            <w:hideMark/>
          </w:tcPr>
          <w:p w:rsidR="005E6320" w:rsidRPr="00424A4B" w:rsidRDefault="005E6320" w:rsidP="0055503A">
            <w:pPr>
              <w:rPr>
                <w:sz w:val="22"/>
                <w:szCs w:val="22"/>
                <w:lang w:val="sr-Latn-ME"/>
              </w:rPr>
            </w:pPr>
            <w:r w:rsidRPr="00424A4B">
              <w:rPr>
                <w:sz w:val="22"/>
                <w:szCs w:val="22"/>
                <w:lang w:val="sr-Latn-ME"/>
              </w:rPr>
              <w:t>139/1503</w:t>
            </w:r>
          </w:p>
          <w:p w:rsidR="005E6320" w:rsidRPr="00424A4B" w:rsidRDefault="005E6320" w:rsidP="0055503A">
            <w:pPr>
              <w:rPr>
                <w:sz w:val="22"/>
                <w:szCs w:val="22"/>
                <w:lang w:val="sr-Latn-ME"/>
              </w:rPr>
            </w:pPr>
            <w:r w:rsidRPr="00424A4B">
              <w:rPr>
                <w:sz w:val="22"/>
                <w:szCs w:val="22"/>
                <w:lang w:val="sr-Latn-ME"/>
              </w:rPr>
              <w:t>(9,2%)</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5E6320" w:rsidRPr="00424A4B" w:rsidRDefault="005E6320" w:rsidP="0055503A">
            <w:pPr>
              <w:rPr>
                <w:sz w:val="22"/>
                <w:szCs w:val="22"/>
                <w:lang w:val="sr-Latn-ME"/>
              </w:rPr>
            </w:pPr>
            <w:r w:rsidRPr="00424A4B">
              <w:rPr>
                <w:sz w:val="22"/>
                <w:szCs w:val="22"/>
                <w:lang w:val="sr-Latn-ME"/>
              </w:rPr>
              <w:t>181/1502</w:t>
            </w:r>
          </w:p>
          <w:p w:rsidR="005E6320" w:rsidRPr="00424A4B" w:rsidRDefault="005E6320" w:rsidP="0055503A">
            <w:pPr>
              <w:rPr>
                <w:sz w:val="22"/>
                <w:szCs w:val="22"/>
                <w:lang w:val="sr-Latn-ME"/>
              </w:rPr>
            </w:pPr>
            <w:r w:rsidRPr="00424A4B">
              <w:rPr>
                <w:sz w:val="22"/>
                <w:szCs w:val="22"/>
                <w:lang w:val="sr-Latn-ME"/>
              </w:rPr>
              <w:t>(12,1%)</w:t>
            </w:r>
          </w:p>
        </w:tc>
        <w:tc>
          <w:tcPr>
            <w:tcW w:w="2009" w:type="dxa"/>
            <w:tcBorders>
              <w:top w:val="nil"/>
              <w:left w:val="nil"/>
              <w:bottom w:val="single" w:sz="8" w:space="0" w:color="auto"/>
              <w:right w:val="single" w:sz="8" w:space="0" w:color="auto"/>
            </w:tcBorders>
            <w:tcMar>
              <w:top w:w="0" w:type="dxa"/>
              <w:left w:w="108" w:type="dxa"/>
              <w:bottom w:w="0" w:type="dxa"/>
              <w:right w:w="108" w:type="dxa"/>
            </w:tcMar>
            <w:hideMark/>
          </w:tcPr>
          <w:p w:rsidR="005E6320" w:rsidRPr="00424A4B" w:rsidRDefault="005E6320" w:rsidP="0055503A">
            <w:pPr>
              <w:rPr>
                <w:sz w:val="22"/>
                <w:szCs w:val="22"/>
                <w:lang w:val="sr-Latn-ME"/>
              </w:rPr>
            </w:pPr>
            <w:r w:rsidRPr="00424A4B">
              <w:rPr>
                <w:sz w:val="22"/>
                <w:szCs w:val="22"/>
                <w:lang w:val="sr-Latn-ME"/>
              </w:rPr>
              <w:t>0,77</w:t>
            </w:r>
          </w:p>
          <w:p w:rsidR="005E6320" w:rsidRPr="00424A4B" w:rsidRDefault="005E6320" w:rsidP="0055503A">
            <w:pPr>
              <w:rPr>
                <w:sz w:val="22"/>
                <w:szCs w:val="22"/>
                <w:lang w:val="sr-Latn-ME"/>
              </w:rPr>
            </w:pPr>
            <w:r w:rsidRPr="00424A4B">
              <w:rPr>
                <w:sz w:val="22"/>
                <w:szCs w:val="22"/>
                <w:lang w:val="sr-Latn-ME"/>
              </w:rPr>
              <w:t>(0,62; 0,96)</w:t>
            </w:r>
          </w:p>
        </w:tc>
      </w:tr>
      <w:tr w:rsidR="005E6320" w:rsidRPr="00424A4B" w:rsidTr="00E27A7A">
        <w:trPr>
          <w:trHeight w:val="466"/>
        </w:trPr>
        <w:tc>
          <w:tcPr>
            <w:tcW w:w="25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E6320" w:rsidRPr="00424A4B" w:rsidRDefault="005E6320" w:rsidP="0055503A">
            <w:pPr>
              <w:rPr>
                <w:sz w:val="22"/>
                <w:szCs w:val="22"/>
                <w:lang w:val="sr-Latn-ME"/>
              </w:rPr>
            </w:pPr>
            <w:r w:rsidRPr="00424A4B">
              <w:rPr>
                <w:sz w:val="22"/>
                <w:szCs w:val="22"/>
                <w:lang w:val="sr-Latn-ME"/>
              </w:rPr>
              <w:t xml:space="preserve">   Negativan </w:t>
            </w:r>
          </w:p>
        </w:tc>
        <w:tc>
          <w:tcPr>
            <w:tcW w:w="2272" w:type="dxa"/>
            <w:tcBorders>
              <w:top w:val="nil"/>
              <w:left w:val="nil"/>
              <w:bottom w:val="single" w:sz="8" w:space="0" w:color="auto"/>
              <w:right w:val="single" w:sz="8" w:space="0" w:color="auto"/>
            </w:tcBorders>
            <w:tcMar>
              <w:top w:w="0" w:type="dxa"/>
              <w:left w:w="108" w:type="dxa"/>
              <w:bottom w:w="0" w:type="dxa"/>
              <w:right w:w="108" w:type="dxa"/>
            </w:tcMar>
            <w:hideMark/>
          </w:tcPr>
          <w:p w:rsidR="005E6320" w:rsidRPr="00424A4B" w:rsidRDefault="005E6320" w:rsidP="0055503A">
            <w:pPr>
              <w:rPr>
                <w:sz w:val="22"/>
                <w:szCs w:val="22"/>
                <w:lang w:val="sr-Latn-ME"/>
              </w:rPr>
            </w:pPr>
            <w:r w:rsidRPr="00424A4B">
              <w:rPr>
                <w:sz w:val="22"/>
                <w:szCs w:val="22"/>
                <w:lang w:val="sr-Latn-ME"/>
              </w:rPr>
              <w:t>32/897</w:t>
            </w:r>
          </w:p>
          <w:p w:rsidR="005E6320" w:rsidRPr="00424A4B" w:rsidRDefault="005E6320" w:rsidP="0055503A">
            <w:pPr>
              <w:rPr>
                <w:sz w:val="22"/>
                <w:szCs w:val="22"/>
                <w:lang w:val="sr-Latn-ME"/>
              </w:rPr>
            </w:pPr>
            <w:r w:rsidRPr="00424A4B">
              <w:rPr>
                <w:sz w:val="22"/>
                <w:szCs w:val="22"/>
                <w:lang w:val="sr-Latn-ME"/>
              </w:rPr>
              <w:t>(3,6%)</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5E6320" w:rsidRPr="00424A4B" w:rsidRDefault="005E6320" w:rsidP="0055503A">
            <w:pPr>
              <w:rPr>
                <w:sz w:val="22"/>
                <w:szCs w:val="22"/>
                <w:lang w:val="sr-Latn-ME"/>
              </w:rPr>
            </w:pPr>
            <w:r w:rsidRPr="00424A4B">
              <w:rPr>
                <w:sz w:val="22"/>
                <w:szCs w:val="22"/>
                <w:lang w:val="sr-Latn-ME"/>
              </w:rPr>
              <w:t>29/902</w:t>
            </w:r>
          </w:p>
          <w:p w:rsidR="005E6320" w:rsidRPr="00424A4B" w:rsidRDefault="005E6320" w:rsidP="0055503A">
            <w:pPr>
              <w:rPr>
                <w:sz w:val="22"/>
                <w:szCs w:val="22"/>
                <w:lang w:val="sr-Latn-ME"/>
              </w:rPr>
            </w:pPr>
            <w:r w:rsidRPr="00424A4B">
              <w:rPr>
                <w:sz w:val="22"/>
                <w:szCs w:val="22"/>
                <w:lang w:val="sr-Latn-ME"/>
              </w:rPr>
              <w:t>(3,2%)</w:t>
            </w:r>
          </w:p>
        </w:tc>
        <w:tc>
          <w:tcPr>
            <w:tcW w:w="2009" w:type="dxa"/>
            <w:tcBorders>
              <w:top w:val="nil"/>
              <w:left w:val="nil"/>
              <w:bottom w:val="single" w:sz="8" w:space="0" w:color="auto"/>
              <w:right w:val="single" w:sz="8" w:space="0" w:color="auto"/>
            </w:tcBorders>
            <w:tcMar>
              <w:top w:w="0" w:type="dxa"/>
              <w:left w:w="108" w:type="dxa"/>
              <w:bottom w:w="0" w:type="dxa"/>
              <w:right w:w="108" w:type="dxa"/>
            </w:tcMar>
            <w:hideMark/>
          </w:tcPr>
          <w:p w:rsidR="005E6320" w:rsidRPr="00424A4B" w:rsidRDefault="005E6320" w:rsidP="0055503A">
            <w:pPr>
              <w:rPr>
                <w:sz w:val="22"/>
                <w:szCs w:val="22"/>
                <w:lang w:val="sr-Latn-ME"/>
              </w:rPr>
            </w:pPr>
            <w:r w:rsidRPr="00424A4B">
              <w:rPr>
                <w:sz w:val="22"/>
                <w:szCs w:val="22"/>
                <w:lang w:val="sr-Latn-ME"/>
              </w:rPr>
              <w:t>1,13</w:t>
            </w:r>
          </w:p>
          <w:p w:rsidR="005E6320" w:rsidRPr="00424A4B" w:rsidRDefault="005E6320" w:rsidP="0055503A">
            <w:pPr>
              <w:rPr>
                <w:sz w:val="22"/>
                <w:szCs w:val="22"/>
                <w:lang w:val="sr-Latn-ME"/>
              </w:rPr>
            </w:pPr>
            <w:r w:rsidRPr="00424A4B">
              <w:rPr>
                <w:sz w:val="22"/>
                <w:szCs w:val="22"/>
                <w:lang w:val="sr-Latn-ME"/>
              </w:rPr>
              <w:t>(0,68; 1,86)</w:t>
            </w:r>
          </w:p>
        </w:tc>
      </w:tr>
      <w:tr w:rsidR="005E6320" w:rsidRPr="00424A4B" w:rsidTr="00E27A7A">
        <w:trPr>
          <w:trHeight w:val="225"/>
        </w:trPr>
        <w:tc>
          <w:tcPr>
            <w:tcW w:w="9205"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E6320" w:rsidRPr="00424A4B" w:rsidRDefault="005E6320" w:rsidP="0055503A">
            <w:pPr>
              <w:rPr>
                <w:b/>
                <w:bCs/>
                <w:sz w:val="22"/>
                <w:szCs w:val="22"/>
                <w:lang w:val="sr-Latn-ME"/>
              </w:rPr>
            </w:pPr>
            <w:r w:rsidRPr="00424A4B">
              <w:rPr>
                <w:b/>
                <w:bCs/>
                <w:sz w:val="22"/>
                <w:szCs w:val="22"/>
                <w:lang w:val="sr-Latn-ME"/>
              </w:rPr>
              <w:lastRenderedPageBreak/>
              <w:t>Status hormonskih receptora</w:t>
            </w:r>
          </w:p>
        </w:tc>
      </w:tr>
      <w:tr w:rsidR="005E6320" w:rsidRPr="00424A4B" w:rsidTr="00E27A7A">
        <w:trPr>
          <w:trHeight w:val="535"/>
        </w:trPr>
        <w:tc>
          <w:tcPr>
            <w:tcW w:w="25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E6320" w:rsidRPr="00424A4B" w:rsidRDefault="005E6320" w:rsidP="0055503A">
            <w:pPr>
              <w:rPr>
                <w:sz w:val="22"/>
                <w:szCs w:val="22"/>
                <w:lang w:val="sr-Latn-ME"/>
              </w:rPr>
            </w:pPr>
            <w:r w:rsidRPr="00424A4B">
              <w:rPr>
                <w:sz w:val="22"/>
                <w:szCs w:val="22"/>
                <w:lang w:val="sr-Latn-ME"/>
              </w:rPr>
              <w:t>   Negativan</w:t>
            </w:r>
          </w:p>
        </w:tc>
        <w:tc>
          <w:tcPr>
            <w:tcW w:w="2272" w:type="dxa"/>
            <w:tcBorders>
              <w:top w:val="nil"/>
              <w:left w:val="nil"/>
              <w:bottom w:val="single" w:sz="8" w:space="0" w:color="auto"/>
              <w:right w:val="single" w:sz="8" w:space="0" w:color="auto"/>
            </w:tcBorders>
            <w:tcMar>
              <w:top w:w="0" w:type="dxa"/>
              <w:left w:w="108" w:type="dxa"/>
              <w:bottom w:w="0" w:type="dxa"/>
              <w:right w:w="108" w:type="dxa"/>
            </w:tcMar>
            <w:hideMark/>
          </w:tcPr>
          <w:p w:rsidR="005E6320" w:rsidRPr="00424A4B" w:rsidRDefault="005E6320" w:rsidP="0055503A">
            <w:pPr>
              <w:rPr>
                <w:sz w:val="22"/>
                <w:szCs w:val="22"/>
                <w:lang w:val="sr-Latn-ME"/>
              </w:rPr>
            </w:pPr>
            <w:r w:rsidRPr="00424A4B">
              <w:rPr>
                <w:sz w:val="22"/>
                <w:szCs w:val="22"/>
                <w:lang w:val="sr-Latn-ME"/>
              </w:rPr>
              <w:t>71/864</w:t>
            </w:r>
          </w:p>
          <w:p w:rsidR="005E6320" w:rsidRPr="00424A4B" w:rsidRDefault="005E6320" w:rsidP="0055503A">
            <w:pPr>
              <w:rPr>
                <w:sz w:val="22"/>
                <w:szCs w:val="22"/>
                <w:lang w:val="sr-Latn-ME"/>
              </w:rPr>
            </w:pPr>
            <w:r w:rsidRPr="00424A4B">
              <w:rPr>
                <w:sz w:val="22"/>
                <w:szCs w:val="22"/>
                <w:lang w:val="sr-Latn-ME"/>
              </w:rPr>
              <w:t>(8,2%)</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5E6320" w:rsidRPr="00424A4B" w:rsidRDefault="005E6320" w:rsidP="0055503A">
            <w:pPr>
              <w:rPr>
                <w:sz w:val="22"/>
                <w:szCs w:val="22"/>
                <w:lang w:val="sr-Latn-ME"/>
              </w:rPr>
            </w:pPr>
            <w:r w:rsidRPr="00424A4B">
              <w:rPr>
                <w:sz w:val="22"/>
                <w:szCs w:val="22"/>
                <w:lang w:val="sr-Latn-ME"/>
              </w:rPr>
              <w:t>91/858</w:t>
            </w:r>
          </w:p>
          <w:p w:rsidR="005E6320" w:rsidRPr="00424A4B" w:rsidRDefault="005E6320" w:rsidP="0055503A">
            <w:pPr>
              <w:rPr>
                <w:sz w:val="22"/>
                <w:szCs w:val="22"/>
                <w:lang w:val="sr-Latn-ME"/>
              </w:rPr>
            </w:pPr>
            <w:r w:rsidRPr="00424A4B">
              <w:rPr>
                <w:sz w:val="22"/>
                <w:szCs w:val="22"/>
                <w:lang w:val="sr-Latn-ME"/>
              </w:rPr>
              <w:t>(10,6%)</w:t>
            </w:r>
          </w:p>
        </w:tc>
        <w:tc>
          <w:tcPr>
            <w:tcW w:w="2009" w:type="dxa"/>
            <w:tcBorders>
              <w:top w:val="nil"/>
              <w:left w:val="nil"/>
              <w:bottom w:val="single" w:sz="8" w:space="0" w:color="auto"/>
              <w:right w:val="single" w:sz="8" w:space="0" w:color="auto"/>
            </w:tcBorders>
            <w:tcMar>
              <w:top w:w="0" w:type="dxa"/>
              <w:left w:w="108" w:type="dxa"/>
              <w:bottom w:w="0" w:type="dxa"/>
              <w:right w:w="108" w:type="dxa"/>
            </w:tcMar>
            <w:hideMark/>
          </w:tcPr>
          <w:p w:rsidR="005E6320" w:rsidRPr="00424A4B" w:rsidRDefault="005E6320" w:rsidP="0055503A">
            <w:pPr>
              <w:rPr>
                <w:sz w:val="22"/>
                <w:szCs w:val="22"/>
                <w:lang w:val="sr-Latn-ME"/>
              </w:rPr>
            </w:pPr>
            <w:r w:rsidRPr="00424A4B">
              <w:rPr>
                <w:sz w:val="22"/>
                <w:szCs w:val="22"/>
                <w:lang w:val="sr-Latn-ME"/>
              </w:rPr>
              <w:t>0,76</w:t>
            </w:r>
          </w:p>
          <w:p w:rsidR="005E6320" w:rsidRPr="00424A4B" w:rsidRDefault="005E6320" w:rsidP="0055503A">
            <w:pPr>
              <w:rPr>
                <w:sz w:val="22"/>
                <w:szCs w:val="22"/>
                <w:lang w:val="sr-Latn-ME"/>
              </w:rPr>
            </w:pPr>
            <w:r w:rsidRPr="00424A4B">
              <w:rPr>
                <w:sz w:val="22"/>
                <w:szCs w:val="22"/>
                <w:lang w:val="sr-Latn-ME"/>
              </w:rPr>
              <w:t>(0,56; 1,04)</w:t>
            </w:r>
          </w:p>
        </w:tc>
      </w:tr>
      <w:tr w:rsidR="005E6320" w:rsidRPr="00424A4B" w:rsidTr="00E27A7A">
        <w:trPr>
          <w:trHeight w:val="535"/>
        </w:trPr>
        <w:tc>
          <w:tcPr>
            <w:tcW w:w="25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E6320" w:rsidRPr="00424A4B" w:rsidRDefault="005E6320" w:rsidP="0055503A">
            <w:pPr>
              <w:rPr>
                <w:sz w:val="22"/>
                <w:szCs w:val="22"/>
                <w:lang w:val="sr-Latn-ME"/>
              </w:rPr>
            </w:pPr>
            <w:r w:rsidRPr="00424A4B">
              <w:rPr>
                <w:sz w:val="22"/>
                <w:szCs w:val="22"/>
                <w:lang w:val="sr-Latn-ME"/>
              </w:rPr>
              <w:t>   Pozitivan</w:t>
            </w:r>
          </w:p>
        </w:tc>
        <w:tc>
          <w:tcPr>
            <w:tcW w:w="2272" w:type="dxa"/>
            <w:tcBorders>
              <w:top w:val="nil"/>
              <w:left w:val="nil"/>
              <w:bottom w:val="single" w:sz="8" w:space="0" w:color="auto"/>
              <w:right w:val="single" w:sz="8" w:space="0" w:color="auto"/>
            </w:tcBorders>
            <w:tcMar>
              <w:top w:w="0" w:type="dxa"/>
              <w:left w:w="108" w:type="dxa"/>
              <w:bottom w:w="0" w:type="dxa"/>
              <w:right w:w="108" w:type="dxa"/>
            </w:tcMar>
            <w:hideMark/>
          </w:tcPr>
          <w:p w:rsidR="005E6320" w:rsidRPr="00424A4B" w:rsidRDefault="005E6320" w:rsidP="0055503A">
            <w:pPr>
              <w:rPr>
                <w:sz w:val="22"/>
                <w:szCs w:val="22"/>
                <w:lang w:val="sr-Latn-ME"/>
              </w:rPr>
            </w:pPr>
            <w:r w:rsidRPr="00424A4B">
              <w:rPr>
                <w:sz w:val="22"/>
                <w:szCs w:val="22"/>
                <w:lang w:val="sr-Latn-ME"/>
              </w:rPr>
              <w:t>100/1536</w:t>
            </w:r>
          </w:p>
          <w:p w:rsidR="005E6320" w:rsidRPr="00424A4B" w:rsidRDefault="005E6320" w:rsidP="0055503A">
            <w:pPr>
              <w:rPr>
                <w:sz w:val="22"/>
                <w:szCs w:val="22"/>
                <w:lang w:val="sr-Latn-ME"/>
              </w:rPr>
            </w:pPr>
            <w:r w:rsidRPr="00424A4B">
              <w:rPr>
                <w:sz w:val="22"/>
                <w:szCs w:val="22"/>
                <w:lang w:val="sr-Latn-ME"/>
              </w:rPr>
              <w:t>(6,5%)</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5E6320" w:rsidRPr="00424A4B" w:rsidRDefault="005E6320" w:rsidP="0055503A">
            <w:pPr>
              <w:rPr>
                <w:sz w:val="22"/>
                <w:szCs w:val="22"/>
                <w:lang w:val="sr-Latn-ME"/>
              </w:rPr>
            </w:pPr>
            <w:r w:rsidRPr="00424A4B">
              <w:rPr>
                <w:sz w:val="22"/>
                <w:szCs w:val="22"/>
                <w:lang w:val="sr-Latn-ME"/>
              </w:rPr>
              <w:t>119/1546</w:t>
            </w:r>
          </w:p>
          <w:p w:rsidR="005E6320" w:rsidRPr="00424A4B" w:rsidRDefault="005E6320" w:rsidP="0055503A">
            <w:pPr>
              <w:rPr>
                <w:sz w:val="22"/>
                <w:szCs w:val="22"/>
                <w:lang w:val="sr-Latn-ME"/>
              </w:rPr>
            </w:pPr>
            <w:r w:rsidRPr="00424A4B">
              <w:rPr>
                <w:sz w:val="22"/>
                <w:szCs w:val="22"/>
                <w:lang w:val="sr-Latn-ME"/>
              </w:rPr>
              <w:t>(7,7%)</w:t>
            </w:r>
          </w:p>
        </w:tc>
        <w:tc>
          <w:tcPr>
            <w:tcW w:w="2009" w:type="dxa"/>
            <w:tcBorders>
              <w:top w:val="nil"/>
              <w:left w:val="nil"/>
              <w:bottom w:val="single" w:sz="8" w:space="0" w:color="auto"/>
              <w:right w:val="single" w:sz="8" w:space="0" w:color="auto"/>
            </w:tcBorders>
            <w:tcMar>
              <w:top w:w="0" w:type="dxa"/>
              <w:left w:w="108" w:type="dxa"/>
              <w:bottom w:w="0" w:type="dxa"/>
              <w:right w:w="108" w:type="dxa"/>
            </w:tcMar>
            <w:hideMark/>
          </w:tcPr>
          <w:p w:rsidR="005E6320" w:rsidRPr="00424A4B" w:rsidRDefault="005E6320" w:rsidP="0055503A">
            <w:pPr>
              <w:rPr>
                <w:sz w:val="22"/>
                <w:szCs w:val="22"/>
                <w:lang w:val="sr-Latn-ME"/>
              </w:rPr>
            </w:pPr>
            <w:r w:rsidRPr="00424A4B">
              <w:rPr>
                <w:sz w:val="22"/>
                <w:szCs w:val="22"/>
                <w:lang w:val="sr-Latn-ME"/>
              </w:rPr>
              <w:t>0,86</w:t>
            </w:r>
          </w:p>
          <w:p w:rsidR="005E6320" w:rsidRPr="00424A4B" w:rsidRDefault="005E6320" w:rsidP="0055503A">
            <w:pPr>
              <w:rPr>
                <w:sz w:val="22"/>
                <w:szCs w:val="22"/>
                <w:lang w:val="sr-Latn-ME"/>
              </w:rPr>
            </w:pPr>
            <w:r w:rsidRPr="00424A4B">
              <w:rPr>
                <w:sz w:val="22"/>
                <w:szCs w:val="22"/>
                <w:lang w:val="sr-Latn-ME"/>
              </w:rPr>
              <w:t>(0,66; 1,13)</w:t>
            </w:r>
          </w:p>
        </w:tc>
      </w:tr>
    </w:tbl>
    <w:p w:rsidR="005E6320" w:rsidRPr="00424A4B" w:rsidRDefault="005E6320" w:rsidP="0055503A">
      <w:pPr>
        <w:jc w:val="both"/>
        <w:rPr>
          <w:b/>
          <w:sz w:val="22"/>
          <w:szCs w:val="22"/>
          <w:lang w:val="sr-Latn-ME"/>
        </w:rPr>
      </w:pPr>
      <w:r w:rsidRPr="00424A4B">
        <w:rPr>
          <w:sz w:val="22"/>
          <w:szCs w:val="22"/>
          <w:vertAlign w:val="superscript"/>
          <w:lang w:val="sr-Latn-ME"/>
        </w:rPr>
        <w:t>1</w:t>
      </w:r>
      <w:r w:rsidRPr="00424A4B">
        <w:rPr>
          <w:sz w:val="22"/>
          <w:szCs w:val="22"/>
          <w:lang w:val="sr-Latn-ME"/>
        </w:rPr>
        <w:t xml:space="preserve"> Budući da se radi o analizama unaprijed određenih podgrupa bez prilagođavanja za višestruka poređenja, rezultati se smatraju opisnima.</w:t>
      </w:r>
    </w:p>
    <w:p w:rsidR="00CD41AC" w:rsidRPr="00424A4B" w:rsidRDefault="00CD41AC" w:rsidP="0055503A">
      <w:pPr>
        <w:jc w:val="both"/>
        <w:rPr>
          <w:sz w:val="22"/>
          <w:szCs w:val="22"/>
          <w:lang w:val="sr-Latn-ME"/>
        </w:rPr>
      </w:pPr>
    </w:p>
    <w:p w:rsidR="00CD41AC" w:rsidRPr="00424A4B" w:rsidRDefault="005E6320" w:rsidP="0055503A">
      <w:pPr>
        <w:jc w:val="both"/>
        <w:rPr>
          <w:sz w:val="22"/>
          <w:szCs w:val="22"/>
          <w:lang w:val="sr-Latn-ME"/>
        </w:rPr>
      </w:pPr>
      <w:r w:rsidRPr="00424A4B">
        <w:rPr>
          <w:sz w:val="22"/>
          <w:szCs w:val="22"/>
          <w:lang w:val="sr-Latn-ME"/>
        </w:rPr>
        <w:t>Procijenjena stopa IDFS</w:t>
      </w:r>
      <w:r w:rsidRPr="00424A4B">
        <w:rPr>
          <w:sz w:val="22"/>
          <w:szCs w:val="22"/>
          <w:lang w:val="sr-Latn-ME"/>
        </w:rPr>
        <w:noBreakHyphen/>
        <w:t xml:space="preserve">a u podgrupi s pozitivnim nalazom zahvaćenosti limfnih čvorova iznosila je nakon 3 godine 92,0% kod pacijenata liječenih lijekom </w:t>
      </w:r>
      <w:r w:rsidR="009C77FA" w:rsidRPr="00424A4B">
        <w:rPr>
          <w:sz w:val="22"/>
          <w:szCs w:val="22"/>
          <w:lang w:val="sr-Latn-ME"/>
        </w:rPr>
        <w:t>Perjeta</w:t>
      </w:r>
      <w:r w:rsidRPr="00424A4B">
        <w:rPr>
          <w:sz w:val="22"/>
          <w:szCs w:val="22"/>
          <w:lang w:val="sr-Latn-ME"/>
        </w:rPr>
        <w:t xml:space="preserve"> u odnosu na 90,2% kod onih koji su primali placebo, a nakon 4 godine 89,9% u odnosu na 86,7%. Procijenjena stopa IDFS</w:t>
      </w:r>
      <w:r w:rsidRPr="00424A4B">
        <w:rPr>
          <w:sz w:val="22"/>
          <w:szCs w:val="22"/>
          <w:lang w:val="sr-Latn-ME"/>
        </w:rPr>
        <w:noBreakHyphen/>
        <w:t xml:space="preserve">a u podgrupi s negativnim nalazom zahvaćenosti limfnih čvorova iznosila je 97,5% kod pacijenata liječenih lijekom </w:t>
      </w:r>
      <w:r w:rsidR="009C77FA" w:rsidRPr="00424A4B">
        <w:rPr>
          <w:sz w:val="22"/>
          <w:szCs w:val="22"/>
          <w:lang w:val="sr-Latn-ME"/>
        </w:rPr>
        <w:t>Perjeta</w:t>
      </w:r>
      <w:r w:rsidRPr="00424A4B">
        <w:rPr>
          <w:sz w:val="22"/>
          <w:szCs w:val="22"/>
          <w:lang w:val="sr-Latn-ME"/>
        </w:rPr>
        <w:t xml:space="preserve"> u odnosu na 98,4% kod onih koji su primali placebo nakon 3 godine, a nakon 4 godine 96,2% u odnosu na 96,7%. Procijenjena stopa IDFS</w:t>
      </w:r>
      <w:r w:rsidRPr="00424A4B">
        <w:rPr>
          <w:sz w:val="22"/>
          <w:szCs w:val="22"/>
          <w:lang w:val="sr-Latn-ME"/>
        </w:rPr>
        <w:noBreakHyphen/>
        <w:t xml:space="preserve">a u podgrupi negativnoj na hormonske receptore iznosila je 92,8% kod pacijenata liječenih lijekom </w:t>
      </w:r>
      <w:r w:rsidR="009C77FA" w:rsidRPr="00424A4B">
        <w:rPr>
          <w:sz w:val="22"/>
          <w:szCs w:val="22"/>
          <w:lang w:val="sr-Latn-ME"/>
        </w:rPr>
        <w:t>Perjeta</w:t>
      </w:r>
      <w:r w:rsidRPr="00424A4B">
        <w:rPr>
          <w:sz w:val="22"/>
          <w:szCs w:val="22"/>
          <w:lang w:val="sr-Latn-ME"/>
        </w:rPr>
        <w:t xml:space="preserve"> u odnosu na 91,2% kod onih koji su primali placebo nakon 3 godine, a nakon 4 godine 91,0% u odnosu na 88,7%. Procijenjena stopa IDFS</w:t>
      </w:r>
      <w:r w:rsidRPr="00424A4B">
        <w:rPr>
          <w:sz w:val="22"/>
          <w:szCs w:val="22"/>
          <w:lang w:val="sr-Latn-ME"/>
        </w:rPr>
        <w:noBreakHyphen/>
        <w:t xml:space="preserve">a u podgrupi pozitivnoj na hormonske receptore iznosila je 94,8% kod pacijenata liječenih lijekom </w:t>
      </w:r>
      <w:r w:rsidR="009C77FA" w:rsidRPr="00424A4B">
        <w:rPr>
          <w:sz w:val="22"/>
          <w:szCs w:val="22"/>
          <w:lang w:val="sr-Latn-ME"/>
        </w:rPr>
        <w:t>Perjeta</w:t>
      </w:r>
      <w:r w:rsidRPr="00424A4B">
        <w:rPr>
          <w:sz w:val="22"/>
          <w:szCs w:val="22"/>
          <w:lang w:val="sr-Latn-ME"/>
        </w:rPr>
        <w:t xml:space="preserve"> u odnosu na 94,4% kod onih koji su primali placebo nakon 3 godine, a nakon 4 godine 93,0% u odnosu na 91,6%.</w:t>
      </w:r>
    </w:p>
    <w:p w:rsidR="005E6320" w:rsidRPr="00424A4B" w:rsidRDefault="005E6320" w:rsidP="0055503A">
      <w:pPr>
        <w:jc w:val="both"/>
        <w:rPr>
          <w:b/>
          <w:sz w:val="22"/>
          <w:szCs w:val="22"/>
          <w:u w:val="single"/>
          <w:lang w:val="sr-Latn-ME"/>
        </w:rPr>
      </w:pPr>
      <w:r w:rsidRPr="00424A4B">
        <w:rPr>
          <w:sz w:val="22"/>
          <w:szCs w:val="22"/>
          <w:lang w:val="sr-Latn-ME"/>
        </w:rPr>
        <w:t xml:space="preserve"> </w:t>
      </w:r>
    </w:p>
    <w:p w:rsidR="005E6320" w:rsidRPr="00424A4B" w:rsidRDefault="005E6320" w:rsidP="0055503A">
      <w:pPr>
        <w:jc w:val="both"/>
        <w:rPr>
          <w:sz w:val="22"/>
          <w:szCs w:val="22"/>
          <w:u w:val="single"/>
          <w:lang w:val="sr-Latn-ME"/>
        </w:rPr>
      </w:pPr>
      <w:r w:rsidRPr="00424A4B">
        <w:rPr>
          <w:sz w:val="22"/>
          <w:szCs w:val="22"/>
          <w:u w:val="single"/>
          <w:lang w:val="sr-Latn-ME"/>
        </w:rPr>
        <w:t xml:space="preserve">Ishodi koje su prijavljivali pacijenti </w:t>
      </w:r>
    </w:p>
    <w:p w:rsidR="00CD41AC" w:rsidRPr="00424A4B" w:rsidRDefault="00CD41AC" w:rsidP="0055503A">
      <w:pPr>
        <w:jc w:val="both"/>
        <w:rPr>
          <w:sz w:val="22"/>
          <w:szCs w:val="22"/>
          <w:u w:val="single"/>
          <w:lang w:val="sr-Latn-ME"/>
        </w:rPr>
      </w:pPr>
    </w:p>
    <w:p w:rsidR="005E6320" w:rsidRPr="00424A4B" w:rsidRDefault="005E6320" w:rsidP="0055503A">
      <w:pPr>
        <w:jc w:val="both"/>
        <w:rPr>
          <w:sz w:val="22"/>
          <w:szCs w:val="22"/>
          <w:lang w:val="sr-Latn-ME"/>
        </w:rPr>
      </w:pPr>
      <w:r w:rsidRPr="00424A4B">
        <w:rPr>
          <w:sz w:val="22"/>
          <w:szCs w:val="22"/>
          <w:lang w:val="sr-Latn-ME"/>
        </w:rPr>
        <w:t xml:space="preserve">Sekundarni </w:t>
      </w:r>
      <w:r w:rsidR="00336304" w:rsidRPr="00424A4B">
        <w:rPr>
          <w:sz w:val="22"/>
          <w:szCs w:val="22"/>
          <w:lang w:val="sr-Latn-ME"/>
        </w:rPr>
        <w:t>parametri praćenja</w:t>
      </w:r>
      <w:r w:rsidRPr="00424A4B">
        <w:rPr>
          <w:sz w:val="22"/>
          <w:szCs w:val="22"/>
          <w:lang w:val="sr-Latn-ME"/>
        </w:rPr>
        <w:t xml:space="preserve"> ispitivanja uključivale su pacijentovu ocjenu opšteg zdravstvenog stanja, društvene i tjelesne funkcije kao i liječenje simptoma uz pomoć upitnika EORTC QLQ</w:t>
      </w:r>
      <w:r w:rsidRPr="00424A4B">
        <w:rPr>
          <w:sz w:val="22"/>
          <w:szCs w:val="22"/>
          <w:lang w:val="sr-Latn-ME"/>
        </w:rPr>
        <w:noBreakHyphen/>
        <w:t>C30 i EORTC QLQ</w:t>
      </w:r>
      <w:r w:rsidRPr="00424A4B">
        <w:rPr>
          <w:sz w:val="22"/>
          <w:szCs w:val="22"/>
          <w:lang w:val="sr-Latn-ME"/>
        </w:rPr>
        <w:noBreakHyphen/>
        <w:t xml:space="preserve">BR23. U analizama ishoda koje su prijavljivali </w:t>
      </w:r>
      <w:r w:rsidR="00336304" w:rsidRPr="00424A4B">
        <w:rPr>
          <w:sz w:val="22"/>
          <w:szCs w:val="22"/>
          <w:lang w:val="sr-Latn-ME"/>
        </w:rPr>
        <w:t>pacijenti</w:t>
      </w:r>
      <w:r w:rsidRPr="00424A4B">
        <w:rPr>
          <w:sz w:val="22"/>
          <w:szCs w:val="22"/>
          <w:lang w:val="sr-Latn-ME"/>
        </w:rPr>
        <w:t xml:space="preserve"> klinički značajnom smatrala se razlika od 10 bodova.</w:t>
      </w:r>
    </w:p>
    <w:p w:rsidR="00CD41AC" w:rsidRPr="00424A4B" w:rsidRDefault="00CD41AC"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U obje liječene grupe zabilježena je klinički značajna promjena pacijentove ocjene tjelesne funkcije, opšteg zdravstvenog stanja i dijareje tijekom hemoterapije. U tom je trenutku srednja vrijednost smanjenja početne ocjene za tjelesnu funkciju iznosila </w:t>
      </w:r>
      <w:r w:rsidRPr="00424A4B">
        <w:rPr>
          <w:sz w:val="22"/>
          <w:szCs w:val="22"/>
          <w:lang w:val="sr-Latn-ME"/>
        </w:rPr>
        <w:noBreakHyphen/>
        <w:t>10,7 (95% CI: </w:t>
      </w:r>
      <w:r w:rsidRPr="00424A4B">
        <w:rPr>
          <w:sz w:val="22"/>
          <w:szCs w:val="22"/>
          <w:lang w:val="sr-Latn-ME"/>
        </w:rPr>
        <w:noBreakHyphen/>
        <w:t xml:space="preserve">11,4; </w:t>
      </w:r>
      <w:r w:rsidRPr="00424A4B">
        <w:rPr>
          <w:sz w:val="22"/>
          <w:szCs w:val="22"/>
          <w:lang w:val="sr-Latn-ME"/>
        </w:rPr>
        <w:noBreakHyphen/>
        <w:t xml:space="preserve">10,0) u grupi liječenoj lijekom </w:t>
      </w:r>
      <w:r w:rsidR="009C77FA" w:rsidRPr="00424A4B">
        <w:rPr>
          <w:sz w:val="22"/>
          <w:szCs w:val="22"/>
          <w:lang w:val="sr-Latn-ME"/>
        </w:rPr>
        <w:t>Perjeta</w:t>
      </w:r>
      <w:r w:rsidRPr="00424A4B">
        <w:rPr>
          <w:sz w:val="22"/>
          <w:szCs w:val="22"/>
          <w:lang w:val="sr-Latn-ME"/>
        </w:rPr>
        <w:t xml:space="preserve"> te </w:t>
      </w:r>
      <w:r w:rsidRPr="00424A4B">
        <w:rPr>
          <w:sz w:val="22"/>
          <w:szCs w:val="22"/>
          <w:lang w:val="sr-Latn-ME"/>
        </w:rPr>
        <w:noBreakHyphen/>
        <w:t xml:space="preserve">10,6 (95% CI: </w:t>
      </w:r>
      <w:r w:rsidRPr="00424A4B">
        <w:rPr>
          <w:sz w:val="22"/>
          <w:szCs w:val="22"/>
          <w:lang w:val="sr-Latn-ME"/>
        </w:rPr>
        <w:noBreakHyphen/>
        <w:t xml:space="preserve">11,4; </w:t>
      </w:r>
      <w:r w:rsidRPr="00424A4B">
        <w:rPr>
          <w:sz w:val="22"/>
          <w:szCs w:val="22"/>
          <w:lang w:val="sr-Latn-ME"/>
        </w:rPr>
        <w:noBreakHyphen/>
        <w:t xml:space="preserve">9,9) u grupi koja je primala placebo, dok je za opšte zdravstveno stanje iznosila </w:t>
      </w:r>
      <w:r w:rsidRPr="00424A4B">
        <w:rPr>
          <w:sz w:val="22"/>
          <w:szCs w:val="22"/>
          <w:lang w:val="sr-Latn-ME"/>
        </w:rPr>
        <w:noBreakHyphen/>
        <w:t xml:space="preserve">11,2 (95% CI: </w:t>
      </w:r>
      <w:r w:rsidRPr="00424A4B">
        <w:rPr>
          <w:sz w:val="22"/>
          <w:szCs w:val="22"/>
          <w:lang w:val="sr-Latn-ME"/>
        </w:rPr>
        <w:noBreakHyphen/>
        <w:t xml:space="preserve">12,2; </w:t>
      </w:r>
      <w:r w:rsidRPr="00424A4B">
        <w:rPr>
          <w:sz w:val="22"/>
          <w:szCs w:val="22"/>
          <w:lang w:val="sr-Latn-ME"/>
        </w:rPr>
        <w:noBreakHyphen/>
        <w:t xml:space="preserve">10,2) u grupi liječenoj lijekom </w:t>
      </w:r>
      <w:r w:rsidR="009C77FA" w:rsidRPr="00424A4B">
        <w:rPr>
          <w:sz w:val="22"/>
          <w:szCs w:val="22"/>
          <w:lang w:val="sr-Latn-ME"/>
        </w:rPr>
        <w:t>Perjeta</w:t>
      </w:r>
      <w:r w:rsidRPr="00424A4B">
        <w:rPr>
          <w:sz w:val="22"/>
          <w:szCs w:val="22"/>
          <w:lang w:val="sr-Latn-ME"/>
        </w:rPr>
        <w:t xml:space="preserve"> te </w:t>
      </w:r>
      <w:r w:rsidRPr="00424A4B">
        <w:rPr>
          <w:sz w:val="22"/>
          <w:szCs w:val="22"/>
          <w:lang w:val="sr-Latn-ME"/>
        </w:rPr>
        <w:noBreakHyphen/>
        <w:t xml:space="preserve">10,2 (95% CI: </w:t>
      </w:r>
      <w:r w:rsidRPr="00424A4B">
        <w:rPr>
          <w:sz w:val="22"/>
          <w:szCs w:val="22"/>
          <w:lang w:val="sr-Latn-ME"/>
        </w:rPr>
        <w:noBreakHyphen/>
        <w:t xml:space="preserve">11,1; </w:t>
      </w:r>
      <w:r w:rsidRPr="00424A4B">
        <w:rPr>
          <w:sz w:val="22"/>
          <w:szCs w:val="22"/>
          <w:lang w:val="sr-Latn-ME"/>
        </w:rPr>
        <w:noBreakHyphen/>
        <w:t xml:space="preserve">9,2) u grupi koja je primala placebo. Ocjena za simptome dijareje povećala se na +22,3 (95% CI: 21,0; 23,6) u grupi liječenoj lijekom </w:t>
      </w:r>
      <w:r w:rsidR="009C77FA" w:rsidRPr="00424A4B">
        <w:rPr>
          <w:sz w:val="22"/>
          <w:szCs w:val="22"/>
          <w:lang w:val="sr-Latn-ME"/>
        </w:rPr>
        <w:t>Perjeta</w:t>
      </w:r>
      <w:r w:rsidRPr="00424A4B">
        <w:rPr>
          <w:sz w:val="22"/>
          <w:szCs w:val="22"/>
          <w:lang w:val="sr-Latn-ME"/>
        </w:rPr>
        <w:t xml:space="preserve"> u odnosu na +9,2 (95% CI: 8,2; 10,2) među pacijentima koji su primali placebo. </w:t>
      </w:r>
    </w:p>
    <w:p w:rsidR="00CD41AC" w:rsidRPr="00424A4B" w:rsidRDefault="00CD41AC"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Nakon toga su se tokom ciljane terapije ocjene za tjelesnu funkciju i opšte zdravstveno stanje u obje grupe vratile na početne vrijednosti. Nakon terapije usmjerene na HER2 ocjena simptoma dijareje u grupi liječenoj lijekom </w:t>
      </w:r>
      <w:r w:rsidR="009C77FA" w:rsidRPr="00424A4B">
        <w:rPr>
          <w:sz w:val="22"/>
          <w:szCs w:val="22"/>
          <w:lang w:val="sr-Latn-ME"/>
        </w:rPr>
        <w:t>Perjeta</w:t>
      </w:r>
      <w:r w:rsidRPr="00424A4B">
        <w:rPr>
          <w:sz w:val="22"/>
          <w:szCs w:val="22"/>
          <w:lang w:val="sr-Latn-ME"/>
        </w:rPr>
        <w:t xml:space="preserve"> vratila se na početnu vrijednost. Dodavanje lijeka </w:t>
      </w:r>
      <w:r w:rsidR="009C77FA" w:rsidRPr="00424A4B">
        <w:rPr>
          <w:sz w:val="22"/>
          <w:szCs w:val="22"/>
          <w:lang w:val="sr-Latn-ME"/>
        </w:rPr>
        <w:t>Perjeta</w:t>
      </w:r>
      <w:r w:rsidRPr="00424A4B">
        <w:rPr>
          <w:sz w:val="22"/>
          <w:szCs w:val="22"/>
          <w:lang w:val="sr-Latn-ME"/>
        </w:rPr>
        <w:t xml:space="preserve"> trastuzumabu plus hemoterapiji nije uticalo na sveukupno društveno funkcionisanje pacijenata tokom ispitivanja.</w:t>
      </w:r>
    </w:p>
    <w:p w:rsidR="00CD41AC" w:rsidRPr="00424A4B" w:rsidRDefault="00CD41AC" w:rsidP="0055503A">
      <w:pPr>
        <w:jc w:val="both"/>
        <w:rPr>
          <w:sz w:val="22"/>
          <w:szCs w:val="22"/>
          <w:lang w:val="sr-Latn-ME"/>
        </w:rPr>
      </w:pPr>
    </w:p>
    <w:p w:rsidR="005E6320" w:rsidRPr="00424A4B" w:rsidRDefault="005E6320" w:rsidP="0055503A">
      <w:pPr>
        <w:jc w:val="both"/>
        <w:rPr>
          <w:sz w:val="22"/>
          <w:szCs w:val="22"/>
          <w:u w:val="single"/>
          <w:lang w:val="sr-Latn-ME"/>
        </w:rPr>
      </w:pPr>
      <w:r w:rsidRPr="00424A4B">
        <w:rPr>
          <w:sz w:val="22"/>
          <w:szCs w:val="22"/>
          <w:u w:val="single"/>
          <w:lang w:val="sr-Latn-ME"/>
        </w:rPr>
        <w:t>Imunogenost</w:t>
      </w:r>
    </w:p>
    <w:p w:rsidR="00CD41AC" w:rsidRPr="00424A4B" w:rsidRDefault="00CD41AC" w:rsidP="0055503A">
      <w:pPr>
        <w:jc w:val="both"/>
        <w:rPr>
          <w:sz w:val="22"/>
          <w:szCs w:val="22"/>
          <w:u w:val="single"/>
          <w:lang w:val="sr-Latn-ME"/>
        </w:rPr>
      </w:pPr>
    </w:p>
    <w:p w:rsidR="005E6320" w:rsidRPr="00424A4B" w:rsidRDefault="005E6320" w:rsidP="0055503A">
      <w:pPr>
        <w:jc w:val="both"/>
        <w:rPr>
          <w:sz w:val="22"/>
          <w:szCs w:val="22"/>
          <w:lang w:val="sr-Latn-ME"/>
        </w:rPr>
      </w:pPr>
      <w:r w:rsidRPr="00424A4B">
        <w:rPr>
          <w:sz w:val="22"/>
          <w:szCs w:val="22"/>
          <w:lang w:val="sr-Latn-ME"/>
        </w:rPr>
        <w:t>U pivotalnom ispitivanju CLEOPATRA pacijenti su u više vremenskih tačaka testirani kako bi se utvrdil</w:t>
      </w:r>
      <w:r w:rsidR="00336304" w:rsidRPr="00424A4B">
        <w:rPr>
          <w:sz w:val="22"/>
          <w:szCs w:val="22"/>
          <w:lang w:val="sr-Latn-ME"/>
        </w:rPr>
        <w:t>o prisustvo</w:t>
      </w:r>
      <w:r w:rsidRPr="00424A4B">
        <w:rPr>
          <w:sz w:val="22"/>
          <w:szCs w:val="22"/>
          <w:lang w:val="sr-Latn-ME"/>
        </w:rPr>
        <w:t xml:space="preserve"> antitijela na lijek </w:t>
      </w:r>
      <w:r w:rsidR="009C77FA" w:rsidRPr="00424A4B">
        <w:rPr>
          <w:sz w:val="22"/>
          <w:szCs w:val="22"/>
          <w:lang w:val="sr-Latn-ME"/>
        </w:rPr>
        <w:t>Perjeta</w:t>
      </w:r>
      <w:r w:rsidRPr="00424A4B">
        <w:rPr>
          <w:sz w:val="22"/>
          <w:szCs w:val="22"/>
          <w:lang w:val="sr-Latn-ME"/>
        </w:rPr>
        <w:t xml:space="preserve">. Utvrđeno je da je 3,3% (13/389) pacijenata liječenih lijekom </w:t>
      </w:r>
      <w:r w:rsidR="009C77FA" w:rsidRPr="00424A4B">
        <w:rPr>
          <w:sz w:val="22"/>
          <w:szCs w:val="22"/>
          <w:lang w:val="sr-Latn-ME"/>
        </w:rPr>
        <w:t>Perjeta</w:t>
      </w:r>
      <w:r w:rsidRPr="00424A4B">
        <w:rPr>
          <w:sz w:val="22"/>
          <w:szCs w:val="22"/>
          <w:lang w:val="sr-Latn-ME"/>
        </w:rPr>
        <w:t xml:space="preserve"> i 6,7% (25/372) pacijenata koji su primali placebo imalo pozitivan nalaz ispitivanja na antitijela na lijek. U ispitivanju BERENICE, 4,1% (16/392) pacijenata liječenih lijekom </w:t>
      </w:r>
      <w:r w:rsidR="009C77FA" w:rsidRPr="00424A4B">
        <w:rPr>
          <w:sz w:val="22"/>
          <w:szCs w:val="22"/>
          <w:lang w:val="sr-Latn-ME"/>
        </w:rPr>
        <w:t>Perjeta</w:t>
      </w:r>
      <w:r w:rsidRPr="00424A4B">
        <w:rPr>
          <w:sz w:val="22"/>
          <w:szCs w:val="22"/>
          <w:lang w:val="sr-Latn-ME"/>
        </w:rPr>
        <w:t xml:space="preserve"> bilo je pozitivno na antitjela na lijek. Ni kod jednoga od tih pacijenata nije se javila anafilaktička reakcija/reakcija preosjetljivosti koja bi bila jasno povezana sa antitjelima na lijek.</w:t>
      </w:r>
    </w:p>
    <w:p w:rsidR="00CD41AC" w:rsidRPr="00424A4B" w:rsidRDefault="00CD41AC" w:rsidP="0055503A">
      <w:pPr>
        <w:jc w:val="both"/>
        <w:rPr>
          <w:sz w:val="22"/>
          <w:szCs w:val="22"/>
          <w:lang w:val="sr-Latn-ME"/>
        </w:rPr>
      </w:pPr>
    </w:p>
    <w:p w:rsidR="005E6320" w:rsidRPr="00424A4B" w:rsidRDefault="005E6320" w:rsidP="0055503A">
      <w:pPr>
        <w:rPr>
          <w:sz w:val="22"/>
          <w:szCs w:val="22"/>
          <w:u w:val="single"/>
          <w:lang w:val="sr-Latn-ME"/>
        </w:rPr>
      </w:pPr>
      <w:r w:rsidRPr="00424A4B">
        <w:rPr>
          <w:sz w:val="22"/>
          <w:szCs w:val="22"/>
          <w:u w:val="single"/>
          <w:lang w:val="sr-Latn-ME"/>
        </w:rPr>
        <w:t xml:space="preserve">Pedijatrijska populacija </w:t>
      </w:r>
    </w:p>
    <w:p w:rsidR="00CD41AC" w:rsidRPr="00424A4B" w:rsidRDefault="00CD41AC" w:rsidP="0055503A">
      <w:pPr>
        <w:rPr>
          <w:sz w:val="22"/>
          <w:szCs w:val="22"/>
          <w:u w:val="single"/>
          <w:lang w:val="sr-Latn-ME"/>
        </w:rPr>
      </w:pPr>
    </w:p>
    <w:p w:rsidR="005E6320" w:rsidRPr="00424A4B" w:rsidRDefault="005E6320" w:rsidP="0055503A">
      <w:pPr>
        <w:jc w:val="both"/>
        <w:rPr>
          <w:sz w:val="22"/>
          <w:szCs w:val="22"/>
          <w:lang w:val="sr-Latn-ME"/>
        </w:rPr>
      </w:pPr>
      <w:r w:rsidRPr="00424A4B">
        <w:rPr>
          <w:sz w:val="22"/>
          <w:szCs w:val="22"/>
          <w:lang w:val="sr-Latn-ME"/>
        </w:rPr>
        <w:t xml:space="preserve">Evropska agencija za ljekove izuzela je obavezu podnošenja rezultata ispitivanja lijeka </w:t>
      </w:r>
      <w:r w:rsidR="009C77FA" w:rsidRPr="00424A4B">
        <w:rPr>
          <w:sz w:val="22"/>
          <w:szCs w:val="22"/>
          <w:lang w:val="sr-Latn-ME"/>
        </w:rPr>
        <w:t>Perjeta</w:t>
      </w:r>
      <w:r w:rsidRPr="00424A4B">
        <w:rPr>
          <w:sz w:val="22"/>
          <w:szCs w:val="22"/>
          <w:lang w:val="sr-Latn-ME"/>
        </w:rPr>
        <w:t xml:space="preserve"> u svim podgrupama pedijatrijske populacije za karcinom dojke (vidjeti dio 4.2 za informacije o </w:t>
      </w:r>
      <w:r w:rsidR="009C77FA" w:rsidRPr="00424A4B">
        <w:rPr>
          <w:sz w:val="22"/>
          <w:szCs w:val="22"/>
          <w:lang w:val="sr-Latn-ME"/>
        </w:rPr>
        <w:t>primjeni</w:t>
      </w:r>
      <w:r w:rsidRPr="00424A4B">
        <w:rPr>
          <w:sz w:val="22"/>
          <w:szCs w:val="22"/>
          <w:lang w:val="sr-Latn-ME"/>
        </w:rPr>
        <w:t xml:space="preserve"> u pedijatriji).</w:t>
      </w:r>
    </w:p>
    <w:p w:rsidR="002E37A5" w:rsidRPr="00424A4B" w:rsidRDefault="002E37A5" w:rsidP="005C33D8">
      <w:pPr>
        <w:tabs>
          <w:tab w:val="left" w:pos="540"/>
          <w:tab w:val="left" w:pos="569"/>
        </w:tabs>
        <w:rPr>
          <w:b/>
          <w:bCs/>
          <w:sz w:val="22"/>
          <w:szCs w:val="22"/>
          <w:lang w:val="sr-Latn-ME"/>
        </w:rPr>
      </w:pPr>
    </w:p>
    <w:p w:rsidR="00A06870" w:rsidRPr="00424A4B" w:rsidRDefault="00A06870" w:rsidP="005C33D8">
      <w:pPr>
        <w:tabs>
          <w:tab w:val="left" w:pos="540"/>
          <w:tab w:val="left" w:pos="569"/>
        </w:tabs>
        <w:rPr>
          <w:b/>
          <w:bCs/>
          <w:sz w:val="22"/>
          <w:szCs w:val="22"/>
          <w:lang w:val="sr-Latn-ME"/>
        </w:rPr>
      </w:pPr>
    </w:p>
    <w:p w:rsidR="00A06870" w:rsidRPr="00424A4B" w:rsidRDefault="00A06870" w:rsidP="005C33D8">
      <w:pPr>
        <w:tabs>
          <w:tab w:val="left" w:pos="540"/>
          <w:tab w:val="left" w:pos="569"/>
        </w:tabs>
        <w:rPr>
          <w:b/>
          <w:bCs/>
          <w:sz w:val="22"/>
          <w:szCs w:val="22"/>
          <w:lang w:val="sr-Latn-ME"/>
        </w:rPr>
      </w:pPr>
    </w:p>
    <w:p w:rsidR="00A06870" w:rsidRPr="00424A4B" w:rsidRDefault="00A06870" w:rsidP="005C33D8">
      <w:pPr>
        <w:tabs>
          <w:tab w:val="left" w:pos="540"/>
          <w:tab w:val="left" w:pos="569"/>
        </w:tabs>
        <w:rPr>
          <w:b/>
          <w:bCs/>
          <w:sz w:val="22"/>
          <w:szCs w:val="22"/>
          <w:lang w:val="sr-Latn-ME"/>
        </w:rPr>
      </w:pPr>
    </w:p>
    <w:p w:rsidR="0072020E" w:rsidRPr="00424A4B" w:rsidRDefault="0072020E" w:rsidP="00CD41AC">
      <w:pPr>
        <w:tabs>
          <w:tab w:val="left" w:pos="540"/>
          <w:tab w:val="left" w:pos="569"/>
        </w:tabs>
        <w:rPr>
          <w:b/>
          <w:bCs/>
          <w:sz w:val="22"/>
          <w:szCs w:val="22"/>
          <w:lang w:val="sr-Latn-ME"/>
        </w:rPr>
      </w:pPr>
      <w:r w:rsidRPr="00424A4B">
        <w:rPr>
          <w:b/>
          <w:bCs/>
          <w:sz w:val="22"/>
          <w:szCs w:val="22"/>
          <w:lang w:val="sr-Latn-ME"/>
        </w:rPr>
        <w:t xml:space="preserve">5.2. </w:t>
      </w:r>
      <w:r w:rsidR="00480FB1" w:rsidRPr="00424A4B">
        <w:rPr>
          <w:b/>
          <w:bCs/>
          <w:sz w:val="22"/>
          <w:szCs w:val="22"/>
          <w:lang w:val="sr-Latn-ME"/>
        </w:rPr>
        <w:tab/>
      </w:r>
      <w:r w:rsidRPr="00424A4B">
        <w:rPr>
          <w:b/>
          <w:bCs/>
          <w:sz w:val="22"/>
          <w:szCs w:val="22"/>
          <w:lang w:val="sr-Latn-ME"/>
        </w:rPr>
        <w:t>Farmakokinetički podaci</w:t>
      </w:r>
      <w:r w:rsidR="003A7059" w:rsidRPr="00424A4B">
        <w:rPr>
          <w:b/>
          <w:bCs/>
          <w:sz w:val="22"/>
          <w:szCs w:val="22"/>
          <w:lang w:val="sr-Latn-ME"/>
        </w:rPr>
        <w:t xml:space="preserve"> </w:t>
      </w:r>
    </w:p>
    <w:p w:rsidR="00CD41AC" w:rsidRPr="00424A4B" w:rsidRDefault="00CD41AC"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Sprovedena je populaci</w:t>
      </w:r>
      <w:r w:rsidR="00336304" w:rsidRPr="00424A4B">
        <w:rPr>
          <w:sz w:val="22"/>
          <w:szCs w:val="22"/>
          <w:lang w:val="sr-Latn-ME"/>
        </w:rPr>
        <w:t>ona</w:t>
      </w:r>
      <w:r w:rsidRPr="00424A4B">
        <w:rPr>
          <w:sz w:val="22"/>
          <w:szCs w:val="22"/>
          <w:lang w:val="sr-Latn-ME"/>
        </w:rPr>
        <w:t xml:space="preserve"> farmakokinetička analiza podataka prikupljenih u različitim kliničkim ispitivanjima (faze I, II i III) kod 481 pacijenta sa različitim oblicima uznapredovalih malignih tumora koji su lijek pertuzumaba primali samostalno ili u kombinaciji s</w:t>
      </w:r>
      <w:r w:rsidR="00336304" w:rsidRPr="00424A4B">
        <w:rPr>
          <w:sz w:val="22"/>
          <w:szCs w:val="22"/>
          <w:lang w:val="sr-Latn-ME"/>
        </w:rPr>
        <w:t>a</w:t>
      </w:r>
      <w:r w:rsidRPr="00424A4B">
        <w:rPr>
          <w:sz w:val="22"/>
          <w:szCs w:val="22"/>
          <w:lang w:val="sr-Latn-ME"/>
        </w:rPr>
        <w:t xml:space="preserve"> drugim ljekovima u rasponu doza od 2 do 25 mg/kg, koje su se primjenjivale svake 3 nedjelje intravenskom infuzijom u trajanju od 30</w:t>
      </w:r>
      <w:r w:rsidR="00336304" w:rsidRPr="00424A4B">
        <w:rPr>
          <w:sz w:val="22"/>
          <w:szCs w:val="22"/>
          <w:lang w:val="sr-Latn-ME"/>
        </w:rPr>
        <w:t xml:space="preserve"> do </w:t>
      </w:r>
      <w:r w:rsidRPr="00424A4B">
        <w:rPr>
          <w:sz w:val="22"/>
          <w:szCs w:val="22"/>
          <w:lang w:val="sr-Latn-ME"/>
        </w:rPr>
        <w:t>60 minuta.</w:t>
      </w:r>
    </w:p>
    <w:p w:rsidR="005E6320" w:rsidRPr="00424A4B" w:rsidRDefault="005E6320" w:rsidP="0055503A">
      <w:pPr>
        <w:rPr>
          <w:i/>
          <w:sz w:val="22"/>
          <w:szCs w:val="22"/>
          <w:lang w:val="sr-Latn-ME"/>
        </w:rPr>
      </w:pPr>
      <w:r w:rsidRPr="00424A4B">
        <w:rPr>
          <w:i/>
          <w:sz w:val="22"/>
          <w:szCs w:val="22"/>
          <w:lang w:val="sr-Latn-ME"/>
        </w:rPr>
        <w:t>Resorpcija</w:t>
      </w:r>
    </w:p>
    <w:p w:rsidR="005E6320" w:rsidRPr="00424A4B" w:rsidRDefault="00B21D55" w:rsidP="0055503A">
      <w:pPr>
        <w:jc w:val="both"/>
        <w:rPr>
          <w:i/>
          <w:sz w:val="22"/>
          <w:szCs w:val="22"/>
          <w:lang w:val="sr-Latn-ME"/>
        </w:rPr>
      </w:pPr>
      <w:r w:rsidRPr="00424A4B">
        <w:rPr>
          <w:sz w:val="22"/>
          <w:szCs w:val="22"/>
          <w:lang w:val="sr-Latn-ME"/>
        </w:rPr>
        <w:t xml:space="preserve">Lijek </w:t>
      </w:r>
      <w:r w:rsidR="009C77FA" w:rsidRPr="00424A4B">
        <w:rPr>
          <w:sz w:val="22"/>
          <w:szCs w:val="22"/>
          <w:lang w:val="sr-Latn-ME"/>
        </w:rPr>
        <w:t>Perjeta</w:t>
      </w:r>
      <w:r w:rsidR="005E6320" w:rsidRPr="00424A4B">
        <w:rPr>
          <w:sz w:val="22"/>
          <w:szCs w:val="22"/>
          <w:lang w:val="sr-Latn-ME"/>
        </w:rPr>
        <w:t xml:space="preserve"> se primjenjuje u obliku intravenske infuzije. </w:t>
      </w:r>
    </w:p>
    <w:p w:rsidR="005E6320" w:rsidRPr="00424A4B" w:rsidRDefault="005E6320" w:rsidP="0055503A">
      <w:pPr>
        <w:jc w:val="both"/>
        <w:rPr>
          <w:sz w:val="22"/>
          <w:szCs w:val="22"/>
          <w:lang w:val="sr-Latn-ME"/>
        </w:rPr>
      </w:pPr>
      <w:r w:rsidRPr="00424A4B">
        <w:rPr>
          <w:sz w:val="22"/>
          <w:szCs w:val="22"/>
          <w:lang w:val="sr-Latn-ME"/>
        </w:rPr>
        <w:t xml:space="preserve">U svim kliničkim ispitivanjima kod prosječnog pacijenta volumen distribucije centralnog kompartmana (Vc) iznosio </w:t>
      </w:r>
      <w:r w:rsidR="00336304" w:rsidRPr="00424A4B">
        <w:rPr>
          <w:sz w:val="22"/>
          <w:szCs w:val="22"/>
          <w:lang w:val="sr-Latn-ME"/>
        </w:rPr>
        <w:t xml:space="preserve">je </w:t>
      </w:r>
      <w:r w:rsidRPr="00424A4B">
        <w:rPr>
          <w:sz w:val="22"/>
          <w:szCs w:val="22"/>
          <w:lang w:val="sr-Latn-ME"/>
        </w:rPr>
        <w:t>3,11 litara, a volumen distribucije perifernog kompartmana (Vp) 2,46 litara.</w:t>
      </w:r>
    </w:p>
    <w:p w:rsidR="00CD41AC" w:rsidRPr="00424A4B" w:rsidRDefault="00CD41AC" w:rsidP="0055503A">
      <w:pPr>
        <w:jc w:val="both"/>
        <w:rPr>
          <w:i/>
          <w:sz w:val="22"/>
          <w:szCs w:val="22"/>
          <w:lang w:val="sr-Latn-ME"/>
        </w:rPr>
      </w:pPr>
    </w:p>
    <w:p w:rsidR="005E6320" w:rsidRPr="00424A4B" w:rsidRDefault="005E6320" w:rsidP="0055503A">
      <w:pPr>
        <w:jc w:val="both"/>
        <w:rPr>
          <w:i/>
          <w:sz w:val="22"/>
          <w:szCs w:val="22"/>
          <w:lang w:val="sr-Latn-ME"/>
        </w:rPr>
      </w:pPr>
      <w:r w:rsidRPr="00424A4B">
        <w:rPr>
          <w:i/>
          <w:sz w:val="22"/>
          <w:szCs w:val="22"/>
          <w:lang w:val="sr-Latn-ME"/>
        </w:rPr>
        <w:t>Biotransformacija</w:t>
      </w:r>
    </w:p>
    <w:p w:rsidR="005E6320" w:rsidRPr="00424A4B" w:rsidRDefault="005E6320" w:rsidP="0055503A">
      <w:pPr>
        <w:jc w:val="both"/>
        <w:rPr>
          <w:sz w:val="22"/>
          <w:szCs w:val="22"/>
          <w:lang w:val="sr-Latn-ME"/>
        </w:rPr>
      </w:pPr>
      <w:r w:rsidRPr="00424A4B">
        <w:rPr>
          <w:sz w:val="22"/>
          <w:szCs w:val="22"/>
          <w:lang w:val="sr-Latn-ME"/>
        </w:rPr>
        <w:t>Ni</w:t>
      </w:r>
      <w:r w:rsidR="00336304" w:rsidRPr="00424A4B">
        <w:rPr>
          <w:sz w:val="22"/>
          <w:szCs w:val="22"/>
          <w:lang w:val="sr-Latn-ME"/>
        </w:rPr>
        <w:t>je</w:t>
      </w:r>
      <w:r w:rsidRPr="00424A4B">
        <w:rPr>
          <w:sz w:val="22"/>
          <w:szCs w:val="22"/>
          <w:lang w:val="sr-Latn-ME"/>
        </w:rPr>
        <w:t>su sprovedena direktna ispitivanja metabolizma lijeka pertuzumaba. Antitijela se prvenstveno uklanjaju katabolizmom.</w:t>
      </w:r>
    </w:p>
    <w:p w:rsidR="00CD41AC" w:rsidRPr="00424A4B" w:rsidRDefault="00CD41AC" w:rsidP="0055503A">
      <w:pPr>
        <w:rPr>
          <w:i/>
          <w:sz w:val="22"/>
          <w:szCs w:val="22"/>
          <w:lang w:val="sr-Latn-ME"/>
        </w:rPr>
      </w:pPr>
    </w:p>
    <w:p w:rsidR="005E6320" w:rsidRPr="00424A4B" w:rsidRDefault="005E6320" w:rsidP="0055503A">
      <w:pPr>
        <w:rPr>
          <w:i/>
          <w:sz w:val="22"/>
          <w:szCs w:val="22"/>
          <w:lang w:val="sr-Latn-ME"/>
        </w:rPr>
      </w:pPr>
      <w:r w:rsidRPr="00424A4B">
        <w:rPr>
          <w:i/>
          <w:sz w:val="22"/>
          <w:szCs w:val="22"/>
          <w:lang w:val="sr-Latn-ME"/>
        </w:rPr>
        <w:t>Eliminacija</w:t>
      </w:r>
    </w:p>
    <w:p w:rsidR="005E6320" w:rsidRPr="00424A4B" w:rsidRDefault="005E6320" w:rsidP="0055503A">
      <w:pPr>
        <w:jc w:val="both"/>
        <w:rPr>
          <w:sz w:val="22"/>
          <w:szCs w:val="22"/>
          <w:lang w:val="sr-Latn-ME"/>
        </w:rPr>
      </w:pPr>
      <w:r w:rsidRPr="00424A4B">
        <w:rPr>
          <w:sz w:val="22"/>
          <w:szCs w:val="22"/>
          <w:lang w:val="sr-Latn-ME"/>
        </w:rPr>
        <w:t>Medijana klirensa (CL) pertuzumaba iznosila je 0,235 litara na dan, a medijana poluvremena eliminacije 18 dana.</w:t>
      </w:r>
    </w:p>
    <w:p w:rsidR="00CD41AC" w:rsidRPr="00424A4B" w:rsidRDefault="00CD41AC" w:rsidP="0055503A">
      <w:pPr>
        <w:jc w:val="both"/>
        <w:rPr>
          <w:i/>
          <w:sz w:val="22"/>
          <w:szCs w:val="22"/>
          <w:lang w:val="sr-Latn-ME"/>
        </w:rPr>
      </w:pPr>
    </w:p>
    <w:p w:rsidR="005E6320" w:rsidRPr="00424A4B" w:rsidRDefault="005E6320" w:rsidP="0055503A">
      <w:pPr>
        <w:jc w:val="both"/>
        <w:rPr>
          <w:i/>
          <w:sz w:val="22"/>
          <w:szCs w:val="22"/>
          <w:lang w:val="sr-Latn-ME"/>
        </w:rPr>
      </w:pPr>
      <w:r w:rsidRPr="00424A4B">
        <w:rPr>
          <w:i/>
          <w:sz w:val="22"/>
          <w:szCs w:val="22"/>
          <w:lang w:val="sr-Latn-ME"/>
        </w:rPr>
        <w:t>Linearnost/nelinearnost</w:t>
      </w:r>
    </w:p>
    <w:p w:rsidR="005E6320" w:rsidRPr="00424A4B" w:rsidRDefault="005E6320" w:rsidP="0055503A">
      <w:pPr>
        <w:jc w:val="both"/>
        <w:rPr>
          <w:sz w:val="22"/>
          <w:szCs w:val="22"/>
          <w:lang w:val="sr-Latn-ME"/>
        </w:rPr>
      </w:pPr>
      <w:r w:rsidRPr="00424A4B">
        <w:rPr>
          <w:sz w:val="22"/>
          <w:szCs w:val="22"/>
          <w:lang w:val="sr-Latn-ME"/>
        </w:rPr>
        <w:t>Farmakokinetika pertuzumaba bila je linearna u preporučenom rasponu doza.</w:t>
      </w:r>
    </w:p>
    <w:p w:rsidR="00CD41AC" w:rsidRPr="00424A4B" w:rsidRDefault="00CD41AC" w:rsidP="0055503A">
      <w:pPr>
        <w:jc w:val="both"/>
        <w:rPr>
          <w:i/>
          <w:sz w:val="22"/>
          <w:szCs w:val="22"/>
          <w:lang w:val="sr-Latn-ME"/>
        </w:rPr>
      </w:pPr>
    </w:p>
    <w:p w:rsidR="005E6320" w:rsidRPr="00424A4B" w:rsidRDefault="005E6320" w:rsidP="0055503A">
      <w:pPr>
        <w:jc w:val="both"/>
        <w:rPr>
          <w:i/>
          <w:sz w:val="22"/>
          <w:szCs w:val="22"/>
          <w:lang w:val="sr-Latn-ME"/>
        </w:rPr>
      </w:pPr>
      <w:r w:rsidRPr="00424A4B">
        <w:rPr>
          <w:i/>
          <w:sz w:val="22"/>
          <w:szCs w:val="22"/>
          <w:lang w:val="sr-Latn-ME"/>
        </w:rPr>
        <w:t>Stariji pacijenti</w:t>
      </w:r>
    </w:p>
    <w:p w:rsidR="005E6320" w:rsidRPr="00424A4B" w:rsidRDefault="005E6320" w:rsidP="0055503A">
      <w:pPr>
        <w:jc w:val="both"/>
        <w:rPr>
          <w:sz w:val="22"/>
          <w:szCs w:val="22"/>
          <w:lang w:val="sr-Latn-ME"/>
        </w:rPr>
      </w:pPr>
      <w:r w:rsidRPr="00424A4B">
        <w:rPr>
          <w:sz w:val="22"/>
          <w:szCs w:val="22"/>
          <w:lang w:val="sr-Latn-ME"/>
        </w:rPr>
        <w:t>U populaci</w:t>
      </w:r>
      <w:r w:rsidR="00336304" w:rsidRPr="00424A4B">
        <w:rPr>
          <w:sz w:val="22"/>
          <w:szCs w:val="22"/>
          <w:lang w:val="sr-Latn-ME"/>
        </w:rPr>
        <w:t>onoj</w:t>
      </w:r>
      <w:r w:rsidRPr="00424A4B">
        <w:rPr>
          <w:sz w:val="22"/>
          <w:szCs w:val="22"/>
          <w:lang w:val="sr-Latn-ME"/>
        </w:rPr>
        <w:t xml:space="preserve"> farmakokinetičkoj analizi nije </w:t>
      </w:r>
      <w:r w:rsidR="00336304" w:rsidRPr="00424A4B">
        <w:rPr>
          <w:sz w:val="22"/>
          <w:szCs w:val="22"/>
          <w:lang w:val="sr-Latn-ME"/>
        </w:rPr>
        <w:t>primijećena</w:t>
      </w:r>
      <w:r w:rsidRPr="00424A4B">
        <w:rPr>
          <w:sz w:val="22"/>
          <w:szCs w:val="22"/>
          <w:lang w:val="sr-Latn-ME"/>
        </w:rPr>
        <w:t xml:space="preserve"> značajna razlika u farmakokinetici lijeka </w:t>
      </w:r>
      <w:r w:rsidR="009C77FA" w:rsidRPr="00424A4B">
        <w:rPr>
          <w:sz w:val="22"/>
          <w:szCs w:val="22"/>
          <w:lang w:val="sr-Latn-ME"/>
        </w:rPr>
        <w:t>Perjeta</w:t>
      </w:r>
      <w:r w:rsidRPr="00424A4B">
        <w:rPr>
          <w:sz w:val="22"/>
          <w:szCs w:val="22"/>
          <w:lang w:val="sr-Latn-ME"/>
        </w:rPr>
        <w:t xml:space="preserve"> između pacijenata mlađih od 65 godina (n=306) i pacijenata u dobi od ≥ 65 godina (n=175).</w:t>
      </w:r>
    </w:p>
    <w:p w:rsidR="00CD41AC" w:rsidRPr="00424A4B" w:rsidRDefault="00CD41AC" w:rsidP="0055503A">
      <w:pPr>
        <w:jc w:val="both"/>
        <w:rPr>
          <w:i/>
          <w:sz w:val="22"/>
          <w:szCs w:val="22"/>
          <w:lang w:val="sr-Latn-ME"/>
        </w:rPr>
      </w:pPr>
    </w:p>
    <w:p w:rsidR="005E6320" w:rsidRPr="00424A4B" w:rsidRDefault="005E6320" w:rsidP="0055503A">
      <w:pPr>
        <w:jc w:val="both"/>
        <w:rPr>
          <w:i/>
          <w:sz w:val="22"/>
          <w:szCs w:val="22"/>
          <w:lang w:val="sr-Latn-ME"/>
        </w:rPr>
      </w:pPr>
      <w:r w:rsidRPr="00424A4B">
        <w:rPr>
          <w:i/>
          <w:sz w:val="22"/>
          <w:szCs w:val="22"/>
          <w:lang w:val="sr-Latn-ME"/>
        </w:rPr>
        <w:t xml:space="preserve">Oštećenje bubrežne funkcije </w:t>
      </w:r>
    </w:p>
    <w:p w:rsidR="005E6320" w:rsidRPr="00424A4B" w:rsidRDefault="005E6320" w:rsidP="0055503A">
      <w:pPr>
        <w:jc w:val="both"/>
        <w:rPr>
          <w:sz w:val="22"/>
          <w:szCs w:val="22"/>
          <w:lang w:val="sr-Latn-ME"/>
        </w:rPr>
      </w:pPr>
      <w:r w:rsidRPr="00424A4B">
        <w:rPr>
          <w:sz w:val="22"/>
          <w:szCs w:val="22"/>
          <w:lang w:val="sr-Latn-ME"/>
        </w:rPr>
        <w:t xml:space="preserve">Nije sprovedeno posebno ispitivanje lijeka </w:t>
      </w:r>
      <w:r w:rsidR="009C77FA" w:rsidRPr="00424A4B">
        <w:rPr>
          <w:sz w:val="22"/>
          <w:szCs w:val="22"/>
          <w:lang w:val="sr-Latn-ME"/>
        </w:rPr>
        <w:t>Perjeta</w:t>
      </w:r>
      <w:r w:rsidRPr="00424A4B">
        <w:rPr>
          <w:sz w:val="22"/>
          <w:szCs w:val="22"/>
          <w:lang w:val="sr-Latn-ME"/>
        </w:rPr>
        <w:t xml:space="preserve"> kod pacijenata sa oštećenom bubrežnom funkcijom. Rezultati populacione farmakokinetičke analize pokazuju da je izloženost pertuzumabu kod pacijenata sa blagim (klirens kreatinina [CLcr] 60 do 90 ml/min, N=200) i umjerenim oštećenjem bubrežne funkcije (CLcr 30 do 60 ml/min, N=71) bila </w:t>
      </w:r>
      <w:r w:rsidR="00336304" w:rsidRPr="00424A4B">
        <w:rPr>
          <w:sz w:val="22"/>
          <w:szCs w:val="22"/>
          <w:lang w:val="sr-Latn-ME"/>
        </w:rPr>
        <w:t>slična</w:t>
      </w:r>
      <w:r w:rsidRPr="00424A4B">
        <w:rPr>
          <w:sz w:val="22"/>
          <w:szCs w:val="22"/>
          <w:lang w:val="sr-Latn-ME"/>
        </w:rPr>
        <w:t xml:space="preserve"> onoj kod pacijenata sa normalnom bubrežnom funkcijom (CLcr iznad 90 ml/min, N=200). Nije primijećena veza između klirensa kreatinina i izloženosti pertuzumab</w:t>
      </w:r>
      <w:r w:rsidR="00336304" w:rsidRPr="00424A4B">
        <w:rPr>
          <w:sz w:val="22"/>
          <w:szCs w:val="22"/>
          <w:lang w:val="sr-Latn-ME"/>
        </w:rPr>
        <w:t>u</w:t>
      </w:r>
      <w:r w:rsidRPr="00424A4B">
        <w:rPr>
          <w:sz w:val="22"/>
          <w:szCs w:val="22"/>
          <w:lang w:val="sr-Latn-ME"/>
        </w:rPr>
        <w:t xml:space="preserve"> u cjelokupnom rasponu klirensa kreatinina (27 do 244 ml/min).</w:t>
      </w:r>
    </w:p>
    <w:p w:rsidR="00CD41AC" w:rsidRPr="00424A4B" w:rsidRDefault="00CD41AC" w:rsidP="0055503A">
      <w:pPr>
        <w:rPr>
          <w:i/>
          <w:sz w:val="22"/>
          <w:szCs w:val="22"/>
          <w:lang w:val="sr-Latn-ME"/>
        </w:rPr>
      </w:pPr>
    </w:p>
    <w:p w:rsidR="005E6320" w:rsidRPr="00424A4B" w:rsidRDefault="005E6320" w:rsidP="0055503A">
      <w:pPr>
        <w:rPr>
          <w:i/>
          <w:sz w:val="22"/>
          <w:szCs w:val="22"/>
          <w:lang w:val="sr-Latn-ME"/>
        </w:rPr>
      </w:pPr>
      <w:r w:rsidRPr="00424A4B">
        <w:rPr>
          <w:i/>
          <w:sz w:val="22"/>
          <w:szCs w:val="22"/>
          <w:lang w:val="sr-Latn-ME"/>
        </w:rPr>
        <w:t>Druge posebne populacije pacijenata</w:t>
      </w:r>
    </w:p>
    <w:p w:rsidR="005E6320" w:rsidRPr="00424A4B" w:rsidRDefault="005E6320" w:rsidP="0055503A">
      <w:pPr>
        <w:jc w:val="both"/>
        <w:rPr>
          <w:sz w:val="22"/>
          <w:szCs w:val="22"/>
          <w:lang w:val="sr-Latn-ME"/>
        </w:rPr>
      </w:pPr>
      <w:r w:rsidRPr="00424A4B">
        <w:rPr>
          <w:sz w:val="22"/>
          <w:szCs w:val="22"/>
          <w:lang w:val="sr-Latn-ME"/>
        </w:rPr>
        <w:t>Populaci</w:t>
      </w:r>
      <w:r w:rsidR="00336304" w:rsidRPr="00424A4B">
        <w:rPr>
          <w:sz w:val="22"/>
          <w:szCs w:val="22"/>
          <w:lang w:val="sr-Latn-ME"/>
        </w:rPr>
        <w:t>ona</w:t>
      </w:r>
      <w:r w:rsidRPr="00424A4B">
        <w:rPr>
          <w:sz w:val="22"/>
          <w:szCs w:val="22"/>
          <w:lang w:val="sr-Latn-ME"/>
        </w:rPr>
        <w:t xml:space="preserve"> farmakokinetička analiza nije ukazala na razlike u farmakokinetici s obzirom na dob, pol i etničko porijeklo (japanski ispitanici naspram ispitanika koji ni</w:t>
      </w:r>
      <w:r w:rsidR="00D36707" w:rsidRPr="00424A4B">
        <w:rPr>
          <w:sz w:val="22"/>
          <w:szCs w:val="22"/>
          <w:lang w:val="sr-Latn-ME"/>
        </w:rPr>
        <w:t>je</w:t>
      </w:r>
      <w:r w:rsidRPr="00424A4B">
        <w:rPr>
          <w:sz w:val="22"/>
          <w:szCs w:val="22"/>
          <w:lang w:val="sr-Latn-ME"/>
        </w:rPr>
        <w:t xml:space="preserve">su japanskog porijekla). Najznačajnije kovarijante koje su uticale na klirens bile su vrijednost albumina na početku liječenja i tjelesna težina bez masnog tkiva. Klirens se smanjio kod pacijenata sa višim početnim koncentracijama albumina, a povećao se kod pacijenata sa većom tjelesnom težinom bez masnog tkiva. Međutim, analize osjetljivosti sprovedene pri preporučenoj dozi i rasporedu primjene lijeka </w:t>
      </w:r>
      <w:r w:rsidR="009C77FA" w:rsidRPr="00424A4B">
        <w:rPr>
          <w:sz w:val="22"/>
          <w:szCs w:val="22"/>
          <w:lang w:val="sr-Latn-ME"/>
        </w:rPr>
        <w:t>Perjeta</w:t>
      </w:r>
      <w:r w:rsidRPr="00424A4B">
        <w:rPr>
          <w:sz w:val="22"/>
          <w:szCs w:val="22"/>
          <w:lang w:val="sr-Latn-ME"/>
        </w:rPr>
        <w:t xml:space="preserve"> pokazale su da ekstremne vrijednosti t</w:t>
      </w:r>
      <w:r w:rsidR="00D36707" w:rsidRPr="00424A4B">
        <w:rPr>
          <w:sz w:val="22"/>
          <w:szCs w:val="22"/>
          <w:lang w:val="sr-Latn-ME"/>
        </w:rPr>
        <w:t>e</w:t>
      </w:r>
      <w:r w:rsidRPr="00424A4B">
        <w:rPr>
          <w:sz w:val="22"/>
          <w:szCs w:val="22"/>
          <w:lang w:val="sr-Latn-ME"/>
        </w:rPr>
        <w:t xml:space="preserve"> dvij</w:t>
      </w:r>
      <w:r w:rsidR="00D36707" w:rsidRPr="00424A4B">
        <w:rPr>
          <w:sz w:val="22"/>
          <w:szCs w:val="22"/>
          <w:lang w:val="sr-Latn-ME"/>
        </w:rPr>
        <w:t>e</w:t>
      </w:r>
      <w:r w:rsidRPr="00424A4B">
        <w:rPr>
          <w:sz w:val="22"/>
          <w:szCs w:val="22"/>
          <w:lang w:val="sr-Latn-ME"/>
        </w:rPr>
        <w:t xml:space="preserve"> kovarijant</w:t>
      </w:r>
      <w:r w:rsidR="00D36707" w:rsidRPr="00424A4B">
        <w:rPr>
          <w:sz w:val="22"/>
          <w:szCs w:val="22"/>
          <w:lang w:val="sr-Latn-ME"/>
        </w:rPr>
        <w:t>e</w:t>
      </w:r>
      <w:r w:rsidRPr="00424A4B">
        <w:rPr>
          <w:sz w:val="22"/>
          <w:szCs w:val="22"/>
          <w:lang w:val="sr-Latn-ME"/>
        </w:rPr>
        <w:t xml:space="preserve"> ne utiču značajno na sposobnost postizanja ciljnih koncentracija u stanju dinamičke ravnoteže, određenih u pretkliničkim ksenotransplantac</w:t>
      </w:r>
      <w:r w:rsidR="00D36707" w:rsidRPr="00424A4B">
        <w:rPr>
          <w:sz w:val="22"/>
          <w:szCs w:val="22"/>
          <w:lang w:val="sr-Latn-ME"/>
        </w:rPr>
        <w:t>ionim</w:t>
      </w:r>
      <w:r w:rsidRPr="00424A4B">
        <w:rPr>
          <w:sz w:val="22"/>
          <w:szCs w:val="22"/>
          <w:lang w:val="sr-Latn-ME"/>
        </w:rPr>
        <w:t xml:space="preserve"> modelima tumora. Stoga, nema potrebe za prilagođavanjem doze pertuzumaba na osnovu navedenih kovarijanti. </w:t>
      </w:r>
    </w:p>
    <w:p w:rsidR="00CD41AC" w:rsidRPr="00424A4B" w:rsidRDefault="00CD41AC" w:rsidP="0055503A">
      <w:pPr>
        <w:jc w:val="both"/>
        <w:rPr>
          <w:sz w:val="22"/>
          <w:szCs w:val="22"/>
          <w:lang w:val="sr-Latn-ME"/>
        </w:rPr>
      </w:pPr>
    </w:p>
    <w:p w:rsidR="005E6320" w:rsidRPr="00424A4B" w:rsidRDefault="005E6320" w:rsidP="005C33D8">
      <w:pPr>
        <w:tabs>
          <w:tab w:val="left" w:pos="567"/>
        </w:tabs>
        <w:jc w:val="both"/>
        <w:rPr>
          <w:sz w:val="22"/>
          <w:szCs w:val="22"/>
          <w:lang w:val="sr-Latn-ME"/>
        </w:rPr>
      </w:pPr>
      <w:r w:rsidRPr="00424A4B">
        <w:rPr>
          <w:sz w:val="22"/>
          <w:szCs w:val="22"/>
          <w:lang w:val="sr-Latn-ME"/>
        </w:rPr>
        <w:t>Farmakokinetički rezultati pertuzumaba u ispitivanjima NEOSPHERE i APHINITY bili su u skladu sa predviđanjima iz prethodnog populaci</w:t>
      </w:r>
      <w:r w:rsidR="00D36707" w:rsidRPr="00424A4B">
        <w:rPr>
          <w:sz w:val="22"/>
          <w:szCs w:val="22"/>
          <w:lang w:val="sr-Latn-ME"/>
        </w:rPr>
        <w:t>onog</w:t>
      </w:r>
      <w:r w:rsidRPr="00424A4B">
        <w:rPr>
          <w:sz w:val="22"/>
          <w:szCs w:val="22"/>
          <w:lang w:val="sr-Latn-ME"/>
        </w:rPr>
        <w:t xml:space="preserve"> farmakokinetičkog modela.</w:t>
      </w:r>
      <w:r w:rsidRPr="00424A4B">
        <w:rPr>
          <w:sz w:val="22"/>
          <w:szCs w:val="22"/>
          <w:lang w:val="sr-Latn-ME" w:eastAsia="hr-HR"/>
        </w:rPr>
        <w:t xml:space="preserve"> </w:t>
      </w:r>
      <w:r w:rsidRPr="00424A4B">
        <w:rPr>
          <w:sz w:val="22"/>
          <w:szCs w:val="22"/>
          <w:lang w:val="sr-Latn-ME"/>
        </w:rPr>
        <w:t>Ni</w:t>
      </w:r>
      <w:r w:rsidR="00D36707" w:rsidRPr="00424A4B">
        <w:rPr>
          <w:sz w:val="22"/>
          <w:szCs w:val="22"/>
          <w:lang w:val="sr-Latn-ME"/>
        </w:rPr>
        <w:t>je</w:t>
      </w:r>
      <w:r w:rsidRPr="00424A4B">
        <w:rPr>
          <w:sz w:val="22"/>
          <w:szCs w:val="22"/>
          <w:lang w:val="sr-Latn-ME"/>
        </w:rPr>
        <w:t>su uočene razlike u farmakokinetici pertuzumaba između pacijenata s ranim karcinomom dojke i pacijenata s metastatskim karcinomom dojke.</w:t>
      </w:r>
    </w:p>
    <w:p w:rsidR="0072020E" w:rsidRPr="00424A4B" w:rsidRDefault="0072020E" w:rsidP="00CD41AC">
      <w:pPr>
        <w:tabs>
          <w:tab w:val="left" w:pos="540"/>
          <w:tab w:val="left" w:pos="569"/>
        </w:tabs>
        <w:rPr>
          <w:bCs/>
          <w:sz w:val="22"/>
          <w:szCs w:val="22"/>
          <w:lang w:val="sr-Latn-ME"/>
        </w:rPr>
      </w:pPr>
    </w:p>
    <w:p w:rsidR="0072020E" w:rsidRPr="00424A4B" w:rsidRDefault="0072020E">
      <w:pPr>
        <w:tabs>
          <w:tab w:val="left" w:pos="540"/>
          <w:tab w:val="left" w:pos="569"/>
        </w:tabs>
        <w:rPr>
          <w:b/>
          <w:bCs/>
          <w:sz w:val="22"/>
          <w:szCs w:val="22"/>
          <w:lang w:val="sr-Latn-ME"/>
        </w:rPr>
      </w:pPr>
      <w:r w:rsidRPr="00424A4B">
        <w:rPr>
          <w:b/>
          <w:bCs/>
          <w:sz w:val="22"/>
          <w:szCs w:val="22"/>
          <w:lang w:val="sr-Latn-ME"/>
        </w:rPr>
        <w:t xml:space="preserve">5.3. </w:t>
      </w:r>
      <w:r w:rsidR="00480FB1" w:rsidRPr="00424A4B">
        <w:rPr>
          <w:b/>
          <w:bCs/>
          <w:sz w:val="22"/>
          <w:szCs w:val="22"/>
          <w:lang w:val="sr-Latn-ME"/>
        </w:rPr>
        <w:tab/>
      </w:r>
      <w:r w:rsidRPr="00424A4B">
        <w:rPr>
          <w:b/>
          <w:bCs/>
          <w:sz w:val="22"/>
          <w:szCs w:val="22"/>
          <w:lang w:val="sr-Latn-ME"/>
        </w:rPr>
        <w:t xml:space="preserve">Pretklinički podaci o bezbjednosti </w:t>
      </w:r>
    </w:p>
    <w:p w:rsidR="00445878" w:rsidRPr="00424A4B" w:rsidRDefault="00445878">
      <w:pPr>
        <w:tabs>
          <w:tab w:val="left" w:pos="540"/>
          <w:tab w:val="left" w:pos="569"/>
        </w:tabs>
        <w:rPr>
          <w:b/>
          <w:bCs/>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Ni</w:t>
      </w:r>
      <w:r w:rsidR="00D36707" w:rsidRPr="00424A4B">
        <w:rPr>
          <w:sz w:val="22"/>
          <w:szCs w:val="22"/>
          <w:lang w:val="sr-Latn-ME"/>
        </w:rPr>
        <w:t>je</w:t>
      </w:r>
      <w:r w:rsidRPr="00424A4B">
        <w:rPr>
          <w:sz w:val="22"/>
          <w:szCs w:val="22"/>
          <w:lang w:val="sr-Latn-ME"/>
        </w:rPr>
        <w:t>su sprovedena posebna ispitivanja na životinjama kojima bi se procijenio efekat pertuzumaba na plodnost. Iz ispitivanja toksičnosti ponovljenih doza na makaki majmunima ne mogu se izvući konačni zaključci o neželjenim efektima na muške reproduktivne organe.</w:t>
      </w:r>
    </w:p>
    <w:p w:rsidR="00CD41AC" w:rsidRPr="00424A4B" w:rsidRDefault="00CD41AC"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Ispitivanja reproduktivne toksičnosti sprovedena su na skotnim ženkama makaki majmuna (od 19. do 50. dana gestacije), s početnim dozama od 30 do 150 mg/kg, nakon čega su primjenjivane doze od 10 do 100 mg/kg svake dvije nedjelje. Navedene su doze dovele do klinički značajnih izloženosti koje su bile 2,5 do 20 puta veće od onih koje se postižu primjenom preporučene doze kod ljudi, bazirano na C</w:t>
      </w:r>
      <w:r w:rsidRPr="00424A4B">
        <w:rPr>
          <w:sz w:val="22"/>
          <w:szCs w:val="22"/>
          <w:vertAlign w:val="subscript"/>
          <w:lang w:val="sr-Latn-ME"/>
        </w:rPr>
        <w:t>max</w:t>
      </w:r>
      <w:r w:rsidRPr="00424A4B">
        <w:rPr>
          <w:sz w:val="22"/>
          <w:szCs w:val="22"/>
          <w:lang w:val="sr-Latn-ME"/>
        </w:rPr>
        <w:t xml:space="preserve">. Intravenska primjena pertuzumaba od 19. do 50. dana gestacije (period organogeneze) bila je embriotoksična i uzrokovala je dozno-zavisno povećanje incidence smrtnosti embriona i fetusa između 25. i 70. dana gestacije. Incidenca gubitka embriona/fetusa </w:t>
      </w:r>
      <w:r w:rsidR="00D36707" w:rsidRPr="00424A4B">
        <w:rPr>
          <w:sz w:val="22"/>
          <w:szCs w:val="22"/>
          <w:lang w:val="sr-Latn-ME"/>
        </w:rPr>
        <w:t>kod</w:t>
      </w:r>
      <w:r w:rsidRPr="00424A4B">
        <w:rPr>
          <w:sz w:val="22"/>
          <w:szCs w:val="22"/>
          <w:lang w:val="sr-Latn-ME"/>
        </w:rPr>
        <w:t xml:space="preserve"> skotnih ženki majmuna kojima je primjenjivan pertuzumab iznosila je 33% uz dozu od 10 mg/kg svake 2 nedjelje, 50% uz dozu od 30 mg/kg svake 2 nedjelje, te 85% uz dozu od 100 mg/kg svake 2 nedjelje (što je 2,5 </w:t>
      </w:r>
      <w:r w:rsidR="00D36707" w:rsidRPr="00424A4B">
        <w:rPr>
          <w:sz w:val="22"/>
          <w:szCs w:val="22"/>
          <w:lang w:val="sr-Latn-ME"/>
        </w:rPr>
        <w:t>-</w:t>
      </w:r>
      <w:r w:rsidRPr="00424A4B">
        <w:rPr>
          <w:sz w:val="22"/>
          <w:szCs w:val="22"/>
          <w:lang w:val="sr-Latn-ME"/>
        </w:rPr>
        <w:t xml:space="preserve"> 20 puta više od preporučene doze kod ljudi, bazirano na C</w:t>
      </w:r>
      <w:r w:rsidRPr="00424A4B">
        <w:rPr>
          <w:sz w:val="22"/>
          <w:szCs w:val="22"/>
          <w:vertAlign w:val="subscript"/>
          <w:lang w:val="sr-Latn-ME"/>
        </w:rPr>
        <w:t>max</w:t>
      </w:r>
      <w:r w:rsidRPr="00424A4B">
        <w:rPr>
          <w:sz w:val="22"/>
          <w:szCs w:val="22"/>
          <w:lang w:val="sr-Latn-ME"/>
        </w:rPr>
        <w:t xml:space="preserve">). Nakon carskog reza sprovedenog 100. dana gestacije u svim grupama koje su primale različite doze pertuzumaba zabilježeni su oligohidramnion, smanjena relativna težina pluća i bubrega, te mikroskopski znakovi hipoplazije bubrega u skladu sa zastojem u razvoju bubrega. Osim toga, u skladu sa ograničenim rastom ploda kao posljedice oligohidramniona, zabilježene su hipoplazija pluća (1 od 6 u grupi koja je primala dozu od 30 mg/kg te 1 od 2 u grupi koja je primala dozu od 100 mg/kg), oštećenja ventrikularnog septuma (1 od 6 u grupi koja je primala dozu od 30 mg/kg), tanki zid komore (1 od 2 u grupi koja je primala dozu od 100 mg/kg) te manja oštećenja kostura (spoljna, 3 od 6 u grupi koja je primala dozu od 30 mg/kg). Izloženost pertuzumabu prijavljena je u mladunčadi iz svih ispitivanih grupa, i to u nivoima od 29% do 40% koncentracije lijeka u serumu majke na 100. dan gestacije. </w:t>
      </w:r>
    </w:p>
    <w:p w:rsidR="00CD41AC" w:rsidRPr="00424A4B" w:rsidRDefault="00CD41AC" w:rsidP="0055503A">
      <w:pPr>
        <w:jc w:val="both"/>
        <w:rPr>
          <w:sz w:val="22"/>
          <w:szCs w:val="22"/>
          <w:lang w:val="sr-Latn-ME"/>
        </w:rPr>
      </w:pPr>
    </w:p>
    <w:p w:rsidR="00836B35" w:rsidRPr="00424A4B" w:rsidRDefault="005E6320" w:rsidP="0055503A">
      <w:pPr>
        <w:jc w:val="both"/>
        <w:rPr>
          <w:sz w:val="22"/>
          <w:szCs w:val="22"/>
          <w:lang w:val="sr-Latn-ME"/>
        </w:rPr>
      </w:pPr>
      <w:r w:rsidRPr="00424A4B">
        <w:rPr>
          <w:sz w:val="22"/>
          <w:szCs w:val="22"/>
          <w:lang w:val="sr-Latn-ME"/>
        </w:rPr>
        <w:t>Makaki majmuni su u načelu dobro podnosili intravenske infuzije pertuzumaba u dozama do 150 mg/kg nedjeljno. Kod doza ≥ 15 mg/kg primijećen je intermitentan blag proliv povezan s</w:t>
      </w:r>
      <w:r w:rsidR="00D36707" w:rsidRPr="00424A4B">
        <w:rPr>
          <w:sz w:val="22"/>
          <w:szCs w:val="22"/>
          <w:lang w:val="sr-Latn-ME"/>
        </w:rPr>
        <w:t>a</w:t>
      </w:r>
      <w:r w:rsidRPr="00424A4B">
        <w:rPr>
          <w:sz w:val="22"/>
          <w:szCs w:val="22"/>
          <w:lang w:val="sr-Latn-ME"/>
        </w:rPr>
        <w:t xml:space="preserve"> liječenjem. U jednoj podgrupi majmuna hronična primjena (7 do 26 doza nedjeljno)</w:t>
      </w:r>
      <w:r w:rsidR="00D36707" w:rsidRPr="00424A4B">
        <w:rPr>
          <w:sz w:val="22"/>
          <w:szCs w:val="22"/>
          <w:lang w:val="sr-Latn-ME"/>
        </w:rPr>
        <w:t xml:space="preserve"> je</w:t>
      </w:r>
      <w:r w:rsidRPr="00424A4B">
        <w:rPr>
          <w:sz w:val="22"/>
          <w:szCs w:val="22"/>
          <w:lang w:val="sr-Latn-ME"/>
        </w:rPr>
        <w:t xml:space="preserve"> dovela do epizoda teškog sekre</w:t>
      </w:r>
      <w:r w:rsidR="00D36707" w:rsidRPr="00424A4B">
        <w:rPr>
          <w:sz w:val="22"/>
          <w:szCs w:val="22"/>
          <w:lang w:val="sr-Latn-ME"/>
        </w:rPr>
        <w:t>tornog</w:t>
      </w:r>
      <w:r w:rsidRPr="00424A4B">
        <w:rPr>
          <w:sz w:val="22"/>
          <w:szCs w:val="22"/>
          <w:lang w:val="sr-Latn-ME"/>
        </w:rPr>
        <w:t xml:space="preserve"> proliva. Proliv je uspješno zbrinut (osim u slučaju eutanazije jedne životinje koje je primala dozu od 50 mg/kg) suportivnom terapijom koja je uključivala intravensku nadoknadu tečnosti.</w:t>
      </w:r>
    </w:p>
    <w:p w:rsidR="00396DFD" w:rsidRPr="00424A4B" w:rsidRDefault="00396DFD" w:rsidP="005C33D8">
      <w:pPr>
        <w:tabs>
          <w:tab w:val="left" w:pos="540"/>
          <w:tab w:val="left" w:pos="569"/>
        </w:tabs>
        <w:rPr>
          <w:b/>
          <w:bCs/>
          <w:sz w:val="22"/>
          <w:szCs w:val="22"/>
          <w:lang w:val="sr-Latn-ME"/>
        </w:rPr>
      </w:pPr>
    </w:p>
    <w:p w:rsidR="008342CF" w:rsidRPr="00424A4B" w:rsidRDefault="008342CF" w:rsidP="00CD41AC">
      <w:pPr>
        <w:tabs>
          <w:tab w:val="left" w:pos="540"/>
          <w:tab w:val="left" w:pos="569"/>
        </w:tabs>
        <w:rPr>
          <w:b/>
          <w:bCs/>
          <w:sz w:val="22"/>
          <w:szCs w:val="22"/>
          <w:lang w:val="sr-Latn-ME"/>
        </w:rPr>
      </w:pPr>
    </w:p>
    <w:p w:rsidR="0072020E" w:rsidRPr="00424A4B" w:rsidRDefault="0072020E">
      <w:pPr>
        <w:tabs>
          <w:tab w:val="left" w:pos="540"/>
          <w:tab w:val="left" w:pos="569"/>
        </w:tabs>
        <w:rPr>
          <w:b/>
          <w:bCs/>
          <w:sz w:val="22"/>
          <w:szCs w:val="22"/>
          <w:lang w:val="sr-Latn-ME"/>
        </w:rPr>
      </w:pPr>
      <w:r w:rsidRPr="00424A4B">
        <w:rPr>
          <w:b/>
          <w:bCs/>
          <w:sz w:val="22"/>
          <w:szCs w:val="22"/>
          <w:lang w:val="sr-Latn-ME"/>
        </w:rPr>
        <w:t xml:space="preserve">6. </w:t>
      </w:r>
      <w:r w:rsidR="00480FB1" w:rsidRPr="00424A4B">
        <w:rPr>
          <w:b/>
          <w:bCs/>
          <w:sz w:val="22"/>
          <w:szCs w:val="22"/>
          <w:lang w:val="sr-Latn-ME"/>
        </w:rPr>
        <w:tab/>
      </w:r>
      <w:r w:rsidRPr="00424A4B">
        <w:rPr>
          <w:b/>
          <w:bCs/>
          <w:sz w:val="22"/>
          <w:szCs w:val="22"/>
          <w:lang w:val="sr-Latn-ME"/>
        </w:rPr>
        <w:t>FARMACEUTSKI PODACI</w:t>
      </w:r>
    </w:p>
    <w:p w:rsidR="00836B35" w:rsidRPr="00424A4B" w:rsidRDefault="00836B35">
      <w:pPr>
        <w:tabs>
          <w:tab w:val="left" w:pos="540"/>
          <w:tab w:val="left" w:pos="569"/>
        </w:tabs>
        <w:rPr>
          <w:bCs/>
          <w:sz w:val="22"/>
          <w:szCs w:val="22"/>
          <w:lang w:val="sr-Latn-ME"/>
        </w:rPr>
      </w:pPr>
    </w:p>
    <w:p w:rsidR="0072020E" w:rsidRPr="00424A4B" w:rsidRDefault="0072020E">
      <w:pPr>
        <w:tabs>
          <w:tab w:val="left" w:pos="540"/>
          <w:tab w:val="left" w:pos="569"/>
        </w:tabs>
        <w:rPr>
          <w:b/>
          <w:bCs/>
          <w:sz w:val="22"/>
          <w:szCs w:val="22"/>
          <w:lang w:val="sr-Latn-ME"/>
        </w:rPr>
      </w:pPr>
      <w:r w:rsidRPr="00424A4B">
        <w:rPr>
          <w:b/>
          <w:bCs/>
          <w:sz w:val="22"/>
          <w:szCs w:val="22"/>
          <w:lang w:val="sr-Latn-ME"/>
        </w:rPr>
        <w:t xml:space="preserve">6.1. </w:t>
      </w:r>
      <w:r w:rsidR="00480FB1" w:rsidRPr="00424A4B">
        <w:rPr>
          <w:b/>
          <w:bCs/>
          <w:sz w:val="22"/>
          <w:szCs w:val="22"/>
          <w:lang w:val="sr-Latn-ME"/>
        </w:rPr>
        <w:tab/>
      </w:r>
      <w:r w:rsidRPr="00424A4B">
        <w:rPr>
          <w:b/>
          <w:bCs/>
          <w:sz w:val="22"/>
          <w:szCs w:val="22"/>
          <w:lang w:val="sr-Latn-ME"/>
        </w:rPr>
        <w:t>Lista pomoćnih supstanci</w:t>
      </w:r>
      <w:r w:rsidR="002E0135" w:rsidRPr="00424A4B">
        <w:rPr>
          <w:b/>
          <w:bCs/>
          <w:sz w:val="22"/>
          <w:szCs w:val="22"/>
          <w:lang w:val="sr-Latn-ME"/>
        </w:rPr>
        <w:t xml:space="preserve"> (ekscipijenasa)</w:t>
      </w:r>
    </w:p>
    <w:p w:rsidR="00643CC7" w:rsidRPr="00424A4B" w:rsidRDefault="00643CC7" w:rsidP="0055503A">
      <w:pPr>
        <w:rPr>
          <w:sz w:val="22"/>
          <w:szCs w:val="22"/>
          <w:lang w:val="sr-Latn-ME"/>
        </w:rPr>
      </w:pPr>
    </w:p>
    <w:p w:rsidR="005E6320" w:rsidRPr="00424A4B" w:rsidRDefault="005E6320" w:rsidP="0055503A">
      <w:pPr>
        <w:rPr>
          <w:sz w:val="22"/>
          <w:szCs w:val="22"/>
          <w:lang w:val="sr-Latn-ME"/>
        </w:rPr>
      </w:pPr>
      <w:r w:rsidRPr="00424A4B">
        <w:rPr>
          <w:sz w:val="22"/>
          <w:szCs w:val="22"/>
          <w:lang w:val="sr-Latn-ME"/>
        </w:rPr>
        <w:t xml:space="preserve">sirćetna kiselina, </w:t>
      </w:r>
      <w:r w:rsidR="00643CC7" w:rsidRPr="00424A4B">
        <w:rPr>
          <w:sz w:val="22"/>
          <w:szCs w:val="22"/>
          <w:lang w:val="sr-Latn-ME"/>
        </w:rPr>
        <w:t>glacijalna</w:t>
      </w:r>
    </w:p>
    <w:p w:rsidR="005E6320" w:rsidRPr="00424A4B" w:rsidRDefault="005E6320" w:rsidP="0055503A">
      <w:pPr>
        <w:rPr>
          <w:sz w:val="22"/>
          <w:szCs w:val="22"/>
          <w:lang w:val="sr-Latn-ME"/>
        </w:rPr>
      </w:pPr>
      <w:r w:rsidRPr="00424A4B">
        <w:rPr>
          <w:sz w:val="22"/>
          <w:szCs w:val="22"/>
          <w:lang w:val="sr-Latn-ME"/>
        </w:rPr>
        <w:t>L-histidin</w:t>
      </w:r>
    </w:p>
    <w:p w:rsidR="005E6320" w:rsidRPr="00424A4B" w:rsidRDefault="005E6320" w:rsidP="0055503A">
      <w:pPr>
        <w:rPr>
          <w:sz w:val="22"/>
          <w:szCs w:val="22"/>
          <w:lang w:val="sr-Latn-ME"/>
        </w:rPr>
      </w:pPr>
      <w:r w:rsidRPr="00424A4B">
        <w:rPr>
          <w:sz w:val="22"/>
          <w:szCs w:val="22"/>
          <w:lang w:val="sr-Latn-ME"/>
        </w:rPr>
        <w:t>saharoza</w:t>
      </w:r>
    </w:p>
    <w:p w:rsidR="005E6320" w:rsidRPr="00424A4B" w:rsidRDefault="005E6320" w:rsidP="0055503A">
      <w:pPr>
        <w:rPr>
          <w:sz w:val="22"/>
          <w:szCs w:val="22"/>
          <w:lang w:val="sr-Latn-ME"/>
        </w:rPr>
      </w:pPr>
      <w:r w:rsidRPr="00424A4B">
        <w:rPr>
          <w:sz w:val="22"/>
          <w:szCs w:val="22"/>
          <w:lang w:val="sr-Latn-ME"/>
        </w:rPr>
        <w:t>polisorbat 20</w:t>
      </w:r>
    </w:p>
    <w:p w:rsidR="005E6320" w:rsidRPr="00424A4B" w:rsidRDefault="005E6320" w:rsidP="0055503A">
      <w:pPr>
        <w:rPr>
          <w:sz w:val="22"/>
          <w:szCs w:val="22"/>
          <w:lang w:val="sr-Latn-ME"/>
        </w:rPr>
      </w:pPr>
      <w:r w:rsidRPr="00424A4B">
        <w:rPr>
          <w:sz w:val="22"/>
          <w:szCs w:val="22"/>
          <w:lang w:val="sr-Latn-ME"/>
        </w:rPr>
        <w:t>voda za injekcije</w:t>
      </w:r>
    </w:p>
    <w:p w:rsidR="0072020E" w:rsidRPr="00424A4B" w:rsidRDefault="0072020E" w:rsidP="005C33D8">
      <w:pPr>
        <w:tabs>
          <w:tab w:val="left" w:pos="540"/>
          <w:tab w:val="left" w:pos="569"/>
        </w:tabs>
        <w:rPr>
          <w:bCs/>
          <w:sz w:val="22"/>
          <w:szCs w:val="22"/>
          <w:lang w:val="sr-Latn-ME"/>
        </w:rPr>
      </w:pPr>
    </w:p>
    <w:p w:rsidR="0072020E" w:rsidRPr="00424A4B" w:rsidRDefault="0072020E" w:rsidP="00CD41AC">
      <w:pPr>
        <w:tabs>
          <w:tab w:val="left" w:pos="540"/>
          <w:tab w:val="left" w:pos="569"/>
        </w:tabs>
        <w:rPr>
          <w:b/>
          <w:bCs/>
          <w:sz w:val="22"/>
          <w:szCs w:val="22"/>
          <w:lang w:val="sr-Latn-ME"/>
        </w:rPr>
      </w:pPr>
      <w:r w:rsidRPr="00424A4B">
        <w:rPr>
          <w:b/>
          <w:bCs/>
          <w:sz w:val="22"/>
          <w:szCs w:val="22"/>
          <w:lang w:val="sr-Latn-ME"/>
        </w:rPr>
        <w:t xml:space="preserve">6.2. </w:t>
      </w:r>
      <w:r w:rsidR="00480FB1" w:rsidRPr="00424A4B">
        <w:rPr>
          <w:b/>
          <w:bCs/>
          <w:sz w:val="22"/>
          <w:szCs w:val="22"/>
          <w:lang w:val="sr-Latn-ME"/>
        </w:rPr>
        <w:tab/>
      </w:r>
      <w:r w:rsidRPr="00424A4B">
        <w:rPr>
          <w:b/>
          <w:bCs/>
          <w:sz w:val="22"/>
          <w:szCs w:val="22"/>
          <w:lang w:val="sr-Latn-ME"/>
        </w:rPr>
        <w:t>Inkompatibilnost</w:t>
      </w:r>
      <w:r w:rsidR="002846DB" w:rsidRPr="00424A4B">
        <w:rPr>
          <w:b/>
          <w:bCs/>
          <w:sz w:val="22"/>
          <w:szCs w:val="22"/>
          <w:lang w:val="sr-Latn-ME"/>
        </w:rPr>
        <w:t>i</w:t>
      </w:r>
    </w:p>
    <w:p w:rsidR="00643CC7" w:rsidRPr="00424A4B" w:rsidRDefault="00643CC7">
      <w:pPr>
        <w:tabs>
          <w:tab w:val="left" w:pos="540"/>
          <w:tab w:val="left" w:pos="569"/>
        </w:tabs>
        <w:rPr>
          <w:b/>
          <w:bCs/>
          <w:sz w:val="22"/>
          <w:szCs w:val="22"/>
          <w:lang w:val="sr-Latn-ME"/>
        </w:rPr>
      </w:pPr>
    </w:p>
    <w:p w:rsidR="005E6320" w:rsidRPr="00424A4B" w:rsidRDefault="005E6320" w:rsidP="0055503A">
      <w:pPr>
        <w:rPr>
          <w:sz w:val="22"/>
          <w:szCs w:val="22"/>
          <w:lang w:val="sr-Latn-ME"/>
        </w:rPr>
      </w:pPr>
      <w:r w:rsidRPr="00424A4B">
        <w:rPr>
          <w:sz w:val="22"/>
          <w:szCs w:val="22"/>
          <w:lang w:val="sr-Latn-ME"/>
        </w:rPr>
        <w:t xml:space="preserve">Za razblaživanje lijeka </w:t>
      </w:r>
      <w:r w:rsidR="009C77FA" w:rsidRPr="00424A4B">
        <w:rPr>
          <w:sz w:val="22"/>
          <w:szCs w:val="22"/>
          <w:lang w:val="sr-Latn-ME"/>
        </w:rPr>
        <w:t>Perjeta</w:t>
      </w:r>
      <w:r w:rsidRPr="00424A4B">
        <w:rPr>
          <w:sz w:val="22"/>
          <w:szCs w:val="22"/>
          <w:lang w:val="sr-Latn-ME"/>
        </w:rPr>
        <w:t xml:space="preserve"> ne smije se koristiti rastvor glukoze (5%) jer </w:t>
      </w:r>
      <w:r w:rsidR="00E27A7A" w:rsidRPr="00424A4B">
        <w:rPr>
          <w:sz w:val="22"/>
          <w:szCs w:val="22"/>
          <w:lang w:val="sr-Latn-ME"/>
        </w:rPr>
        <w:t>lijek</w:t>
      </w:r>
      <w:r w:rsidRPr="00424A4B">
        <w:rPr>
          <w:sz w:val="22"/>
          <w:szCs w:val="22"/>
          <w:lang w:val="sr-Latn-ME"/>
        </w:rPr>
        <w:t xml:space="preserve"> u takvim rastvorima </w:t>
      </w:r>
      <w:r w:rsidR="00EC72BD" w:rsidRPr="00424A4B">
        <w:rPr>
          <w:sz w:val="22"/>
          <w:szCs w:val="22"/>
          <w:lang w:val="sr-Latn-ME"/>
        </w:rPr>
        <w:t xml:space="preserve">pokazuje </w:t>
      </w:r>
      <w:r w:rsidRPr="00424A4B">
        <w:rPr>
          <w:sz w:val="22"/>
          <w:szCs w:val="22"/>
          <w:lang w:val="sr-Latn-ME"/>
        </w:rPr>
        <w:t>fizičko</w:t>
      </w:r>
      <w:r w:rsidR="00643CC7" w:rsidRPr="00424A4B">
        <w:rPr>
          <w:sz w:val="22"/>
          <w:szCs w:val="22"/>
          <w:lang w:val="sr-Latn-ME"/>
        </w:rPr>
        <w:t>-</w:t>
      </w:r>
      <w:r w:rsidRPr="00424A4B">
        <w:rPr>
          <w:sz w:val="22"/>
          <w:szCs w:val="22"/>
          <w:lang w:val="sr-Latn-ME"/>
        </w:rPr>
        <w:t>hemijsk</w:t>
      </w:r>
      <w:r w:rsidR="00EC72BD" w:rsidRPr="00424A4B">
        <w:rPr>
          <w:sz w:val="22"/>
          <w:szCs w:val="22"/>
          <w:lang w:val="sr-Latn-ME"/>
        </w:rPr>
        <w:t>u</w:t>
      </w:r>
      <w:r w:rsidRPr="00424A4B">
        <w:rPr>
          <w:sz w:val="22"/>
          <w:szCs w:val="22"/>
          <w:lang w:val="sr-Latn-ME"/>
        </w:rPr>
        <w:t xml:space="preserve"> nestabil</w:t>
      </w:r>
      <w:r w:rsidR="00B21D55" w:rsidRPr="00424A4B">
        <w:rPr>
          <w:sz w:val="22"/>
          <w:szCs w:val="22"/>
          <w:lang w:val="sr-Latn-ME"/>
        </w:rPr>
        <w:t>n</w:t>
      </w:r>
      <w:r w:rsidR="00EC72BD" w:rsidRPr="00424A4B">
        <w:rPr>
          <w:sz w:val="22"/>
          <w:szCs w:val="22"/>
          <w:lang w:val="sr-Latn-ME"/>
        </w:rPr>
        <w:t>ost</w:t>
      </w:r>
      <w:r w:rsidRPr="00424A4B">
        <w:rPr>
          <w:sz w:val="22"/>
          <w:szCs w:val="22"/>
          <w:lang w:val="sr-Latn-ME"/>
        </w:rPr>
        <w:t>.</w:t>
      </w:r>
    </w:p>
    <w:p w:rsidR="00643CC7" w:rsidRPr="00424A4B" w:rsidRDefault="00643CC7" w:rsidP="0055503A">
      <w:pPr>
        <w:rPr>
          <w:sz w:val="22"/>
          <w:szCs w:val="22"/>
          <w:lang w:val="sr-Latn-ME"/>
        </w:rPr>
      </w:pPr>
    </w:p>
    <w:p w:rsidR="005E6320" w:rsidRPr="00424A4B" w:rsidRDefault="005E6320" w:rsidP="0055503A">
      <w:pPr>
        <w:rPr>
          <w:sz w:val="22"/>
          <w:szCs w:val="22"/>
          <w:lang w:val="sr-Latn-ME"/>
        </w:rPr>
      </w:pPr>
      <w:r w:rsidRPr="00424A4B">
        <w:rPr>
          <w:sz w:val="22"/>
          <w:szCs w:val="22"/>
          <w:lang w:val="sr-Latn-ME"/>
        </w:rPr>
        <w:t>Lijek se ne smije miješati s</w:t>
      </w:r>
      <w:r w:rsidR="00CD41AC" w:rsidRPr="00424A4B">
        <w:rPr>
          <w:sz w:val="22"/>
          <w:szCs w:val="22"/>
          <w:lang w:val="sr-Latn-ME"/>
        </w:rPr>
        <w:t>a</w:t>
      </w:r>
      <w:r w:rsidRPr="00424A4B">
        <w:rPr>
          <w:sz w:val="22"/>
          <w:szCs w:val="22"/>
          <w:lang w:val="sr-Latn-ME"/>
        </w:rPr>
        <w:t xml:space="preserve"> drugim ljekovima, osim onih </w:t>
      </w:r>
      <w:r w:rsidR="00643CC7" w:rsidRPr="00424A4B">
        <w:rPr>
          <w:sz w:val="22"/>
          <w:szCs w:val="22"/>
          <w:lang w:val="sr-Latn-ME"/>
        </w:rPr>
        <w:t xml:space="preserve">koji su </w:t>
      </w:r>
      <w:r w:rsidRPr="00424A4B">
        <w:rPr>
          <w:sz w:val="22"/>
          <w:szCs w:val="22"/>
          <w:lang w:val="sr-Latn-ME"/>
        </w:rPr>
        <w:t>navedeni u dijelu 6.6.</w:t>
      </w:r>
    </w:p>
    <w:p w:rsidR="0072020E" w:rsidRPr="00424A4B" w:rsidRDefault="0072020E" w:rsidP="005C33D8">
      <w:pPr>
        <w:tabs>
          <w:tab w:val="left" w:pos="540"/>
          <w:tab w:val="left" w:pos="569"/>
        </w:tabs>
        <w:rPr>
          <w:bCs/>
          <w:sz w:val="22"/>
          <w:szCs w:val="22"/>
          <w:lang w:val="sr-Latn-ME"/>
        </w:rPr>
      </w:pPr>
    </w:p>
    <w:p w:rsidR="0072020E" w:rsidRPr="00424A4B" w:rsidRDefault="0072020E" w:rsidP="00CD41AC">
      <w:pPr>
        <w:tabs>
          <w:tab w:val="left" w:pos="540"/>
          <w:tab w:val="left" w:pos="569"/>
        </w:tabs>
        <w:rPr>
          <w:b/>
          <w:bCs/>
          <w:sz w:val="22"/>
          <w:szCs w:val="22"/>
          <w:lang w:val="sr-Latn-ME"/>
        </w:rPr>
      </w:pPr>
      <w:r w:rsidRPr="00424A4B">
        <w:rPr>
          <w:b/>
          <w:bCs/>
          <w:sz w:val="22"/>
          <w:szCs w:val="22"/>
          <w:lang w:val="sr-Latn-ME"/>
        </w:rPr>
        <w:t>6.3.</w:t>
      </w:r>
      <w:r w:rsidR="00C05DF8" w:rsidRPr="00424A4B">
        <w:rPr>
          <w:b/>
          <w:bCs/>
          <w:sz w:val="22"/>
          <w:szCs w:val="22"/>
          <w:lang w:val="sr-Latn-ME"/>
        </w:rPr>
        <w:t xml:space="preserve"> </w:t>
      </w:r>
      <w:r w:rsidR="00480FB1" w:rsidRPr="00424A4B">
        <w:rPr>
          <w:b/>
          <w:bCs/>
          <w:sz w:val="22"/>
          <w:szCs w:val="22"/>
          <w:lang w:val="sr-Latn-ME"/>
        </w:rPr>
        <w:tab/>
      </w:r>
      <w:r w:rsidRPr="00424A4B">
        <w:rPr>
          <w:b/>
          <w:bCs/>
          <w:sz w:val="22"/>
          <w:szCs w:val="22"/>
          <w:lang w:val="sr-Latn-ME"/>
        </w:rPr>
        <w:t>Rok upotrebe</w:t>
      </w:r>
    </w:p>
    <w:p w:rsidR="00643CC7" w:rsidRPr="00424A4B" w:rsidRDefault="00643CC7">
      <w:pPr>
        <w:tabs>
          <w:tab w:val="left" w:pos="540"/>
          <w:tab w:val="left" w:pos="569"/>
        </w:tabs>
        <w:rPr>
          <w:b/>
          <w:bCs/>
          <w:sz w:val="22"/>
          <w:szCs w:val="22"/>
          <w:lang w:val="sr-Latn-ME"/>
        </w:rPr>
      </w:pPr>
    </w:p>
    <w:p w:rsidR="005E6320" w:rsidRPr="00424A4B" w:rsidRDefault="005E6320" w:rsidP="0055503A">
      <w:pPr>
        <w:rPr>
          <w:sz w:val="22"/>
          <w:szCs w:val="22"/>
          <w:u w:val="single"/>
          <w:lang w:val="sr-Latn-ME"/>
        </w:rPr>
      </w:pPr>
      <w:r w:rsidRPr="00424A4B">
        <w:rPr>
          <w:sz w:val="22"/>
          <w:szCs w:val="22"/>
          <w:u w:val="single"/>
          <w:lang w:val="sr-Latn-ME"/>
        </w:rPr>
        <w:t xml:space="preserve">Neotvorena bočica </w:t>
      </w:r>
    </w:p>
    <w:p w:rsidR="005E6320" w:rsidRPr="00424A4B" w:rsidRDefault="005E6320" w:rsidP="0055503A">
      <w:pPr>
        <w:rPr>
          <w:sz w:val="22"/>
          <w:szCs w:val="22"/>
          <w:lang w:val="sr-Latn-ME"/>
        </w:rPr>
      </w:pPr>
      <w:r w:rsidRPr="00424A4B">
        <w:rPr>
          <w:sz w:val="22"/>
          <w:szCs w:val="22"/>
          <w:lang w:val="sr-Latn-ME"/>
        </w:rPr>
        <w:t xml:space="preserve">2 godine. </w:t>
      </w:r>
    </w:p>
    <w:p w:rsidR="00643CC7" w:rsidRPr="00424A4B" w:rsidRDefault="00643CC7" w:rsidP="0055503A">
      <w:pPr>
        <w:rPr>
          <w:sz w:val="22"/>
          <w:szCs w:val="22"/>
          <w:lang w:val="sr-Latn-ME"/>
        </w:rPr>
      </w:pPr>
    </w:p>
    <w:p w:rsidR="005E6320" w:rsidRPr="00424A4B" w:rsidRDefault="005E6320" w:rsidP="0055503A">
      <w:pPr>
        <w:rPr>
          <w:sz w:val="22"/>
          <w:szCs w:val="22"/>
          <w:u w:val="single"/>
          <w:lang w:val="sr-Latn-ME"/>
        </w:rPr>
      </w:pPr>
      <w:r w:rsidRPr="00424A4B">
        <w:rPr>
          <w:sz w:val="22"/>
          <w:szCs w:val="22"/>
          <w:u w:val="single"/>
          <w:lang w:val="sr-Latn-ME"/>
        </w:rPr>
        <w:t>Razblažen rastvor</w:t>
      </w:r>
    </w:p>
    <w:p w:rsidR="00CE0900" w:rsidRPr="00424A4B" w:rsidRDefault="00F31A77" w:rsidP="0055503A">
      <w:pPr>
        <w:jc w:val="both"/>
        <w:rPr>
          <w:sz w:val="22"/>
          <w:szCs w:val="22"/>
          <w:lang w:val="sr-Latn-ME"/>
        </w:rPr>
      </w:pPr>
      <w:r w:rsidRPr="00424A4B">
        <w:rPr>
          <w:sz w:val="22"/>
          <w:szCs w:val="22"/>
          <w:lang w:val="sr-Latn-ME"/>
        </w:rPr>
        <w:t xml:space="preserve">Hemijska i fizička stabilnost razblaženog rastvora </w:t>
      </w:r>
      <w:r w:rsidR="00643CC7" w:rsidRPr="00424A4B">
        <w:rPr>
          <w:sz w:val="22"/>
          <w:szCs w:val="22"/>
          <w:lang w:val="sr-Latn-ME"/>
        </w:rPr>
        <w:t>d</w:t>
      </w:r>
      <w:r w:rsidRPr="00424A4B">
        <w:rPr>
          <w:sz w:val="22"/>
          <w:szCs w:val="22"/>
          <w:lang w:val="sr-Latn-ME"/>
        </w:rPr>
        <w:t xml:space="preserve">okazana je za period od 24 sata na temperaturi od 30°C i do 30 dana na temperaturi od 2°C do 8°C </w:t>
      </w:r>
      <w:r w:rsidR="00CD41AC" w:rsidRPr="00424A4B">
        <w:rPr>
          <w:sz w:val="22"/>
          <w:szCs w:val="22"/>
          <w:lang w:val="sr-Latn-ME"/>
        </w:rPr>
        <w:t xml:space="preserve">kada se čuva </w:t>
      </w:r>
      <w:r w:rsidRPr="00424A4B">
        <w:rPr>
          <w:sz w:val="22"/>
          <w:szCs w:val="22"/>
          <w:lang w:val="sr-Latn-ME"/>
        </w:rPr>
        <w:t xml:space="preserve">zaštićeno od svjetlosti. </w:t>
      </w:r>
    </w:p>
    <w:p w:rsidR="005E6320" w:rsidRPr="00424A4B" w:rsidRDefault="005E6320" w:rsidP="0055503A">
      <w:pPr>
        <w:jc w:val="both"/>
        <w:rPr>
          <w:sz w:val="22"/>
          <w:szCs w:val="22"/>
          <w:lang w:val="sr-Latn-ME"/>
        </w:rPr>
      </w:pPr>
      <w:r w:rsidRPr="00424A4B">
        <w:rPr>
          <w:sz w:val="22"/>
          <w:szCs w:val="22"/>
          <w:lang w:val="sr-Latn-ME"/>
        </w:rPr>
        <w:t xml:space="preserve">Sa mikrobiološke tačke gledišta, razblaženi rastvor se mora odmah primijeniti. Ako se ne primijeni odmah, vrijeme i uslovi čuvanja prije primjene odgovornost su korisnika i normalno ne bi trebali biti duži od 24 sata na temperaturi od 2°C do 8°C, osim ako se postupak razblaživanja ne sprovodi u kontrolisanim i validiranim aseptičnim uslovima. </w:t>
      </w:r>
    </w:p>
    <w:p w:rsidR="0072020E" w:rsidRPr="00424A4B" w:rsidRDefault="0072020E" w:rsidP="005C33D8">
      <w:pPr>
        <w:tabs>
          <w:tab w:val="left" w:pos="540"/>
          <w:tab w:val="left" w:pos="569"/>
        </w:tabs>
        <w:rPr>
          <w:bCs/>
          <w:sz w:val="22"/>
          <w:szCs w:val="22"/>
          <w:lang w:val="sr-Latn-ME"/>
        </w:rPr>
      </w:pPr>
    </w:p>
    <w:p w:rsidR="0072020E" w:rsidRPr="00424A4B" w:rsidRDefault="0072020E">
      <w:pPr>
        <w:tabs>
          <w:tab w:val="left" w:pos="540"/>
          <w:tab w:val="left" w:pos="569"/>
        </w:tabs>
        <w:rPr>
          <w:b/>
          <w:bCs/>
          <w:sz w:val="22"/>
          <w:szCs w:val="22"/>
          <w:lang w:val="sr-Latn-ME"/>
        </w:rPr>
      </w:pPr>
      <w:r w:rsidRPr="00424A4B">
        <w:rPr>
          <w:b/>
          <w:bCs/>
          <w:sz w:val="22"/>
          <w:szCs w:val="22"/>
          <w:lang w:val="sr-Latn-ME"/>
        </w:rPr>
        <w:t xml:space="preserve">6.4. </w:t>
      </w:r>
      <w:r w:rsidR="00480FB1" w:rsidRPr="00424A4B">
        <w:rPr>
          <w:b/>
          <w:bCs/>
          <w:sz w:val="22"/>
          <w:szCs w:val="22"/>
          <w:lang w:val="sr-Latn-ME"/>
        </w:rPr>
        <w:tab/>
      </w:r>
      <w:r w:rsidRPr="00424A4B">
        <w:rPr>
          <w:b/>
          <w:bCs/>
          <w:sz w:val="22"/>
          <w:szCs w:val="22"/>
          <w:lang w:val="sr-Latn-ME"/>
        </w:rPr>
        <w:t>Posebne mjere upozorenja pri čuvanju</w:t>
      </w:r>
      <w:r w:rsidR="00F8570A" w:rsidRPr="00424A4B">
        <w:rPr>
          <w:b/>
          <w:bCs/>
          <w:sz w:val="22"/>
          <w:szCs w:val="22"/>
          <w:lang w:val="sr-Latn-ME"/>
        </w:rPr>
        <w:t xml:space="preserve"> lijeka</w:t>
      </w:r>
    </w:p>
    <w:p w:rsidR="00445878" w:rsidRPr="00424A4B" w:rsidRDefault="00445878">
      <w:pPr>
        <w:tabs>
          <w:tab w:val="left" w:pos="540"/>
          <w:tab w:val="left" w:pos="569"/>
        </w:tabs>
        <w:rPr>
          <w:b/>
          <w:bCs/>
          <w:sz w:val="22"/>
          <w:szCs w:val="22"/>
          <w:lang w:val="sr-Latn-ME"/>
        </w:rPr>
      </w:pPr>
    </w:p>
    <w:p w:rsidR="005E6320" w:rsidRPr="00424A4B" w:rsidRDefault="005E6320">
      <w:pPr>
        <w:tabs>
          <w:tab w:val="left" w:pos="540"/>
          <w:tab w:val="left" w:pos="569"/>
        </w:tabs>
        <w:rPr>
          <w:bCs/>
          <w:sz w:val="22"/>
          <w:szCs w:val="22"/>
          <w:lang w:val="sr-Latn-ME"/>
        </w:rPr>
      </w:pPr>
      <w:r w:rsidRPr="00424A4B">
        <w:rPr>
          <w:bCs/>
          <w:sz w:val="22"/>
          <w:szCs w:val="22"/>
          <w:lang w:val="sr-Latn-ME"/>
        </w:rPr>
        <w:t>Čuvati u frižideru (2°C</w:t>
      </w:r>
      <w:r w:rsidR="00643CC7" w:rsidRPr="00424A4B">
        <w:rPr>
          <w:bCs/>
          <w:sz w:val="22"/>
          <w:szCs w:val="22"/>
          <w:lang w:val="sr-Latn-ME"/>
        </w:rPr>
        <w:t xml:space="preserve"> </w:t>
      </w:r>
      <w:r w:rsidRPr="00424A4B">
        <w:rPr>
          <w:bCs/>
          <w:sz w:val="22"/>
          <w:szCs w:val="22"/>
          <w:lang w:val="sr-Latn-ME"/>
        </w:rPr>
        <w:t>-</w:t>
      </w:r>
      <w:r w:rsidR="00643CC7" w:rsidRPr="00424A4B">
        <w:rPr>
          <w:bCs/>
          <w:sz w:val="22"/>
          <w:szCs w:val="22"/>
          <w:lang w:val="sr-Latn-ME"/>
        </w:rPr>
        <w:t xml:space="preserve"> </w:t>
      </w:r>
      <w:r w:rsidRPr="00424A4B">
        <w:rPr>
          <w:bCs/>
          <w:sz w:val="22"/>
          <w:szCs w:val="22"/>
          <w:lang w:val="sr-Latn-ME"/>
        </w:rPr>
        <w:t>8°C).</w:t>
      </w:r>
    </w:p>
    <w:p w:rsidR="005E6320" w:rsidRPr="00424A4B" w:rsidRDefault="005E6320">
      <w:pPr>
        <w:tabs>
          <w:tab w:val="left" w:pos="540"/>
          <w:tab w:val="left" w:pos="569"/>
        </w:tabs>
        <w:rPr>
          <w:bCs/>
          <w:sz w:val="22"/>
          <w:szCs w:val="22"/>
          <w:lang w:val="sr-Latn-ME"/>
        </w:rPr>
      </w:pPr>
      <w:r w:rsidRPr="00424A4B">
        <w:rPr>
          <w:bCs/>
          <w:sz w:val="22"/>
          <w:szCs w:val="22"/>
          <w:lang w:val="sr-Latn-ME"/>
        </w:rPr>
        <w:t xml:space="preserve">Ne zamrzavati. </w:t>
      </w:r>
    </w:p>
    <w:p w:rsidR="005E6320" w:rsidRPr="00424A4B" w:rsidRDefault="005E6320">
      <w:pPr>
        <w:tabs>
          <w:tab w:val="left" w:pos="540"/>
          <w:tab w:val="left" w:pos="569"/>
        </w:tabs>
        <w:rPr>
          <w:bCs/>
          <w:sz w:val="22"/>
          <w:szCs w:val="22"/>
          <w:lang w:val="sr-Latn-ME"/>
        </w:rPr>
      </w:pPr>
      <w:r w:rsidRPr="00424A4B">
        <w:rPr>
          <w:bCs/>
          <w:sz w:val="22"/>
          <w:szCs w:val="22"/>
          <w:lang w:val="sr-Latn-ME"/>
        </w:rPr>
        <w:t>Bočicu čuvati u spoljnjem pakovanju</w:t>
      </w:r>
      <w:r w:rsidR="00643CC7" w:rsidRPr="00424A4B">
        <w:rPr>
          <w:bCs/>
          <w:sz w:val="22"/>
          <w:szCs w:val="22"/>
          <w:lang w:val="sr-Latn-ME"/>
        </w:rPr>
        <w:t>,</w:t>
      </w:r>
      <w:r w:rsidRPr="00424A4B">
        <w:rPr>
          <w:bCs/>
          <w:sz w:val="22"/>
          <w:szCs w:val="22"/>
          <w:lang w:val="sr-Latn-ME"/>
        </w:rPr>
        <w:t xml:space="preserve"> radi zaštite od svjetlosti.</w:t>
      </w:r>
    </w:p>
    <w:p w:rsidR="00643CC7" w:rsidRPr="00424A4B" w:rsidRDefault="00643CC7">
      <w:pPr>
        <w:tabs>
          <w:tab w:val="left" w:pos="540"/>
          <w:tab w:val="left" w:pos="569"/>
        </w:tabs>
        <w:rPr>
          <w:bCs/>
          <w:sz w:val="22"/>
          <w:szCs w:val="22"/>
          <w:lang w:val="sr-Latn-ME"/>
        </w:rPr>
      </w:pPr>
    </w:p>
    <w:p w:rsidR="005E6320" w:rsidRPr="00424A4B" w:rsidRDefault="005E6320">
      <w:pPr>
        <w:tabs>
          <w:tab w:val="left" w:pos="540"/>
          <w:tab w:val="left" w:pos="569"/>
        </w:tabs>
        <w:rPr>
          <w:bCs/>
          <w:sz w:val="22"/>
          <w:szCs w:val="22"/>
          <w:lang w:val="sr-Latn-ME"/>
        </w:rPr>
      </w:pPr>
      <w:r w:rsidRPr="00424A4B">
        <w:rPr>
          <w:bCs/>
          <w:sz w:val="22"/>
          <w:szCs w:val="22"/>
          <w:lang w:val="sr-Latn-ME"/>
        </w:rPr>
        <w:t>Uslove čuvanja nakon razblaživanja lijeka vidjeti u dijelu 6.3.</w:t>
      </w:r>
    </w:p>
    <w:p w:rsidR="00A06870" w:rsidRPr="00424A4B" w:rsidRDefault="00A06870">
      <w:pPr>
        <w:tabs>
          <w:tab w:val="left" w:pos="540"/>
          <w:tab w:val="left" w:pos="569"/>
        </w:tabs>
        <w:rPr>
          <w:b/>
          <w:bCs/>
          <w:sz w:val="22"/>
          <w:szCs w:val="22"/>
          <w:lang w:val="sr-Latn-ME"/>
        </w:rPr>
      </w:pPr>
    </w:p>
    <w:p w:rsidR="0072020E" w:rsidRPr="00424A4B" w:rsidRDefault="0072020E">
      <w:pPr>
        <w:tabs>
          <w:tab w:val="left" w:pos="540"/>
          <w:tab w:val="left" w:pos="569"/>
        </w:tabs>
        <w:rPr>
          <w:b/>
          <w:bCs/>
          <w:sz w:val="22"/>
          <w:szCs w:val="22"/>
          <w:lang w:val="sr-Latn-ME"/>
        </w:rPr>
      </w:pPr>
      <w:r w:rsidRPr="00424A4B">
        <w:rPr>
          <w:b/>
          <w:bCs/>
          <w:sz w:val="22"/>
          <w:szCs w:val="22"/>
          <w:lang w:val="sr-Latn-ME"/>
        </w:rPr>
        <w:t xml:space="preserve">6.5. </w:t>
      </w:r>
      <w:r w:rsidR="00480FB1" w:rsidRPr="00424A4B">
        <w:rPr>
          <w:b/>
          <w:bCs/>
          <w:sz w:val="22"/>
          <w:szCs w:val="22"/>
          <w:lang w:val="sr-Latn-ME"/>
        </w:rPr>
        <w:tab/>
      </w:r>
      <w:r w:rsidR="002846DB" w:rsidRPr="00424A4B">
        <w:rPr>
          <w:b/>
          <w:bCs/>
          <w:sz w:val="22"/>
          <w:szCs w:val="22"/>
          <w:lang w:val="sr-Latn-ME"/>
        </w:rPr>
        <w:t xml:space="preserve">Vrsta i sadržaj </w:t>
      </w:r>
      <w:r w:rsidR="00F8570A" w:rsidRPr="00424A4B">
        <w:rPr>
          <w:b/>
          <w:bCs/>
          <w:sz w:val="22"/>
          <w:szCs w:val="22"/>
          <w:lang w:val="sr-Latn-ME"/>
        </w:rPr>
        <w:t>pakovanja</w:t>
      </w:r>
      <w:r w:rsidR="00C06864" w:rsidRPr="00424A4B">
        <w:rPr>
          <w:b/>
          <w:bCs/>
          <w:sz w:val="22"/>
          <w:szCs w:val="22"/>
          <w:lang w:val="sr-Latn-ME"/>
        </w:rPr>
        <w:t xml:space="preserve"> </w:t>
      </w:r>
    </w:p>
    <w:p w:rsidR="00445878" w:rsidRPr="00424A4B" w:rsidRDefault="00445878">
      <w:pPr>
        <w:tabs>
          <w:tab w:val="left" w:pos="540"/>
          <w:tab w:val="left" w:pos="569"/>
        </w:tabs>
        <w:rPr>
          <w:b/>
          <w:bCs/>
          <w:sz w:val="22"/>
          <w:szCs w:val="22"/>
          <w:lang w:val="sr-Latn-ME"/>
        </w:rPr>
      </w:pPr>
    </w:p>
    <w:p w:rsidR="005E6320" w:rsidRPr="00424A4B" w:rsidRDefault="005E6320" w:rsidP="0055503A">
      <w:pPr>
        <w:rPr>
          <w:sz w:val="22"/>
          <w:szCs w:val="22"/>
          <w:lang w:val="sr-Latn-ME"/>
        </w:rPr>
      </w:pPr>
      <w:r w:rsidRPr="00424A4B">
        <w:rPr>
          <w:sz w:val="22"/>
          <w:szCs w:val="22"/>
          <w:lang w:val="sr-Latn-ME"/>
        </w:rPr>
        <w:t xml:space="preserve">Bočica (staklo tipa I) sa čepom (butil guma) koja sadrži 14 ml rastvora. </w:t>
      </w:r>
    </w:p>
    <w:p w:rsidR="005E6320" w:rsidRPr="00424A4B" w:rsidRDefault="005E6320" w:rsidP="0055503A">
      <w:pPr>
        <w:rPr>
          <w:sz w:val="22"/>
          <w:szCs w:val="22"/>
          <w:lang w:val="sr-Latn-ME"/>
        </w:rPr>
      </w:pPr>
      <w:r w:rsidRPr="00424A4B">
        <w:rPr>
          <w:sz w:val="22"/>
          <w:szCs w:val="22"/>
          <w:lang w:val="sr-Latn-ME"/>
        </w:rPr>
        <w:t>Pakovanje od 1 bočice.</w:t>
      </w:r>
    </w:p>
    <w:p w:rsidR="0072020E" w:rsidRPr="00424A4B" w:rsidRDefault="0072020E" w:rsidP="005C33D8">
      <w:pPr>
        <w:tabs>
          <w:tab w:val="left" w:pos="540"/>
          <w:tab w:val="left" w:pos="569"/>
        </w:tabs>
        <w:rPr>
          <w:bCs/>
          <w:sz w:val="22"/>
          <w:szCs w:val="22"/>
          <w:lang w:val="sr-Latn-ME"/>
        </w:rPr>
      </w:pPr>
    </w:p>
    <w:p w:rsidR="002846DB" w:rsidRPr="00424A4B" w:rsidRDefault="0072020E" w:rsidP="00CD41AC">
      <w:pPr>
        <w:tabs>
          <w:tab w:val="left" w:pos="540"/>
          <w:tab w:val="left" w:pos="569"/>
        </w:tabs>
        <w:rPr>
          <w:b/>
          <w:bCs/>
          <w:sz w:val="22"/>
          <w:szCs w:val="22"/>
          <w:lang w:val="sr-Latn-ME"/>
        </w:rPr>
      </w:pPr>
      <w:r w:rsidRPr="00424A4B">
        <w:rPr>
          <w:b/>
          <w:bCs/>
          <w:sz w:val="22"/>
          <w:szCs w:val="22"/>
          <w:lang w:val="sr-Latn-ME"/>
        </w:rPr>
        <w:t xml:space="preserve">6.6. </w:t>
      </w:r>
      <w:r w:rsidR="00480FB1" w:rsidRPr="00424A4B">
        <w:rPr>
          <w:b/>
          <w:bCs/>
          <w:sz w:val="22"/>
          <w:szCs w:val="22"/>
          <w:lang w:val="sr-Latn-ME"/>
        </w:rPr>
        <w:tab/>
      </w:r>
      <w:r w:rsidRPr="00424A4B">
        <w:rPr>
          <w:b/>
          <w:bCs/>
          <w:color w:val="000000"/>
          <w:sz w:val="22"/>
          <w:szCs w:val="22"/>
          <w:lang w:val="sr-Latn-ME"/>
        </w:rPr>
        <w:t>Posebne mjere opreza pri odlaganju materijala koji treba odbaciti nakon primjene lijeka</w:t>
      </w:r>
      <w:r w:rsidRPr="00424A4B">
        <w:rPr>
          <w:b/>
          <w:bCs/>
          <w:sz w:val="22"/>
          <w:szCs w:val="22"/>
          <w:lang w:val="sr-Latn-ME"/>
        </w:rPr>
        <w:t xml:space="preserve"> </w:t>
      </w:r>
      <w:r w:rsidR="00310F03" w:rsidRPr="00424A4B">
        <w:rPr>
          <w:b/>
          <w:bCs/>
          <w:sz w:val="22"/>
          <w:szCs w:val="22"/>
          <w:lang w:val="sr-Latn-ME"/>
        </w:rPr>
        <w:t xml:space="preserve">(i druga uputsva za rukovanje lijekom) </w:t>
      </w:r>
    </w:p>
    <w:p w:rsidR="00445878" w:rsidRPr="00424A4B" w:rsidRDefault="00445878">
      <w:pPr>
        <w:tabs>
          <w:tab w:val="left" w:pos="540"/>
          <w:tab w:val="left" w:pos="569"/>
        </w:tabs>
        <w:rPr>
          <w:b/>
          <w:bCs/>
          <w:sz w:val="22"/>
          <w:szCs w:val="22"/>
          <w:lang w:val="sr-Latn-ME"/>
        </w:rPr>
      </w:pPr>
    </w:p>
    <w:p w:rsidR="005E6320" w:rsidRPr="00424A4B" w:rsidRDefault="00E27A7A" w:rsidP="0055503A">
      <w:pPr>
        <w:jc w:val="both"/>
        <w:rPr>
          <w:sz w:val="22"/>
          <w:szCs w:val="22"/>
          <w:lang w:val="sr-Latn-ME"/>
        </w:rPr>
      </w:pPr>
      <w:r w:rsidRPr="00424A4B">
        <w:rPr>
          <w:sz w:val="22"/>
          <w:szCs w:val="22"/>
          <w:lang w:val="sr-Latn-ME"/>
        </w:rPr>
        <w:t xml:space="preserve">Lijek </w:t>
      </w:r>
      <w:r w:rsidR="009C77FA" w:rsidRPr="00424A4B">
        <w:rPr>
          <w:sz w:val="22"/>
          <w:szCs w:val="22"/>
          <w:lang w:val="sr-Latn-ME"/>
        </w:rPr>
        <w:t>Perjeta</w:t>
      </w:r>
      <w:r w:rsidR="005E6320" w:rsidRPr="00424A4B">
        <w:rPr>
          <w:sz w:val="22"/>
          <w:szCs w:val="22"/>
          <w:lang w:val="sr-Latn-ME"/>
        </w:rPr>
        <w:t xml:space="preserve"> ne sadrži antimikrobne konzervanse, pa je potreban oprez kako bi se osigurala sterilnost pripremljenog rastvora za infuziju. Rastvor mora pripremiti zdravstveni radnik. </w:t>
      </w:r>
    </w:p>
    <w:p w:rsidR="00445878" w:rsidRPr="00424A4B" w:rsidRDefault="00445878" w:rsidP="0055503A">
      <w:pPr>
        <w:jc w:val="both"/>
        <w:rPr>
          <w:sz w:val="22"/>
          <w:szCs w:val="22"/>
          <w:lang w:val="sr-Latn-ME"/>
        </w:rPr>
      </w:pPr>
    </w:p>
    <w:p w:rsidR="005E6320" w:rsidRPr="00424A4B" w:rsidRDefault="00E27A7A" w:rsidP="0055503A">
      <w:pPr>
        <w:jc w:val="both"/>
        <w:rPr>
          <w:sz w:val="22"/>
          <w:szCs w:val="22"/>
          <w:lang w:val="sr-Latn-ME"/>
        </w:rPr>
      </w:pPr>
      <w:r w:rsidRPr="00424A4B">
        <w:rPr>
          <w:sz w:val="22"/>
          <w:szCs w:val="22"/>
          <w:lang w:val="sr-Latn-ME"/>
        </w:rPr>
        <w:t xml:space="preserve">Lijek </w:t>
      </w:r>
      <w:r w:rsidR="005E6320" w:rsidRPr="00424A4B">
        <w:rPr>
          <w:sz w:val="22"/>
          <w:szCs w:val="22"/>
          <w:lang w:val="sr-Latn-ME"/>
        </w:rPr>
        <w:t>Perjeta</w:t>
      </w:r>
      <w:r w:rsidR="009F6155" w:rsidRPr="00424A4B">
        <w:rPr>
          <w:sz w:val="22"/>
          <w:szCs w:val="22"/>
          <w:lang w:val="sr-Latn-ME"/>
        </w:rPr>
        <w:t xml:space="preserve"> </w:t>
      </w:r>
      <w:r w:rsidR="005E6320" w:rsidRPr="00424A4B">
        <w:rPr>
          <w:sz w:val="22"/>
          <w:szCs w:val="22"/>
          <w:lang w:val="sr-Latn-ME"/>
        </w:rPr>
        <w:t>je namijenjen isključivo za jednokratnu upotrebu</w:t>
      </w:r>
      <w:r w:rsidRPr="00424A4B">
        <w:rPr>
          <w:sz w:val="22"/>
          <w:szCs w:val="22"/>
          <w:lang w:val="sr-Latn-ME"/>
        </w:rPr>
        <w:t>.</w:t>
      </w:r>
    </w:p>
    <w:p w:rsidR="00445878" w:rsidRPr="00424A4B" w:rsidRDefault="00445878"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Bočica se ne smije tresti. </w:t>
      </w:r>
      <w:r w:rsidR="00445878" w:rsidRPr="00424A4B">
        <w:rPr>
          <w:sz w:val="22"/>
          <w:szCs w:val="22"/>
          <w:lang w:val="sr-Latn-ME"/>
        </w:rPr>
        <w:t>Sadržaj od</w:t>
      </w:r>
      <w:r w:rsidRPr="00424A4B">
        <w:rPr>
          <w:sz w:val="22"/>
          <w:szCs w:val="22"/>
          <w:lang w:val="sr-Latn-ME"/>
        </w:rPr>
        <w:t xml:space="preserve"> 14 ml koncentrata lijeka </w:t>
      </w:r>
      <w:r w:rsidR="009C77FA" w:rsidRPr="00424A4B">
        <w:rPr>
          <w:sz w:val="22"/>
          <w:szCs w:val="22"/>
          <w:lang w:val="sr-Latn-ME"/>
        </w:rPr>
        <w:t>Perjeta</w:t>
      </w:r>
      <w:r w:rsidRPr="00424A4B">
        <w:rPr>
          <w:sz w:val="22"/>
          <w:szCs w:val="22"/>
          <w:lang w:val="sr-Latn-ME"/>
        </w:rPr>
        <w:t xml:space="preserve"> </w:t>
      </w:r>
      <w:r w:rsidR="00445878" w:rsidRPr="00424A4B">
        <w:rPr>
          <w:sz w:val="22"/>
          <w:szCs w:val="22"/>
          <w:lang w:val="sr-Latn-ME"/>
        </w:rPr>
        <w:t xml:space="preserve">treba izvući iz bočice koristeći sterilnu iglu i špric </w:t>
      </w:r>
      <w:r w:rsidRPr="00424A4B">
        <w:rPr>
          <w:sz w:val="22"/>
          <w:szCs w:val="22"/>
          <w:lang w:val="sr-Latn-ME"/>
        </w:rPr>
        <w:t xml:space="preserve">i </w:t>
      </w:r>
      <w:r w:rsidR="00CB5C4A" w:rsidRPr="00424A4B">
        <w:rPr>
          <w:sz w:val="22"/>
          <w:szCs w:val="22"/>
          <w:lang w:val="sr-Latn-ME"/>
        </w:rPr>
        <w:t xml:space="preserve">razblažiti </w:t>
      </w:r>
      <w:r w:rsidRPr="00424A4B">
        <w:rPr>
          <w:sz w:val="22"/>
          <w:szCs w:val="22"/>
          <w:lang w:val="sr-Latn-ME"/>
        </w:rPr>
        <w:t>u infuzionoj kesi od polivinil hlorida (PVC) ili poliolefina bez PVC koja sadrži 250 ml rastvora 9 mg/ml (0,9%) natrijum hlorida za infuziju. Nakon razblaživanja jedan ml rastvora treba da sadrži približno 3,02 mg pertuzumaba (840 mg/278 ml) za početnu dozu za koju su potrebne dvije bočice</w:t>
      </w:r>
      <w:r w:rsidR="00B94F40" w:rsidRPr="00424A4B">
        <w:rPr>
          <w:sz w:val="22"/>
          <w:szCs w:val="22"/>
          <w:lang w:val="sr-Latn-ME"/>
        </w:rPr>
        <w:t>,</w:t>
      </w:r>
      <w:r w:rsidRPr="00424A4B">
        <w:rPr>
          <w:sz w:val="22"/>
          <w:szCs w:val="22"/>
          <w:lang w:val="sr-Latn-ME"/>
        </w:rPr>
        <w:t xml:space="preserve"> odnosno približno 1.59 mg pertuzumaba (420 mg/264 ml) za dozu održavanja za koju je potrebna jedna bočica. </w:t>
      </w:r>
    </w:p>
    <w:p w:rsidR="005E6320" w:rsidRPr="00424A4B" w:rsidRDefault="005E6320" w:rsidP="0055503A">
      <w:pPr>
        <w:jc w:val="both"/>
        <w:rPr>
          <w:sz w:val="22"/>
          <w:szCs w:val="22"/>
          <w:lang w:val="sr-Latn-ME"/>
        </w:rPr>
      </w:pPr>
      <w:r w:rsidRPr="00424A4B">
        <w:rPr>
          <w:sz w:val="22"/>
          <w:szCs w:val="22"/>
          <w:lang w:val="sr-Latn-ME"/>
        </w:rPr>
        <w:t>Za miješanje rastvora infuzionu kesu treba nježno preokrenuti kako bi se izbjeglo</w:t>
      </w:r>
      <w:r w:rsidR="00643CC7" w:rsidRPr="00424A4B">
        <w:rPr>
          <w:sz w:val="22"/>
          <w:szCs w:val="22"/>
          <w:lang w:val="sr-Latn-ME"/>
        </w:rPr>
        <w:t xml:space="preserve"> stvaranje</w:t>
      </w:r>
      <w:r w:rsidRPr="00424A4B">
        <w:rPr>
          <w:sz w:val="22"/>
          <w:szCs w:val="22"/>
          <w:lang w:val="sr-Latn-ME"/>
        </w:rPr>
        <w:t xml:space="preserve"> pjene.</w:t>
      </w:r>
    </w:p>
    <w:p w:rsidR="00CB5C4A" w:rsidRPr="00424A4B" w:rsidRDefault="00CB5C4A" w:rsidP="0055503A">
      <w:pPr>
        <w:jc w:val="both"/>
        <w:rPr>
          <w:sz w:val="22"/>
          <w:szCs w:val="22"/>
          <w:lang w:val="sr-Latn-ME"/>
        </w:rPr>
      </w:pPr>
    </w:p>
    <w:p w:rsidR="005E6320" w:rsidRPr="00424A4B" w:rsidRDefault="005E6320" w:rsidP="0055503A">
      <w:pPr>
        <w:jc w:val="both"/>
        <w:rPr>
          <w:sz w:val="22"/>
          <w:szCs w:val="22"/>
          <w:lang w:val="sr-Latn-ME"/>
        </w:rPr>
      </w:pPr>
      <w:r w:rsidRPr="00424A4B">
        <w:rPr>
          <w:sz w:val="22"/>
          <w:szCs w:val="22"/>
          <w:lang w:val="sr-Latn-ME"/>
        </w:rPr>
        <w:t xml:space="preserve">Ljekove za parenteralnu primjenu </w:t>
      </w:r>
      <w:r w:rsidR="00643CC7" w:rsidRPr="00424A4B">
        <w:rPr>
          <w:sz w:val="22"/>
          <w:szCs w:val="22"/>
          <w:lang w:val="sr-Latn-ME"/>
        </w:rPr>
        <w:t>je potrebno</w:t>
      </w:r>
      <w:r w:rsidRPr="00424A4B">
        <w:rPr>
          <w:sz w:val="22"/>
          <w:szCs w:val="22"/>
          <w:lang w:val="sr-Latn-ME"/>
        </w:rPr>
        <w:t xml:space="preserve"> vizualno pregledati</w:t>
      </w:r>
      <w:r w:rsidR="00643CC7" w:rsidRPr="00424A4B">
        <w:rPr>
          <w:sz w:val="22"/>
          <w:szCs w:val="22"/>
          <w:lang w:val="sr-Latn-ME"/>
        </w:rPr>
        <w:t xml:space="preserve"> prije upotrebe</w:t>
      </w:r>
      <w:r w:rsidRPr="00424A4B">
        <w:rPr>
          <w:sz w:val="22"/>
          <w:szCs w:val="22"/>
          <w:lang w:val="sr-Latn-ME"/>
        </w:rPr>
        <w:t xml:space="preserve"> kako bi se utvrdila eventualna prisutnost čestica ili promjena boje. Rastvor se ne smije upotrijebiti ako su</w:t>
      </w:r>
      <w:r w:rsidR="00643CC7" w:rsidRPr="00424A4B">
        <w:rPr>
          <w:sz w:val="22"/>
          <w:szCs w:val="22"/>
          <w:lang w:val="sr-Latn-ME"/>
        </w:rPr>
        <w:t xml:space="preserve"> prisutne</w:t>
      </w:r>
      <w:r w:rsidRPr="00424A4B">
        <w:rPr>
          <w:sz w:val="22"/>
          <w:szCs w:val="22"/>
          <w:lang w:val="sr-Latn-ME"/>
        </w:rPr>
        <w:t xml:space="preserve"> vidljive čestice ili je promijenio boju. Infuziju treba primijeniti odmah nakon pripreme (vidjeti dio 6.3). </w:t>
      </w:r>
    </w:p>
    <w:p w:rsidR="00CB5C4A" w:rsidRPr="00424A4B" w:rsidRDefault="00CB5C4A" w:rsidP="0055503A">
      <w:pPr>
        <w:jc w:val="both"/>
        <w:rPr>
          <w:sz w:val="22"/>
          <w:szCs w:val="22"/>
          <w:lang w:val="sr-Latn-ME"/>
        </w:rPr>
      </w:pPr>
    </w:p>
    <w:p w:rsidR="005E6320" w:rsidRPr="00424A4B" w:rsidRDefault="00643CC7" w:rsidP="0055503A">
      <w:pPr>
        <w:jc w:val="both"/>
        <w:rPr>
          <w:sz w:val="22"/>
          <w:szCs w:val="22"/>
          <w:lang w:val="sr-Latn-ME"/>
        </w:rPr>
      </w:pPr>
      <w:r w:rsidRPr="00424A4B">
        <w:rPr>
          <w:sz w:val="22"/>
          <w:szCs w:val="22"/>
          <w:lang w:val="sr-Latn-ME"/>
        </w:rPr>
        <w:t>Svu n</w:t>
      </w:r>
      <w:r w:rsidR="005E6320" w:rsidRPr="00424A4B">
        <w:rPr>
          <w:sz w:val="22"/>
          <w:szCs w:val="22"/>
          <w:lang w:val="sr-Latn-ME"/>
        </w:rPr>
        <w:t>eiskoriš</w:t>
      </w:r>
      <w:r w:rsidRPr="00424A4B">
        <w:rPr>
          <w:sz w:val="22"/>
          <w:szCs w:val="22"/>
          <w:lang w:val="sr-Latn-ME"/>
        </w:rPr>
        <w:t>će</w:t>
      </w:r>
      <w:r w:rsidR="005E6320" w:rsidRPr="00424A4B">
        <w:rPr>
          <w:sz w:val="22"/>
          <w:szCs w:val="22"/>
          <w:lang w:val="sr-Latn-ME"/>
        </w:rPr>
        <w:t>n</w:t>
      </w:r>
      <w:r w:rsidRPr="00424A4B">
        <w:rPr>
          <w:sz w:val="22"/>
          <w:szCs w:val="22"/>
          <w:lang w:val="sr-Latn-ME"/>
        </w:rPr>
        <w:t>u količinu</w:t>
      </w:r>
      <w:r w:rsidR="005E6320" w:rsidRPr="00424A4B">
        <w:rPr>
          <w:sz w:val="22"/>
          <w:szCs w:val="22"/>
          <w:lang w:val="sr-Latn-ME"/>
        </w:rPr>
        <w:t xml:space="preserve"> lijek</w:t>
      </w:r>
      <w:r w:rsidRPr="00424A4B">
        <w:rPr>
          <w:sz w:val="22"/>
          <w:szCs w:val="22"/>
          <w:lang w:val="sr-Latn-ME"/>
        </w:rPr>
        <w:t>a</w:t>
      </w:r>
      <w:r w:rsidR="005E6320" w:rsidRPr="00424A4B">
        <w:rPr>
          <w:sz w:val="22"/>
          <w:szCs w:val="22"/>
          <w:lang w:val="sr-Latn-ME"/>
        </w:rPr>
        <w:t xml:space="preserve"> ili otpadn</w:t>
      </w:r>
      <w:r w:rsidRPr="00424A4B">
        <w:rPr>
          <w:sz w:val="22"/>
          <w:szCs w:val="22"/>
          <w:lang w:val="sr-Latn-ME"/>
        </w:rPr>
        <w:t>og</w:t>
      </w:r>
      <w:r w:rsidR="005E6320" w:rsidRPr="00424A4B">
        <w:rPr>
          <w:sz w:val="22"/>
          <w:szCs w:val="22"/>
          <w:lang w:val="sr-Latn-ME"/>
        </w:rPr>
        <w:t xml:space="preserve"> materijal</w:t>
      </w:r>
      <w:r w:rsidRPr="00424A4B">
        <w:rPr>
          <w:sz w:val="22"/>
          <w:szCs w:val="22"/>
          <w:lang w:val="sr-Latn-ME"/>
        </w:rPr>
        <w:t>a</w:t>
      </w:r>
      <w:r w:rsidR="005E6320" w:rsidRPr="00424A4B">
        <w:rPr>
          <w:sz w:val="22"/>
          <w:szCs w:val="22"/>
          <w:lang w:val="sr-Latn-ME"/>
        </w:rPr>
        <w:t xml:space="preserve"> </w:t>
      </w:r>
      <w:r w:rsidRPr="00424A4B">
        <w:rPr>
          <w:sz w:val="22"/>
          <w:szCs w:val="22"/>
          <w:lang w:val="sr-Latn-ME"/>
        </w:rPr>
        <w:t>treba ukloniti</w:t>
      </w:r>
      <w:r w:rsidR="005E6320" w:rsidRPr="00424A4B">
        <w:rPr>
          <w:sz w:val="22"/>
          <w:szCs w:val="22"/>
          <w:lang w:val="sr-Latn-ME"/>
        </w:rPr>
        <w:t xml:space="preserve"> u skladu sa </w:t>
      </w:r>
      <w:r w:rsidRPr="00424A4B">
        <w:rPr>
          <w:sz w:val="22"/>
          <w:szCs w:val="22"/>
          <w:lang w:val="sr-Latn-ME"/>
        </w:rPr>
        <w:t>važećim</w:t>
      </w:r>
      <w:r w:rsidR="005E6320" w:rsidRPr="00424A4B">
        <w:rPr>
          <w:sz w:val="22"/>
          <w:szCs w:val="22"/>
          <w:lang w:val="sr-Latn-ME"/>
        </w:rPr>
        <w:t xml:space="preserve"> propisima.</w:t>
      </w:r>
    </w:p>
    <w:p w:rsidR="00CB5C4A" w:rsidRPr="00424A4B" w:rsidRDefault="00CB5C4A" w:rsidP="0055503A">
      <w:pPr>
        <w:jc w:val="both"/>
        <w:rPr>
          <w:sz w:val="22"/>
          <w:szCs w:val="22"/>
          <w:lang w:val="sr-Latn-ME"/>
        </w:rPr>
      </w:pPr>
    </w:p>
    <w:p w:rsidR="00B66A70" w:rsidRPr="00424A4B" w:rsidRDefault="00E27A7A" w:rsidP="0055503A">
      <w:pPr>
        <w:jc w:val="both"/>
        <w:rPr>
          <w:sz w:val="22"/>
          <w:szCs w:val="22"/>
          <w:lang w:val="sr-Latn-ME"/>
        </w:rPr>
      </w:pPr>
      <w:r w:rsidRPr="00424A4B">
        <w:rPr>
          <w:sz w:val="22"/>
          <w:szCs w:val="22"/>
          <w:lang w:val="sr-Latn-ME"/>
        </w:rPr>
        <w:t xml:space="preserve">Lijek </w:t>
      </w:r>
      <w:r w:rsidR="009C77FA" w:rsidRPr="00424A4B">
        <w:rPr>
          <w:sz w:val="22"/>
          <w:szCs w:val="22"/>
          <w:lang w:val="sr-Latn-ME"/>
        </w:rPr>
        <w:t>Perjeta</w:t>
      </w:r>
      <w:r w:rsidR="005E6320" w:rsidRPr="00424A4B">
        <w:rPr>
          <w:sz w:val="22"/>
          <w:szCs w:val="22"/>
          <w:lang w:val="sr-Latn-ME"/>
        </w:rPr>
        <w:t xml:space="preserve"> je kompatibila</w:t>
      </w:r>
      <w:r w:rsidR="00B21D55" w:rsidRPr="00424A4B">
        <w:rPr>
          <w:sz w:val="22"/>
          <w:szCs w:val="22"/>
          <w:lang w:val="sr-Latn-ME"/>
        </w:rPr>
        <w:t>n</w:t>
      </w:r>
      <w:r w:rsidR="005E6320" w:rsidRPr="00424A4B">
        <w:rPr>
          <w:sz w:val="22"/>
          <w:szCs w:val="22"/>
          <w:lang w:val="sr-Latn-ME"/>
        </w:rPr>
        <w:t xml:space="preserve"> sa kesama od polivinilhlorida (PVC) ili kesama od poliolefina koje ne sadrže PVC, uključujući kese od polietilena.</w:t>
      </w:r>
    </w:p>
    <w:p w:rsidR="0072020E" w:rsidRPr="00424A4B" w:rsidRDefault="0072020E" w:rsidP="005C33D8">
      <w:pPr>
        <w:tabs>
          <w:tab w:val="left" w:pos="540"/>
          <w:tab w:val="left" w:pos="569"/>
        </w:tabs>
        <w:rPr>
          <w:bCs/>
          <w:sz w:val="22"/>
          <w:szCs w:val="22"/>
          <w:lang w:val="sr-Latn-ME"/>
        </w:rPr>
      </w:pPr>
    </w:p>
    <w:p w:rsidR="009F6155" w:rsidRPr="00424A4B" w:rsidRDefault="009F6155" w:rsidP="00CD41AC">
      <w:pPr>
        <w:tabs>
          <w:tab w:val="left" w:pos="540"/>
          <w:tab w:val="left" w:pos="569"/>
        </w:tabs>
        <w:rPr>
          <w:bCs/>
          <w:sz w:val="22"/>
          <w:szCs w:val="22"/>
          <w:lang w:val="sr-Latn-ME"/>
        </w:rPr>
      </w:pPr>
    </w:p>
    <w:p w:rsidR="005E6320" w:rsidRPr="00424A4B" w:rsidRDefault="0072020E">
      <w:pPr>
        <w:tabs>
          <w:tab w:val="left" w:pos="540"/>
          <w:tab w:val="left" w:pos="569"/>
        </w:tabs>
        <w:rPr>
          <w:b/>
          <w:bCs/>
          <w:sz w:val="22"/>
          <w:szCs w:val="22"/>
          <w:lang w:val="sr-Latn-ME"/>
        </w:rPr>
      </w:pPr>
      <w:r w:rsidRPr="00424A4B">
        <w:rPr>
          <w:b/>
          <w:bCs/>
          <w:sz w:val="22"/>
          <w:szCs w:val="22"/>
          <w:lang w:val="sr-Latn-ME"/>
        </w:rPr>
        <w:t xml:space="preserve">7. </w:t>
      </w:r>
      <w:r w:rsidR="00480FB1" w:rsidRPr="00424A4B">
        <w:rPr>
          <w:b/>
          <w:bCs/>
          <w:sz w:val="22"/>
          <w:szCs w:val="22"/>
          <w:lang w:val="sr-Latn-ME"/>
        </w:rPr>
        <w:tab/>
      </w:r>
      <w:r w:rsidRPr="00424A4B">
        <w:rPr>
          <w:b/>
          <w:bCs/>
          <w:sz w:val="22"/>
          <w:szCs w:val="22"/>
          <w:lang w:val="sr-Latn-ME"/>
        </w:rPr>
        <w:t>NOSILAC DOZVOLE</w:t>
      </w:r>
    </w:p>
    <w:p w:rsidR="00F8570A" w:rsidRPr="00424A4B" w:rsidRDefault="00483928">
      <w:pPr>
        <w:tabs>
          <w:tab w:val="left" w:pos="540"/>
          <w:tab w:val="left" w:pos="569"/>
        </w:tabs>
        <w:rPr>
          <w:b/>
          <w:bCs/>
          <w:sz w:val="22"/>
          <w:szCs w:val="22"/>
          <w:lang w:val="sr-Latn-ME"/>
        </w:rPr>
      </w:pPr>
      <w:r w:rsidRPr="00424A4B">
        <w:rPr>
          <w:b/>
          <w:bCs/>
          <w:sz w:val="22"/>
          <w:szCs w:val="22"/>
          <w:lang w:val="sr-Latn-ME"/>
        </w:rPr>
        <w:t xml:space="preserve"> </w:t>
      </w:r>
    </w:p>
    <w:p w:rsidR="005E6320" w:rsidRPr="00424A4B" w:rsidRDefault="005E6320" w:rsidP="008440F3">
      <w:pPr>
        <w:rPr>
          <w:sz w:val="22"/>
          <w:szCs w:val="22"/>
          <w:lang w:val="sr-Latn-ME"/>
        </w:rPr>
      </w:pPr>
      <w:r w:rsidRPr="00424A4B">
        <w:rPr>
          <w:sz w:val="22"/>
          <w:szCs w:val="22"/>
          <w:lang w:val="sr-Latn-ME"/>
        </w:rPr>
        <w:t xml:space="preserve">“Hoffmann – La Roche Ltd“ dio stranog društva Podgorica </w:t>
      </w:r>
    </w:p>
    <w:p w:rsidR="005E6320" w:rsidRPr="00424A4B" w:rsidRDefault="00E22D20">
      <w:pPr>
        <w:rPr>
          <w:sz w:val="22"/>
          <w:szCs w:val="22"/>
          <w:lang w:val="sr-Latn-ME"/>
        </w:rPr>
      </w:pPr>
      <w:r w:rsidRPr="00424A4B">
        <w:rPr>
          <w:sz w:val="22"/>
          <w:szCs w:val="22"/>
          <w:lang w:val="sr-Latn-ME"/>
        </w:rPr>
        <w:t xml:space="preserve">ul. </w:t>
      </w:r>
      <w:r w:rsidR="00E27A7A" w:rsidRPr="00424A4B">
        <w:rPr>
          <w:sz w:val="22"/>
          <w:szCs w:val="22"/>
          <w:lang w:val="sr-Latn-ME"/>
        </w:rPr>
        <w:t>Cetinjska 11</w:t>
      </w:r>
      <w:r w:rsidR="005E6320" w:rsidRPr="00424A4B">
        <w:rPr>
          <w:sz w:val="22"/>
          <w:szCs w:val="22"/>
          <w:lang w:val="sr-Latn-ME"/>
        </w:rPr>
        <w:t xml:space="preserve">, 81000 Podgorica, </w:t>
      </w:r>
    </w:p>
    <w:p w:rsidR="00C61BE0" w:rsidRPr="00424A4B" w:rsidRDefault="005E6320">
      <w:pPr>
        <w:rPr>
          <w:sz w:val="22"/>
          <w:szCs w:val="22"/>
          <w:lang w:val="sr-Latn-ME"/>
        </w:rPr>
      </w:pPr>
      <w:r w:rsidRPr="00424A4B">
        <w:rPr>
          <w:sz w:val="22"/>
          <w:szCs w:val="22"/>
          <w:lang w:val="sr-Latn-ME"/>
        </w:rPr>
        <w:t xml:space="preserve">Crna Gora </w:t>
      </w:r>
    </w:p>
    <w:p w:rsidR="00C37FD7" w:rsidRPr="00424A4B" w:rsidRDefault="00C37FD7">
      <w:pPr>
        <w:tabs>
          <w:tab w:val="left" w:pos="540"/>
          <w:tab w:val="left" w:pos="569"/>
        </w:tabs>
        <w:rPr>
          <w:bCs/>
          <w:sz w:val="22"/>
          <w:szCs w:val="22"/>
          <w:lang w:val="sr-Latn-ME"/>
        </w:rPr>
      </w:pPr>
    </w:p>
    <w:p w:rsidR="009F6155" w:rsidRPr="00424A4B" w:rsidRDefault="009F6155">
      <w:pPr>
        <w:tabs>
          <w:tab w:val="left" w:pos="540"/>
          <w:tab w:val="left" w:pos="569"/>
        </w:tabs>
        <w:rPr>
          <w:bCs/>
          <w:sz w:val="22"/>
          <w:szCs w:val="22"/>
          <w:lang w:val="sr-Latn-ME"/>
        </w:rPr>
      </w:pPr>
    </w:p>
    <w:p w:rsidR="0072020E" w:rsidRPr="00424A4B" w:rsidRDefault="0072020E">
      <w:pPr>
        <w:tabs>
          <w:tab w:val="left" w:pos="540"/>
          <w:tab w:val="left" w:pos="569"/>
        </w:tabs>
        <w:rPr>
          <w:b/>
          <w:bCs/>
          <w:sz w:val="22"/>
          <w:szCs w:val="22"/>
          <w:lang w:val="sr-Latn-ME"/>
        </w:rPr>
      </w:pPr>
      <w:r w:rsidRPr="00424A4B">
        <w:rPr>
          <w:b/>
          <w:bCs/>
          <w:sz w:val="22"/>
          <w:szCs w:val="22"/>
          <w:lang w:val="sr-Latn-ME"/>
        </w:rPr>
        <w:t xml:space="preserve">8. </w:t>
      </w:r>
      <w:r w:rsidR="00480FB1" w:rsidRPr="00424A4B">
        <w:rPr>
          <w:b/>
          <w:bCs/>
          <w:sz w:val="22"/>
          <w:szCs w:val="22"/>
          <w:lang w:val="sr-Latn-ME"/>
        </w:rPr>
        <w:tab/>
      </w:r>
      <w:r w:rsidRPr="00424A4B">
        <w:rPr>
          <w:b/>
          <w:bCs/>
          <w:sz w:val="22"/>
          <w:szCs w:val="22"/>
          <w:lang w:val="sr-Latn-ME"/>
        </w:rPr>
        <w:t>BROJ DOZVOLE</w:t>
      </w:r>
      <w:r w:rsidR="008A6D43" w:rsidRPr="00424A4B">
        <w:rPr>
          <w:b/>
          <w:bCs/>
          <w:sz w:val="22"/>
          <w:szCs w:val="22"/>
          <w:lang w:val="sr-Latn-ME"/>
        </w:rPr>
        <w:t xml:space="preserve"> ZA STAVLJANJE LIJEKA U PROMET</w:t>
      </w:r>
    </w:p>
    <w:p w:rsidR="0072020E" w:rsidRPr="00424A4B" w:rsidRDefault="0072020E">
      <w:pPr>
        <w:tabs>
          <w:tab w:val="left" w:pos="540"/>
          <w:tab w:val="left" w:pos="569"/>
        </w:tabs>
        <w:rPr>
          <w:bCs/>
          <w:sz w:val="22"/>
          <w:szCs w:val="22"/>
          <w:lang w:val="sr-Latn-ME"/>
        </w:rPr>
      </w:pPr>
    </w:p>
    <w:p w:rsidR="00F45F77" w:rsidRPr="00424A4B" w:rsidRDefault="00F81E66">
      <w:pPr>
        <w:tabs>
          <w:tab w:val="left" w:pos="540"/>
          <w:tab w:val="left" w:pos="569"/>
        </w:tabs>
        <w:rPr>
          <w:bCs/>
          <w:sz w:val="22"/>
          <w:szCs w:val="22"/>
          <w:lang w:val="sr-Latn-ME"/>
        </w:rPr>
      </w:pPr>
      <w:r w:rsidRPr="00424A4B">
        <w:rPr>
          <w:bCs/>
          <w:sz w:val="22"/>
          <w:szCs w:val="22"/>
          <w:lang w:val="sr-Latn-ME"/>
        </w:rPr>
        <w:t>2030/24/3515 - 4675</w:t>
      </w:r>
    </w:p>
    <w:p w:rsidR="00E22D20" w:rsidRPr="00424A4B" w:rsidRDefault="00E22D20">
      <w:pPr>
        <w:tabs>
          <w:tab w:val="left" w:pos="540"/>
          <w:tab w:val="left" w:pos="569"/>
        </w:tabs>
        <w:rPr>
          <w:bCs/>
          <w:sz w:val="22"/>
          <w:szCs w:val="22"/>
          <w:lang w:val="sr-Latn-ME"/>
        </w:rPr>
      </w:pPr>
    </w:p>
    <w:p w:rsidR="00F81E66" w:rsidRPr="00424A4B" w:rsidRDefault="00F81E66">
      <w:pPr>
        <w:tabs>
          <w:tab w:val="left" w:pos="540"/>
          <w:tab w:val="left" w:pos="569"/>
        </w:tabs>
        <w:rPr>
          <w:bCs/>
          <w:sz w:val="22"/>
          <w:szCs w:val="22"/>
          <w:lang w:val="sr-Latn-ME"/>
        </w:rPr>
      </w:pPr>
    </w:p>
    <w:p w:rsidR="0072020E" w:rsidRPr="00424A4B" w:rsidRDefault="0072020E">
      <w:pPr>
        <w:tabs>
          <w:tab w:val="left" w:pos="540"/>
          <w:tab w:val="left" w:pos="569"/>
        </w:tabs>
        <w:rPr>
          <w:b/>
          <w:bCs/>
          <w:sz w:val="22"/>
          <w:szCs w:val="22"/>
          <w:lang w:val="sr-Latn-ME"/>
        </w:rPr>
      </w:pPr>
      <w:r w:rsidRPr="00424A4B">
        <w:rPr>
          <w:b/>
          <w:bCs/>
          <w:sz w:val="22"/>
          <w:szCs w:val="22"/>
          <w:lang w:val="sr-Latn-ME"/>
        </w:rPr>
        <w:t xml:space="preserve">9. </w:t>
      </w:r>
      <w:r w:rsidR="00480FB1" w:rsidRPr="00424A4B">
        <w:rPr>
          <w:b/>
          <w:bCs/>
          <w:sz w:val="22"/>
          <w:szCs w:val="22"/>
          <w:lang w:val="sr-Latn-ME"/>
        </w:rPr>
        <w:tab/>
      </w:r>
      <w:r w:rsidRPr="00424A4B">
        <w:rPr>
          <w:b/>
          <w:bCs/>
          <w:sz w:val="22"/>
          <w:szCs w:val="22"/>
          <w:lang w:val="sr-Latn-ME"/>
        </w:rPr>
        <w:t xml:space="preserve">DATUM </w:t>
      </w:r>
      <w:r w:rsidR="00C05DF8" w:rsidRPr="00424A4B">
        <w:rPr>
          <w:b/>
          <w:bCs/>
          <w:sz w:val="22"/>
          <w:szCs w:val="22"/>
          <w:lang w:val="sr-Latn-ME"/>
        </w:rPr>
        <w:t xml:space="preserve">PRVE </w:t>
      </w:r>
      <w:r w:rsidR="008A6D43" w:rsidRPr="00424A4B">
        <w:rPr>
          <w:b/>
          <w:bCs/>
          <w:sz w:val="22"/>
          <w:szCs w:val="22"/>
          <w:lang w:val="sr-Latn-ME"/>
        </w:rPr>
        <w:t>DOZVOLE</w:t>
      </w:r>
      <w:r w:rsidR="00C05DF8" w:rsidRPr="00424A4B">
        <w:rPr>
          <w:b/>
          <w:bCs/>
          <w:sz w:val="22"/>
          <w:szCs w:val="22"/>
          <w:lang w:val="sr-Latn-ME"/>
        </w:rPr>
        <w:t>/OBNOVE DOZVOLE</w:t>
      </w:r>
      <w:r w:rsidR="008A6D43" w:rsidRPr="00424A4B">
        <w:rPr>
          <w:b/>
          <w:bCs/>
          <w:sz w:val="22"/>
          <w:szCs w:val="22"/>
          <w:lang w:val="sr-Latn-ME"/>
        </w:rPr>
        <w:t xml:space="preserve"> ZA STAVLJANJE LIJEKA U PROMET</w:t>
      </w:r>
    </w:p>
    <w:p w:rsidR="0072020E" w:rsidRPr="00424A4B" w:rsidRDefault="0072020E">
      <w:pPr>
        <w:tabs>
          <w:tab w:val="left" w:pos="540"/>
          <w:tab w:val="left" w:pos="569"/>
        </w:tabs>
        <w:rPr>
          <w:bCs/>
          <w:sz w:val="22"/>
          <w:szCs w:val="22"/>
          <w:lang w:val="sr-Latn-ME"/>
        </w:rPr>
      </w:pPr>
    </w:p>
    <w:p w:rsidR="005E6320" w:rsidRPr="00424A4B" w:rsidRDefault="00E22D20">
      <w:pPr>
        <w:rPr>
          <w:sz w:val="22"/>
          <w:szCs w:val="22"/>
          <w:lang w:val="sr-Latn-ME"/>
        </w:rPr>
      </w:pPr>
      <w:r w:rsidRPr="00424A4B">
        <w:rPr>
          <w:sz w:val="22"/>
          <w:szCs w:val="22"/>
          <w:lang w:val="sr-Latn-ME"/>
        </w:rPr>
        <w:t xml:space="preserve">Datum prve dozvole: </w:t>
      </w:r>
      <w:r w:rsidR="005E6320" w:rsidRPr="00424A4B">
        <w:rPr>
          <w:sz w:val="22"/>
          <w:szCs w:val="22"/>
          <w:lang w:val="sr-Latn-ME"/>
        </w:rPr>
        <w:t>10.03.2014. godine</w:t>
      </w:r>
    </w:p>
    <w:p w:rsidR="00E22D20" w:rsidRPr="00424A4B" w:rsidRDefault="00E22D20">
      <w:pPr>
        <w:rPr>
          <w:sz w:val="22"/>
          <w:szCs w:val="22"/>
          <w:lang w:val="sr-Latn-ME"/>
        </w:rPr>
      </w:pPr>
      <w:r w:rsidRPr="00424A4B">
        <w:rPr>
          <w:sz w:val="22"/>
          <w:szCs w:val="22"/>
          <w:lang w:val="sr-Latn-ME"/>
        </w:rPr>
        <w:t>Datum poslednje obnove dozvole:</w:t>
      </w:r>
      <w:r w:rsidR="00F81E66" w:rsidRPr="00424A4B">
        <w:rPr>
          <w:sz w:val="22"/>
          <w:szCs w:val="22"/>
          <w:lang w:val="sr-Latn-ME"/>
        </w:rPr>
        <w:t xml:space="preserve"> 28.06.2024. godine</w:t>
      </w:r>
    </w:p>
    <w:p w:rsidR="003F6A59" w:rsidRPr="00424A4B" w:rsidRDefault="0072020E">
      <w:pPr>
        <w:tabs>
          <w:tab w:val="left" w:pos="540"/>
          <w:tab w:val="left" w:pos="569"/>
        </w:tabs>
        <w:ind w:left="540" w:hanging="540"/>
        <w:rPr>
          <w:b/>
          <w:bCs/>
          <w:sz w:val="22"/>
          <w:szCs w:val="22"/>
          <w:lang w:val="sr-Latn-ME"/>
        </w:rPr>
      </w:pPr>
      <w:bookmarkStart w:id="0" w:name="_GoBack"/>
      <w:bookmarkEnd w:id="0"/>
      <w:r w:rsidRPr="00424A4B">
        <w:rPr>
          <w:b/>
          <w:bCs/>
          <w:sz w:val="22"/>
          <w:szCs w:val="22"/>
          <w:lang w:val="sr-Latn-ME"/>
        </w:rPr>
        <w:lastRenderedPageBreak/>
        <w:t xml:space="preserve">10. </w:t>
      </w:r>
      <w:r w:rsidR="00480FB1" w:rsidRPr="00424A4B">
        <w:rPr>
          <w:b/>
          <w:bCs/>
          <w:sz w:val="22"/>
          <w:szCs w:val="22"/>
          <w:lang w:val="sr-Latn-ME"/>
        </w:rPr>
        <w:tab/>
      </w:r>
      <w:r w:rsidR="002846DB" w:rsidRPr="00424A4B">
        <w:rPr>
          <w:b/>
          <w:bCs/>
          <w:sz w:val="22"/>
          <w:szCs w:val="22"/>
          <w:lang w:val="sr-Latn-ME"/>
        </w:rPr>
        <w:t>D</w:t>
      </w:r>
      <w:r w:rsidR="00EC2532" w:rsidRPr="00424A4B">
        <w:rPr>
          <w:b/>
          <w:bCs/>
          <w:sz w:val="22"/>
          <w:szCs w:val="22"/>
          <w:lang w:val="sr-Latn-ME"/>
        </w:rPr>
        <w:t xml:space="preserve">ATUM REVIZIJE TEKSTA </w:t>
      </w:r>
    </w:p>
    <w:p w:rsidR="009437BB" w:rsidRPr="00424A4B" w:rsidRDefault="009437BB">
      <w:pPr>
        <w:tabs>
          <w:tab w:val="left" w:pos="540"/>
          <w:tab w:val="left" w:pos="569"/>
        </w:tabs>
        <w:ind w:left="540" w:hanging="540"/>
        <w:rPr>
          <w:b/>
          <w:bCs/>
          <w:sz w:val="22"/>
          <w:szCs w:val="22"/>
          <w:lang w:val="sr-Latn-ME"/>
        </w:rPr>
      </w:pPr>
    </w:p>
    <w:p w:rsidR="003F6A59" w:rsidRPr="00424A4B" w:rsidRDefault="00F81E66" w:rsidP="0055503A">
      <w:pPr>
        <w:rPr>
          <w:sz w:val="22"/>
          <w:szCs w:val="22"/>
          <w:lang w:val="sr-Latn-ME"/>
        </w:rPr>
      </w:pPr>
      <w:r w:rsidRPr="00424A4B">
        <w:rPr>
          <w:sz w:val="22"/>
          <w:szCs w:val="22"/>
          <w:lang w:val="sr-Latn-ME"/>
        </w:rPr>
        <w:t>Jun, 2024. godine</w:t>
      </w:r>
    </w:p>
    <w:sectPr w:rsidR="003F6A59" w:rsidRPr="00424A4B" w:rsidSect="00692DB8">
      <w:footerReference w:type="default" r:id="rId18"/>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08C" w:rsidRDefault="00CD208C">
      <w:r>
        <w:separator/>
      </w:r>
    </w:p>
  </w:endnote>
  <w:endnote w:type="continuationSeparator" w:id="0">
    <w:p w:rsidR="00CD208C" w:rsidRDefault="00CD2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Univers Condensed">
    <w:panose1 w:val="00000000000000000000"/>
    <w:charset w:val="00"/>
    <w:family w:val="swiss"/>
    <w:notTrueType/>
    <w:pitch w:val="variable"/>
    <w:sig w:usb0="00000003" w:usb1="00000000" w:usb2="00000000" w:usb3="00000000" w:csb0="00000001" w:csb1="00000000"/>
  </w:font>
  <w:font w:name="Humanist777">
    <w:altName w:val="Calibri"/>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870" w:rsidRPr="00B23F69" w:rsidRDefault="00A06870"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40568">
      <w:rPr>
        <w:noProof/>
        <w:sz w:val="22"/>
        <w:szCs w:val="22"/>
      </w:rPr>
      <w:t>26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40568">
      <w:rPr>
        <w:noProof/>
        <w:sz w:val="22"/>
        <w:szCs w:val="22"/>
      </w:rPr>
      <w:t>28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08C" w:rsidRDefault="00CD208C">
      <w:r>
        <w:separator/>
      </w:r>
    </w:p>
  </w:footnote>
  <w:footnote w:type="continuationSeparator" w:id="0">
    <w:p w:rsidR="00CD208C" w:rsidRDefault="00CD2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65pt;height:13.75pt;visibility:visible" o:bullet="t">
        <v:imagedata r:id="rId1" o:title="BT_1000x858px"/>
      </v:shape>
    </w:pict>
  </w:numPicBullet>
  <w:abstractNum w:abstractNumId="0" w15:restartNumberingAfterBreak="0">
    <w:nsid w:val="002E2173"/>
    <w:multiLevelType w:val="hybridMultilevel"/>
    <w:tmpl w:val="DB5256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281062"/>
    <w:multiLevelType w:val="hybridMultilevel"/>
    <w:tmpl w:val="61F688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9BC2835"/>
    <w:multiLevelType w:val="hybridMultilevel"/>
    <w:tmpl w:val="3BA82B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1DA13DA"/>
    <w:multiLevelType w:val="hybridMultilevel"/>
    <w:tmpl w:val="AB1E23E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6B12FD5"/>
    <w:multiLevelType w:val="hybridMultilevel"/>
    <w:tmpl w:val="682E4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36A07"/>
    <w:multiLevelType w:val="hybridMultilevel"/>
    <w:tmpl w:val="D9C29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80E03"/>
    <w:multiLevelType w:val="hybridMultilevel"/>
    <w:tmpl w:val="1EBEC4E4"/>
    <w:lvl w:ilvl="0" w:tplc="C0726062">
      <w:start w:val="77"/>
      <w:numFmt w:val="decimal"/>
      <w:lvlText w:val="%1"/>
      <w:lvlJc w:val="left"/>
      <w:pPr>
        <w:tabs>
          <w:tab w:val="num" w:pos="1140"/>
        </w:tabs>
        <w:ind w:left="1140" w:hanging="645"/>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9" w15:restartNumberingAfterBreak="0">
    <w:nsid w:val="22F24DDD"/>
    <w:multiLevelType w:val="hybridMultilevel"/>
    <w:tmpl w:val="6616CD92"/>
    <w:lvl w:ilvl="0" w:tplc="04090001">
      <w:start w:val="1"/>
      <w:numFmt w:val="bullet"/>
      <w:lvlText w:val=""/>
      <w:lvlJc w:val="left"/>
      <w:pPr>
        <w:tabs>
          <w:tab w:val="num" w:pos="360"/>
        </w:tabs>
        <w:ind w:left="360" w:hanging="360"/>
      </w:pPr>
      <w:rPr>
        <w:rFonts w:ascii="Symbol" w:hAnsi="Symbol" w:hint="default"/>
      </w:rPr>
    </w:lvl>
    <w:lvl w:ilvl="1" w:tplc="23B2D10C">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B7527E"/>
    <w:multiLevelType w:val="hybridMultilevel"/>
    <w:tmpl w:val="8D6E2A44"/>
    <w:lvl w:ilvl="0" w:tplc="0409000F">
      <w:start w:val="1"/>
      <w:numFmt w:val="decimal"/>
      <w:pStyle w:val="Bullet0dK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5912FF4"/>
    <w:multiLevelType w:val="hybridMultilevel"/>
    <w:tmpl w:val="527CECDE"/>
    <w:lvl w:ilvl="0" w:tplc="BB58A3C6">
      <w:start w:val="104"/>
      <w:numFmt w:val="decimal"/>
      <w:lvlText w:val="%1"/>
      <w:lvlJc w:val="left"/>
      <w:pPr>
        <w:tabs>
          <w:tab w:val="num" w:pos="1140"/>
        </w:tabs>
        <w:ind w:left="1140" w:hanging="645"/>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6" w15:restartNumberingAfterBreak="0">
    <w:nsid w:val="3C456D47"/>
    <w:multiLevelType w:val="hybridMultilevel"/>
    <w:tmpl w:val="EF4C005C"/>
    <w:lvl w:ilvl="0" w:tplc="E97E4D46">
      <w:start w:val="1"/>
      <w:numFmt w:val="bullet"/>
      <w:lvlText w:val=""/>
      <w:lvlJc w:val="left"/>
      <w:pPr>
        <w:tabs>
          <w:tab w:val="num" w:pos="216"/>
        </w:tabs>
        <w:ind w:left="216" w:hanging="216"/>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7" w15:restartNumberingAfterBreak="0">
    <w:nsid w:val="4455329D"/>
    <w:multiLevelType w:val="hybridMultilevel"/>
    <w:tmpl w:val="F2B2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C7A81"/>
    <w:multiLevelType w:val="hybridMultilevel"/>
    <w:tmpl w:val="17E4DB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72E3B7A"/>
    <w:multiLevelType w:val="hybridMultilevel"/>
    <w:tmpl w:val="A96644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D121C5"/>
    <w:multiLevelType w:val="hybridMultilevel"/>
    <w:tmpl w:val="3B5E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5A2489"/>
    <w:multiLevelType w:val="hybridMultilevel"/>
    <w:tmpl w:val="A9885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44223B"/>
    <w:multiLevelType w:val="hybridMultilevel"/>
    <w:tmpl w:val="F24250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1A65FBA"/>
    <w:multiLevelType w:val="hybridMultilevel"/>
    <w:tmpl w:val="4DB21E86"/>
    <w:lvl w:ilvl="0" w:tplc="467C56B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896D08"/>
    <w:multiLevelType w:val="hybridMultilevel"/>
    <w:tmpl w:val="462EDB5A"/>
    <w:lvl w:ilvl="0" w:tplc="09685584">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32443E"/>
    <w:multiLevelType w:val="hybridMultilevel"/>
    <w:tmpl w:val="93CC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90ADA"/>
    <w:multiLevelType w:val="hybridMultilevel"/>
    <w:tmpl w:val="20B63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8B4C2F"/>
    <w:multiLevelType w:val="hybridMultilevel"/>
    <w:tmpl w:val="818C45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27"/>
  </w:num>
  <w:num w:numId="3">
    <w:abstractNumId w:val="3"/>
  </w:num>
  <w:num w:numId="4">
    <w:abstractNumId w:val="20"/>
  </w:num>
  <w:num w:numId="5">
    <w:abstractNumId w:val="12"/>
  </w:num>
  <w:num w:numId="6">
    <w:abstractNumId w:val="4"/>
  </w:num>
  <w:num w:numId="7">
    <w:abstractNumId w:val="19"/>
  </w:num>
  <w:num w:numId="8">
    <w:abstractNumId w:val="11"/>
  </w:num>
  <w:num w:numId="9">
    <w:abstractNumId w:val="14"/>
  </w:num>
  <w:num w:numId="10">
    <w:abstractNumId w:val="30"/>
  </w:num>
  <w:num w:numId="11">
    <w:abstractNumId w:val="13"/>
  </w:num>
  <w:num w:numId="12">
    <w:abstractNumId w:val="18"/>
  </w:num>
  <w:num w:numId="13">
    <w:abstractNumId w:val="22"/>
  </w:num>
  <w:num w:numId="14">
    <w:abstractNumId w:val="28"/>
  </w:num>
  <w:num w:numId="15">
    <w:abstractNumId w:val="6"/>
  </w:num>
  <w:num w:numId="16">
    <w:abstractNumId w:val="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1"/>
  </w:num>
  <w:num w:numId="25">
    <w:abstractNumId w:val="16"/>
  </w:num>
  <w:num w:numId="26">
    <w:abstractNumId w:val="0"/>
  </w:num>
  <w:num w:numId="27">
    <w:abstractNumId w:val="2"/>
  </w:num>
  <w:num w:numId="28">
    <w:abstractNumId w:val="21"/>
  </w:num>
  <w:num w:numId="29">
    <w:abstractNumId w:val="15"/>
  </w:num>
  <w:num w:numId="30">
    <w:abstractNumId w:val="8"/>
  </w:num>
  <w:num w:numId="31">
    <w:abstractNumId w:val="7"/>
  </w:num>
  <w:num w:numId="32">
    <w:abstractNumId w:val="24"/>
  </w:num>
  <w:num w:numId="33">
    <w:abstractNumId w:val="1"/>
  </w:num>
  <w:num w:numId="34">
    <w:abstractNumId w:val="17"/>
  </w:num>
  <w:num w:numId="35">
    <w:abstractNumId w:val="26"/>
  </w:num>
  <w:num w:numId="36">
    <w:abstractNumId w:val="25"/>
  </w:num>
  <w:num w:numId="37">
    <w:abstractNumId w:val="29"/>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ES" w:vendorID="64" w:dllVersion="131078" w:nlCheck="1" w:checkStyle="0"/>
  <w:activeWritingStyle w:appName="MSWord" w:lang="en-US" w:vendorID="64" w:dllVersion="131078" w:nlCheck="1" w:checkStyle="0"/>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52D3"/>
    <w:rsid w:val="00036FA0"/>
    <w:rsid w:val="0003793F"/>
    <w:rsid w:val="00056099"/>
    <w:rsid w:val="00057E35"/>
    <w:rsid w:val="00061273"/>
    <w:rsid w:val="00076726"/>
    <w:rsid w:val="00080303"/>
    <w:rsid w:val="000A3F58"/>
    <w:rsid w:val="000B22A8"/>
    <w:rsid w:val="000D2343"/>
    <w:rsid w:val="000D3449"/>
    <w:rsid w:val="000D425A"/>
    <w:rsid w:val="000D60CC"/>
    <w:rsid w:val="000D6CDA"/>
    <w:rsid w:val="000E2084"/>
    <w:rsid w:val="000E6F55"/>
    <w:rsid w:val="000F77FA"/>
    <w:rsid w:val="00107BF7"/>
    <w:rsid w:val="00126F53"/>
    <w:rsid w:val="0014766D"/>
    <w:rsid w:val="0014785E"/>
    <w:rsid w:val="001536CC"/>
    <w:rsid w:val="0016266F"/>
    <w:rsid w:val="00171717"/>
    <w:rsid w:val="001A3FBA"/>
    <w:rsid w:val="001A5518"/>
    <w:rsid w:val="001B1C6A"/>
    <w:rsid w:val="001C1263"/>
    <w:rsid w:val="001C1417"/>
    <w:rsid w:val="001E390B"/>
    <w:rsid w:val="001F42FB"/>
    <w:rsid w:val="001F719A"/>
    <w:rsid w:val="002004E7"/>
    <w:rsid w:val="00201DBF"/>
    <w:rsid w:val="002031B3"/>
    <w:rsid w:val="00215931"/>
    <w:rsid w:val="00227BDB"/>
    <w:rsid w:val="00234CB1"/>
    <w:rsid w:val="002352F8"/>
    <w:rsid w:val="00242A5B"/>
    <w:rsid w:val="002510A5"/>
    <w:rsid w:val="00254A0A"/>
    <w:rsid w:val="00264D7C"/>
    <w:rsid w:val="00266046"/>
    <w:rsid w:val="002846DB"/>
    <w:rsid w:val="00284CCD"/>
    <w:rsid w:val="002A047C"/>
    <w:rsid w:val="002A5C50"/>
    <w:rsid w:val="002B03CF"/>
    <w:rsid w:val="002C6637"/>
    <w:rsid w:val="002D56F3"/>
    <w:rsid w:val="002E0135"/>
    <w:rsid w:val="002E37A5"/>
    <w:rsid w:val="00310F03"/>
    <w:rsid w:val="003168A9"/>
    <w:rsid w:val="003247D2"/>
    <w:rsid w:val="00336304"/>
    <w:rsid w:val="003445C1"/>
    <w:rsid w:val="00355B61"/>
    <w:rsid w:val="00356CA1"/>
    <w:rsid w:val="00362686"/>
    <w:rsid w:val="00371510"/>
    <w:rsid w:val="00374E0C"/>
    <w:rsid w:val="00383DA4"/>
    <w:rsid w:val="00396DFD"/>
    <w:rsid w:val="003A7059"/>
    <w:rsid w:val="003B16BF"/>
    <w:rsid w:val="003B41BC"/>
    <w:rsid w:val="003B7A36"/>
    <w:rsid w:val="003C17AB"/>
    <w:rsid w:val="003C6872"/>
    <w:rsid w:val="003C7823"/>
    <w:rsid w:val="003E1DCC"/>
    <w:rsid w:val="003F6797"/>
    <w:rsid w:val="003F6A59"/>
    <w:rsid w:val="004065C8"/>
    <w:rsid w:val="00411B4B"/>
    <w:rsid w:val="00415BEE"/>
    <w:rsid w:val="00424A4B"/>
    <w:rsid w:val="00427F85"/>
    <w:rsid w:val="00434303"/>
    <w:rsid w:val="00436F42"/>
    <w:rsid w:val="004378B4"/>
    <w:rsid w:val="00445878"/>
    <w:rsid w:val="00451314"/>
    <w:rsid w:val="00452E9D"/>
    <w:rsid w:val="004534C7"/>
    <w:rsid w:val="0045432C"/>
    <w:rsid w:val="00463C21"/>
    <w:rsid w:val="004664C2"/>
    <w:rsid w:val="004671AA"/>
    <w:rsid w:val="00480FB1"/>
    <w:rsid w:val="00483928"/>
    <w:rsid w:val="004D6103"/>
    <w:rsid w:val="004E3BCE"/>
    <w:rsid w:val="004F0E97"/>
    <w:rsid w:val="004F5FBA"/>
    <w:rsid w:val="00506F27"/>
    <w:rsid w:val="00515C21"/>
    <w:rsid w:val="00530BD7"/>
    <w:rsid w:val="00540568"/>
    <w:rsid w:val="00545CD2"/>
    <w:rsid w:val="005476F3"/>
    <w:rsid w:val="0055503A"/>
    <w:rsid w:val="00572527"/>
    <w:rsid w:val="00573E40"/>
    <w:rsid w:val="00576348"/>
    <w:rsid w:val="005A0B2E"/>
    <w:rsid w:val="005A23D2"/>
    <w:rsid w:val="005A36CB"/>
    <w:rsid w:val="005B49B8"/>
    <w:rsid w:val="005C0741"/>
    <w:rsid w:val="005C33D8"/>
    <w:rsid w:val="005C5EF4"/>
    <w:rsid w:val="005D2A08"/>
    <w:rsid w:val="005D7745"/>
    <w:rsid w:val="005E287E"/>
    <w:rsid w:val="005E2E0B"/>
    <w:rsid w:val="005E6320"/>
    <w:rsid w:val="005E7A7D"/>
    <w:rsid w:val="00643CC7"/>
    <w:rsid w:val="00646BD1"/>
    <w:rsid w:val="006561C2"/>
    <w:rsid w:val="0066107E"/>
    <w:rsid w:val="00671CB3"/>
    <w:rsid w:val="00674BAF"/>
    <w:rsid w:val="00682200"/>
    <w:rsid w:val="00692DB8"/>
    <w:rsid w:val="006A1497"/>
    <w:rsid w:val="006A7F88"/>
    <w:rsid w:val="006B0BD1"/>
    <w:rsid w:val="006D20A5"/>
    <w:rsid w:val="006D37BF"/>
    <w:rsid w:val="006E5337"/>
    <w:rsid w:val="00702E22"/>
    <w:rsid w:val="00704120"/>
    <w:rsid w:val="00705AF3"/>
    <w:rsid w:val="007157B5"/>
    <w:rsid w:val="0072020E"/>
    <w:rsid w:val="00735104"/>
    <w:rsid w:val="00744600"/>
    <w:rsid w:val="00747163"/>
    <w:rsid w:val="00750FA4"/>
    <w:rsid w:val="00786071"/>
    <w:rsid w:val="00787C53"/>
    <w:rsid w:val="007A3ECB"/>
    <w:rsid w:val="007B24CE"/>
    <w:rsid w:val="007B2F20"/>
    <w:rsid w:val="007E4669"/>
    <w:rsid w:val="007F1D8D"/>
    <w:rsid w:val="007F6E8E"/>
    <w:rsid w:val="008048B9"/>
    <w:rsid w:val="008221F1"/>
    <w:rsid w:val="00824AB9"/>
    <w:rsid w:val="008342CF"/>
    <w:rsid w:val="00836B35"/>
    <w:rsid w:val="00843BDE"/>
    <w:rsid w:val="008440F3"/>
    <w:rsid w:val="008636AE"/>
    <w:rsid w:val="00874A7A"/>
    <w:rsid w:val="0089705C"/>
    <w:rsid w:val="008A6D43"/>
    <w:rsid w:val="008B491E"/>
    <w:rsid w:val="008C1A28"/>
    <w:rsid w:val="008C2E98"/>
    <w:rsid w:val="008E2C64"/>
    <w:rsid w:val="008E49BD"/>
    <w:rsid w:val="008E53E9"/>
    <w:rsid w:val="008E5771"/>
    <w:rsid w:val="009035E8"/>
    <w:rsid w:val="00911283"/>
    <w:rsid w:val="00924D63"/>
    <w:rsid w:val="00933506"/>
    <w:rsid w:val="009353EB"/>
    <w:rsid w:val="00940B9B"/>
    <w:rsid w:val="009437BB"/>
    <w:rsid w:val="009514B9"/>
    <w:rsid w:val="0095676E"/>
    <w:rsid w:val="00956983"/>
    <w:rsid w:val="00963CF0"/>
    <w:rsid w:val="00964BB1"/>
    <w:rsid w:val="009775D9"/>
    <w:rsid w:val="00997175"/>
    <w:rsid w:val="009A1847"/>
    <w:rsid w:val="009B062A"/>
    <w:rsid w:val="009B54F9"/>
    <w:rsid w:val="009C77FA"/>
    <w:rsid w:val="009D23CA"/>
    <w:rsid w:val="009E7C6F"/>
    <w:rsid w:val="009F1793"/>
    <w:rsid w:val="009F2D23"/>
    <w:rsid w:val="009F6155"/>
    <w:rsid w:val="00A01D69"/>
    <w:rsid w:val="00A02335"/>
    <w:rsid w:val="00A061E3"/>
    <w:rsid w:val="00A06870"/>
    <w:rsid w:val="00A32C08"/>
    <w:rsid w:val="00A46C9A"/>
    <w:rsid w:val="00A619F3"/>
    <w:rsid w:val="00A61A73"/>
    <w:rsid w:val="00A62A73"/>
    <w:rsid w:val="00A73A12"/>
    <w:rsid w:val="00A87FF6"/>
    <w:rsid w:val="00A931B9"/>
    <w:rsid w:val="00AA0A3B"/>
    <w:rsid w:val="00AB50CA"/>
    <w:rsid w:val="00AC53CE"/>
    <w:rsid w:val="00AD2193"/>
    <w:rsid w:val="00AD6383"/>
    <w:rsid w:val="00AE1118"/>
    <w:rsid w:val="00AF2AC7"/>
    <w:rsid w:val="00AF74CE"/>
    <w:rsid w:val="00B208DB"/>
    <w:rsid w:val="00B21D55"/>
    <w:rsid w:val="00B22C9E"/>
    <w:rsid w:val="00B23F69"/>
    <w:rsid w:val="00B30B91"/>
    <w:rsid w:val="00B311C8"/>
    <w:rsid w:val="00B60619"/>
    <w:rsid w:val="00B66A70"/>
    <w:rsid w:val="00B67366"/>
    <w:rsid w:val="00B80EE1"/>
    <w:rsid w:val="00B84135"/>
    <w:rsid w:val="00B94F40"/>
    <w:rsid w:val="00BB6BDD"/>
    <w:rsid w:val="00BF2F12"/>
    <w:rsid w:val="00BF6214"/>
    <w:rsid w:val="00C04D34"/>
    <w:rsid w:val="00C05DF8"/>
    <w:rsid w:val="00C06864"/>
    <w:rsid w:val="00C10F54"/>
    <w:rsid w:val="00C23D8D"/>
    <w:rsid w:val="00C26577"/>
    <w:rsid w:val="00C37AA3"/>
    <w:rsid w:val="00C37FD7"/>
    <w:rsid w:val="00C43419"/>
    <w:rsid w:val="00C44CF3"/>
    <w:rsid w:val="00C470AA"/>
    <w:rsid w:val="00C61BE0"/>
    <w:rsid w:val="00C70B0E"/>
    <w:rsid w:val="00C773CA"/>
    <w:rsid w:val="00C83785"/>
    <w:rsid w:val="00C862BA"/>
    <w:rsid w:val="00C94C0D"/>
    <w:rsid w:val="00CA1FEB"/>
    <w:rsid w:val="00CB5C4A"/>
    <w:rsid w:val="00CD208C"/>
    <w:rsid w:val="00CD41AC"/>
    <w:rsid w:val="00CD4F85"/>
    <w:rsid w:val="00CD6F02"/>
    <w:rsid w:val="00CE0900"/>
    <w:rsid w:val="00CE246D"/>
    <w:rsid w:val="00CF07A0"/>
    <w:rsid w:val="00CF3E03"/>
    <w:rsid w:val="00D0082A"/>
    <w:rsid w:val="00D14E49"/>
    <w:rsid w:val="00D21455"/>
    <w:rsid w:val="00D36707"/>
    <w:rsid w:val="00D47634"/>
    <w:rsid w:val="00D709B3"/>
    <w:rsid w:val="00D9641B"/>
    <w:rsid w:val="00DA2ED6"/>
    <w:rsid w:val="00DA5717"/>
    <w:rsid w:val="00DB412F"/>
    <w:rsid w:val="00DB5C20"/>
    <w:rsid w:val="00DB76B8"/>
    <w:rsid w:val="00DC2C06"/>
    <w:rsid w:val="00DC2EA1"/>
    <w:rsid w:val="00DD6AAF"/>
    <w:rsid w:val="00DD749F"/>
    <w:rsid w:val="00DE3F5C"/>
    <w:rsid w:val="00DF1D20"/>
    <w:rsid w:val="00E21324"/>
    <w:rsid w:val="00E22D20"/>
    <w:rsid w:val="00E246B9"/>
    <w:rsid w:val="00E27A7A"/>
    <w:rsid w:val="00E31FEA"/>
    <w:rsid w:val="00E37EAB"/>
    <w:rsid w:val="00E413F4"/>
    <w:rsid w:val="00E45169"/>
    <w:rsid w:val="00E47787"/>
    <w:rsid w:val="00E51C30"/>
    <w:rsid w:val="00E54C5C"/>
    <w:rsid w:val="00E64180"/>
    <w:rsid w:val="00E74AEE"/>
    <w:rsid w:val="00E868E5"/>
    <w:rsid w:val="00E9237A"/>
    <w:rsid w:val="00E939FA"/>
    <w:rsid w:val="00EA5765"/>
    <w:rsid w:val="00EB68B3"/>
    <w:rsid w:val="00EC2532"/>
    <w:rsid w:val="00EC3468"/>
    <w:rsid w:val="00EC72BD"/>
    <w:rsid w:val="00ED7812"/>
    <w:rsid w:val="00EF1226"/>
    <w:rsid w:val="00EF3B86"/>
    <w:rsid w:val="00F21957"/>
    <w:rsid w:val="00F317E9"/>
    <w:rsid w:val="00F31A77"/>
    <w:rsid w:val="00F32656"/>
    <w:rsid w:val="00F34554"/>
    <w:rsid w:val="00F45F77"/>
    <w:rsid w:val="00F5167F"/>
    <w:rsid w:val="00F52258"/>
    <w:rsid w:val="00F81E66"/>
    <w:rsid w:val="00F82E9A"/>
    <w:rsid w:val="00F8570A"/>
    <w:rsid w:val="00F91C7B"/>
    <w:rsid w:val="00FA4AA1"/>
    <w:rsid w:val="00FB1817"/>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E6320"/>
    <w:pPr>
      <w:keepNext/>
      <w:tabs>
        <w:tab w:val="num" w:pos="567"/>
      </w:tabs>
      <w:spacing w:before="240" w:after="240"/>
      <w:jc w:val="both"/>
      <w:outlineLvl w:val="0"/>
    </w:pPr>
    <w:rPr>
      <w:b/>
      <w:caps/>
      <w:szCs w:val="20"/>
      <w:lang w:val="en-GB"/>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5E6320"/>
    <w:pPr>
      <w:keepNext/>
      <w:tabs>
        <w:tab w:val="num" w:pos="1985"/>
      </w:tabs>
      <w:ind w:left="1985" w:hanging="1985"/>
      <w:jc w:val="both"/>
      <w:outlineLvl w:val="2"/>
    </w:pPr>
    <w:rPr>
      <w:b/>
      <w:szCs w:val="20"/>
      <w:lang w:val="en-GB"/>
    </w:rPr>
  </w:style>
  <w:style w:type="paragraph" w:styleId="Heading4">
    <w:name w:val="heading 4"/>
    <w:basedOn w:val="Normal"/>
    <w:next w:val="Normal"/>
    <w:link w:val="Heading4Char"/>
    <w:qFormat/>
    <w:rsid w:val="005E6320"/>
    <w:pPr>
      <w:keepNext/>
      <w:tabs>
        <w:tab w:val="num" w:pos="864"/>
      </w:tabs>
      <w:ind w:left="864" w:hanging="864"/>
      <w:jc w:val="both"/>
      <w:outlineLvl w:val="3"/>
    </w:pPr>
    <w:rPr>
      <w:b/>
      <w:szCs w:val="20"/>
      <w:lang w:val="ru-RU"/>
    </w:rPr>
  </w:style>
  <w:style w:type="paragraph" w:styleId="Heading5">
    <w:name w:val="heading 5"/>
    <w:basedOn w:val="Normal"/>
    <w:next w:val="Normal"/>
    <w:link w:val="Heading5Char"/>
    <w:qFormat/>
    <w:rsid w:val="005E6320"/>
    <w:pPr>
      <w:keepNext/>
      <w:tabs>
        <w:tab w:val="num" w:pos="1008"/>
      </w:tabs>
      <w:ind w:left="1008" w:hanging="1008"/>
      <w:outlineLvl w:val="4"/>
    </w:pPr>
    <w:rPr>
      <w:b/>
      <w:szCs w:val="20"/>
      <w:lang w:val="en-GB"/>
    </w:rPr>
  </w:style>
  <w:style w:type="paragraph" w:styleId="Heading6">
    <w:name w:val="heading 6"/>
    <w:basedOn w:val="Normal"/>
    <w:next w:val="Normal"/>
    <w:link w:val="Heading6Char"/>
    <w:qFormat/>
    <w:rsid w:val="005E6320"/>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link w:val="Heading7Char"/>
    <w:qFormat/>
    <w:rsid w:val="005E6320"/>
    <w:pPr>
      <w:tabs>
        <w:tab w:val="num" w:pos="1296"/>
      </w:tabs>
      <w:spacing w:before="240" w:after="60"/>
      <w:ind w:left="1296" w:hanging="1296"/>
      <w:outlineLvl w:val="6"/>
    </w:pPr>
    <w:rPr>
      <w:lang w:val="en-AU"/>
    </w:rPr>
  </w:style>
  <w:style w:type="paragraph" w:styleId="Heading8">
    <w:name w:val="heading 8"/>
    <w:basedOn w:val="Normal"/>
    <w:next w:val="Normal"/>
    <w:link w:val="Heading8Char"/>
    <w:qFormat/>
    <w:rsid w:val="005E6320"/>
    <w:pPr>
      <w:spacing w:before="240" w:after="60"/>
      <w:outlineLvl w:val="7"/>
    </w:pPr>
    <w:rPr>
      <w:i/>
      <w:iCs/>
    </w:rPr>
  </w:style>
  <w:style w:type="paragraph" w:styleId="Heading9">
    <w:name w:val="heading 9"/>
    <w:basedOn w:val="Normal"/>
    <w:next w:val="Normal"/>
    <w:link w:val="Heading9Char"/>
    <w:qFormat/>
    <w:rsid w:val="005E6320"/>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link w:val="BalloonTextChar"/>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ing1Char">
    <w:name w:val="Heading 1 Char"/>
    <w:basedOn w:val="DefaultParagraphFont"/>
    <w:link w:val="Heading1"/>
    <w:rsid w:val="005E6320"/>
    <w:rPr>
      <w:b/>
      <w:caps/>
      <w:sz w:val="24"/>
      <w:lang w:val="en-GB" w:eastAsia="en-US"/>
    </w:rPr>
  </w:style>
  <w:style w:type="character" w:customStyle="1" w:styleId="Heading3Char">
    <w:name w:val="Heading 3 Char"/>
    <w:basedOn w:val="DefaultParagraphFont"/>
    <w:link w:val="Heading3"/>
    <w:rsid w:val="005E6320"/>
    <w:rPr>
      <w:b/>
      <w:sz w:val="24"/>
      <w:lang w:val="en-GB" w:eastAsia="en-US"/>
    </w:rPr>
  </w:style>
  <w:style w:type="character" w:customStyle="1" w:styleId="Heading4Char">
    <w:name w:val="Heading 4 Char"/>
    <w:basedOn w:val="DefaultParagraphFont"/>
    <w:link w:val="Heading4"/>
    <w:rsid w:val="005E6320"/>
    <w:rPr>
      <w:b/>
      <w:sz w:val="24"/>
      <w:lang w:val="ru-RU" w:eastAsia="en-US"/>
    </w:rPr>
  </w:style>
  <w:style w:type="character" w:customStyle="1" w:styleId="Heading5Char">
    <w:name w:val="Heading 5 Char"/>
    <w:basedOn w:val="DefaultParagraphFont"/>
    <w:link w:val="Heading5"/>
    <w:rsid w:val="005E6320"/>
    <w:rPr>
      <w:b/>
      <w:sz w:val="24"/>
      <w:lang w:val="en-GB" w:eastAsia="en-US"/>
    </w:rPr>
  </w:style>
  <w:style w:type="character" w:customStyle="1" w:styleId="Heading6Char">
    <w:name w:val="Heading 6 Char"/>
    <w:basedOn w:val="DefaultParagraphFont"/>
    <w:link w:val="Heading6"/>
    <w:rsid w:val="005E6320"/>
    <w:rPr>
      <w:b/>
      <w:bCs/>
      <w:sz w:val="22"/>
      <w:szCs w:val="22"/>
      <w:lang w:val="en-AU" w:eastAsia="en-US"/>
    </w:rPr>
  </w:style>
  <w:style w:type="character" w:customStyle="1" w:styleId="Heading7Char">
    <w:name w:val="Heading 7 Char"/>
    <w:basedOn w:val="DefaultParagraphFont"/>
    <w:link w:val="Heading7"/>
    <w:rsid w:val="005E6320"/>
    <w:rPr>
      <w:sz w:val="24"/>
      <w:szCs w:val="24"/>
      <w:lang w:val="en-AU" w:eastAsia="en-US"/>
    </w:rPr>
  </w:style>
  <w:style w:type="character" w:customStyle="1" w:styleId="Heading8Char">
    <w:name w:val="Heading 8 Char"/>
    <w:basedOn w:val="DefaultParagraphFont"/>
    <w:link w:val="Heading8"/>
    <w:rsid w:val="005E6320"/>
    <w:rPr>
      <w:i/>
      <w:iCs/>
      <w:sz w:val="24"/>
      <w:szCs w:val="24"/>
      <w:lang w:val="en-US" w:eastAsia="en-US"/>
    </w:rPr>
  </w:style>
  <w:style w:type="character" w:customStyle="1" w:styleId="Heading9Char">
    <w:name w:val="Heading 9 Char"/>
    <w:basedOn w:val="DefaultParagraphFont"/>
    <w:link w:val="Heading9"/>
    <w:rsid w:val="005E6320"/>
    <w:rPr>
      <w:rFonts w:ascii="Arial" w:hAnsi="Arial" w:cs="Arial"/>
      <w:sz w:val="22"/>
      <w:szCs w:val="22"/>
      <w:lang w:val="en-AU" w:eastAsia="en-US"/>
    </w:rPr>
  </w:style>
  <w:style w:type="numbering" w:customStyle="1" w:styleId="NoList1">
    <w:name w:val="No List1"/>
    <w:next w:val="NoList"/>
    <w:semiHidden/>
    <w:rsid w:val="005E6320"/>
  </w:style>
  <w:style w:type="character" w:customStyle="1" w:styleId="Heading2Char">
    <w:name w:val="Heading 2 Char"/>
    <w:link w:val="Heading2"/>
    <w:locked/>
    <w:rsid w:val="005E6320"/>
    <w:rPr>
      <w:rFonts w:ascii="Arial" w:hAnsi="Arial" w:cs="Arial"/>
      <w:i/>
      <w:iCs/>
      <w:color w:val="999999"/>
      <w:sz w:val="18"/>
      <w:szCs w:val="24"/>
      <w:lang w:val="en-US" w:eastAsia="en-US"/>
    </w:rPr>
  </w:style>
  <w:style w:type="paragraph" w:styleId="Title">
    <w:name w:val="Title"/>
    <w:basedOn w:val="Normal"/>
    <w:link w:val="TitleChar"/>
    <w:qFormat/>
    <w:rsid w:val="005E6320"/>
    <w:pPr>
      <w:jc w:val="center"/>
    </w:pPr>
    <w:rPr>
      <w:b/>
    </w:rPr>
  </w:style>
  <w:style w:type="character" w:customStyle="1" w:styleId="TitleChar">
    <w:name w:val="Title Char"/>
    <w:basedOn w:val="DefaultParagraphFont"/>
    <w:link w:val="Title"/>
    <w:rsid w:val="005E6320"/>
    <w:rPr>
      <w:b/>
      <w:sz w:val="24"/>
      <w:szCs w:val="24"/>
      <w:lang w:val="en-US" w:eastAsia="en-US"/>
    </w:rPr>
  </w:style>
  <w:style w:type="paragraph" w:styleId="EndnoteText">
    <w:name w:val="endnote text"/>
    <w:basedOn w:val="Normal"/>
    <w:link w:val="EndnoteTextChar"/>
    <w:rsid w:val="005E6320"/>
    <w:rPr>
      <w:rFonts w:ascii="TmsRmn 12pt" w:hAnsi="TmsRmn 12pt"/>
    </w:rPr>
  </w:style>
  <w:style w:type="character" w:customStyle="1" w:styleId="EndnoteTextChar">
    <w:name w:val="Endnote Text Char"/>
    <w:basedOn w:val="DefaultParagraphFont"/>
    <w:link w:val="EndnoteText"/>
    <w:rsid w:val="005E6320"/>
    <w:rPr>
      <w:rFonts w:ascii="TmsRmn 12pt" w:hAnsi="TmsRmn 12pt"/>
      <w:sz w:val="24"/>
      <w:szCs w:val="24"/>
      <w:lang w:val="en-US" w:eastAsia="en-US"/>
    </w:rPr>
  </w:style>
  <w:style w:type="paragraph" w:styleId="BodyTextIndent2">
    <w:name w:val="Body Text Indent 2"/>
    <w:basedOn w:val="Normal"/>
    <w:link w:val="BodyTextIndent2Char"/>
    <w:rsid w:val="005E6320"/>
    <w:pPr>
      <w:ind w:left="1440"/>
    </w:pPr>
    <w:rPr>
      <w:i/>
    </w:rPr>
  </w:style>
  <w:style w:type="character" w:customStyle="1" w:styleId="BodyTextIndent2Char">
    <w:name w:val="Body Text Indent 2 Char"/>
    <w:basedOn w:val="DefaultParagraphFont"/>
    <w:link w:val="BodyTextIndent2"/>
    <w:rsid w:val="005E6320"/>
    <w:rPr>
      <w:i/>
      <w:sz w:val="24"/>
      <w:szCs w:val="24"/>
      <w:lang w:val="en-US" w:eastAsia="en-US"/>
    </w:rPr>
  </w:style>
  <w:style w:type="table" w:styleId="TableGrid">
    <w:name w:val="Table Grid"/>
    <w:basedOn w:val="TableNormal"/>
    <w:rsid w:val="005E632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5E6320"/>
    <w:pPr>
      <w:jc w:val="both"/>
    </w:pPr>
    <w:rPr>
      <w:b/>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5E6320"/>
    <w:rPr>
      <w:sz w:val="24"/>
      <w:szCs w:val="24"/>
      <w:lang w:val="en-US" w:eastAsia="en-US"/>
    </w:rPr>
  </w:style>
  <w:style w:type="paragraph" w:styleId="BodyText">
    <w:name w:val="Body Text"/>
    <w:basedOn w:val="Normal"/>
    <w:link w:val="BodyTextChar"/>
    <w:rsid w:val="005E6320"/>
    <w:pPr>
      <w:spacing w:after="120"/>
    </w:pPr>
    <w:rPr>
      <w:sz w:val="20"/>
      <w:szCs w:val="20"/>
    </w:rPr>
  </w:style>
  <w:style w:type="character" w:customStyle="1" w:styleId="BodyTextChar">
    <w:name w:val="Body Text Char"/>
    <w:basedOn w:val="DefaultParagraphFont"/>
    <w:link w:val="BodyText"/>
    <w:rsid w:val="005E6320"/>
    <w:rPr>
      <w:lang w:val="en-US" w:eastAsia="en-US"/>
    </w:rPr>
  </w:style>
  <w:style w:type="paragraph" w:styleId="BodyTextIndent3">
    <w:name w:val="Body Text Indent 3"/>
    <w:basedOn w:val="Normal"/>
    <w:link w:val="BodyTextIndent3Char"/>
    <w:rsid w:val="005E6320"/>
    <w:pPr>
      <w:spacing w:after="120"/>
      <w:ind w:left="360"/>
    </w:pPr>
    <w:rPr>
      <w:sz w:val="16"/>
      <w:szCs w:val="16"/>
    </w:rPr>
  </w:style>
  <w:style w:type="character" w:customStyle="1" w:styleId="BodyTextIndent3Char">
    <w:name w:val="Body Text Indent 3 Char"/>
    <w:basedOn w:val="DefaultParagraphFont"/>
    <w:link w:val="BodyTextIndent3"/>
    <w:rsid w:val="005E6320"/>
    <w:rPr>
      <w:sz w:val="16"/>
      <w:szCs w:val="16"/>
      <w:lang w:val="en-US" w:eastAsia="en-US"/>
    </w:rPr>
  </w:style>
  <w:style w:type="paragraph" w:styleId="BodyTextIndent">
    <w:name w:val="Body Text Indent"/>
    <w:basedOn w:val="Normal"/>
    <w:link w:val="BodyTextIndentChar"/>
    <w:rsid w:val="005E6320"/>
    <w:pPr>
      <w:spacing w:after="120"/>
      <w:ind w:left="360"/>
    </w:pPr>
    <w:rPr>
      <w:sz w:val="20"/>
      <w:szCs w:val="20"/>
    </w:rPr>
  </w:style>
  <w:style w:type="character" w:customStyle="1" w:styleId="BodyTextIndentChar">
    <w:name w:val="Body Text Indent Char"/>
    <w:basedOn w:val="DefaultParagraphFont"/>
    <w:link w:val="BodyTextIndent"/>
    <w:rsid w:val="005E6320"/>
    <w:rPr>
      <w:lang w:val="en-US" w:eastAsia="en-US"/>
    </w:rPr>
  </w:style>
  <w:style w:type="character" w:styleId="Strong">
    <w:name w:val="Strong"/>
    <w:qFormat/>
    <w:rsid w:val="005E6320"/>
    <w:rPr>
      <w:b/>
      <w:bCs w:val="0"/>
    </w:rPr>
  </w:style>
  <w:style w:type="paragraph" w:styleId="BodyText2">
    <w:name w:val="Body Text 2"/>
    <w:basedOn w:val="Normal"/>
    <w:link w:val="BodyText2Char"/>
    <w:rsid w:val="005E6320"/>
    <w:pPr>
      <w:spacing w:after="120" w:line="480" w:lineRule="auto"/>
    </w:pPr>
    <w:rPr>
      <w:sz w:val="20"/>
      <w:szCs w:val="20"/>
    </w:rPr>
  </w:style>
  <w:style w:type="character" w:customStyle="1" w:styleId="BodyText2Char">
    <w:name w:val="Body Text 2 Char"/>
    <w:basedOn w:val="DefaultParagraphFont"/>
    <w:link w:val="BodyText2"/>
    <w:rsid w:val="005E6320"/>
    <w:rPr>
      <w:lang w:val="en-US" w:eastAsia="en-US"/>
    </w:rPr>
  </w:style>
  <w:style w:type="paragraph" w:styleId="NormalWeb">
    <w:name w:val="Normal (Web)"/>
    <w:basedOn w:val="Normal"/>
    <w:rsid w:val="005E6320"/>
    <w:pPr>
      <w:spacing w:before="100" w:beforeAutospacing="1" w:after="100" w:afterAutospacing="1"/>
    </w:pPr>
    <w:rPr>
      <w:sz w:val="22"/>
      <w:szCs w:val="22"/>
    </w:rPr>
  </w:style>
  <w:style w:type="character" w:styleId="Emphasis">
    <w:name w:val="Emphasis"/>
    <w:qFormat/>
    <w:rsid w:val="005E6320"/>
    <w:rPr>
      <w:b/>
      <w:bCs/>
      <w:i w:val="0"/>
      <w:iCs w:val="0"/>
    </w:rPr>
  </w:style>
  <w:style w:type="paragraph" w:customStyle="1" w:styleId="Default">
    <w:name w:val="Default"/>
    <w:rsid w:val="005E6320"/>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5E6320"/>
    <w:rPr>
      <w:rFonts w:ascii="Arial" w:eastAsia="Univers Condensed" w:hAnsi="Arial"/>
      <w:szCs w:val="20"/>
      <w:lang w:val="en-GB"/>
    </w:rPr>
  </w:style>
  <w:style w:type="paragraph" w:styleId="ListNumber">
    <w:name w:val="List Number"/>
    <w:basedOn w:val="Normal"/>
    <w:rsid w:val="005E6320"/>
    <w:pPr>
      <w:tabs>
        <w:tab w:val="num" w:pos="360"/>
      </w:tabs>
      <w:ind w:left="360" w:hanging="360"/>
    </w:pPr>
    <w:rPr>
      <w:rFonts w:ascii="Arial" w:hAnsi="Arial"/>
      <w:szCs w:val="20"/>
      <w:lang w:val="en-AU"/>
    </w:rPr>
  </w:style>
  <w:style w:type="paragraph" w:styleId="Subtitle">
    <w:name w:val="Subtitle"/>
    <w:basedOn w:val="Normal"/>
    <w:link w:val="SubtitleChar"/>
    <w:qFormat/>
    <w:rsid w:val="005E6320"/>
    <w:pPr>
      <w:jc w:val="center"/>
    </w:pPr>
    <w:rPr>
      <w:b/>
      <w:bCs/>
      <w:lang w:val="hr-HR"/>
    </w:rPr>
  </w:style>
  <w:style w:type="character" w:customStyle="1" w:styleId="SubtitleChar">
    <w:name w:val="Subtitle Char"/>
    <w:basedOn w:val="DefaultParagraphFont"/>
    <w:link w:val="Subtitle"/>
    <w:rsid w:val="005E6320"/>
    <w:rPr>
      <w:b/>
      <w:bCs/>
      <w:sz w:val="24"/>
      <w:szCs w:val="24"/>
      <w:lang w:val="hr-HR" w:eastAsia="en-US"/>
    </w:rPr>
  </w:style>
  <w:style w:type="paragraph" w:styleId="ListParagraph">
    <w:name w:val="List Paragraph"/>
    <w:basedOn w:val="Normal"/>
    <w:qFormat/>
    <w:rsid w:val="005E6320"/>
    <w:pPr>
      <w:tabs>
        <w:tab w:val="left" w:pos="284"/>
      </w:tabs>
      <w:ind w:left="720"/>
      <w:jc w:val="both"/>
    </w:pPr>
    <w:rPr>
      <w:rFonts w:ascii="Humanist777" w:hAnsi="Humanist777"/>
    </w:rPr>
  </w:style>
  <w:style w:type="character" w:customStyle="1" w:styleId="BalloonTextChar">
    <w:name w:val="Balloon Text Char"/>
    <w:link w:val="BalloonText"/>
    <w:rsid w:val="005E6320"/>
    <w:rPr>
      <w:rFonts w:ascii="Tahoma" w:hAnsi="Tahoma" w:cs="Tahoma"/>
      <w:sz w:val="16"/>
      <w:szCs w:val="16"/>
      <w:lang w:val="en-US" w:eastAsia="en-US"/>
    </w:rPr>
  </w:style>
  <w:style w:type="character" w:customStyle="1" w:styleId="CharChar4">
    <w:name w:val="Char Char4"/>
    <w:rsid w:val="005E6320"/>
    <w:rPr>
      <w:rFonts w:ascii="Humanist777" w:hAnsi="Humanist777"/>
      <w:sz w:val="24"/>
      <w:szCs w:val="24"/>
    </w:rPr>
  </w:style>
  <w:style w:type="paragraph" w:customStyle="1" w:styleId="lstpara1">
    <w:name w:val="lst_para1"/>
    <w:basedOn w:val="Normal"/>
    <w:rsid w:val="005E6320"/>
    <w:pPr>
      <w:spacing w:after="240" w:line="312" w:lineRule="atLeast"/>
      <w:ind w:left="360"/>
    </w:pPr>
    <w:rPr>
      <w:rFonts w:ascii="Times" w:hAnsi="Times"/>
      <w:szCs w:val="20"/>
      <w:lang w:val="en-GB" w:eastAsia="en-GB"/>
    </w:rPr>
  </w:style>
  <w:style w:type="paragraph" w:styleId="PlainText">
    <w:name w:val="Plain Text"/>
    <w:basedOn w:val="Normal"/>
    <w:link w:val="PlainTextChar"/>
    <w:unhideWhenUsed/>
    <w:rsid w:val="005E6320"/>
    <w:rPr>
      <w:rFonts w:ascii="Consolas" w:eastAsia="Calibri" w:hAnsi="Consolas"/>
      <w:sz w:val="21"/>
      <w:szCs w:val="21"/>
    </w:rPr>
  </w:style>
  <w:style w:type="character" w:customStyle="1" w:styleId="PlainTextChar">
    <w:name w:val="Plain Text Char"/>
    <w:basedOn w:val="DefaultParagraphFont"/>
    <w:link w:val="PlainText"/>
    <w:rsid w:val="005E6320"/>
    <w:rPr>
      <w:rFonts w:ascii="Consolas" w:eastAsia="Calibri" w:hAnsi="Consolas"/>
      <w:sz w:val="21"/>
      <w:szCs w:val="21"/>
      <w:lang w:val="en-US" w:eastAsia="en-US"/>
    </w:rPr>
  </w:style>
  <w:style w:type="paragraph" w:customStyle="1" w:styleId="Para0s">
    <w:name w:val="Para:0:s"/>
    <w:basedOn w:val="Normal"/>
    <w:rsid w:val="005E6320"/>
    <w:pPr>
      <w:spacing w:after="220"/>
    </w:pPr>
    <w:rPr>
      <w:szCs w:val="20"/>
      <w:lang w:eastAsia="de-DE"/>
    </w:rPr>
  </w:style>
  <w:style w:type="paragraph" w:customStyle="1" w:styleId="ParaKT0sb">
    <w:name w:val="ParaKT:0:sb"/>
    <w:basedOn w:val="Normal"/>
    <w:next w:val="Para0s"/>
    <w:rsid w:val="005E6320"/>
    <w:pPr>
      <w:keepNext/>
      <w:keepLines/>
      <w:spacing w:after="220"/>
    </w:pPr>
    <w:rPr>
      <w:b/>
      <w:szCs w:val="20"/>
      <w:lang w:eastAsia="de-DE"/>
    </w:rPr>
  </w:style>
  <w:style w:type="paragraph" w:styleId="BodyText3">
    <w:name w:val="Body Text 3"/>
    <w:basedOn w:val="Normal"/>
    <w:link w:val="BodyText3Char"/>
    <w:rsid w:val="005E6320"/>
    <w:pPr>
      <w:tabs>
        <w:tab w:val="left" w:pos="284"/>
      </w:tabs>
      <w:spacing w:after="120"/>
      <w:jc w:val="both"/>
    </w:pPr>
    <w:rPr>
      <w:rFonts w:ascii="Humanist777" w:hAnsi="Humanist777"/>
      <w:sz w:val="16"/>
      <w:szCs w:val="16"/>
    </w:rPr>
  </w:style>
  <w:style w:type="character" w:customStyle="1" w:styleId="BodyText3Char">
    <w:name w:val="Body Text 3 Char"/>
    <w:basedOn w:val="DefaultParagraphFont"/>
    <w:link w:val="BodyText3"/>
    <w:rsid w:val="005E6320"/>
    <w:rPr>
      <w:rFonts w:ascii="Humanist777" w:hAnsi="Humanist777"/>
      <w:sz w:val="16"/>
      <w:szCs w:val="16"/>
      <w:lang w:val="en-US" w:eastAsia="en-US"/>
    </w:rPr>
  </w:style>
  <w:style w:type="paragraph" w:customStyle="1" w:styleId="FR1">
    <w:name w:val="FR1"/>
    <w:rsid w:val="005E6320"/>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5E6320"/>
  </w:style>
  <w:style w:type="character" w:customStyle="1" w:styleId="CharCharChar">
    <w:name w:val="Char Char Char"/>
    <w:rsid w:val="005E6320"/>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5E6320"/>
    <w:rPr>
      <w:rFonts w:ascii="Humanist777" w:hAnsi="Humanist777"/>
      <w:sz w:val="24"/>
      <w:szCs w:val="24"/>
      <w:lang w:val="en-US" w:eastAsia="en-US" w:bidi="ar-SA"/>
    </w:rPr>
  </w:style>
  <w:style w:type="character" w:customStyle="1" w:styleId="CharCharChar1">
    <w:name w:val="Char Char Char1"/>
    <w:rsid w:val="005E6320"/>
    <w:rPr>
      <w:rFonts w:ascii="Humanist777" w:hAnsi="Humanist777"/>
      <w:sz w:val="24"/>
      <w:szCs w:val="24"/>
      <w:lang w:val="en-US" w:eastAsia="en-US" w:bidi="ar-SA"/>
    </w:rPr>
  </w:style>
  <w:style w:type="paragraph" w:customStyle="1" w:styleId="Style">
    <w:name w:val="Style"/>
    <w:rsid w:val="005E6320"/>
    <w:pPr>
      <w:widowControl w:val="0"/>
      <w:autoSpaceDE w:val="0"/>
      <w:autoSpaceDN w:val="0"/>
      <w:adjustRightInd w:val="0"/>
    </w:pPr>
    <w:rPr>
      <w:sz w:val="24"/>
      <w:szCs w:val="24"/>
      <w:lang w:val="en-US" w:eastAsia="en-US"/>
    </w:rPr>
  </w:style>
  <w:style w:type="paragraph" w:customStyle="1" w:styleId="Bullet0dKT">
    <w:name w:val="Bullet:0:d:KT"/>
    <w:basedOn w:val="Normal"/>
    <w:rsid w:val="005E6320"/>
    <w:pPr>
      <w:keepNext/>
      <w:keepLines/>
      <w:numPr>
        <w:numId w:val="1"/>
      </w:numPr>
      <w:spacing w:before="40" w:after="220"/>
      <w:ind w:left="357" w:hanging="357"/>
    </w:pPr>
    <w:rPr>
      <w:rFonts w:ascii="Helvetica" w:hAnsi="Helvetica"/>
      <w:sz w:val="22"/>
      <w:szCs w:val="20"/>
      <w:lang w:eastAsia="de-DE"/>
    </w:rPr>
  </w:style>
  <w:style w:type="paragraph" w:customStyle="1" w:styleId="Text">
    <w:name w:val="Text"/>
    <w:basedOn w:val="Normal"/>
    <w:rsid w:val="005E6320"/>
    <w:pPr>
      <w:spacing w:before="14" w:after="144" w:line="300" w:lineRule="atLeast"/>
      <w:ind w:left="720" w:right="360" w:hanging="720"/>
    </w:pPr>
    <w:rPr>
      <w:color w:val="000000"/>
      <w:szCs w:val="20"/>
      <w:lang w:val="en-GB"/>
    </w:rPr>
  </w:style>
  <w:style w:type="character" w:customStyle="1" w:styleId="apple-converted-space">
    <w:name w:val="apple-converted-space"/>
    <w:basedOn w:val="DefaultParagraphFont"/>
    <w:rsid w:val="005E6320"/>
  </w:style>
  <w:style w:type="paragraph" w:customStyle="1" w:styleId="A-TableText">
    <w:name w:val="A-Table Text"/>
    <w:rsid w:val="005E6320"/>
    <w:pPr>
      <w:spacing w:before="60" w:after="60"/>
    </w:pPr>
    <w:rPr>
      <w:sz w:val="22"/>
      <w:lang w:val="en-GB" w:eastAsia="en-US"/>
    </w:rPr>
  </w:style>
  <w:style w:type="paragraph" w:customStyle="1" w:styleId="A-TableHeader">
    <w:name w:val="A-Table Header"/>
    <w:next w:val="A-TableText"/>
    <w:rsid w:val="005E6320"/>
    <w:pPr>
      <w:keepNext/>
      <w:spacing w:before="60" w:after="60"/>
    </w:pPr>
    <w:rPr>
      <w:b/>
      <w:sz w:val="22"/>
      <w:lang w:val="en-GB" w:eastAsia="en-US"/>
    </w:rPr>
  </w:style>
  <w:style w:type="paragraph" w:customStyle="1" w:styleId="A-TableTitle">
    <w:name w:val="A-Table Title"/>
    <w:next w:val="Normal"/>
    <w:rsid w:val="005E6320"/>
    <w:pPr>
      <w:keepNext/>
      <w:tabs>
        <w:tab w:val="left" w:pos="1800"/>
      </w:tabs>
      <w:spacing w:after="120" w:line="280" w:lineRule="atLeast"/>
      <w:ind w:left="1800" w:hanging="1800"/>
    </w:pPr>
    <w:rPr>
      <w:b/>
      <w:sz w:val="24"/>
      <w:lang w:val="en-GB" w:eastAsia="en-US"/>
    </w:rPr>
  </w:style>
  <w:style w:type="character" w:styleId="Hyperlink">
    <w:name w:val="Hyperlink"/>
    <w:rsid w:val="005E6320"/>
    <w:rPr>
      <w:color w:val="0000FF"/>
      <w:u w:val="single"/>
    </w:rPr>
  </w:style>
  <w:style w:type="paragraph" w:styleId="Revision">
    <w:name w:val="Revision"/>
    <w:hidden/>
    <w:uiPriority w:val="99"/>
    <w:semiHidden/>
    <w:rsid w:val="008048B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2029-11-30T23:00:00+00:00</_dlc_ExpireDate>
    <TaxCatchAll xmlns="f191ad30-9ade-4f0c-b78e-cf30469879ae"/>
    <IconOverlay xmlns="http://schemas.microsoft.com/sharepoint/v4" xsi:nil="true"/>
    <TaxKeywordTaxHTField xmlns="35a8546d-9f91-45fa-a14e-0c4493b38db6">
      <Terms xmlns="http://schemas.microsoft.com/office/infopath/2007/PartnerControls"/>
    </TaxKeywordTaxHTField>
    <_dlc_ExpireDateSave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351063A9C658459944992FC5165942" ma:contentTypeVersion="8" ma:contentTypeDescription="Create a new document." ma:contentTypeScope="" ma:versionID="acabb834e45fa14419502decce5b3737">
  <xsd:schema xmlns:xsd="http://www.w3.org/2001/XMLSchema" xmlns:xs="http://www.w3.org/2001/XMLSchema" xmlns:p="http://schemas.microsoft.com/office/2006/metadata/properties" xmlns:ns1="http://schemas.microsoft.com/sharepoint/v3" xmlns:ns2="35a8546d-9f91-45fa-a14e-0c4493b38db6" xmlns:ns3="f191ad30-9ade-4f0c-b78e-cf30469879ae" xmlns:ns4="http://schemas.microsoft.com/sharepoint/v4" targetNamespace="http://schemas.microsoft.com/office/2006/metadata/properties" ma:root="true" ma:fieldsID="0ee48dc8ba83b8a378a4e67640f1dd2b" ns1:_="" ns2:_="" ns3:_="" ns4:_="">
    <xsd:import namespace="http://schemas.microsoft.com/sharepoint/v3"/>
    <xsd:import namespace="35a8546d-9f91-45fa-a14e-0c4493b38db6"/>
    <xsd:import namespace="f191ad30-9ade-4f0c-b78e-cf30469879ae"/>
    <xsd:import namespace="http://schemas.microsoft.com/sharepoint/v4"/>
    <xsd:element name="properties">
      <xsd:complexType>
        <xsd:sequence>
          <xsd:element name="documentManagement">
            <xsd:complexType>
              <xsd:all>
                <xsd:element ref="ns2:TaxKeywordTaxHTField" minOccurs="0"/>
                <xsd:element ref="ns3:TaxCatchAll" minOccurs="0"/>
                <xsd:element ref="ns1:_vti_ItemDeclaredRecord" minOccurs="0"/>
                <xsd:element ref="ns1:_dlc_Exempt" minOccurs="0"/>
                <xsd:element ref="ns1:_dlc_ExpireDateSaved" minOccurs="0"/>
                <xsd:element ref="ns1:_dlc_ExpireDate"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1" nillable="true" ma:displayName="Declared Record" ma:hidden="true" ma:internalName="_vti_ItemDeclaredRecord" ma:readOnly="tru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a8546d-9f91-45fa-a14e-0c4493b38db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39baccb-2c56-4335-83af-0e91367fb186}" ma:internalName="TaxCatchAll" ma:showField="CatchAllData" ma:web="35a8546d-9f91-45fa-a14e-0c4493b38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5C729-EF33-4012-A2A2-591421F6EB73}">
  <ds:schemaRefs>
    <ds:schemaRef ds:uri="http://schemas.microsoft.com/office/2006/metadata/properties"/>
    <ds:schemaRef ds:uri="http://schemas.microsoft.com/office/infopath/2007/PartnerControls"/>
    <ds:schemaRef ds:uri="http://schemas.microsoft.com/sharepoint/v3"/>
    <ds:schemaRef ds:uri="f191ad30-9ade-4f0c-b78e-cf30469879ae"/>
    <ds:schemaRef ds:uri="http://schemas.microsoft.com/sharepoint/v4"/>
    <ds:schemaRef ds:uri="35a8546d-9f91-45fa-a14e-0c4493b38db6"/>
  </ds:schemaRefs>
</ds:datastoreItem>
</file>

<file path=customXml/itemProps2.xml><?xml version="1.0" encoding="utf-8"?>
<ds:datastoreItem xmlns:ds="http://schemas.openxmlformats.org/officeDocument/2006/customXml" ds:itemID="{B3B5D004-E7F9-4742-B17F-4A967FC8C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a8546d-9f91-45fa-a14e-0c4493b38db6"/>
    <ds:schemaRef ds:uri="f191ad30-9ade-4f0c-b78e-cf3046987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167BA-E31C-48D8-8B02-00DC49336398}">
  <ds:schemaRefs>
    <ds:schemaRef ds:uri="http://schemas.microsoft.com/sharepoint/v3/contenttype/forms"/>
  </ds:schemaRefs>
</ds:datastoreItem>
</file>

<file path=customXml/itemProps4.xml><?xml version="1.0" encoding="utf-8"?>
<ds:datastoreItem xmlns:ds="http://schemas.openxmlformats.org/officeDocument/2006/customXml" ds:itemID="{5145BEA1-B192-4FAA-84E3-53BC4C57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28</Pages>
  <Words>12373</Words>
  <Characters>70530</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82738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Gordana Boljević</cp:lastModifiedBy>
  <cp:revision>4</cp:revision>
  <cp:lastPrinted>2021-11-16T11:07:00Z</cp:lastPrinted>
  <dcterms:created xsi:type="dcterms:W3CDTF">2024-06-28T10:46:00Z</dcterms:created>
  <dcterms:modified xsi:type="dcterms:W3CDTF">2024-06-28T12:12:00Z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0x0101009A351063A9C658459944992FC5165942</vt:lpwstr>
  </property>
  <property fmtid="{D5CDD505-2E9C-101B-9397-08002B2CF9AE}" pid="4" name="TaxKeyword">
    <vt:lpwstr/>
  </property>
  <property fmtid="{D5CDD505-2E9C-101B-9397-08002B2CF9AE}" pid="5" name="_dlc_policyId">
    <vt:lpwstr>/team/2012035B/Medical</vt:lpwstr>
  </property>
  <property fmtid="{D5CDD505-2E9C-101B-9397-08002B2CF9AE}" pid="6" name="ItemRetentionFormula">
    <vt:lpwstr>&lt;formula id="Roche.Common.Coremap.ExpirationFormula" /&gt;</vt:lpwstr>
  </property>
</Properties>
</file>