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69AA" w14:textId="77777777" w:rsidR="002510A5" w:rsidRPr="00CF5F52" w:rsidRDefault="002510A5" w:rsidP="00676BE4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CF5F5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B5D9DE9" w14:textId="77777777" w:rsidR="002510A5" w:rsidRPr="00CF5F52" w:rsidRDefault="002510A5" w:rsidP="00676BE4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00D8D74" w14:textId="77777777" w:rsidR="003C17AB" w:rsidRPr="00CF5F52" w:rsidRDefault="003C17AB" w:rsidP="00676BE4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52F898A5" w14:textId="77777777" w:rsidR="00C37FD7" w:rsidRPr="00CF5F52" w:rsidRDefault="00C37FD7" w:rsidP="00676BE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04D560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>1.</w:t>
      </w:r>
      <w:r w:rsidR="00F5167F" w:rsidRPr="00CF5F52">
        <w:rPr>
          <w:b/>
          <w:bCs/>
          <w:sz w:val="22"/>
          <w:szCs w:val="22"/>
          <w:lang w:val="sr-Latn-ME"/>
        </w:rPr>
        <w:tab/>
      </w:r>
      <w:r w:rsidR="002846DB" w:rsidRPr="00CF5F52">
        <w:rPr>
          <w:b/>
          <w:bCs/>
          <w:sz w:val="22"/>
          <w:szCs w:val="22"/>
          <w:lang w:val="sr-Latn-ME"/>
        </w:rPr>
        <w:t xml:space="preserve">NAZIV </w:t>
      </w:r>
      <w:r w:rsidRPr="00CF5F52">
        <w:rPr>
          <w:b/>
          <w:bCs/>
          <w:sz w:val="22"/>
          <w:szCs w:val="22"/>
          <w:lang w:val="sr-Latn-ME"/>
        </w:rPr>
        <w:t>LIJEKA</w:t>
      </w:r>
    </w:p>
    <w:p w14:paraId="4F799076" w14:textId="77777777" w:rsidR="000D425A" w:rsidRPr="00CF5F52" w:rsidRDefault="000D425A" w:rsidP="00676BE4">
      <w:pPr>
        <w:jc w:val="both"/>
        <w:rPr>
          <w:color w:val="808080"/>
          <w:sz w:val="22"/>
          <w:szCs w:val="22"/>
          <w:lang w:val="sr-Latn-ME"/>
        </w:rPr>
      </w:pPr>
    </w:p>
    <w:p w14:paraId="4F19867E" w14:textId="3CD49F6C" w:rsidR="002B4C79" w:rsidRPr="00CF5F52" w:rsidRDefault="002B4C79" w:rsidP="00676BE4">
      <w:pPr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Sandoz, 5 mg, </w:t>
      </w:r>
      <w:proofErr w:type="spellStart"/>
      <w:r w:rsidRPr="00CF5F52">
        <w:rPr>
          <w:sz w:val="22"/>
          <w:szCs w:val="22"/>
          <w:lang w:val="sr-Latn-ME"/>
        </w:rPr>
        <w:t>implant</w:t>
      </w:r>
      <w:proofErr w:type="spellEnd"/>
      <w:r w:rsidRPr="00CF5F52">
        <w:rPr>
          <w:sz w:val="22"/>
          <w:szCs w:val="22"/>
          <w:lang w:val="sr-Latn-ME"/>
        </w:rPr>
        <w:t xml:space="preserve"> u napunjenom injekcionom špricu</w:t>
      </w:r>
    </w:p>
    <w:p w14:paraId="28BEC792" w14:textId="77777777" w:rsidR="002B4C79" w:rsidRPr="00CF5F52" w:rsidRDefault="002B4C79" w:rsidP="00676BE4">
      <w:pPr>
        <w:jc w:val="both"/>
        <w:rPr>
          <w:sz w:val="22"/>
          <w:szCs w:val="22"/>
          <w:lang w:val="sr-Latn-ME"/>
        </w:rPr>
      </w:pPr>
    </w:p>
    <w:p w14:paraId="05A7D437" w14:textId="7F3A4C37" w:rsidR="006D20A5" w:rsidRPr="00CF5F52" w:rsidRDefault="006D20A5" w:rsidP="00676BE4">
      <w:pPr>
        <w:jc w:val="both"/>
        <w:rPr>
          <w:sz w:val="22"/>
          <w:szCs w:val="22"/>
          <w:lang w:val="sr-Latn-ME"/>
        </w:rPr>
      </w:pPr>
      <w:proofErr w:type="spellStart"/>
      <w:r w:rsidRPr="00CF5F52">
        <w:rPr>
          <w:sz w:val="22"/>
          <w:szCs w:val="22"/>
          <w:lang w:val="sr-Latn-ME"/>
        </w:rPr>
        <w:t>INN</w:t>
      </w:r>
      <w:proofErr w:type="spellEnd"/>
      <w:r w:rsidRPr="00CF5F52">
        <w:rPr>
          <w:sz w:val="22"/>
          <w:szCs w:val="22"/>
          <w:lang w:val="sr-Latn-ME"/>
        </w:rPr>
        <w:t>:</w:t>
      </w:r>
      <w:r w:rsidR="002B4C79" w:rsidRPr="00CF5F52">
        <w:rPr>
          <w:sz w:val="22"/>
          <w:szCs w:val="22"/>
          <w:lang w:val="sr-Latn-ME"/>
        </w:rPr>
        <w:t xml:space="preserve"> </w:t>
      </w:r>
      <w:proofErr w:type="spellStart"/>
      <w:r w:rsidR="002B4C79" w:rsidRPr="00CF5F52">
        <w:rPr>
          <w:sz w:val="22"/>
          <w:szCs w:val="22"/>
          <w:lang w:val="sr-Latn-ME"/>
        </w:rPr>
        <w:t>leuprorelin</w:t>
      </w:r>
      <w:proofErr w:type="spellEnd"/>
    </w:p>
    <w:p w14:paraId="1125828D" w14:textId="43785F10" w:rsidR="00530BD7" w:rsidRPr="00CF5F52" w:rsidRDefault="00530BD7" w:rsidP="00676BE4">
      <w:pPr>
        <w:jc w:val="both"/>
        <w:rPr>
          <w:bCs/>
          <w:sz w:val="22"/>
          <w:szCs w:val="22"/>
          <w:lang w:val="sr-Latn-ME"/>
        </w:rPr>
      </w:pPr>
    </w:p>
    <w:p w14:paraId="7BE3CFD6" w14:textId="77777777" w:rsidR="00615143" w:rsidRPr="00CF5F52" w:rsidRDefault="00615143" w:rsidP="00676BE4">
      <w:pPr>
        <w:jc w:val="both"/>
        <w:rPr>
          <w:bCs/>
          <w:sz w:val="22"/>
          <w:szCs w:val="22"/>
          <w:lang w:val="sr-Latn-ME"/>
        </w:rPr>
      </w:pPr>
    </w:p>
    <w:p w14:paraId="670E12F8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2. </w:t>
      </w:r>
      <w:r w:rsidR="00F5167F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KVALITATIVNI I KVANTITATIVNI SASTAV</w:t>
      </w:r>
    </w:p>
    <w:p w14:paraId="21FA9354" w14:textId="77777777" w:rsidR="005A0B2E" w:rsidRPr="00CF5F52" w:rsidRDefault="005A0B2E" w:rsidP="00676BE4">
      <w:pPr>
        <w:jc w:val="both"/>
        <w:rPr>
          <w:sz w:val="22"/>
          <w:szCs w:val="22"/>
          <w:lang w:val="sr-Latn-ME"/>
        </w:rPr>
      </w:pPr>
    </w:p>
    <w:p w14:paraId="6DB7050B" w14:textId="7251BB86" w:rsidR="002B4C79" w:rsidRPr="00CF5F52" w:rsidRDefault="002B4C79" w:rsidP="00676BE4">
      <w:pPr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Jedan </w:t>
      </w:r>
      <w:proofErr w:type="spellStart"/>
      <w:r w:rsidRPr="00CF5F52">
        <w:rPr>
          <w:sz w:val="22"/>
          <w:szCs w:val="22"/>
          <w:lang w:val="sr-Latn-ME"/>
        </w:rPr>
        <w:t>implant</w:t>
      </w:r>
      <w:proofErr w:type="spellEnd"/>
      <w:r w:rsidRPr="00CF5F52">
        <w:rPr>
          <w:sz w:val="22"/>
          <w:szCs w:val="22"/>
          <w:lang w:val="sr-Latn-ME"/>
        </w:rPr>
        <w:t xml:space="preserve"> sadrži 5 mg </w:t>
      </w:r>
      <w:proofErr w:type="spellStart"/>
      <w:r w:rsidRPr="00CF5F52">
        <w:rPr>
          <w:sz w:val="22"/>
          <w:szCs w:val="22"/>
          <w:lang w:val="sr-Latn-ME"/>
        </w:rPr>
        <w:t>leuprorelina</w:t>
      </w:r>
      <w:proofErr w:type="spellEnd"/>
      <w:r w:rsidRPr="00CF5F52">
        <w:rPr>
          <w:sz w:val="22"/>
          <w:szCs w:val="22"/>
          <w:lang w:val="sr-Latn-ME"/>
        </w:rPr>
        <w:t xml:space="preserve"> (u obliku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acetata).</w:t>
      </w:r>
    </w:p>
    <w:p w14:paraId="6305182F" w14:textId="77777777" w:rsidR="002B4C79" w:rsidRPr="00CF5F52" w:rsidRDefault="002B4C79" w:rsidP="00676BE4">
      <w:pPr>
        <w:jc w:val="both"/>
        <w:rPr>
          <w:sz w:val="22"/>
          <w:szCs w:val="22"/>
          <w:lang w:val="sr-Latn-ME"/>
        </w:rPr>
      </w:pPr>
    </w:p>
    <w:p w14:paraId="5C6847DE" w14:textId="557DA049" w:rsidR="00C37FD7" w:rsidRPr="00CF5F52" w:rsidRDefault="0003793F" w:rsidP="00676BE4">
      <w:pPr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Za spisak svih </w:t>
      </w:r>
      <w:proofErr w:type="spellStart"/>
      <w:r w:rsidRPr="00CF5F52">
        <w:rPr>
          <w:sz w:val="22"/>
          <w:szCs w:val="22"/>
          <w:lang w:val="sr-Latn-ME"/>
        </w:rPr>
        <w:t>ekscipijenasa</w:t>
      </w:r>
      <w:proofErr w:type="spellEnd"/>
      <w:r w:rsidRPr="00CF5F52">
        <w:rPr>
          <w:sz w:val="22"/>
          <w:szCs w:val="22"/>
          <w:lang w:val="sr-Latn-ME"/>
        </w:rPr>
        <w:t>, pogledati dio 6.1.</w:t>
      </w:r>
    </w:p>
    <w:p w14:paraId="39441FAE" w14:textId="53A0E641" w:rsidR="002B4C79" w:rsidRPr="00CF5F52" w:rsidRDefault="002B4C79" w:rsidP="00676BE4">
      <w:pPr>
        <w:jc w:val="both"/>
        <w:rPr>
          <w:sz w:val="22"/>
          <w:szCs w:val="22"/>
          <w:lang w:val="sr-Latn-ME"/>
        </w:rPr>
      </w:pPr>
    </w:p>
    <w:p w14:paraId="5EAE2992" w14:textId="77777777" w:rsidR="00615143" w:rsidRPr="00CF5F52" w:rsidRDefault="00615143" w:rsidP="00676BE4">
      <w:pPr>
        <w:jc w:val="both"/>
        <w:rPr>
          <w:sz w:val="22"/>
          <w:szCs w:val="22"/>
          <w:lang w:val="sr-Latn-ME"/>
        </w:rPr>
      </w:pPr>
    </w:p>
    <w:p w14:paraId="2799EA63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3. </w:t>
      </w:r>
      <w:r w:rsidR="00F5167F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FARMACEUTSKI OBLIK</w:t>
      </w:r>
      <w:r w:rsidR="009F2D23" w:rsidRPr="00CF5F52">
        <w:rPr>
          <w:b/>
          <w:bCs/>
          <w:sz w:val="22"/>
          <w:szCs w:val="22"/>
          <w:lang w:val="sr-Latn-ME"/>
        </w:rPr>
        <w:t xml:space="preserve"> </w:t>
      </w:r>
    </w:p>
    <w:p w14:paraId="56C1B087" w14:textId="77777777" w:rsidR="00411B4B" w:rsidRPr="00CF5F52" w:rsidRDefault="00411B4B" w:rsidP="00676BE4">
      <w:pPr>
        <w:jc w:val="both"/>
        <w:rPr>
          <w:bCs/>
          <w:sz w:val="22"/>
          <w:szCs w:val="22"/>
          <w:lang w:val="sr-Latn-ME"/>
        </w:rPr>
      </w:pPr>
    </w:p>
    <w:p w14:paraId="56CFD453" w14:textId="77777777" w:rsidR="002B4C79" w:rsidRPr="00CF5F52" w:rsidRDefault="002B4C79" w:rsidP="00676BE4">
      <w:pPr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Implant</w:t>
      </w:r>
      <w:proofErr w:type="spellEnd"/>
      <w:r w:rsidRPr="00CF5F52">
        <w:rPr>
          <w:bCs/>
          <w:sz w:val="22"/>
          <w:szCs w:val="22"/>
          <w:lang w:val="sr-Latn-ME"/>
        </w:rPr>
        <w:t xml:space="preserve"> u napunjenom injekcionom špricu.</w:t>
      </w:r>
    </w:p>
    <w:p w14:paraId="7E116A16" w14:textId="77777777" w:rsidR="002B4C79" w:rsidRPr="00CF5F52" w:rsidRDefault="002B4C79" w:rsidP="00676BE4">
      <w:pPr>
        <w:jc w:val="both"/>
        <w:rPr>
          <w:bCs/>
          <w:sz w:val="22"/>
          <w:szCs w:val="22"/>
          <w:lang w:val="sr-Latn-ME"/>
        </w:rPr>
      </w:pPr>
    </w:p>
    <w:p w14:paraId="5F9E1FB4" w14:textId="776EDE42" w:rsidR="00EC2532" w:rsidRPr="00CF5F52" w:rsidRDefault="00FC6BE2" w:rsidP="00676BE4">
      <w:pPr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Biorazgradiv</w:t>
      </w:r>
      <w:proofErr w:type="spellEnd"/>
      <w:r w:rsidR="00615143" w:rsidRPr="00CF5F52">
        <w:rPr>
          <w:bCs/>
          <w:sz w:val="22"/>
          <w:szCs w:val="22"/>
          <w:lang w:val="sr-Latn-ME"/>
        </w:rPr>
        <w:t>,</w:t>
      </w:r>
      <w:r w:rsidRPr="00CF5F52">
        <w:rPr>
          <w:bCs/>
          <w:sz w:val="22"/>
          <w:szCs w:val="22"/>
          <w:lang w:val="sr-Latn-ME"/>
        </w:rPr>
        <w:t xml:space="preserve"> b</w:t>
      </w:r>
      <w:r w:rsidR="00F96943" w:rsidRPr="00CF5F52">
        <w:rPr>
          <w:bCs/>
          <w:sz w:val="22"/>
          <w:szCs w:val="22"/>
          <w:lang w:val="sr-Latn-ME"/>
        </w:rPr>
        <w:t>ijeli</w:t>
      </w:r>
      <w:r w:rsidR="002B4C79" w:rsidRPr="00CF5F52">
        <w:rPr>
          <w:bCs/>
          <w:sz w:val="22"/>
          <w:szCs w:val="22"/>
          <w:lang w:val="sr-Latn-ME"/>
        </w:rPr>
        <w:t xml:space="preserve"> do blago žut </w:t>
      </w:r>
      <w:proofErr w:type="spellStart"/>
      <w:r w:rsidR="002B4C79" w:rsidRPr="00CF5F52">
        <w:rPr>
          <w:bCs/>
          <w:sz w:val="22"/>
          <w:szCs w:val="22"/>
          <w:lang w:val="sr-Latn-ME"/>
        </w:rPr>
        <w:t>implant</w:t>
      </w:r>
      <w:proofErr w:type="spellEnd"/>
      <w:r w:rsidR="0085671E" w:rsidRPr="00CF5F52">
        <w:rPr>
          <w:bCs/>
          <w:sz w:val="22"/>
          <w:szCs w:val="22"/>
          <w:lang w:val="sr-Latn-ME"/>
        </w:rPr>
        <w:t xml:space="preserve"> sa uniformnom površinom</w:t>
      </w:r>
      <w:r w:rsidR="00615143" w:rsidRPr="00CF5F52">
        <w:rPr>
          <w:bCs/>
          <w:sz w:val="22"/>
          <w:szCs w:val="22"/>
          <w:lang w:val="sr-Latn-ME"/>
        </w:rPr>
        <w:t>,</w:t>
      </w:r>
      <w:r w:rsidR="00020ED6" w:rsidRPr="00CF5F52">
        <w:rPr>
          <w:bCs/>
          <w:sz w:val="22"/>
          <w:szCs w:val="22"/>
          <w:lang w:val="sr-Latn-ME"/>
        </w:rPr>
        <w:t xml:space="preserve"> oblik</w:t>
      </w:r>
      <w:r w:rsidR="00615143" w:rsidRPr="00CF5F52">
        <w:rPr>
          <w:bCs/>
          <w:sz w:val="22"/>
          <w:szCs w:val="22"/>
          <w:lang w:val="sr-Latn-ME"/>
        </w:rPr>
        <w:t>a</w:t>
      </w:r>
      <w:r w:rsidR="00020ED6" w:rsidRPr="00CF5F52">
        <w:rPr>
          <w:bCs/>
          <w:sz w:val="22"/>
          <w:szCs w:val="22"/>
          <w:lang w:val="sr-Latn-ME"/>
        </w:rPr>
        <w:t xml:space="preserve"> cilindra</w:t>
      </w:r>
      <w:r w:rsidR="00615143" w:rsidRPr="00CF5F52">
        <w:rPr>
          <w:bCs/>
          <w:sz w:val="22"/>
          <w:szCs w:val="22"/>
          <w:lang w:val="sr-Latn-ME"/>
        </w:rPr>
        <w:t xml:space="preserve">, </w:t>
      </w:r>
      <w:r w:rsidR="00020ED6" w:rsidRPr="00CF5F52">
        <w:rPr>
          <w:bCs/>
          <w:sz w:val="22"/>
          <w:szCs w:val="22"/>
          <w:lang w:val="sr-Latn-ME"/>
        </w:rPr>
        <w:t>dužine 10mm</w:t>
      </w:r>
      <w:r w:rsidR="00615143" w:rsidRPr="00CF5F52">
        <w:rPr>
          <w:bCs/>
          <w:sz w:val="22"/>
          <w:szCs w:val="22"/>
          <w:lang w:val="sr-Latn-ME"/>
        </w:rPr>
        <w:t>,</w:t>
      </w:r>
      <w:r w:rsidR="00020ED6" w:rsidRPr="00CF5F52">
        <w:rPr>
          <w:bCs/>
          <w:sz w:val="22"/>
          <w:szCs w:val="22"/>
          <w:lang w:val="sr-Latn-ME"/>
        </w:rPr>
        <w:t xml:space="preserve"> u napunjenom</w:t>
      </w:r>
      <w:r w:rsidR="002B4C79" w:rsidRPr="00CF5F52">
        <w:rPr>
          <w:bCs/>
          <w:sz w:val="22"/>
          <w:szCs w:val="22"/>
          <w:lang w:val="sr-Latn-ME"/>
        </w:rPr>
        <w:t xml:space="preserve"> špricu.</w:t>
      </w:r>
    </w:p>
    <w:p w14:paraId="5A1E487D" w14:textId="2FE01CC1" w:rsidR="002B4C79" w:rsidRPr="00CF5F52" w:rsidRDefault="002B4C79" w:rsidP="00676BE4">
      <w:pPr>
        <w:jc w:val="both"/>
        <w:rPr>
          <w:bCs/>
          <w:sz w:val="22"/>
          <w:szCs w:val="22"/>
          <w:lang w:val="sr-Latn-ME"/>
        </w:rPr>
      </w:pPr>
    </w:p>
    <w:p w14:paraId="43BBD4A8" w14:textId="77777777" w:rsidR="00615143" w:rsidRPr="00CF5F52" w:rsidRDefault="00615143" w:rsidP="00676BE4">
      <w:pPr>
        <w:jc w:val="both"/>
        <w:rPr>
          <w:bCs/>
          <w:sz w:val="22"/>
          <w:szCs w:val="22"/>
          <w:lang w:val="sr-Latn-ME"/>
        </w:rPr>
      </w:pPr>
    </w:p>
    <w:p w14:paraId="50333579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KLINIČKI PODACI</w:t>
      </w:r>
    </w:p>
    <w:p w14:paraId="5797512D" w14:textId="77777777" w:rsidR="00CD6F02" w:rsidRPr="00CF5F52" w:rsidRDefault="00CD6F02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120C9A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4.1.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Terapijske indikacije</w:t>
      </w:r>
    </w:p>
    <w:p w14:paraId="467A674E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8BCA88" w14:textId="77777777" w:rsidR="00F96943" w:rsidRPr="00CF5F52" w:rsidRDefault="002B4C79" w:rsidP="00676BE4">
      <w:pPr>
        <w:pStyle w:val="ListParagraph"/>
        <w:numPr>
          <w:ilvl w:val="0"/>
          <w:numId w:val="15"/>
        </w:num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Palijativna terapija pacijenata sa </w:t>
      </w:r>
      <w:proofErr w:type="spellStart"/>
      <w:r w:rsidRPr="00CF5F52">
        <w:rPr>
          <w:bCs/>
          <w:sz w:val="22"/>
          <w:szCs w:val="22"/>
          <w:lang w:val="sr-Latn-ME"/>
        </w:rPr>
        <w:t>uznapredovalim</w:t>
      </w:r>
      <w:proofErr w:type="spellEnd"/>
      <w:r w:rsidRPr="00CF5F52">
        <w:rPr>
          <w:bCs/>
          <w:sz w:val="22"/>
          <w:szCs w:val="22"/>
          <w:lang w:val="sr-Latn-ME"/>
        </w:rPr>
        <w:t xml:space="preserve"> hormon-zavisnim </w:t>
      </w:r>
      <w:proofErr w:type="spellStart"/>
      <w:r w:rsidRPr="00CF5F52">
        <w:rPr>
          <w:bCs/>
          <w:sz w:val="22"/>
          <w:szCs w:val="22"/>
          <w:lang w:val="sr-Latn-ME"/>
        </w:rPr>
        <w:t>karcinomom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prostate.</w:t>
      </w:r>
    </w:p>
    <w:p w14:paraId="3FA115B3" w14:textId="77777777" w:rsidR="00F96943" w:rsidRPr="00CF5F52" w:rsidRDefault="002B4C79" w:rsidP="00676BE4">
      <w:pPr>
        <w:pStyle w:val="ListParagraph"/>
        <w:numPr>
          <w:ilvl w:val="0"/>
          <w:numId w:val="15"/>
        </w:num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Terapija lokalno </w:t>
      </w:r>
      <w:proofErr w:type="spellStart"/>
      <w:r w:rsidRPr="00CF5F52">
        <w:rPr>
          <w:bCs/>
          <w:sz w:val="22"/>
          <w:szCs w:val="22"/>
          <w:lang w:val="sr-Latn-ME"/>
        </w:rPr>
        <w:t>uznapredovalog</w:t>
      </w:r>
      <w:proofErr w:type="spellEnd"/>
      <w:r w:rsidRPr="00CF5F52">
        <w:rPr>
          <w:bCs/>
          <w:sz w:val="22"/>
          <w:szCs w:val="22"/>
          <w:lang w:val="sr-Latn-ME"/>
        </w:rPr>
        <w:t xml:space="preserve"> hormon-zavisnog </w:t>
      </w:r>
      <w:proofErr w:type="spellStart"/>
      <w:r w:rsidRPr="00CF5F52">
        <w:rPr>
          <w:bCs/>
          <w:sz w:val="22"/>
          <w:szCs w:val="22"/>
          <w:lang w:val="sr-Latn-ME"/>
        </w:rPr>
        <w:t>karcinoma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prostate, tokom i nakon </w:t>
      </w:r>
      <w:proofErr w:type="spellStart"/>
      <w:r w:rsidRPr="00CF5F52">
        <w:rPr>
          <w:bCs/>
          <w:sz w:val="22"/>
          <w:szCs w:val="22"/>
          <w:lang w:val="sr-Latn-ME"/>
        </w:rPr>
        <w:t>radioterapije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297AA07B" w14:textId="2915AD2B" w:rsidR="002B4C79" w:rsidRPr="00CF5F52" w:rsidRDefault="002B4C79" w:rsidP="00676BE4">
      <w:pPr>
        <w:pStyle w:val="ListParagraph"/>
        <w:numPr>
          <w:ilvl w:val="0"/>
          <w:numId w:val="15"/>
        </w:num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Terapija lokalizovanog, hormon-zavisnog </w:t>
      </w:r>
      <w:proofErr w:type="spellStart"/>
      <w:r w:rsidRPr="00CF5F52">
        <w:rPr>
          <w:bCs/>
          <w:sz w:val="22"/>
          <w:szCs w:val="22"/>
          <w:lang w:val="sr-Latn-ME"/>
        </w:rPr>
        <w:t>karcinoma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 kod pacijenata srednjeg i visokog rizika u kombinaciji sa </w:t>
      </w:r>
      <w:proofErr w:type="spellStart"/>
      <w:r w:rsidRPr="00CF5F52">
        <w:rPr>
          <w:bCs/>
          <w:sz w:val="22"/>
          <w:szCs w:val="22"/>
          <w:lang w:val="sr-Latn-ME"/>
        </w:rPr>
        <w:t>radioterapijom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11DDE22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0DA02BC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4.2.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Doziranje i način primjene</w:t>
      </w:r>
    </w:p>
    <w:p w14:paraId="26A7D99D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54246B" w14:textId="77777777" w:rsidR="00452E9D" w:rsidRPr="00CF5F52" w:rsidRDefault="00452E9D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F5F52">
        <w:rPr>
          <w:bCs/>
          <w:sz w:val="22"/>
          <w:szCs w:val="22"/>
          <w:u w:val="single"/>
          <w:lang w:val="sr-Latn-ME"/>
        </w:rPr>
        <w:t>Doziranje</w:t>
      </w:r>
    </w:p>
    <w:p w14:paraId="479C2AC3" w14:textId="27A9056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L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ekar sa iskustvom u terapiji tumora treba da ustanovi indikaciju za prim</w:t>
      </w:r>
      <w:r w:rsidR="00020ED6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enu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 kao i da sprovodi dugotrajno praćenje pacijenta.</w:t>
      </w:r>
    </w:p>
    <w:p w14:paraId="6E9F36CF" w14:textId="77777777" w:rsidR="00020ED6" w:rsidRPr="00CF5F52" w:rsidRDefault="00020ED6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215594" w14:textId="12859958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Preporučena doza je pojedinačna doza od 5 mg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Sandoz, jednom na svaka 3 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eseca.</w:t>
      </w:r>
    </w:p>
    <w:p w14:paraId="12DCE755" w14:textId="5A9F9B43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Ako se, u izuzetnim slučajevima, odloži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ena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 do 4 ned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elje, kod većine pacijenata ne dolazi do prom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ene u terapijskom dejstvu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 (vid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eti </w:t>
      </w:r>
      <w:r w:rsidR="00F96943" w:rsidRPr="00CF5F52">
        <w:rPr>
          <w:bCs/>
          <w:sz w:val="22"/>
          <w:szCs w:val="22"/>
          <w:lang w:val="sr-Latn-ME"/>
        </w:rPr>
        <w:t>dio</w:t>
      </w:r>
      <w:r w:rsidRPr="00CF5F52">
        <w:rPr>
          <w:bCs/>
          <w:sz w:val="22"/>
          <w:szCs w:val="22"/>
          <w:lang w:val="sr-Latn-ME"/>
        </w:rPr>
        <w:t xml:space="preserve"> 5.2).</w:t>
      </w:r>
    </w:p>
    <w:p w14:paraId="3FA3762E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F9956E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CF5F52">
        <w:rPr>
          <w:bCs/>
          <w:i/>
          <w:sz w:val="22"/>
          <w:szCs w:val="22"/>
          <w:lang w:val="sr-Latn-ME"/>
        </w:rPr>
        <w:t>Posebne populacije</w:t>
      </w:r>
    </w:p>
    <w:p w14:paraId="0DE68B2F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Nije potrebno prilagođavanje doze kod pacijenata sa oštećenjem funkcije bubrega ili jetre ili kod starijih osoba.</w:t>
      </w:r>
    </w:p>
    <w:p w14:paraId="6076450B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438EF7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CF5F52">
        <w:rPr>
          <w:bCs/>
          <w:i/>
          <w:sz w:val="22"/>
          <w:szCs w:val="22"/>
          <w:lang w:val="sr-Latn-ME"/>
        </w:rPr>
        <w:t>Pedijatrijska populacija</w:t>
      </w:r>
    </w:p>
    <w:p w14:paraId="1ED056A6" w14:textId="08E25A38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je kontraindikovan kod 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ece i adolescenata, vid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eti </w:t>
      </w:r>
      <w:r w:rsidR="00F96943" w:rsidRPr="00CF5F52">
        <w:rPr>
          <w:bCs/>
          <w:sz w:val="22"/>
          <w:szCs w:val="22"/>
          <w:lang w:val="sr-Latn-ME"/>
        </w:rPr>
        <w:t>dio</w:t>
      </w:r>
      <w:r w:rsidRPr="00CF5F52">
        <w:rPr>
          <w:bCs/>
          <w:sz w:val="22"/>
          <w:szCs w:val="22"/>
          <w:lang w:val="sr-Latn-ME"/>
        </w:rPr>
        <w:t xml:space="preserve"> 4.3.</w:t>
      </w:r>
    </w:p>
    <w:p w14:paraId="3998EBA2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946AB6" w14:textId="6C147A3A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se može koristiti kao </w:t>
      </w:r>
      <w:proofErr w:type="spellStart"/>
      <w:r w:rsidRPr="00CF5F52">
        <w:rPr>
          <w:bCs/>
          <w:sz w:val="22"/>
          <w:szCs w:val="22"/>
          <w:lang w:val="sr-Latn-ME"/>
        </w:rPr>
        <w:t>neoadjuvantna</w:t>
      </w:r>
      <w:proofErr w:type="spellEnd"/>
      <w:r w:rsidRPr="00CF5F52">
        <w:rPr>
          <w:bCs/>
          <w:sz w:val="22"/>
          <w:szCs w:val="22"/>
          <w:lang w:val="sr-Latn-ME"/>
        </w:rPr>
        <w:t xml:space="preserve"> ili </w:t>
      </w:r>
      <w:proofErr w:type="spellStart"/>
      <w:r w:rsidRPr="00CF5F52">
        <w:rPr>
          <w:bCs/>
          <w:sz w:val="22"/>
          <w:szCs w:val="22"/>
          <w:lang w:val="sr-Latn-ME"/>
        </w:rPr>
        <w:t>adjuvantna</w:t>
      </w:r>
      <w:proofErr w:type="spellEnd"/>
      <w:r w:rsidRPr="00CF5F52">
        <w:rPr>
          <w:bCs/>
          <w:sz w:val="22"/>
          <w:szCs w:val="22"/>
          <w:lang w:val="sr-Latn-ME"/>
        </w:rPr>
        <w:t xml:space="preserve"> terapija u kombinaciji sa </w:t>
      </w:r>
      <w:proofErr w:type="spellStart"/>
      <w:r w:rsidRPr="00CF5F52">
        <w:rPr>
          <w:bCs/>
          <w:sz w:val="22"/>
          <w:szCs w:val="22"/>
          <w:lang w:val="sr-Latn-ME"/>
        </w:rPr>
        <w:t>radioterapijom</w:t>
      </w:r>
      <w:proofErr w:type="spellEnd"/>
      <w:r w:rsidRPr="00CF5F52">
        <w:rPr>
          <w:bCs/>
          <w:sz w:val="22"/>
          <w:szCs w:val="22"/>
          <w:lang w:val="sr-Latn-ME"/>
        </w:rPr>
        <w:t xml:space="preserve"> kod lokalno </w:t>
      </w:r>
      <w:proofErr w:type="spellStart"/>
      <w:r w:rsidRPr="00CF5F52">
        <w:rPr>
          <w:bCs/>
          <w:sz w:val="22"/>
          <w:szCs w:val="22"/>
          <w:lang w:val="sr-Latn-ME"/>
        </w:rPr>
        <w:t>uznapredovalog</w:t>
      </w:r>
      <w:proofErr w:type="spellEnd"/>
      <w:r w:rsidRPr="00CF5F52">
        <w:rPr>
          <w:bCs/>
          <w:sz w:val="22"/>
          <w:szCs w:val="22"/>
          <w:lang w:val="sr-Latn-ME"/>
        </w:rPr>
        <w:t>, hormon-os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etljivog </w:t>
      </w:r>
      <w:proofErr w:type="spellStart"/>
      <w:r w:rsidRPr="00CF5F52">
        <w:rPr>
          <w:bCs/>
          <w:sz w:val="22"/>
          <w:szCs w:val="22"/>
          <w:lang w:val="sr-Latn-ME"/>
        </w:rPr>
        <w:t>karcinoma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 kao i kod lokalizovanog </w:t>
      </w:r>
      <w:proofErr w:type="spellStart"/>
      <w:r w:rsidRPr="00CF5F52">
        <w:rPr>
          <w:bCs/>
          <w:sz w:val="22"/>
          <w:szCs w:val="22"/>
          <w:lang w:val="sr-Latn-ME"/>
        </w:rPr>
        <w:t>karcinoma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 kod pacijenata čiji je profil rizika um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eren </w:t>
      </w:r>
      <w:r w:rsidR="00020ED6" w:rsidRPr="00CF5F52">
        <w:rPr>
          <w:bCs/>
          <w:sz w:val="22"/>
          <w:szCs w:val="22"/>
          <w:lang w:val="sr-Latn-ME"/>
        </w:rPr>
        <w:t>i</w:t>
      </w:r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visokorizič</w:t>
      </w:r>
      <w:r w:rsidR="00020ED6" w:rsidRPr="00CF5F52">
        <w:rPr>
          <w:bCs/>
          <w:sz w:val="22"/>
          <w:szCs w:val="22"/>
          <w:lang w:val="sr-Latn-ME"/>
        </w:rPr>
        <w:t>an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0705E22F" w14:textId="77777777" w:rsidR="00452E9D" w:rsidRPr="00CF5F52" w:rsidRDefault="00452E9D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C2D93A" w14:textId="77777777" w:rsidR="00452E9D" w:rsidRPr="00CF5F52" w:rsidRDefault="00452E9D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CF5F52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14:paraId="50F25433" w14:textId="73517BB7" w:rsidR="00020ED6" w:rsidRPr="00CF5F52" w:rsidRDefault="00020ED6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Lijek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treba da </w:t>
      </w:r>
      <w:proofErr w:type="spellStart"/>
      <w:r w:rsidRPr="00CF5F52">
        <w:rPr>
          <w:bCs/>
          <w:sz w:val="22"/>
          <w:szCs w:val="22"/>
          <w:lang w:val="sr-Latn-ME"/>
        </w:rPr>
        <w:t>pripremaju</w:t>
      </w:r>
      <w:proofErr w:type="spellEnd"/>
      <w:r w:rsidRPr="00CF5F52">
        <w:rPr>
          <w:bCs/>
          <w:sz w:val="22"/>
          <w:szCs w:val="22"/>
          <w:lang w:val="sr-Latn-ME"/>
        </w:rPr>
        <w:t xml:space="preserve"> i primjenjuju samo zdravstveni radnici</w:t>
      </w:r>
      <w:r w:rsidR="00C446BC" w:rsidRPr="00CF5F52">
        <w:rPr>
          <w:bCs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>koji su upoznati sa ovim postupcima.</w:t>
      </w:r>
    </w:p>
    <w:p w14:paraId="269D5AA0" w14:textId="77777777" w:rsidR="00020ED6" w:rsidRPr="00CF5F52" w:rsidRDefault="00020ED6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89E3F7" w14:textId="1804117F" w:rsidR="00020ED6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Jedan </w:t>
      </w:r>
      <w:proofErr w:type="spellStart"/>
      <w:r w:rsidRPr="00CF5F52">
        <w:rPr>
          <w:bCs/>
          <w:sz w:val="22"/>
          <w:szCs w:val="22"/>
          <w:lang w:val="sr-Latn-ME"/>
        </w:rPr>
        <w:t>implant</w:t>
      </w:r>
      <w:proofErr w:type="spellEnd"/>
      <w:r w:rsidRPr="00CF5F52">
        <w:rPr>
          <w:bCs/>
          <w:sz w:val="22"/>
          <w:szCs w:val="22"/>
          <w:lang w:val="sr-Latn-ME"/>
        </w:rPr>
        <w:t xml:space="preserve"> se daje </w:t>
      </w:r>
      <w:proofErr w:type="spellStart"/>
      <w:r w:rsidR="00C446BC" w:rsidRPr="00CF5F52">
        <w:rPr>
          <w:bCs/>
          <w:sz w:val="22"/>
          <w:szCs w:val="22"/>
          <w:lang w:val="sr-Latn-ME"/>
        </w:rPr>
        <w:t>subkutano</w:t>
      </w:r>
      <w:proofErr w:type="spellEnd"/>
      <w:r w:rsidR="00C446BC" w:rsidRPr="00CF5F52">
        <w:rPr>
          <w:bCs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u prednji trbušni zid. </w:t>
      </w:r>
    </w:p>
    <w:p w14:paraId="17320824" w14:textId="7DAA624B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Pr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ene injekcije, može se dati lokalni anestetik.</w:t>
      </w:r>
    </w:p>
    <w:p w14:paraId="5FE070A6" w14:textId="77777777" w:rsidR="00020ED6" w:rsidRPr="00CF5F52" w:rsidRDefault="00020ED6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0FFB41" w14:textId="404E6E7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Preporučuje se da se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ena </w:t>
      </w:r>
      <w:proofErr w:type="spellStart"/>
      <w:r w:rsidRPr="00CF5F52">
        <w:rPr>
          <w:bCs/>
          <w:sz w:val="22"/>
          <w:szCs w:val="22"/>
          <w:lang w:val="sr-Latn-ME"/>
        </w:rPr>
        <w:t>antiandrogena</w:t>
      </w:r>
      <w:proofErr w:type="spellEnd"/>
      <w:r w:rsidRPr="00CF5F52">
        <w:rPr>
          <w:bCs/>
          <w:sz w:val="22"/>
          <w:szCs w:val="22"/>
          <w:lang w:val="sr-Latn-ME"/>
        </w:rPr>
        <w:t xml:space="preserve"> započne kao </w:t>
      </w:r>
      <w:proofErr w:type="spellStart"/>
      <w:r w:rsidRPr="00CF5F52">
        <w:rPr>
          <w:bCs/>
          <w:sz w:val="22"/>
          <w:szCs w:val="22"/>
          <w:lang w:val="sr-Latn-ME"/>
        </w:rPr>
        <w:t>adjuvantna</w:t>
      </w:r>
      <w:proofErr w:type="spellEnd"/>
      <w:r w:rsidRPr="00CF5F52">
        <w:rPr>
          <w:bCs/>
          <w:sz w:val="22"/>
          <w:szCs w:val="22"/>
          <w:lang w:val="sr-Latn-ME"/>
        </w:rPr>
        <w:t xml:space="preserve"> terapija oko 5 dana pr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 započinjanja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ene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(vid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eti </w:t>
      </w:r>
      <w:r w:rsidR="00F96943" w:rsidRPr="00CF5F52">
        <w:rPr>
          <w:bCs/>
          <w:sz w:val="22"/>
          <w:szCs w:val="22"/>
          <w:lang w:val="sr-Latn-ME"/>
        </w:rPr>
        <w:t>dio</w:t>
      </w:r>
      <w:r w:rsidRPr="00CF5F52">
        <w:rPr>
          <w:bCs/>
          <w:sz w:val="22"/>
          <w:szCs w:val="22"/>
          <w:lang w:val="sr-Latn-ME"/>
        </w:rPr>
        <w:t xml:space="preserve"> 4.4).</w:t>
      </w:r>
    </w:p>
    <w:p w14:paraId="0B153B01" w14:textId="77777777" w:rsidR="00F96943" w:rsidRPr="00CF5F52" w:rsidRDefault="00F96943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26C927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u w:val="single"/>
          <w:lang w:val="sr-Latn-ME"/>
        </w:rPr>
        <w:t>Uputstvo za upotrebu</w:t>
      </w:r>
    </w:p>
    <w:p w14:paraId="73FF9D27" w14:textId="3F5BCE58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Pažljivo pročitajte ova uputstva, jer aplikator koji se dostavlja uz ovaj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 može biti drugačiji od ostalih koje ste koristili.</w:t>
      </w:r>
    </w:p>
    <w:p w14:paraId="217D851A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855022" w14:textId="0692775C" w:rsidR="002B4C79" w:rsidRPr="00CF5F52" w:rsidRDefault="002B4C79" w:rsidP="00676BE4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Dezinfikujte 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esto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ene injekcije na prednjem trbušnom zidu ispod linije pupka.</w:t>
      </w:r>
    </w:p>
    <w:p w14:paraId="115FF9CD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FEF1F5" w14:textId="2B79B1AF" w:rsidR="002B4C79" w:rsidRPr="00CF5F52" w:rsidRDefault="002B4C79" w:rsidP="00676BE4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Izvadite aplikator iz sterilne kese i prov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erite da li se </w:t>
      </w:r>
      <w:proofErr w:type="spellStart"/>
      <w:r w:rsidRPr="00CF5F52">
        <w:rPr>
          <w:bCs/>
          <w:sz w:val="22"/>
          <w:szCs w:val="22"/>
          <w:lang w:val="sr-Latn-ME"/>
        </w:rPr>
        <w:t>implant</w:t>
      </w:r>
      <w:proofErr w:type="spellEnd"/>
      <w:r w:rsidRPr="00CF5F52">
        <w:rPr>
          <w:bCs/>
          <w:sz w:val="22"/>
          <w:szCs w:val="22"/>
          <w:lang w:val="sr-Latn-ME"/>
        </w:rPr>
        <w:t xml:space="preserve"> vidi u </w:t>
      </w:r>
      <w:proofErr w:type="spellStart"/>
      <w:r w:rsidRPr="00CF5F52">
        <w:rPr>
          <w:bCs/>
          <w:sz w:val="22"/>
          <w:szCs w:val="22"/>
          <w:lang w:val="sr-Latn-ME"/>
        </w:rPr>
        <w:t>repozitoriju</w:t>
      </w:r>
      <w:proofErr w:type="spellEnd"/>
      <w:r w:rsidRPr="00CF5F52">
        <w:rPr>
          <w:bCs/>
          <w:sz w:val="22"/>
          <w:szCs w:val="22"/>
          <w:lang w:val="sr-Latn-ME"/>
        </w:rPr>
        <w:t xml:space="preserve"> (vid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eti uokviren d</w:t>
      </w:r>
      <w:r w:rsidR="00F96943" w:rsidRPr="00CF5F52">
        <w:rPr>
          <w:bCs/>
          <w:sz w:val="22"/>
          <w:szCs w:val="22"/>
          <w:lang w:val="sr-Latn-ME"/>
        </w:rPr>
        <w:t>i</w:t>
      </w:r>
      <w:r w:rsidRPr="00CF5F52">
        <w:rPr>
          <w:bCs/>
          <w:sz w:val="22"/>
          <w:szCs w:val="22"/>
          <w:lang w:val="sr-Latn-ME"/>
        </w:rPr>
        <w:t>o). Da biste potvrdili, prov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erite aplikator na sv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etlosti ili ga lagano </w:t>
      </w:r>
      <w:proofErr w:type="spellStart"/>
      <w:r w:rsidRPr="00CF5F52">
        <w:rPr>
          <w:bCs/>
          <w:sz w:val="22"/>
          <w:szCs w:val="22"/>
          <w:lang w:val="sr-Latn-ME"/>
        </w:rPr>
        <w:t>protresite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3E71AD8B" w14:textId="08B1A4E0" w:rsidR="002B4C79" w:rsidRPr="00CF5F52" w:rsidRDefault="0074529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drawing>
          <wp:anchor distT="0" distB="0" distL="0" distR="0" simplePos="0" relativeHeight="251659264" behindDoc="1" locked="0" layoutInCell="1" allowOverlap="1" wp14:anchorId="442A990C" wp14:editId="554FC2E0">
            <wp:simplePos x="0" y="0"/>
            <wp:positionH relativeFrom="page">
              <wp:posOffset>1945589</wp:posOffset>
            </wp:positionH>
            <wp:positionV relativeFrom="paragraph">
              <wp:posOffset>191617</wp:posOffset>
            </wp:positionV>
            <wp:extent cx="3496310" cy="1890395"/>
            <wp:effectExtent l="0" t="0" r="8890" b="0"/>
            <wp:wrapTopAndBottom/>
            <wp:docPr id="110539567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B72CE" w14:textId="420109BF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A102359" w14:textId="16A7A1A6" w:rsidR="002B4C79" w:rsidRPr="00CF5F52" w:rsidRDefault="002B4C79" w:rsidP="00676BE4">
      <w:pPr>
        <w:pStyle w:val="ListParagraph"/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Povucite</w:t>
      </w:r>
      <w:r w:rsidRPr="00CF5F52">
        <w:rPr>
          <w:spacing w:val="-7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klip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aplikatora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u</w:t>
      </w:r>
      <w:r w:rsidRPr="00CF5F52">
        <w:rPr>
          <w:b/>
          <w:spacing w:val="-8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potpunosti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unazad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sve</w:t>
      </w:r>
      <w:r w:rsidRPr="00CF5F52">
        <w:rPr>
          <w:b/>
          <w:spacing w:val="-5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dok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ne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vidite</w:t>
      </w:r>
      <w:r w:rsidRPr="00CF5F52">
        <w:rPr>
          <w:b/>
          <w:spacing w:val="-5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c</w:t>
      </w:r>
      <w:r w:rsidR="00F96943" w:rsidRPr="00CF5F52">
        <w:rPr>
          <w:b/>
          <w:sz w:val="22"/>
          <w:szCs w:val="22"/>
          <w:lang w:val="sr-Latn-ME"/>
        </w:rPr>
        <w:t>ij</w:t>
      </w:r>
      <w:r w:rsidRPr="00CF5F52">
        <w:rPr>
          <w:b/>
          <w:sz w:val="22"/>
          <w:szCs w:val="22"/>
          <w:lang w:val="sr-Latn-ME"/>
        </w:rPr>
        <w:t>elu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liniju</w:t>
      </w:r>
      <w:r w:rsidRPr="00CF5F52">
        <w:rPr>
          <w:b/>
          <w:spacing w:val="-4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u</w:t>
      </w:r>
      <w:r w:rsidRPr="00CF5F52">
        <w:rPr>
          <w:b/>
          <w:spacing w:val="-5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drugom</w:t>
      </w:r>
      <w:r w:rsidRPr="00CF5F52">
        <w:rPr>
          <w:b/>
          <w:spacing w:val="-12"/>
          <w:sz w:val="22"/>
          <w:szCs w:val="22"/>
          <w:lang w:val="sr-Latn-ME"/>
        </w:rPr>
        <w:t xml:space="preserve"> </w:t>
      </w:r>
      <w:r w:rsidRPr="00CF5F52">
        <w:rPr>
          <w:b/>
          <w:spacing w:val="-2"/>
          <w:sz w:val="22"/>
          <w:szCs w:val="22"/>
          <w:lang w:val="sr-Latn-ME"/>
        </w:rPr>
        <w:t>prozoru.</w:t>
      </w:r>
    </w:p>
    <w:p w14:paraId="5828F75B" w14:textId="1E95260F" w:rsidR="002B4C79" w:rsidRPr="00CF5F52" w:rsidRDefault="002B4C79" w:rsidP="00676BE4">
      <w:pPr>
        <w:widowControl w:val="0"/>
        <w:autoSpaceDE w:val="0"/>
        <w:autoSpaceDN w:val="0"/>
        <w:spacing w:line="244" w:lineRule="auto"/>
        <w:ind w:left="233" w:right="173" w:hanging="1"/>
        <w:jc w:val="both"/>
        <w:rPr>
          <w:b/>
          <w:sz w:val="22"/>
          <w:szCs w:val="22"/>
          <w:lang w:val="sr-Latn-ME"/>
        </w:rPr>
      </w:pPr>
      <w:r w:rsidRPr="00CF5F52">
        <w:rPr>
          <w:b/>
          <w:sz w:val="22"/>
          <w:szCs w:val="22"/>
          <w:lang w:val="sr-Latn-ME"/>
        </w:rPr>
        <w:t xml:space="preserve">Napomena: </w:t>
      </w:r>
      <w:r w:rsidR="0074529E" w:rsidRPr="00CF5F52">
        <w:rPr>
          <w:sz w:val="22"/>
          <w:szCs w:val="22"/>
          <w:lang w:val="sr-Latn-ME"/>
        </w:rPr>
        <w:t>K</w:t>
      </w:r>
      <w:r w:rsidRPr="00CF5F52">
        <w:rPr>
          <w:sz w:val="22"/>
          <w:szCs w:val="22"/>
          <w:lang w:val="sr-Latn-ME"/>
        </w:rPr>
        <w:t>lip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može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potisnuti</w:t>
      </w:r>
      <w:r w:rsidRPr="00CF5F52">
        <w:rPr>
          <w:spacing w:val="-8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unapr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da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bi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ubrizgao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implant</w:t>
      </w:r>
      <w:proofErr w:type="spellEnd"/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samo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ako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je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prethodno </w:t>
      </w:r>
      <w:r w:rsidRPr="00CF5F52">
        <w:rPr>
          <w:b/>
          <w:sz w:val="22"/>
          <w:szCs w:val="22"/>
          <w:lang w:val="sr-Latn-ME"/>
        </w:rPr>
        <w:t>u potpunosti povučen unazad!</w:t>
      </w:r>
    </w:p>
    <w:p w14:paraId="21DDC2AD" w14:textId="77777777" w:rsidR="002B4C79" w:rsidRPr="00CF5F52" w:rsidRDefault="002B4C79" w:rsidP="00676BE4">
      <w:pPr>
        <w:widowControl w:val="0"/>
        <w:autoSpaceDE w:val="0"/>
        <w:autoSpaceDN w:val="0"/>
        <w:ind w:left="957"/>
        <w:jc w:val="both"/>
        <w:rPr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drawing>
          <wp:inline distT="0" distB="0" distL="0" distR="0" wp14:anchorId="2EE2C54B" wp14:editId="1C28BC26">
            <wp:extent cx="4064787" cy="17995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8237" cy="180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3526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53DC587" w14:textId="77777777" w:rsidR="002B4C79" w:rsidRPr="00CF5F52" w:rsidRDefault="002B4C79" w:rsidP="00676BE4">
      <w:pPr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ind w:left="450" w:hanging="218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Skinite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zaštitnu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kapicu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sa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pacing w:val="-2"/>
          <w:sz w:val="22"/>
          <w:szCs w:val="22"/>
          <w:lang w:val="sr-Latn-ME"/>
        </w:rPr>
        <w:t>igle.</w:t>
      </w:r>
    </w:p>
    <w:p w14:paraId="6DCF93E6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F69BFD0" w14:textId="39E04797" w:rsidR="002B4C79" w:rsidRPr="00CF5F52" w:rsidRDefault="002B4C79" w:rsidP="00676BE4">
      <w:pPr>
        <w:widowControl w:val="0"/>
        <w:numPr>
          <w:ilvl w:val="0"/>
          <w:numId w:val="13"/>
        </w:numPr>
        <w:tabs>
          <w:tab w:val="left" w:pos="476"/>
        </w:tabs>
        <w:autoSpaceDE w:val="0"/>
        <w:autoSpaceDN w:val="0"/>
        <w:ind w:left="232" w:right="232" w:firstLine="0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Držite t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elo aplikatora jednom rukom. Drugom rukom uštinite kožu pacijenta donjeg abdominalnog zida ispod linije pupka. Vid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eti sliku. Sa </w:t>
      </w:r>
      <w:r w:rsidRPr="00CF5F52">
        <w:rPr>
          <w:b/>
          <w:sz w:val="22"/>
          <w:szCs w:val="22"/>
          <w:lang w:val="sr-Latn-ME"/>
        </w:rPr>
        <w:t>otvorom igle usm</w:t>
      </w:r>
      <w:r w:rsidR="00F96943" w:rsidRPr="00CF5F52">
        <w:rPr>
          <w:b/>
          <w:sz w:val="22"/>
          <w:szCs w:val="22"/>
          <w:lang w:val="sr-Latn-ME"/>
        </w:rPr>
        <w:t>j</w:t>
      </w:r>
      <w:r w:rsidRPr="00CF5F52">
        <w:rPr>
          <w:b/>
          <w:sz w:val="22"/>
          <w:szCs w:val="22"/>
          <w:lang w:val="sr-Latn-ME"/>
        </w:rPr>
        <w:t>erenim na gore, gurnite c</w:t>
      </w:r>
      <w:r w:rsidR="00F96943" w:rsidRPr="00CF5F52">
        <w:rPr>
          <w:b/>
          <w:sz w:val="22"/>
          <w:szCs w:val="22"/>
          <w:lang w:val="sr-Latn-ME"/>
        </w:rPr>
        <w:t>ij</w:t>
      </w:r>
      <w:r w:rsidRPr="00CF5F52">
        <w:rPr>
          <w:b/>
          <w:sz w:val="22"/>
          <w:szCs w:val="22"/>
          <w:lang w:val="sr-Latn-ME"/>
        </w:rPr>
        <w:t xml:space="preserve">elu iglu. </w:t>
      </w:r>
      <w:r w:rsidRPr="00CF5F52">
        <w:rPr>
          <w:sz w:val="22"/>
          <w:szCs w:val="22"/>
          <w:lang w:val="sr-Latn-ME"/>
        </w:rPr>
        <w:t>To uradite pod blagim uglom, skoro paralelno sa površinom kože u potkožno tkivo.</w:t>
      </w:r>
    </w:p>
    <w:p w14:paraId="6E949817" w14:textId="46B172D5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lastRenderedPageBreak/>
        <w:drawing>
          <wp:anchor distT="0" distB="0" distL="0" distR="0" simplePos="0" relativeHeight="251661312" behindDoc="1" locked="0" layoutInCell="1" allowOverlap="1" wp14:anchorId="3B2B7783" wp14:editId="0A67AF01">
            <wp:simplePos x="0" y="0"/>
            <wp:positionH relativeFrom="margin">
              <wp:align>center</wp:align>
            </wp:positionH>
            <wp:positionV relativeFrom="paragraph">
              <wp:posOffset>559</wp:posOffset>
            </wp:positionV>
            <wp:extent cx="3373755" cy="2143125"/>
            <wp:effectExtent l="0" t="0" r="0" b="9525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B956D" w14:textId="77777777" w:rsidR="002B4C79" w:rsidRPr="00CF5F52" w:rsidRDefault="002B4C79" w:rsidP="00676BE4">
      <w:pPr>
        <w:widowControl w:val="0"/>
        <w:numPr>
          <w:ilvl w:val="0"/>
          <w:numId w:val="13"/>
        </w:numPr>
        <w:tabs>
          <w:tab w:val="left" w:pos="449"/>
        </w:tabs>
        <w:autoSpaceDE w:val="0"/>
        <w:autoSpaceDN w:val="0"/>
        <w:ind w:left="449" w:hanging="217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Pažljivo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povucite</w:t>
      </w:r>
      <w:r w:rsidRPr="00CF5F52">
        <w:rPr>
          <w:b/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aplikator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oko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1</w:t>
      </w:r>
      <w:r w:rsidRPr="00CF5F52">
        <w:rPr>
          <w:b/>
          <w:spacing w:val="-1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cm</w:t>
      </w:r>
      <w:r w:rsidRPr="00CF5F52">
        <w:rPr>
          <w:b/>
          <w:spacing w:val="-8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unazad</w:t>
      </w:r>
      <w:r w:rsidRPr="00CF5F52">
        <w:rPr>
          <w:sz w:val="22"/>
          <w:szCs w:val="22"/>
          <w:lang w:val="sr-Latn-ME"/>
        </w:rPr>
        <w:t>.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taj</w:t>
      </w:r>
      <w:r w:rsidRPr="00CF5F52">
        <w:rPr>
          <w:spacing w:val="-1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način</w:t>
      </w:r>
      <w:r w:rsidRPr="00CF5F52">
        <w:rPr>
          <w:spacing w:val="-7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stvara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punkcijski</w:t>
      </w:r>
      <w:proofErr w:type="spellEnd"/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kanal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za </w:t>
      </w:r>
      <w:proofErr w:type="spellStart"/>
      <w:r w:rsidRPr="00CF5F52">
        <w:rPr>
          <w:spacing w:val="-2"/>
          <w:sz w:val="22"/>
          <w:szCs w:val="22"/>
          <w:lang w:val="sr-Latn-ME"/>
        </w:rPr>
        <w:t>implant</w:t>
      </w:r>
      <w:proofErr w:type="spellEnd"/>
      <w:r w:rsidRPr="00CF5F52">
        <w:rPr>
          <w:spacing w:val="-2"/>
          <w:sz w:val="22"/>
          <w:szCs w:val="22"/>
          <w:lang w:val="sr-Latn-ME"/>
        </w:rPr>
        <w:t>.</w:t>
      </w:r>
    </w:p>
    <w:p w14:paraId="4CC0662A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C1C44DC" w14:textId="72085046" w:rsidR="002B4C79" w:rsidRPr="00CF5F52" w:rsidRDefault="002B4C79" w:rsidP="00676BE4">
      <w:pPr>
        <w:widowControl w:val="0"/>
        <w:numPr>
          <w:ilvl w:val="0"/>
          <w:numId w:val="13"/>
        </w:numPr>
        <w:tabs>
          <w:tab w:val="left" w:pos="450"/>
        </w:tabs>
        <w:autoSpaceDE w:val="0"/>
        <w:autoSpaceDN w:val="0"/>
        <w:spacing w:line="237" w:lineRule="auto"/>
        <w:ind w:left="232" w:right="529" w:firstLine="0"/>
        <w:jc w:val="both"/>
        <w:rPr>
          <w:b/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Ubrizgajte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implant</w:t>
      </w:r>
      <w:proofErr w:type="spellEnd"/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u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punkcijski</w:t>
      </w:r>
      <w:proofErr w:type="spellEnd"/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kanal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gurajući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klip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u</w:t>
      </w:r>
      <w:r w:rsidRPr="00CF5F52">
        <w:rPr>
          <w:b/>
          <w:spacing w:val="-5"/>
          <w:sz w:val="22"/>
          <w:szCs w:val="22"/>
          <w:lang w:val="sr-Latn-ME"/>
        </w:rPr>
        <w:t xml:space="preserve"> </w:t>
      </w:r>
      <w:r w:rsidRPr="00CF5F52">
        <w:rPr>
          <w:b/>
          <w:sz w:val="22"/>
          <w:szCs w:val="22"/>
          <w:lang w:val="sr-Latn-ME"/>
        </w:rPr>
        <w:t>potpunosti</w:t>
      </w:r>
      <w:r w:rsidRPr="00CF5F52">
        <w:rPr>
          <w:b/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prema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napr</w:t>
      </w:r>
      <w:r w:rsidR="00AA5D48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dok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ne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legne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esto</w:t>
      </w:r>
      <w:r w:rsidRPr="00CF5F52">
        <w:rPr>
          <w:spacing w:val="-3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i dok ne </w:t>
      </w:r>
      <w:r w:rsidRPr="00CF5F52">
        <w:rPr>
          <w:b/>
          <w:sz w:val="22"/>
          <w:szCs w:val="22"/>
          <w:lang w:val="sr-Latn-ME"/>
        </w:rPr>
        <w:t>čujete klik.</w:t>
      </w:r>
    </w:p>
    <w:p w14:paraId="338A591B" w14:textId="2DD59EE5" w:rsidR="002B4C79" w:rsidRPr="00CF5F52" w:rsidRDefault="0074529E" w:rsidP="00676BE4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drawing>
          <wp:anchor distT="0" distB="0" distL="0" distR="0" simplePos="0" relativeHeight="251662336" behindDoc="1" locked="0" layoutInCell="1" allowOverlap="1" wp14:anchorId="1C13780D" wp14:editId="492D3804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3430270" cy="124333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78FF9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2E4B3A4B" w14:textId="607006A3" w:rsidR="002B4C79" w:rsidRPr="00CF5F52" w:rsidRDefault="002B4C79" w:rsidP="00676BE4">
      <w:pPr>
        <w:widowControl w:val="0"/>
        <w:numPr>
          <w:ilvl w:val="0"/>
          <w:numId w:val="13"/>
        </w:numPr>
        <w:tabs>
          <w:tab w:val="left" w:pos="232"/>
          <w:tab w:val="left" w:pos="449"/>
        </w:tabs>
        <w:autoSpaceDE w:val="0"/>
        <w:autoSpaceDN w:val="0"/>
        <w:ind w:left="232" w:right="409" w:hanging="1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Izvadite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iglu.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Da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biste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bili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sigurni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da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je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implant</w:t>
      </w:r>
      <w:proofErr w:type="spellEnd"/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pravilno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ubrizgan,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prov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erite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da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li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b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eli vrh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klipa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vidi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 vrhu igle.</w:t>
      </w:r>
    </w:p>
    <w:p w14:paraId="7B251BFA" w14:textId="77777777" w:rsidR="0074529E" w:rsidRPr="00CF5F52" w:rsidRDefault="0074529E" w:rsidP="00676BE4">
      <w:pPr>
        <w:widowControl w:val="0"/>
        <w:tabs>
          <w:tab w:val="left" w:pos="232"/>
          <w:tab w:val="left" w:pos="449"/>
        </w:tabs>
        <w:autoSpaceDE w:val="0"/>
        <w:autoSpaceDN w:val="0"/>
        <w:ind w:right="409"/>
        <w:jc w:val="both"/>
        <w:rPr>
          <w:sz w:val="22"/>
          <w:szCs w:val="22"/>
          <w:lang w:val="sr-Latn-ME"/>
        </w:rPr>
      </w:pPr>
    </w:p>
    <w:p w14:paraId="2F95BD3C" w14:textId="77777777" w:rsidR="002B4C79" w:rsidRPr="00CF5F52" w:rsidRDefault="002B4C79" w:rsidP="00676BE4">
      <w:pPr>
        <w:widowControl w:val="0"/>
        <w:autoSpaceDE w:val="0"/>
        <w:autoSpaceDN w:val="0"/>
        <w:ind w:left="727"/>
        <w:jc w:val="both"/>
        <w:rPr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drawing>
          <wp:inline distT="0" distB="0" distL="0" distR="0" wp14:anchorId="10A6A849" wp14:editId="6492BD14">
            <wp:extent cx="2164079" cy="100584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9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6C8F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916618C" w14:textId="1D34A1F8" w:rsidR="002B4C79" w:rsidRPr="00CF5F52" w:rsidRDefault="002B4C79" w:rsidP="00676BE4">
      <w:pPr>
        <w:widowControl w:val="0"/>
        <w:autoSpaceDE w:val="0"/>
        <w:autoSpaceDN w:val="0"/>
        <w:ind w:right="134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 početka terapije kao i 3 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 nakon prim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 l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potrebno je odrediti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prostata specifičnog </w:t>
      </w:r>
      <w:proofErr w:type="spellStart"/>
      <w:r w:rsidRPr="00CF5F52">
        <w:rPr>
          <w:sz w:val="22"/>
          <w:szCs w:val="22"/>
          <w:lang w:val="sr-Latn-ME"/>
        </w:rPr>
        <w:t>antigena</w:t>
      </w:r>
      <w:proofErr w:type="spellEnd"/>
      <w:r w:rsidRPr="00CF5F52">
        <w:rPr>
          <w:sz w:val="22"/>
          <w:szCs w:val="22"/>
          <w:lang w:val="sr-Latn-ME"/>
        </w:rPr>
        <w:t xml:space="preserve"> (PSA) i ukupnog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u serumu. </w:t>
      </w:r>
      <w:proofErr w:type="spellStart"/>
      <w:r w:rsidRPr="00CF5F52">
        <w:rPr>
          <w:sz w:val="22"/>
          <w:szCs w:val="22"/>
          <w:lang w:val="sr-Latn-ME"/>
        </w:rPr>
        <w:t>Karcinom</w:t>
      </w:r>
      <w:proofErr w:type="spellEnd"/>
      <w:r w:rsidRPr="00CF5F52">
        <w:rPr>
          <w:sz w:val="22"/>
          <w:szCs w:val="22"/>
          <w:lang w:val="sr-Latn-ME"/>
        </w:rPr>
        <w:t xml:space="preserve"> prostate je </w:t>
      </w:r>
      <w:proofErr w:type="spellStart"/>
      <w:r w:rsidRPr="00CF5F52">
        <w:rPr>
          <w:sz w:val="22"/>
          <w:szCs w:val="22"/>
          <w:lang w:val="sr-Latn-ME"/>
        </w:rPr>
        <w:t>androgen</w:t>
      </w:r>
      <w:proofErr w:type="spellEnd"/>
      <w:r w:rsidRPr="00CF5F52">
        <w:rPr>
          <w:sz w:val="22"/>
          <w:szCs w:val="22"/>
          <w:lang w:val="sr-Latn-ME"/>
        </w:rPr>
        <w:t>-os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etljiv kada koncentracije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odgovaraju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ednostima kod medicinske kastracije (≤ 0,5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74529E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74529E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>) nakon 3 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 prim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ene, a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 PSA je smanjena. Rani značajan pad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 PSA (za približno 80% u odnosu na početne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ednosti) može se smatrati dobrim </w:t>
      </w:r>
      <w:proofErr w:type="spellStart"/>
      <w:r w:rsidRPr="00CF5F52">
        <w:rPr>
          <w:sz w:val="22"/>
          <w:szCs w:val="22"/>
          <w:lang w:val="sr-Latn-ME"/>
        </w:rPr>
        <w:t>prognostičkim</w:t>
      </w:r>
      <w:proofErr w:type="spellEnd"/>
      <w:r w:rsidRPr="00CF5F52">
        <w:rPr>
          <w:sz w:val="22"/>
          <w:szCs w:val="22"/>
          <w:lang w:val="sr-Latn-ME"/>
        </w:rPr>
        <w:t xml:space="preserve"> znakom za dugotrajan terapijski odgovor na inhibiciju lučenja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. Hormonska </w:t>
      </w:r>
      <w:proofErr w:type="spellStart"/>
      <w:r w:rsidRPr="00CF5F52">
        <w:rPr>
          <w:sz w:val="22"/>
          <w:szCs w:val="22"/>
          <w:lang w:val="sr-Latn-ME"/>
        </w:rPr>
        <w:t>ablativna</w:t>
      </w:r>
      <w:proofErr w:type="spellEnd"/>
      <w:r w:rsidRPr="00CF5F52">
        <w:rPr>
          <w:sz w:val="22"/>
          <w:szCs w:val="22"/>
          <w:lang w:val="sr-Latn-ME"/>
        </w:rPr>
        <w:t xml:space="preserve"> terapija (npr. prim</w:t>
      </w:r>
      <w:r w:rsidR="005A43A4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ena l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Sandoz) je tada </w:t>
      </w:r>
      <w:proofErr w:type="spellStart"/>
      <w:r w:rsidRPr="00CF5F52">
        <w:rPr>
          <w:sz w:val="22"/>
          <w:szCs w:val="22"/>
          <w:lang w:val="sr-Latn-ME"/>
        </w:rPr>
        <w:t>indikovana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3BBF372C" w14:textId="77777777" w:rsidR="00676BE4" w:rsidRDefault="00676BE4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</w:p>
    <w:p w14:paraId="0AA90929" w14:textId="592D5914" w:rsidR="002B4C79" w:rsidRPr="00CF5F52" w:rsidRDefault="002B4C79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U slučaju da su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PSA </w:t>
      </w:r>
      <w:proofErr w:type="spellStart"/>
      <w:r w:rsidRPr="00CF5F52">
        <w:rPr>
          <w:sz w:val="22"/>
          <w:szCs w:val="22"/>
          <w:lang w:val="sr-Latn-ME"/>
        </w:rPr>
        <w:t>neprom</w:t>
      </w:r>
      <w:r w:rsidR="005A43A4" w:rsidRPr="00CF5F52">
        <w:rPr>
          <w:sz w:val="22"/>
          <w:szCs w:val="22"/>
          <w:lang w:val="sr-Latn-ME"/>
        </w:rPr>
        <w:t>i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enjene</w:t>
      </w:r>
      <w:proofErr w:type="spellEnd"/>
      <w:r w:rsidRPr="00CF5F52">
        <w:rPr>
          <w:sz w:val="22"/>
          <w:szCs w:val="22"/>
          <w:lang w:val="sr-Latn-ME"/>
        </w:rPr>
        <w:t xml:space="preserve"> ili su čak porasle kod pacijenata sa </w:t>
      </w:r>
      <w:proofErr w:type="spellStart"/>
      <w:r w:rsidRPr="00CF5F52">
        <w:rPr>
          <w:sz w:val="22"/>
          <w:szCs w:val="22"/>
          <w:lang w:val="sr-Latn-ME"/>
        </w:rPr>
        <w:t>suprimiranim</w:t>
      </w:r>
      <w:proofErr w:type="spellEnd"/>
      <w:r w:rsidRPr="00CF5F52">
        <w:rPr>
          <w:sz w:val="22"/>
          <w:szCs w:val="22"/>
          <w:lang w:val="sr-Latn-ME"/>
        </w:rPr>
        <w:t xml:space="preserve">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ednostima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, </w:t>
      </w:r>
      <w:proofErr w:type="spellStart"/>
      <w:r w:rsidRPr="00CF5F52">
        <w:rPr>
          <w:sz w:val="22"/>
          <w:szCs w:val="22"/>
          <w:lang w:val="sr-Latn-ME"/>
        </w:rPr>
        <w:t>karcinom</w:t>
      </w:r>
      <w:proofErr w:type="spellEnd"/>
      <w:r w:rsidRPr="00CF5F52">
        <w:rPr>
          <w:sz w:val="22"/>
          <w:szCs w:val="22"/>
          <w:lang w:val="sr-Latn-ME"/>
        </w:rPr>
        <w:t xml:space="preserve"> prostate je </w:t>
      </w:r>
      <w:proofErr w:type="spellStart"/>
      <w:r w:rsidRPr="00CF5F52">
        <w:rPr>
          <w:sz w:val="22"/>
          <w:szCs w:val="22"/>
          <w:lang w:val="sr-Latn-ME"/>
        </w:rPr>
        <w:t>androgen</w:t>
      </w:r>
      <w:proofErr w:type="spellEnd"/>
      <w:r w:rsidRPr="00CF5F52">
        <w:rPr>
          <w:sz w:val="22"/>
          <w:szCs w:val="22"/>
          <w:lang w:val="sr-Latn-ME"/>
        </w:rPr>
        <w:t>-neos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etljiv. U tim slučajevima, nastavak hormonske </w:t>
      </w:r>
      <w:proofErr w:type="spellStart"/>
      <w:r w:rsidRPr="00CF5F52">
        <w:rPr>
          <w:sz w:val="22"/>
          <w:szCs w:val="22"/>
          <w:lang w:val="sr-Latn-ME"/>
        </w:rPr>
        <w:t>ablativne</w:t>
      </w:r>
      <w:proofErr w:type="spellEnd"/>
      <w:r w:rsidRPr="00CF5F52">
        <w:rPr>
          <w:sz w:val="22"/>
          <w:szCs w:val="22"/>
          <w:lang w:val="sr-Latn-ME"/>
        </w:rPr>
        <w:t xml:space="preserve"> terapije se ne smatra prikladnim.</w:t>
      </w:r>
    </w:p>
    <w:p w14:paraId="0E0753FC" w14:textId="77777777" w:rsidR="00676BE4" w:rsidRDefault="00676BE4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</w:p>
    <w:p w14:paraId="1ED671E2" w14:textId="02EE60E1" w:rsidR="002B4C79" w:rsidRPr="00CF5F52" w:rsidRDefault="002B4C79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Međutim, ako se kod pacijenta uoči klinički odgovor (npr. smanjenje bola i poboljšanje </w:t>
      </w:r>
      <w:proofErr w:type="spellStart"/>
      <w:r w:rsidRPr="00CF5F52">
        <w:rPr>
          <w:sz w:val="22"/>
          <w:szCs w:val="22"/>
          <w:lang w:val="sr-Latn-ME"/>
        </w:rPr>
        <w:t>dizuričnih</w:t>
      </w:r>
      <w:proofErr w:type="spellEnd"/>
      <w:r w:rsidRPr="00CF5F52">
        <w:rPr>
          <w:sz w:val="22"/>
          <w:szCs w:val="22"/>
          <w:lang w:val="sr-Latn-ME"/>
        </w:rPr>
        <w:t xml:space="preserve"> tegoba, smanjenje veličine prostate), potrebno je razmotriti mogućnost lažno negativnog rezultata. U ovim 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etkim slučajevima, prim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enu l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treba nastaviti tokom sl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edeća 3 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 uz ponovnu kontrolu vr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 PSA; dodatno je potrebno pažljivo nadzirati kliničko stanje pacijenta.</w:t>
      </w:r>
    </w:p>
    <w:p w14:paraId="23DBB4FC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EBADEC5" w14:textId="5ECDD8A6" w:rsidR="002B4C79" w:rsidRPr="00CF5F52" w:rsidRDefault="002B4C79" w:rsidP="00676BE4">
      <w:pPr>
        <w:widowControl w:val="0"/>
        <w:autoSpaceDE w:val="0"/>
        <w:autoSpaceDN w:val="0"/>
        <w:spacing w:line="237" w:lineRule="auto"/>
        <w:ind w:right="135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lastRenderedPageBreak/>
        <w:t xml:space="preserve">Generalno, terapija </w:t>
      </w:r>
      <w:proofErr w:type="spellStart"/>
      <w:r w:rsidRPr="00CF5F52">
        <w:rPr>
          <w:sz w:val="22"/>
          <w:szCs w:val="22"/>
          <w:lang w:val="sr-Latn-ME"/>
        </w:rPr>
        <w:t>uznapredovalog</w:t>
      </w:r>
      <w:proofErr w:type="spellEnd"/>
      <w:r w:rsidRPr="00CF5F52">
        <w:rPr>
          <w:sz w:val="22"/>
          <w:szCs w:val="22"/>
          <w:lang w:val="sr-Latn-ME"/>
        </w:rPr>
        <w:t xml:space="preserve">, hormon-zavisnog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l</w:t>
      </w:r>
      <w:r w:rsidR="00F96943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je </w:t>
      </w:r>
      <w:r w:rsidRPr="00CF5F52">
        <w:rPr>
          <w:spacing w:val="-2"/>
          <w:sz w:val="22"/>
          <w:szCs w:val="22"/>
          <w:lang w:val="sr-Latn-ME"/>
        </w:rPr>
        <w:t>dugotrajna.</w:t>
      </w:r>
    </w:p>
    <w:p w14:paraId="22010063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B78A11F" w14:textId="552940F9" w:rsidR="002B4C79" w:rsidRDefault="002B4C79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Podaci iz kliničkih ispitivanja ukazuju da kod lokalno </w:t>
      </w:r>
      <w:proofErr w:type="spellStart"/>
      <w:r w:rsidRPr="00CF5F52">
        <w:rPr>
          <w:sz w:val="22"/>
          <w:szCs w:val="22"/>
          <w:lang w:val="sr-Latn-ME"/>
        </w:rPr>
        <w:t>uznapredovalog</w:t>
      </w:r>
      <w:proofErr w:type="spellEnd"/>
      <w:r w:rsidRPr="00CF5F52">
        <w:rPr>
          <w:sz w:val="22"/>
          <w:szCs w:val="22"/>
          <w:lang w:val="sr-Latn-ME"/>
        </w:rPr>
        <w:t xml:space="preserve"> hormon-zavisnog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prostate, terapija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u kombinaciji sa </w:t>
      </w:r>
      <w:proofErr w:type="spellStart"/>
      <w:r w:rsidRPr="00CF5F52">
        <w:rPr>
          <w:sz w:val="22"/>
          <w:szCs w:val="22"/>
          <w:lang w:val="sr-Latn-ME"/>
        </w:rPr>
        <w:t>radioterapijom</w:t>
      </w:r>
      <w:proofErr w:type="spellEnd"/>
      <w:r w:rsidRPr="00CF5F52">
        <w:rPr>
          <w:sz w:val="22"/>
          <w:szCs w:val="22"/>
          <w:lang w:val="sr-Latn-ME"/>
        </w:rPr>
        <w:t xml:space="preserve"> u trajanju od 3 godine ima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prednost</w:t>
      </w:r>
      <w:proofErr w:type="spellEnd"/>
      <w:r w:rsidRPr="00CF5F52">
        <w:rPr>
          <w:sz w:val="22"/>
          <w:szCs w:val="22"/>
          <w:lang w:val="sr-Latn-ME"/>
        </w:rPr>
        <w:t xml:space="preserve"> u odnosu na terapiju u trajanju od 6 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eseci (vid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eti </w:t>
      </w:r>
      <w:r w:rsidR="00F96943" w:rsidRPr="00CF5F52">
        <w:rPr>
          <w:sz w:val="22"/>
          <w:szCs w:val="22"/>
          <w:lang w:val="sr-Latn-ME"/>
        </w:rPr>
        <w:t>dio</w:t>
      </w:r>
      <w:r w:rsidRPr="00CF5F52">
        <w:rPr>
          <w:sz w:val="22"/>
          <w:szCs w:val="22"/>
          <w:lang w:val="sr-Latn-ME"/>
        </w:rPr>
        <w:t xml:space="preserve"> 5.1). Klinički vodiči preporučuju trajanje terapije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u trajanju od 2-3 godine kod pacijenata (T3-T4) koji su na </w:t>
      </w:r>
      <w:proofErr w:type="spellStart"/>
      <w:r w:rsidRPr="00CF5F52">
        <w:rPr>
          <w:sz w:val="22"/>
          <w:szCs w:val="22"/>
          <w:lang w:val="sr-Latn-ME"/>
        </w:rPr>
        <w:t>radioterapiji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2AAE6534" w14:textId="77777777" w:rsidR="00676BE4" w:rsidRPr="00CF5F52" w:rsidRDefault="00676BE4" w:rsidP="00676BE4">
      <w:pPr>
        <w:widowControl w:val="0"/>
        <w:autoSpaceDE w:val="0"/>
        <w:autoSpaceDN w:val="0"/>
        <w:ind w:right="136"/>
        <w:jc w:val="both"/>
        <w:rPr>
          <w:sz w:val="22"/>
          <w:szCs w:val="22"/>
          <w:lang w:val="sr-Latn-ME"/>
        </w:rPr>
      </w:pPr>
    </w:p>
    <w:p w14:paraId="7DC9DCDA" w14:textId="216B4513" w:rsidR="002B4C79" w:rsidRPr="00CF5F52" w:rsidRDefault="002B4C79" w:rsidP="00676BE4">
      <w:pPr>
        <w:widowControl w:val="0"/>
        <w:autoSpaceDE w:val="0"/>
        <w:autoSpaceDN w:val="0"/>
        <w:ind w:right="135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Kod pacijenata sa lokalizovanim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prostate sa um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erenim profilom rizika kombinacija </w:t>
      </w:r>
      <w:proofErr w:type="spellStart"/>
      <w:r w:rsidRPr="00CF5F52">
        <w:rPr>
          <w:sz w:val="22"/>
          <w:szCs w:val="22"/>
          <w:lang w:val="sr-Latn-ME"/>
        </w:rPr>
        <w:t>radioterapije</w:t>
      </w:r>
      <w:proofErr w:type="spellEnd"/>
      <w:r w:rsidRPr="00CF5F52">
        <w:rPr>
          <w:sz w:val="22"/>
          <w:szCs w:val="22"/>
          <w:lang w:val="sr-Latn-ME"/>
        </w:rPr>
        <w:t xml:space="preserve"> sa terapijom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agonistima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se preporučuje tokom 4 do 6 m</w:t>
      </w:r>
      <w:r w:rsidR="00F96943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eseci, dok se kod </w:t>
      </w:r>
      <w:proofErr w:type="spellStart"/>
      <w:r w:rsidRPr="00CF5F52">
        <w:rPr>
          <w:sz w:val="22"/>
          <w:szCs w:val="22"/>
          <w:lang w:val="sr-Latn-ME"/>
        </w:rPr>
        <w:t>visokorizičnih</w:t>
      </w:r>
      <w:proofErr w:type="spellEnd"/>
      <w:r w:rsidRPr="00CF5F52">
        <w:rPr>
          <w:sz w:val="22"/>
          <w:szCs w:val="22"/>
          <w:lang w:val="sr-Latn-ME"/>
        </w:rPr>
        <w:t xml:space="preserve"> pacijenata preporučuje tokom 2 do 3 godine.</w:t>
      </w:r>
    </w:p>
    <w:p w14:paraId="591449BB" w14:textId="77777777" w:rsidR="00452E9D" w:rsidRPr="00CF5F52" w:rsidRDefault="00452E9D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5D6598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4.3.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proofErr w:type="spellStart"/>
      <w:r w:rsidRPr="00CF5F52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C0F702D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E88964" w14:textId="00D98B5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Preos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etljivost na aktivnu supstancu ili na bilo koju od pomoćnih supstanci navedenih u </w:t>
      </w:r>
      <w:r w:rsidR="00F96943" w:rsidRPr="00CF5F52">
        <w:rPr>
          <w:bCs/>
          <w:sz w:val="22"/>
          <w:szCs w:val="22"/>
          <w:lang w:val="sr-Latn-ME"/>
        </w:rPr>
        <w:t>dijelu</w:t>
      </w:r>
      <w:r w:rsidRPr="00CF5F52">
        <w:rPr>
          <w:bCs/>
          <w:sz w:val="22"/>
          <w:szCs w:val="22"/>
          <w:lang w:val="sr-Latn-ME"/>
        </w:rPr>
        <w:t xml:space="preserve"> 6.1 ili na neki drugi </w:t>
      </w:r>
      <w:proofErr w:type="spellStart"/>
      <w:r w:rsidRPr="00CF5F52">
        <w:rPr>
          <w:bCs/>
          <w:sz w:val="22"/>
          <w:szCs w:val="22"/>
          <w:lang w:val="sr-Latn-ME"/>
        </w:rPr>
        <w:t>analog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LHRH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64EB824A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F23D3B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Potvrđeni hormon-nezavisni </w:t>
      </w:r>
      <w:proofErr w:type="spellStart"/>
      <w:r w:rsidRPr="00CF5F52">
        <w:rPr>
          <w:bCs/>
          <w:sz w:val="22"/>
          <w:szCs w:val="22"/>
          <w:lang w:val="sr-Latn-ME"/>
        </w:rPr>
        <w:t>karcinom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7AFBE7F7" w14:textId="77777777" w:rsidR="005A43A4" w:rsidRPr="00CF5F52" w:rsidRDefault="005A43A4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8B11E1" w14:textId="609A5616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je kontraindikovan kod žena i pedijatrijskih pacijenata.</w:t>
      </w:r>
    </w:p>
    <w:p w14:paraId="6B2FDAC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4F6735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4.4.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C3735A5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ABD9CB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Pacijente sa hipertenzijom treba pažljivo pratiti.</w:t>
      </w:r>
    </w:p>
    <w:p w14:paraId="65585468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416E06" w14:textId="5AF75C4E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Postoji povećani rizik od depresije (koja može biti teška) kod pacijenata na terapiji </w:t>
      </w:r>
      <w:proofErr w:type="spellStart"/>
      <w:r w:rsidRPr="00CF5F52">
        <w:rPr>
          <w:bCs/>
          <w:sz w:val="22"/>
          <w:szCs w:val="22"/>
          <w:lang w:val="sr-Latn-ME"/>
        </w:rPr>
        <w:t>agonistima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LHRH</w:t>
      </w:r>
      <w:proofErr w:type="spellEnd"/>
      <w:r w:rsidRPr="00CF5F52">
        <w:rPr>
          <w:bCs/>
          <w:sz w:val="22"/>
          <w:szCs w:val="22"/>
          <w:lang w:val="sr-Latn-ME"/>
        </w:rPr>
        <w:t xml:space="preserve"> (</w:t>
      </w:r>
      <w:proofErr w:type="spellStart"/>
      <w:r w:rsidRPr="00CF5F52">
        <w:rPr>
          <w:bCs/>
          <w:sz w:val="22"/>
          <w:szCs w:val="22"/>
          <w:lang w:val="sr-Latn-ME"/>
        </w:rPr>
        <w:t>agonisti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gonadotropin</w:t>
      </w:r>
      <w:proofErr w:type="spellEnd"/>
      <w:r w:rsidRPr="00CF5F52">
        <w:rPr>
          <w:bCs/>
          <w:sz w:val="22"/>
          <w:szCs w:val="22"/>
          <w:lang w:val="sr-Latn-ME"/>
        </w:rPr>
        <w:t>- oslobađajućeg hormona) kao što je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Sandoz. Pacijente treba upozoriti na ovaj rizik i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ečiti na odgovarajući način ako se simptomi jave.</w:t>
      </w:r>
    </w:p>
    <w:p w14:paraId="6E2FB7D2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6FA2E5" w14:textId="3EBDAE7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Zab</w:t>
      </w:r>
      <w:r w:rsidR="00F96943" w:rsidRPr="00CF5F52">
        <w:rPr>
          <w:bCs/>
          <w:sz w:val="22"/>
          <w:szCs w:val="22"/>
          <w:lang w:val="sr-Latn-ME"/>
        </w:rPr>
        <w:t>ilj</w:t>
      </w:r>
      <w:r w:rsidRPr="00CF5F52">
        <w:rPr>
          <w:bCs/>
          <w:sz w:val="22"/>
          <w:szCs w:val="22"/>
          <w:lang w:val="sr-Latn-ME"/>
        </w:rPr>
        <w:t xml:space="preserve">ežene su alergijske i </w:t>
      </w:r>
      <w:proofErr w:type="spellStart"/>
      <w:r w:rsidRPr="00CF5F52">
        <w:rPr>
          <w:bCs/>
          <w:sz w:val="22"/>
          <w:szCs w:val="22"/>
          <w:lang w:val="sr-Latn-ME"/>
        </w:rPr>
        <w:t>anafilaktičke</w:t>
      </w:r>
      <w:proofErr w:type="spellEnd"/>
      <w:r w:rsidRPr="00CF5F52">
        <w:rPr>
          <w:bCs/>
          <w:sz w:val="22"/>
          <w:szCs w:val="22"/>
          <w:lang w:val="sr-Latn-ME"/>
        </w:rPr>
        <w:t xml:space="preserve"> reakcije. One uključuju lokalne reakcije na 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estu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ene injekcije i sistemske simptome.</w:t>
      </w:r>
    </w:p>
    <w:p w14:paraId="59C8FAD7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CDE7D5" w14:textId="28368ABA" w:rsidR="005A43A4" w:rsidRPr="00CF5F52" w:rsidRDefault="005A43A4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Postmarketinški</w:t>
      </w:r>
      <w:proofErr w:type="spellEnd"/>
      <w:r w:rsidRPr="00CF5F52">
        <w:rPr>
          <w:bCs/>
          <w:sz w:val="22"/>
          <w:szCs w:val="22"/>
          <w:lang w:val="sr-Latn-ME"/>
        </w:rPr>
        <w:t xml:space="preserve"> izvještaji o konvulzijama </w:t>
      </w:r>
      <w:proofErr w:type="spellStart"/>
      <w:r w:rsidRPr="00CF5F52">
        <w:rPr>
          <w:bCs/>
          <w:sz w:val="22"/>
          <w:szCs w:val="22"/>
          <w:lang w:val="sr-Latn-ME"/>
        </w:rPr>
        <w:t>primijećeni</w:t>
      </w:r>
      <w:proofErr w:type="spellEnd"/>
      <w:r w:rsidRPr="00CF5F52">
        <w:rPr>
          <w:bCs/>
          <w:sz w:val="22"/>
          <w:szCs w:val="22"/>
          <w:lang w:val="sr-Latn-ME"/>
        </w:rPr>
        <w:t xml:space="preserve"> su kod pacijenata na terapiji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acetatom sa ili bez istorije epilepsije, konvulzija ili </w:t>
      </w:r>
      <w:proofErr w:type="spellStart"/>
      <w:r w:rsidRPr="00CF5F52">
        <w:rPr>
          <w:bCs/>
          <w:sz w:val="22"/>
          <w:szCs w:val="22"/>
          <w:lang w:val="sr-Latn-ME"/>
        </w:rPr>
        <w:t>predisponirajućih</w:t>
      </w:r>
      <w:proofErr w:type="spellEnd"/>
      <w:r w:rsidRPr="00CF5F52">
        <w:rPr>
          <w:bCs/>
          <w:sz w:val="22"/>
          <w:szCs w:val="22"/>
          <w:lang w:val="sr-Latn-ME"/>
        </w:rPr>
        <w:t xml:space="preserve"> faktora.</w:t>
      </w:r>
    </w:p>
    <w:p w14:paraId="6DE9103B" w14:textId="77777777" w:rsidR="005A43A4" w:rsidRPr="00CF5F52" w:rsidRDefault="005A43A4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4BE72B" w14:textId="7B43AA4C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Nakon hirurške kastracije,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ne dovodi do daljeg smanjenja koncentracije </w:t>
      </w:r>
      <w:proofErr w:type="spellStart"/>
      <w:r w:rsidRPr="00CF5F52">
        <w:rPr>
          <w:bCs/>
          <w:sz w:val="22"/>
          <w:szCs w:val="22"/>
          <w:lang w:val="sr-Latn-ME"/>
        </w:rPr>
        <w:t>testosterona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4E37FDAA" w14:textId="77777777" w:rsidR="005A43A4" w:rsidRPr="00CF5F52" w:rsidRDefault="005A43A4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F02707" w14:textId="349A4F41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Usl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ed</w:t>
      </w:r>
      <w:proofErr w:type="spellEnd"/>
      <w:r w:rsidRPr="00CF5F52">
        <w:rPr>
          <w:bCs/>
          <w:sz w:val="22"/>
          <w:szCs w:val="22"/>
          <w:lang w:val="sr-Latn-ME"/>
        </w:rPr>
        <w:t xml:space="preserve"> kratkotrajnog porasta koncentracije </w:t>
      </w:r>
      <w:proofErr w:type="spellStart"/>
      <w:r w:rsidRPr="00CF5F52">
        <w:rPr>
          <w:bCs/>
          <w:sz w:val="22"/>
          <w:szCs w:val="22"/>
          <w:lang w:val="sr-Latn-ME"/>
        </w:rPr>
        <w:t>testosterona</w:t>
      </w:r>
      <w:proofErr w:type="spellEnd"/>
      <w:r w:rsidRPr="00CF5F52">
        <w:rPr>
          <w:bCs/>
          <w:sz w:val="22"/>
          <w:szCs w:val="22"/>
          <w:lang w:val="sr-Latn-ME"/>
        </w:rPr>
        <w:t xml:space="preserve"> u serumu na početku terapije, što privremeno može da pojača određene simptome bolesti, pacijente koji su pod rizikom od neuroloških komplikacija, metastaza u kičmi i opstrukcije </w:t>
      </w:r>
      <w:proofErr w:type="spellStart"/>
      <w:r w:rsidRPr="00CF5F52">
        <w:rPr>
          <w:bCs/>
          <w:sz w:val="22"/>
          <w:szCs w:val="22"/>
          <w:lang w:val="sr-Latn-ME"/>
        </w:rPr>
        <w:t>urinarnog</w:t>
      </w:r>
      <w:proofErr w:type="spellEnd"/>
      <w:r w:rsidRPr="00CF5F52">
        <w:rPr>
          <w:bCs/>
          <w:sz w:val="22"/>
          <w:szCs w:val="22"/>
          <w:lang w:val="sr-Latn-ME"/>
        </w:rPr>
        <w:t xml:space="preserve"> trakta treba konstantno pratiti tokom prvih ned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elja terapije, ukoliko je moguće u bolnici.</w:t>
      </w:r>
    </w:p>
    <w:p w14:paraId="6815F92E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05380C" w14:textId="13E1EE02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Dodatnu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enu odgovarajućeg </w:t>
      </w:r>
      <w:proofErr w:type="spellStart"/>
      <w:r w:rsidRPr="00CF5F52">
        <w:rPr>
          <w:bCs/>
          <w:sz w:val="22"/>
          <w:szCs w:val="22"/>
          <w:lang w:val="sr-Latn-ME"/>
        </w:rPr>
        <w:t>antiandrogena</w:t>
      </w:r>
      <w:proofErr w:type="spellEnd"/>
      <w:r w:rsidRPr="00CF5F52">
        <w:rPr>
          <w:bCs/>
          <w:sz w:val="22"/>
          <w:szCs w:val="22"/>
          <w:lang w:val="sr-Latn-ME"/>
        </w:rPr>
        <w:t xml:space="preserve"> treba razmotriti u inicijalnoj fazi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ečenja, kako bi se ublažile moguće posl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edice inicijalnog naglog porasta </w:t>
      </w:r>
      <w:proofErr w:type="spellStart"/>
      <w:r w:rsidRPr="00CF5F52">
        <w:rPr>
          <w:bCs/>
          <w:sz w:val="22"/>
          <w:szCs w:val="22"/>
          <w:lang w:val="sr-Latn-ME"/>
        </w:rPr>
        <w:t>testosterona</w:t>
      </w:r>
      <w:proofErr w:type="spellEnd"/>
      <w:r w:rsidRPr="00CF5F52">
        <w:rPr>
          <w:bCs/>
          <w:sz w:val="22"/>
          <w:szCs w:val="22"/>
          <w:lang w:val="sr-Latn-ME"/>
        </w:rPr>
        <w:t xml:space="preserve"> i pogoršanje kliničkih simptoma.</w:t>
      </w:r>
    </w:p>
    <w:p w14:paraId="1943F223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ACF105" w14:textId="62E5E691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Usp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ešnost terapije treba redovno pratiti (a posebno ako postoje dokazi o progresiji bolesti uprkos odgovarajućem l</w:t>
      </w:r>
      <w:r w:rsidR="00FB433E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ečenju) odgovarajućim kliničkim </w:t>
      </w:r>
      <w:proofErr w:type="spellStart"/>
      <w:r w:rsidRPr="00CF5F52">
        <w:rPr>
          <w:bCs/>
          <w:sz w:val="22"/>
          <w:szCs w:val="22"/>
          <w:lang w:val="sr-Latn-ME"/>
        </w:rPr>
        <w:t>pregledima</w:t>
      </w:r>
      <w:proofErr w:type="spellEnd"/>
      <w:r w:rsidRPr="00CF5F52">
        <w:rPr>
          <w:bCs/>
          <w:sz w:val="22"/>
          <w:szCs w:val="22"/>
          <w:lang w:val="sr-Latn-ME"/>
        </w:rPr>
        <w:t xml:space="preserve"> (digitalni rektalni </w:t>
      </w:r>
      <w:proofErr w:type="spellStart"/>
      <w:r w:rsidRPr="00CF5F52">
        <w:rPr>
          <w:bCs/>
          <w:sz w:val="22"/>
          <w:szCs w:val="22"/>
          <w:lang w:val="sr-Latn-ME"/>
        </w:rPr>
        <w:t>pregled</w:t>
      </w:r>
      <w:proofErr w:type="spellEnd"/>
      <w:r w:rsidRPr="00CF5F52">
        <w:rPr>
          <w:bCs/>
          <w:sz w:val="22"/>
          <w:szCs w:val="22"/>
          <w:lang w:val="sr-Latn-ME"/>
        </w:rPr>
        <w:t xml:space="preserve"> prostate, ultrazvuk, skeletna </w:t>
      </w:r>
      <w:proofErr w:type="spellStart"/>
      <w:r w:rsidRPr="00CF5F52">
        <w:rPr>
          <w:bCs/>
          <w:sz w:val="22"/>
          <w:szCs w:val="22"/>
          <w:lang w:val="sr-Latn-ME"/>
        </w:rPr>
        <w:t>scintigrafija</w:t>
      </w:r>
      <w:proofErr w:type="spellEnd"/>
      <w:r w:rsidRPr="00CF5F52">
        <w:rPr>
          <w:bCs/>
          <w:sz w:val="22"/>
          <w:szCs w:val="22"/>
          <w:lang w:val="sr-Latn-ME"/>
        </w:rPr>
        <w:t xml:space="preserve">, kompjuterizovana </w:t>
      </w:r>
      <w:proofErr w:type="spellStart"/>
      <w:r w:rsidRPr="00CF5F52">
        <w:rPr>
          <w:bCs/>
          <w:sz w:val="22"/>
          <w:szCs w:val="22"/>
          <w:lang w:val="sr-Latn-ME"/>
        </w:rPr>
        <w:t>tomografija</w:t>
      </w:r>
      <w:proofErr w:type="spellEnd"/>
      <w:r w:rsidRPr="00CF5F52">
        <w:rPr>
          <w:bCs/>
          <w:sz w:val="22"/>
          <w:szCs w:val="22"/>
          <w:lang w:val="sr-Latn-ME"/>
        </w:rPr>
        <w:t xml:space="preserve">) i određivanjem koncentracija </w:t>
      </w:r>
      <w:proofErr w:type="spellStart"/>
      <w:r w:rsidRPr="00CF5F52">
        <w:rPr>
          <w:bCs/>
          <w:sz w:val="22"/>
          <w:szCs w:val="22"/>
          <w:lang w:val="sr-Latn-ME"/>
        </w:rPr>
        <w:t>fosfataza</w:t>
      </w:r>
      <w:proofErr w:type="spellEnd"/>
      <w:r w:rsidRPr="00CF5F52">
        <w:rPr>
          <w:bCs/>
          <w:sz w:val="22"/>
          <w:szCs w:val="22"/>
          <w:lang w:val="sr-Latn-ME"/>
        </w:rPr>
        <w:t xml:space="preserve"> i/ili prostata specifičnog </w:t>
      </w:r>
      <w:proofErr w:type="spellStart"/>
      <w:r w:rsidRPr="00CF5F52">
        <w:rPr>
          <w:bCs/>
          <w:sz w:val="22"/>
          <w:szCs w:val="22"/>
          <w:lang w:val="sr-Latn-ME"/>
        </w:rPr>
        <w:t>antigena</w:t>
      </w:r>
      <w:proofErr w:type="spellEnd"/>
      <w:r w:rsidRPr="00CF5F52">
        <w:rPr>
          <w:bCs/>
          <w:sz w:val="22"/>
          <w:szCs w:val="22"/>
          <w:lang w:val="sr-Latn-ME"/>
        </w:rPr>
        <w:t xml:space="preserve"> (PSA) i koncentracije </w:t>
      </w:r>
      <w:proofErr w:type="spellStart"/>
      <w:r w:rsidRPr="00CF5F52">
        <w:rPr>
          <w:bCs/>
          <w:sz w:val="22"/>
          <w:szCs w:val="22"/>
          <w:lang w:val="sr-Latn-ME"/>
        </w:rPr>
        <w:t>testosterona</w:t>
      </w:r>
      <w:proofErr w:type="spellEnd"/>
      <w:r w:rsidRPr="00CF5F52">
        <w:rPr>
          <w:bCs/>
          <w:sz w:val="22"/>
          <w:szCs w:val="22"/>
          <w:lang w:val="sr-Latn-ME"/>
        </w:rPr>
        <w:t xml:space="preserve"> u serumu.</w:t>
      </w:r>
    </w:p>
    <w:p w14:paraId="164818FD" w14:textId="77777777" w:rsidR="00FB433E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A73186" w14:textId="1C246F56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Hipogonadizam</w:t>
      </w:r>
      <w:proofErr w:type="spellEnd"/>
      <w:r w:rsidRPr="00CF5F52">
        <w:rPr>
          <w:bCs/>
          <w:sz w:val="22"/>
          <w:szCs w:val="22"/>
          <w:lang w:val="sr-Latn-ME"/>
        </w:rPr>
        <w:t xml:space="preserve"> koji se javlja kod dugotrajne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ene </w:t>
      </w:r>
      <w:proofErr w:type="spellStart"/>
      <w:r w:rsidRPr="00CF5F52">
        <w:rPr>
          <w:bCs/>
          <w:sz w:val="22"/>
          <w:szCs w:val="22"/>
          <w:lang w:val="sr-Latn-ME"/>
        </w:rPr>
        <w:t>analoga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LHRH</w:t>
      </w:r>
      <w:proofErr w:type="spellEnd"/>
      <w:r w:rsidRPr="00CF5F52">
        <w:rPr>
          <w:bCs/>
          <w:sz w:val="22"/>
          <w:szCs w:val="22"/>
          <w:lang w:val="sr-Latn-ME"/>
        </w:rPr>
        <w:t xml:space="preserve"> i/ili </w:t>
      </w:r>
      <w:proofErr w:type="spellStart"/>
      <w:r w:rsidRPr="00CF5F52">
        <w:rPr>
          <w:bCs/>
          <w:sz w:val="22"/>
          <w:szCs w:val="22"/>
          <w:lang w:val="sr-Latn-ME"/>
        </w:rPr>
        <w:t>orhiektomije</w:t>
      </w:r>
      <w:proofErr w:type="spellEnd"/>
      <w:r w:rsidRPr="00CF5F52">
        <w:rPr>
          <w:bCs/>
          <w:sz w:val="22"/>
          <w:szCs w:val="22"/>
          <w:lang w:val="sr-Latn-ME"/>
        </w:rPr>
        <w:t xml:space="preserve"> može da dovede do </w:t>
      </w:r>
      <w:proofErr w:type="spellStart"/>
      <w:r w:rsidRPr="00CF5F52">
        <w:rPr>
          <w:bCs/>
          <w:sz w:val="22"/>
          <w:szCs w:val="22"/>
          <w:lang w:val="sr-Latn-ME"/>
        </w:rPr>
        <w:t>osteoporoze</w:t>
      </w:r>
      <w:proofErr w:type="spellEnd"/>
      <w:r w:rsidRPr="00CF5F52">
        <w:rPr>
          <w:bCs/>
          <w:sz w:val="22"/>
          <w:szCs w:val="22"/>
          <w:lang w:val="sr-Latn-ME"/>
        </w:rPr>
        <w:t xml:space="preserve"> sa povećanim rizikom od fraktura. Razvoj </w:t>
      </w:r>
      <w:proofErr w:type="spellStart"/>
      <w:r w:rsidRPr="00CF5F52">
        <w:rPr>
          <w:bCs/>
          <w:sz w:val="22"/>
          <w:szCs w:val="22"/>
          <w:lang w:val="sr-Latn-ME"/>
        </w:rPr>
        <w:t>osteoporoze</w:t>
      </w:r>
      <w:proofErr w:type="spellEnd"/>
      <w:r w:rsidRPr="00CF5F52">
        <w:rPr>
          <w:bCs/>
          <w:sz w:val="22"/>
          <w:szCs w:val="22"/>
          <w:lang w:val="sr-Latn-ME"/>
        </w:rPr>
        <w:t xml:space="preserve"> je izraženiji nakon </w:t>
      </w:r>
      <w:proofErr w:type="spellStart"/>
      <w:r w:rsidRPr="00CF5F52">
        <w:rPr>
          <w:bCs/>
          <w:sz w:val="22"/>
          <w:szCs w:val="22"/>
          <w:lang w:val="sr-Latn-ME"/>
        </w:rPr>
        <w:t>orhiektomije</w:t>
      </w:r>
      <w:proofErr w:type="spellEnd"/>
      <w:r w:rsidRPr="00CF5F52">
        <w:rPr>
          <w:bCs/>
          <w:sz w:val="22"/>
          <w:szCs w:val="22"/>
          <w:lang w:val="sr-Latn-ME"/>
        </w:rPr>
        <w:t>, sa povišenim vr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ednostima </w:t>
      </w:r>
      <w:proofErr w:type="spellStart"/>
      <w:r w:rsidRPr="00CF5F52">
        <w:rPr>
          <w:bCs/>
          <w:sz w:val="22"/>
          <w:szCs w:val="22"/>
          <w:lang w:val="sr-Latn-ME"/>
        </w:rPr>
        <w:t>kortizola</w:t>
      </w:r>
      <w:proofErr w:type="spellEnd"/>
      <w:r w:rsidRPr="00CF5F52">
        <w:rPr>
          <w:bCs/>
          <w:sz w:val="22"/>
          <w:szCs w:val="22"/>
          <w:lang w:val="sr-Latn-ME"/>
        </w:rPr>
        <w:t>, nego nakon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ene </w:t>
      </w:r>
      <w:proofErr w:type="spellStart"/>
      <w:r w:rsidRPr="00CF5F52">
        <w:rPr>
          <w:bCs/>
          <w:sz w:val="22"/>
          <w:szCs w:val="22"/>
          <w:lang w:val="sr-Latn-ME"/>
        </w:rPr>
        <w:t>analoga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LHRH</w:t>
      </w:r>
      <w:proofErr w:type="spellEnd"/>
      <w:r w:rsidRPr="00CF5F52">
        <w:rPr>
          <w:bCs/>
          <w:sz w:val="22"/>
          <w:szCs w:val="22"/>
          <w:lang w:val="sr-Latn-ME"/>
        </w:rPr>
        <w:t xml:space="preserve">. Kod </w:t>
      </w:r>
      <w:proofErr w:type="spellStart"/>
      <w:r w:rsidRPr="00CF5F52">
        <w:rPr>
          <w:bCs/>
          <w:sz w:val="22"/>
          <w:szCs w:val="22"/>
          <w:lang w:val="sr-Latn-ME"/>
        </w:rPr>
        <w:t>visokorizičnih</w:t>
      </w:r>
      <w:proofErr w:type="spellEnd"/>
      <w:r w:rsidRPr="00CF5F52">
        <w:rPr>
          <w:bCs/>
          <w:sz w:val="22"/>
          <w:szCs w:val="22"/>
          <w:lang w:val="sr-Latn-ME"/>
        </w:rPr>
        <w:t xml:space="preserve"> pacijenata dodatna prim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ena </w:t>
      </w:r>
      <w:proofErr w:type="spellStart"/>
      <w:r w:rsidRPr="00CF5F52">
        <w:rPr>
          <w:bCs/>
          <w:sz w:val="22"/>
          <w:szCs w:val="22"/>
          <w:lang w:val="sr-Latn-ME"/>
        </w:rPr>
        <w:t>bisfosfonata</w:t>
      </w:r>
      <w:proofErr w:type="spellEnd"/>
      <w:r w:rsidRPr="00CF5F52">
        <w:rPr>
          <w:bCs/>
          <w:sz w:val="22"/>
          <w:szCs w:val="22"/>
          <w:lang w:val="sr-Latn-ME"/>
        </w:rPr>
        <w:t xml:space="preserve"> može prevenirati </w:t>
      </w:r>
      <w:proofErr w:type="spellStart"/>
      <w:r w:rsidRPr="00CF5F52">
        <w:rPr>
          <w:bCs/>
          <w:sz w:val="22"/>
          <w:szCs w:val="22"/>
          <w:lang w:val="sr-Latn-ME"/>
        </w:rPr>
        <w:t>demineralizaciju</w:t>
      </w:r>
      <w:proofErr w:type="spellEnd"/>
      <w:r w:rsidRPr="00CF5F52">
        <w:rPr>
          <w:bCs/>
          <w:sz w:val="22"/>
          <w:szCs w:val="22"/>
          <w:lang w:val="sr-Latn-ME"/>
        </w:rPr>
        <w:t xml:space="preserve"> kostiju.</w:t>
      </w:r>
    </w:p>
    <w:p w14:paraId="482399F3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D5E8EE" w14:textId="28AD5841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lastRenderedPageBreak/>
        <w:t>Prom</w:t>
      </w:r>
      <w:r w:rsidR="00F96943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ene </w:t>
      </w:r>
      <w:proofErr w:type="spellStart"/>
      <w:r w:rsidRPr="00CF5F52">
        <w:rPr>
          <w:bCs/>
          <w:sz w:val="22"/>
          <w:szCs w:val="22"/>
          <w:lang w:val="sr-Latn-ME"/>
        </w:rPr>
        <w:t>glukozne</w:t>
      </w:r>
      <w:proofErr w:type="spellEnd"/>
      <w:r w:rsidRPr="00CF5F52">
        <w:rPr>
          <w:bCs/>
          <w:sz w:val="22"/>
          <w:szCs w:val="22"/>
          <w:lang w:val="sr-Latn-ME"/>
        </w:rPr>
        <w:t xml:space="preserve"> tolerancije su prijavljene kod nekih pacijenata koji su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ečeni </w:t>
      </w:r>
      <w:proofErr w:type="spellStart"/>
      <w:r w:rsidRPr="00CF5F52">
        <w:rPr>
          <w:bCs/>
          <w:sz w:val="22"/>
          <w:szCs w:val="22"/>
          <w:lang w:val="sr-Latn-ME"/>
        </w:rPr>
        <w:t>analozima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LHRH</w:t>
      </w:r>
      <w:proofErr w:type="spellEnd"/>
      <w:r w:rsidRPr="00CF5F52">
        <w:rPr>
          <w:bCs/>
          <w:sz w:val="22"/>
          <w:szCs w:val="22"/>
          <w:lang w:val="sr-Latn-ME"/>
        </w:rPr>
        <w:t>. Pacijenti sa dijabetesom se moraju pažljivo pratiti tokom terapije l</w:t>
      </w:r>
      <w:r w:rsidR="00F96943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ekom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Sandoz.</w:t>
      </w:r>
    </w:p>
    <w:p w14:paraId="6155AA48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E72725C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Androgena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deprivacija</w:t>
      </w:r>
      <w:proofErr w:type="spellEnd"/>
      <w:r w:rsidRPr="00CF5F52">
        <w:rPr>
          <w:bCs/>
          <w:sz w:val="22"/>
          <w:szCs w:val="22"/>
          <w:lang w:val="sr-Latn-ME"/>
        </w:rPr>
        <w:t xml:space="preserve"> može dovesti do produženja QT intervala.</w:t>
      </w:r>
    </w:p>
    <w:p w14:paraId="1F5091F3" w14:textId="77777777" w:rsidR="00FB433E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9A03F7" w14:textId="0F79193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Kod pacijenata sa istorijom bolesti ili sa faktorima rizika za produženje QT intervala i kod pacijenata koji istovremeno primaju l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ekove koji mogu da produže QT interval (vid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eti </w:t>
      </w:r>
      <w:r w:rsidR="004931D0" w:rsidRPr="00CF5F52">
        <w:rPr>
          <w:bCs/>
          <w:sz w:val="22"/>
          <w:szCs w:val="22"/>
          <w:lang w:val="sr-Latn-ME"/>
        </w:rPr>
        <w:t>dio</w:t>
      </w:r>
      <w:r w:rsidRPr="00CF5F52">
        <w:rPr>
          <w:bCs/>
          <w:sz w:val="22"/>
          <w:szCs w:val="22"/>
          <w:lang w:val="sr-Latn-ME"/>
        </w:rPr>
        <w:t xml:space="preserve"> 4.5), pr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 započinjanja terapije l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ekom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l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ekar mora da proc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eni odnos koristi i rizika, uključujući mogućnost nastanka </w:t>
      </w:r>
      <w:proofErr w:type="spellStart"/>
      <w:r w:rsidRPr="00CF5F52">
        <w:rPr>
          <w:bCs/>
          <w:i/>
          <w:sz w:val="22"/>
          <w:szCs w:val="22"/>
          <w:lang w:val="sr-Latn-ME"/>
        </w:rPr>
        <w:t>torsade</w:t>
      </w:r>
      <w:proofErr w:type="spellEnd"/>
      <w:r w:rsidRPr="00CF5F52">
        <w:rPr>
          <w:bCs/>
          <w:i/>
          <w:sz w:val="22"/>
          <w:szCs w:val="22"/>
          <w:lang w:val="sr-Latn-ME"/>
        </w:rPr>
        <w:t xml:space="preserve"> de </w:t>
      </w:r>
      <w:proofErr w:type="spellStart"/>
      <w:r w:rsidRPr="00CF5F52">
        <w:rPr>
          <w:bCs/>
          <w:i/>
          <w:sz w:val="22"/>
          <w:szCs w:val="22"/>
          <w:lang w:val="sr-Latn-ME"/>
        </w:rPr>
        <w:t>pointes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0AC5AFF0" w14:textId="77777777" w:rsidR="00FB433E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AA84565" w14:textId="77777777" w:rsidR="00FB433E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proofErr w:type="spellStart"/>
      <w:r w:rsidRPr="00CF5F52">
        <w:rPr>
          <w:bCs/>
          <w:i/>
          <w:iCs/>
          <w:sz w:val="22"/>
          <w:szCs w:val="22"/>
          <w:lang w:val="sr-Latn-ME"/>
        </w:rPr>
        <w:t>Idiopatska</w:t>
      </w:r>
      <w:proofErr w:type="spellEnd"/>
      <w:r w:rsidRPr="00CF5F52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i/>
          <w:iCs/>
          <w:sz w:val="22"/>
          <w:szCs w:val="22"/>
          <w:lang w:val="sr-Latn-ME"/>
        </w:rPr>
        <w:t>intrakranijalna</w:t>
      </w:r>
      <w:proofErr w:type="spellEnd"/>
      <w:r w:rsidRPr="00CF5F52">
        <w:rPr>
          <w:bCs/>
          <w:i/>
          <w:iCs/>
          <w:sz w:val="22"/>
          <w:szCs w:val="22"/>
          <w:lang w:val="sr-Latn-ME"/>
        </w:rPr>
        <w:t xml:space="preserve"> hipertenzija</w:t>
      </w:r>
    </w:p>
    <w:p w14:paraId="6A97250C" w14:textId="75FA2C82" w:rsidR="002B4C79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Idiopatska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intrakranijalna</w:t>
      </w:r>
      <w:proofErr w:type="spellEnd"/>
      <w:r w:rsidRPr="00CF5F52">
        <w:rPr>
          <w:bCs/>
          <w:sz w:val="22"/>
          <w:szCs w:val="22"/>
          <w:lang w:val="sr-Latn-ME"/>
        </w:rPr>
        <w:t xml:space="preserve"> hipertenzija (</w:t>
      </w:r>
      <w:proofErr w:type="spellStart"/>
      <w:r w:rsidRPr="00CF5F52">
        <w:rPr>
          <w:bCs/>
          <w:i/>
          <w:iCs/>
          <w:sz w:val="22"/>
          <w:szCs w:val="22"/>
          <w:lang w:val="sr-Latn-ME"/>
        </w:rPr>
        <w:t>pseudotumor</w:t>
      </w:r>
      <w:proofErr w:type="spellEnd"/>
      <w:r w:rsidRPr="00CF5F52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i/>
          <w:iCs/>
          <w:sz w:val="22"/>
          <w:szCs w:val="22"/>
          <w:lang w:val="sr-Latn-ME"/>
        </w:rPr>
        <w:t>cerebri</w:t>
      </w:r>
      <w:proofErr w:type="spellEnd"/>
      <w:r w:rsidRPr="00CF5F52">
        <w:rPr>
          <w:bCs/>
          <w:sz w:val="22"/>
          <w:szCs w:val="22"/>
          <w:lang w:val="sr-Latn-ME"/>
        </w:rPr>
        <w:t xml:space="preserve">) je prijavljena kod pacijenata koji su primali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. Pacijente treba upozoriti na znake i simptome </w:t>
      </w:r>
      <w:proofErr w:type="spellStart"/>
      <w:r w:rsidRPr="00CF5F52">
        <w:rPr>
          <w:bCs/>
          <w:sz w:val="22"/>
          <w:szCs w:val="22"/>
          <w:lang w:val="sr-Latn-ME"/>
        </w:rPr>
        <w:t>idiopatske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intrakranijalne</w:t>
      </w:r>
      <w:proofErr w:type="spellEnd"/>
      <w:r w:rsidRPr="00CF5F52">
        <w:rPr>
          <w:bCs/>
          <w:sz w:val="22"/>
          <w:szCs w:val="22"/>
          <w:lang w:val="sr-Latn-ME"/>
        </w:rPr>
        <w:t xml:space="preserve"> hipertenzije, </w:t>
      </w:r>
      <w:proofErr w:type="spellStart"/>
      <w:r w:rsidRPr="00CF5F52">
        <w:rPr>
          <w:bCs/>
          <w:sz w:val="22"/>
          <w:szCs w:val="22"/>
          <w:lang w:val="sr-Latn-ME"/>
        </w:rPr>
        <w:t>uključujući</w:t>
      </w:r>
      <w:proofErr w:type="spellEnd"/>
      <w:r w:rsidRPr="00CF5F52">
        <w:rPr>
          <w:bCs/>
          <w:sz w:val="22"/>
          <w:szCs w:val="22"/>
          <w:lang w:val="sr-Latn-ME"/>
        </w:rPr>
        <w:t xml:space="preserve"> tešku ili </w:t>
      </w:r>
      <w:proofErr w:type="spellStart"/>
      <w:r w:rsidRPr="00CF5F52">
        <w:rPr>
          <w:bCs/>
          <w:sz w:val="22"/>
          <w:szCs w:val="22"/>
          <w:lang w:val="sr-Latn-ME"/>
        </w:rPr>
        <w:t>ponavljajuću</w:t>
      </w:r>
      <w:proofErr w:type="spellEnd"/>
      <w:r w:rsidRPr="00CF5F52">
        <w:rPr>
          <w:bCs/>
          <w:sz w:val="22"/>
          <w:szCs w:val="22"/>
          <w:lang w:val="sr-Latn-ME"/>
        </w:rPr>
        <w:t xml:space="preserve"> glavobolju, </w:t>
      </w:r>
      <w:proofErr w:type="spellStart"/>
      <w:r w:rsidRPr="00CF5F52">
        <w:rPr>
          <w:bCs/>
          <w:sz w:val="22"/>
          <w:szCs w:val="22"/>
          <w:lang w:val="sr-Latn-ME"/>
        </w:rPr>
        <w:t>poremećaje</w:t>
      </w:r>
      <w:proofErr w:type="spellEnd"/>
      <w:r w:rsidRPr="00CF5F52">
        <w:rPr>
          <w:bCs/>
          <w:sz w:val="22"/>
          <w:szCs w:val="22"/>
          <w:lang w:val="sr-Latn-ME"/>
        </w:rPr>
        <w:t xml:space="preserve"> vida i </w:t>
      </w:r>
      <w:proofErr w:type="spellStart"/>
      <w:r w:rsidRPr="00CF5F52">
        <w:rPr>
          <w:bCs/>
          <w:sz w:val="22"/>
          <w:szCs w:val="22"/>
          <w:lang w:val="sr-Latn-ME"/>
        </w:rPr>
        <w:t>tinitus</w:t>
      </w:r>
      <w:proofErr w:type="spellEnd"/>
      <w:r w:rsidRPr="00CF5F52">
        <w:rPr>
          <w:bCs/>
          <w:sz w:val="22"/>
          <w:szCs w:val="22"/>
          <w:lang w:val="sr-Latn-ME"/>
        </w:rPr>
        <w:t xml:space="preserve">. Ako se pojavi </w:t>
      </w:r>
      <w:proofErr w:type="spellStart"/>
      <w:r w:rsidRPr="00CF5F52">
        <w:rPr>
          <w:bCs/>
          <w:sz w:val="22"/>
          <w:szCs w:val="22"/>
          <w:lang w:val="sr-Latn-ME"/>
        </w:rPr>
        <w:t>idiopatska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intrakranijalna</w:t>
      </w:r>
      <w:proofErr w:type="spellEnd"/>
      <w:r w:rsidRPr="00CF5F52">
        <w:rPr>
          <w:bCs/>
          <w:sz w:val="22"/>
          <w:szCs w:val="22"/>
          <w:lang w:val="sr-Latn-ME"/>
        </w:rPr>
        <w:t xml:space="preserve"> hipertenzija, treba razmotriti prekid terapije </w:t>
      </w:r>
      <w:proofErr w:type="spellStart"/>
      <w:r w:rsidRPr="00CF5F52">
        <w:rPr>
          <w:bCs/>
          <w:sz w:val="22"/>
          <w:szCs w:val="22"/>
          <w:lang w:val="sr-Latn-ME"/>
        </w:rPr>
        <w:t>leuprorelinom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710E9D87" w14:textId="77777777" w:rsidR="00FB433E" w:rsidRPr="00CF5F52" w:rsidRDefault="00FB433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752330" w14:textId="1E8C4509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Prim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ena l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može dovesti do pozitivnih nalaza pri doping kontroli. Prim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ena ovog l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 u svrhu dopinga može ugroziti zdravlje.</w:t>
      </w:r>
    </w:p>
    <w:p w14:paraId="0E5F4261" w14:textId="77777777" w:rsidR="00057E35" w:rsidRPr="00CF5F52" w:rsidRDefault="00057E35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8228D9" w14:textId="77777777" w:rsidR="00411B4B" w:rsidRPr="00CF5F52" w:rsidRDefault="00411B4B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>4.5.</w:t>
      </w:r>
      <w:r w:rsidR="000D60CC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7661414" w14:textId="7310D4ED" w:rsidR="0072020E" w:rsidRPr="00CF5F52" w:rsidRDefault="002B4C79" w:rsidP="00676BE4">
      <w:pPr>
        <w:tabs>
          <w:tab w:val="left" w:pos="2190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ab/>
      </w:r>
    </w:p>
    <w:p w14:paraId="16559653" w14:textId="3DA9C532" w:rsidR="00FB433E" w:rsidRPr="00CF5F52" w:rsidRDefault="00FB433E" w:rsidP="00676BE4">
      <w:pPr>
        <w:tabs>
          <w:tab w:val="left" w:pos="2190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Nijesu sprovedene studije interakcije.</w:t>
      </w:r>
    </w:p>
    <w:p w14:paraId="51948D38" w14:textId="77777777" w:rsidR="00FB433E" w:rsidRPr="00CF5F52" w:rsidRDefault="00FB433E" w:rsidP="00676BE4">
      <w:pPr>
        <w:tabs>
          <w:tab w:val="left" w:pos="2190"/>
        </w:tabs>
        <w:jc w:val="both"/>
        <w:rPr>
          <w:bCs/>
          <w:sz w:val="22"/>
          <w:szCs w:val="22"/>
          <w:lang w:val="sr-Latn-ME"/>
        </w:rPr>
      </w:pPr>
    </w:p>
    <w:p w14:paraId="1F0DCF1A" w14:textId="6F1FEBE8" w:rsidR="002B4C79" w:rsidRPr="00CF5F52" w:rsidRDefault="002B4C79" w:rsidP="00676BE4">
      <w:pPr>
        <w:tabs>
          <w:tab w:val="left" w:pos="2190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S obzirom da </w:t>
      </w:r>
      <w:proofErr w:type="spellStart"/>
      <w:r w:rsidRPr="00CF5F52">
        <w:rPr>
          <w:bCs/>
          <w:sz w:val="22"/>
          <w:szCs w:val="22"/>
          <w:lang w:val="sr-Latn-ME"/>
        </w:rPr>
        <w:t>androgena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deprivacija</w:t>
      </w:r>
      <w:proofErr w:type="spellEnd"/>
      <w:r w:rsidRPr="00CF5F52">
        <w:rPr>
          <w:bCs/>
          <w:sz w:val="22"/>
          <w:szCs w:val="22"/>
          <w:lang w:val="sr-Latn-ME"/>
        </w:rPr>
        <w:t xml:space="preserve"> može dovesti do produženja QT intervala, potrebno je pažljivo razmotriti istovremenu prim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enu l</w:t>
      </w:r>
      <w:r w:rsidR="004931D0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sa l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ekovima za koje se zna da produžavaju QT interval ili l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ekovima koji mogu da indukuju </w:t>
      </w:r>
      <w:proofErr w:type="spellStart"/>
      <w:r w:rsidRPr="00CF5F52">
        <w:rPr>
          <w:bCs/>
          <w:i/>
          <w:sz w:val="22"/>
          <w:szCs w:val="22"/>
          <w:lang w:val="sr-Latn-ME"/>
        </w:rPr>
        <w:t>torsade</w:t>
      </w:r>
      <w:proofErr w:type="spellEnd"/>
      <w:r w:rsidRPr="00CF5F52">
        <w:rPr>
          <w:bCs/>
          <w:i/>
          <w:sz w:val="22"/>
          <w:szCs w:val="22"/>
          <w:lang w:val="sr-Latn-ME"/>
        </w:rPr>
        <w:t xml:space="preserve"> de </w:t>
      </w:r>
      <w:proofErr w:type="spellStart"/>
      <w:r w:rsidRPr="00CF5F52">
        <w:rPr>
          <w:bCs/>
          <w:i/>
          <w:sz w:val="22"/>
          <w:szCs w:val="22"/>
          <w:lang w:val="sr-Latn-ME"/>
        </w:rPr>
        <w:t>pointes</w:t>
      </w:r>
      <w:proofErr w:type="spellEnd"/>
      <w:r w:rsidRPr="00CF5F52">
        <w:rPr>
          <w:bCs/>
          <w:i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kao što su </w:t>
      </w:r>
      <w:proofErr w:type="spellStart"/>
      <w:r w:rsidRPr="00CF5F52">
        <w:rPr>
          <w:bCs/>
          <w:sz w:val="22"/>
          <w:szCs w:val="22"/>
          <w:lang w:val="sr-Latn-ME"/>
        </w:rPr>
        <w:t>antiaritmici</w:t>
      </w:r>
      <w:proofErr w:type="spellEnd"/>
      <w:r w:rsidRPr="00CF5F52">
        <w:rPr>
          <w:bCs/>
          <w:sz w:val="22"/>
          <w:szCs w:val="22"/>
          <w:lang w:val="sr-Latn-ME"/>
        </w:rPr>
        <w:t xml:space="preserve"> klase </w:t>
      </w:r>
      <w:proofErr w:type="spellStart"/>
      <w:r w:rsidRPr="00CF5F52">
        <w:rPr>
          <w:bCs/>
          <w:sz w:val="22"/>
          <w:szCs w:val="22"/>
          <w:lang w:val="sr-Latn-ME"/>
        </w:rPr>
        <w:t>IA</w:t>
      </w:r>
      <w:proofErr w:type="spellEnd"/>
      <w:r w:rsidRPr="00CF5F52">
        <w:rPr>
          <w:bCs/>
          <w:sz w:val="22"/>
          <w:szCs w:val="22"/>
          <w:lang w:val="sr-Latn-ME"/>
        </w:rPr>
        <w:t xml:space="preserve"> (npr. </w:t>
      </w:r>
      <w:proofErr w:type="spellStart"/>
      <w:r w:rsidRPr="00CF5F52">
        <w:rPr>
          <w:bCs/>
          <w:sz w:val="22"/>
          <w:szCs w:val="22"/>
          <w:lang w:val="sr-Latn-ME"/>
        </w:rPr>
        <w:t>hinidin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dizopiramid</w:t>
      </w:r>
      <w:proofErr w:type="spellEnd"/>
      <w:r w:rsidRPr="00CF5F52">
        <w:rPr>
          <w:bCs/>
          <w:sz w:val="22"/>
          <w:szCs w:val="22"/>
          <w:lang w:val="sr-Latn-ME"/>
        </w:rPr>
        <w:t xml:space="preserve">) ili </w:t>
      </w:r>
      <w:proofErr w:type="spellStart"/>
      <w:r w:rsidR="00FB433E" w:rsidRPr="00CF5F52">
        <w:rPr>
          <w:bCs/>
          <w:sz w:val="22"/>
          <w:szCs w:val="22"/>
          <w:lang w:val="sr-Latn-ME"/>
        </w:rPr>
        <w:t>antiaritmici</w:t>
      </w:r>
      <w:proofErr w:type="spellEnd"/>
      <w:r w:rsidR="00FB433E" w:rsidRPr="00CF5F52">
        <w:rPr>
          <w:bCs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klase III (npr. </w:t>
      </w:r>
      <w:proofErr w:type="spellStart"/>
      <w:r w:rsidRPr="00CF5F52">
        <w:rPr>
          <w:bCs/>
          <w:sz w:val="22"/>
          <w:szCs w:val="22"/>
          <w:lang w:val="sr-Latn-ME"/>
        </w:rPr>
        <w:t>amjodaron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sotalol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dofetilid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ibutilid</w:t>
      </w:r>
      <w:proofErr w:type="spellEnd"/>
      <w:r w:rsidRPr="00CF5F52">
        <w:rPr>
          <w:bCs/>
          <w:sz w:val="22"/>
          <w:szCs w:val="22"/>
          <w:lang w:val="sr-Latn-ME"/>
        </w:rPr>
        <w:t xml:space="preserve">), </w:t>
      </w:r>
      <w:proofErr w:type="spellStart"/>
      <w:r w:rsidRPr="00CF5F52">
        <w:rPr>
          <w:bCs/>
          <w:sz w:val="22"/>
          <w:szCs w:val="22"/>
          <w:lang w:val="sr-Latn-ME"/>
        </w:rPr>
        <w:t>metadon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moksifloksacin</w:t>
      </w:r>
      <w:proofErr w:type="spellEnd"/>
      <w:r w:rsidRPr="00CF5F52">
        <w:rPr>
          <w:bCs/>
          <w:sz w:val="22"/>
          <w:szCs w:val="22"/>
          <w:lang w:val="sr-Latn-ME"/>
        </w:rPr>
        <w:t xml:space="preserve">, </w:t>
      </w:r>
      <w:proofErr w:type="spellStart"/>
      <w:r w:rsidRPr="00CF5F52">
        <w:rPr>
          <w:bCs/>
          <w:sz w:val="22"/>
          <w:szCs w:val="22"/>
          <w:lang w:val="sr-Latn-ME"/>
        </w:rPr>
        <w:t>antipsihotici</w:t>
      </w:r>
      <w:proofErr w:type="spellEnd"/>
      <w:r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Pr="00CF5F52">
        <w:rPr>
          <w:bCs/>
          <w:sz w:val="22"/>
          <w:szCs w:val="22"/>
          <w:lang w:val="sr-Latn-ME"/>
        </w:rPr>
        <w:t>itd</w:t>
      </w:r>
      <w:proofErr w:type="spellEnd"/>
      <w:r w:rsidRPr="00CF5F52">
        <w:rPr>
          <w:bCs/>
          <w:sz w:val="22"/>
          <w:szCs w:val="22"/>
          <w:lang w:val="sr-Latn-ME"/>
        </w:rPr>
        <w:t xml:space="preserve"> (vid</w:t>
      </w:r>
      <w:r w:rsidR="004931D0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eti </w:t>
      </w:r>
      <w:r w:rsidR="004931D0" w:rsidRPr="00CF5F52">
        <w:rPr>
          <w:bCs/>
          <w:sz w:val="22"/>
          <w:szCs w:val="22"/>
          <w:lang w:val="sr-Latn-ME"/>
        </w:rPr>
        <w:t>dio</w:t>
      </w:r>
      <w:r w:rsidRPr="00CF5F52">
        <w:rPr>
          <w:bCs/>
          <w:sz w:val="22"/>
          <w:szCs w:val="22"/>
          <w:lang w:val="sr-Latn-ME"/>
        </w:rPr>
        <w:t xml:space="preserve"> 4.4).</w:t>
      </w:r>
    </w:p>
    <w:p w14:paraId="6F06E526" w14:textId="77777777" w:rsidR="002B4C79" w:rsidRPr="00CF5F52" w:rsidRDefault="002B4C79" w:rsidP="00676BE4">
      <w:pPr>
        <w:tabs>
          <w:tab w:val="left" w:pos="2190"/>
        </w:tabs>
        <w:jc w:val="both"/>
        <w:rPr>
          <w:bCs/>
          <w:sz w:val="22"/>
          <w:szCs w:val="22"/>
          <w:lang w:val="sr-Latn-ME"/>
        </w:rPr>
      </w:pPr>
    </w:p>
    <w:p w14:paraId="021D17DD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4.6.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="006D20A5" w:rsidRPr="00CF5F52">
        <w:rPr>
          <w:b/>
          <w:sz w:val="22"/>
          <w:szCs w:val="22"/>
          <w:lang w:val="sr-Latn-ME"/>
        </w:rPr>
        <w:t>Plodnost, trudnoća i dojenje</w:t>
      </w:r>
    </w:p>
    <w:p w14:paraId="31292F89" w14:textId="77777777" w:rsidR="002031B3" w:rsidRPr="00CF5F52" w:rsidRDefault="002031B3" w:rsidP="00676BE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4F6AC328" w14:textId="4E514591" w:rsidR="00227BDB" w:rsidRPr="00CF5F52" w:rsidRDefault="002B4C79" w:rsidP="00676BE4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je nam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enjen samo za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enu kod muškaraca.</w:t>
      </w:r>
    </w:p>
    <w:p w14:paraId="4CD502BB" w14:textId="77777777" w:rsidR="002B4C79" w:rsidRPr="00CF5F52" w:rsidRDefault="002B4C79" w:rsidP="00676BE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DCDAAE0" w14:textId="77777777" w:rsidR="0072020E" w:rsidRPr="00CF5F52" w:rsidRDefault="0072020E" w:rsidP="00676BE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4.7.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 xml:space="preserve">Uticaj na </w:t>
      </w:r>
      <w:r w:rsidR="002031B3" w:rsidRPr="00CF5F5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CF5F52">
        <w:rPr>
          <w:b/>
          <w:bCs/>
          <w:sz w:val="22"/>
          <w:szCs w:val="22"/>
          <w:lang w:val="sr-Latn-ME"/>
        </w:rPr>
        <w:t>upravljanja vozili</w:t>
      </w:r>
      <w:r w:rsidRPr="00CF5F52">
        <w:rPr>
          <w:b/>
          <w:bCs/>
          <w:sz w:val="22"/>
          <w:szCs w:val="22"/>
          <w:lang w:val="sr-Latn-ME"/>
        </w:rPr>
        <w:t>m</w:t>
      </w:r>
      <w:r w:rsidR="00F34554" w:rsidRPr="00CF5F52">
        <w:rPr>
          <w:b/>
          <w:bCs/>
          <w:sz w:val="22"/>
          <w:szCs w:val="22"/>
          <w:lang w:val="sr-Latn-ME"/>
        </w:rPr>
        <w:t>a</w:t>
      </w:r>
      <w:r w:rsidRPr="00CF5F52">
        <w:rPr>
          <w:b/>
          <w:bCs/>
          <w:sz w:val="22"/>
          <w:szCs w:val="22"/>
          <w:lang w:val="sr-Latn-ME"/>
        </w:rPr>
        <w:t xml:space="preserve"> i </w:t>
      </w:r>
      <w:r w:rsidR="000D3449" w:rsidRPr="00CF5F52">
        <w:rPr>
          <w:b/>
          <w:bCs/>
          <w:sz w:val="22"/>
          <w:szCs w:val="22"/>
          <w:lang w:val="sr-Latn-ME"/>
        </w:rPr>
        <w:t xml:space="preserve">rukovanje </w:t>
      </w:r>
      <w:r w:rsidRPr="00CF5F52">
        <w:rPr>
          <w:b/>
          <w:bCs/>
          <w:sz w:val="22"/>
          <w:szCs w:val="22"/>
          <w:lang w:val="sr-Latn-ME"/>
        </w:rPr>
        <w:t>mašinama</w:t>
      </w:r>
    </w:p>
    <w:p w14:paraId="662128F1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819C777" w14:textId="06DB848D" w:rsidR="00F72823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Ovaj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ek može prom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eniti </w:t>
      </w:r>
      <w:proofErr w:type="spellStart"/>
      <w:r w:rsidRPr="00CF5F52">
        <w:rPr>
          <w:sz w:val="22"/>
          <w:szCs w:val="22"/>
          <w:lang w:val="sr-Latn-ME"/>
        </w:rPr>
        <w:t>reaktivnost</w:t>
      </w:r>
      <w:proofErr w:type="spellEnd"/>
      <w:r w:rsidRPr="00CF5F52">
        <w:rPr>
          <w:sz w:val="22"/>
          <w:szCs w:val="22"/>
          <w:lang w:val="sr-Latn-ME"/>
        </w:rPr>
        <w:t xml:space="preserve"> u takvom stepenu, čak i kada se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enjuje kako je pr</w:t>
      </w:r>
      <w:r w:rsidR="00615143" w:rsidRPr="00CF5F52">
        <w:rPr>
          <w:sz w:val="22"/>
          <w:szCs w:val="22"/>
          <w:lang w:val="sr-Latn-ME"/>
        </w:rPr>
        <w:t>e</w:t>
      </w:r>
      <w:r w:rsidRPr="00CF5F52">
        <w:rPr>
          <w:sz w:val="22"/>
          <w:szCs w:val="22"/>
          <w:lang w:val="sr-Latn-ME"/>
        </w:rPr>
        <w:t xml:space="preserve">poručeno, da dovodi do smanjene sposobnosti upravljanja vozilima i rukovanja mašinama. Ovo se javlja zbog zamora koji se javlja kod nekih pacijenata, posebno na početku terapije, a koji takođe može biti uzrokovan postojećim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17CC412D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Simptomi su još izraženiji ako se konzumira alkohol.</w:t>
      </w:r>
    </w:p>
    <w:p w14:paraId="72ACF48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2C9007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4.8.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Neželjena dejstva</w:t>
      </w:r>
    </w:p>
    <w:p w14:paraId="7A5BDE83" w14:textId="77777777" w:rsidR="00F72823" w:rsidRDefault="00F72823" w:rsidP="00676BE4">
      <w:pPr>
        <w:widowControl w:val="0"/>
        <w:autoSpaceDE w:val="0"/>
        <w:autoSpaceDN w:val="0"/>
        <w:ind w:right="231"/>
        <w:jc w:val="both"/>
        <w:rPr>
          <w:sz w:val="22"/>
          <w:szCs w:val="22"/>
          <w:lang w:val="sr-Latn-ME"/>
        </w:rPr>
      </w:pPr>
    </w:p>
    <w:p w14:paraId="2FA3F721" w14:textId="76677762" w:rsidR="002A482C" w:rsidRPr="00CF5F52" w:rsidRDefault="002B4C79" w:rsidP="00676BE4">
      <w:pPr>
        <w:widowControl w:val="0"/>
        <w:autoSpaceDE w:val="0"/>
        <w:autoSpaceDN w:val="0"/>
        <w:ind w:right="231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Inicijalno se normalno javlja kratkotrajni porast koncentracije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u serumu, što može privremeno</w:t>
      </w:r>
      <w:r w:rsidR="004931D0" w:rsidRPr="00CF5F52">
        <w:rPr>
          <w:spacing w:val="80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da dovede do pogoršanja određenih simptoma bolesti (bol u kostima ili jači bol u kostima, opstrukcija </w:t>
      </w:r>
      <w:proofErr w:type="spellStart"/>
      <w:r w:rsidRPr="00CF5F52">
        <w:rPr>
          <w:sz w:val="22"/>
          <w:szCs w:val="22"/>
          <w:lang w:val="sr-Latn-ME"/>
        </w:rPr>
        <w:t>urinarnog</w:t>
      </w:r>
      <w:proofErr w:type="spellEnd"/>
      <w:r w:rsidRPr="00CF5F52">
        <w:rPr>
          <w:sz w:val="22"/>
          <w:szCs w:val="22"/>
          <w:lang w:val="sr-Latn-ME"/>
        </w:rPr>
        <w:t xml:space="preserve"> trakta i posl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edice, kompresija kičmene moždine, mišićna slabost u nogama, limfatični </w:t>
      </w:r>
      <w:proofErr w:type="spellStart"/>
      <w:r w:rsidRPr="00CF5F52">
        <w:rPr>
          <w:sz w:val="22"/>
          <w:szCs w:val="22"/>
          <w:lang w:val="sr-Latn-ME"/>
        </w:rPr>
        <w:t>edem</w:t>
      </w:r>
      <w:proofErr w:type="spellEnd"/>
      <w:r w:rsidRPr="00CF5F52">
        <w:rPr>
          <w:sz w:val="22"/>
          <w:szCs w:val="22"/>
          <w:lang w:val="sr-Latn-ME"/>
        </w:rPr>
        <w:t>). Ovo pogoršanje simptoma normalno se povlači spontano bez prekida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Sandoz.</w:t>
      </w:r>
    </w:p>
    <w:p w14:paraId="56F03489" w14:textId="11BF69B6" w:rsidR="002A482C" w:rsidRDefault="002B4C79" w:rsidP="00F72823">
      <w:pPr>
        <w:widowControl w:val="0"/>
        <w:autoSpaceDE w:val="0"/>
        <w:autoSpaceDN w:val="0"/>
        <w:ind w:right="231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Neželjena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dejstva</w:t>
      </w:r>
      <w:r w:rsidRPr="00CF5F52">
        <w:rPr>
          <w:spacing w:val="-1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2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mogu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javiti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kao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posl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edica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nedostatka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polnih</w:t>
      </w:r>
      <w:r w:rsidR="002A482C"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hormona.</w:t>
      </w:r>
    </w:p>
    <w:p w14:paraId="77472FE6" w14:textId="77777777" w:rsidR="00F72823" w:rsidRPr="00F72823" w:rsidRDefault="00F72823" w:rsidP="00F72823">
      <w:pPr>
        <w:widowControl w:val="0"/>
        <w:autoSpaceDE w:val="0"/>
        <w:autoSpaceDN w:val="0"/>
        <w:ind w:right="231"/>
        <w:jc w:val="both"/>
        <w:rPr>
          <w:sz w:val="22"/>
          <w:szCs w:val="22"/>
          <w:lang w:val="sr-Latn-ME"/>
        </w:rPr>
      </w:pPr>
    </w:p>
    <w:p w14:paraId="1978A21E" w14:textId="0790BEB1" w:rsidR="002B4C79" w:rsidRPr="00CF5F52" w:rsidRDefault="002B4C79" w:rsidP="00676BE4">
      <w:pPr>
        <w:widowControl w:val="0"/>
        <w:autoSpaceDE w:val="0"/>
        <w:autoSpaceDN w:val="0"/>
        <w:spacing w:line="482" w:lineRule="auto"/>
        <w:ind w:right="2470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u w:val="single"/>
          <w:lang w:val="sr-Latn-ME"/>
        </w:rPr>
        <w:t>Tabelarni prikaz neželjenih reakcija</w:t>
      </w:r>
    </w:p>
    <w:p w14:paraId="43F0119F" w14:textId="77777777" w:rsidR="002B4C79" w:rsidRPr="00CF5F52" w:rsidRDefault="002B4C79" w:rsidP="00676BE4">
      <w:pPr>
        <w:widowControl w:val="0"/>
        <w:autoSpaceDE w:val="0"/>
        <w:autoSpaceDN w:val="0"/>
        <w:spacing w:line="249" w:lineRule="exact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Neželjena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dejstva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su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navedena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prema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klasi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sistema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organa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i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MedDRA</w:t>
      </w:r>
      <w:proofErr w:type="spellEnd"/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konvenciji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o</w:t>
      </w:r>
      <w:r w:rsidRPr="00CF5F52">
        <w:rPr>
          <w:spacing w:val="-7"/>
          <w:sz w:val="22"/>
          <w:szCs w:val="22"/>
          <w:lang w:val="sr-Latn-ME"/>
        </w:rPr>
        <w:t xml:space="preserve"> </w:t>
      </w:r>
      <w:r w:rsidRPr="00CF5F52">
        <w:rPr>
          <w:spacing w:val="-2"/>
          <w:sz w:val="22"/>
          <w:szCs w:val="22"/>
          <w:lang w:val="sr-Latn-ME"/>
        </w:rPr>
        <w:t>učestalosti:</w:t>
      </w:r>
    </w:p>
    <w:p w14:paraId="347ABFF2" w14:textId="77777777" w:rsidR="002A482C" w:rsidRPr="00CF5F52" w:rsidRDefault="002A482C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</w:p>
    <w:p w14:paraId="196B483D" w14:textId="1B841087" w:rsidR="002A482C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veoma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pacing w:val="-2"/>
          <w:sz w:val="22"/>
          <w:szCs w:val="22"/>
          <w:lang w:val="sr-Latn-ME"/>
        </w:rPr>
        <w:t>često</w:t>
      </w:r>
      <w:r w:rsidRPr="00CF5F52">
        <w:rPr>
          <w:sz w:val="22"/>
          <w:szCs w:val="22"/>
          <w:lang w:val="sr-Latn-ME"/>
        </w:rPr>
        <w:tab/>
      </w:r>
      <w:r w:rsidRPr="00CF5F52">
        <w:rPr>
          <w:spacing w:val="-2"/>
          <w:sz w:val="22"/>
          <w:szCs w:val="22"/>
          <w:lang w:val="sr-Latn-ME"/>
        </w:rPr>
        <w:t>≥1/10</w:t>
      </w:r>
    </w:p>
    <w:p w14:paraId="125916C5" w14:textId="77777777" w:rsidR="002A482C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CF5F52">
        <w:rPr>
          <w:spacing w:val="-2"/>
          <w:sz w:val="22"/>
          <w:szCs w:val="22"/>
          <w:lang w:val="sr-Latn-ME"/>
        </w:rPr>
        <w:t>često</w:t>
      </w:r>
      <w:r w:rsidRPr="00CF5F52">
        <w:rPr>
          <w:sz w:val="22"/>
          <w:szCs w:val="22"/>
          <w:lang w:val="sr-Latn-ME"/>
        </w:rPr>
        <w:tab/>
        <w:t>≥1/100</w:t>
      </w:r>
      <w:r w:rsidR="002A482C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do &lt;1/10 </w:t>
      </w:r>
    </w:p>
    <w:p w14:paraId="539B8339" w14:textId="77777777" w:rsidR="002A482C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CF5F52">
        <w:rPr>
          <w:spacing w:val="-2"/>
          <w:sz w:val="22"/>
          <w:szCs w:val="22"/>
          <w:lang w:val="sr-Latn-ME"/>
        </w:rPr>
        <w:t>povremeno</w:t>
      </w:r>
      <w:r w:rsidRPr="00CF5F52">
        <w:rPr>
          <w:sz w:val="22"/>
          <w:szCs w:val="22"/>
          <w:lang w:val="sr-Latn-ME"/>
        </w:rPr>
        <w:tab/>
        <w:t xml:space="preserve">≥1/1000 do &lt;1/100 </w:t>
      </w:r>
    </w:p>
    <w:p w14:paraId="4F148C9A" w14:textId="77777777" w:rsidR="002A482C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CF5F52">
        <w:rPr>
          <w:spacing w:val="-2"/>
          <w:sz w:val="22"/>
          <w:szCs w:val="22"/>
          <w:lang w:val="sr-Latn-ME"/>
        </w:rPr>
        <w:lastRenderedPageBreak/>
        <w:t>r</w:t>
      </w:r>
      <w:r w:rsidR="004931D0" w:rsidRPr="00CF5F52">
        <w:rPr>
          <w:spacing w:val="-2"/>
          <w:sz w:val="22"/>
          <w:szCs w:val="22"/>
          <w:lang w:val="sr-Latn-ME"/>
        </w:rPr>
        <w:t>ij</w:t>
      </w:r>
      <w:r w:rsidRPr="00CF5F52">
        <w:rPr>
          <w:spacing w:val="-2"/>
          <w:sz w:val="22"/>
          <w:szCs w:val="22"/>
          <w:lang w:val="sr-Latn-ME"/>
        </w:rPr>
        <w:t>etko</w:t>
      </w:r>
      <w:r w:rsidRPr="00CF5F52">
        <w:rPr>
          <w:sz w:val="22"/>
          <w:szCs w:val="22"/>
          <w:lang w:val="sr-Latn-ME"/>
        </w:rPr>
        <w:tab/>
        <w:t>≥1/10000</w:t>
      </w:r>
      <w:r w:rsidRPr="00CF5F52">
        <w:rPr>
          <w:spacing w:val="-1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do</w:t>
      </w:r>
      <w:r w:rsidRPr="00CF5F52">
        <w:rPr>
          <w:spacing w:val="-1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&lt;1/1000 </w:t>
      </w:r>
    </w:p>
    <w:p w14:paraId="4D8667BE" w14:textId="1005F1A9" w:rsidR="002B4C79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veoma 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etko</w:t>
      </w:r>
      <w:r w:rsidRPr="00CF5F52">
        <w:rPr>
          <w:sz w:val="22"/>
          <w:szCs w:val="22"/>
          <w:lang w:val="sr-Latn-ME"/>
        </w:rPr>
        <w:tab/>
      </w:r>
      <w:r w:rsidRPr="00CF5F52">
        <w:rPr>
          <w:spacing w:val="-2"/>
          <w:sz w:val="22"/>
          <w:szCs w:val="22"/>
          <w:lang w:val="sr-Latn-ME"/>
        </w:rPr>
        <w:t>&lt;1/10000</w:t>
      </w:r>
    </w:p>
    <w:p w14:paraId="3846CCC6" w14:textId="6262D03A" w:rsidR="002B4C79" w:rsidRPr="00CF5F52" w:rsidRDefault="002B4C79" w:rsidP="00676BE4">
      <w:pPr>
        <w:widowControl w:val="0"/>
        <w:tabs>
          <w:tab w:val="left" w:pos="1672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F5F52">
        <w:rPr>
          <w:spacing w:val="-2"/>
          <w:sz w:val="22"/>
          <w:szCs w:val="22"/>
          <w:lang w:val="sr-Latn-ME"/>
        </w:rPr>
        <w:t>nepoznato</w:t>
      </w:r>
      <w:r w:rsidRPr="00CF5F52">
        <w:rPr>
          <w:sz w:val="22"/>
          <w:szCs w:val="22"/>
          <w:lang w:val="sr-Latn-ME"/>
        </w:rPr>
        <w:tab/>
        <w:t>ne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može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se</w:t>
      </w:r>
      <w:r w:rsidRPr="00CF5F52">
        <w:rPr>
          <w:spacing w:val="-6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proc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eniti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na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osnovu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dostupnih</w:t>
      </w:r>
      <w:r w:rsidRPr="00CF5F52">
        <w:rPr>
          <w:spacing w:val="-5"/>
          <w:sz w:val="22"/>
          <w:szCs w:val="22"/>
          <w:lang w:val="sr-Latn-ME"/>
        </w:rPr>
        <w:t xml:space="preserve"> </w:t>
      </w:r>
      <w:r w:rsidRPr="00CF5F52">
        <w:rPr>
          <w:spacing w:val="-2"/>
          <w:sz w:val="22"/>
          <w:szCs w:val="22"/>
          <w:lang w:val="sr-Latn-ME"/>
        </w:rPr>
        <w:t>podataka.</w:t>
      </w:r>
    </w:p>
    <w:p w14:paraId="0F2A9F39" w14:textId="77777777" w:rsidR="002B4C79" w:rsidRPr="00CF5F52" w:rsidRDefault="002B4C79" w:rsidP="00676B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335"/>
        <w:gridCol w:w="1521"/>
        <w:gridCol w:w="1418"/>
        <w:gridCol w:w="1417"/>
        <w:gridCol w:w="1134"/>
        <w:gridCol w:w="1134"/>
      </w:tblGrid>
      <w:tr w:rsidR="002B4C79" w:rsidRPr="00CF5F52" w14:paraId="14E58590" w14:textId="77777777" w:rsidTr="00F72823">
        <w:trPr>
          <w:trHeight w:val="503"/>
        </w:trPr>
        <w:tc>
          <w:tcPr>
            <w:tcW w:w="1822" w:type="dxa"/>
          </w:tcPr>
          <w:p w14:paraId="712B18A2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35" w:type="dxa"/>
          </w:tcPr>
          <w:p w14:paraId="1D5CF145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09" w:right="556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4"/>
                <w:sz w:val="22"/>
                <w:szCs w:val="22"/>
                <w:lang w:val="sr-Latn-ME"/>
              </w:rPr>
              <w:t xml:space="preserve">Veoma 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521" w:type="dxa"/>
          </w:tcPr>
          <w:p w14:paraId="11A0A5A2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09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418" w:type="dxa"/>
          </w:tcPr>
          <w:p w14:paraId="5AFEE8DA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08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417" w:type="dxa"/>
          </w:tcPr>
          <w:p w14:paraId="0037EB76" w14:textId="3A16CB3E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08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R</w:t>
            </w:r>
            <w:r w:rsidR="004931D0" w:rsidRPr="00CF5F52">
              <w:rPr>
                <w:b/>
                <w:spacing w:val="-2"/>
                <w:sz w:val="22"/>
                <w:szCs w:val="22"/>
                <w:lang w:val="sr-Latn-ME"/>
              </w:rPr>
              <w:t>ij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134" w:type="dxa"/>
          </w:tcPr>
          <w:p w14:paraId="7C50AF6F" w14:textId="1DEC535C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08" w:right="360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4"/>
                <w:sz w:val="22"/>
                <w:szCs w:val="22"/>
                <w:lang w:val="sr-Latn-ME"/>
              </w:rPr>
              <w:t xml:space="preserve">Veoma 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r</w:t>
            </w:r>
            <w:r w:rsidR="004931D0" w:rsidRPr="00CF5F52">
              <w:rPr>
                <w:b/>
                <w:spacing w:val="-2"/>
                <w:sz w:val="22"/>
                <w:szCs w:val="22"/>
                <w:lang w:val="sr-Latn-ME"/>
              </w:rPr>
              <w:t>ij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etko</w:t>
            </w:r>
          </w:p>
        </w:tc>
        <w:tc>
          <w:tcPr>
            <w:tcW w:w="1134" w:type="dxa"/>
          </w:tcPr>
          <w:p w14:paraId="3E671D8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07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Nepoznato</w:t>
            </w:r>
          </w:p>
        </w:tc>
      </w:tr>
      <w:tr w:rsidR="002B4C79" w:rsidRPr="00CF5F52" w14:paraId="3E7549FF" w14:textId="77777777" w:rsidTr="00F72823">
        <w:trPr>
          <w:trHeight w:val="1770"/>
        </w:trPr>
        <w:tc>
          <w:tcPr>
            <w:tcW w:w="1822" w:type="dxa"/>
          </w:tcPr>
          <w:p w14:paraId="4441A8E6" w14:textId="36DB4C7C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10" w:right="507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1335" w:type="dxa"/>
          </w:tcPr>
          <w:p w14:paraId="25F95340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68FB93F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16686325" w14:textId="33A85BE0" w:rsidR="002B4C79" w:rsidRPr="00CF5F52" w:rsidRDefault="002B4C79" w:rsidP="00676BE4">
            <w:pPr>
              <w:widowControl w:val="0"/>
              <w:autoSpaceDE w:val="0"/>
              <w:autoSpaceDN w:val="0"/>
              <w:ind w:left="108" w:right="131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generalizov</w:t>
            </w:r>
            <w:r w:rsidR="004931D0" w:rsidRPr="00CF5F52">
              <w:rPr>
                <w:spacing w:val="-2"/>
                <w:sz w:val="22"/>
                <w:szCs w:val="22"/>
                <w:lang w:val="sr-Latn-ME"/>
              </w:rPr>
              <w:t>a</w:t>
            </w:r>
            <w:r w:rsidRPr="00CF5F52">
              <w:rPr>
                <w:sz w:val="22"/>
                <w:szCs w:val="22"/>
                <w:lang w:val="sr-Latn-ME"/>
              </w:rPr>
              <w:t>ne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alergijske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reakcije (groznica, svrab,</w:t>
            </w:r>
          </w:p>
          <w:p w14:paraId="3DB031F2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08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eozinofilija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, </w:t>
            </w:r>
            <w:r w:rsidRPr="00CF5F52">
              <w:rPr>
                <w:sz w:val="22"/>
                <w:szCs w:val="22"/>
                <w:lang w:val="sr-Latn-ME"/>
              </w:rPr>
              <w:t>kožni osip)</w:t>
            </w:r>
          </w:p>
        </w:tc>
        <w:tc>
          <w:tcPr>
            <w:tcW w:w="1417" w:type="dxa"/>
          </w:tcPr>
          <w:p w14:paraId="2B78F0E6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8" w:right="120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anafilaktičk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e reakcije</w:t>
            </w:r>
          </w:p>
        </w:tc>
        <w:tc>
          <w:tcPr>
            <w:tcW w:w="1134" w:type="dxa"/>
          </w:tcPr>
          <w:p w14:paraId="59BE752E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7AA24671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7967FAD3" w14:textId="77777777" w:rsidTr="00F72823">
        <w:trPr>
          <w:trHeight w:val="2529"/>
        </w:trPr>
        <w:tc>
          <w:tcPr>
            <w:tcW w:w="1822" w:type="dxa"/>
          </w:tcPr>
          <w:p w14:paraId="34A499AC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10" w:right="238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Poremećaji </w:t>
            </w:r>
            <w:r w:rsidRPr="00CF5F52">
              <w:rPr>
                <w:b/>
                <w:sz w:val="22"/>
                <w:szCs w:val="22"/>
                <w:lang w:val="sr-Latn-ME"/>
              </w:rPr>
              <w:t>metabolizma</w:t>
            </w:r>
            <w:r w:rsidRPr="00CF5F52">
              <w:rPr>
                <w:b/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b/>
                <w:sz w:val="22"/>
                <w:szCs w:val="22"/>
                <w:lang w:val="sr-Latn-ME"/>
              </w:rPr>
              <w:t xml:space="preserve">i 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1335" w:type="dxa"/>
          </w:tcPr>
          <w:p w14:paraId="29A833C0" w14:textId="49B1242F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9" w:right="599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34D6258B" w14:textId="1E1E8676" w:rsidR="002B4C79" w:rsidRPr="00CF5F52" w:rsidRDefault="002B4C79" w:rsidP="00676BE4">
            <w:pPr>
              <w:widowControl w:val="0"/>
              <w:autoSpaceDE w:val="0"/>
              <w:autoSpaceDN w:val="0"/>
              <w:ind w:left="109" w:right="311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smanjen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apetit, pojačan apetit, </w:t>
            </w:r>
          </w:p>
        </w:tc>
        <w:tc>
          <w:tcPr>
            <w:tcW w:w="1418" w:type="dxa"/>
          </w:tcPr>
          <w:p w14:paraId="166B025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224589F7" w14:textId="555B0707" w:rsidR="002B4C79" w:rsidRPr="00CF5F52" w:rsidRDefault="002B4C79" w:rsidP="00676BE4">
            <w:pPr>
              <w:widowControl w:val="0"/>
              <w:autoSpaceDE w:val="0"/>
              <w:autoSpaceDN w:val="0"/>
              <w:ind w:left="108" w:right="102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prom</w:t>
            </w:r>
            <w:r w:rsidR="004931D0" w:rsidRPr="00CF5F52">
              <w:rPr>
                <w:sz w:val="22"/>
                <w:szCs w:val="22"/>
                <w:lang w:val="sr-Latn-ME"/>
              </w:rPr>
              <w:t>j</w:t>
            </w:r>
            <w:r w:rsidRPr="00CF5F52">
              <w:rPr>
                <w:sz w:val="22"/>
                <w:szCs w:val="22"/>
                <w:lang w:val="sr-Latn-ME"/>
              </w:rPr>
              <w:t xml:space="preserve">ene u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metaboličko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m statusu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dijabetesa (povećanje </w:t>
            </w:r>
            <w:r w:rsidRPr="00CF5F52">
              <w:rPr>
                <w:spacing w:val="-4"/>
                <w:sz w:val="22"/>
                <w:szCs w:val="22"/>
                <w:lang w:val="sr-Latn-ME"/>
              </w:rPr>
              <w:t>ili</w:t>
            </w:r>
            <w:r w:rsidRPr="00CF5F52">
              <w:rPr>
                <w:spacing w:val="40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smanjenje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koncentracij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a glukoze u</w:t>
            </w:r>
          </w:p>
          <w:p w14:paraId="60CA91B5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8" w:lineRule="exact"/>
              <w:ind w:left="108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krvi)</w:t>
            </w:r>
          </w:p>
        </w:tc>
        <w:tc>
          <w:tcPr>
            <w:tcW w:w="1134" w:type="dxa"/>
          </w:tcPr>
          <w:p w14:paraId="5644C9CF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7FEEA1C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3FF2D448" w14:textId="77777777" w:rsidTr="00F72823">
        <w:trPr>
          <w:trHeight w:val="1012"/>
        </w:trPr>
        <w:tc>
          <w:tcPr>
            <w:tcW w:w="1822" w:type="dxa"/>
          </w:tcPr>
          <w:p w14:paraId="250E7BD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10" w:right="238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1335" w:type="dxa"/>
          </w:tcPr>
          <w:p w14:paraId="37B2E05F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6456657D" w14:textId="202983F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9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prom</w:t>
            </w:r>
            <w:r w:rsidR="004931D0" w:rsidRPr="00CF5F52">
              <w:rPr>
                <w:spacing w:val="-2"/>
                <w:sz w:val="22"/>
                <w:szCs w:val="22"/>
                <w:lang w:val="sr-Latn-ME"/>
              </w:rPr>
              <w:t>j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ene raspoloženja,</w:t>
            </w:r>
          </w:p>
          <w:p w14:paraId="61806977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09" w:right="372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depresija, </w:t>
            </w:r>
            <w:r w:rsidRPr="00CF5F52">
              <w:rPr>
                <w:sz w:val="22"/>
                <w:szCs w:val="22"/>
                <w:lang w:val="sr-Latn-ME"/>
              </w:rPr>
              <w:t>poremećaj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sna</w:t>
            </w:r>
          </w:p>
        </w:tc>
        <w:tc>
          <w:tcPr>
            <w:tcW w:w="1418" w:type="dxa"/>
          </w:tcPr>
          <w:p w14:paraId="165ADA24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366F5DBD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696BDA26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699CD060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4B107DEB" w14:textId="77777777" w:rsidTr="00F72823">
        <w:trPr>
          <w:trHeight w:val="3038"/>
        </w:trPr>
        <w:tc>
          <w:tcPr>
            <w:tcW w:w="1822" w:type="dxa"/>
          </w:tcPr>
          <w:p w14:paraId="61C6AD17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10" w:right="507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335" w:type="dxa"/>
          </w:tcPr>
          <w:p w14:paraId="1DEB2A84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61CAD7A7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9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glavobolja,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parestezija</w:t>
            </w:r>
            <w:proofErr w:type="spellEnd"/>
          </w:p>
        </w:tc>
        <w:tc>
          <w:tcPr>
            <w:tcW w:w="1418" w:type="dxa"/>
          </w:tcPr>
          <w:p w14:paraId="3DC0095F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0B3443FA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8" w:right="296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vertigo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, prolazna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disgeuzija</w:t>
            </w:r>
            <w:proofErr w:type="spellEnd"/>
          </w:p>
        </w:tc>
        <w:tc>
          <w:tcPr>
            <w:tcW w:w="1134" w:type="dxa"/>
          </w:tcPr>
          <w:p w14:paraId="4DB6AAA7" w14:textId="127D351F" w:rsidR="002B4C79" w:rsidRPr="00CF5F52" w:rsidRDefault="007B00BE" w:rsidP="00676BE4">
            <w:pPr>
              <w:widowControl w:val="0"/>
              <w:autoSpaceDE w:val="0"/>
              <w:autoSpaceDN w:val="0"/>
              <w:spacing w:line="243" w:lineRule="exact"/>
              <w:ind w:left="108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kao i kod primjene drugih ljekova iz iste grupe, prijavljeni su veoma rijetki slučajevi apopleksije hipofize nakon inicijalne primjene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leuprorelina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kod pacijenata sa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adenomom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hipofize</w:t>
            </w:r>
          </w:p>
        </w:tc>
        <w:tc>
          <w:tcPr>
            <w:tcW w:w="1134" w:type="dxa"/>
          </w:tcPr>
          <w:p w14:paraId="73BD952B" w14:textId="5C423532" w:rsidR="002B4C79" w:rsidRPr="00CF5F52" w:rsidRDefault="002A482C" w:rsidP="00676BE4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 xml:space="preserve">konvulzije, 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idiopatska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intrakranijalna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 xml:space="preserve"> hipertenzija (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pseudotumor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cerebri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>) (vidjeti dio 4.4)</w:t>
            </w:r>
          </w:p>
        </w:tc>
      </w:tr>
      <w:tr w:rsidR="002B4C79" w:rsidRPr="00CF5F52" w14:paraId="4F85A99F" w14:textId="77777777" w:rsidTr="00F72823">
        <w:trPr>
          <w:trHeight w:val="1516"/>
        </w:trPr>
        <w:tc>
          <w:tcPr>
            <w:tcW w:w="1822" w:type="dxa"/>
          </w:tcPr>
          <w:p w14:paraId="7DED340B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7" w:lineRule="auto"/>
              <w:ind w:left="110" w:right="238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335" w:type="dxa"/>
          </w:tcPr>
          <w:p w14:paraId="0FF2892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66845A15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7E80CB51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2E04CDA6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09523073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311968C5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7" w:lineRule="auto"/>
              <w:ind w:left="107" w:right="163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produženje </w:t>
            </w:r>
            <w:r w:rsidRPr="00CF5F52">
              <w:rPr>
                <w:spacing w:val="-6"/>
                <w:sz w:val="22"/>
                <w:szCs w:val="22"/>
                <w:lang w:val="sr-Latn-ME"/>
              </w:rPr>
              <w:t>QT</w:t>
            </w:r>
          </w:p>
          <w:p w14:paraId="36D521DD" w14:textId="0940B87B" w:rsidR="002B4C79" w:rsidRPr="00CF5F52" w:rsidRDefault="002B4C79" w:rsidP="00676BE4">
            <w:pPr>
              <w:widowControl w:val="0"/>
              <w:autoSpaceDE w:val="0"/>
              <w:autoSpaceDN w:val="0"/>
              <w:ind w:left="107" w:right="157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intervala (vid</w:t>
            </w:r>
            <w:r w:rsidR="004931D0" w:rsidRPr="00CF5F52">
              <w:rPr>
                <w:spacing w:val="-2"/>
                <w:sz w:val="22"/>
                <w:szCs w:val="22"/>
                <w:lang w:val="sr-Latn-ME"/>
              </w:rPr>
              <w:t>j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eti </w:t>
            </w:r>
            <w:r w:rsidR="004931D0" w:rsidRPr="00CF5F52">
              <w:rPr>
                <w:sz w:val="22"/>
                <w:szCs w:val="22"/>
                <w:lang w:val="sr-Latn-ME"/>
              </w:rPr>
              <w:t>djelove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4.4</w:t>
            </w:r>
          </w:p>
          <w:p w14:paraId="2980DC06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exact"/>
              <w:ind w:left="107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 xml:space="preserve">i </w:t>
            </w:r>
            <w:r w:rsidRPr="00CF5F52">
              <w:rPr>
                <w:spacing w:val="-4"/>
                <w:sz w:val="22"/>
                <w:szCs w:val="22"/>
                <w:lang w:val="sr-Latn-ME"/>
              </w:rPr>
              <w:t>4.5)</w:t>
            </w:r>
          </w:p>
        </w:tc>
      </w:tr>
      <w:tr w:rsidR="002B4C79" w:rsidRPr="00CF5F52" w14:paraId="73F0E38C" w14:textId="77777777" w:rsidTr="00F72823">
        <w:trPr>
          <w:trHeight w:val="2025"/>
        </w:trPr>
        <w:tc>
          <w:tcPr>
            <w:tcW w:w="1822" w:type="dxa"/>
          </w:tcPr>
          <w:p w14:paraId="55C911A0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10" w:right="507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lastRenderedPageBreak/>
              <w:t>Vaskularni poremećaji</w:t>
            </w:r>
          </w:p>
        </w:tc>
        <w:tc>
          <w:tcPr>
            <w:tcW w:w="1335" w:type="dxa"/>
          </w:tcPr>
          <w:p w14:paraId="1DB6114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9" w:right="550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521" w:type="dxa"/>
          </w:tcPr>
          <w:p w14:paraId="6CC27935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7BB0D5F8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03A8BFBE" w14:textId="2813021F" w:rsidR="002B4C79" w:rsidRPr="00CF5F52" w:rsidRDefault="002B4C79" w:rsidP="00254B40">
            <w:pPr>
              <w:widowControl w:val="0"/>
              <w:autoSpaceDE w:val="0"/>
              <w:autoSpaceDN w:val="0"/>
              <w:ind w:left="108" w:right="120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prom</w:t>
            </w:r>
            <w:r w:rsidR="004931D0" w:rsidRPr="00CF5F52">
              <w:rPr>
                <w:sz w:val="22"/>
                <w:szCs w:val="22"/>
                <w:lang w:val="sr-Latn-ME"/>
              </w:rPr>
              <w:t>j</w:t>
            </w:r>
            <w:r w:rsidRPr="00CF5F52">
              <w:rPr>
                <w:sz w:val="22"/>
                <w:szCs w:val="22"/>
                <w:lang w:val="sr-Latn-ME"/>
              </w:rPr>
              <w:t xml:space="preserve">ene u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regulaciji krvnog pritiska (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hipertenzij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a ili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hipotenzija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>)</w:t>
            </w:r>
            <w:r w:rsidRPr="00CF5F52">
              <w:rPr>
                <w:sz w:val="22"/>
                <w:szCs w:val="22"/>
                <w:lang w:val="sr-Latn-ME"/>
              </w:rPr>
              <w:t>,</w:t>
            </w:r>
            <w:r w:rsidRPr="00CF5F52">
              <w:rPr>
                <w:spacing w:val="5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tromboza</w:t>
            </w:r>
          </w:p>
        </w:tc>
        <w:tc>
          <w:tcPr>
            <w:tcW w:w="1134" w:type="dxa"/>
          </w:tcPr>
          <w:p w14:paraId="7BD08109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08F32C23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21495885" w14:textId="77777777" w:rsidTr="00F72823">
        <w:trPr>
          <w:trHeight w:val="1007"/>
        </w:trPr>
        <w:tc>
          <w:tcPr>
            <w:tcW w:w="1822" w:type="dxa"/>
          </w:tcPr>
          <w:p w14:paraId="7B5671D5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10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Respiratorni, </w:t>
            </w:r>
            <w:r w:rsidRPr="00CF5F52">
              <w:rPr>
                <w:b/>
                <w:sz w:val="22"/>
                <w:szCs w:val="22"/>
                <w:lang w:val="sr-Latn-ME"/>
              </w:rPr>
              <w:t xml:space="preserve">torakalni i </w:t>
            </w:r>
            <w:proofErr w:type="spellStart"/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medijastinalni</w:t>
            </w:r>
            <w:proofErr w:type="spellEnd"/>
          </w:p>
          <w:p w14:paraId="3E5A01D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3" w:lineRule="exact"/>
              <w:ind w:left="110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1335" w:type="dxa"/>
          </w:tcPr>
          <w:p w14:paraId="1E06ADD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0147E52E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3E2FC18B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4920D54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7" w:lineRule="auto"/>
              <w:ind w:left="108" w:right="414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embolija pluća</w:t>
            </w:r>
          </w:p>
        </w:tc>
        <w:tc>
          <w:tcPr>
            <w:tcW w:w="1134" w:type="dxa"/>
          </w:tcPr>
          <w:p w14:paraId="0BA3CE2E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6298112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7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intersticijal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na bolest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pluća</w:t>
            </w:r>
          </w:p>
        </w:tc>
      </w:tr>
      <w:tr w:rsidR="002B4C79" w:rsidRPr="00CF5F52" w14:paraId="347953CF" w14:textId="77777777" w:rsidTr="00F72823">
        <w:trPr>
          <w:trHeight w:val="508"/>
        </w:trPr>
        <w:tc>
          <w:tcPr>
            <w:tcW w:w="1822" w:type="dxa"/>
          </w:tcPr>
          <w:p w14:paraId="15D5BD03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10"/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Gastrointestina</w:t>
            </w:r>
            <w:proofErr w:type="spellEnd"/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CF5F52">
              <w:rPr>
                <w:b/>
                <w:sz w:val="22"/>
                <w:szCs w:val="22"/>
                <w:lang w:val="sr-Latn-ME"/>
              </w:rPr>
              <w:t>lni</w:t>
            </w:r>
            <w:proofErr w:type="spellEnd"/>
            <w:r w:rsidRPr="00CF5F52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335" w:type="dxa"/>
          </w:tcPr>
          <w:p w14:paraId="43C0D5A3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57D094D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50" w:lineRule="exact"/>
              <w:ind w:left="109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mučnina/povraća </w:t>
            </w:r>
            <w:r w:rsidRPr="00CF5F52">
              <w:rPr>
                <w:spacing w:val="-4"/>
                <w:sz w:val="22"/>
                <w:szCs w:val="22"/>
                <w:lang w:val="sr-Latn-ME"/>
              </w:rPr>
              <w:t>nje</w:t>
            </w:r>
          </w:p>
        </w:tc>
        <w:tc>
          <w:tcPr>
            <w:tcW w:w="1418" w:type="dxa"/>
          </w:tcPr>
          <w:p w14:paraId="77EC13D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08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1417" w:type="dxa"/>
          </w:tcPr>
          <w:p w14:paraId="36C2F1DB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6FC5400A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7D36A588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6D824874" w14:textId="77777777" w:rsidTr="00F72823">
        <w:trPr>
          <w:trHeight w:val="1266"/>
        </w:trPr>
        <w:tc>
          <w:tcPr>
            <w:tcW w:w="1822" w:type="dxa"/>
          </w:tcPr>
          <w:p w14:paraId="2D90FA5A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10" w:right="507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Poremećaji </w:t>
            </w:r>
            <w:r w:rsidRPr="00CF5F52">
              <w:rPr>
                <w:b/>
                <w:sz w:val="22"/>
                <w:szCs w:val="22"/>
                <w:lang w:val="sr-Latn-ME"/>
              </w:rPr>
              <w:t xml:space="preserve">kože i 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potkožnog tkiva</w:t>
            </w:r>
          </w:p>
        </w:tc>
        <w:tc>
          <w:tcPr>
            <w:tcW w:w="1335" w:type="dxa"/>
          </w:tcPr>
          <w:p w14:paraId="2DE1137B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2EB525C9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76774A29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8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suva</w:t>
            </w:r>
            <w:r w:rsidRPr="00CF5F52">
              <w:rPr>
                <w:spacing w:val="-7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koža</w:t>
            </w:r>
            <w:r w:rsidRPr="00CF5F52">
              <w:rPr>
                <w:spacing w:val="-7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ili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sluzokoža, noćno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preznojavanj</w:t>
            </w:r>
            <w:proofErr w:type="spellEnd"/>
          </w:p>
          <w:p w14:paraId="5965054C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3" w:lineRule="exact"/>
              <w:ind w:left="108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10"/>
                <w:sz w:val="22"/>
                <w:szCs w:val="22"/>
                <w:lang w:val="sr-Latn-ME"/>
              </w:rPr>
              <w:t>e</w:t>
            </w:r>
          </w:p>
        </w:tc>
        <w:tc>
          <w:tcPr>
            <w:tcW w:w="1417" w:type="dxa"/>
          </w:tcPr>
          <w:p w14:paraId="13891EF0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4" w:lineRule="exact"/>
              <w:ind w:left="108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alopecija</w:t>
            </w:r>
          </w:p>
        </w:tc>
        <w:tc>
          <w:tcPr>
            <w:tcW w:w="1134" w:type="dxa"/>
          </w:tcPr>
          <w:p w14:paraId="0E748700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76BCC1D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45A33B4D" w14:textId="77777777" w:rsidTr="00F72823">
        <w:trPr>
          <w:trHeight w:val="1516"/>
        </w:trPr>
        <w:tc>
          <w:tcPr>
            <w:tcW w:w="1822" w:type="dxa"/>
          </w:tcPr>
          <w:p w14:paraId="3A2274C4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10" w:right="219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Poremećaji mišićno- koštanog </w:t>
            </w:r>
            <w:r w:rsidRPr="00CF5F52">
              <w:rPr>
                <w:b/>
                <w:sz w:val="22"/>
                <w:szCs w:val="22"/>
                <w:lang w:val="sr-Latn-ME"/>
              </w:rPr>
              <w:t>sistema i vezivnog</w:t>
            </w:r>
            <w:r w:rsidRPr="00CF5F52">
              <w:rPr>
                <w:b/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b/>
                <w:sz w:val="22"/>
                <w:szCs w:val="22"/>
                <w:lang w:val="sr-Latn-ME"/>
              </w:rPr>
              <w:t>tkiva</w:t>
            </w:r>
          </w:p>
        </w:tc>
        <w:tc>
          <w:tcPr>
            <w:tcW w:w="1335" w:type="dxa"/>
          </w:tcPr>
          <w:p w14:paraId="56E648F6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7" w:lineRule="auto"/>
              <w:ind w:left="109" w:right="311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 xml:space="preserve">bol u </w:t>
            </w:r>
            <w:r w:rsidRPr="00CF5F52">
              <w:rPr>
                <w:spacing w:val="-4"/>
                <w:sz w:val="22"/>
                <w:szCs w:val="22"/>
                <w:lang w:val="sr-Latn-ME"/>
              </w:rPr>
              <w:t>kostima</w:t>
            </w:r>
          </w:p>
        </w:tc>
        <w:tc>
          <w:tcPr>
            <w:tcW w:w="1521" w:type="dxa"/>
          </w:tcPr>
          <w:p w14:paraId="5B89E353" w14:textId="4A9FCAA3" w:rsidR="007B00BE" w:rsidRPr="00CF5F52" w:rsidRDefault="002B4C79" w:rsidP="00676BE4">
            <w:pPr>
              <w:widowControl w:val="0"/>
              <w:autoSpaceDE w:val="0"/>
              <w:autoSpaceDN w:val="0"/>
              <w:ind w:left="109" w:right="104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bol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u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zglobovima i/ili leđima,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miastenija</w:t>
            </w:r>
            <w:proofErr w:type="spellEnd"/>
          </w:p>
          <w:p w14:paraId="53E2DED0" w14:textId="4EA4072E" w:rsidR="002B4C79" w:rsidRPr="00CF5F52" w:rsidRDefault="002B4C79" w:rsidP="00676BE4">
            <w:pPr>
              <w:widowControl w:val="0"/>
              <w:autoSpaceDE w:val="0"/>
              <w:autoSpaceDN w:val="0"/>
              <w:spacing w:line="240" w:lineRule="exact"/>
              <w:ind w:left="109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8" w:type="dxa"/>
          </w:tcPr>
          <w:p w14:paraId="418AAE79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00543ACB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3A602143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14E8E4EE" w14:textId="0507F44F" w:rsidR="002B4C79" w:rsidRPr="00CF5F52" w:rsidRDefault="007B00BE" w:rsidP="00676BE4">
            <w:pPr>
              <w:widowControl w:val="0"/>
              <w:autoSpaceDE w:val="0"/>
              <w:autoSpaceDN w:val="0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z w:val="22"/>
                <w:szCs w:val="22"/>
                <w:lang w:val="sr-Latn-ME"/>
              </w:rPr>
              <w:t>demineralizacija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 xml:space="preserve"> kostiju (vidjeti dio 4.4)</w:t>
            </w:r>
          </w:p>
        </w:tc>
      </w:tr>
      <w:tr w:rsidR="002B4C79" w:rsidRPr="00CF5F52" w14:paraId="20170E4B" w14:textId="77777777" w:rsidTr="00F72823">
        <w:trPr>
          <w:trHeight w:val="1012"/>
        </w:trPr>
        <w:tc>
          <w:tcPr>
            <w:tcW w:w="1822" w:type="dxa"/>
          </w:tcPr>
          <w:p w14:paraId="2226E5B2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10" w:right="507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Poremećaji </w:t>
            </w:r>
            <w:r w:rsidRPr="00CF5F52">
              <w:rPr>
                <w:b/>
                <w:sz w:val="22"/>
                <w:szCs w:val="22"/>
                <w:lang w:val="sr-Latn-ME"/>
              </w:rPr>
              <w:t xml:space="preserve">bubrega i </w:t>
            </w:r>
            <w:proofErr w:type="spellStart"/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urinarnog</w:t>
            </w:r>
            <w:proofErr w:type="spellEnd"/>
          </w:p>
          <w:p w14:paraId="4946A6A5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7" w:lineRule="exact"/>
              <w:ind w:left="110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1335" w:type="dxa"/>
          </w:tcPr>
          <w:p w14:paraId="3673DEA2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521" w:type="dxa"/>
          </w:tcPr>
          <w:p w14:paraId="1630CCC3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9" w:right="691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nokturija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dizurija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polakiurija</w:t>
            </w:r>
            <w:proofErr w:type="spellEnd"/>
          </w:p>
        </w:tc>
        <w:tc>
          <w:tcPr>
            <w:tcW w:w="1418" w:type="dxa"/>
          </w:tcPr>
          <w:p w14:paraId="692C1B7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8" w:right="495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urinarna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retencija</w:t>
            </w:r>
          </w:p>
        </w:tc>
        <w:tc>
          <w:tcPr>
            <w:tcW w:w="1417" w:type="dxa"/>
          </w:tcPr>
          <w:p w14:paraId="5C27BBFD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7B63C57A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3D9BE11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2B4C79" w:rsidRPr="00CF5F52" w14:paraId="79DBD26A" w14:textId="77777777" w:rsidTr="00F72823">
        <w:trPr>
          <w:trHeight w:val="2020"/>
        </w:trPr>
        <w:tc>
          <w:tcPr>
            <w:tcW w:w="1822" w:type="dxa"/>
          </w:tcPr>
          <w:p w14:paraId="2F8C0C0B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10" w:right="164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Poremećaji reproduktivno </w:t>
            </w:r>
            <w:r w:rsidRPr="00CF5F52">
              <w:rPr>
                <w:b/>
                <w:sz w:val="22"/>
                <w:szCs w:val="22"/>
                <w:lang w:val="sr-Latn-ME"/>
              </w:rPr>
              <w:t xml:space="preserve">g sistema i </w:t>
            </w: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>dojki</w:t>
            </w:r>
          </w:p>
        </w:tc>
        <w:tc>
          <w:tcPr>
            <w:tcW w:w="1335" w:type="dxa"/>
          </w:tcPr>
          <w:p w14:paraId="2AB6CFB3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9" w:right="311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smanjenje </w:t>
            </w:r>
            <w:r w:rsidRPr="00CF5F52">
              <w:rPr>
                <w:sz w:val="22"/>
                <w:szCs w:val="22"/>
                <w:lang w:val="sr-Latn-ME"/>
              </w:rPr>
              <w:t>ili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gubitak libida i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seksualne potencije, smanjenje veličine</w:t>
            </w:r>
          </w:p>
          <w:p w14:paraId="424AC75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38" w:lineRule="exact"/>
              <w:ind w:left="109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testisa</w:t>
            </w:r>
          </w:p>
        </w:tc>
        <w:tc>
          <w:tcPr>
            <w:tcW w:w="1521" w:type="dxa"/>
          </w:tcPr>
          <w:p w14:paraId="49CF239C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4" w:lineRule="exact"/>
              <w:ind w:left="109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ginekomastija</w:t>
            </w:r>
            <w:proofErr w:type="spellEnd"/>
          </w:p>
        </w:tc>
        <w:tc>
          <w:tcPr>
            <w:tcW w:w="1418" w:type="dxa"/>
          </w:tcPr>
          <w:p w14:paraId="2A95F5E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2" w:lineRule="auto"/>
              <w:ind w:left="108" w:right="470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 xml:space="preserve">bol u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testisima</w:t>
            </w:r>
          </w:p>
        </w:tc>
        <w:tc>
          <w:tcPr>
            <w:tcW w:w="1417" w:type="dxa"/>
          </w:tcPr>
          <w:p w14:paraId="560898A1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2D44B48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4558C71F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4931D0" w:rsidRPr="00CF5F52" w14:paraId="34159988" w14:textId="77777777" w:rsidTr="00F72823">
        <w:trPr>
          <w:trHeight w:val="3805"/>
        </w:trPr>
        <w:tc>
          <w:tcPr>
            <w:tcW w:w="1822" w:type="dxa"/>
          </w:tcPr>
          <w:p w14:paraId="01242AC4" w14:textId="52D04AF8" w:rsidR="004931D0" w:rsidRPr="00CF5F52" w:rsidRDefault="004931D0" w:rsidP="00676BE4">
            <w:pPr>
              <w:widowControl w:val="0"/>
              <w:autoSpaceDE w:val="0"/>
              <w:autoSpaceDN w:val="0"/>
              <w:ind w:left="110" w:right="164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t xml:space="preserve">Opšti </w:t>
            </w:r>
            <w:r w:rsidRPr="00CF5F52">
              <w:rPr>
                <w:b/>
                <w:sz w:val="22"/>
                <w:szCs w:val="22"/>
                <w:lang w:val="sr-Latn-ME"/>
              </w:rPr>
              <w:t>poremećaji i reakcije na mjestu</w:t>
            </w:r>
            <w:r w:rsidRPr="00CF5F52">
              <w:rPr>
                <w:b/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b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1335" w:type="dxa"/>
          </w:tcPr>
          <w:p w14:paraId="63895739" w14:textId="6C3BC502" w:rsidR="004931D0" w:rsidRPr="00CF5F52" w:rsidRDefault="004931D0" w:rsidP="00676BE4">
            <w:pPr>
              <w:widowControl w:val="0"/>
              <w:autoSpaceDE w:val="0"/>
              <w:autoSpaceDN w:val="0"/>
              <w:ind w:left="109" w:right="105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pojačano preznojavan </w:t>
            </w:r>
            <w:r w:rsidRPr="00CF5F52">
              <w:rPr>
                <w:sz w:val="22"/>
                <w:szCs w:val="22"/>
                <w:lang w:val="sr-Latn-ME"/>
              </w:rPr>
              <w:t xml:space="preserve">je, reakcije na mjestu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primjene injekcije, </w:t>
            </w:r>
            <w:r w:rsidRPr="00CF5F52">
              <w:rPr>
                <w:spacing w:val="-4"/>
                <w:sz w:val="22"/>
                <w:szCs w:val="22"/>
                <w:lang w:val="sr-Latn-ME"/>
              </w:rPr>
              <w:t>npr.</w:t>
            </w:r>
            <w:r w:rsidRPr="00CF5F52">
              <w:rPr>
                <w:spacing w:val="40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crvenilo,</w:t>
            </w:r>
            <w:r w:rsidRPr="00CF5F52">
              <w:rPr>
                <w:spacing w:val="40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bol, 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>, svrab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koji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se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obično</w:t>
            </w:r>
          </w:p>
          <w:p w14:paraId="635F5DBF" w14:textId="77777777" w:rsidR="004931D0" w:rsidRPr="00CF5F52" w:rsidRDefault="004931D0" w:rsidP="00676BE4">
            <w:pPr>
              <w:widowControl w:val="0"/>
              <w:autoSpaceDE w:val="0"/>
              <w:autoSpaceDN w:val="0"/>
              <w:spacing w:line="239" w:lineRule="exact"/>
              <w:ind w:left="109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povlače</w:t>
            </w:r>
            <w:r w:rsidRPr="00CF5F52">
              <w:rPr>
                <w:spacing w:val="-7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pacing w:val="-5"/>
                <w:sz w:val="22"/>
                <w:szCs w:val="22"/>
                <w:lang w:val="sr-Latn-ME"/>
              </w:rPr>
              <w:t>čak</w:t>
            </w:r>
          </w:p>
          <w:p w14:paraId="5C9C443F" w14:textId="77777777" w:rsidR="004931D0" w:rsidRPr="00CF5F52" w:rsidRDefault="004931D0" w:rsidP="00676BE4">
            <w:pPr>
              <w:widowControl w:val="0"/>
              <w:autoSpaceDE w:val="0"/>
              <w:autoSpaceDN w:val="0"/>
              <w:spacing w:line="237" w:lineRule="auto"/>
              <w:ind w:left="109" w:right="442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 xml:space="preserve">i tokom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nastavka</w:t>
            </w:r>
          </w:p>
          <w:p w14:paraId="26E4247D" w14:textId="71F3193F" w:rsidR="004931D0" w:rsidRPr="00CF5F52" w:rsidRDefault="004931D0" w:rsidP="00676BE4">
            <w:pPr>
              <w:widowControl w:val="0"/>
              <w:autoSpaceDE w:val="0"/>
              <w:autoSpaceDN w:val="0"/>
              <w:spacing w:line="243" w:lineRule="exact"/>
              <w:ind w:left="109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terapije</w:t>
            </w:r>
          </w:p>
        </w:tc>
        <w:tc>
          <w:tcPr>
            <w:tcW w:w="1521" w:type="dxa"/>
          </w:tcPr>
          <w:p w14:paraId="19589B3E" w14:textId="1D343093" w:rsidR="004931D0" w:rsidRPr="00CF5F52" w:rsidRDefault="004931D0" w:rsidP="00676BE4">
            <w:pPr>
              <w:widowControl w:val="0"/>
              <w:autoSpaceDE w:val="0"/>
              <w:autoSpaceDN w:val="0"/>
              <w:ind w:left="109" w:right="220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zamor,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edem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, </w:t>
            </w:r>
          </w:p>
        </w:tc>
        <w:tc>
          <w:tcPr>
            <w:tcW w:w="1418" w:type="dxa"/>
          </w:tcPr>
          <w:p w14:paraId="7748461A" w14:textId="77777777" w:rsidR="004931D0" w:rsidRPr="00CF5F52" w:rsidRDefault="004931D0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2AB65692" w14:textId="77777777" w:rsidR="004931D0" w:rsidRPr="00CF5F52" w:rsidRDefault="004931D0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3023F415" w14:textId="77777777" w:rsidR="004931D0" w:rsidRPr="00CF5F52" w:rsidRDefault="004931D0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6E57A9AF" w14:textId="6DB7686A" w:rsidR="004931D0" w:rsidRPr="00CF5F52" w:rsidRDefault="005D5FD5" w:rsidP="00676BE4">
            <w:pPr>
              <w:widowControl w:val="0"/>
              <w:autoSpaceDE w:val="0"/>
              <w:autoSpaceDN w:val="0"/>
              <w:ind w:left="107" w:right="151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U nekim slučajevima apscesi</w:t>
            </w:r>
          </w:p>
        </w:tc>
      </w:tr>
      <w:tr w:rsidR="002B4C79" w:rsidRPr="00CF5F52" w14:paraId="728EFC28" w14:textId="77777777" w:rsidTr="00F72823">
        <w:trPr>
          <w:trHeight w:val="2783"/>
        </w:trPr>
        <w:tc>
          <w:tcPr>
            <w:tcW w:w="1822" w:type="dxa"/>
          </w:tcPr>
          <w:p w14:paraId="79027B1F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9" w:lineRule="exact"/>
              <w:ind w:left="110"/>
              <w:jc w:val="both"/>
              <w:rPr>
                <w:b/>
                <w:sz w:val="22"/>
                <w:szCs w:val="22"/>
                <w:lang w:val="sr-Latn-ME"/>
              </w:rPr>
            </w:pPr>
            <w:r w:rsidRPr="00CF5F52">
              <w:rPr>
                <w:b/>
                <w:spacing w:val="-2"/>
                <w:sz w:val="22"/>
                <w:szCs w:val="22"/>
                <w:lang w:val="sr-Latn-ME"/>
              </w:rPr>
              <w:lastRenderedPageBreak/>
              <w:t>Ispitivanja</w:t>
            </w:r>
          </w:p>
        </w:tc>
        <w:tc>
          <w:tcPr>
            <w:tcW w:w="1335" w:type="dxa"/>
          </w:tcPr>
          <w:p w14:paraId="6F3A5583" w14:textId="049ACF7C" w:rsidR="002B4C79" w:rsidRPr="00CF5F52" w:rsidRDefault="00897860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  <w:r w:rsidRPr="00CF5F52">
              <w:rPr>
                <w:sz w:val="22"/>
                <w:szCs w:val="22"/>
                <w:lang w:val="sr-Latn-ME"/>
              </w:rPr>
              <w:t>p</w:t>
            </w:r>
            <w:r w:rsidR="007B00BE" w:rsidRPr="00CF5F52">
              <w:rPr>
                <w:sz w:val="22"/>
                <w:szCs w:val="22"/>
                <w:lang w:val="sr-Latn-ME"/>
              </w:rPr>
              <w:t>o</w:t>
            </w:r>
            <w:r w:rsidRPr="00CF5F52">
              <w:rPr>
                <w:sz w:val="22"/>
                <w:szCs w:val="22"/>
                <w:lang w:val="sr-Latn-ME"/>
              </w:rPr>
              <w:t xml:space="preserve">rast </w:t>
            </w:r>
            <w:r w:rsidR="007B00BE" w:rsidRPr="00CF5F52">
              <w:rPr>
                <w:sz w:val="22"/>
                <w:szCs w:val="22"/>
                <w:lang w:val="sr-Latn-ME"/>
              </w:rPr>
              <w:t xml:space="preserve">tjelesne </w:t>
            </w:r>
            <w:r w:rsidRPr="00CF5F52">
              <w:rPr>
                <w:sz w:val="22"/>
                <w:szCs w:val="22"/>
                <w:lang w:val="sr-Latn-ME"/>
              </w:rPr>
              <w:t>mase</w:t>
            </w:r>
          </w:p>
        </w:tc>
        <w:tc>
          <w:tcPr>
            <w:tcW w:w="1521" w:type="dxa"/>
          </w:tcPr>
          <w:p w14:paraId="2BEF692B" w14:textId="2B29E8DE" w:rsidR="002B4C79" w:rsidRPr="00CF5F52" w:rsidRDefault="007B00BE" w:rsidP="00676BE4">
            <w:pPr>
              <w:widowControl w:val="0"/>
              <w:autoSpaceDE w:val="0"/>
              <w:autoSpaceDN w:val="0"/>
              <w:ind w:left="109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gubitak tjelesne </w:t>
            </w:r>
            <w:r w:rsidR="00897860" w:rsidRPr="00CF5F52">
              <w:rPr>
                <w:spacing w:val="-2"/>
                <w:sz w:val="22"/>
                <w:szCs w:val="22"/>
                <w:lang w:val="sr-Latn-ME"/>
              </w:rPr>
              <w:t>mas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e, </w:t>
            </w:r>
            <w:r w:rsidR="002B4C79" w:rsidRPr="00CF5F52">
              <w:rPr>
                <w:spacing w:val="-2"/>
                <w:sz w:val="22"/>
                <w:szCs w:val="22"/>
                <w:lang w:val="sr-Latn-ME"/>
              </w:rPr>
              <w:t>povećanje vr</w:t>
            </w:r>
            <w:r w:rsidR="004931D0" w:rsidRPr="00CF5F52">
              <w:rPr>
                <w:spacing w:val="-2"/>
                <w:sz w:val="22"/>
                <w:szCs w:val="22"/>
                <w:lang w:val="sr-Latn-ME"/>
              </w:rPr>
              <w:t>ij</w:t>
            </w:r>
            <w:r w:rsidR="002B4C79" w:rsidRPr="00CF5F52">
              <w:rPr>
                <w:spacing w:val="-2"/>
                <w:sz w:val="22"/>
                <w:szCs w:val="22"/>
                <w:lang w:val="sr-Latn-ME"/>
              </w:rPr>
              <w:t>ednosti</w:t>
            </w:r>
            <w:r w:rsidR="002B4C79" w:rsidRPr="00CF5F52">
              <w:rPr>
                <w:spacing w:val="-12"/>
                <w:sz w:val="22"/>
                <w:szCs w:val="22"/>
                <w:lang w:val="sr-Latn-ME"/>
              </w:rPr>
              <w:t xml:space="preserve"> </w:t>
            </w:r>
            <w:r w:rsidR="002B4C79" w:rsidRPr="00CF5F52">
              <w:rPr>
                <w:spacing w:val="-2"/>
                <w:sz w:val="22"/>
                <w:szCs w:val="22"/>
                <w:lang w:val="sr-Latn-ME"/>
              </w:rPr>
              <w:t xml:space="preserve">enzima </w:t>
            </w:r>
            <w:r w:rsidR="002B4C79" w:rsidRPr="00CF5F52">
              <w:rPr>
                <w:spacing w:val="-4"/>
                <w:sz w:val="22"/>
                <w:szCs w:val="22"/>
                <w:lang w:val="sr-Latn-ME"/>
              </w:rPr>
              <w:t>LDH,</w:t>
            </w:r>
          </w:p>
          <w:p w14:paraId="1AA263BA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9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pacing w:val="-2"/>
                <w:sz w:val="22"/>
                <w:szCs w:val="22"/>
                <w:lang w:val="sr-Latn-ME"/>
              </w:rPr>
              <w:t>transaminaza</w:t>
            </w:r>
            <w:proofErr w:type="spellEnd"/>
            <w:r w:rsidRPr="00CF5F52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(ALT,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AST),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>γ-</w:t>
            </w:r>
          </w:p>
          <w:p w14:paraId="62D88686" w14:textId="77777777" w:rsidR="002B4C79" w:rsidRPr="00CF5F52" w:rsidRDefault="002B4C79" w:rsidP="00676BE4">
            <w:pPr>
              <w:widowControl w:val="0"/>
              <w:autoSpaceDE w:val="0"/>
              <w:autoSpaceDN w:val="0"/>
              <w:ind w:left="109" w:right="103"/>
              <w:rPr>
                <w:sz w:val="22"/>
                <w:szCs w:val="22"/>
                <w:lang w:val="sr-Latn-ME"/>
              </w:rPr>
            </w:pPr>
            <w:proofErr w:type="spellStart"/>
            <w:r w:rsidRPr="00CF5F52">
              <w:rPr>
                <w:sz w:val="22"/>
                <w:szCs w:val="22"/>
                <w:lang w:val="sr-Latn-ME"/>
              </w:rPr>
              <w:t>GT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 xml:space="preserve"> i alkalna </w:t>
            </w:r>
            <w:proofErr w:type="spellStart"/>
            <w:r w:rsidRPr="00CF5F52">
              <w:rPr>
                <w:sz w:val="22"/>
                <w:szCs w:val="22"/>
                <w:lang w:val="sr-Latn-ME"/>
              </w:rPr>
              <w:t>fosfataza</w:t>
            </w:r>
            <w:proofErr w:type="spellEnd"/>
            <w:r w:rsidRPr="00CF5F52">
              <w:rPr>
                <w:sz w:val="22"/>
                <w:szCs w:val="22"/>
                <w:lang w:val="sr-Latn-ME"/>
              </w:rPr>
              <w:t>, što takođe može biti manifestacija</w:t>
            </w:r>
            <w:r w:rsidRPr="00CF5F52">
              <w:rPr>
                <w:spacing w:val="-14"/>
                <w:sz w:val="22"/>
                <w:szCs w:val="22"/>
                <w:lang w:val="sr-Latn-ME"/>
              </w:rPr>
              <w:t xml:space="preserve"> </w:t>
            </w:r>
            <w:r w:rsidRPr="00CF5F52">
              <w:rPr>
                <w:sz w:val="22"/>
                <w:szCs w:val="22"/>
                <w:lang w:val="sr-Latn-ME"/>
              </w:rPr>
              <w:t xml:space="preserve">već </w:t>
            </w:r>
            <w:r w:rsidRPr="00CF5F52">
              <w:rPr>
                <w:spacing w:val="-2"/>
                <w:sz w:val="22"/>
                <w:szCs w:val="22"/>
                <w:lang w:val="sr-Latn-ME"/>
              </w:rPr>
              <w:t>postojećeg</w:t>
            </w:r>
          </w:p>
          <w:p w14:paraId="27ADA61D" w14:textId="77777777" w:rsidR="002B4C79" w:rsidRPr="00CF5F52" w:rsidRDefault="002B4C79" w:rsidP="00676BE4">
            <w:pPr>
              <w:widowControl w:val="0"/>
              <w:autoSpaceDE w:val="0"/>
              <w:autoSpaceDN w:val="0"/>
              <w:spacing w:line="243" w:lineRule="exact"/>
              <w:ind w:left="109"/>
              <w:rPr>
                <w:sz w:val="22"/>
                <w:szCs w:val="22"/>
                <w:lang w:val="sr-Latn-ME"/>
              </w:rPr>
            </w:pPr>
            <w:r w:rsidRPr="00CF5F52">
              <w:rPr>
                <w:spacing w:val="-2"/>
                <w:sz w:val="22"/>
                <w:szCs w:val="22"/>
                <w:lang w:val="sr-Latn-ME"/>
              </w:rPr>
              <w:t>oboljenja</w:t>
            </w:r>
          </w:p>
        </w:tc>
        <w:tc>
          <w:tcPr>
            <w:tcW w:w="1418" w:type="dxa"/>
          </w:tcPr>
          <w:p w14:paraId="4BCA5B6F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2D22944E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2A04C27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7A964982" w14:textId="77777777" w:rsidR="002B4C79" w:rsidRPr="00CF5F52" w:rsidRDefault="002B4C79" w:rsidP="00676BE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</w:tbl>
    <w:p w14:paraId="4AB7DDBF" w14:textId="77777777" w:rsidR="007B00BE" w:rsidRPr="00CF5F52" w:rsidRDefault="007B00BE" w:rsidP="00676BE4">
      <w:pPr>
        <w:widowControl w:val="0"/>
        <w:autoSpaceDE w:val="0"/>
        <w:autoSpaceDN w:val="0"/>
        <w:ind w:left="232" w:right="252"/>
        <w:jc w:val="both"/>
        <w:rPr>
          <w:sz w:val="22"/>
          <w:szCs w:val="22"/>
          <w:lang w:val="sr-Latn-ME"/>
        </w:rPr>
      </w:pPr>
    </w:p>
    <w:p w14:paraId="6E8A05EA" w14:textId="1552A299" w:rsidR="002B4C79" w:rsidRPr="00CF5F52" w:rsidRDefault="002B4C79" w:rsidP="00254B40">
      <w:pPr>
        <w:widowControl w:val="0"/>
        <w:autoSpaceDE w:val="0"/>
        <w:autoSpaceDN w:val="0"/>
        <w:ind w:right="252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Postoje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postmarketinški</w:t>
      </w:r>
      <w:proofErr w:type="spellEnd"/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podaci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o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intestinalnoj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pneumoniji,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uglavnom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iz</w:t>
      </w:r>
      <w:r w:rsidRPr="00CF5F52">
        <w:rPr>
          <w:spacing w:val="-4"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Japana. </w:t>
      </w:r>
    </w:p>
    <w:p w14:paraId="2D4012D3" w14:textId="77777777" w:rsidR="007B00BE" w:rsidRPr="00CF5F52" w:rsidRDefault="007B00BE" w:rsidP="00676BE4">
      <w:pPr>
        <w:widowControl w:val="0"/>
        <w:autoSpaceDE w:val="0"/>
        <w:autoSpaceDN w:val="0"/>
        <w:spacing w:line="249" w:lineRule="exact"/>
        <w:ind w:left="232"/>
        <w:jc w:val="both"/>
        <w:rPr>
          <w:sz w:val="22"/>
          <w:szCs w:val="22"/>
          <w:u w:val="single"/>
          <w:lang w:val="sr-Latn-ME"/>
        </w:rPr>
      </w:pPr>
    </w:p>
    <w:p w14:paraId="4011E0A3" w14:textId="73EEDA78" w:rsidR="002B4C79" w:rsidRPr="00CF5F52" w:rsidRDefault="002B4C79" w:rsidP="00676BE4">
      <w:pPr>
        <w:widowControl w:val="0"/>
        <w:autoSpaceDE w:val="0"/>
        <w:autoSpaceDN w:val="0"/>
        <w:spacing w:line="249" w:lineRule="exact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u w:val="single"/>
          <w:lang w:val="sr-Latn-ME"/>
        </w:rPr>
        <w:t>Posebne</w:t>
      </w:r>
      <w:r w:rsidRPr="00CF5F52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CF5F52">
        <w:rPr>
          <w:spacing w:val="-2"/>
          <w:sz w:val="22"/>
          <w:szCs w:val="22"/>
          <w:u w:val="single"/>
          <w:lang w:val="sr-Latn-ME"/>
        </w:rPr>
        <w:t>napomene</w:t>
      </w:r>
    </w:p>
    <w:p w14:paraId="08E3A629" w14:textId="1E34784A" w:rsidR="002B4C79" w:rsidRPr="00CF5F52" w:rsidRDefault="002B4C79" w:rsidP="00676BE4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Odgovor na terapiju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može se pratiti 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erenjem serumskih koncentracija </w:t>
      </w:r>
      <w:proofErr w:type="spellStart"/>
      <w:r w:rsidRPr="00CF5F52">
        <w:rPr>
          <w:sz w:val="22"/>
          <w:szCs w:val="22"/>
          <w:lang w:val="sr-Latn-ME"/>
        </w:rPr>
        <w:t>testoster</w:t>
      </w:r>
      <w:r w:rsidR="007B00BE" w:rsidRPr="00CF5F52">
        <w:rPr>
          <w:sz w:val="22"/>
          <w:szCs w:val="22"/>
          <w:lang w:val="sr-Latn-ME"/>
        </w:rPr>
        <w:t>o</w:t>
      </w:r>
      <w:r w:rsidRPr="00CF5F52">
        <w:rPr>
          <w:sz w:val="22"/>
          <w:szCs w:val="22"/>
          <w:lang w:val="sr-Latn-ME"/>
        </w:rPr>
        <w:t>na</w:t>
      </w:r>
      <w:proofErr w:type="spellEnd"/>
      <w:r w:rsidRPr="00CF5F52">
        <w:rPr>
          <w:sz w:val="22"/>
          <w:szCs w:val="22"/>
          <w:lang w:val="sr-Latn-ME"/>
        </w:rPr>
        <w:t xml:space="preserve">, kisele </w:t>
      </w:r>
      <w:proofErr w:type="spellStart"/>
      <w:r w:rsidRPr="00CF5F52">
        <w:rPr>
          <w:sz w:val="22"/>
          <w:szCs w:val="22"/>
          <w:lang w:val="sr-Latn-ME"/>
        </w:rPr>
        <w:t>fosfataze</w:t>
      </w:r>
      <w:proofErr w:type="spellEnd"/>
      <w:r w:rsidRPr="00CF5F52">
        <w:rPr>
          <w:sz w:val="22"/>
          <w:szCs w:val="22"/>
          <w:lang w:val="sr-Latn-ME"/>
        </w:rPr>
        <w:t xml:space="preserve"> i PSA (prostata specifičnog </w:t>
      </w:r>
      <w:proofErr w:type="spellStart"/>
      <w:r w:rsidRPr="00CF5F52">
        <w:rPr>
          <w:sz w:val="22"/>
          <w:szCs w:val="22"/>
          <w:lang w:val="sr-Latn-ME"/>
        </w:rPr>
        <w:t>antigena</w:t>
      </w:r>
      <w:proofErr w:type="spellEnd"/>
      <w:r w:rsidRPr="00CF5F52">
        <w:rPr>
          <w:sz w:val="22"/>
          <w:szCs w:val="22"/>
          <w:lang w:val="sr-Latn-ME"/>
        </w:rPr>
        <w:t>). Na početku terapije dolazi do porasta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>, ali nakon toga opadaju u periodu od 2 ned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elje. Nakon 2 - 4 ned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elje, dostignute koncentracije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su uporedive sa onim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ednostima koje su zab</w:t>
      </w:r>
      <w:r w:rsidR="004931D0" w:rsidRPr="00CF5F52">
        <w:rPr>
          <w:sz w:val="22"/>
          <w:szCs w:val="22"/>
          <w:lang w:val="sr-Latn-ME"/>
        </w:rPr>
        <w:t>ilj</w:t>
      </w:r>
      <w:r w:rsidRPr="00CF5F52">
        <w:rPr>
          <w:sz w:val="22"/>
          <w:szCs w:val="22"/>
          <w:lang w:val="sr-Latn-ME"/>
        </w:rPr>
        <w:t xml:space="preserve">ežene nakon bilateralne </w:t>
      </w:r>
      <w:proofErr w:type="spellStart"/>
      <w:r w:rsidRPr="00CF5F52">
        <w:rPr>
          <w:sz w:val="22"/>
          <w:szCs w:val="22"/>
          <w:lang w:val="sr-Latn-ME"/>
        </w:rPr>
        <w:t>orhiektomije</w:t>
      </w:r>
      <w:proofErr w:type="spellEnd"/>
      <w:r w:rsidRPr="00CF5F52">
        <w:rPr>
          <w:sz w:val="22"/>
          <w:szCs w:val="22"/>
          <w:lang w:val="sr-Latn-ME"/>
        </w:rPr>
        <w:t xml:space="preserve"> i zatim ostaju konstantne tokom c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elokupnog perioda terapije.</w:t>
      </w:r>
    </w:p>
    <w:p w14:paraId="206A1750" w14:textId="2BF44F49" w:rsidR="002B4C79" w:rsidRPr="00CF5F52" w:rsidRDefault="002B4C79" w:rsidP="00676BE4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Prolazni porast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kisele </w:t>
      </w:r>
      <w:proofErr w:type="spellStart"/>
      <w:r w:rsidRPr="00CF5F52">
        <w:rPr>
          <w:sz w:val="22"/>
          <w:szCs w:val="22"/>
          <w:lang w:val="sr-Latn-ME"/>
        </w:rPr>
        <w:t>fosfataze</w:t>
      </w:r>
      <w:proofErr w:type="spellEnd"/>
      <w:r w:rsidRPr="00CF5F52">
        <w:rPr>
          <w:sz w:val="22"/>
          <w:szCs w:val="22"/>
          <w:lang w:val="sr-Latn-ME"/>
        </w:rPr>
        <w:t xml:space="preserve"> se može javiti tokom inicijalne faze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ečenja. Obično se nakon nekoliko ned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elja ponovo postižu normalne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 ili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 bliske normalnim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ednostima.</w:t>
      </w:r>
    </w:p>
    <w:p w14:paraId="459E144A" w14:textId="77777777" w:rsidR="004E70AD" w:rsidRPr="00CF5F52" w:rsidRDefault="004E70AD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D2D662F" w14:textId="36A67EED" w:rsidR="00D83B57" w:rsidRPr="00CF5F52" w:rsidRDefault="00D83B57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U </w:t>
      </w:r>
      <w:proofErr w:type="spellStart"/>
      <w:r w:rsidRPr="00CF5F52">
        <w:rPr>
          <w:sz w:val="22"/>
          <w:szCs w:val="22"/>
          <w:lang w:val="sr-Latn-ME"/>
        </w:rPr>
        <w:t>retkim</w:t>
      </w:r>
      <w:proofErr w:type="spellEnd"/>
      <w:r w:rsidRPr="00CF5F52">
        <w:rPr>
          <w:sz w:val="22"/>
          <w:szCs w:val="22"/>
          <w:lang w:val="sr-Latn-ME"/>
        </w:rPr>
        <w:t xml:space="preserve"> slučajevima došlo je do injekcijskih apscesa. U jednom slučaju injekcijskih apscesa </w:t>
      </w:r>
      <w:proofErr w:type="spellStart"/>
      <w:r w:rsidRPr="00CF5F52">
        <w:rPr>
          <w:sz w:val="22"/>
          <w:szCs w:val="22"/>
          <w:lang w:val="sr-Latn-ME"/>
        </w:rPr>
        <w:t>primijećena</w:t>
      </w:r>
      <w:proofErr w:type="spellEnd"/>
      <w:r w:rsidRPr="00CF5F52">
        <w:rPr>
          <w:sz w:val="22"/>
          <w:szCs w:val="22"/>
          <w:lang w:val="sr-Latn-ME"/>
        </w:rPr>
        <w:t xml:space="preserve"> je neadekvatna apsorpcija </w:t>
      </w:r>
      <w:proofErr w:type="spellStart"/>
      <w:r w:rsidRPr="00CF5F52">
        <w:rPr>
          <w:sz w:val="22"/>
          <w:szCs w:val="22"/>
          <w:lang w:val="sr-Latn-ME"/>
        </w:rPr>
        <w:t>leuprorelina</w:t>
      </w:r>
      <w:proofErr w:type="spellEnd"/>
      <w:r w:rsidRPr="00CF5F52">
        <w:rPr>
          <w:sz w:val="22"/>
          <w:szCs w:val="22"/>
          <w:lang w:val="sr-Latn-ME"/>
        </w:rPr>
        <w:t xml:space="preserve"> iz depo formulacije, pa u takvim slučajevima treba pratiti vrijednosti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2F84C688" w14:textId="77777777" w:rsidR="00D83B57" w:rsidRPr="00CF5F52" w:rsidRDefault="00D83B57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7D3A1E" w14:textId="77777777" w:rsidR="005A23D2" w:rsidRPr="00CF5F52" w:rsidRDefault="005A23D2" w:rsidP="00676BE4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CF5F52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B2B6591" w14:textId="0DB6ED8A" w:rsidR="005A23D2" w:rsidRDefault="005A23D2" w:rsidP="00676BE4">
      <w:pPr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>Prijavljivanje neželjenih dejstava nakon dobijanja dozvole</w:t>
      </w:r>
      <w:r w:rsidR="005D5FD5" w:rsidRPr="00CF5F52">
        <w:rPr>
          <w:rFonts w:eastAsia="Calibri"/>
          <w:sz w:val="22"/>
          <w:szCs w:val="22"/>
          <w:lang w:val="sr-Latn-ME"/>
        </w:rPr>
        <w:t xml:space="preserve"> za lijek</w:t>
      </w:r>
      <w:r w:rsidRPr="00CF5F52">
        <w:rPr>
          <w:rFonts w:eastAsia="Calibri"/>
          <w:sz w:val="22"/>
          <w:szCs w:val="22"/>
          <w:lang w:val="sr-Latn-ME"/>
        </w:rPr>
        <w:t xml:space="preserve"> je od velikog značaja jer obezbjeđuje kont</w:t>
      </w:r>
      <w:r w:rsidR="00EA5765" w:rsidRPr="00CF5F52">
        <w:rPr>
          <w:rFonts w:eastAsia="Calibri"/>
          <w:sz w:val="22"/>
          <w:szCs w:val="22"/>
          <w:lang w:val="sr-Latn-ME"/>
        </w:rPr>
        <w:t>inuirano praćenje odnosa korist</w:t>
      </w:r>
      <w:r w:rsidRPr="00CF5F52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CF5F52">
        <w:rPr>
          <w:rFonts w:eastAsia="Calibri"/>
          <w:sz w:val="22"/>
          <w:szCs w:val="22"/>
          <w:lang w:val="sr-Latn-ME"/>
        </w:rPr>
        <w:t xml:space="preserve"> </w:t>
      </w:r>
      <w:r w:rsidRPr="00CF5F52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CF5F52">
        <w:rPr>
          <w:rFonts w:eastAsia="Calibri"/>
          <w:sz w:val="22"/>
          <w:szCs w:val="22"/>
          <w:lang w:val="sr-Latn-ME"/>
        </w:rPr>
        <w:t>Institutu</w:t>
      </w:r>
      <w:r w:rsidRPr="00CF5F52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CF5F52">
        <w:rPr>
          <w:rFonts w:eastAsia="Calibri"/>
          <w:sz w:val="22"/>
          <w:szCs w:val="22"/>
          <w:lang w:val="sr-Latn-ME"/>
        </w:rPr>
        <w:t xml:space="preserve"> </w:t>
      </w:r>
      <w:r w:rsidRPr="00CF5F52">
        <w:rPr>
          <w:rFonts w:eastAsia="Calibri"/>
          <w:sz w:val="22"/>
          <w:szCs w:val="22"/>
          <w:lang w:val="sr-Latn-ME"/>
        </w:rPr>
        <w:t>(</w:t>
      </w:r>
      <w:r w:rsidR="004E70AD" w:rsidRPr="00CF5F52">
        <w:rPr>
          <w:rFonts w:eastAsia="Calibri"/>
          <w:sz w:val="22"/>
          <w:szCs w:val="22"/>
          <w:lang w:val="sr-Latn-ME"/>
        </w:rPr>
        <w:t>CInMED</w:t>
      </w:r>
      <w:r w:rsidRPr="00CF5F52">
        <w:rPr>
          <w:rFonts w:eastAsia="Calibri"/>
          <w:sz w:val="22"/>
          <w:szCs w:val="22"/>
          <w:lang w:val="sr-Latn-ME"/>
        </w:rPr>
        <w:t>):</w:t>
      </w:r>
    </w:p>
    <w:p w14:paraId="3DC37E22" w14:textId="77777777" w:rsidR="00254B40" w:rsidRPr="00CF5F52" w:rsidRDefault="00254B40" w:rsidP="00676BE4">
      <w:pPr>
        <w:jc w:val="both"/>
        <w:rPr>
          <w:rFonts w:eastAsia="Calibri"/>
          <w:sz w:val="22"/>
          <w:szCs w:val="22"/>
          <w:lang w:val="sr-Latn-ME"/>
        </w:rPr>
      </w:pPr>
    </w:p>
    <w:p w14:paraId="5AE44F41" w14:textId="77777777" w:rsidR="005A23D2" w:rsidRPr="00CF5F52" w:rsidRDefault="004E70AD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CF5F52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03C159D1" w14:textId="77777777" w:rsidR="005A23D2" w:rsidRPr="00CF5F52" w:rsidRDefault="005A23D2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CF5F52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B7E718A" w14:textId="6A20EE25" w:rsidR="00EA5765" w:rsidRPr="00CF5F52" w:rsidRDefault="005A23D2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CF5F52">
        <w:rPr>
          <w:rFonts w:eastAsia="Calibri"/>
          <w:sz w:val="22"/>
          <w:szCs w:val="22"/>
          <w:lang w:val="sr-Latn-ME"/>
        </w:rPr>
        <w:t>64a</w:t>
      </w:r>
      <w:proofErr w:type="spellEnd"/>
      <w:r w:rsidRPr="00CF5F52">
        <w:rPr>
          <w:rFonts w:eastAsia="Calibri"/>
          <w:sz w:val="22"/>
          <w:szCs w:val="22"/>
          <w:lang w:val="sr-Latn-ME"/>
        </w:rPr>
        <w:t>, 81000 Podgorica</w:t>
      </w:r>
    </w:p>
    <w:p w14:paraId="5CD6896E" w14:textId="77777777" w:rsidR="005A23D2" w:rsidRPr="00CF5F52" w:rsidRDefault="005A23D2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>tel: +382 (0) 20 310 280</w:t>
      </w:r>
    </w:p>
    <w:p w14:paraId="2D633A0C" w14:textId="77777777" w:rsidR="00EA5765" w:rsidRPr="00CF5F52" w:rsidRDefault="005A23D2" w:rsidP="00676BE4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F5F52">
        <w:rPr>
          <w:rFonts w:eastAsia="Calibri"/>
          <w:sz w:val="22"/>
          <w:szCs w:val="22"/>
          <w:lang w:val="sr-Latn-ME"/>
        </w:rPr>
        <w:t>fax</w:t>
      </w:r>
      <w:proofErr w:type="spellEnd"/>
      <w:r w:rsidRPr="00CF5F52">
        <w:rPr>
          <w:rFonts w:eastAsia="Calibri"/>
          <w:sz w:val="22"/>
          <w:szCs w:val="22"/>
          <w:lang w:val="sr-Latn-ME"/>
        </w:rPr>
        <w:t>:</w:t>
      </w:r>
      <w:r w:rsidR="00EA5765" w:rsidRPr="00CF5F52">
        <w:rPr>
          <w:rFonts w:eastAsia="Calibri"/>
          <w:sz w:val="22"/>
          <w:szCs w:val="22"/>
          <w:lang w:val="sr-Latn-ME"/>
        </w:rPr>
        <w:t xml:space="preserve"> </w:t>
      </w:r>
      <w:r w:rsidRPr="00CF5F52">
        <w:rPr>
          <w:rFonts w:eastAsia="Calibri"/>
          <w:sz w:val="22"/>
          <w:szCs w:val="22"/>
          <w:lang w:val="sr-Latn-ME"/>
        </w:rPr>
        <w:t>+382 (0) 20 310 581</w:t>
      </w:r>
      <w:r w:rsidR="00FF3EDF" w:rsidRPr="00CF5F52">
        <w:rPr>
          <w:rFonts w:eastAsia="Calibri"/>
          <w:sz w:val="22"/>
          <w:szCs w:val="22"/>
          <w:lang w:val="sr-Latn-ME"/>
        </w:rPr>
        <w:tab/>
      </w:r>
    </w:p>
    <w:p w14:paraId="52B6A637" w14:textId="77777777" w:rsidR="005A23D2" w:rsidRPr="00CF5F52" w:rsidRDefault="00E20979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6" w:history="1">
        <w:r w:rsidR="004E70AD" w:rsidRPr="00CF5F52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4136D3D" w14:textId="77777777" w:rsidR="00EA5765" w:rsidRPr="00CF5F52" w:rsidRDefault="00E20979" w:rsidP="00676BE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7" w:history="1">
        <w:r w:rsidR="004E70AD" w:rsidRPr="00CF5F52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8528E29" w14:textId="77777777" w:rsidR="005A23D2" w:rsidRPr="00CF5F52" w:rsidRDefault="005A23D2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rFonts w:eastAsia="Calibri"/>
          <w:sz w:val="22"/>
          <w:szCs w:val="22"/>
          <w:lang w:val="sr-Latn-ME"/>
        </w:rPr>
        <w:t>putem IS zdravstvene zaštite</w:t>
      </w:r>
    </w:p>
    <w:p w14:paraId="52247BEE" w14:textId="77777777" w:rsidR="007E31E9" w:rsidRPr="00CF5F52" w:rsidRDefault="007E31E9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CF5F52">
        <w:rPr>
          <w:rFonts w:eastAsia="Calibri"/>
          <w:sz w:val="22"/>
          <w:szCs w:val="22"/>
          <w:lang w:val="sr-Latn-ME"/>
        </w:rPr>
        <w:t>QR</w:t>
      </w:r>
      <w:proofErr w:type="spellEnd"/>
      <w:r w:rsidRPr="00CF5F52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CF5F52">
        <w:rPr>
          <w:rFonts w:eastAsia="Calibri"/>
          <w:sz w:val="22"/>
          <w:szCs w:val="22"/>
          <w:lang w:val="sr-Latn-ME"/>
        </w:rPr>
        <w:t>online</w:t>
      </w:r>
      <w:proofErr w:type="spellEnd"/>
      <w:r w:rsidRPr="00CF5F52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CF5F52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CF5F52">
        <w:rPr>
          <w:rFonts w:eastAsia="Calibri"/>
          <w:sz w:val="22"/>
          <w:szCs w:val="22"/>
          <w:lang w:val="sr-Latn-ME"/>
        </w:rPr>
        <w:t>:</w:t>
      </w:r>
    </w:p>
    <w:p w14:paraId="5CB34CC6" w14:textId="77777777" w:rsidR="007E31E9" w:rsidRPr="00CF5F52" w:rsidRDefault="007E31E9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59536AC" w14:textId="77777777" w:rsidR="004F17E2" w:rsidRPr="00CF5F52" w:rsidRDefault="007E31E9" w:rsidP="00676B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F5F52">
        <w:rPr>
          <w:noProof/>
          <w:sz w:val="22"/>
          <w:szCs w:val="22"/>
          <w:lang w:val="sr-Latn-ME" w:eastAsia="sr-Latn-ME"/>
        </w:rPr>
        <w:drawing>
          <wp:inline distT="0" distB="0" distL="0" distR="0" wp14:anchorId="4AEDE89A" wp14:editId="24013363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5028" w14:textId="77777777" w:rsidR="00836B35" w:rsidRPr="00CF5F52" w:rsidRDefault="00836B35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B92E90B" w14:textId="77777777" w:rsidR="00CD6F02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4.9.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proofErr w:type="spellStart"/>
      <w:r w:rsidRPr="00CF5F52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CF5F52">
        <w:rPr>
          <w:b/>
          <w:bCs/>
          <w:sz w:val="22"/>
          <w:szCs w:val="22"/>
          <w:lang w:val="sr-Latn-ME"/>
        </w:rPr>
        <w:t xml:space="preserve"> </w:t>
      </w:r>
    </w:p>
    <w:p w14:paraId="50617917" w14:textId="77777777" w:rsidR="002B4C79" w:rsidRPr="00CF5F52" w:rsidRDefault="002B4C79" w:rsidP="00676BE4">
      <w:pPr>
        <w:tabs>
          <w:tab w:val="left" w:pos="1275"/>
        </w:tabs>
        <w:jc w:val="both"/>
        <w:rPr>
          <w:b/>
          <w:bCs/>
          <w:sz w:val="22"/>
          <w:szCs w:val="22"/>
          <w:lang w:val="sr-Latn-ME"/>
        </w:rPr>
      </w:pPr>
    </w:p>
    <w:p w14:paraId="6A85F475" w14:textId="5E6E2D9F" w:rsidR="002B4C79" w:rsidRPr="00CF5F52" w:rsidRDefault="002B4C79" w:rsidP="00676BE4">
      <w:pPr>
        <w:tabs>
          <w:tab w:val="left" w:pos="1275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Do danas nisu zab</w:t>
      </w:r>
      <w:r w:rsidR="004931D0" w:rsidRPr="00CF5F52">
        <w:rPr>
          <w:sz w:val="22"/>
          <w:szCs w:val="22"/>
          <w:lang w:val="sr-Latn-ME"/>
        </w:rPr>
        <w:t>ilj</w:t>
      </w:r>
      <w:r w:rsidRPr="00CF5F52">
        <w:rPr>
          <w:sz w:val="22"/>
          <w:szCs w:val="22"/>
          <w:lang w:val="sr-Latn-ME"/>
        </w:rPr>
        <w:t xml:space="preserve">eženi simptomi </w:t>
      </w:r>
      <w:proofErr w:type="spellStart"/>
      <w:r w:rsidRPr="00CF5F52">
        <w:rPr>
          <w:sz w:val="22"/>
          <w:szCs w:val="22"/>
          <w:lang w:val="sr-Latn-ME"/>
        </w:rPr>
        <w:t>intoksikacije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0D508083" w14:textId="77777777" w:rsidR="002B4C79" w:rsidRPr="00CF5F52" w:rsidRDefault="002B4C79" w:rsidP="00676BE4">
      <w:pPr>
        <w:tabs>
          <w:tab w:val="left" w:pos="1275"/>
        </w:tabs>
        <w:jc w:val="both"/>
        <w:rPr>
          <w:sz w:val="22"/>
          <w:szCs w:val="22"/>
          <w:lang w:val="sr-Latn-ME"/>
        </w:rPr>
      </w:pPr>
    </w:p>
    <w:p w14:paraId="5C15DB8E" w14:textId="1611F755" w:rsidR="00227BDB" w:rsidRPr="00CF5F52" w:rsidRDefault="002B4C79" w:rsidP="00676BE4">
      <w:pPr>
        <w:tabs>
          <w:tab w:val="left" w:pos="1275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lastRenderedPageBreak/>
        <w:t>Čak i kada se prim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ene doze do 20 mg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 na dan, tokom 2 godine, što je bio slučaj u prvim kliničkim studijama, nisu se pojavila druga ili nova neželjena dejstva koja bi se razlikovala od onih koja su zab</w:t>
      </w:r>
      <w:r w:rsidR="004931D0" w:rsidRPr="00CF5F52">
        <w:rPr>
          <w:sz w:val="22"/>
          <w:szCs w:val="22"/>
          <w:lang w:val="sr-Latn-ME"/>
        </w:rPr>
        <w:t>ilj</w:t>
      </w:r>
      <w:r w:rsidRPr="00CF5F52">
        <w:rPr>
          <w:sz w:val="22"/>
          <w:szCs w:val="22"/>
          <w:lang w:val="sr-Latn-ME"/>
        </w:rPr>
        <w:t>ežena pri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eni dnevne doze od 1 mg ili doze od 11,25 mg jednom u 3 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eseca.</w:t>
      </w:r>
    </w:p>
    <w:p w14:paraId="7D397A31" w14:textId="2724E1F5" w:rsidR="004931D0" w:rsidRPr="00CF5F52" w:rsidRDefault="004931D0" w:rsidP="00676BE4">
      <w:pPr>
        <w:tabs>
          <w:tab w:val="left" w:pos="1275"/>
        </w:tabs>
        <w:jc w:val="both"/>
        <w:rPr>
          <w:sz w:val="22"/>
          <w:szCs w:val="22"/>
          <w:lang w:val="sr-Latn-ME"/>
        </w:rPr>
      </w:pPr>
    </w:p>
    <w:p w14:paraId="4CFD351E" w14:textId="77777777" w:rsidR="008B1DE0" w:rsidRPr="00CF5F52" w:rsidRDefault="008B1DE0" w:rsidP="00676BE4">
      <w:pPr>
        <w:tabs>
          <w:tab w:val="left" w:pos="1275"/>
        </w:tabs>
        <w:jc w:val="both"/>
        <w:rPr>
          <w:sz w:val="22"/>
          <w:szCs w:val="22"/>
          <w:lang w:val="sr-Latn-ME"/>
        </w:rPr>
      </w:pPr>
    </w:p>
    <w:p w14:paraId="4D94AF3A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5.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FARMAKOLOŠK</w:t>
      </w:r>
      <w:r w:rsidR="000D425A" w:rsidRPr="00CF5F52">
        <w:rPr>
          <w:b/>
          <w:bCs/>
          <w:sz w:val="22"/>
          <w:szCs w:val="22"/>
          <w:lang w:val="sr-Latn-ME"/>
        </w:rPr>
        <w:t>I</w:t>
      </w:r>
      <w:r w:rsidRPr="00CF5F52">
        <w:rPr>
          <w:b/>
          <w:bCs/>
          <w:sz w:val="22"/>
          <w:szCs w:val="22"/>
          <w:lang w:val="sr-Latn-ME"/>
        </w:rPr>
        <w:t xml:space="preserve"> PODACI</w:t>
      </w:r>
    </w:p>
    <w:p w14:paraId="5C131956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BFED34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5.1.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proofErr w:type="spellStart"/>
      <w:r w:rsidRPr="00CF5F52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CF5F52">
        <w:rPr>
          <w:b/>
          <w:bCs/>
          <w:sz w:val="22"/>
          <w:szCs w:val="22"/>
          <w:lang w:val="sr-Latn-ME"/>
        </w:rPr>
        <w:t xml:space="preserve"> podaci</w:t>
      </w:r>
      <w:r w:rsidR="003A7059" w:rsidRPr="00CF5F52">
        <w:rPr>
          <w:b/>
          <w:bCs/>
          <w:sz w:val="22"/>
          <w:szCs w:val="22"/>
          <w:lang w:val="sr-Latn-ME"/>
        </w:rPr>
        <w:t xml:space="preserve"> </w:t>
      </w:r>
    </w:p>
    <w:p w14:paraId="54FBD27C" w14:textId="77777777" w:rsidR="00F45F77" w:rsidRPr="00CF5F52" w:rsidRDefault="00F45F77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BC6BCC8" w14:textId="339A9871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/>
          <w:sz w:val="22"/>
          <w:szCs w:val="22"/>
          <w:lang w:val="sr-Latn-ME"/>
        </w:rPr>
        <w:t>Farmakoterapijska</w:t>
      </w:r>
      <w:proofErr w:type="spellEnd"/>
      <w:r w:rsidRPr="00CF5F52">
        <w:rPr>
          <w:b/>
          <w:sz w:val="22"/>
          <w:szCs w:val="22"/>
          <w:lang w:val="sr-Latn-ME"/>
        </w:rPr>
        <w:t xml:space="preserve"> grupa:</w:t>
      </w:r>
      <w:r w:rsidR="002B4C79" w:rsidRPr="00CF5F52">
        <w:rPr>
          <w:sz w:val="22"/>
          <w:szCs w:val="22"/>
          <w:lang w:val="sr-Latn-ME"/>
        </w:rPr>
        <w:t xml:space="preserve"> </w:t>
      </w:r>
      <w:r w:rsidR="00D83B57" w:rsidRPr="00CF5F52">
        <w:rPr>
          <w:bCs/>
          <w:sz w:val="22"/>
          <w:szCs w:val="22"/>
          <w:lang w:val="sr-Latn-ME"/>
        </w:rPr>
        <w:t>H</w:t>
      </w:r>
      <w:r w:rsidR="002B4C79" w:rsidRPr="00CF5F52">
        <w:rPr>
          <w:bCs/>
          <w:sz w:val="22"/>
          <w:szCs w:val="22"/>
          <w:lang w:val="sr-Latn-ME"/>
        </w:rPr>
        <w:t>ormoni i srodni l</w:t>
      </w:r>
      <w:r w:rsidR="004931D0" w:rsidRPr="00CF5F52">
        <w:rPr>
          <w:bCs/>
          <w:sz w:val="22"/>
          <w:szCs w:val="22"/>
          <w:lang w:val="sr-Latn-ME"/>
        </w:rPr>
        <w:t>j</w:t>
      </w:r>
      <w:r w:rsidR="002B4C79" w:rsidRPr="00CF5F52">
        <w:rPr>
          <w:bCs/>
          <w:sz w:val="22"/>
          <w:szCs w:val="22"/>
          <w:lang w:val="sr-Latn-ME"/>
        </w:rPr>
        <w:t xml:space="preserve">ekovi; </w:t>
      </w:r>
      <w:proofErr w:type="spellStart"/>
      <w:r w:rsidR="00D83B57" w:rsidRPr="00CF5F52">
        <w:rPr>
          <w:bCs/>
          <w:sz w:val="22"/>
          <w:szCs w:val="22"/>
          <w:lang w:val="sr-Latn-ME"/>
        </w:rPr>
        <w:t>A</w:t>
      </w:r>
      <w:r w:rsidR="002B4C79" w:rsidRPr="00CF5F52">
        <w:rPr>
          <w:bCs/>
          <w:sz w:val="22"/>
          <w:szCs w:val="22"/>
          <w:lang w:val="sr-Latn-ME"/>
        </w:rPr>
        <w:t>nalozi</w:t>
      </w:r>
      <w:proofErr w:type="spellEnd"/>
      <w:r w:rsidR="002B4C79"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="00D83B57" w:rsidRPr="00CF5F52">
        <w:rPr>
          <w:bCs/>
          <w:sz w:val="22"/>
          <w:szCs w:val="22"/>
          <w:lang w:val="sr-Latn-ME"/>
        </w:rPr>
        <w:t>gonadotropin</w:t>
      </w:r>
      <w:proofErr w:type="spellEnd"/>
      <w:r w:rsidR="00D83B57" w:rsidRPr="00CF5F52">
        <w:rPr>
          <w:bCs/>
          <w:sz w:val="22"/>
          <w:szCs w:val="22"/>
          <w:lang w:val="sr-Latn-ME"/>
        </w:rPr>
        <w:t xml:space="preserve">-oslobađajućeg </w:t>
      </w:r>
      <w:r w:rsidR="002B4C79" w:rsidRPr="00CF5F52">
        <w:rPr>
          <w:bCs/>
          <w:sz w:val="22"/>
          <w:szCs w:val="22"/>
          <w:lang w:val="sr-Latn-ME"/>
        </w:rPr>
        <w:t>hormona</w:t>
      </w:r>
    </w:p>
    <w:p w14:paraId="72452769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4197AA8" w14:textId="66B01E6C" w:rsidR="002E37A5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/>
          <w:sz w:val="22"/>
          <w:szCs w:val="22"/>
          <w:lang w:val="sr-Latn-ME"/>
        </w:rPr>
        <w:t>ATC kod:</w:t>
      </w:r>
      <w:r w:rsidR="002B4C79" w:rsidRPr="00CF5F52">
        <w:rPr>
          <w:spacing w:val="-2"/>
          <w:sz w:val="22"/>
          <w:szCs w:val="22"/>
          <w:lang w:val="sr-Latn-ME"/>
        </w:rPr>
        <w:t xml:space="preserve"> </w:t>
      </w:r>
      <w:r w:rsidR="002B4C79" w:rsidRPr="00CF5F52">
        <w:rPr>
          <w:bCs/>
          <w:sz w:val="22"/>
          <w:szCs w:val="22"/>
          <w:lang w:val="sr-Latn-ME"/>
        </w:rPr>
        <w:t>L02AE02</w:t>
      </w:r>
    </w:p>
    <w:p w14:paraId="43051D5E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9C3C1B6" w14:textId="4A4A39E4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C446BC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acetat, aktivna supstanca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Sandoz, je sintetski </w:t>
      </w:r>
      <w:proofErr w:type="spellStart"/>
      <w:r w:rsidRPr="00CF5F52">
        <w:rPr>
          <w:sz w:val="22"/>
          <w:szCs w:val="22"/>
          <w:lang w:val="sr-Latn-ME"/>
        </w:rPr>
        <w:t>analog</w:t>
      </w:r>
      <w:proofErr w:type="spellEnd"/>
      <w:r w:rsidRPr="00CF5F52">
        <w:rPr>
          <w:sz w:val="22"/>
          <w:szCs w:val="22"/>
          <w:lang w:val="sr-Latn-ME"/>
        </w:rPr>
        <w:t xml:space="preserve"> prirodnog </w:t>
      </w:r>
      <w:proofErr w:type="spellStart"/>
      <w:r w:rsidRPr="00CF5F52">
        <w:rPr>
          <w:sz w:val="22"/>
          <w:szCs w:val="22"/>
          <w:lang w:val="sr-Latn-ME"/>
        </w:rPr>
        <w:t>luteinizirajućeg</w:t>
      </w:r>
      <w:proofErr w:type="spellEnd"/>
      <w:r w:rsidRPr="00CF5F52">
        <w:rPr>
          <w:sz w:val="22"/>
          <w:szCs w:val="22"/>
          <w:lang w:val="sr-Latn-ME"/>
        </w:rPr>
        <w:t xml:space="preserve"> oslobađajućeg hormona (engl. </w:t>
      </w:r>
      <w:proofErr w:type="spellStart"/>
      <w:r w:rsidRPr="00CF5F52">
        <w:rPr>
          <w:i/>
          <w:sz w:val="22"/>
          <w:szCs w:val="22"/>
          <w:lang w:val="sr-Latn-ME"/>
        </w:rPr>
        <w:t>luteinizing</w:t>
      </w:r>
      <w:proofErr w:type="spellEnd"/>
      <w:r w:rsidRPr="00CF5F52">
        <w:rPr>
          <w:i/>
          <w:sz w:val="22"/>
          <w:szCs w:val="22"/>
          <w:lang w:val="sr-Latn-ME"/>
        </w:rPr>
        <w:t>-hormone-</w:t>
      </w:r>
      <w:proofErr w:type="spellStart"/>
      <w:r w:rsidRPr="00CF5F52">
        <w:rPr>
          <w:i/>
          <w:sz w:val="22"/>
          <w:szCs w:val="22"/>
          <w:lang w:val="sr-Latn-ME"/>
        </w:rPr>
        <w:t>releasing</w:t>
      </w:r>
      <w:proofErr w:type="spellEnd"/>
      <w:r w:rsidRPr="00CF5F52">
        <w:rPr>
          <w:i/>
          <w:sz w:val="22"/>
          <w:szCs w:val="22"/>
          <w:lang w:val="sr-Latn-ME"/>
        </w:rPr>
        <w:t xml:space="preserve"> hormone</w:t>
      </w:r>
      <w:r w:rsidRPr="00CF5F52">
        <w:rPr>
          <w:sz w:val="22"/>
          <w:szCs w:val="22"/>
          <w:lang w:val="sr-Latn-ME"/>
        </w:rPr>
        <w:t xml:space="preserve">,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) </w:t>
      </w:r>
      <w:proofErr w:type="spellStart"/>
      <w:r w:rsidRPr="00CF5F52">
        <w:rPr>
          <w:sz w:val="22"/>
          <w:szCs w:val="22"/>
          <w:lang w:val="sr-Latn-ME"/>
        </w:rPr>
        <w:t>hipotalamusa</w:t>
      </w:r>
      <w:proofErr w:type="spellEnd"/>
      <w:r w:rsidRPr="00CF5F52">
        <w:rPr>
          <w:sz w:val="22"/>
          <w:szCs w:val="22"/>
          <w:lang w:val="sr-Latn-ME"/>
        </w:rPr>
        <w:t xml:space="preserve">, koji kontroliše oslobađanje </w:t>
      </w:r>
      <w:proofErr w:type="spellStart"/>
      <w:r w:rsidRPr="00CF5F52">
        <w:rPr>
          <w:sz w:val="22"/>
          <w:szCs w:val="22"/>
          <w:lang w:val="sr-Latn-ME"/>
        </w:rPr>
        <w:t>gonadotropnih</w:t>
      </w:r>
      <w:proofErr w:type="spellEnd"/>
      <w:r w:rsidRPr="00CF5F52">
        <w:rPr>
          <w:sz w:val="22"/>
          <w:szCs w:val="22"/>
          <w:lang w:val="sr-Latn-ME"/>
        </w:rPr>
        <w:t xml:space="preserve"> hormona </w:t>
      </w:r>
      <w:proofErr w:type="spellStart"/>
      <w:r w:rsidRPr="00CF5F52">
        <w:rPr>
          <w:sz w:val="22"/>
          <w:szCs w:val="22"/>
          <w:lang w:val="sr-Latn-ME"/>
        </w:rPr>
        <w:t>LH</w:t>
      </w:r>
      <w:proofErr w:type="spellEnd"/>
      <w:r w:rsidRPr="00CF5F52">
        <w:rPr>
          <w:sz w:val="22"/>
          <w:szCs w:val="22"/>
          <w:lang w:val="sr-Latn-ME"/>
        </w:rPr>
        <w:t xml:space="preserve"> (</w:t>
      </w:r>
      <w:proofErr w:type="spellStart"/>
      <w:r w:rsidRPr="00CF5F52">
        <w:rPr>
          <w:sz w:val="22"/>
          <w:szCs w:val="22"/>
          <w:lang w:val="sr-Latn-ME"/>
        </w:rPr>
        <w:t>luteinizirajućeg</w:t>
      </w:r>
      <w:proofErr w:type="spellEnd"/>
      <w:r w:rsidRPr="00CF5F52">
        <w:rPr>
          <w:sz w:val="22"/>
          <w:szCs w:val="22"/>
          <w:lang w:val="sr-Latn-ME"/>
        </w:rPr>
        <w:t xml:space="preserve"> hormona) i </w:t>
      </w:r>
      <w:proofErr w:type="spellStart"/>
      <w:r w:rsidRPr="00CF5F52">
        <w:rPr>
          <w:sz w:val="22"/>
          <w:szCs w:val="22"/>
          <w:lang w:val="sr-Latn-ME"/>
        </w:rPr>
        <w:t>FSH</w:t>
      </w:r>
      <w:proofErr w:type="spellEnd"/>
      <w:r w:rsidRPr="00CF5F52">
        <w:rPr>
          <w:sz w:val="22"/>
          <w:szCs w:val="22"/>
          <w:lang w:val="sr-Latn-ME"/>
        </w:rPr>
        <w:t xml:space="preserve"> (</w:t>
      </w:r>
      <w:proofErr w:type="spellStart"/>
      <w:r w:rsidRPr="00CF5F52">
        <w:rPr>
          <w:sz w:val="22"/>
          <w:szCs w:val="22"/>
          <w:lang w:val="sr-Latn-ME"/>
        </w:rPr>
        <w:t>folikulostimulirajućeg</w:t>
      </w:r>
      <w:proofErr w:type="spellEnd"/>
      <w:r w:rsidRPr="00CF5F52">
        <w:rPr>
          <w:sz w:val="22"/>
          <w:szCs w:val="22"/>
          <w:lang w:val="sr-Latn-ME"/>
        </w:rPr>
        <w:t xml:space="preserve"> hormona) iz prednjeg režnja hipofize. Ovi hormoni zauzvrat stimulišu sintezu </w:t>
      </w:r>
      <w:proofErr w:type="spellStart"/>
      <w:r w:rsidRPr="00CF5F52">
        <w:rPr>
          <w:sz w:val="22"/>
          <w:szCs w:val="22"/>
          <w:lang w:val="sr-Latn-ME"/>
        </w:rPr>
        <w:t>gonadalnih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steroida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15EB5769" w14:textId="1C9BBAA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Nasuprot prirodnom LHRH, koji se oslobađa iz </w:t>
      </w:r>
      <w:proofErr w:type="spellStart"/>
      <w:r w:rsidRPr="00CF5F52">
        <w:rPr>
          <w:sz w:val="22"/>
          <w:szCs w:val="22"/>
          <w:lang w:val="sr-Latn-ME"/>
        </w:rPr>
        <w:t>hipotalamusa</w:t>
      </w:r>
      <w:proofErr w:type="spellEnd"/>
      <w:r w:rsidRPr="00CF5F52">
        <w:rPr>
          <w:sz w:val="22"/>
          <w:szCs w:val="22"/>
          <w:lang w:val="sr-Latn-ME"/>
        </w:rPr>
        <w:t xml:space="preserve"> na </w:t>
      </w:r>
      <w:proofErr w:type="spellStart"/>
      <w:r w:rsidRPr="00CF5F52">
        <w:rPr>
          <w:sz w:val="22"/>
          <w:szCs w:val="22"/>
          <w:lang w:val="sr-Latn-ME"/>
        </w:rPr>
        <w:t>pulsativan</w:t>
      </w:r>
      <w:proofErr w:type="spellEnd"/>
      <w:r w:rsidRPr="00CF5F52">
        <w:rPr>
          <w:sz w:val="22"/>
          <w:szCs w:val="22"/>
          <w:lang w:val="sr-Latn-ME"/>
        </w:rPr>
        <w:t xml:space="preserve"> način,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acetat poznat i kao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agonista</w:t>
      </w:r>
      <w:proofErr w:type="spellEnd"/>
      <w:r w:rsidRPr="00CF5F52">
        <w:rPr>
          <w:sz w:val="22"/>
          <w:szCs w:val="22"/>
          <w:lang w:val="sr-Latn-ME"/>
        </w:rPr>
        <w:t xml:space="preserve">, kontinuirano blokira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receptore u hipofizi tokom dugotrajne terapijske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ene, </w:t>
      </w:r>
      <w:proofErr w:type="spellStart"/>
      <w:r w:rsidRPr="00CF5F52">
        <w:rPr>
          <w:sz w:val="22"/>
          <w:szCs w:val="22"/>
          <w:lang w:val="sr-Latn-ME"/>
        </w:rPr>
        <w:t>uzrokujući</w:t>
      </w:r>
      <w:proofErr w:type="spellEnd"/>
      <w:r w:rsidRPr="00CF5F52">
        <w:rPr>
          <w:sz w:val="22"/>
          <w:szCs w:val="22"/>
          <w:lang w:val="sr-Latn-ME"/>
        </w:rPr>
        <w:t xml:space="preserve"> njihovu </w:t>
      </w:r>
      <w:proofErr w:type="spellStart"/>
      <w:r w:rsidRPr="00CF5F52">
        <w:rPr>
          <w:sz w:val="22"/>
          <w:szCs w:val="22"/>
          <w:lang w:val="sr-Latn-ME"/>
        </w:rPr>
        <w:t>desenzitizaciju</w:t>
      </w:r>
      <w:proofErr w:type="spellEnd"/>
      <w:r w:rsidRPr="00CF5F52">
        <w:rPr>
          <w:sz w:val="22"/>
          <w:szCs w:val="22"/>
          <w:lang w:val="sr-Latn-ME"/>
        </w:rPr>
        <w:t xml:space="preserve"> (engl. </w:t>
      </w:r>
      <w:proofErr w:type="spellStart"/>
      <w:r w:rsidRPr="00CF5F52">
        <w:rPr>
          <w:i/>
          <w:sz w:val="22"/>
          <w:szCs w:val="22"/>
          <w:lang w:val="sr-Latn-ME"/>
        </w:rPr>
        <w:t>down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regulation</w:t>
      </w:r>
      <w:proofErr w:type="spellEnd"/>
      <w:r w:rsidRPr="00CF5F52">
        <w:rPr>
          <w:sz w:val="22"/>
          <w:szCs w:val="22"/>
          <w:lang w:val="sr-Latn-ME"/>
        </w:rPr>
        <w:t xml:space="preserve">) nakon početne kratkotrajne stimulacije. Kao rezultat, dolazi do </w:t>
      </w:r>
      <w:proofErr w:type="spellStart"/>
      <w:r w:rsidRPr="00CF5F52">
        <w:rPr>
          <w:sz w:val="22"/>
          <w:szCs w:val="22"/>
          <w:lang w:val="sr-Latn-ME"/>
        </w:rPr>
        <w:t>reverzibilne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pituitarne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supresije</w:t>
      </w:r>
      <w:proofErr w:type="spellEnd"/>
      <w:r w:rsidRPr="00CF5F52">
        <w:rPr>
          <w:sz w:val="22"/>
          <w:szCs w:val="22"/>
          <w:lang w:val="sr-Latn-ME"/>
        </w:rPr>
        <w:t xml:space="preserve"> otpuštanja </w:t>
      </w:r>
      <w:proofErr w:type="spellStart"/>
      <w:r w:rsidRPr="00CF5F52">
        <w:rPr>
          <w:sz w:val="22"/>
          <w:szCs w:val="22"/>
          <w:lang w:val="sr-Latn-ME"/>
        </w:rPr>
        <w:t>gonadotropina</w:t>
      </w:r>
      <w:proofErr w:type="spellEnd"/>
      <w:r w:rsidRPr="00CF5F52">
        <w:rPr>
          <w:sz w:val="22"/>
          <w:szCs w:val="22"/>
          <w:lang w:val="sr-Latn-ME"/>
        </w:rPr>
        <w:t xml:space="preserve"> nakon čega sl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edi smanjenje koncentracije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00850707" w14:textId="0E2BB65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Koncentracija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se smanjuje što posl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edično utiče na rast </w:t>
      </w:r>
      <w:proofErr w:type="spellStart"/>
      <w:r w:rsidRPr="00CF5F52">
        <w:rPr>
          <w:sz w:val="22"/>
          <w:szCs w:val="22"/>
          <w:lang w:val="sr-Latn-ME"/>
        </w:rPr>
        <w:t>karcinomatoznog</w:t>
      </w:r>
      <w:proofErr w:type="spellEnd"/>
      <w:r w:rsidRPr="00CF5F52">
        <w:rPr>
          <w:sz w:val="22"/>
          <w:szCs w:val="22"/>
          <w:lang w:val="sr-Latn-ME"/>
        </w:rPr>
        <w:t xml:space="preserve"> tkiva prostate, koje je inače normalno stimulisano </w:t>
      </w:r>
      <w:proofErr w:type="spellStart"/>
      <w:r w:rsidRPr="00CF5F52">
        <w:rPr>
          <w:sz w:val="22"/>
          <w:szCs w:val="22"/>
          <w:lang w:val="sr-Latn-ME"/>
        </w:rPr>
        <w:t>dihidrotestosteronom</w:t>
      </w:r>
      <w:proofErr w:type="spellEnd"/>
      <w:r w:rsidRPr="00CF5F52">
        <w:rPr>
          <w:sz w:val="22"/>
          <w:szCs w:val="22"/>
          <w:lang w:val="sr-Latn-ME"/>
        </w:rPr>
        <w:t xml:space="preserve">, koji nastaje smanjenjem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u ćelijama prostate.</w:t>
      </w:r>
    </w:p>
    <w:p w14:paraId="703891C3" w14:textId="77777777" w:rsidR="00D83B57" w:rsidRPr="00CF5F52" w:rsidRDefault="00D83B57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A6B4DA5" w14:textId="1D54051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Kontinuiranom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8B1DE0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 smanjuje se broj i/ili os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etljivost (tzv. </w:t>
      </w:r>
      <w:r w:rsidRPr="00CF5F52">
        <w:rPr>
          <w:i/>
          <w:sz w:val="22"/>
          <w:szCs w:val="22"/>
          <w:lang w:val="sr-Latn-ME"/>
        </w:rPr>
        <w:t>„</w:t>
      </w:r>
      <w:proofErr w:type="spellStart"/>
      <w:r w:rsidRPr="00CF5F52">
        <w:rPr>
          <w:i/>
          <w:sz w:val="22"/>
          <w:szCs w:val="22"/>
          <w:lang w:val="sr-Latn-ME"/>
        </w:rPr>
        <w:t>down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regulation</w:t>
      </w:r>
      <w:proofErr w:type="spellEnd"/>
      <w:r w:rsidRPr="00CF5F52">
        <w:rPr>
          <w:i/>
          <w:sz w:val="22"/>
          <w:szCs w:val="22"/>
          <w:lang w:val="sr-Latn-ME"/>
        </w:rPr>
        <w:t>”</w:t>
      </w:r>
      <w:r w:rsidRPr="00CF5F52">
        <w:rPr>
          <w:sz w:val="22"/>
          <w:szCs w:val="22"/>
          <w:lang w:val="sr-Latn-ME"/>
        </w:rPr>
        <w:t>) receptora hipofize, što posl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edično dovodi do smanjenja koncentracija LH, FSH i DHT; pri tome se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smanjuje do </w:t>
      </w:r>
      <w:proofErr w:type="spellStart"/>
      <w:r w:rsidRPr="00CF5F52">
        <w:rPr>
          <w:sz w:val="22"/>
          <w:szCs w:val="22"/>
          <w:lang w:val="sr-Latn-ME"/>
        </w:rPr>
        <w:t>kastracijskih</w:t>
      </w:r>
      <w:proofErr w:type="spellEnd"/>
      <w:r w:rsidRPr="00CF5F52">
        <w:rPr>
          <w:sz w:val="22"/>
          <w:szCs w:val="22"/>
          <w:lang w:val="sr-Latn-ME"/>
        </w:rPr>
        <w:t xml:space="preserve">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ednosti.</w:t>
      </w:r>
    </w:p>
    <w:p w14:paraId="518E6BF6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D0AA79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CF5F52">
        <w:rPr>
          <w:sz w:val="22"/>
          <w:szCs w:val="22"/>
          <w:lang w:val="sr-Latn-ME"/>
        </w:rPr>
        <w:t>Antiandrogeno</w:t>
      </w:r>
      <w:proofErr w:type="spellEnd"/>
      <w:r w:rsidRPr="00CF5F52">
        <w:rPr>
          <w:sz w:val="22"/>
          <w:szCs w:val="22"/>
          <w:lang w:val="sr-Latn-ME"/>
        </w:rPr>
        <w:t xml:space="preserve"> dejstvo, kao i dejstvo inhibicije rasta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potvrđeni su i u ispitivanjima sprovedenim na životinjama.</w:t>
      </w:r>
    </w:p>
    <w:p w14:paraId="4CBC60E2" w14:textId="77777777" w:rsidR="00D83B57" w:rsidRPr="00CF5F52" w:rsidRDefault="00D83B57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328CDE7" w14:textId="3B54F3B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Prema rezultatima </w:t>
      </w:r>
      <w:proofErr w:type="spellStart"/>
      <w:r w:rsidRPr="00CF5F52">
        <w:rPr>
          <w:sz w:val="22"/>
          <w:szCs w:val="22"/>
          <w:lang w:val="sr-Latn-ME"/>
        </w:rPr>
        <w:t>pretkliničkih</w:t>
      </w:r>
      <w:proofErr w:type="spellEnd"/>
      <w:r w:rsidRPr="00CF5F52">
        <w:rPr>
          <w:sz w:val="22"/>
          <w:szCs w:val="22"/>
          <w:lang w:val="sr-Latn-ME"/>
        </w:rPr>
        <w:t xml:space="preserve"> i kliničkih ispitivanja,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 jednom 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esečno dovodi do inhibicije oslobađanja </w:t>
      </w:r>
      <w:proofErr w:type="spellStart"/>
      <w:r w:rsidRPr="00CF5F52">
        <w:rPr>
          <w:sz w:val="22"/>
          <w:szCs w:val="22"/>
          <w:lang w:val="sr-Latn-ME"/>
        </w:rPr>
        <w:t>gonadotropina</w:t>
      </w:r>
      <w:proofErr w:type="spellEnd"/>
      <w:r w:rsidRPr="00CF5F52">
        <w:rPr>
          <w:sz w:val="22"/>
          <w:szCs w:val="22"/>
          <w:lang w:val="sr-Latn-ME"/>
        </w:rPr>
        <w:t xml:space="preserve"> nakon početne stimulacije.</w:t>
      </w:r>
    </w:p>
    <w:p w14:paraId="2F7010FA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9481C89" w14:textId="45168693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Kod muškaraca, </w:t>
      </w:r>
      <w:proofErr w:type="spellStart"/>
      <w:r w:rsidRPr="00CF5F52">
        <w:rPr>
          <w:sz w:val="22"/>
          <w:szCs w:val="22"/>
          <w:lang w:val="sr-Latn-ME"/>
        </w:rPr>
        <w:t>supkutana</w:t>
      </w:r>
      <w:proofErr w:type="spellEnd"/>
      <w:r w:rsidRPr="00CF5F52">
        <w:rPr>
          <w:sz w:val="22"/>
          <w:szCs w:val="22"/>
          <w:lang w:val="sr-Latn-ME"/>
        </w:rPr>
        <w:t xml:space="preserve"> prim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 uzrokuje početni porast vr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LH</w:t>
      </w:r>
      <w:proofErr w:type="spellEnd"/>
      <w:r w:rsidRPr="00CF5F52">
        <w:rPr>
          <w:sz w:val="22"/>
          <w:szCs w:val="22"/>
          <w:lang w:val="sr-Latn-ME"/>
        </w:rPr>
        <w:t xml:space="preserve"> (</w:t>
      </w:r>
      <w:proofErr w:type="spellStart"/>
      <w:r w:rsidRPr="00CF5F52">
        <w:rPr>
          <w:sz w:val="22"/>
          <w:szCs w:val="22"/>
          <w:lang w:val="sr-Latn-ME"/>
        </w:rPr>
        <w:t>luteinizirajućeg</w:t>
      </w:r>
      <w:proofErr w:type="spellEnd"/>
      <w:r w:rsidRPr="00CF5F52">
        <w:rPr>
          <w:sz w:val="22"/>
          <w:szCs w:val="22"/>
          <w:lang w:val="sr-Latn-ME"/>
        </w:rPr>
        <w:t xml:space="preserve"> hormona) i </w:t>
      </w:r>
      <w:proofErr w:type="spellStart"/>
      <w:r w:rsidRPr="00CF5F52">
        <w:rPr>
          <w:sz w:val="22"/>
          <w:szCs w:val="22"/>
          <w:lang w:val="sr-Latn-ME"/>
        </w:rPr>
        <w:t>FSH</w:t>
      </w:r>
      <w:proofErr w:type="spellEnd"/>
      <w:r w:rsidRPr="00CF5F52">
        <w:rPr>
          <w:sz w:val="22"/>
          <w:szCs w:val="22"/>
          <w:lang w:val="sr-Latn-ME"/>
        </w:rPr>
        <w:t xml:space="preserve"> (</w:t>
      </w:r>
      <w:proofErr w:type="spellStart"/>
      <w:r w:rsidRPr="00CF5F52">
        <w:rPr>
          <w:sz w:val="22"/>
          <w:szCs w:val="22"/>
          <w:lang w:val="sr-Latn-ME"/>
        </w:rPr>
        <w:t>folikulostimulirajućeg</w:t>
      </w:r>
      <w:proofErr w:type="spellEnd"/>
      <w:r w:rsidRPr="00CF5F52">
        <w:rPr>
          <w:sz w:val="22"/>
          <w:szCs w:val="22"/>
          <w:lang w:val="sr-Latn-ME"/>
        </w:rPr>
        <w:t xml:space="preserve"> hormona) što dovodi do prolaznog porasta koncentracija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i </w:t>
      </w:r>
      <w:proofErr w:type="spellStart"/>
      <w:r w:rsidRPr="00CF5F52">
        <w:rPr>
          <w:sz w:val="22"/>
          <w:szCs w:val="22"/>
          <w:lang w:val="sr-Latn-ME"/>
        </w:rPr>
        <w:t>dihidrotestosterona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5E7BAC2E" w14:textId="65BC539F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Kako je u izolovanim slučajevima zab</w:t>
      </w:r>
      <w:r w:rsidR="004931D0" w:rsidRPr="00CF5F52">
        <w:rPr>
          <w:sz w:val="22"/>
          <w:szCs w:val="22"/>
          <w:lang w:val="sr-Latn-ME"/>
        </w:rPr>
        <w:t>ilj</w:t>
      </w:r>
      <w:r w:rsidRPr="00CF5F52">
        <w:rPr>
          <w:sz w:val="22"/>
          <w:szCs w:val="22"/>
          <w:lang w:val="sr-Latn-ME"/>
        </w:rPr>
        <w:t>eženo kratkotrajno pogoršanje kliničkih simptoma bolesti tokom prve 3 ned</w:t>
      </w:r>
      <w:r w:rsidR="004931D0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elje l</w:t>
      </w:r>
      <w:r w:rsidR="004931D0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ečenja, potrebno je razmotriti opravdanost </w:t>
      </w:r>
      <w:proofErr w:type="spellStart"/>
      <w:r w:rsidRPr="00CF5F52">
        <w:rPr>
          <w:sz w:val="22"/>
          <w:szCs w:val="22"/>
          <w:lang w:val="sr-Latn-ME"/>
        </w:rPr>
        <w:t>adjuvantne</w:t>
      </w:r>
      <w:proofErr w:type="spellEnd"/>
      <w:r w:rsidRPr="00CF5F52">
        <w:rPr>
          <w:sz w:val="22"/>
          <w:szCs w:val="22"/>
          <w:lang w:val="sr-Latn-ME"/>
        </w:rPr>
        <w:t xml:space="preserve">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ene </w:t>
      </w:r>
      <w:proofErr w:type="spellStart"/>
      <w:r w:rsidRPr="00CF5F52">
        <w:rPr>
          <w:sz w:val="22"/>
          <w:szCs w:val="22"/>
          <w:lang w:val="sr-Latn-ME"/>
        </w:rPr>
        <w:t>antiandrogena</w:t>
      </w:r>
      <w:proofErr w:type="spellEnd"/>
      <w:r w:rsidRPr="00CF5F52">
        <w:rPr>
          <w:sz w:val="22"/>
          <w:szCs w:val="22"/>
          <w:lang w:val="sr-Latn-ME"/>
        </w:rPr>
        <w:t xml:space="preserve"> kod muškaraca sa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prostate.</w:t>
      </w:r>
    </w:p>
    <w:p w14:paraId="498936A7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0028B9F" w14:textId="494DF56F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Nasuprot tome, dugotrajna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acetata dovodi do smanjenja koncentracija LH i FSH kod svih pacijenata; postignute su koncentracije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kod muškaraca slične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ednostima nakon bilateralne </w:t>
      </w:r>
      <w:proofErr w:type="spellStart"/>
      <w:r w:rsidRPr="00CF5F52">
        <w:rPr>
          <w:sz w:val="22"/>
          <w:szCs w:val="22"/>
          <w:lang w:val="sr-Latn-ME"/>
        </w:rPr>
        <w:t>orhiektomije</w:t>
      </w:r>
      <w:proofErr w:type="spellEnd"/>
      <w:r w:rsidRPr="00CF5F52">
        <w:rPr>
          <w:sz w:val="22"/>
          <w:szCs w:val="22"/>
          <w:lang w:val="sr-Latn-ME"/>
        </w:rPr>
        <w:t>. Ove prom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 se obično javljaju 2 - 3 ned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elje nakon početka terapije i održavaju se tokom c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elog perioda l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ečenja. Zbog toga, hormonsku os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etljivost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i mogući terapijski efekat </w:t>
      </w:r>
      <w:proofErr w:type="spellStart"/>
      <w:r w:rsidRPr="00CF5F52">
        <w:rPr>
          <w:sz w:val="22"/>
          <w:szCs w:val="22"/>
          <w:lang w:val="sr-Latn-ME"/>
        </w:rPr>
        <w:t>orhiektomije</w:t>
      </w:r>
      <w:proofErr w:type="spellEnd"/>
      <w:r w:rsidRPr="00CF5F52">
        <w:rPr>
          <w:sz w:val="22"/>
          <w:szCs w:val="22"/>
          <w:lang w:val="sr-Latn-ME"/>
        </w:rPr>
        <w:t>, moguće je proc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eniti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acetata. Ako je potrebno, zahvat </w:t>
      </w:r>
      <w:proofErr w:type="spellStart"/>
      <w:r w:rsidRPr="00CF5F52">
        <w:rPr>
          <w:sz w:val="22"/>
          <w:szCs w:val="22"/>
          <w:lang w:val="sr-Latn-ME"/>
        </w:rPr>
        <w:t>orhiektomije</w:t>
      </w:r>
      <w:proofErr w:type="spellEnd"/>
      <w:r w:rsidRPr="00CF5F52">
        <w:rPr>
          <w:sz w:val="22"/>
          <w:szCs w:val="22"/>
          <w:lang w:val="sr-Latn-ME"/>
        </w:rPr>
        <w:t xml:space="preserve"> se može zam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eniti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 na svakih 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 dana. Prema sadašnjim saznanjima, kontinuiranom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acetata, duže od 5 godina, moguće je održavati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testosterona</w:t>
      </w:r>
      <w:proofErr w:type="spellEnd"/>
      <w:r w:rsidRPr="00CF5F52">
        <w:rPr>
          <w:sz w:val="22"/>
          <w:szCs w:val="22"/>
          <w:lang w:val="sr-Latn-ME"/>
        </w:rPr>
        <w:t xml:space="preserve"> u </w:t>
      </w:r>
      <w:proofErr w:type="spellStart"/>
      <w:r w:rsidRPr="00CF5F52">
        <w:rPr>
          <w:sz w:val="22"/>
          <w:szCs w:val="22"/>
          <w:lang w:val="sr-Latn-ME"/>
        </w:rPr>
        <w:t>kastracijskim</w:t>
      </w:r>
      <w:proofErr w:type="spellEnd"/>
      <w:r w:rsidRPr="00CF5F52">
        <w:rPr>
          <w:sz w:val="22"/>
          <w:szCs w:val="22"/>
          <w:lang w:val="sr-Latn-ME"/>
        </w:rPr>
        <w:t xml:space="preserve">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ednostima.</w:t>
      </w:r>
    </w:p>
    <w:p w14:paraId="748CB805" w14:textId="77777777" w:rsidR="00FE0779" w:rsidRPr="00CF5F52" w:rsidRDefault="00FE0779" w:rsidP="00676BE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E503DD0" w14:textId="4F36634F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u w:val="single"/>
          <w:lang w:val="sr-Latn-ME"/>
        </w:rPr>
        <w:t>Klinička efikasnost</w:t>
      </w:r>
    </w:p>
    <w:p w14:paraId="5760179F" w14:textId="4ECD8AC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U </w:t>
      </w:r>
      <w:proofErr w:type="spellStart"/>
      <w:r w:rsidRPr="00CF5F52">
        <w:rPr>
          <w:sz w:val="22"/>
          <w:szCs w:val="22"/>
          <w:lang w:val="sr-Latn-ME"/>
        </w:rPr>
        <w:t>multicentričnoj</w:t>
      </w:r>
      <w:proofErr w:type="spellEnd"/>
      <w:r w:rsidRPr="00CF5F52">
        <w:rPr>
          <w:sz w:val="22"/>
          <w:szCs w:val="22"/>
          <w:lang w:val="sr-Latn-ME"/>
        </w:rPr>
        <w:t xml:space="preserve">, </w:t>
      </w:r>
      <w:proofErr w:type="spellStart"/>
      <w:r w:rsidRPr="00CF5F52">
        <w:rPr>
          <w:sz w:val="22"/>
          <w:szCs w:val="22"/>
          <w:lang w:val="sr-Latn-ME"/>
        </w:rPr>
        <w:t>randomizovanoj</w:t>
      </w:r>
      <w:proofErr w:type="spellEnd"/>
      <w:r w:rsidRPr="00CF5F52">
        <w:rPr>
          <w:sz w:val="22"/>
          <w:szCs w:val="22"/>
          <w:lang w:val="sr-Latn-ME"/>
        </w:rPr>
        <w:t xml:space="preserve"> studiji faze III sa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615143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acetatom, proc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enjivano je 263 pacijenta sa lokalno </w:t>
      </w:r>
      <w:proofErr w:type="spellStart"/>
      <w:r w:rsidRPr="00CF5F52">
        <w:rPr>
          <w:sz w:val="22"/>
          <w:szCs w:val="22"/>
          <w:lang w:val="sr-Latn-ME"/>
        </w:rPr>
        <w:t>uznapredovalim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stadijuma T3-T4 ili pT3, N0, M0.</w:t>
      </w:r>
    </w:p>
    <w:p w14:paraId="1C771E68" w14:textId="3E52AE6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lastRenderedPageBreak/>
        <w:t xml:space="preserve">133 pacijenta su primila kombinaciju </w:t>
      </w:r>
      <w:proofErr w:type="spellStart"/>
      <w:r w:rsidRPr="00CF5F52">
        <w:rPr>
          <w:sz w:val="22"/>
          <w:szCs w:val="22"/>
          <w:lang w:val="sr-Latn-ME"/>
        </w:rPr>
        <w:t>radioterapije</w:t>
      </w:r>
      <w:proofErr w:type="spellEnd"/>
      <w:r w:rsidRPr="00CF5F52">
        <w:rPr>
          <w:sz w:val="22"/>
          <w:szCs w:val="22"/>
          <w:lang w:val="sr-Latn-ME"/>
        </w:rPr>
        <w:t xml:space="preserve"> i terapije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, a 130 pacijenata je primilo samo terapiju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8B1DE0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acetatom tokom 3 godine.</w:t>
      </w:r>
    </w:p>
    <w:p w14:paraId="20D647FC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Na osnovu Feniks (engl. </w:t>
      </w:r>
      <w:proofErr w:type="spellStart"/>
      <w:r w:rsidRPr="00CF5F52">
        <w:rPr>
          <w:i/>
          <w:sz w:val="22"/>
          <w:szCs w:val="22"/>
          <w:lang w:val="sr-Latn-ME"/>
        </w:rPr>
        <w:t>Phoenix</w:t>
      </w:r>
      <w:proofErr w:type="spellEnd"/>
      <w:r w:rsidRPr="00CF5F52">
        <w:rPr>
          <w:sz w:val="22"/>
          <w:szCs w:val="22"/>
          <w:lang w:val="sr-Latn-ME"/>
        </w:rPr>
        <w:t xml:space="preserve">) kriterijuma Američkog udruženja za </w:t>
      </w:r>
      <w:proofErr w:type="spellStart"/>
      <w:r w:rsidRPr="00CF5F52">
        <w:rPr>
          <w:sz w:val="22"/>
          <w:szCs w:val="22"/>
          <w:lang w:val="sr-Latn-ME"/>
        </w:rPr>
        <w:t>radiološku</w:t>
      </w:r>
      <w:proofErr w:type="spellEnd"/>
      <w:r w:rsidRPr="00CF5F52">
        <w:rPr>
          <w:sz w:val="22"/>
          <w:szCs w:val="22"/>
          <w:lang w:val="sr-Latn-ME"/>
        </w:rPr>
        <w:t xml:space="preserve"> i </w:t>
      </w:r>
      <w:proofErr w:type="spellStart"/>
      <w:r w:rsidRPr="00CF5F52">
        <w:rPr>
          <w:sz w:val="22"/>
          <w:szCs w:val="22"/>
          <w:lang w:val="sr-Latn-ME"/>
        </w:rPr>
        <w:t>onkološku</w:t>
      </w:r>
      <w:proofErr w:type="spellEnd"/>
      <w:r w:rsidRPr="00CF5F52">
        <w:rPr>
          <w:sz w:val="22"/>
          <w:szCs w:val="22"/>
          <w:lang w:val="sr-Latn-ME"/>
        </w:rPr>
        <w:t xml:space="preserve"> terapiju (engl. </w:t>
      </w:r>
      <w:proofErr w:type="spellStart"/>
      <w:r w:rsidRPr="00CF5F52">
        <w:rPr>
          <w:i/>
          <w:sz w:val="22"/>
          <w:szCs w:val="22"/>
          <w:lang w:val="sr-Latn-ME"/>
        </w:rPr>
        <w:t>American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Society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for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Therapeutic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Radiology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and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Oncology</w:t>
      </w:r>
      <w:proofErr w:type="spellEnd"/>
      <w:r w:rsidRPr="00CF5F52">
        <w:rPr>
          <w:i/>
          <w:sz w:val="22"/>
          <w:szCs w:val="22"/>
          <w:lang w:val="sr-Latn-ME"/>
        </w:rPr>
        <w:t xml:space="preserve">, </w:t>
      </w:r>
      <w:r w:rsidRPr="00CF5F52">
        <w:rPr>
          <w:sz w:val="22"/>
          <w:szCs w:val="22"/>
          <w:lang w:val="sr-Latn-ME"/>
        </w:rPr>
        <w:t>ASTRO) (preživljavanje bez progresije bolesti duže od 5 godina bilo je 60,9% (64,7%) u kombinovanoj terapiji u poređenju sa 8,5% (15,4%) u grupi koja je primala samo hormonsku terapiju (p = 0,0001; [p = 0,0005]).</w:t>
      </w:r>
    </w:p>
    <w:p w14:paraId="57945DF8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Prema ASTRO – kriterijumima, rizik od progresije bio je 3,8 puta veći u grupi koja je primala samo hormonsku terapiju (95% CI [2,17; 6,49]).</w:t>
      </w:r>
    </w:p>
    <w:p w14:paraId="71E5E19C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Prema kliničkim ili biohemijskim pokazateljima </w:t>
      </w:r>
      <w:proofErr w:type="spellStart"/>
      <w:r w:rsidRPr="00CF5F52">
        <w:rPr>
          <w:sz w:val="22"/>
          <w:szCs w:val="22"/>
          <w:lang w:val="sr-Latn-ME"/>
        </w:rPr>
        <w:t>medijana</w:t>
      </w:r>
      <w:proofErr w:type="spellEnd"/>
      <w:r w:rsidRPr="00CF5F52">
        <w:rPr>
          <w:sz w:val="22"/>
          <w:szCs w:val="22"/>
          <w:lang w:val="sr-Latn-ME"/>
        </w:rPr>
        <w:t xml:space="preserve"> preživljavanja bez progresije bolesti prema ASTRO kriterijumima bila je 641 dan (95% CI [626; 812]) u grupi koja je primala samo hormonsku terapiju nasuprot 2804 dana (95% CI [2090; –]; p &lt; 0,0001) u grupi koja je primala kombinovanu terapiju.</w:t>
      </w:r>
    </w:p>
    <w:p w14:paraId="1B0D1ACE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Nije bilo statistički značajnih razlika u pogledu </w:t>
      </w:r>
      <w:proofErr w:type="spellStart"/>
      <w:r w:rsidRPr="00CF5F52">
        <w:rPr>
          <w:sz w:val="22"/>
          <w:szCs w:val="22"/>
          <w:lang w:val="sr-Latn-ME"/>
        </w:rPr>
        <w:t>lokoregionalne</w:t>
      </w:r>
      <w:proofErr w:type="spellEnd"/>
      <w:r w:rsidRPr="00CF5F52">
        <w:rPr>
          <w:sz w:val="22"/>
          <w:szCs w:val="22"/>
          <w:lang w:val="sr-Latn-ME"/>
        </w:rPr>
        <w:t xml:space="preserve"> progresije (</w:t>
      </w:r>
      <w:proofErr w:type="spellStart"/>
      <w:r w:rsidRPr="00CF5F52">
        <w:rPr>
          <w:sz w:val="22"/>
          <w:szCs w:val="22"/>
          <w:lang w:val="sr-Latn-ME"/>
        </w:rPr>
        <w:t>HR</w:t>
      </w:r>
      <w:proofErr w:type="spellEnd"/>
      <w:r w:rsidRPr="00CF5F52">
        <w:rPr>
          <w:sz w:val="22"/>
          <w:szCs w:val="22"/>
          <w:lang w:val="sr-Latn-ME"/>
        </w:rPr>
        <w:t xml:space="preserve"> 3,6 [95% CI {1,9; 6,8}; p &lt; 0,0001]), </w:t>
      </w:r>
      <w:proofErr w:type="spellStart"/>
      <w:r w:rsidRPr="00CF5F52">
        <w:rPr>
          <w:sz w:val="22"/>
          <w:szCs w:val="22"/>
          <w:lang w:val="sr-Latn-ME"/>
        </w:rPr>
        <w:t>metastatske</w:t>
      </w:r>
      <w:proofErr w:type="spellEnd"/>
      <w:r w:rsidRPr="00CF5F52">
        <w:rPr>
          <w:sz w:val="22"/>
          <w:szCs w:val="22"/>
          <w:lang w:val="sr-Latn-ME"/>
        </w:rPr>
        <w:t xml:space="preserve"> progresije (p &lt; 0,018) i preživljavanja bez metastaza (p = 0,018) u grupi koja je primala kombinovanu terapiju u odnosu na onu koja je primala samo terapiju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60CA117F" w14:textId="6428FDA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U ovom ispitivanju se jasno vidi da je kombinacija terapije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radioterapijom</w:t>
      </w:r>
      <w:proofErr w:type="spellEnd"/>
      <w:r w:rsidRPr="00CF5F52">
        <w:rPr>
          <w:sz w:val="22"/>
          <w:szCs w:val="22"/>
          <w:lang w:val="sr-Latn-ME"/>
        </w:rPr>
        <w:t xml:space="preserve"> duže od 3 godine superiorna u poređenju sa terapijom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prim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enjene samostalno.</w:t>
      </w:r>
    </w:p>
    <w:p w14:paraId="430E2BF9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1B9CC72" w14:textId="2B785571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Sl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edeća ispitivanja pokazala su da je kombinovana terapija </w:t>
      </w:r>
      <w:proofErr w:type="spellStart"/>
      <w:r w:rsidRPr="00CF5F52">
        <w:rPr>
          <w:sz w:val="22"/>
          <w:szCs w:val="22"/>
          <w:lang w:val="sr-Latn-ME"/>
        </w:rPr>
        <w:t>analozima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takođe superiornija u odnosu na samostalno prim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enjenu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kod pacijenata sa lokalno </w:t>
      </w:r>
      <w:proofErr w:type="spellStart"/>
      <w:r w:rsidRPr="00CF5F52">
        <w:rPr>
          <w:sz w:val="22"/>
          <w:szCs w:val="22"/>
          <w:lang w:val="sr-Latn-ME"/>
        </w:rPr>
        <w:t>uznapredovalim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prostate.</w:t>
      </w:r>
    </w:p>
    <w:p w14:paraId="1FE4F4DA" w14:textId="4272A29F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U </w:t>
      </w:r>
      <w:proofErr w:type="spellStart"/>
      <w:r w:rsidRPr="00CF5F52">
        <w:rPr>
          <w:sz w:val="22"/>
          <w:szCs w:val="22"/>
          <w:lang w:val="sr-Latn-ME"/>
        </w:rPr>
        <w:t>randomizovanom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RTOG</w:t>
      </w:r>
      <w:proofErr w:type="spellEnd"/>
      <w:r w:rsidRPr="00CF5F52">
        <w:rPr>
          <w:sz w:val="22"/>
          <w:szCs w:val="22"/>
          <w:lang w:val="sr-Latn-ME"/>
        </w:rPr>
        <w:t xml:space="preserve"> 85-31 ispitivanju (engl. </w:t>
      </w:r>
      <w:proofErr w:type="spellStart"/>
      <w:r w:rsidRPr="00CF5F52">
        <w:rPr>
          <w:i/>
          <w:sz w:val="22"/>
          <w:szCs w:val="22"/>
          <w:lang w:val="sr-Latn-ME"/>
        </w:rPr>
        <w:t>Radiation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Therapy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Oncology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proofErr w:type="spellStart"/>
      <w:r w:rsidRPr="00CF5F52">
        <w:rPr>
          <w:i/>
          <w:sz w:val="22"/>
          <w:szCs w:val="22"/>
          <w:lang w:val="sr-Latn-ME"/>
        </w:rPr>
        <w:t>Group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 xml:space="preserve">- </w:t>
      </w:r>
      <w:proofErr w:type="spellStart"/>
      <w:r w:rsidRPr="00CF5F52">
        <w:rPr>
          <w:sz w:val="22"/>
          <w:szCs w:val="22"/>
          <w:lang w:val="sr-Latn-ME"/>
        </w:rPr>
        <w:t>Radioterapijska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onkološka</w:t>
      </w:r>
      <w:proofErr w:type="spellEnd"/>
      <w:r w:rsidRPr="00CF5F52">
        <w:rPr>
          <w:sz w:val="22"/>
          <w:szCs w:val="22"/>
          <w:lang w:val="sr-Latn-ME"/>
        </w:rPr>
        <w:t xml:space="preserve"> grupa) 977 pacijenata sa lokalno </w:t>
      </w:r>
      <w:proofErr w:type="spellStart"/>
      <w:r w:rsidRPr="00CF5F52">
        <w:rPr>
          <w:sz w:val="22"/>
          <w:szCs w:val="22"/>
          <w:lang w:val="sr-Latn-ME"/>
        </w:rPr>
        <w:t>uznapredovalim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stadijuma T1-T3 sa metastazama u limfnim čvorovima, bilo je uključeno i širenje van prostate odnosno širenje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u s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emene kesice.</w:t>
      </w:r>
    </w:p>
    <w:p w14:paraId="2D9214F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488 pacijenata primilo je kombinovanu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sa dugotrajnom terapijom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goserelinom</w:t>
      </w:r>
      <w:proofErr w:type="spellEnd"/>
      <w:r w:rsidRPr="00CF5F52">
        <w:rPr>
          <w:sz w:val="22"/>
          <w:szCs w:val="22"/>
          <w:lang w:val="sr-Latn-ME"/>
        </w:rPr>
        <w:t xml:space="preserve">, dok je 489 pacijenata primilo samo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583AB299" w14:textId="5DA4FEB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Rezultati jasno pokazuju da je kombinovana terapija superiorn</w:t>
      </w:r>
      <w:r w:rsidR="00FB13E8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a u odnosu na samostalno prim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enjenu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5EE28F3E" w14:textId="6801E394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Preživljavanje bez progresije bolesti tokom 10 godina iznosilo je 37% u odnosu na 23% (p &lt; 0,001); preživljavanje bez progresije bolesti sa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ednošću PSA &lt; 1,5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B13E8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 xml:space="preserve"> bilo je 31% u odnosu na 9%, lokalna </w:t>
      </w:r>
      <w:proofErr w:type="spellStart"/>
      <w:r w:rsidRPr="00CF5F52">
        <w:rPr>
          <w:sz w:val="22"/>
          <w:szCs w:val="22"/>
          <w:lang w:val="sr-Latn-ME"/>
        </w:rPr>
        <w:t>rekurenca</w:t>
      </w:r>
      <w:proofErr w:type="spellEnd"/>
      <w:r w:rsidRPr="00CF5F52">
        <w:rPr>
          <w:sz w:val="22"/>
          <w:szCs w:val="22"/>
          <w:lang w:val="sr-Latn-ME"/>
        </w:rPr>
        <w:t xml:space="preserve"> javila se kod 23% u odnosu na 38% (p &lt; 0,0001) i progresija sa metastazama javila se kod 24% nasuprot 39% (p &lt; 0,0001).</w:t>
      </w:r>
    </w:p>
    <w:p w14:paraId="349E1A6F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Ukupno preživljavanje bilo je 49% u odnosu na 39% (p = 0,002), a smrtnost specifična za bolest bila je 16% u odnosu na 22% (p = 0,0052).</w:t>
      </w:r>
    </w:p>
    <w:p w14:paraId="164FE298" w14:textId="77777777" w:rsidR="00FB13E8" w:rsidRPr="00CF5F52" w:rsidRDefault="00FB13E8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068F728" w14:textId="6890EA6C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Superiornost kombinacije </w:t>
      </w:r>
      <w:proofErr w:type="spellStart"/>
      <w:r w:rsidRPr="00CF5F52">
        <w:rPr>
          <w:sz w:val="22"/>
          <w:szCs w:val="22"/>
          <w:lang w:val="sr-Latn-ME"/>
        </w:rPr>
        <w:t>radioterapije</w:t>
      </w:r>
      <w:proofErr w:type="spellEnd"/>
      <w:r w:rsidRPr="00CF5F52">
        <w:rPr>
          <w:sz w:val="22"/>
          <w:szCs w:val="22"/>
          <w:lang w:val="sr-Latn-ME"/>
        </w:rPr>
        <w:t xml:space="preserve"> sa terapijom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analozima</w:t>
      </w:r>
      <w:proofErr w:type="spellEnd"/>
      <w:r w:rsidRPr="00CF5F52">
        <w:rPr>
          <w:sz w:val="22"/>
          <w:szCs w:val="22"/>
          <w:lang w:val="sr-Latn-ME"/>
        </w:rPr>
        <w:t xml:space="preserve"> u odnosu na samostalno prim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enjenu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kod pacijenata sa lokalizovanim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sa um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erenim profilom rizika pokazana je u sl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edećem kliničkom ispitivanju.</w:t>
      </w:r>
    </w:p>
    <w:p w14:paraId="12F70165" w14:textId="77777777" w:rsidR="00FB13E8" w:rsidRPr="00CF5F52" w:rsidRDefault="00FB13E8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5DE8369" w14:textId="4BE17D82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CF5F52">
        <w:rPr>
          <w:sz w:val="22"/>
          <w:szCs w:val="22"/>
          <w:lang w:val="sr-Latn-ME"/>
        </w:rPr>
        <w:t>Randomizovano</w:t>
      </w:r>
      <w:proofErr w:type="spellEnd"/>
      <w:r w:rsidRPr="00CF5F52">
        <w:rPr>
          <w:sz w:val="22"/>
          <w:szCs w:val="22"/>
          <w:lang w:val="sr-Latn-ME"/>
        </w:rPr>
        <w:t xml:space="preserve"> kliničko ispitivanje faze III RTOG 94-08 sprovedeno je kod pacijenata sa lokalizovanim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stadijuma </w:t>
      </w:r>
      <w:proofErr w:type="spellStart"/>
      <w:r w:rsidRPr="00CF5F52">
        <w:rPr>
          <w:sz w:val="22"/>
          <w:szCs w:val="22"/>
          <w:lang w:val="sr-Latn-ME"/>
        </w:rPr>
        <w:t>T1b</w:t>
      </w:r>
      <w:proofErr w:type="spellEnd"/>
      <w:r w:rsidRPr="00CF5F52">
        <w:rPr>
          <w:sz w:val="22"/>
          <w:szCs w:val="22"/>
          <w:lang w:val="sr-Latn-ME"/>
        </w:rPr>
        <w:t>, T1c, T2a ili T2b i PSA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ednošću ≤ 10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B13E8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>.</w:t>
      </w:r>
    </w:p>
    <w:p w14:paraId="046430BC" w14:textId="337A7D01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Podgrupa pacijenata sa um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erenim profilom rizika definisana </w:t>
      </w:r>
      <w:proofErr w:type="spellStart"/>
      <w:r w:rsidRPr="00CF5F52">
        <w:rPr>
          <w:sz w:val="22"/>
          <w:szCs w:val="22"/>
          <w:lang w:val="sr-Latn-ME"/>
        </w:rPr>
        <w:t>Gleason</w:t>
      </w:r>
      <w:proofErr w:type="spellEnd"/>
      <w:r w:rsidRPr="00CF5F52">
        <w:rPr>
          <w:sz w:val="22"/>
          <w:szCs w:val="22"/>
          <w:lang w:val="sr-Latn-ME"/>
        </w:rPr>
        <w:t>-skorom 6 u kombinaciji sa PSA-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ednošću u rasponu od &gt; 10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B13E8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 xml:space="preserve"> do 20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B13E8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 xml:space="preserve"> ili stadijumom T2b uključivala je 524 pacijenta u grupi koja je primala kratkotrajnu terapiju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tokom 4 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 (2 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eseca pr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 i 2 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eseca u kombinaciji sa </w:t>
      </w:r>
      <w:proofErr w:type="spellStart"/>
      <w:r w:rsidRPr="00CF5F52">
        <w:rPr>
          <w:sz w:val="22"/>
          <w:szCs w:val="22"/>
          <w:lang w:val="sr-Latn-ME"/>
        </w:rPr>
        <w:t>radioterapijom</w:t>
      </w:r>
      <w:proofErr w:type="spellEnd"/>
      <w:r w:rsidRPr="00CF5F52">
        <w:rPr>
          <w:sz w:val="22"/>
          <w:szCs w:val="22"/>
          <w:lang w:val="sr-Latn-ME"/>
        </w:rPr>
        <w:t xml:space="preserve">) i 544 pacijenta u grupi koja je primala samo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7DD1562F" w14:textId="77777777" w:rsidR="00FB13E8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U podgrupi sa um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erenim profilom rizika, grupa koja je primila kombinaciju </w:t>
      </w:r>
      <w:proofErr w:type="spellStart"/>
      <w:r w:rsidRPr="00CF5F52">
        <w:rPr>
          <w:sz w:val="22"/>
          <w:szCs w:val="22"/>
          <w:lang w:val="sr-Latn-ME"/>
        </w:rPr>
        <w:t>radioterapije</w:t>
      </w:r>
      <w:proofErr w:type="spellEnd"/>
      <w:r w:rsidRPr="00CF5F52">
        <w:rPr>
          <w:sz w:val="22"/>
          <w:szCs w:val="22"/>
          <w:lang w:val="sr-Latn-ME"/>
        </w:rPr>
        <w:t xml:space="preserve"> i terapije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goserelinom</w:t>
      </w:r>
      <w:proofErr w:type="spellEnd"/>
      <w:r w:rsidRPr="00CF5F52">
        <w:rPr>
          <w:sz w:val="22"/>
          <w:szCs w:val="22"/>
          <w:lang w:val="sr-Latn-ME"/>
        </w:rPr>
        <w:t xml:space="preserve"> ili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-acetatom bila je superiornija u odnosu na grupu koja je primala samo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684C9806" w14:textId="77777777" w:rsidR="00FB13E8" w:rsidRPr="00CF5F52" w:rsidRDefault="00FB13E8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263BBA0" w14:textId="469C32BC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Ukupno preživljavanje nakon 10 godina bilo je 61% u odnosu na 54% (</w:t>
      </w:r>
      <w:r w:rsidRPr="00CF5F52">
        <w:rPr>
          <w:i/>
          <w:sz w:val="22"/>
          <w:szCs w:val="22"/>
          <w:lang w:val="sr-Latn-ME"/>
        </w:rPr>
        <w:t xml:space="preserve">hazard </w:t>
      </w:r>
      <w:proofErr w:type="spellStart"/>
      <w:r w:rsidRPr="00CF5F52">
        <w:rPr>
          <w:i/>
          <w:sz w:val="22"/>
          <w:szCs w:val="22"/>
          <w:lang w:val="sr-Latn-ME"/>
        </w:rPr>
        <w:t>ratio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1,23, 95% CI [1,02-1,49; p = 0,03]). Smrtnost specifična za bolest bila je 3% u odnosu na 10% (</w:t>
      </w:r>
      <w:r w:rsidRPr="00CF5F52">
        <w:rPr>
          <w:i/>
          <w:sz w:val="22"/>
          <w:szCs w:val="22"/>
          <w:lang w:val="sr-Latn-ME"/>
        </w:rPr>
        <w:t xml:space="preserve">hazard </w:t>
      </w:r>
      <w:proofErr w:type="spellStart"/>
      <w:r w:rsidRPr="00CF5F52">
        <w:rPr>
          <w:i/>
          <w:sz w:val="22"/>
          <w:szCs w:val="22"/>
          <w:lang w:val="sr-Latn-ME"/>
        </w:rPr>
        <w:t>ratio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2,49, 95% CI [1,50-4,11; p = 0,004]), a biohemijska progresija je bila 28% u odnosu na 45% (</w:t>
      </w:r>
      <w:r w:rsidRPr="00CF5F52">
        <w:rPr>
          <w:i/>
          <w:sz w:val="22"/>
          <w:szCs w:val="22"/>
          <w:lang w:val="sr-Latn-ME"/>
        </w:rPr>
        <w:t xml:space="preserve">hazard </w:t>
      </w:r>
      <w:proofErr w:type="spellStart"/>
      <w:r w:rsidRPr="00CF5F52">
        <w:rPr>
          <w:i/>
          <w:sz w:val="22"/>
          <w:szCs w:val="22"/>
          <w:lang w:val="sr-Latn-ME"/>
        </w:rPr>
        <w:t>ratio</w:t>
      </w:r>
      <w:proofErr w:type="spellEnd"/>
      <w:r w:rsidRPr="00CF5F52">
        <w:rPr>
          <w:i/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1,79, 95% CI [1,45-2,21; p &lt; 0,001]).</w:t>
      </w:r>
    </w:p>
    <w:p w14:paraId="55136875" w14:textId="77777777" w:rsidR="00FE0779" w:rsidRPr="00CF5F52" w:rsidRDefault="00FE07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319683C" w14:textId="04F91CF4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lastRenderedPageBreak/>
        <w:t>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ena kod pacijenata sa lokalizovanim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sa visokim profilom rizika zasniva se na objavljenim kliničkim ispitivanjima za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u kombinaciji sa </w:t>
      </w:r>
      <w:proofErr w:type="spellStart"/>
      <w:r w:rsidRPr="00CF5F52">
        <w:rPr>
          <w:sz w:val="22"/>
          <w:szCs w:val="22"/>
          <w:lang w:val="sr-Latn-ME"/>
        </w:rPr>
        <w:t>agonistima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uključujući </w:t>
      </w:r>
      <w:proofErr w:type="spellStart"/>
      <w:r w:rsidRPr="00CF5F52">
        <w:rPr>
          <w:sz w:val="22"/>
          <w:szCs w:val="22"/>
          <w:lang w:val="sr-Latn-ME"/>
        </w:rPr>
        <w:t>leuporelin</w:t>
      </w:r>
      <w:proofErr w:type="spellEnd"/>
      <w:r w:rsidR="008B1DE0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acetat.</w:t>
      </w:r>
    </w:p>
    <w:p w14:paraId="20C090CD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Podaci iz kliničkih ispitivanja su objavljeni za pet kliničkih ispitivanja koja jasno pokazuju </w:t>
      </w:r>
      <w:proofErr w:type="spellStart"/>
      <w:r w:rsidRPr="00CF5F52">
        <w:rPr>
          <w:sz w:val="22"/>
          <w:szCs w:val="22"/>
          <w:lang w:val="sr-Latn-ME"/>
        </w:rPr>
        <w:t>prednost</w:t>
      </w:r>
      <w:proofErr w:type="spellEnd"/>
      <w:r w:rsidRPr="00CF5F52">
        <w:rPr>
          <w:sz w:val="22"/>
          <w:szCs w:val="22"/>
          <w:lang w:val="sr-Latn-ME"/>
        </w:rPr>
        <w:t xml:space="preserve"> kombinacije </w:t>
      </w:r>
      <w:proofErr w:type="spellStart"/>
      <w:r w:rsidRPr="00CF5F52">
        <w:rPr>
          <w:sz w:val="22"/>
          <w:szCs w:val="22"/>
          <w:lang w:val="sr-Latn-ME"/>
        </w:rPr>
        <w:t>radioterapije</w:t>
      </w:r>
      <w:proofErr w:type="spellEnd"/>
      <w:r w:rsidRPr="00CF5F52">
        <w:rPr>
          <w:sz w:val="22"/>
          <w:szCs w:val="22"/>
          <w:lang w:val="sr-Latn-ME"/>
        </w:rPr>
        <w:t xml:space="preserve"> sa </w:t>
      </w:r>
      <w:proofErr w:type="spellStart"/>
      <w:r w:rsidRPr="00CF5F52">
        <w:rPr>
          <w:sz w:val="22"/>
          <w:szCs w:val="22"/>
          <w:lang w:val="sr-Latn-ME"/>
        </w:rPr>
        <w:t>agonistima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((</w:t>
      </w:r>
      <w:proofErr w:type="spellStart"/>
      <w:r w:rsidRPr="00CF5F52">
        <w:rPr>
          <w:sz w:val="22"/>
          <w:szCs w:val="22"/>
          <w:lang w:val="sr-Latn-ME"/>
        </w:rPr>
        <w:t>EORTC</w:t>
      </w:r>
      <w:proofErr w:type="spellEnd"/>
      <w:r w:rsidRPr="00CF5F52">
        <w:rPr>
          <w:sz w:val="22"/>
          <w:szCs w:val="22"/>
          <w:lang w:val="sr-Latn-ME"/>
        </w:rPr>
        <w:t xml:space="preserve"> 22863, RTOG 85-31, RTOG 92-02, </w:t>
      </w:r>
      <w:proofErr w:type="spellStart"/>
      <w:r w:rsidRPr="00CF5F52">
        <w:rPr>
          <w:sz w:val="22"/>
          <w:szCs w:val="22"/>
          <w:lang w:val="sr-Latn-ME"/>
        </w:rPr>
        <w:t>RTOG</w:t>
      </w:r>
      <w:proofErr w:type="spellEnd"/>
      <w:r w:rsidRPr="00CF5F52">
        <w:rPr>
          <w:sz w:val="22"/>
          <w:szCs w:val="22"/>
          <w:lang w:val="sr-Latn-ME"/>
        </w:rPr>
        <w:t xml:space="preserve"> 8610 i </w:t>
      </w:r>
      <w:proofErr w:type="spellStart"/>
      <w:r w:rsidRPr="00CF5F52">
        <w:rPr>
          <w:sz w:val="22"/>
          <w:szCs w:val="22"/>
          <w:lang w:val="sr-Latn-ME"/>
        </w:rPr>
        <w:t>D’Amico</w:t>
      </w:r>
      <w:proofErr w:type="spellEnd"/>
      <w:r w:rsidRPr="00CF5F52">
        <w:rPr>
          <w:sz w:val="22"/>
          <w:szCs w:val="22"/>
          <w:lang w:val="sr-Latn-ME"/>
        </w:rPr>
        <w:t xml:space="preserve"> et </w:t>
      </w:r>
      <w:proofErr w:type="spellStart"/>
      <w:r w:rsidRPr="00CF5F52">
        <w:rPr>
          <w:sz w:val="22"/>
          <w:szCs w:val="22"/>
          <w:lang w:val="sr-Latn-ME"/>
        </w:rPr>
        <w:t>al</w:t>
      </w:r>
      <w:proofErr w:type="spellEnd"/>
      <w:r w:rsidRPr="00CF5F52">
        <w:rPr>
          <w:sz w:val="22"/>
          <w:szCs w:val="22"/>
          <w:lang w:val="sr-Latn-ME"/>
        </w:rPr>
        <w:t xml:space="preserve">.,JAMA 2004). Jasna diferencijacija studijske populacije između indikacija lokalno </w:t>
      </w:r>
      <w:proofErr w:type="spellStart"/>
      <w:r w:rsidRPr="00CF5F52">
        <w:rPr>
          <w:sz w:val="22"/>
          <w:szCs w:val="22"/>
          <w:lang w:val="sr-Latn-ME"/>
        </w:rPr>
        <w:t>uznapredovalog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i lokalizovanog </w:t>
      </w:r>
      <w:proofErr w:type="spellStart"/>
      <w:r w:rsidRPr="00CF5F52">
        <w:rPr>
          <w:sz w:val="22"/>
          <w:szCs w:val="22"/>
          <w:lang w:val="sr-Latn-ME"/>
        </w:rPr>
        <w:t>karcinoma</w:t>
      </w:r>
      <w:proofErr w:type="spellEnd"/>
      <w:r w:rsidRPr="00CF5F52">
        <w:rPr>
          <w:sz w:val="22"/>
          <w:szCs w:val="22"/>
          <w:lang w:val="sr-Latn-ME"/>
        </w:rPr>
        <w:t xml:space="preserve"> prostate sa profilom visokog rizika nije bila moguća.</w:t>
      </w:r>
    </w:p>
    <w:p w14:paraId="167FDB7F" w14:textId="1F75FFDF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Klinički podaci pokazuju da treba dati </w:t>
      </w:r>
      <w:proofErr w:type="spellStart"/>
      <w:r w:rsidRPr="00CF5F52">
        <w:rPr>
          <w:sz w:val="22"/>
          <w:szCs w:val="22"/>
          <w:lang w:val="sr-Latn-ME"/>
        </w:rPr>
        <w:t>prednost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radioterapiji</w:t>
      </w:r>
      <w:proofErr w:type="spellEnd"/>
      <w:r w:rsidRPr="00CF5F52">
        <w:rPr>
          <w:sz w:val="22"/>
          <w:szCs w:val="22"/>
          <w:lang w:val="sr-Latn-ME"/>
        </w:rPr>
        <w:t xml:space="preserve"> nakon koje se tokom 3 godine</w:t>
      </w:r>
      <w:r w:rsidR="00FB13E8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enjuje terapija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u odnosu na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nakon koje se tokom 6 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eseci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enjuje terapija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>.</w:t>
      </w:r>
    </w:p>
    <w:p w14:paraId="42145481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0FAA9A3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Klinički vodiči preporučuju trajanje terapije </w:t>
      </w:r>
      <w:proofErr w:type="spellStart"/>
      <w:r w:rsidRPr="00CF5F52">
        <w:rPr>
          <w:sz w:val="22"/>
          <w:szCs w:val="22"/>
          <w:lang w:val="sr-Latn-ME"/>
        </w:rPr>
        <w:t>androgene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deprivacije</w:t>
      </w:r>
      <w:proofErr w:type="spellEnd"/>
      <w:r w:rsidRPr="00CF5F52">
        <w:rPr>
          <w:sz w:val="22"/>
          <w:szCs w:val="22"/>
          <w:lang w:val="sr-Latn-ME"/>
        </w:rPr>
        <w:t xml:space="preserve"> tokom 2-3 godine kod pacijenata sa stadijumom T3 do T4.</w:t>
      </w:r>
    </w:p>
    <w:p w14:paraId="4B4AA4B6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AE4C9BD" w14:textId="63D88252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Kod pacijenata sa </w:t>
      </w:r>
      <w:proofErr w:type="spellStart"/>
      <w:r w:rsidRPr="00CF5F52">
        <w:rPr>
          <w:sz w:val="22"/>
          <w:szCs w:val="22"/>
          <w:lang w:val="sr-Latn-ME"/>
        </w:rPr>
        <w:t>metastatskim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karcinomom</w:t>
      </w:r>
      <w:proofErr w:type="spellEnd"/>
      <w:r w:rsidRPr="00CF5F52">
        <w:rPr>
          <w:sz w:val="22"/>
          <w:szCs w:val="22"/>
          <w:lang w:val="sr-Latn-ME"/>
        </w:rPr>
        <w:t xml:space="preserve"> prostate rezistentnim na kastraciju, pokazana je korist od dodatnih l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ekova kao što su </w:t>
      </w:r>
      <w:proofErr w:type="spellStart"/>
      <w:r w:rsidRPr="00CF5F52">
        <w:rPr>
          <w:sz w:val="22"/>
          <w:szCs w:val="22"/>
          <w:lang w:val="sr-Latn-ME"/>
        </w:rPr>
        <w:t>inhibitori</w:t>
      </w:r>
      <w:proofErr w:type="spellEnd"/>
      <w:r w:rsidRPr="00CF5F52">
        <w:rPr>
          <w:sz w:val="22"/>
          <w:szCs w:val="22"/>
          <w:lang w:val="sr-Latn-ME"/>
        </w:rPr>
        <w:t xml:space="preserve"> sinteze </w:t>
      </w:r>
      <w:proofErr w:type="spellStart"/>
      <w:r w:rsidRPr="00CF5F52">
        <w:rPr>
          <w:sz w:val="22"/>
          <w:szCs w:val="22"/>
          <w:lang w:val="sr-Latn-ME"/>
        </w:rPr>
        <w:t>androgena</w:t>
      </w:r>
      <w:proofErr w:type="spellEnd"/>
      <w:r w:rsidRPr="00CF5F52">
        <w:rPr>
          <w:sz w:val="22"/>
          <w:szCs w:val="22"/>
          <w:lang w:val="sr-Latn-ME"/>
        </w:rPr>
        <w:t xml:space="preserve"> (npr. </w:t>
      </w:r>
      <w:proofErr w:type="spellStart"/>
      <w:r w:rsidRPr="00CF5F52">
        <w:rPr>
          <w:sz w:val="22"/>
          <w:szCs w:val="22"/>
          <w:lang w:val="sr-Latn-ME"/>
        </w:rPr>
        <w:t>abirateron</w:t>
      </w:r>
      <w:proofErr w:type="spellEnd"/>
      <w:r w:rsidRPr="00CF5F52">
        <w:rPr>
          <w:sz w:val="22"/>
          <w:szCs w:val="22"/>
          <w:lang w:val="sr-Latn-ME"/>
        </w:rPr>
        <w:t xml:space="preserve">-acetat), </w:t>
      </w:r>
      <w:proofErr w:type="spellStart"/>
      <w:r w:rsidRPr="00CF5F52">
        <w:rPr>
          <w:sz w:val="22"/>
          <w:szCs w:val="22"/>
          <w:lang w:val="sr-Latn-ME"/>
        </w:rPr>
        <w:t>antiandrogena</w:t>
      </w:r>
      <w:proofErr w:type="spellEnd"/>
      <w:r w:rsidRPr="00CF5F52">
        <w:rPr>
          <w:sz w:val="22"/>
          <w:szCs w:val="22"/>
          <w:lang w:val="sr-Latn-ME"/>
        </w:rPr>
        <w:t xml:space="preserve"> (npr. </w:t>
      </w:r>
      <w:proofErr w:type="spellStart"/>
      <w:r w:rsidRPr="00CF5F52">
        <w:rPr>
          <w:sz w:val="22"/>
          <w:szCs w:val="22"/>
          <w:lang w:val="sr-Latn-ME"/>
        </w:rPr>
        <w:t>enzalutamid</w:t>
      </w:r>
      <w:proofErr w:type="spellEnd"/>
      <w:r w:rsidRPr="00CF5F52">
        <w:rPr>
          <w:sz w:val="22"/>
          <w:szCs w:val="22"/>
          <w:lang w:val="sr-Latn-ME"/>
        </w:rPr>
        <w:t xml:space="preserve">), </w:t>
      </w:r>
      <w:proofErr w:type="spellStart"/>
      <w:r w:rsidRPr="00CF5F52">
        <w:rPr>
          <w:sz w:val="22"/>
          <w:szCs w:val="22"/>
          <w:lang w:val="sr-Latn-ME"/>
        </w:rPr>
        <w:t>taksana</w:t>
      </w:r>
      <w:proofErr w:type="spellEnd"/>
      <w:r w:rsidRPr="00CF5F52">
        <w:rPr>
          <w:sz w:val="22"/>
          <w:szCs w:val="22"/>
          <w:lang w:val="sr-Latn-ME"/>
        </w:rPr>
        <w:t xml:space="preserve"> (npr. </w:t>
      </w:r>
      <w:proofErr w:type="spellStart"/>
      <w:r w:rsidRPr="00CF5F52">
        <w:rPr>
          <w:sz w:val="22"/>
          <w:szCs w:val="22"/>
          <w:lang w:val="sr-Latn-ME"/>
        </w:rPr>
        <w:t>docetaksel</w:t>
      </w:r>
      <w:proofErr w:type="spellEnd"/>
      <w:r w:rsidRPr="00CF5F52">
        <w:rPr>
          <w:sz w:val="22"/>
          <w:szCs w:val="22"/>
          <w:lang w:val="sr-Latn-ME"/>
        </w:rPr>
        <w:t xml:space="preserve"> ili </w:t>
      </w:r>
      <w:proofErr w:type="spellStart"/>
      <w:r w:rsidRPr="00CF5F52">
        <w:rPr>
          <w:sz w:val="22"/>
          <w:szCs w:val="22"/>
          <w:lang w:val="sr-Latn-ME"/>
        </w:rPr>
        <w:t>paklitaksel</w:t>
      </w:r>
      <w:proofErr w:type="spellEnd"/>
      <w:r w:rsidRPr="00CF5F52">
        <w:rPr>
          <w:sz w:val="22"/>
          <w:szCs w:val="22"/>
          <w:lang w:val="sr-Latn-ME"/>
        </w:rPr>
        <w:t>) ili l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 xml:space="preserve">ekova za </w:t>
      </w:r>
      <w:proofErr w:type="spellStart"/>
      <w:r w:rsidRPr="00CF5F52">
        <w:rPr>
          <w:sz w:val="22"/>
          <w:szCs w:val="22"/>
          <w:lang w:val="sr-Latn-ME"/>
        </w:rPr>
        <w:t>radioterapiju</w:t>
      </w:r>
      <w:proofErr w:type="spellEnd"/>
      <w:r w:rsidRPr="00CF5F52">
        <w:rPr>
          <w:sz w:val="22"/>
          <w:szCs w:val="22"/>
          <w:lang w:val="sr-Latn-ME"/>
        </w:rPr>
        <w:t xml:space="preserve"> (npr. radijum-223) uz </w:t>
      </w:r>
      <w:proofErr w:type="spellStart"/>
      <w:r w:rsidRPr="00CF5F52">
        <w:rPr>
          <w:sz w:val="22"/>
          <w:szCs w:val="22"/>
          <w:lang w:val="sr-Latn-ME"/>
        </w:rPr>
        <w:t>LHRH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agoniste</w:t>
      </w:r>
      <w:proofErr w:type="spellEnd"/>
      <w:r w:rsidRPr="00CF5F52">
        <w:rPr>
          <w:sz w:val="22"/>
          <w:szCs w:val="22"/>
          <w:lang w:val="sr-Latn-ME"/>
        </w:rPr>
        <w:t xml:space="preserve"> kao što je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C446BC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acetat.</w:t>
      </w:r>
    </w:p>
    <w:p w14:paraId="1FD52D81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833415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5.2.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proofErr w:type="spellStart"/>
      <w:r w:rsidRPr="00CF5F52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CF5F52">
        <w:rPr>
          <w:b/>
          <w:bCs/>
          <w:sz w:val="22"/>
          <w:szCs w:val="22"/>
          <w:lang w:val="sr-Latn-ME"/>
        </w:rPr>
        <w:t xml:space="preserve"> podaci</w:t>
      </w:r>
      <w:r w:rsidR="003A7059" w:rsidRPr="00CF5F52">
        <w:rPr>
          <w:b/>
          <w:bCs/>
          <w:sz w:val="22"/>
          <w:szCs w:val="22"/>
          <w:lang w:val="sr-Latn-ME"/>
        </w:rPr>
        <w:t xml:space="preserve"> </w:t>
      </w:r>
    </w:p>
    <w:p w14:paraId="0A99386E" w14:textId="77777777" w:rsidR="005D5FD5" w:rsidRPr="00CF5F52" w:rsidRDefault="005D5FD5" w:rsidP="00676BE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678B6DE4" w14:textId="70912083" w:rsidR="002B4C79" w:rsidRPr="00CF5F52" w:rsidRDefault="005D5FD5" w:rsidP="00676BE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CF5F52">
        <w:rPr>
          <w:i/>
          <w:sz w:val="22"/>
          <w:szCs w:val="22"/>
          <w:lang w:val="sr-Latn-ME"/>
        </w:rPr>
        <w:t>Resorpcija</w:t>
      </w:r>
    </w:p>
    <w:p w14:paraId="0065776A" w14:textId="040C8126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Nakon injekcije l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="00FB13E8" w:rsidRPr="00CF5F52">
        <w:rPr>
          <w:sz w:val="22"/>
          <w:szCs w:val="22"/>
          <w:lang w:val="sr-Latn-ME"/>
        </w:rPr>
        <w:t>Leuprorelin</w:t>
      </w:r>
      <w:proofErr w:type="spellEnd"/>
      <w:r w:rsidR="00FB13E8" w:rsidRPr="00CF5F52">
        <w:rPr>
          <w:sz w:val="22"/>
          <w:szCs w:val="22"/>
          <w:lang w:val="sr-Latn-ME"/>
        </w:rPr>
        <w:t xml:space="preserve"> Sandoz </w:t>
      </w:r>
      <w:proofErr w:type="spellStart"/>
      <w:r w:rsidRPr="00CF5F52">
        <w:rPr>
          <w:sz w:val="22"/>
          <w:szCs w:val="22"/>
          <w:lang w:val="sr-Latn-ME"/>
        </w:rPr>
        <w:t>biorazgradivog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implanta</w:t>
      </w:r>
      <w:proofErr w:type="spellEnd"/>
      <w:r w:rsidRPr="00CF5F52">
        <w:rPr>
          <w:sz w:val="22"/>
          <w:szCs w:val="22"/>
          <w:lang w:val="sr-Latn-ME"/>
        </w:rPr>
        <w:t xml:space="preserve">, aktivna supstanca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="008B1DE0" w:rsidRPr="00CF5F52">
        <w:rPr>
          <w:sz w:val="22"/>
          <w:szCs w:val="22"/>
          <w:lang w:val="sr-Latn-ME"/>
        </w:rPr>
        <w:t xml:space="preserve"> </w:t>
      </w:r>
      <w:r w:rsidRPr="00CF5F52">
        <w:rPr>
          <w:sz w:val="22"/>
          <w:szCs w:val="22"/>
          <w:lang w:val="sr-Latn-ME"/>
        </w:rPr>
        <w:t>acetat se kont</w:t>
      </w:r>
      <w:r w:rsidR="008B1DE0" w:rsidRPr="00CF5F52">
        <w:rPr>
          <w:sz w:val="22"/>
          <w:szCs w:val="22"/>
          <w:lang w:val="sr-Latn-ME"/>
        </w:rPr>
        <w:t>in</w:t>
      </w:r>
      <w:r w:rsidRPr="00CF5F52">
        <w:rPr>
          <w:sz w:val="22"/>
          <w:szCs w:val="22"/>
          <w:lang w:val="sr-Latn-ME"/>
        </w:rPr>
        <w:t xml:space="preserve">uirano oslobađa iz polimera </w:t>
      </w:r>
      <w:proofErr w:type="spellStart"/>
      <w:r w:rsidRPr="00CF5F52">
        <w:rPr>
          <w:sz w:val="22"/>
          <w:szCs w:val="22"/>
          <w:lang w:val="sr-Latn-ME"/>
        </w:rPr>
        <w:t>polilaktatne</w:t>
      </w:r>
      <w:proofErr w:type="spellEnd"/>
      <w:r w:rsidRPr="00CF5F52">
        <w:rPr>
          <w:sz w:val="22"/>
          <w:szCs w:val="22"/>
          <w:lang w:val="sr-Latn-ME"/>
        </w:rPr>
        <w:t xml:space="preserve"> kiseline tokom perioda do 182 dana (26 ned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elja). Polimer se resorbuje na isti način kao i hirurški konac.</w:t>
      </w:r>
    </w:p>
    <w:p w14:paraId="4FA2DF25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6576CC7" w14:textId="2B60D5DB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U periodu od 2 sata, nakon </w:t>
      </w:r>
      <w:proofErr w:type="spellStart"/>
      <w:r w:rsidRPr="00CF5F52">
        <w:rPr>
          <w:sz w:val="22"/>
          <w:szCs w:val="22"/>
          <w:lang w:val="sr-Latn-ME"/>
        </w:rPr>
        <w:t>supkutne</w:t>
      </w:r>
      <w:proofErr w:type="spellEnd"/>
      <w:r w:rsidRPr="00CF5F52">
        <w:rPr>
          <w:sz w:val="22"/>
          <w:szCs w:val="22"/>
          <w:lang w:val="sr-Latn-ME"/>
        </w:rPr>
        <w:t xml:space="preserve"> </w:t>
      </w:r>
      <w:proofErr w:type="spellStart"/>
      <w:r w:rsidRPr="00CF5F52">
        <w:rPr>
          <w:sz w:val="22"/>
          <w:szCs w:val="22"/>
          <w:lang w:val="sr-Latn-ME"/>
        </w:rPr>
        <w:t>pojednačne</w:t>
      </w:r>
      <w:proofErr w:type="spellEnd"/>
      <w:r w:rsidRPr="00CF5F52">
        <w:rPr>
          <w:sz w:val="22"/>
          <w:szCs w:val="22"/>
          <w:lang w:val="sr-Latn-ME"/>
        </w:rPr>
        <w:t xml:space="preserve">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 l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eka </w:t>
      </w:r>
      <w:proofErr w:type="spellStart"/>
      <w:r w:rsidR="00FB13E8" w:rsidRPr="00CF5F52">
        <w:rPr>
          <w:sz w:val="22"/>
          <w:szCs w:val="22"/>
          <w:lang w:val="sr-Latn-ME"/>
        </w:rPr>
        <w:t>Leuprorelin</w:t>
      </w:r>
      <w:proofErr w:type="spellEnd"/>
      <w:r w:rsidR="00FB13E8" w:rsidRPr="00CF5F52">
        <w:rPr>
          <w:sz w:val="22"/>
          <w:szCs w:val="22"/>
          <w:lang w:val="sr-Latn-ME"/>
        </w:rPr>
        <w:t xml:space="preserve"> Sandoz </w:t>
      </w:r>
      <w:r w:rsidRPr="00CF5F52">
        <w:rPr>
          <w:sz w:val="22"/>
          <w:szCs w:val="22"/>
          <w:lang w:val="sr-Latn-ME"/>
        </w:rPr>
        <w:t>izm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erene su maksimalne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leuprorelina</w:t>
      </w:r>
      <w:proofErr w:type="spellEnd"/>
      <w:r w:rsidRPr="00CF5F52">
        <w:rPr>
          <w:sz w:val="22"/>
          <w:szCs w:val="22"/>
          <w:lang w:val="sr-Latn-ME"/>
        </w:rPr>
        <w:t xml:space="preserve"> u serumu od 5216 </w:t>
      </w:r>
      <w:proofErr w:type="spellStart"/>
      <w:r w:rsidR="00FB13E8" w:rsidRPr="00CF5F52">
        <w:rPr>
          <w:sz w:val="22"/>
          <w:szCs w:val="22"/>
          <w:lang w:val="sr-Latn-ME"/>
        </w:rPr>
        <w:t>pg</w:t>
      </w:r>
      <w:proofErr w:type="spellEnd"/>
      <w:r w:rsidR="00FB13E8" w:rsidRPr="00CF5F52">
        <w:rPr>
          <w:sz w:val="22"/>
          <w:szCs w:val="22"/>
          <w:lang w:val="sr-Latn-ME"/>
        </w:rPr>
        <w:t xml:space="preserve">/ml </w:t>
      </w:r>
      <w:r w:rsidRPr="00CF5F52">
        <w:rPr>
          <w:sz w:val="22"/>
          <w:szCs w:val="22"/>
          <w:lang w:val="sr-Latn-ME"/>
        </w:rPr>
        <w:t xml:space="preserve">(5,2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E0779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>).</w:t>
      </w:r>
    </w:p>
    <w:p w14:paraId="52F4EA7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1575F37" w14:textId="77777777" w:rsidR="00FB13E8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PIK tokom 3-m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esečne terapije l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ekom </w:t>
      </w:r>
      <w:proofErr w:type="spellStart"/>
      <w:r w:rsidRPr="00CF5F52">
        <w:rPr>
          <w:sz w:val="22"/>
          <w:szCs w:val="22"/>
          <w:lang w:val="sr-Latn-ME"/>
        </w:rPr>
        <w:t>Leuprorelin</w:t>
      </w:r>
      <w:proofErr w:type="spellEnd"/>
      <w:r w:rsidRPr="00CF5F52">
        <w:rPr>
          <w:sz w:val="22"/>
          <w:szCs w:val="22"/>
          <w:lang w:val="sr-Latn-ME"/>
        </w:rPr>
        <w:t xml:space="preserve"> Sandoz bio je 32,4 </w:t>
      </w:r>
      <w:proofErr w:type="spellStart"/>
      <w:r w:rsidRPr="00CF5F52">
        <w:rPr>
          <w:sz w:val="22"/>
          <w:szCs w:val="22"/>
          <w:lang w:val="sr-Latn-ME"/>
        </w:rPr>
        <w:t>n</w:t>
      </w:r>
      <w:r w:rsidR="00FB13E8" w:rsidRPr="00CF5F52">
        <w:rPr>
          <w:sz w:val="22"/>
          <w:szCs w:val="22"/>
          <w:lang w:val="sr-Latn-ME"/>
        </w:rPr>
        <w:t>g</w:t>
      </w:r>
      <w:proofErr w:type="spellEnd"/>
      <w:r w:rsidRPr="00CF5F52">
        <w:rPr>
          <w:sz w:val="22"/>
          <w:szCs w:val="22"/>
          <w:lang w:val="sr-Latn-ME"/>
        </w:rPr>
        <w:t>/m</w:t>
      </w:r>
      <w:r w:rsidR="00FE0779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 xml:space="preserve">*d. </w:t>
      </w:r>
    </w:p>
    <w:p w14:paraId="18D34E04" w14:textId="3106EA4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erljive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ednosti u serumu su prisutne do 182 dana (26 ned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elja) nakon prim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ene.</w:t>
      </w:r>
    </w:p>
    <w:p w14:paraId="25490F3C" w14:textId="77777777" w:rsidR="00C446BC" w:rsidRPr="00CF5F52" w:rsidRDefault="00C446BC" w:rsidP="00676BE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</w:p>
    <w:p w14:paraId="7D64BC2D" w14:textId="79E6C60E" w:rsidR="002B4C79" w:rsidRPr="00CF5F52" w:rsidRDefault="005D5FD5" w:rsidP="00676BE4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CF5F52">
        <w:rPr>
          <w:i/>
          <w:sz w:val="22"/>
          <w:szCs w:val="22"/>
          <w:lang w:val="sr-Latn-ME"/>
        </w:rPr>
        <w:t>Distribucija</w:t>
      </w:r>
    </w:p>
    <w:p w14:paraId="1C940A8D" w14:textId="2CB57D14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Volumen distribucije </w:t>
      </w:r>
      <w:proofErr w:type="spellStart"/>
      <w:r w:rsidRPr="00CF5F52">
        <w:rPr>
          <w:sz w:val="22"/>
          <w:szCs w:val="22"/>
          <w:lang w:val="sr-Latn-ME"/>
        </w:rPr>
        <w:t>leuprorelina</w:t>
      </w:r>
      <w:proofErr w:type="spellEnd"/>
      <w:r w:rsidRPr="00CF5F52">
        <w:rPr>
          <w:sz w:val="22"/>
          <w:szCs w:val="22"/>
          <w:lang w:val="sr-Latn-ME"/>
        </w:rPr>
        <w:t xml:space="preserve"> je 36</w:t>
      </w:r>
      <w:r w:rsidR="00FB13E8" w:rsidRPr="00CF5F52">
        <w:rPr>
          <w:sz w:val="22"/>
          <w:szCs w:val="22"/>
          <w:lang w:val="sr-Latn-ME"/>
        </w:rPr>
        <w:t xml:space="preserve"> l</w:t>
      </w:r>
      <w:r w:rsidRPr="00CF5F52">
        <w:rPr>
          <w:sz w:val="22"/>
          <w:szCs w:val="22"/>
          <w:lang w:val="sr-Latn-ME"/>
        </w:rPr>
        <w:t xml:space="preserve"> kod muškaraca; ukupni </w:t>
      </w:r>
      <w:proofErr w:type="spellStart"/>
      <w:r w:rsidRPr="00CF5F52">
        <w:rPr>
          <w:sz w:val="22"/>
          <w:szCs w:val="22"/>
          <w:lang w:val="sr-Latn-ME"/>
        </w:rPr>
        <w:t>klirens</w:t>
      </w:r>
      <w:proofErr w:type="spellEnd"/>
      <w:r w:rsidRPr="00CF5F52">
        <w:rPr>
          <w:sz w:val="22"/>
          <w:szCs w:val="22"/>
          <w:lang w:val="sr-Latn-ME"/>
        </w:rPr>
        <w:t xml:space="preserve"> je 139,6 m</w:t>
      </w:r>
      <w:r w:rsidR="00FE0779" w:rsidRPr="00CF5F52">
        <w:rPr>
          <w:sz w:val="22"/>
          <w:szCs w:val="22"/>
          <w:lang w:val="sr-Latn-ME"/>
        </w:rPr>
        <w:t>l</w:t>
      </w:r>
      <w:r w:rsidRPr="00CF5F52">
        <w:rPr>
          <w:sz w:val="22"/>
          <w:szCs w:val="22"/>
          <w:lang w:val="sr-Latn-ME"/>
        </w:rPr>
        <w:t>/min.</w:t>
      </w:r>
    </w:p>
    <w:p w14:paraId="1FDD3084" w14:textId="77777777" w:rsidR="00FB13E8" w:rsidRPr="00CF5F52" w:rsidRDefault="00FB13E8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7C6D823" w14:textId="739BD9D4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Kod pacijenata sa oštećenom funkcijom bubrega ili jetre,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leuprorelina</w:t>
      </w:r>
      <w:proofErr w:type="spellEnd"/>
      <w:r w:rsidRPr="00CF5F52">
        <w:rPr>
          <w:sz w:val="22"/>
          <w:szCs w:val="22"/>
          <w:lang w:val="sr-Latn-ME"/>
        </w:rPr>
        <w:t xml:space="preserve"> su bile u opsegu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zab</w:t>
      </w:r>
      <w:r w:rsidR="00FE0779" w:rsidRPr="00CF5F52">
        <w:rPr>
          <w:sz w:val="22"/>
          <w:szCs w:val="22"/>
          <w:lang w:val="sr-Latn-ME"/>
        </w:rPr>
        <w:t>ilj</w:t>
      </w:r>
      <w:r w:rsidRPr="00CF5F52">
        <w:rPr>
          <w:sz w:val="22"/>
          <w:szCs w:val="22"/>
          <w:lang w:val="sr-Latn-ME"/>
        </w:rPr>
        <w:t>eženih</w:t>
      </w:r>
      <w:proofErr w:type="spellEnd"/>
      <w:r w:rsidRPr="00CF5F52">
        <w:rPr>
          <w:sz w:val="22"/>
          <w:szCs w:val="22"/>
          <w:lang w:val="sr-Latn-ME"/>
        </w:rPr>
        <w:t xml:space="preserve"> kod pacijenata sa zdravim bubrezima ili jetrom. Kod pojedinih pacijenata sa hroničnom bubrežnom </w:t>
      </w:r>
      <w:proofErr w:type="spellStart"/>
      <w:r w:rsidRPr="00CF5F52">
        <w:rPr>
          <w:sz w:val="22"/>
          <w:szCs w:val="22"/>
          <w:lang w:val="sr-Latn-ME"/>
        </w:rPr>
        <w:t>insuficijencijom</w:t>
      </w:r>
      <w:proofErr w:type="spellEnd"/>
      <w:r w:rsidRPr="00CF5F52">
        <w:rPr>
          <w:sz w:val="22"/>
          <w:szCs w:val="22"/>
          <w:lang w:val="sr-Latn-ME"/>
        </w:rPr>
        <w:t>, bile su izm</w:t>
      </w:r>
      <w:r w:rsidR="00FE0779" w:rsidRPr="00CF5F52">
        <w:rPr>
          <w:sz w:val="22"/>
          <w:szCs w:val="22"/>
          <w:lang w:val="sr-Latn-ME"/>
        </w:rPr>
        <w:t>j</w:t>
      </w:r>
      <w:r w:rsidRPr="00CF5F52">
        <w:rPr>
          <w:sz w:val="22"/>
          <w:szCs w:val="22"/>
          <w:lang w:val="sr-Latn-ME"/>
        </w:rPr>
        <w:t>erene veće vr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 xml:space="preserve">ednosti </w:t>
      </w:r>
      <w:proofErr w:type="spellStart"/>
      <w:r w:rsidRPr="00CF5F52">
        <w:rPr>
          <w:sz w:val="22"/>
          <w:szCs w:val="22"/>
          <w:lang w:val="sr-Latn-ME"/>
        </w:rPr>
        <w:t>leu</w:t>
      </w:r>
      <w:r w:rsidR="008B1DE0" w:rsidRPr="00CF5F52">
        <w:rPr>
          <w:sz w:val="22"/>
          <w:szCs w:val="22"/>
          <w:lang w:val="sr-Latn-ME"/>
        </w:rPr>
        <w:t>p</w:t>
      </w:r>
      <w:r w:rsidRPr="00CF5F52">
        <w:rPr>
          <w:sz w:val="22"/>
          <w:szCs w:val="22"/>
          <w:lang w:val="sr-Latn-ME"/>
        </w:rPr>
        <w:t>rorelina</w:t>
      </w:r>
      <w:proofErr w:type="spellEnd"/>
      <w:r w:rsidRPr="00CF5F52">
        <w:rPr>
          <w:sz w:val="22"/>
          <w:szCs w:val="22"/>
          <w:lang w:val="sr-Latn-ME"/>
        </w:rPr>
        <w:t xml:space="preserve"> u serumu. Međutim, čini se da ovo zapažanje nema klinički značaj.</w:t>
      </w:r>
    </w:p>
    <w:p w14:paraId="3471D42F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31F0F0" w14:textId="5FBF70E1" w:rsidR="00FB13E8" w:rsidRPr="00CF5F52" w:rsidRDefault="00FB13E8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E5DEA7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5.3.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proofErr w:type="spellStart"/>
      <w:r w:rsidRPr="00CF5F52">
        <w:rPr>
          <w:b/>
          <w:bCs/>
          <w:sz w:val="22"/>
          <w:szCs w:val="22"/>
          <w:lang w:val="sr-Latn-ME"/>
        </w:rPr>
        <w:t>Pretklinički</w:t>
      </w:r>
      <w:proofErr w:type="spellEnd"/>
      <w:r w:rsidRPr="00CF5F52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469B5C66" w14:textId="77777777" w:rsidR="00836B35" w:rsidRPr="00CF5F52" w:rsidRDefault="00836B35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B2C3C2" w14:textId="0D22A833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Pretklinička</w:t>
      </w:r>
      <w:proofErr w:type="spellEnd"/>
      <w:r w:rsidRPr="00CF5F52">
        <w:rPr>
          <w:bCs/>
          <w:sz w:val="22"/>
          <w:szCs w:val="22"/>
          <w:lang w:val="sr-Latn-ME"/>
        </w:rPr>
        <w:t xml:space="preserve"> ispitivanja sa 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ekom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 su pokazala dejstva na reproduktivne organe, što je očekivano s obzirom na poznata farmakološka svojstva </w:t>
      </w:r>
      <w:proofErr w:type="spellStart"/>
      <w:r w:rsidRPr="00CF5F52">
        <w:rPr>
          <w:bCs/>
          <w:sz w:val="22"/>
          <w:szCs w:val="22"/>
          <w:lang w:val="sr-Latn-ME"/>
        </w:rPr>
        <w:t>leuprorelina</w:t>
      </w:r>
      <w:proofErr w:type="spellEnd"/>
      <w:r w:rsidRPr="00CF5F52">
        <w:rPr>
          <w:bCs/>
          <w:sz w:val="22"/>
          <w:szCs w:val="22"/>
          <w:lang w:val="sr-Latn-ME"/>
        </w:rPr>
        <w:t>.</w:t>
      </w:r>
    </w:p>
    <w:p w14:paraId="5C0CCF9A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8536E3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CF5F52">
        <w:rPr>
          <w:bCs/>
          <w:i/>
          <w:sz w:val="22"/>
          <w:szCs w:val="22"/>
          <w:lang w:val="sr-Latn-ME"/>
        </w:rPr>
        <w:t>Karcinogenost</w:t>
      </w:r>
      <w:proofErr w:type="spellEnd"/>
    </w:p>
    <w:p w14:paraId="7B978A89" w14:textId="414B36C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U ispitivanjima sprovedenim na pacovima, prim</w:t>
      </w:r>
      <w:r w:rsidR="005C4627" w:rsidRPr="00CF5F52">
        <w:rPr>
          <w:bCs/>
          <w:sz w:val="22"/>
          <w:szCs w:val="22"/>
          <w:lang w:val="sr-Latn-ME"/>
        </w:rPr>
        <w:t>i</w:t>
      </w:r>
      <w:r w:rsidR="00FE0779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 xml:space="preserve">ećeno je </w:t>
      </w:r>
      <w:proofErr w:type="spellStart"/>
      <w:r w:rsidRPr="00CF5F52">
        <w:rPr>
          <w:bCs/>
          <w:sz w:val="22"/>
          <w:szCs w:val="22"/>
          <w:lang w:val="sr-Latn-ME"/>
        </w:rPr>
        <w:t>dozno</w:t>
      </w:r>
      <w:proofErr w:type="spellEnd"/>
      <w:r w:rsidRPr="00CF5F52">
        <w:rPr>
          <w:bCs/>
          <w:sz w:val="22"/>
          <w:szCs w:val="22"/>
          <w:lang w:val="sr-Latn-ME"/>
        </w:rPr>
        <w:t xml:space="preserve">-zavisno povećanje </w:t>
      </w:r>
      <w:proofErr w:type="spellStart"/>
      <w:r w:rsidRPr="00CF5F52">
        <w:rPr>
          <w:bCs/>
          <w:sz w:val="22"/>
          <w:szCs w:val="22"/>
          <w:lang w:val="sr-Latn-ME"/>
        </w:rPr>
        <w:t>adenoma</w:t>
      </w:r>
      <w:proofErr w:type="spellEnd"/>
      <w:r w:rsidRPr="00CF5F52">
        <w:rPr>
          <w:bCs/>
          <w:sz w:val="22"/>
          <w:szCs w:val="22"/>
          <w:lang w:val="sr-Latn-ME"/>
        </w:rPr>
        <w:t xml:space="preserve"> hipofize, nakon </w:t>
      </w:r>
      <w:proofErr w:type="spellStart"/>
      <w:r w:rsidRPr="00CF5F52">
        <w:rPr>
          <w:bCs/>
          <w:sz w:val="22"/>
          <w:szCs w:val="22"/>
          <w:lang w:val="sr-Latn-ME"/>
        </w:rPr>
        <w:t>supkutane</w:t>
      </w:r>
      <w:proofErr w:type="spellEnd"/>
      <w:r w:rsidRPr="00CF5F52">
        <w:rPr>
          <w:bCs/>
          <w:sz w:val="22"/>
          <w:szCs w:val="22"/>
          <w:lang w:val="sr-Latn-ME"/>
        </w:rPr>
        <w:t xml:space="preserve"> injekcije 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 u dozama od 0,6 – 4 mg/kg/dan tokom perioda od 12 do 24 m</w:t>
      </w:r>
      <w:r w:rsidR="00FE0779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esec</w:t>
      </w:r>
      <w:r w:rsidR="005C4627" w:rsidRPr="00CF5F52">
        <w:rPr>
          <w:bCs/>
          <w:sz w:val="22"/>
          <w:szCs w:val="22"/>
          <w:lang w:val="sr-Latn-ME"/>
        </w:rPr>
        <w:t>i</w:t>
      </w:r>
      <w:r w:rsidRPr="00CF5F52">
        <w:rPr>
          <w:bCs/>
          <w:sz w:val="22"/>
          <w:szCs w:val="22"/>
          <w:lang w:val="sr-Latn-ME"/>
        </w:rPr>
        <w:t>. Takvo dejstvo nije zab</w:t>
      </w:r>
      <w:r w:rsidR="00FE0779" w:rsidRPr="00CF5F52">
        <w:rPr>
          <w:bCs/>
          <w:sz w:val="22"/>
          <w:szCs w:val="22"/>
          <w:lang w:val="sr-Latn-ME"/>
        </w:rPr>
        <w:t>ilj</w:t>
      </w:r>
      <w:r w:rsidRPr="00CF5F52">
        <w:rPr>
          <w:bCs/>
          <w:sz w:val="22"/>
          <w:szCs w:val="22"/>
          <w:lang w:val="sr-Latn-ME"/>
        </w:rPr>
        <w:t>eženo u ispitivanjima na miševima koja su trajala duže od 24 m</w:t>
      </w:r>
      <w:r w:rsidR="00FE0779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eseca.</w:t>
      </w:r>
    </w:p>
    <w:p w14:paraId="7FAAB582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023349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CF5F52">
        <w:rPr>
          <w:bCs/>
          <w:i/>
          <w:sz w:val="22"/>
          <w:szCs w:val="22"/>
          <w:lang w:val="sr-Latn-ME"/>
        </w:rPr>
        <w:t>Mutagenost</w:t>
      </w:r>
      <w:proofErr w:type="spellEnd"/>
    </w:p>
    <w:p w14:paraId="1676697D" w14:textId="6EC33DDB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U </w:t>
      </w:r>
      <w:r w:rsidRPr="00CF5F52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CF5F52">
        <w:rPr>
          <w:bCs/>
          <w:i/>
          <w:sz w:val="22"/>
          <w:szCs w:val="22"/>
          <w:lang w:val="sr-Latn-ME"/>
        </w:rPr>
        <w:t>vitro</w:t>
      </w:r>
      <w:proofErr w:type="spellEnd"/>
      <w:r w:rsidRPr="00CF5F52">
        <w:rPr>
          <w:bCs/>
          <w:i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i </w:t>
      </w:r>
      <w:r w:rsidRPr="00CF5F52">
        <w:rPr>
          <w:bCs/>
          <w:i/>
          <w:sz w:val="22"/>
          <w:szCs w:val="22"/>
          <w:lang w:val="sr-Latn-ME"/>
        </w:rPr>
        <w:t xml:space="preserve">in </w:t>
      </w:r>
      <w:proofErr w:type="spellStart"/>
      <w:r w:rsidRPr="00CF5F52">
        <w:rPr>
          <w:bCs/>
          <w:i/>
          <w:sz w:val="22"/>
          <w:szCs w:val="22"/>
          <w:lang w:val="sr-Latn-ME"/>
        </w:rPr>
        <w:t>vivo</w:t>
      </w:r>
      <w:proofErr w:type="spellEnd"/>
      <w:r w:rsidRPr="00CF5F52">
        <w:rPr>
          <w:bCs/>
          <w:i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ispitivanjima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="008B1DE0" w:rsidRPr="00CF5F52">
        <w:rPr>
          <w:bCs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 xml:space="preserve">acetata sprovedenim sa ciljem dokazivanja </w:t>
      </w:r>
      <w:proofErr w:type="spellStart"/>
      <w:r w:rsidRPr="00CF5F52">
        <w:rPr>
          <w:bCs/>
          <w:sz w:val="22"/>
          <w:szCs w:val="22"/>
          <w:lang w:val="sr-Latn-ME"/>
        </w:rPr>
        <w:t>hromozomskih</w:t>
      </w:r>
      <w:proofErr w:type="spellEnd"/>
      <w:r w:rsidRPr="00CF5F52">
        <w:rPr>
          <w:bCs/>
          <w:sz w:val="22"/>
          <w:szCs w:val="22"/>
          <w:lang w:val="sr-Latn-ME"/>
        </w:rPr>
        <w:t xml:space="preserve"> i genetskih mutacija, nije dokazan </w:t>
      </w:r>
      <w:proofErr w:type="spellStart"/>
      <w:r w:rsidRPr="00CF5F52">
        <w:rPr>
          <w:bCs/>
          <w:sz w:val="22"/>
          <w:szCs w:val="22"/>
          <w:lang w:val="sr-Latn-ME"/>
        </w:rPr>
        <w:t>mutageni</w:t>
      </w:r>
      <w:proofErr w:type="spellEnd"/>
      <w:r w:rsidRPr="00CF5F52">
        <w:rPr>
          <w:bCs/>
          <w:sz w:val="22"/>
          <w:szCs w:val="22"/>
          <w:lang w:val="sr-Latn-ME"/>
        </w:rPr>
        <w:t xml:space="preserve"> potencijal 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eka.</w:t>
      </w:r>
    </w:p>
    <w:p w14:paraId="57B99E73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1E48B1" w14:textId="77777777" w:rsidR="00254B40" w:rsidRDefault="00254B40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07008AE8" w14:textId="12A766C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CF5F52">
        <w:rPr>
          <w:bCs/>
          <w:i/>
          <w:sz w:val="22"/>
          <w:szCs w:val="22"/>
          <w:lang w:val="sr-Latn-ME"/>
        </w:rPr>
        <w:lastRenderedPageBreak/>
        <w:t>Reproduktivna toksičnost</w:t>
      </w:r>
    </w:p>
    <w:p w14:paraId="3ADD93B0" w14:textId="380759F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U ispitivanjima reproduktivne toksičnosti sprovedenim na kunićima, prim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ećen je porast smrtnosti fetusa kao i smanjena težina fetusa. Dejstva na smrtnost fetusa tumače se </w:t>
      </w:r>
      <w:proofErr w:type="spellStart"/>
      <w:r w:rsidRPr="00CF5F52">
        <w:rPr>
          <w:bCs/>
          <w:sz w:val="22"/>
          <w:szCs w:val="22"/>
          <w:lang w:val="sr-Latn-ME"/>
        </w:rPr>
        <w:t>farmakodinamskim</w:t>
      </w:r>
      <w:proofErr w:type="spellEnd"/>
      <w:r w:rsidRPr="00CF5F52">
        <w:rPr>
          <w:bCs/>
          <w:sz w:val="22"/>
          <w:szCs w:val="22"/>
          <w:lang w:val="sr-Latn-ME"/>
        </w:rPr>
        <w:t xml:space="preserve"> dejstvom 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eka.</w:t>
      </w:r>
    </w:p>
    <w:p w14:paraId="341AA1A0" w14:textId="77777777" w:rsidR="00FE0779" w:rsidRPr="00CF5F52" w:rsidRDefault="00FE07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5CCFF0D" w14:textId="0D132FBA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CF5F52">
        <w:rPr>
          <w:bCs/>
          <w:i/>
          <w:sz w:val="22"/>
          <w:szCs w:val="22"/>
          <w:lang w:val="sr-Latn-ME"/>
        </w:rPr>
        <w:t xml:space="preserve">Lokalna </w:t>
      </w:r>
      <w:proofErr w:type="spellStart"/>
      <w:r w:rsidRPr="00CF5F52">
        <w:rPr>
          <w:bCs/>
          <w:i/>
          <w:sz w:val="22"/>
          <w:szCs w:val="22"/>
          <w:lang w:val="sr-Latn-ME"/>
        </w:rPr>
        <w:t>podnošljivost</w:t>
      </w:r>
      <w:proofErr w:type="spellEnd"/>
    </w:p>
    <w:p w14:paraId="650D9EE9" w14:textId="201160C0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Pretklinička</w:t>
      </w:r>
      <w:proofErr w:type="spellEnd"/>
      <w:r w:rsidRPr="00CF5F52">
        <w:rPr>
          <w:bCs/>
          <w:sz w:val="22"/>
          <w:szCs w:val="22"/>
          <w:lang w:val="sr-Latn-ME"/>
        </w:rPr>
        <w:t xml:space="preserve"> ispitivanja sprovedena na psima i kunićima potvrdila su dobru lokalnu </w:t>
      </w:r>
      <w:proofErr w:type="spellStart"/>
      <w:r w:rsidRPr="00CF5F52">
        <w:rPr>
          <w:bCs/>
          <w:sz w:val="22"/>
          <w:szCs w:val="22"/>
          <w:lang w:val="sr-Latn-ME"/>
        </w:rPr>
        <w:t>podnošljivost</w:t>
      </w:r>
      <w:proofErr w:type="spellEnd"/>
      <w:r w:rsidRPr="00CF5F52">
        <w:rPr>
          <w:bCs/>
          <w:sz w:val="22"/>
          <w:szCs w:val="22"/>
          <w:lang w:val="sr-Latn-ME"/>
        </w:rPr>
        <w:t xml:space="preserve"> 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 xml:space="preserve">eka </w:t>
      </w:r>
      <w:proofErr w:type="spellStart"/>
      <w:r w:rsidRPr="00CF5F52">
        <w:rPr>
          <w:bCs/>
          <w:sz w:val="22"/>
          <w:szCs w:val="22"/>
          <w:lang w:val="sr-Latn-ME"/>
        </w:rPr>
        <w:t>Leuprorelin</w:t>
      </w:r>
      <w:proofErr w:type="spellEnd"/>
      <w:r w:rsidRPr="00CF5F52">
        <w:rPr>
          <w:bCs/>
          <w:sz w:val="22"/>
          <w:szCs w:val="22"/>
          <w:lang w:val="sr-Latn-ME"/>
        </w:rPr>
        <w:t xml:space="preserve"> Sandoz.</w:t>
      </w:r>
    </w:p>
    <w:p w14:paraId="51348394" w14:textId="608C2754" w:rsidR="00396DFD" w:rsidRPr="00CF5F52" w:rsidRDefault="00396DFD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BCDADEF" w14:textId="77777777" w:rsidR="008B1DE0" w:rsidRPr="00CF5F52" w:rsidRDefault="008B1DE0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A8AC64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FARMACEUTSKI PODACI</w:t>
      </w:r>
    </w:p>
    <w:p w14:paraId="6FEA5A2F" w14:textId="77777777" w:rsidR="00836B35" w:rsidRPr="00CF5F52" w:rsidRDefault="00836B35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929F75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6.1.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Lista pomoćnih supstanci</w:t>
      </w:r>
      <w:r w:rsidR="002E0135" w:rsidRPr="00CF5F52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CF5F52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CF5F52">
        <w:rPr>
          <w:b/>
          <w:bCs/>
          <w:sz w:val="22"/>
          <w:szCs w:val="22"/>
          <w:lang w:val="sr-Latn-ME"/>
        </w:rPr>
        <w:t>)</w:t>
      </w:r>
    </w:p>
    <w:p w14:paraId="6FFC1202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DE8B7FC" w14:textId="28E6FFED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Polilaktatna</w:t>
      </w:r>
      <w:proofErr w:type="spellEnd"/>
      <w:r w:rsidRPr="00CF5F52">
        <w:rPr>
          <w:bCs/>
          <w:sz w:val="22"/>
          <w:szCs w:val="22"/>
          <w:lang w:val="sr-Latn-ME"/>
        </w:rPr>
        <w:t xml:space="preserve"> kiselina</w:t>
      </w:r>
    </w:p>
    <w:p w14:paraId="24CA5244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4BD402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6.2.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Inkompatibilnost</w:t>
      </w:r>
      <w:r w:rsidR="002846DB" w:rsidRPr="00CF5F52">
        <w:rPr>
          <w:b/>
          <w:bCs/>
          <w:sz w:val="22"/>
          <w:szCs w:val="22"/>
          <w:lang w:val="sr-Latn-ME"/>
        </w:rPr>
        <w:t>i</w:t>
      </w:r>
    </w:p>
    <w:p w14:paraId="5C111F2D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DD18CA" w14:textId="55B95E0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Nije prim</w:t>
      </w:r>
      <w:r w:rsidR="00FE0779" w:rsidRPr="00CF5F52">
        <w:rPr>
          <w:bCs/>
          <w:sz w:val="22"/>
          <w:szCs w:val="22"/>
          <w:lang w:val="sr-Latn-ME"/>
        </w:rPr>
        <w:t>j</w:t>
      </w:r>
      <w:r w:rsidRPr="00CF5F52">
        <w:rPr>
          <w:bCs/>
          <w:sz w:val="22"/>
          <w:szCs w:val="22"/>
          <w:lang w:val="sr-Latn-ME"/>
        </w:rPr>
        <w:t>enljivo.</w:t>
      </w:r>
    </w:p>
    <w:p w14:paraId="49569DA9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E5E202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>6.3.</w:t>
      </w:r>
      <w:r w:rsidR="00C05DF8" w:rsidRPr="00CF5F52">
        <w:rPr>
          <w:b/>
          <w:bCs/>
          <w:sz w:val="22"/>
          <w:szCs w:val="22"/>
          <w:lang w:val="sr-Latn-ME"/>
        </w:rPr>
        <w:t xml:space="preserve">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Rok upotrebe</w:t>
      </w:r>
    </w:p>
    <w:p w14:paraId="691C2657" w14:textId="501E9A6E" w:rsidR="0072020E" w:rsidRPr="00CF5F52" w:rsidRDefault="002B4C79" w:rsidP="00676BE4">
      <w:pPr>
        <w:tabs>
          <w:tab w:val="left" w:pos="1095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ab/>
      </w:r>
    </w:p>
    <w:p w14:paraId="36AE63B0" w14:textId="1BA3AC2D" w:rsidR="002B4C79" w:rsidRPr="00CF5F52" w:rsidRDefault="002B4C79" w:rsidP="00676BE4">
      <w:pPr>
        <w:tabs>
          <w:tab w:val="left" w:pos="1095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4 godine.</w:t>
      </w:r>
    </w:p>
    <w:p w14:paraId="52EF15FA" w14:textId="77777777" w:rsidR="002B4C79" w:rsidRPr="00CF5F52" w:rsidRDefault="002B4C79" w:rsidP="00676BE4">
      <w:pPr>
        <w:tabs>
          <w:tab w:val="left" w:pos="1095"/>
        </w:tabs>
        <w:jc w:val="both"/>
        <w:rPr>
          <w:bCs/>
          <w:sz w:val="22"/>
          <w:szCs w:val="22"/>
          <w:lang w:val="sr-Latn-ME"/>
        </w:rPr>
      </w:pPr>
    </w:p>
    <w:p w14:paraId="77F7B99C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6.4.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CF5F52">
        <w:rPr>
          <w:b/>
          <w:bCs/>
          <w:sz w:val="22"/>
          <w:szCs w:val="22"/>
          <w:lang w:val="sr-Latn-ME"/>
        </w:rPr>
        <w:t xml:space="preserve"> lijeka</w:t>
      </w:r>
    </w:p>
    <w:p w14:paraId="759885FD" w14:textId="77777777" w:rsidR="00EC2532" w:rsidRPr="00CF5F52" w:rsidRDefault="00EC2532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3310C7" w14:textId="5328FD75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L</w:t>
      </w:r>
      <w:r w:rsidR="00FE0779" w:rsidRPr="00CF5F52">
        <w:rPr>
          <w:bCs/>
          <w:sz w:val="22"/>
          <w:szCs w:val="22"/>
          <w:lang w:val="sr-Latn-ME"/>
        </w:rPr>
        <w:t>ij</w:t>
      </w:r>
      <w:r w:rsidRPr="00CF5F52">
        <w:rPr>
          <w:bCs/>
          <w:sz w:val="22"/>
          <w:szCs w:val="22"/>
          <w:lang w:val="sr-Latn-ME"/>
        </w:rPr>
        <w:t>ek čuvati na temperaturi do 30°C.</w:t>
      </w:r>
    </w:p>
    <w:p w14:paraId="0EB7BBEB" w14:textId="77777777" w:rsidR="002B4C79" w:rsidRPr="00CF5F52" w:rsidRDefault="002B4C7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591F89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6.5.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="002846DB" w:rsidRPr="00CF5F5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CF5F52">
        <w:rPr>
          <w:b/>
          <w:bCs/>
          <w:sz w:val="22"/>
          <w:szCs w:val="22"/>
          <w:lang w:val="sr-Latn-ME"/>
        </w:rPr>
        <w:t>pakovanja</w:t>
      </w:r>
      <w:r w:rsidR="00C06864" w:rsidRPr="00CF5F52">
        <w:rPr>
          <w:b/>
          <w:bCs/>
          <w:sz w:val="22"/>
          <w:szCs w:val="22"/>
          <w:lang w:val="sr-Latn-ME"/>
        </w:rPr>
        <w:t xml:space="preserve"> </w:t>
      </w:r>
    </w:p>
    <w:p w14:paraId="311BC8E0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5DA316" w14:textId="319D2A9A" w:rsidR="005C4627" w:rsidRPr="00CF5F52" w:rsidRDefault="008B1DE0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Unutrašnje pakovanje je p</w:t>
      </w:r>
      <w:r w:rsidR="005C4627" w:rsidRPr="00CF5F52">
        <w:rPr>
          <w:bCs/>
          <w:sz w:val="22"/>
          <w:szCs w:val="22"/>
          <w:lang w:val="sr-Latn-ME"/>
        </w:rPr>
        <w:t xml:space="preserve">lastični napunjen injekcioni špric od </w:t>
      </w:r>
      <w:proofErr w:type="spellStart"/>
      <w:r w:rsidR="005C4627" w:rsidRPr="00CF5F52">
        <w:rPr>
          <w:bCs/>
          <w:sz w:val="22"/>
          <w:szCs w:val="22"/>
          <w:lang w:val="sr-Latn-ME"/>
        </w:rPr>
        <w:t>polikarbonata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sa klipom od </w:t>
      </w:r>
      <w:proofErr w:type="spellStart"/>
      <w:r w:rsidR="005C4627" w:rsidRPr="00CF5F52">
        <w:rPr>
          <w:bCs/>
          <w:sz w:val="22"/>
          <w:szCs w:val="22"/>
          <w:lang w:val="sr-Latn-ME"/>
        </w:rPr>
        <w:t>akrilonitril-butadien-stirenskog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="005C4627" w:rsidRPr="00CF5F52">
        <w:rPr>
          <w:bCs/>
          <w:sz w:val="22"/>
          <w:szCs w:val="22"/>
          <w:lang w:val="sr-Latn-ME"/>
        </w:rPr>
        <w:t>kopolimera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i iglom</w:t>
      </w:r>
      <w:r w:rsidR="0085671E" w:rsidRPr="00CF5F52">
        <w:rPr>
          <w:bCs/>
          <w:sz w:val="22"/>
          <w:szCs w:val="22"/>
          <w:lang w:val="sr-Latn-ME"/>
        </w:rPr>
        <w:t>, koji je</w:t>
      </w:r>
      <w:r w:rsidR="005C4627"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="005C4627" w:rsidRPr="00CF5F52">
        <w:rPr>
          <w:bCs/>
          <w:sz w:val="22"/>
          <w:szCs w:val="22"/>
          <w:lang w:val="sr-Latn-ME"/>
        </w:rPr>
        <w:t>zapečaćen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u kesi od </w:t>
      </w:r>
      <w:proofErr w:type="spellStart"/>
      <w:r w:rsidR="005C4627" w:rsidRPr="00CF5F52">
        <w:rPr>
          <w:bCs/>
          <w:sz w:val="22"/>
          <w:szCs w:val="22"/>
          <w:lang w:val="sr-Latn-ME"/>
        </w:rPr>
        <w:t>polietilen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</w:t>
      </w:r>
      <w:proofErr w:type="spellStart"/>
      <w:r w:rsidR="005C4627" w:rsidRPr="00CF5F52">
        <w:rPr>
          <w:bCs/>
          <w:sz w:val="22"/>
          <w:szCs w:val="22"/>
          <w:lang w:val="sr-Latn-ME"/>
        </w:rPr>
        <w:t>tereftalat</w:t>
      </w:r>
      <w:proofErr w:type="spellEnd"/>
      <w:r w:rsidR="005C4627" w:rsidRPr="00CF5F52">
        <w:rPr>
          <w:bCs/>
          <w:sz w:val="22"/>
          <w:szCs w:val="22"/>
          <w:lang w:val="sr-Latn-ME"/>
        </w:rPr>
        <w:t>/aluminijum/</w:t>
      </w:r>
      <w:proofErr w:type="spellStart"/>
      <w:r w:rsidR="005C4627" w:rsidRPr="00CF5F52">
        <w:rPr>
          <w:bCs/>
          <w:sz w:val="22"/>
          <w:szCs w:val="22"/>
          <w:lang w:val="sr-Latn-ME"/>
        </w:rPr>
        <w:t>polietilen</w:t>
      </w:r>
      <w:proofErr w:type="spellEnd"/>
      <w:r w:rsidR="005C4627" w:rsidRPr="00CF5F52">
        <w:rPr>
          <w:bCs/>
          <w:sz w:val="22"/>
          <w:szCs w:val="22"/>
          <w:lang w:val="sr-Latn-ME"/>
        </w:rPr>
        <w:t xml:space="preserve"> folije.</w:t>
      </w:r>
    </w:p>
    <w:p w14:paraId="70E8BD5B" w14:textId="77777777" w:rsidR="008B1DE0" w:rsidRPr="00CF5F52" w:rsidRDefault="008B1DE0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88E598" w14:textId="1AFF8F89" w:rsidR="00E60BFF" w:rsidRPr="00CF5F52" w:rsidRDefault="00E60BFF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CF5F52">
        <w:rPr>
          <w:bCs/>
          <w:sz w:val="22"/>
          <w:szCs w:val="22"/>
          <w:lang w:val="sr-Latn-ME"/>
        </w:rPr>
        <w:t>složiva</w:t>
      </w:r>
      <w:proofErr w:type="spellEnd"/>
      <w:r w:rsidRPr="00CF5F52">
        <w:rPr>
          <w:bCs/>
          <w:sz w:val="22"/>
          <w:szCs w:val="22"/>
          <w:lang w:val="sr-Latn-ME"/>
        </w:rPr>
        <w:t xml:space="preserve"> kartonska kutija u kojoj se nalazi </w:t>
      </w:r>
      <w:r w:rsidR="0085671E" w:rsidRPr="00CF5F52">
        <w:rPr>
          <w:bCs/>
          <w:sz w:val="22"/>
          <w:szCs w:val="22"/>
          <w:lang w:val="sr-Latn-ME"/>
        </w:rPr>
        <w:t xml:space="preserve">jedna kesa sa napunjenim injekcionim </w:t>
      </w:r>
      <w:proofErr w:type="spellStart"/>
      <w:r w:rsidR="0085671E" w:rsidRPr="00CF5F52">
        <w:rPr>
          <w:bCs/>
          <w:sz w:val="22"/>
          <w:szCs w:val="22"/>
          <w:lang w:val="sr-Latn-ME"/>
        </w:rPr>
        <w:t>špricem</w:t>
      </w:r>
      <w:proofErr w:type="spellEnd"/>
      <w:r w:rsidR="00F9184C" w:rsidRPr="00CF5F52">
        <w:rPr>
          <w:bCs/>
          <w:sz w:val="22"/>
          <w:szCs w:val="22"/>
          <w:lang w:val="sr-Latn-ME"/>
        </w:rPr>
        <w:t xml:space="preserve">, koji sadrži jedan </w:t>
      </w:r>
      <w:proofErr w:type="spellStart"/>
      <w:r w:rsidR="00F9184C" w:rsidRPr="00CF5F52">
        <w:rPr>
          <w:bCs/>
          <w:sz w:val="22"/>
          <w:szCs w:val="22"/>
          <w:lang w:val="sr-Latn-ME"/>
        </w:rPr>
        <w:t>implant</w:t>
      </w:r>
      <w:proofErr w:type="spellEnd"/>
      <w:r w:rsidR="0085671E" w:rsidRPr="00CF5F52">
        <w:rPr>
          <w:bCs/>
          <w:sz w:val="22"/>
          <w:szCs w:val="22"/>
          <w:lang w:val="sr-Latn-ME"/>
        </w:rPr>
        <w:t xml:space="preserve"> </w:t>
      </w:r>
      <w:r w:rsidRPr="00CF5F52">
        <w:rPr>
          <w:bCs/>
          <w:sz w:val="22"/>
          <w:szCs w:val="22"/>
          <w:lang w:val="sr-Latn-ME"/>
        </w:rPr>
        <w:t>i Uputstvo za lijek.</w:t>
      </w:r>
    </w:p>
    <w:p w14:paraId="2AF5E498" w14:textId="08378516" w:rsidR="002B4C79" w:rsidRPr="00CF5F52" w:rsidRDefault="005C4627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ab/>
      </w:r>
    </w:p>
    <w:p w14:paraId="11F607D4" w14:textId="77777777" w:rsidR="002846DB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6.6.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CF5F52">
        <w:rPr>
          <w:b/>
          <w:bCs/>
          <w:sz w:val="22"/>
          <w:szCs w:val="22"/>
          <w:lang w:val="sr-Latn-ME"/>
        </w:rPr>
        <w:t xml:space="preserve"> </w:t>
      </w:r>
      <w:r w:rsidR="00310F03" w:rsidRPr="00CF5F52">
        <w:rPr>
          <w:b/>
          <w:bCs/>
          <w:sz w:val="22"/>
          <w:szCs w:val="22"/>
          <w:lang w:val="sr-Latn-ME"/>
        </w:rPr>
        <w:t>(i druga uputs</w:t>
      </w:r>
      <w:r w:rsidR="004109FA" w:rsidRPr="00CF5F52">
        <w:rPr>
          <w:b/>
          <w:bCs/>
          <w:sz w:val="22"/>
          <w:szCs w:val="22"/>
          <w:lang w:val="sr-Latn-ME"/>
        </w:rPr>
        <w:t>t</w:t>
      </w:r>
      <w:r w:rsidR="00310F03" w:rsidRPr="00CF5F5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6970A50" w14:textId="2C27B718" w:rsidR="00B66A70" w:rsidRPr="00CF5F52" w:rsidRDefault="00B66A70" w:rsidP="00676BE4">
      <w:pPr>
        <w:tabs>
          <w:tab w:val="left" w:pos="1230"/>
        </w:tabs>
        <w:jc w:val="both"/>
        <w:rPr>
          <w:b/>
          <w:bCs/>
          <w:sz w:val="22"/>
          <w:szCs w:val="22"/>
          <w:lang w:val="sr-Latn-ME"/>
        </w:rPr>
      </w:pPr>
    </w:p>
    <w:p w14:paraId="292E323D" w14:textId="22DFA26E" w:rsidR="002B4C79" w:rsidRPr="00CF5F52" w:rsidRDefault="002B4C79" w:rsidP="00676BE4">
      <w:pPr>
        <w:tabs>
          <w:tab w:val="left" w:pos="1230"/>
        </w:tabs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Svu neiskorišćenu količinu l</w:t>
      </w:r>
      <w:r w:rsidR="00FE0779" w:rsidRPr="00CF5F52">
        <w:rPr>
          <w:sz w:val="22"/>
          <w:szCs w:val="22"/>
          <w:lang w:val="sr-Latn-ME"/>
        </w:rPr>
        <w:t>ij</w:t>
      </w:r>
      <w:r w:rsidRPr="00CF5F52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0B735EAE" w14:textId="794B027E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AB8785" w14:textId="77777777" w:rsidR="0085671E" w:rsidRPr="00CF5F52" w:rsidRDefault="0085671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403F4DA" w14:textId="77777777" w:rsidR="00F8570A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7.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NOSILAC DOZVOLE</w:t>
      </w:r>
      <w:r w:rsidR="00483928" w:rsidRPr="00CF5F52">
        <w:rPr>
          <w:b/>
          <w:bCs/>
          <w:sz w:val="22"/>
          <w:szCs w:val="22"/>
          <w:lang w:val="sr-Latn-ME"/>
        </w:rPr>
        <w:t xml:space="preserve"> </w:t>
      </w:r>
    </w:p>
    <w:p w14:paraId="06D53F84" w14:textId="77777777" w:rsidR="00C61BE0" w:rsidRPr="00CF5F52" w:rsidRDefault="00C61BE0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8921035" w14:textId="6130C119" w:rsidR="000148D8" w:rsidRPr="00CF5F52" w:rsidRDefault="000148D8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CF5F52">
        <w:rPr>
          <w:bCs/>
          <w:sz w:val="22"/>
          <w:szCs w:val="22"/>
          <w:lang w:val="sr-Latn-ME"/>
        </w:rPr>
        <w:t>Glosarij d</w:t>
      </w:r>
      <w:r w:rsidR="0085671E" w:rsidRPr="00CF5F52">
        <w:rPr>
          <w:bCs/>
          <w:sz w:val="22"/>
          <w:szCs w:val="22"/>
          <w:lang w:val="sr-Latn-ME"/>
        </w:rPr>
        <w:t>.</w:t>
      </w:r>
      <w:r w:rsidRPr="00CF5F52">
        <w:rPr>
          <w:bCs/>
          <w:sz w:val="22"/>
          <w:szCs w:val="22"/>
          <w:lang w:val="sr-Latn-ME"/>
        </w:rPr>
        <w:t>o</w:t>
      </w:r>
      <w:r w:rsidR="0085671E" w:rsidRPr="00CF5F52">
        <w:rPr>
          <w:bCs/>
          <w:sz w:val="22"/>
          <w:szCs w:val="22"/>
          <w:lang w:val="sr-Latn-ME"/>
        </w:rPr>
        <w:t>.</w:t>
      </w:r>
      <w:r w:rsidRPr="00CF5F52">
        <w:rPr>
          <w:bCs/>
          <w:sz w:val="22"/>
          <w:szCs w:val="22"/>
          <w:lang w:val="sr-Latn-ME"/>
        </w:rPr>
        <w:t>o</w:t>
      </w:r>
      <w:r w:rsidR="0085671E" w:rsidRPr="00CF5F52">
        <w:rPr>
          <w:bCs/>
          <w:sz w:val="22"/>
          <w:szCs w:val="22"/>
          <w:lang w:val="sr-Latn-ME"/>
        </w:rPr>
        <w:t xml:space="preserve">. </w:t>
      </w:r>
    </w:p>
    <w:p w14:paraId="23D6AC5B" w14:textId="266CBAA5" w:rsidR="000148D8" w:rsidRPr="00CF5F52" w:rsidRDefault="000148D8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CF5F52">
        <w:rPr>
          <w:bCs/>
          <w:sz w:val="22"/>
          <w:szCs w:val="22"/>
          <w:lang w:val="sr-Latn-ME"/>
        </w:rPr>
        <w:t>Vojislavljevića</w:t>
      </w:r>
      <w:proofErr w:type="spellEnd"/>
      <w:r w:rsidRPr="00CF5F52">
        <w:rPr>
          <w:bCs/>
          <w:sz w:val="22"/>
          <w:szCs w:val="22"/>
          <w:lang w:val="sr-Latn-ME"/>
        </w:rPr>
        <w:t xml:space="preserve"> 76, </w:t>
      </w:r>
      <w:r w:rsidR="0085671E" w:rsidRPr="00CF5F52">
        <w:rPr>
          <w:bCs/>
          <w:sz w:val="22"/>
          <w:szCs w:val="22"/>
          <w:lang w:val="sr-Latn-ME"/>
        </w:rPr>
        <w:t xml:space="preserve">81000 </w:t>
      </w:r>
      <w:r w:rsidRPr="00CF5F52">
        <w:rPr>
          <w:bCs/>
          <w:sz w:val="22"/>
          <w:szCs w:val="22"/>
          <w:lang w:val="sr-Latn-ME"/>
        </w:rPr>
        <w:t>Podgorica</w:t>
      </w:r>
      <w:r w:rsidR="0085671E" w:rsidRPr="00CF5F52">
        <w:rPr>
          <w:bCs/>
          <w:sz w:val="22"/>
          <w:szCs w:val="22"/>
          <w:lang w:val="sr-Latn-ME"/>
        </w:rPr>
        <w:t>, Crna Gora</w:t>
      </w:r>
    </w:p>
    <w:p w14:paraId="3DF26925" w14:textId="13214F09" w:rsidR="00C37FD7" w:rsidRPr="00CF5F52" w:rsidRDefault="00C37FD7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E1CCC7" w14:textId="77777777" w:rsidR="0085671E" w:rsidRPr="00CF5F52" w:rsidRDefault="0085671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B88124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8.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>BROJ DOZVOLE</w:t>
      </w:r>
      <w:r w:rsidR="008A6D43" w:rsidRPr="00CF5F5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C3F0D9C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059768" w14:textId="06AA38AD" w:rsidR="00CF5F52" w:rsidRPr="00CF5F52" w:rsidRDefault="00CF5F52" w:rsidP="00676BE4">
      <w:pPr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 xml:space="preserve">2030/24/3538 – 637 </w:t>
      </w:r>
    </w:p>
    <w:p w14:paraId="39F9D0BF" w14:textId="27DFA1DD" w:rsidR="00F45F77" w:rsidRDefault="00F45F77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9516E3B" w14:textId="4B595809" w:rsidR="00254B40" w:rsidRDefault="00254B40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934123" w14:textId="77777777" w:rsidR="00254B40" w:rsidRPr="00CF5F52" w:rsidRDefault="00254B40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32B19290" w14:textId="77777777" w:rsidR="0085671E" w:rsidRPr="00CF5F52" w:rsidRDefault="0085671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C9F645" w14:textId="55B8E5FC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lastRenderedPageBreak/>
        <w:t xml:space="preserve">9.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Pr="00CF5F52">
        <w:rPr>
          <w:b/>
          <w:bCs/>
          <w:sz w:val="22"/>
          <w:szCs w:val="22"/>
          <w:lang w:val="sr-Latn-ME"/>
        </w:rPr>
        <w:t xml:space="preserve">DATUM </w:t>
      </w:r>
      <w:r w:rsidR="00C05DF8" w:rsidRPr="00CF5F52">
        <w:rPr>
          <w:b/>
          <w:bCs/>
          <w:sz w:val="22"/>
          <w:szCs w:val="22"/>
          <w:lang w:val="sr-Latn-ME"/>
        </w:rPr>
        <w:t xml:space="preserve">PRVE </w:t>
      </w:r>
      <w:r w:rsidR="008A6D43" w:rsidRPr="00CF5F52">
        <w:rPr>
          <w:b/>
          <w:bCs/>
          <w:sz w:val="22"/>
          <w:szCs w:val="22"/>
          <w:lang w:val="sr-Latn-ME"/>
        </w:rPr>
        <w:t>DOZVOLE ZA STAVLJANJE LIJEKA U PROMET</w:t>
      </w:r>
    </w:p>
    <w:p w14:paraId="41F98876" w14:textId="77777777" w:rsidR="0072020E" w:rsidRPr="00CF5F52" w:rsidRDefault="0072020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6A5322" w14:textId="4A800028" w:rsidR="00CF5F52" w:rsidRPr="00CF5F52" w:rsidRDefault="00CF5F52" w:rsidP="00676BE4">
      <w:pPr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02.07.2024. godine</w:t>
      </w:r>
    </w:p>
    <w:p w14:paraId="1CF4F714" w14:textId="3DB2CA21" w:rsidR="00836B35" w:rsidRPr="00CF5F52" w:rsidRDefault="00836B35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013C4B" w14:textId="77777777" w:rsidR="0085671E" w:rsidRPr="00CF5F52" w:rsidRDefault="0085671E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B7766E" w14:textId="77777777" w:rsidR="003F6A59" w:rsidRPr="00CF5F52" w:rsidRDefault="0072020E" w:rsidP="00676BE4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CF5F52">
        <w:rPr>
          <w:b/>
          <w:bCs/>
          <w:sz w:val="22"/>
          <w:szCs w:val="22"/>
          <w:lang w:val="sr-Latn-ME"/>
        </w:rPr>
        <w:t xml:space="preserve">10. </w:t>
      </w:r>
      <w:r w:rsidR="00480FB1" w:rsidRPr="00CF5F52">
        <w:rPr>
          <w:b/>
          <w:bCs/>
          <w:sz w:val="22"/>
          <w:szCs w:val="22"/>
          <w:lang w:val="sr-Latn-ME"/>
        </w:rPr>
        <w:tab/>
      </w:r>
      <w:r w:rsidR="002846DB" w:rsidRPr="00CF5F52">
        <w:rPr>
          <w:b/>
          <w:bCs/>
          <w:sz w:val="22"/>
          <w:szCs w:val="22"/>
          <w:lang w:val="sr-Latn-ME"/>
        </w:rPr>
        <w:t>D</w:t>
      </w:r>
      <w:r w:rsidR="00EC2532" w:rsidRPr="00CF5F52">
        <w:rPr>
          <w:b/>
          <w:bCs/>
          <w:sz w:val="22"/>
          <w:szCs w:val="22"/>
          <w:lang w:val="sr-Latn-ME"/>
        </w:rPr>
        <w:t xml:space="preserve">ATUM REVIZIJE TEKSTA </w:t>
      </w:r>
    </w:p>
    <w:p w14:paraId="254754B2" w14:textId="77777777" w:rsidR="003F6A59" w:rsidRPr="00CF5F52" w:rsidRDefault="003F6A59" w:rsidP="00676BE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DA92F7" w14:textId="7767BCAF" w:rsidR="003F6A59" w:rsidRPr="00CF5F52" w:rsidRDefault="00CF5F52" w:rsidP="00676BE4">
      <w:pPr>
        <w:jc w:val="both"/>
        <w:rPr>
          <w:sz w:val="22"/>
          <w:szCs w:val="22"/>
          <w:lang w:val="sr-Latn-ME"/>
        </w:rPr>
      </w:pPr>
      <w:r w:rsidRPr="00CF5F52">
        <w:rPr>
          <w:sz w:val="22"/>
          <w:szCs w:val="22"/>
          <w:lang w:val="sr-Latn-ME"/>
        </w:rPr>
        <w:t>Jul, 2024. godine</w:t>
      </w:r>
    </w:p>
    <w:sectPr w:rsidR="003F6A59" w:rsidRPr="00CF5F52" w:rsidSect="006B5404">
      <w:footerReference w:type="default" r:id="rId2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12AD" w14:textId="77777777" w:rsidR="00E20979" w:rsidRDefault="00E20979">
      <w:r>
        <w:separator/>
      </w:r>
    </w:p>
  </w:endnote>
  <w:endnote w:type="continuationSeparator" w:id="0">
    <w:p w14:paraId="27CCE980" w14:textId="77777777" w:rsidR="00E20979" w:rsidRDefault="00E2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A8DBC" w14:textId="4B81D9A8" w:rsidR="008525C5" w:rsidRDefault="00EF3B86" w:rsidP="00A02B53">
    <w:pPr>
      <w:pStyle w:val="Footer"/>
      <w:jc w:val="center"/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254B40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254B40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A6A84" w14:textId="77777777" w:rsidR="00E20979" w:rsidRDefault="00E20979">
      <w:r>
        <w:separator/>
      </w:r>
    </w:p>
  </w:footnote>
  <w:footnote w:type="continuationSeparator" w:id="0">
    <w:p w14:paraId="035E2B50" w14:textId="77777777" w:rsidR="00E20979" w:rsidRDefault="00E2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AB2E4B"/>
    <w:multiLevelType w:val="hybridMultilevel"/>
    <w:tmpl w:val="85AC829E"/>
    <w:lvl w:ilvl="0" w:tplc="FFFFFFFF">
      <w:start w:val="1"/>
      <w:numFmt w:val="decimal"/>
      <w:lvlText w:val="%1."/>
      <w:lvlJc w:val="left"/>
      <w:pPr>
        <w:ind w:left="45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FFFFFFFF">
      <w:numFmt w:val="bullet"/>
      <w:lvlText w:val="•"/>
      <w:lvlJc w:val="left"/>
      <w:pPr>
        <w:ind w:left="1424" w:hanging="220"/>
      </w:pPr>
      <w:rPr>
        <w:rFonts w:hint="default"/>
        <w:lang w:val="bs" w:eastAsia="en-US" w:bidi="ar-SA"/>
      </w:rPr>
    </w:lvl>
    <w:lvl w:ilvl="2" w:tplc="FFFFFFFF">
      <w:numFmt w:val="bullet"/>
      <w:lvlText w:val="•"/>
      <w:lvlJc w:val="left"/>
      <w:pPr>
        <w:ind w:left="2389" w:hanging="220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353" w:hanging="220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318" w:hanging="220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282" w:hanging="220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247" w:hanging="220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211" w:hanging="220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8176" w:hanging="220"/>
      </w:pPr>
      <w:rPr>
        <w:rFonts w:hint="default"/>
        <w:lang w:val="bs" w:eastAsia="en-US" w:bidi="ar-SA"/>
      </w:rPr>
    </w:lvl>
  </w:abstractNum>
  <w:abstractNum w:abstractNumId="3" w15:restartNumberingAfterBreak="0">
    <w:nsid w:val="1BBF23F6"/>
    <w:multiLevelType w:val="hybridMultilevel"/>
    <w:tmpl w:val="8ECEE66E"/>
    <w:lvl w:ilvl="0" w:tplc="2D126294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505BAD"/>
    <w:multiLevelType w:val="hybridMultilevel"/>
    <w:tmpl w:val="85AC829E"/>
    <w:lvl w:ilvl="0" w:tplc="8AC8883E">
      <w:start w:val="1"/>
      <w:numFmt w:val="decimal"/>
      <w:lvlText w:val="%1."/>
      <w:lvlJc w:val="left"/>
      <w:pPr>
        <w:ind w:left="45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bs" w:eastAsia="en-US" w:bidi="ar-SA"/>
      </w:rPr>
    </w:lvl>
    <w:lvl w:ilvl="1" w:tplc="2D126294">
      <w:numFmt w:val="bullet"/>
      <w:lvlText w:val="•"/>
      <w:lvlJc w:val="left"/>
      <w:pPr>
        <w:ind w:left="1424" w:hanging="220"/>
      </w:pPr>
      <w:rPr>
        <w:rFonts w:hint="default"/>
        <w:lang w:val="bs" w:eastAsia="en-US" w:bidi="ar-SA"/>
      </w:rPr>
    </w:lvl>
    <w:lvl w:ilvl="2" w:tplc="44FA7B26">
      <w:numFmt w:val="bullet"/>
      <w:lvlText w:val="•"/>
      <w:lvlJc w:val="left"/>
      <w:pPr>
        <w:ind w:left="2389" w:hanging="220"/>
      </w:pPr>
      <w:rPr>
        <w:rFonts w:hint="default"/>
        <w:lang w:val="bs" w:eastAsia="en-US" w:bidi="ar-SA"/>
      </w:rPr>
    </w:lvl>
    <w:lvl w:ilvl="3" w:tplc="F7D40DAA">
      <w:numFmt w:val="bullet"/>
      <w:lvlText w:val="•"/>
      <w:lvlJc w:val="left"/>
      <w:pPr>
        <w:ind w:left="3353" w:hanging="220"/>
      </w:pPr>
      <w:rPr>
        <w:rFonts w:hint="default"/>
        <w:lang w:val="bs" w:eastAsia="en-US" w:bidi="ar-SA"/>
      </w:rPr>
    </w:lvl>
    <w:lvl w:ilvl="4" w:tplc="B164D410">
      <w:numFmt w:val="bullet"/>
      <w:lvlText w:val="•"/>
      <w:lvlJc w:val="left"/>
      <w:pPr>
        <w:ind w:left="4318" w:hanging="220"/>
      </w:pPr>
      <w:rPr>
        <w:rFonts w:hint="default"/>
        <w:lang w:val="bs" w:eastAsia="en-US" w:bidi="ar-SA"/>
      </w:rPr>
    </w:lvl>
    <w:lvl w:ilvl="5" w:tplc="F1E0AF84">
      <w:numFmt w:val="bullet"/>
      <w:lvlText w:val="•"/>
      <w:lvlJc w:val="left"/>
      <w:pPr>
        <w:ind w:left="5282" w:hanging="220"/>
      </w:pPr>
      <w:rPr>
        <w:rFonts w:hint="default"/>
        <w:lang w:val="bs" w:eastAsia="en-US" w:bidi="ar-SA"/>
      </w:rPr>
    </w:lvl>
    <w:lvl w:ilvl="6" w:tplc="FC4C7668">
      <w:numFmt w:val="bullet"/>
      <w:lvlText w:val="•"/>
      <w:lvlJc w:val="left"/>
      <w:pPr>
        <w:ind w:left="6247" w:hanging="220"/>
      </w:pPr>
      <w:rPr>
        <w:rFonts w:hint="default"/>
        <w:lang w:val="bs" w:eastAsia="en-US" w:bidi="ar-SA"/>
      </w:rPr>
    </w:lvl>
    <w:lvl w:ilvl="7" w:tplc="FB2EC4DA">
      <w:numFmt w:val="bullet"/>
      <w:lvlText w:val="•"/>
      <w:lvlJc w:val="left"/>
      <w:pPr>
        <w:ind w:left="7211" w:hanging="220"/>
      </w:pPr>
      <w:rPr>
        <w:rFonts w:hint="default"/>
        <w:lang w:val="bs" w:eastAsia="en-US" w:bidi="ar-SA"/>
      </w:rPr>
    </w:lvl>
    <w:lvl w:ilvl="8" w:tplc="92EE478A">
      <w:numFmt w:val="bullet"/>
      <w:lvlText w:val="•"/>
      <w:lvlJc w:val="left"/>
      <w:pPr>
        <w:ind w:left="8176" w:hanging="220"/>
      </w:pPr>
      <w:rPr>
        <w:rFonts w:hint="default"/>
        <w:lang w:val="bs" w:eastAsia="en-US" w:bidi="ar-SA"/>
      </w:r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E5D54"/>
    <w:multiLevelType w:val="multilevel"/>
    <w:tmpl w:val="3E20B3A6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24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38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532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675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819" w:hanging="360"/>
      </w:pPr>
      <w:rPr>
        <w:rFonts w:hint="default"/>
        <w:lang w:val="bs" w:eastAsia="en-US" w:bidi="ar-SA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48D8"/>
    <w:rsid w:val="000176CA"/>
    <w:rsid w:val="00020ED6"/>
    <w:rsid w:val="00033469"/>
    <w:rsid w:val="00036FA0"/>
    <w:rsid w:val="0003793F"/>
    <w:rsid w:val="00045130"/>
    <w:rsid w:val="00057E35"/>
    <w:rsid w:val="0006274A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547CD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54B40"/>
    <w:rsid w:val="00266046"/>
    <w:rsid w:val="002846DB"/>
    <w:rsid w:val="00284CCD"/>
    <w:rsid w:val="002A482C"/>
    <w:rsid w:val="002B33C9"/>
    <w:rsid w:val="002B4C79"/>
    <w:rsid w:val="002C6637"/>
    <w:rsid w:val="002E0135"/>
    <w:rsid w:val="002E37A5"/>
    <w:rsid w:val="00310F03"/>
    <w:rsid w:val="003247D2"/>
    <w:rsid w:val="00335C05"/>
    <w:rsid w:val="003445C1"/>
    <w:rsid w:val="00351E42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083A"/>
    <w:rsid w:val="00471DF8"/>
    <w:rsid w:val="00473997"/>
    <w:rsid w:val="00480FB1"/>
    <w:rsid w:val="00483928"/>
    <w:rsid w:val="004931D0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67948"/>
    <w:rsid w:val="00572527"/>
    <w:rsid w:val="00573E40"/>
    <w:rsid w:val="00576348"/>
    <w:rsid w:val="005A0B2E"/>
    <w:rsid w:val="005A23D2"/>
    <w:rsid w:val="005A36CB"/>
    <w:rsid w:val="005A43A4"/>
    <w:rsid w:val="005B49B8"/>
    <w:rsid w:val="005C0741"/>
    <w:rsid w:val="005C4627"/>
    <w:rsid w:val="005C5EF4"/>
    <w:rsid w:val="005D5FD5"/>
    <w:rsid w:val="005E2E0B"/>
    <w:rsid w:val="005E67AD"/>
    <w:rsid w:val="005E7A7D"/>
    <w:rsid w:val="00602457"/>
    <w:rsid w:val="00613DAF"/>
    <w:rsid w:val="00615143"/>
    <w:rsid w:val="00644FC3"/>
    <w:rsid w:val="00646BD1"/>
    <w:rsid w:val="006561C2"/>
    <w:rsid w:val="00671CB3"/>
    <w:rsid w:val="00674BAF"/>
    <w:rsid w:val="00676BE4"/>
    <w:rsid w:val="00682200"/>
    <w:rsid w:val="0068409F"/>
    <w:rsid w:val="00692BF6"/>
    <w:rsid w:val="006A1351"/>
    <w:rsid w:val="006A1497"/>
    <w:rsid w:val="006B0BD1"/>
    <w:rsid w:val="006B5404"/>
    <w:rsid w:val="006D20A5"/>
    <w:rsid w:val="006D37BF"/>
    <w:rsid w:val="006E39B7"/>
    <w:rsid w:val="00702E22"/>
    <w:rsid w:val="0072020E"/>
    <w:rsid w:val="007435AE"/>
    <w:rsid w:val="0074529E"/>
    <w:rsid w:val="00754902"/>
    <w:rsid w:val="00786071"/>
    <w:rsid w:val="007A3ECB"/>
    <w:rsid w:val="007B00BE"/>
    <w:rsid w:val="007D7BB3"/>
    <w:rsid w:val="007E31E9"/>
    <w:rsid w:val="007F05E3"/>
    <w:rsid w:val="00810566"/>
    <w:rsid w:val="00824AB9"/>
    <w:rsid w:val="00836B35"/>
    <w:rsid w:val="00843BDE"/>
    <w:rsid w:val="008525C5"/>
    <w:rsid w:val="0085671E"/>
    <w:rsid w:val="00872644"/>
    <w:rsid w:val="0087588C"/>
    <w:rsid w:val="0089705C"/>
    <w:rsid w:val="00897860"/>
    <w:rsid w:val="008A6D43"/>
    <w:rsid w:val="008B1DE0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B1AC9"/>
    <w:rsid w:val="009E7C6F"/>
    <w:rsid w:val="009F1793"/>
    <w:rsid w:val="009F2D23"/>
    <w:rsid w:val="00A01D69"/>
    <w:rsid w:val="00A02335"/>
    <w:rsid w:val="00A02B53"/>
    <w:rsid w:val="00A46C9A"/>
    <w:rsid w:val="00A619F3"/>
    <w:rsid w:val="00A62A73"/>
    <w:rsid w:val="00A635E7"/>
    <w:rsid w:val="00A87FF6"/>
    <w:rsid w:val="00AA0A3B"/>
    <w:rsid w:val="00AA2763"/>
    <w:rsid w:val="00AA33B6"/>
    <w:rsid w:val="00AA5D48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60619"/>
    <w:rsid w:val="00B60DA5"/>
    <w:rsid w:val="00B66A70"/>
    <w:rsid w:val="00B67366"/>
    <w:rsid w:val="00B72CCC"/>
    <w:rsid w:val="00B80EE1"/>
    <w:rsid w:val="00B84135"/>
    <w:rsid w:val="00BF7741"/>
    <w:rsid w:val="00C04D34"/>
    <w:rsid w:val="00C05DF8"/>
    <w:rsid w:val="00C06864"/>
    <w:rsid w:val="00C10F54"/>
    <w:rsid w:val="00C23D8D"/>
    <w:rsid w:val="00C37AA3"/>
    <w:rsid w:val="00C37FD7"/>
    <w:rsid w:val="00C43419"/>
    <w:rsid w:val="00C446BC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D4F85"/>
    <w:rsid w:val="00CD6F02"/>
    <w:rsid w:val="00CE246D"/>
    <w:rsid w:val="00CF07A0"/>
    <w:rsid w:val="00CF184A"/>
    <w:rsid w:val="00CF3E03"/>
    <w:rsid w:val="00CF5F52"/>
    <w:rsid w:val="00D0082A"/>
    <w:rsid w:val="00D21455"/>
    <w:rsid w:val="00D47634"/>
    <w:rsid w:val="00D709B3"/>
    <w:rsid w:val="00D74CD2"/>
    <w:rsid w:val="00D83B57"/>
    <w:rsid w:val="00DA2ED6"/>
    <w:rsid w:val="00DB1D55"/>
    <w:rsid w:val="00DB76B8"/>
    <w:rsid w:val="00DC2EA1"/>
    <w:rsid w:val="00DD6AAF"/>
    <w:rsid w:val="00DE3F5C"/>
    <w:rsid w:val="00DE76DB"/>
    <w:rsid w:val="00DF1D20"/>
    <w:rsid w:val="00E20979"/>
    <w:rsid w:val="00E21324"/>
    <w:rsid w:val="00E246B9"/>
    <w:rsid w:val="00E31FEA"/>
    <w:rsid w:val="00E437FB"/>
    <w:rsid w:val="00E45169"/>
    <w:rsid w:val="00E47787"/>
    <w:rsid w:val="00E51C30"/>
    <w:rsid w:val="00E60BFF"/>
    <w:rsid w:val="00E64180"/>
    <w:rsid w:val="00E7235D"/>
    <w:rsid w:val="00E74AEE"/>
    <w:rsid w:val="00E868E5"/>
    <w:rsid w:val="00E9237A"/>
    <w:rsid w:val="00E939FA"/>
    <w:rsid w:val="00E94E45"/>
    <w:rsid w:val="00EA5765"/>
    <w:rsid w:val="00EC2532"/>
    <w:rsid w:val="00ED7812"/>
    <w:rsid w:val="00EF3B86"/>
    <w:rsid w:val="00F317E9"/>
    <w:rsid w:val="00F34554"/>
    <w:rsid w:val="00F35B68"/>
    <w:rsid w:val="00F45F77"/>
    <w:rsid w:val="00F5167F"/>
    <w:rsid w:val="00F52258"/>
    <w:rsid w:val="00F72823"/>
    <w:rsid w:val="00F8570A"/>
    <w:rsid w:val="00F9184C"/>
    <w:rsid w:val="00F91C7B"/>
    <w:rsid w:val="00F96943"/>
    <w:rsid w:val="00FB13E8"/>
    <w:rsid w:val="00FB433E"/>
    <w:rsid w:val="00FC6BE2"/>
    <w:rsid w:val="00FE0779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10D1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6943"/>
    <w:pPr>
      <w:ind w:left="720"/>
      <w:contextualSpacing/>
    </w:pPr>
  </w:style>
  <w:style w:type="paragraph" w:styleId="Revision">
    <w:name w:val="Revision"/>
    <w:hidden/>
    <w:uiPriority w:val="99"/>
    <w:semiHidden/>
    <w:rsid w:val="000627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https://primaryreporting.who-umc.org/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mailto:nezeljenadejstva@cinmed.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nmed.m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CD74158DDF498F813DF49A9965E2" ma:contentTypeVersion="4" ma:contentTypeDescription="Create a new document." ma:contentTypeScope="" ma:versionID="229ef50edf1a6bc52d6eebb98603d240">
  <xsd:schema xmlns:xsd="http://www.w3.org/2001/XMLSchema" xmlns:xs="http://www.w3.org/2001/XMLSchema" xmlns:p="http://schemas.microsoft.com/office/2006/metadata/properties" xmlns:ns3="5c6024af-3e14-4c40-9de8-9c9c76211659" targetNamespace="http://schemas.microsoft.com/office/2006/metadata/properties" ma:root="true" ma:fieldsID="7e01354786ccba1befe912e0402decfa" ns3:_="">
    <xsd:import namespace="5c6024af-3e14-4c40-9de8-9c9c76211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24af-3e14-4c40-9de8-9c9c76211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EA59-863F-4F85-BCC8-CEB097B8F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4F0F4-405E-4DCA-BD5A-7DE3BA321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24af-3e14-4c40-9de8-9c9c7621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D59AC-1A12-4CD3-BE33-DEDF3D693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DB190-E0CF-4ABC-9848-71A72561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27711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cp:lastPrinted>2023-02-09T08:16:00Z</cp:lastPrinted>
  <dcterms:created xsi:type="dcterms:W3CDTF">2024-07-02T06:48:00Z</dcterms:created>
  <dcterms:modified xsi:type="dcterms:W3CDTF">2024-07-02T10:38:00Z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0x0101008394CD74158DDF498F813DF49A9965E2</vt:lpwstr>
  </property>
</Properties>
</file>